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15"/>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253284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泰康人寿〔2013〕疾病保险 002 号</w:t>
      </w:r>
    </w:p>
    <w:p>
      <w:pPr>
        <w:pStyle w:val="BodyText"/>
        <w:rPr>
          <w:sz w:val="20"/>
        </w:rPr>
      </w:pPr>
    </w:p>
    <w:p>
      <w:pPr>
        <w:pStyle w:val="BodyText"/>
        <w:spacing w:before="8"/>
        <w:rPr>
          <w:sz w:val="23"/>
        </w:rPr>
      </w:pPr>
    </w:p>
    <w:p>
      <w:pPr>
        <w:spacing w:after="0"/>
        <w:rPr>
          <w:sz w:val="23"/>
        </w:rPr>
        <w:sectPr>
          <w:type w:val="continuous"/>
          <w:pgSz w:w="11910" w:h="16840"/>
          <w:pgMar w:top="880" w:bottom="280" w:left="880" w:right="260"/>
        </w:sectPr>
      </w:pPr>
    </w:p>
    <w:p>
      <w:pPr>
        <w:pStyle w:val="Heading1"/>
        <w:spacing w:line="220" w:lineRule="auto"/>
        <w:ind w:left="4192" w:hanging="2003"/>
      </w:pPr>
      <w:r>
        <w:rPr/>
        <w:t>泰康附加健康人生终身重大疾病保险条款阅  读  指 引</w:t>
      </w:r>
    </w:p>
    <w:p>
      <w:pPr>
        <w:pStyle w:val="BodyText"/>
        <w:rPr>
          <w:rFonts w:ascii="微软雅黑"/>
          <w:b/>
          <w:sz w:val="20"/>
        </w:rPr>
      </w:pPr>
      <w:r>
        <w:rPr/>
        <w:br w:type="column"/>
      </w:r>
      <w:r>
        <w:rPr>
          <w:rFonts w:ascii="微软雅黑"/>
          <w:b/>
          <w:sz w:val="20"/>
        </w:rPr>
      </w:r>
    </w:p>
    <w:p>
      <w:pPr>
        <w:pStyle w:val="BodyText"/>
        <w:spacing w:before="2"/>
        <w:rPr>
          <w:rFonts w:ascii="微软雅黑"/>
          <w:b/>
          <w:sz w:val="23"/>
        </w:rPr>
      </w:pPr>
    </w:p>
    <w:p>
      <w:pPr>
        <w:pStyle w:val="BodyText"/>
        <w:ind w:left="39"/>
      </w:pPr>
      <w:r>
        <w:rPr/>
        <w:t>请扫描以查询验证条款</w:t>
      </w:r>
    </w:p>
    <w:p>
      <w:pPr>
        <w:spacing w:after="0"/>
        <w:sectPr>
          <w:type w:val="continuous"/>
          <w:pgSz w:w="11910" w:h="16840"/>
          <w:pgMar w:top="880" w:bottom="280" w:left="880" w:right="260"/>
          <w:cols w:num="2" w:equalWidth="0">
            <w:col w:w="7959" w:space="40"/>
            <w:col w:w="2771"/>
          </w:cols>
        </w:sectPr>
      </w:pPr>
    </w:p>
    <w:p>
      <w:pPr>
        <w:pStyle w:val="BodyText"/>
        <w:spacing w:before="12"/>
        <w:rPr>
          <w:sz w:val="13"/>
        </w:rPr>
      </w:pPr>
    </w:p>
    <w:p>
      <w:pPr>
        <w:pStyle w:val="BodyText"/>
        <w:spacing w:before="36"/>
        <w:ind w:left="1811" w:right="236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3"/>
        <w:ind w:left="219" w:right="0" w:firstLine="0"/>
        <w:jc w:val="left"/>
        <w:rPr>
          <w:b/>
          <w:sz w:val="21"/>
        </w:rPr>
      </w:pPr>
      <w:r>
        <w:rPr/>
        <w:pict>
          <v:group style="position:absolute;margin-left:49.200001pt;margin-top:1.797712pt;width:496.8pt;height:601.3pt;mso-position-horizontal-relative:page;mso-position-vertical-relative:paragraph;z-index:-31840" coordorigin="984,36" coordsize="9936,12026">
            <v:rect style="position:absolute;left:984;top:35;width:10;height:10" filled="true" fillcolor="#000000" stroked="false">
              <v:fill type="solid"/>
            </v:rect>
            <v:line style="position:absolute" from="994,41" to="10910,41" stroked="true" strokeweight=".48001pt" strokecolor="#000000">
              <v:stroke dashstyle="solid"/>
            </v:line>
            <v:rect style="position:absolute;left:10910;top:35;width:10;height:10" filled="true" fillcolor="#000000" stroked="false">
              <v:fill type="solid"/>
            </v:rect>
            <v:line style="position:absolute" from="989,46" to="989,12061" stroked="true" strokeweight=".48pt" strokecolor="#000000">
              <v:stroke dashstyle="solid"/>
            </v:line>
            <v:line style="position:absolute" from="10915,46" to="10915,12061"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s>
        <w:spacing w:line="240" w:lineRule="auto" w:before="26" w:after="0"/>
        <w:ind w:left="1249" w:right="0" w:hanging="399"/>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您</w:t>
      </w:r>
      <w:r>
        <w:rPr>
          <w:sz w:val="21"/>
        </w:rPr>
        <w:t>有按</w:t>
      </w:r>
      <w:r>
        <w:rPr>
          <w:spacing w:val="-3"/>
          <w:sz w:val="21"/>
        </w:rPr>
        <w:t>本</w:t>
      </w:r>
      <w:r>
        <w:rPr>
          <w:sz w:val="21"/>
        </w:rPr>
        <w:t>附</w:t>
      </w:r>
      <w:r>
        <w:rPr>
          <w:spacing w:val="-3"/>
          <w:sz w:val="21"/>
        </w:rPr>
        <w:t>加</w:t>
      </w:r>
      <w:r>
        <w:rPr>
          <w:sz w:val="21"/>
        </w:rPr>
        <w:t>合</w:t>
      </w:r>
      <w:r>
        <w:rPr>
          <w:spacing w:val="-3"/>
          <w:sz w:val="21"/>
        </w:rPr>
        <w:t>同约</w:t>
      </w:r>
      <w:r>
        <w:rPr>
          <w:sz w:val="21"/>
        </w:rPr>
        <w:t>定申</w:t>
      </w:r>
      <w:r>
        <w:rPr>
          <w:spacing w:val="-3"/>
          <w:sz w:val="21"/>
        </w:rPr>
        <w:t>请</w:t>
      </w:r>
      <w:r>
        <w:rPr>
          <w:sz w:val="21"/>
        </w:rPr>
        <w:t>保</w:t>
      </w:r>
      <w:r>
        <w:rPr>
          <w:spacing w:val="-3"/>
          <w:sz w:val="21"/>
        </w:rPr>
        <w:t>单</w:t>
      </w:r>
      <w:r>
        <w:rPr>
          <w:sz w:val="21"/>
        </w:rPr>
        <w:t>贷</w:t>
      </w:r>
      <w:r>
        <w:rPr>
          <w:spacing w:val="-3"/>
          <w:sz w:val="21"/>
        </w:rPr>
        <w:t>款</w:t>
      </w:r>
      <w:r>
        <w:rPr>
          <w:sz w:val="21"/>
        </w:rPr>
        <w:t>的</w:t>
      </w:r>
      <w:r>
        <w:rPr>
          <w:spacing w:val="-3"/>
          <w:sz w:val="21"/>
        </w:rPr>
        <w:t>权</w:t>
      </w:r>
      <w:r>
        <w:rPr>
          <w:sz w:val="21"/>
        </w:rPr>
        <w:t>利</w:t>
        <w:tab/>
        <w:t>5.2</w:t>
      </w:r>
    </w:p>
    <w:p>
      <w:pPr>
        <w:pStyle w:val="ListParagraph"/>
        <w:numPr>
          <w:ilvl w:val="0"/>
          <w:numId w:val="1"/>
        </w:numPr>
        <w:tabs>
          <w:tab w:pos="1249" w:val="left" w:leader="none"/>
          <w:tab w:pos="1250" w:val="left" w:leader="none"/>
          <w:tab w:pos="9544" w:val="right" w:leader="dot"/>
        </w:tabs>
        <w:spacing w:line="240" w:lineRule="auto" w:before="22" w:after="0"/>
        <w:ind w:left="124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545" w:val="right" w:leader="dot"/>
        </w:tabs>
        <w:spacing w:line="240" w:lineRule="auto" w:before="27" w:after="0"/>
        <w:ind w:left="1249"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338" w:val="right" w:leader="dot"/>
        </w:tabs>
        <w:spacing w:line="240" w:lineRule="auto" w:before="22"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441" w:val="right" w:leader="dot"/>
        </w:tabs>
        <w:spacing w:line="240" w:lineRule="auto" w:before="22"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5"/>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1"/>
        <w:gridCol w:w="3163"/>
        <w:gridCol w:w="4142"/>
      </w:tblGrid>
      <w:tr>
        <w:trPr>
          <w:trHeight w:val="6025" w:hRule="atLeast"/>
        </w:trPr>
        <w:tc>
          <w:tcPr>
            <w:tcW w:w="2621" w:type="dxa"/>
            <w:tcBorders>
              <w:bottom w:val="single" w:sz="4" w:space="0" w:color="000000"/>
            </w:tcBorders>
          </w:tcPr>
          <w:p>
            <w:pPr>
              <w:pStyle w:val="TableParagraph"/>
              <w:numPr>
                <w:ilvl w:val="0"/>
                <w:numId w:val="2"/>
              </w:numPr>
              <w:tabs>
                <w:tab w:pos="536" w:val="left" w:leader="none"/>
              </w:tabs>
              <w:spacing w:line="211" w:lineRule="exact" w:before="0" w:after="0"/>
              <w:ind w:left="535" w:right="0" w:hanging="317"/>
              <w:jc w:val="left"/>
              <w:rPr>
                <w:b/>
                <w:sz w:val="21"/>
              </w:rPr>
            </w:pPr>
            <w:r>
              <w:rPr>
                <w:b/>
                <w:sz w:val="21"/>
              </w:rPr>
              <w:t>您与我们订立的合同</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合同构成</w:t>
            </w:r>
          </w:p>
          <w:p>
            <w:pPr>
              <w:pStyle w:val="TableParagraph"/>
              <w:numPr>
                <w:ilvl w:val="1"/>
                <w:numId w:val="2"/>
              </w:numPr>
              <w:tabs>
                <w:tab w:pos="745" w:val="left" w:leader="none"/>
              </w:tabs>
              <w:spacing w:line="240" w:lineRule="auto" w:before="37" w:after="0"/>
              <w:ind w:left="744" w:right="0" w:hanging="420"/>
              <w:jc w:val="left"/>
              <w:rPr>
                <w:sz w:val="21"/>
              </w:rPr>
            </w:pPr>
            <w:r>
              <w:rPr>
                <w:spacing w:val="-3"/>
                <w:sz w:val="21"/>
              </w:rPr>
              <w:t>合同成立及生效</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投保年龄</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犹豫期</w:t>
            </w:r>
          </w:p>
          <w:p>
            <w:pPr>
              <w:pStyle w:val="TableParagraph"/>
              <w:numPr>
                <w:ilvl w:val="0"/>
                <w:numId w:val="2"/>
              </w:numPr>
              <w:tabs>
                <w:tab w:pos="536" w:val="left" w:leader="none"/>
              </w:tabs>
              <w:spacing w:line="240" w:lineRule="auto" w:before="37" w:after="0"/>
              <w:ind w:left="535" w:right="0" w:hanging="317"/>
              <w:jc w:val="left"/>
              <w:rPr>
                <w:b/>
                <w:sz w:val="21"/>
              </w:rPr>
            </w:pPr>
            <w:r>
              <w:rPr>
                <w:b/>
                <w:sz w:val="21"/>
              </w:rPr>
              <w:t>我们提供的保障</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保险金额</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保险期间</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保险责任</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责任免除</w:t>
            </w:r>
          </w:p>
          <w:p>
            <w:pPr>
              <w:pStyle w:val="TableParagraph"/>
              <w:numPr>
                <w:ilvl w:val="0"/>
                <w:numId w:val="2"/>
              </w:numPr>
              <w:tabs>
                <w:tab w:pos="536" w:val="left" w:leader="none"/>
              </w:tabs>
              <w:spacing w:line="240" w:lineRule="auto" w:before="37" w:after="0"/>
              <w:ind w:left="535" w:right="0" w:hanging="317"/>
              <w:jc w:val="left"/>
              <w:rPr>
                <w:b/>
                <w:sz w:val="21"/>
              </w:rPr>
            </w:pPr>
            <w:r>
              <w:rPr>
                <w:b/>
                <w:spacing w:val="-1"/>
                <w:sz w:val="21"/>
              </w:rPr>
              <w:t>保险金的申请</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受益人</w:t>
            </w:r>
          </w:p>
          <w:p>
            <w:pPr>
              <w:pStyle w:val="TableParagraph"/>
              <w:numPr>
                <w:ilvl w:val="1"/>
                <w:numId w:val="2"/>
              </w:numPr>
              <w:tabs>
                <w:tab w:pos="745" w:val="left" w:leader="none"/>
              </w:tabs>
              <w:spacing w:line="240" w:lineRule="auto" w:before="37" w:after="0"/>
              <w:ind w:left="744" w:right="0" w:hanging="420"/>
              <w:jc w:val="left"/>
              <w:rPr>
                <w:sz w:val="21"/>
              </w:rPr>
            </w:pPr>
            <w:r>
              <w:rPr>
                <w:spacing w:val="-3"/>
                <w:sz w:val="21"/>
              </w:rPr>
              <w:t>保险事故通知</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保险金申请</w:t>
            </w:r>
          </w:p>
          <w:p>
            <w:pPr>
              <w:pStyle w:val="TableParagraph"/>
              <w:numPr>
                <w:ilvl w:val="1"/>
                <w:numId w:val="2"/>
              </w:numPr>
              <w:tabs>
                <w:tab w:pos="747" w:val="left" w:leader="none"/>
              </w:tabs>
              <w:spacing w:line="240" w:lineRule="auto" w:before="36" w:after="0"/>
              <w:ind w:left="746" w:right="0" w:hanging="422"/>
              <w:jc w:val="left"/>
              <w:rPr>
                <w:sz w:val="21"/>
              </w:rPr>
            </w:pPr>
            <w:r>
              <w:rPr>
                <w:spacing w:val="-3"/>
                <w:sz w:val="21"/>
              </w:rPr>
              <w:t>保险金给付</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诉讼时效</w:t>
            </w:r>
          </w:p>
          <w:p>
            <w:pPr>
              <w:pStyle w:val="TableParagraph"/>
              <w:numPr>
                <w:ilvl w:val="0"/>
                <w:numId w:val="2"/>
              </w:numPr>
              <w:tabs>
                <w:tab w:pos="536" w:val="left" w:leader="none"/>
              </w:tabs>
              <w:spacing w:line="240" w:lineRule="auto" w:before="36" w:after="0"/>
              <w:ind w:left="535" w:right="0" w:hanging="317"/>
              <w:jc w:val="left"/>
              <w:rPr>
                <w:b/>
                <w:sz w:val="21"/>
              </w:rPr>
            </w:pPr>
            <w:r>
              <w:rPr>
                <w:b/>
                <w:sz w:val="21"/>
              </w:rPr>
              <w:t>保险费的交纳</w:t>
            </w:r>
          </w:p>
          <w:p>
            <w:pPr>
              <w:pStyle w:val="TableParagraph"/>
              <w:numPr>
                <w:ilvl w:val="1"/>
                <w:numId w:val="2"/>
              </w:numPr>
              <w:tabs>
                <w:tab w:pos="747" w:val="left" w:leader="none"/>
              </w:tabs>
              <w:spacing w:line="240" w:lineRule="auto" w:before="36" w:after="0"/>
              <w:ind w:left="746" w:right="0" w:hanging="422"/>
              <w:jc w:val="left"/>
              <w:rPr>
                <w:sz w:val="21"/>
              </w:rPr>
            </w:pPr>
            <w:r>
              <w:rPr>
                <w:spacing w:val="-3"/>
                <w:sz w:val="21"/>
              </w:rPr>
              <w:t>保险费的交纳</w:t>
            </w:r>
          </w:p>
          <w:p>
            <w:pPr>
              <w:pStyle w:val="TableParagraph"/>
              <w:numPr>
                <w:ilvl w:val="1"/>
                <w:numId w:val="2"/>
              </w:numPr>
              <w:tabs>
                <w:tab w:pos="747" w:val="left" w:leader="none"/>
              </w:tabs>
              <w:spacing w:line="240" w:lineRule="auto" w:before="36" w:after="0"/>
              <w:ind w:left="746" w:right="0" w:hanging="422"/>
              <w:jc w:val="left"/>
              <w:rPr>
                <w:sz w:val="21"/>
              </w:rPr>
            </w:pPr>
            <w:r>
              <w:rPr>
                <w:spacing w:val="-2"/>
                <w:sz w:val="21"/>
              </w:rPr>
              <w:t>宽限期</w:t>
            </w:r>
          </w:p>
        </w:tc>
        <w:tc>
          <w:tcPr>
            <w:tcW w:w="3163" w:type="dxa"/>
            <w:tcBorders>
              <w:bottom w:val="single" w:sz="4" w:space="0" w:color="000000"/>
            </w:tcBorders>
          </w:tcPr>
          <w:p>
            <w:pPr>
              <w:pStyle w:val="TableParagraph"/>
              <w:numPr>
                <w:ilvl w:val="0"/>
                <w:numId w:val="3"/>
              </w:numPr>
              <w:tabs>
                <w:tab w:pos="503" w:val="left" w:leader="none"/>
              </w:tabs>
              <w:spacing w:line="211" w:lineRule="exact" w:before="0" w:after="0"/>
              <w:ind w:left="502" w:right="0" w:hanging="317"/>
              <w:jc w:val="left"/>
              <w:rPr>
                <w:b/>
                <w:sz w:val="21"/>
              </w:rPr>
            </w:pPr>
            <w:r>
              <w:rPr>
                <w:b/>
                <w:sz w:val="21"/>
              </w:rPr>
              <w:t>现金价值权益</w:t>
            </w:r>
          </w:p>
          <w:p>
            <w:pPr>
              <w:pStyle w:val="TableParagraph"/>
              <w:numPr>
                <w:ilvl w:val="1"/>
                <w:numId w:val="3"/>
              </w:numPr>
              <w:tabs>
                <w:tab w:pos="712" w:val="left" w:leader="none"/>
              </w:tabs>
              <w:spacing w:line="240" w:lineRule="auto" w:before="37" w:after="0"/>
              <w:ind w:left="711" w:right="0" w:hanging="421"/>
              <w:jc w:val="left"/>
              <w:rPr>
                <w:sz w:val="21"/>
              </w:rPr>
            </w:pPr>
            <w:r>
              <w:rPr>
                <w:spacing w:val="-2"/>
                <w:sz w:val="21"/>
              </w:rPr>
              <w:t>现金价值</w:t>
            </w:r>
          </w:p>
          <w:p>
            <w:pPr>
              <w:pStyle w:val="TableParagraph"/>
              <w:numPr>
                <w:ilvl w:val="1"/>
                <w:numId w:val="3"/>
              </w:numPr>
              <w:tabs>
                <w:tab w:pos="712" w:val="left" w:leader="none"/>
              </w:tabs>
              <w:spacing w:line="240" w:lineRule="auto" w:before="37" w:after="0"/>
              <w:ind w:left="711" w:right="0" w:hanging="421"/>
              <w:jc w:val="left"/>
              <w:rPr>
                <w:sz w:val="21"/>
              </w:rPr>
            </w:pPr>
            <w:r>
              <w:rPr>
                <w:spacing w:val="-2"/>
                <w:sz w:val="21"/>
              </w:rPr>
              <w:t>保单贷款</w:t>
            </w:r>
          </w:p>
          <w:p>
            <w:pPr>
              <w:pStyle w:val="TableParagraph"/>
              <w:numPr>
                <w:ilvl w:val="1"/>
                <w:numId w:val="3"/>
              </w:numPr>
              <w:tabs>
                <w:tab w:pos="712" w:val="left" w:leader="none"/>
              </w:tabs>
              <w:spacing w:line="240" w:lineRule="auto" w:before="37" w:after="0"/>
              <w:ind w:left="711" w:right="0" w:hanging="421"/>
              <w:jc w:val="left"/>
              <w:rPr>
                <w:sz w:val="21"/>
              </w:rPr>
            </w:pPr>
            <w:r>
              <w:rPr>
                <w:spacing w:val="-3"/>
                <w:sz w:val="21"/>
              </w:rPr>
              <w:t>保险费自动垫交</w:t>
            </w:r>
          </w:p>
          <w:p>
            <w:pPr>
              <w:pStyle w:val="TableParagraph"/>
              <w:numPr>
                <w:ilvl w:val="0"/>
                <w:numId w:val="3"/>
              </w:numPr>
              <w:tabs>
                <w:tab w:pos="503" w:val="left" w:leader="none"/>
              </w:tabs>
              <w:spacing w:line="240" w:lineRule="auto" w:before="37" w:after="0"/>
              <w:ind w:left="502" w:right="0" w:hanging="317"/>
              <w:jc w:val="left"/>
              <w:rPr>
                <w:b/>
                <w:sz w:val="21"/>
              </w:rPr>
            </w:pPr>
            <w:r>
              <w:rPr>
                <w:b/>
                <w:sz w:val="21"/>
              </w:rPr>
              <w:t>合同效力的中止及恢复</w:t>
            </w:r>
          </w:p>
          <w:p>
            <w:pPr>
              <w:pStyle w:val="TableParagraph"/>
              <w:numPr>
                <w:ilvl w:val="1"/>
                <w:numId w:val="3"/>
              </w:numPr>
              <w:tabs>
                <w:tab w:pos="712" w:val="left" w:leader="none"/>
              </w:tabs>
              <w:spacing w:line="240" w:lineRule="auto" w:before="37" w:after="0"/>
              <w:ind w:left="711" w:right="0" w:hanging="421"/>
              <w:jc w:val="left"/>
              <w:rPr>
                <w:sz w:val="21"/>
              </w:rPr>
            </w:pPr>
            <w:r>
              <w:rPr>
                <w:spacing w:val="-2"/>
                <w:sz w:val="21"/>
              </w:rPr>
              <w:t>效力中止</w:t>
            </w:r>
          </w:p>
          <w:p>
            <w:pPr>
              <w:pStyle w:val="TableParagraph"/>
              <w:numPr>
                <w:ilvl w:val="1"/>
                <w:numId w:val="3"/>
              </w:numPr>
              <w:tabs>
                <w:tab w:pos="712" w:val="left" w:leader="none"/>
              </w:tabs>
              <w:spacing w:line="240" w:lineRule="auto" w:before="37" w:after="0"/>
              <w:ind w:left="711" w:right="0" w:hanging="421"/>
              <w:jc w:val="left"/>
              <w:rPr>
                <w:sz w:val="21"/>
              </w:rPr>
            </w:pPr>
            <w:r>
              <w:rPr>
                <w:spacing w:val="-2"/>
                <w:sz w:val="21"/>
              </w:rPr>
              <w:t>效力恢复</w:t>
            </w:r>
          </w:p>
          <w:p>
            <w:pPr>
              <w:pStyle w:val="TableParagraph"/>
              <w:numPr>
                <w:ilvl w:val="0"/>
                <w:numId w:val="3"/>
              </w:numPr>
              <w:tabs>
                <w:tab w:pos="503" w:val="left" w:leader="none"/>
              </w:tabs>
              <w:spacing w:line="240" w:lineRule="auto" w:before="37" w:after="0"/>
              <w:ind w:left="502" w:right="0" w:hanging="317"/>
              <w:jc w:val="left"/>
              <w:rPr>
                <w:b/>
                <w:sz w:val="21"/>
              </w:rPr>
            </w:pPr>
            <w:r>
              <w:rPr>
                <w:b/>
                <w:sz w:val="21"/>
              </w:rPr>
              <w:t>合同解除</w:t>
            </w:r>
          </w:p>
          <w:p>
            <w:pPr>
              <w:pStyle w:val="TableParagraph"/>
              <w:numPr>
                <w:ilvl w:val="1"/>
                <w:numId w:val="3"/>
              </w:numPr>
              <w:tabs>
                <w:tab w:pos="712" w:val="left" w:leader="none"/>
              </w:tabs>
              <w:spacing w:line="240" w:lineRule="auto" w:before="37" w:after="0"/>
              <w:ind w:left="711" w:right="0" w:hanging="421"/>
              <w:jc w:val="left"/>
              <w:rPr>
                <w:sz w:val="21"/>
              </w:rPr>
            </w:pPr>
            <w:r>
              <w:rPr>
                <w:spacing w:val="-3"/>
                <w:sz w:val="21"/>
              </w:rPr>
              <w:t>您解除合同的手续及风险</w:t>
            </w:r>
          </w:p>
          <w:p>
            <w:pPr>
              <w:pStyle w:val="TableParagraph"/>
              <w:numPr>
                <w:ilvl w:val="0"/>
                <w:numId w:val="3"/>
              </w:numPr>
              <w:tabs>
                <w:tab w:pos="503" w:val="left" w:leader="none"/>
              </w:tabs>
              <w:spacing w:line="240" w:lineRule="auto" w:before="37" w:after="0"/>
              <w:ind w:left="502" w:right="0" w:hanging="317"/>
              <w:jc w:val="left"/>
              <w:rPr>
                <w:b/>
                <w:sz w:val="21"/>
              </w:rPr>
            </w:pPr>
            <w:r>
              <w:rPr>
                <w:b/>
                <w:sz w:val="21"/>
              </w:rPr>
              <w:t>其它需要关注的事项</w:t>
            </w:r>
          </w:p>
          <w:p>
            <w:pPr>
              <w:pStyle w:val="TableParagraph"/>
              <w:numPr>
                <w:ilvl w:val="1"/>
                <w:numId w:val="3"/>
              </w:numPr>
              <w:tabs>
                <w:tab w:pos="712" w:val="left" w:leader="none"/>
              </w:tabs>
              <w:spacing w:line="240" w:lineRule="auto" w:before="37" w:after="0"/>
              <w:ind w:left="711" w:right="0" w:hanging="421"/>
              <w:jc w:val="left"/>
              <w:rPr>
                <w:sz w:val="21"/>
              </w:rPr>
            </w:pPr>
            <w:r>
              <w:rPr>
                <w:spacing w:val="-2"/>
                <w:sz w:val="21"/>
              </w:rPr>
              <w:t>效力终止</w:t>
            </w:r>
          </w:p>
          <w:p>
            <w:pPr>
              <w:pStyle w:val="TableParagraph"/>
              <w:numPr>
                <w:ilvl w:val="1"/>
                <w:numId w:val="3"/>
              </w:numPr>
              <w:tabs>
                <w:tab w:pos="712" w:val="left" w:leader="none"/>
              </w:tabs>
              <w:spacing w:line="240" w:lineRule="auto" w:before="37" w:after="0"/>
              <w:ind w:left="711" w:right="0" w:hanging="421"/>
              <w:jc w:val="left"/>
              <w:rPr>
                <w:sz w:val="21"/>
              </w:rPr>
            </w:pPr>
            <w:r>
              <w:rPr>
                <w:spacing w:val="-3"/>
                <w:sz w:val="21"/>
              </w:rPr>
              <w:t>适用主合同条款</w:t>
            </w:r>
          </w:p>
          <w:p>
            <w:pPr>
              <w:pStyle w:val="TableParagraph"/>
              <w:numPr>
                <w:ilvl w:val="0"/>
                <w:numId w:val="3"/>
              </w:numPr>
              <w:tabs>
                <w:tab w:pos="503" w:val="left" w:leader="none"/>
              </w:tabs>
              <w:spacing w:line="240" w:lineRule="auto" w:before="37" w:after="0"/>
              <w:ind w:left="502" w:right="0" w:hanging="317"/>
              <w:jc w:val="left"/>
              <w:rPr>
                <w:b/>
                <w:sz w:val="21"/>
              </w:rPr>
            </w:pPr>
            <w:r>
              <w:rPr>
                <w:b/>
                <w:sz w:val="21"/>
              </w:rPr>
              <w:t>重大疾病定义</w:t>
            </w:r>
          </w:p>
          <w:p>
            <w:pPr>
              <w:pStyle w:val="TableParagraph"/>
              <w:numPr>
                <w:ilvl w:val="0"/>
                <w:numId w:val="3"/>
              </w:numPr>
              <w:tabs>
                <w:tab w:pos="608" w:val="left" w:leader="none"/>
              </w:tabs>
              <w:spacing w:line="240" w:lineRule="auto" w:before="36" w:after="0"/>
              <w:ind w:left="608" w:right="0" w:hanging="423"/>
              <w:jc w:val="left"/>
              <w:rPr>
                <w:b/>
                <w:sz w:val="21"/>
              </w:rPr>
            </w:pPr>
            <w:r>
              <w:rPr>
                <w:b/>
                <w:sz w:val="21"/>
              </w:rPr>
              <w:t>释义</w:t>
            </w:r>
          </w:p>
          <w:p>
            <w:pPr>
              <w:pStyle w:val="TableParagraph"/>
              <w:numPr>
                <w:ilvl w:val="1"/>
                <w:numId w:val="3"/>
              </w:numPr>
              <w:tabs>
                <w:tab w:pos="817" w:val="left" w:leader="none"/>
              </w:tabs>
              <w:spacing w:line="240" w:lineRule="auto" w:before="36" w:after="0"/>
              <w:ind w:left="816" w:right="0" w:hanging="526"/>
              <w:jc w:val="left"/>
              <w:rPr>
                <w:sz w:val="21"/>
              </w:rPr>
            </w:pPr>
            <w:r>
              <w:rPr>
                <w:spacing w:val="-2"/>
                <w:sz w:val="21"/>
              </w:rPr>
              <w:t>保单年度</w:t>
            </w:r>
          </w:p>
          <w:p>
            <w:pPr>
              <w:pStyle w:val="TableParagraph"/>
              <w:numPr>
                <w:ilvl w:val="1"/>
                <w:numId w:val="3"/>
              </w:numPr>
              <w:tabs>
                <w:tab w:pos="817" w:val="left" w:leader="none"/>
              </w:tabs>
              <w:spacing w:line="240" w:lineRule="auto" w:before="36" w:after="0"/>
              <w:ind w:left="816" w:right="0" w:hanging="526"/>
              <w:jc w:val="left"/>
              <w:rPr>
                <w:sz w:val="21"/>
              </w:rPr>
            </w:pPr>
            <w:r>
              <w:rPr>
                <w:spacing w:val="-3"/>
                <w:sz w:val="21"/>
              </w:rPr>
              <w:t>保险费约定交纳日</w:t>
            </w:r>
          </w:p>
          <w:p>
            <w:pPr>
              <w:pStyle w:val="TableParagraph"/>
              <w:numPr>
                <w:ilvl w:val="1"/>
                <w:numId w:val="3"/>
              </w:numPr>
              <w:tabs>
                <w:tab w:pos="817" w:val="left" w:leader="none"/>
              </w:tabs>
              <w:spacing w:line="240" w:lineRule="auto" w:before="36" w:after="0"/>
              <w:ind w:left="816" w:right="0" w:hanging="526"/>
              <w:jc w:val="left"/>
              <w:rPr>
                <w:sz w:val="21"/>
              </w:rPr>
            </w:pPr>
            <w:r>
              <w:rPr>
                <w:sz w:val="21"/>
              </w:rPr>
              <w:t>周岁</w:t>
            </w:r>
          </w:p>
          <w:p>
            <w:pPr>
              <w:pStyle w:val="TableParagraph"/>
              <w:numPr>
                <w:ilvl w:val="1"/>
                <w:numId w:val="3"/>
              </w:numPr>
              <w:tabs>
                <w:tab w:pos="817" w:val="left" w:leader="none"/>
              </w:tabs>
              <w:spacing w:line="240" w:lineRule="auto" w:before="36" w:after="0"/>
              <w:ind w:left="816" w:right="0" w:hanging="526"/>
              <w:jc w:val="left"/>
              <w:rPr>
                <w:sz w:val="21"/>
              </w:rPr>
            </w:pPr>
            <w:r>
              <w:rPr>
                <w:spacing w:val="-3"/>
                <w:sz w:val="21"/>
              </w:rPr>
              <w:t>有效身份证件</w:t>
            </w:r>
          </w:p>
          <w:p>
            <w:pPr>
              <w:pStyle w:val="TableParagraph"/>
              <w:numPr>
                <w:ilvl w:val="1"/>
                <w:numId w:val="3"/>
              </w:numPr>
              <w:tabs>
                <w:tab w:pos="817" w:val="left" w:leader="none"/>
              </w:tabs>
              <w:spacing w:line="240" w:lineRule="auto" w:before="36" w:after="0"/>
              <w:ind w:left="816" w:right="0" w:hanging="526"/>
              <w:jc w:val="left"/>
              <w:rPr>
                <w:sz w:val="21"/>
              </w:rPr>
            </w:pPr>
            <w:r>
              <w:rPr>
                <w:sz w:val="21"/>
              </w:rPr>
              <w:t>医院</w:t>
            </w:r>
          </w:p>
        </w:tc>
        <w:tc>
          <w:tcPr>
            <w:tcW w:w="4142" w:type="dxa"/>
            <w:tcBorders>
              <w:bottom w:val="single" w:sz="4" w:space="0" w:color="000000"/>
            </w:tcBorders>
          </w:tcPr>
          <w:p>
            <w:pPr>
              <w:pStyle w:val="TableParagraph"/>
              <w:numPr>
                <w:ilvl w:val="1"/>
                <w:numId w:val="4"/>
              </w:numPr>
              <w:tabs>
                <w:tab w:pos="772" w:val="left" w:leader="none"/>
              </w:tabs>
              <w:spacing w:line="211" w:lineRule="exact" w:before="0" w:after="0"/>
              <w:ind w:left="140" w:right="0" w:firstLine="106"/>
              <w:jc w:val="left"/>
              <w:rPr>
                <w:sz w:val="21"/>
              </w:rPr>
            </w:pPr>
            <w:r>
              <w:rPr>
                <w:spacing w:val="-2"/>
                <w:sz w:val="21"/>
              </w:rPr>
              <w:t>初次确诊</w:t>
            </w:r>
          </w:p>
          <w:p>
            <w:pPr>
              <w:pStyle w:val="TableParagraph"/>
              <w:numPr>
                <w:ilvl w:val="1"/>
                <w:numId w:val="4"/>
              </w:numPr>
              <w:tabs>
                <w:tab w:pos="772" w:val="left" w:leader="none"/>
              </w:tabs>
              <w:spacing w:line="240" w:lineRule="auto" w:before="37" w:after="0"/>
              <w:ind w:left="140" w:right="0" w:firstLine="106"/>
              <w:jc w:val="left"/>
              <w:rPr>
                <w:sz w:val="21"/>
              </w:rPr>
            </w:pPr>
            <w:r>
              <w:rPr>
                <w:spacing w:val="-2"/>
                <w:sz w:val="21"/>
              </w:rPr>
              <w:t>意外伤害</w:t>
            </w:r>
          </w:p>
          <w:p>
            <w:pPr>
              <w:pStyle w:val="TableParagraph"/>
              <w:numPr>
                <w:ilvl w:val="1"/>
                <w:numId w:val="4"/>
              </w:numPr>
              <w:tabs>
                <w:tab w:pos="772" w:val="left" w:leader="none"/>
              </w:tabs>
              <w:spacing w:line="240" w:lineRule="auto" w:before="37" w:after="0"/>
              <w:ind w:left="140" w:right="0" w:firstLine="106"/>
              <w:jc w:val="left"/>
              <w:rPr>
                <w:sz w:val="21"/>
              </w:rPr>
            </w:pPr>
            <w:r>
              <w:rPr>
                <w:sz w:val="21"/>
              </w:rPr>
              <w:t>毒品</w:t>
            </w:r>
          </w:p>
          <w:p>
            <w:pPr>
              <w:pStyle w:val="TableParagraph"/>
              <w:numPr>
                <w:ilvl w:val="1"/>
                <w:numId w:val="4"/>
              </w:numPr>
              <w:tabs>
                <w:tab w:pos="772" w:val="left" w:leader="none"/>
              </w:tabs>
              <w:spacing w:line="240" w:lineRule="auto" w:before="37" w:after="0"/>
              <w:ind w:left="140" w:right="0" w:firstLine="106"/>
              <w:jc w:val="left"/>
              <w:rPr>
                <w:sz w:val="21"/>
              </w:rPr>
            </w:pPr>
            <w:r>
              <w:rPr>
                <w:spacing w:val="-2"/>
                <w:sz w:val="21"/>
              </w:rPr>
              <w:t>酒后驾驶</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无合法有效驾驶证驾驶</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无有效行驶证</w:t>
            </w:r>
          </w:p>
          <w:p>
            <w:pPr>
              <w:pStyle w:val="TableParagraph"/>
              <w:numPr>
                <w:ilvl w:val="1"/>
                <w:numId w:val="4"/>
              </w:numPr>
              <w:tabs>
                <w:tab w:pos="878" w:val="left" w:leader="none"/>
              </w:tabs>
              <w:spacing w:line="240" w:lineRule="auto" w:before="37" w:after="0"/>
              <w:ind w:left="877" w:right="0" w:hanging="631"/>
              <w:jc w:val="left"/>
              <w:rPr>
                <w:sz w:val="21"/>
              </w:rPr>
            </w:pPr>
            <w:r>
              <w:rPr>
                <w:spacing w:val="-2"/>
                <w:sz w:val="21"/>
              </w:rPr>
              <w:t>机动车</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感染艾滋病病毒或者患艾滋病</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遗传性疾病</w:t>
            </w:r>
          </w:p>
          <w:p>
            <w:pPr>
              <w:pStyle w:val="TableParagraph"/>
              <w:numPr>
                <w:ilvl w:val="1"/>
                <w:numId w:val="4"/>
              </w:numPr>
              <w:tabs>
                <w:tab w:pos="878" w:val="left" w:leader="none"/>
              </w:tabs>
              <w:spacing w:line="240" w:lineRule="auto" w:before="37" w:after="0"/>
              <w:ind w:left="877" w:right="0" w:hanging="631"/>
              <w:jc w:val="left"/>
              <w:rPr>
                <w:sz w:val="21"/>
              </w:rPr>
            </w:pPr>
            <w:r>
              <w:rPr>
                <w:spacing w:val="-9"/>
                <w:sz w:val="21"/>
              </w:rPr>
              <w:t>先天性畸形、变形或者染色体异常</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现金价值</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专科医生</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利息</w:t>
            </w:r>
          </w:p>
          <w:p>
            <w:pPr>
              <w:pStyle w:val="TableParagraph"/>
              <w:numPr>
                <w:ilvl w:val="1"/>
                <w:numId w:val="4"/>
              </w:numPr>
              <w:tabs>
                <w:tab w:pos="878" w:val="left" w:leader="none"/>
              </w:tabs>
              <w:spacing w:line="240" w:lineRule="auto" w:before="36" w:after="0"/>
              <w:ind w:left="877" w:right="0" w:hanging="631"/>
              <w:jc w:val="left"/>
              <w:rPr>
                <w:sz w:val="21"/>
              </w:rPr>
            </w:pPr>
            <w:r>
              <w:rPr>
                <w:spacing w:val="-3"/>
                <w:sz w:val="21"/>
              </w:rPr>
              <w:t>肢体机能完全丧失</w:t>
            </w:r>
          </w:p>
          <w:p>
            <w:pPr>
              <w:pStyle w:val="TableParagraph"/>
              <w:numPr>
                <w:ilvl w:val="1"/>
                <w:numId w:val="4"/>
              </w:numPr>
              <w:tabs>
                <w:tab w:pos="878" w:val="left" w:leader="none"/>
              </w:tabs>
              <w:spacing w:line="273" w:lineRule="auto" w:before="36" w:after="0"/>
              <w:ind w:left="140" w:right="531" w:firstLine="106"/>
              <w:jc w:val="left"/>
              <w:rPr>
                <w:sz w:val="21"/>
              </w:rPr>
            </w:pPr>
            <w:r>
              <w:rPr>
                <w:spacing w:val="-3"/>
                <w:sz w:val="21"/>
              </w:rPr>
              <w:t>语言能力或咀嚼吞咽能力完全丧失</w:t>
            </w:r>
          </w:p>
          <w:p>
            <w:pPr>
              <w:pStyle w:val="TableParagraph"/>
              <w:numPr>
                <w:ilvl w:val="1"/>
                <w:numId w:val="4"/>
              </w:numPr>
              <w:tabs>
                <w:tab w:pos="878" w:val="left" w:leader="none"/>
              </w:tabs>
              <w:spacing w:line="240" w:lineRule="auto" w:before="7" w:after="0"/>
              <w:ind w:left="877" w:right="0" w:hanging="631"/>
              <w:jc w:val="left"/>
              <w:rPr>
                <w:sz w:val="21"/>
              </w:rPr>
            </w:pPr>
            <w:r>
              <w:rPr>
                <w:spacing w:val="-3"/>
                <w:sz w:val="21"/>
              </w:rPr>
              <w:t>六项基本日常生活活动</w:t>
            </w:r>
          </w:p>
          <w:p>
            <w:pPr>
              <w:pStyle w:val="TableParagraph"/>
              <w:numPr>
                <w:ilvl w:val="1"/>
                <w:numId w:val="4"/>
              </w:numPr>
              <w:tabs>
                <w:tab w:pos="878" w:val="left" w:leader="none"/>
              </w:tabs>
              <w:spacing w:line="240" w:lineRule="auto" w:before="37" w:after="0"/>
              <w:ind w:left="877" w:right="0" w:hanging="631"/>
              <w:jc w:val="left"/>
              <w:rPr>
                <w:sz w:val="21"/>
              </w:rPr>
            </w:pPr>
            <w:r>
              <w:rPr>
                <w:spacing w:val="-3"/>
                <w:sz w:val="21"/>
              </w:rPr>
              <w:t>永久不可逆</w:t>
            </w:r>
          </w:p>
        </w:tc>
      </w:tr>
    </w:tbl>
    <w:p>
      <w:pPr>
        <w:spacing w:after="0" w:line="240" w:lineRule="auto"/>
        <w:jc w:val="left"/>
        <w:rPr>
          <w:sz w:val="21"/>
        </w:rPr>
        <w:sectPr>
          <w:type w:val="continuous"/>
          <w:pgSz w:w="11910" w:h="16840"/>
          <w:pgMar w:top="880" w:bottom="280" w:left="880" w:right="260"/>
        </w:sectPr>
      </w:pPr>
    </w:p>
    <w:p>
      <w:pPr>
        <w:pStyle w:val="Heading1"/>
        <w:spacing w:line="478" w:lineRule="exact"/>
        <w:ind w:left="3110"/>
      </w:pPr>
      <w:r>
        <w:rPr/>
        <w:t>泰康人寿保险股份有限公司</w:t>
      </w:r>
    </w:p>
    <w:p>
      <w:pPr>
        <w:spacing w:before="71"/>
        <w:ind w:left="2150" w:right="0" w:firstLine="0"/>
        <w:jc w:val="left"/>
        <w:rPr>
          <w:rFonts w:ascii="微软雅黑" w:eastAsia="微软雅黑" w:hint="eastAsia"/>
          <w:b/>
          <w:sz w:val="32"/>
        </w:rPr>
      </w:pPr>
      <w:r>
        <w:rPr>
          <w:rFonts w:ascii="微软雅黑" w:eastAsia="微软雅黑" w:hint="eastAsia"/>
          <w:b/>
          <w:sz w:val="32"/>
        </w:rPr>
        <w:t>泰康附加健康人生终身重大疾病保险条款</w:t>
      </w:r>
    </w:p>
    <w:p>
      <w:pPr>
        <w:pStyle w:val="BodyText"/>
        <w:spacing w:before="107"/>
        <w:ind w:left="2747"/>
      </w:pPr>
      <w:r>
        <w:rPr/>
        <w:t>（2010 年 12 月向中国保险监督管理委员会备案）</w:t>
      </w:r>
    </w:p>
    <w:p>
      <w:pPr>
        <w:pStyle w:val="BodyText"/>
        <w:spacing w:before="8"/>
        <w:rPr>
          <w:sz w:val="26"/>
        </w:rPr>
      </w:pPr>
    </w:p>
    <w:p>
      <w:pPr>
        <w:pStyle w:val="BodyText"/>
        <w:spacing w:line="273" w:lineRule="auto" w:before="1"/>
        <w:ind w:left="212" w:right="286"/>
      </w:pPr>
      <w:r>
        <w:rPr>
          <w:spacing w:val="-6"/>
        </w:rPr>
        <w:t>在本条款中，“您”指投保人，“我们”、“本公司”均指在保险单上签章的泰康人寿保险股份有限公司</w:t>
      </w:r>
      <w:r>
        <w:rPr>
          <w:spacing w:val="-7"/>
          <w:w w:val="100"/>
        </w:rPr>
        <w:t>的分公司，“本附加合同”指您与我们之间订立的“泰康附加健康人生终身重大疾病保险合同”，“被保</w:t>
      </w:r>
      <w:r>
        <w:rPr>
          <w:spacing w:val="-3"/>
        </w:rPr>
        <w:t>险人”指本附加合同的被保险人，投保人、被保险人的姓名在保险单上载明。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9262"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jc w:val="both"/>
              <w:rPr>
                <w:sz w:val="21"/>
              </w:rPr>
            </w:pPr>
            <w:r>
              <w:rPr>
                <w:spacing w:val="-3"/>
                <w:sz w:val="21"/>
              </w:rPr>
              <w:t>本附加合同由“泰康健康人生终身寿险（</w:t>
            </w:r>
            <w:r>
              <w:rPr>
                <w:spacing w:val="-2"/>
                <w:sz w:val="21"/>
              </w:rPr>
              <w:t>分红型</w:t>
            </w:r>
            <w:r>
              <w:rPr>
                <w:spacing w:val="-3"/>
                <w:sz w:val="21"/>
              </w:rPr>
              <w:t>）</w:t>
            </w:r>
            <w:r>
              <w:rPr>
                <w:spacing w:val="-1"/>
                <w:sz w:val="21"/>
              </w:rPr>
              <w:t>保险合同”</w:t>
            </w:r>
            <w:r>
              <w:rPr>
                <w:sz w:val="21"/>
              </w:rPr>
              <w:t>（</w:t>
            </w:r>
            <w:r>
              <w:rPr>
                <w:spacing w:val="-3"/>
                <w:sz w:val="21"/>
              </w:rPr>
              <w:t>以下简称“主合</w:t>
            </w:r>
            <w:r>
              <w:rPr>
                <w:spacing w:val="-55"/>
                <w:w w:val="100"/>
                <w:sz w:val="21"/>
              </w:rPr>
              <w:t>同”</w:t>
            </w:r>
            <w:r>
              <w:rPr>
                <w:spacing w:val="-3"/>
                <w:w w:val="100"/>
                <w:sz w:val="21"/>
              </w:rPr>
              <w:t>）投保人申请，经我们同意，附加于主合同。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本附加合同是您与我们约定保险权利义务关系的协议，包括本保险条款、保险单或者其他保险凭证、投保单、与本附加合同有关的投保文件、合法有效的声明、批注、批单及其他您与我们共同认可的书面协议。</w:t>
            </w:r>
          </w:p>
          <w:p>
            <w:pPr>
              <w:pStyle w:val="TableParagraph"/>
              <w:spacing w:before="86"/>
              <w:jc w:val="both"/>
              <w:rPr>
                <w:rFonts w:ascii="黑体" w:eastAsia="黑体" w:hint="eastAsia"/>
                <w:sz w:val="21"/>
              </w:rPr>
            </w:pPr>
            <w:r>
              <w:rPr>
                <w:rFonts w:ascii="黑体" w:eastAsia="黑体" w:hint="eastAsia"/>
                <w:sz w:val="21"/>
              </w:rPr>
              <w:t>本附加合同为非分红保险合同，不参与主合同的红利分配。</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1" w:lineRule="auto" w:before="110"/>
              <w:ind w:left="238" w:right="131"/>
              <w:rPr>
                <w:b/>
                <w:sz w:val="21"/>
              </w:rPr>
            </w:pPr>
            <w:r>
              <w:rPr>
                <w:b/>
                <w:sz w:val="21"/>
              </w:rPr>
              <w:t>合同成立及生效</w:t>
            </w:r>
          </w:p>
        </w:tc>
        <w:tc>
          <w:tcPr>
            <w:tcW w:w="7624" w:type="dxa"/>
          </w:tcPr>
          <w:p>
            <w:pPr>
              <w:pStyle w:val="TableParagraph"/>
              <w:spacing w:line="271"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0" w:hRule="atLeast"/>
        </w:trPr>
        <w:tc>
          <w:tcPr>
            <w:tcW w:w="664" w:type="dxa"/>
          </w:tcPr>
          <w:p>
            <w:pPr>
              <w:pStyle w:val="TableParagraph"/>
              <w:ind w:left="107"/>
              <w:rPr>
                <w:b/>
                <w:sz w:val="21"/>
              </w:rPr>
            </w:pPr>
            <w:r>
              <w:rPr>
                <w:b/>
                <w:sz w:val="21"/>
              </w:rPr>
              <w:t>1.3</w:t>
            </w:r>
          </w:p>
        </w:tc>
        <w:tc>
          <w:tcPr>
            <w:tcW w:w="1638" w:type="dxa"/>
          </w:tcPr>
          <w:p>
            <w:pPr>
              <w:pStyle w:val="TableParagraph"/>
              <w:ind w:left="238"/>
              <w:rPr>
                <w:b/>
                <w:sz w:val="21"/>
              </w:rPr>
            </w:pPr>
            <w:r>
              <w:rPr>
                <w:b/>
                <w:sz w:val="21"/>
              </w:rPr>
              <w:t>投保年龄</w:t>
            </w:r>
          </w:p>
        </w:tc>
        <w:tc>
          <w:tcPr>
            <w:tcW w:w="7624" w:type="dxa"/>
          </w:tcPr>
          <w:p>
            <w:pPr>
              <w:pStyle w:val="TableParagraph"/>
              <w:rPr>
                <w:sz w:val="21"/>
              </w:rPr>
            </w:pPr>
            <w:r>
              <w:rPr>
                <w:sz w:val="21"/>
              </w:rPr>
              <w:t>投保年龄指您投保时被保险人的年龄，以</w:t>
            </w:r>
            <w:r>
              <w:rPr>
                <w:b/>
                <w:sz w:val="21"/>
              </w:rPr>
              <w:t>周岁</w:t>
            </w:r>
            <w:r>
              <w:rPr>
                <w:sz w:val="21"/>
              </w:rPr>
              <w:t>(见 10.3)计算。</w:t>
            </w:r>
          </w:p>
        </w:tc>
      </w:tr>
      <w:tr>
        <w:trPr>
          <w:trHeight w:val="2545"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1" w:lineRule="auto" w:before="86"/>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2.</w:t>
            </w:r>
          </w:p>
        </w:tc>
        <w:tc>
          <w:tcPr>
            <w:tcW w:w="9262" w:type="dxa"/>
            <w:gridSpan w:val="2"/>
            <w:tcBorders>
              <w:bottom w:val="single" w:sz="8" w:space="0" w:color="000000"/>
            </w:tcBorders>
          </w:tcPr>
          <w:p>
            <w:pPr>
              <w:pStyle w:val="TableParagraph"/>
              <w:spacing w:before="136"/>
              <w:ind w:left="238"/>
              <w:rPr>
                <w:b/>
                <w:sz w:val="24"/>
              </w:rPr>
            </w:pPr>
            <w:r>
              <w:rPr>
                <w:b/>
                <w:w w:val="95"/>
                <w:sz w:val="24"/>
              </w:rPr>
              <w:t>我们提供的保障</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保险金额</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本附加合同的保险金额与主合同的保险金额相同，并在保险单上载明。</w:t>
            </w:r>
          </w:p>
        </w:tc>
      </w:tr>
      <w:tr>
        <w:trPr>
          <w:trHeight w:val="560" w:hRule="atLeast"/>
        </w:trPr>
        <w:tc>
          <w:tcPr>
            <w:tcW w:w="664" w:type="dxa"/>
          </w:tcPr>
          <w:p>
            <w:pPr>
              <w:pStyle w:val="TableParagraph"/>
              <w:spacing w:before="110"/>
              <w:ind w:left="107"/>
              <w:rPr>
                <w:b/>
                <w:sz w:val="21"/>
              </w:rPr>
            </w:pPr>
            <w:r>
              <w:rPr>
                <w:b/>
                <w:sz w:val="21"/>
              </w:rPr>
              <w:t>2.2</w:t>
            </w:r>
          </w:p>
        </w:tc>
        <w:tc>
          <w:tcPr>
            <w:tcW w:w="1638" w:type="dxa"/>
          </w:tcPr>
          <w:p>
            <w:pPr>
              <w:pStyle w:val="TableParagraph"/>
              <w:spacing w:before="110"/>
              <w:ind w:left="238"/>
              <w:rPr>
                <w:b/>
                <w:sz w:val="21"/>
              </w:rPr>
            </w:pPr>
            <w:r>
              <w:rPr>
                <w:b/>
                <w:sz w:val="21"/>
              </w:rPr>
              <w:t>保险期间</w:t>
            </w:r>
          </w:p>
        </w:tc>
        <w:tc>
          <w:tcPr>
            <w:tcW w:w="7624" w:type="dxa"/>
          </w:tcPr>
          <w:p>
            <w:pPr>
              <w:pStyle w:val="TableParagraph"/>
              <w:spacing w:before="110"/>
              <w:rPr>
                <w:sz w:val="21"/>
              </w:rPr>
            </w:pPr>
            <w:r>
              <w:rPr>
                <w:sz w:val="21"/>
              </w:rPr>
              <w:t>本附加合同的保险期间与主合同的保险期间相同，并在保险单上载明。</w:t>
            </w:r>
          </w:p>
        </w:tc>
      </w:tr>
      <w:tr>
        <w:trPr>
          <w:trHeight w:val="475" w:hRule="atLeast"/>
        </w:trPr>
        <w:tc>
          <w:tcPr>
            <w:tcW w:w="664" w:type="dxa"/>
          </w:tcPr>
          <w:p>
            <w:pPr>
              <w:pStyle w:val="TableParagraph"/>
              <w:ind w:left="107"/>
              <w:rPr>
                <w:b/>
                <w:sz w:val="21"/>
              </w:rPr>
            </w:pPr>
            <w:r>
              <w:rPr>
                <w:b/>
                <w:sz w:val="21"/>
              </w:rPr>
              <w:t>2.3</w:t>
            </w:r>
          </w:p>
        </w:tc>
        <w:tc>
          <w:tcPr>
            <w:tcW w:w="1638" w:type="dxa"/>
          </w:tcPr>
          <w:p>
            <w:pPr>
              <w:pStyle w:val="TableParagraph"/>
              <w:ind w:left="238"/>
              <w:rPr>
                <w:b/>
                <w:sz w:val="21"/>
              </w:rPr>
            </w:pPr>
            <w:r>
              <w:rPr>
                <w:b/>
                <w:sz w:val="21"/>
              </w:rPr>
              <w:t>保险责任</w:t>
            </w:r>
          </w:p>
        </w:tc>
        <w:tc>
          <w:tcPr>
            <w:tcW w:w="7624" w:type="dxa"/>
          </w:tcPr>
          <w:p>
            <w:pPr>
              <w:pStyle w:val="TableParagraph"/>
              <w:rPr>
                <w:sz w:val="21"/>
              </w:rPr>
            </w:pPr>
            <w:r>
              <w:rPr>
                <w:sz w:val="21"/>
              </w:rPr>
              <w:t>在本附加合同保险期间内，我们承担下列保险责任：</w:t>
            </w:r>
          </w:p>
        </w:tc>
      </w:tr>
      <w:tr>
        <w:trPr>
          <w:trHeight w:val="1235"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312" w:lineRule="exact" w:before="20"/>
              <w:ind w:right="101"/>
              <w:jc w:val="both"/>
              <w:rPr>
                <w:sz w:val="21"/>
              </w:rPr>
            </w:pPr>
            <w:r>
              <w:rPr>
                <w:spacing w:val="-3"/>
                <w:sz w:val="21"/>
              </w:rPr>
              <w:t>被保险人于本附加合同生效</w:t>
            </w:r>
            <w:r>
              <w:rPr>
                <w:sz w:val="21"/>
              </w:rPr>
              <w:t>（</w:t>
            </w:r>
            <w:r>
              <w:rPr>
                <w:spacing w:val="-3"/>
                <w:sz w:val="21"/>
              </w:rPr>
              <w:t>若曾复效，则自本附加合同最后复效</w:t>
            </w:r>
            <w:r>
              <w:rPr>
                <w:sz w:val="21"/>
              </w:rPr>
              <w:t>）</w:t>
            </w:r>
            <w:r>
              <w:rPr>
                <w:spacing w:val="-7"/>
                <w:sz w:val="21"/>
              </w:rPr>
              <w:t>之日起 </w:t>
            </w:r>
            <w:r>
              <w:rPr>
                <w:sz w:val="21"/>
              </w:rPr>
              <w:t>1</w:t>
            </w:r>
            <w:r>
              <w:rPr>
                <w:spacing w:val="-10"/>
                <w:sz w:val="21"/>
              </w:rPr>
              <w:t> 年</w:t>
            </w:r>
            <w:r>
              <w:rPr>
                <w:spacing w:val="-7"/>
                <w:sz w:val="21"/>
              </w:rPr>
              <w:t>内经</w:t>
            </w:r>
            <w:r>
              <w:rPr>
                <w:b/>
                <w:sz w:val="21"/>
              </w:rPr>
              <w:t>医院</w:t>
            </w:r>
            <w:r>
              <w:rPr>
                <w:sz w:val="21"/>
              </w:rPr>
              <w:t>（</w:t>
            </w:r>
            <w:r>
              <w:rPr>
                <w:spacing w:val="-13"/>
                <w:sz w:val="21"/>
              </w:rPr>
              <w:t>见 </w:t>
            </w:r>
            <w:r>
              <w:rPr>
                <w:sz w:val="21"/>
              </w:rPr>
              <w:t>10.5）</w:t>
            </w:r>
            <w:r>
              <w:rPr>
                <w:b/>
                <w:spacing w:val="-2"/>
                <w:sz w:val="21"/>
              </w:rPr>
              <w:t>初次确诊</w:t>
            </w:r>
            <w:r>
              <w:rPr>
                <w:sz w:val="21"/>
              </w:rPr>
              <w:t>（</w:t>
            </w:r>
            <w:r>
              <w:rPr>
                <w:spacing w:val="-13"/>
                <w:sz w:val="21"/>
              </w:rPr>
              <w:t>见 </w:t>
            </w:r>
            <w:r>
              <w:rPr>
                <w:sz w:val="21"/>
              </w:rPr>
              <w:t>10.6）</w:t>
            </w:r>
            <w:r>
              <w:rPr>
                <w:spacing w:val="-2"/>
                <w:sz w:val="21"/>
              </w:rPr>
              <w:t>非因</w:t>
            </w:r>
            <w:r>
              <w:rPr>
                <w:b/>
                <w:spacing w:val="-2"/>
                <w:sz w:val="21"/>
              </w:rPr>
              <w:t>意外伤害</w:t>
            </w:r>
            <w:r>
              <w:rPr>
                <w:sz w:val="21"/>
              </w:rPr>
              <w:t>（</w:t>
            </w:r>
            <w:r>
              <w:rPr>
                <w:spacing w:val="-13"/>
                <w:sz w:val="21"/>
              </w:rPr>
              <w:t>见 </w:t>
            </w:r>
            <w:r>
              <w:rPr>
                <w:sz w:val="21"/>
              </w:rPr>
              <w:t>10.7）</w:t>
            </w:r>
            <w:r>
              <w:rPr>
                <w:spacing w:val="-3"/>
                <w:sz w:val="21"/>
              </w:rPr>
              <w:t>导致罹患本附加合同所定义的重大疾病</w:t>
            </w:r>
            <w:r>
              <w:rPr>
                <w:sz w:val="21"/>
              </w:rPr>
              <w:t>（无论一种或者多种）</w:t>
            </w:r>
            <w:r>
              <w:rPr>
                <w:spacing w:val="-1"/>
                <w:sz w:val="21"/>
              </w:rPr>
              <w:t>，我们按您已交纳的本附加合</w:t>
            </w:r>
            <w:r>
              <w:rPr>
                <w:spacing w:val="-3"/>
                <w:sz w:val="21"/>
              </w:rPr>
              <w:t>同和主合同的累计保险费数额向重大疾病保险金受益人给付重大疾病保险金，本</w:t>
            </w:r>
          </w:p>
        </w:tc>
      </w:tr>
    </w:tbl>
    <w:p>
      <w:pPr>
        <w:spacing w:after="0" w:line="312" w:lineRule="exact"/>
        <w:jc w:val="both"/>
        <w:rPr>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6"/>
      </w:tblGrid>
      <w:tr>
        <w:trPr>
          <w:trHeight w:val="4131"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6" w:type="dxa"/>
          </w:tcPr>
          <w:p>
            <w:pPr>
              <w:pStyle w:val="TableParagraph"/>
              <w:spacing w:line="211" w:lineRule="exact" w:before="0"/>
              <w:rPr>
                <w:sz w:val="21"/>
              </w:rPr>
            </w:pPr>
            <w:r>
              <w:rPr>
                <w:sz w:val="21"/>
              </w:rPr>
              <w:t>附加合同和主合同同时终止。</w:t>
            </w:r>
          </w:p>
          <w:p>
            <w:pPr>
              <w:pStyle w:val="TableParagraph"/>
              <w:spacing w:line="273" w:lineRule="auto" w:before="116"/>
              <w:ind w:right="103"/>
              <w:jc w:val="both"/>
              <w:rPr>
                <w:sz w:val="21"/>
              </w:rPr>
            </w:pPr>
            <w:r>
              <w:rPr>
                <w:spacing w:val="-2"/>
                <w:sz w:val="21"/>
              </w:rPr>
              <w:t>被保险人经医院初次确诊因意外伤害或者于本附加合同生效</w:t>
            </w:r>
            <w:r>
              <w:rPr>
                <w:sz w:val="21"/>
              </w:rPr>
              <w:t>（</w:t>
            </w:r>
            <w:r>
              <w:rPr>
                <w:spacing w:val="-1"/>
                <w:sz w:val="21"/>
              </w:rPr>
              <w:t>若曾复效，则自本</w:t>
            </w:r>
            <w:r>
              <w:rPr>
                <w:spacing w:val="-3"/>
                <w:sz w:val="21"/>
              </w:rPr>
              <w:t>附加合同最后复效）</w:t>
            </w:r>
            <w:r>
              <w:rPr>
                <w:spacing w:val="-7"/>
                <w:sz w:val="21"/>
              </w:rPr>
              <w:t>之日起 </w:t>
            </w:r>
            <w:r>
              <w:rPr>
                <w:sz w:val="21"/>
              </w:rPr>
              <w:t>1</w:t>
            </w:r>
            <w:r>
              <w:rPr>
                <w:spacing w:val="-6"/>
                <w:sz w:val="21"/>
              </w:rPr>
              <w:t> 年后非因意外伤害导致罹患本附加合同所定义的重</w:t>
            </w:r>
            <w:r>
              <w:rPr>
                <w:spacing w:val="-17"/>
                <w:sz w:val="21"/>
              </w:rPr>
              <w:t>大疾病</w:t>
            </w:r>
            <w:r>
              <w:rPr>
                <w:spacing w:val="-3"/>
                <w:sz w:val="21"/>
              </w:rPr>
              <w:t>（无论一种或者多种</w:t>
            </w:r>
            <w:r>
              <w:rPr>
                <w:spacing w:val="-73"/>
                <w:sz w:val="21"/>
              </w:rPr>
              <w:t>）</w:t>
            </w:r>
            <w:r>
              <w:rPr>
                <w:spacing w:val="-11"/>
                <w:sz w:val="21"/>
              </w:rPr>
              <w:t>，我们将向重大疾病保险金受益人给付重大疾病保险金，本附加合同和主合同同时终止。重大疾病保险金数额为被保险人重大疾病初</w:t>
            </w:r>
            <w:r>
              <w:rPr>
                <w:spacing w:val="-3"/>
                <w:sz w:val="21"/>
              </w:rPr>
              <w:t>次确诊之日，主合同项下的身故保险金数额。</w:t>
            </w:r>
          </w:p>
          <w:p>
            <w:pPr>
              <w:pStyle w:val="TableParagraph"/>
              <w:spacing w:before="86"/>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3" w:lineRule="auto" w:before="113"/>
              <w:ind w:right="-15"/>
              <w:rPr>
                <w:sz w:val="21"/>
              </w:rPr>
            </w:pPr>
            <w:r>
              <w:rPr>
                <w:spacing w:val="-6"/>
                <w:sz w:val="21"/>
              </w:rPr>
              <w:t>对于本附加合同项下的重大疾病保险金和主合同项下的身故保险金、高残保险金， </w:t>
            </w:r>
            <w:r>
              <w:rPr>
                <w:spacing w:val="-10"/>
                <w:sz w:val="21"/>
              </w:rPr>
              <w:t>我们只给付其中的一项。在给付其中任意一项后，本附加合同和主合同同时终止。</w:t>
            </w:r>
          </w:p>
          <w:p>
            <w:pPr>
              <w:pStyle w:val="TableParagraph"/>
              <w:spacing w:line="271" w:lineRule="auto" w:before="86"/>
              <w:ind w:right="134"/>
              <w:jc w:val="both"/>
              <w:rPr>
                <w:sz w:val="21"/>
              </w:rPr>
            </w:pPr>
            <w:r>
              <w:rPr>
                <w:spacing w:val="-3"/>
                <w:sz w:val="21"/>
              </w:rPr>
              <w:t>如果主合同项下有借款或者其他未还款项，则我们在给付重大疾病保险金时必须</w:t>
            </w:r>
            <w:r>
              <w:rPr>
                <w:spacing w:val="-10"/>
                <w:sz w:val="21"/>
              </w:rPr>
              <w:t>依主合同 </w:t>
            </w:r>
            <w:r>
              <w:rPr>
                <w:sz w:val="21"/>
              </w:rPr>
              <w:t>9.4</w:t>
            </w:r>
            <w:r>
              <w:rPr>
                <w:spacing w:val="-7"/>
                <w:sz w:val="21"/>
              </w:rPr>
              <w:t> 的有关规定从本附加合同项下的重大疾病保险金中扣除主合同项下</w:t>
            </w:r>
            <w:r>
              <w:rPr>
                <w:spacing w:val="-3"/>
                <w:sz w:val="21"/>
              </w:rPr>
              <w:t>的所有欠款及应付利息。</w:t>
            </w:r>
          </w:p>
        </w:tc>
      </w:tr>
      <w:tr>
        <w:trPr>
          <w:trHeight w:val="6368" w:hRule="atLeast"/>
        </w:trPr>
        <w:tc>
          <w:tcPr>
            <w:tcW w:w="664" w:type="dxa"/>
          </w:tcPr>
          <w:p>
            <w:pPr>
              <w:pStyle w:val="TableParagraph"/>
              <w:ind w:left="107"/>
              <w:rPr>
                <w:b/>
                <w:sz w:val="21"/>
              </w:rPr>
            </w:pPr>
            <w:r>
              <w:rPr>
                <w:b/>
                <w:sz w:val="21"/>
              </w:rPr>
              <w:t>2.4</w:t>
            </w:r>
          </w:p>
        </w:tc>
        <w:tc>
          <w:tcPr>
            <w:tcW w:w="1638" w:type="dxa"/>
          </w:tcPr>
          <w:p>
            <w:pPr>
              <w:pStyle w:val="TableParagraph"/>
              <w:ind w:left="238"/>
              <w:rPr>
                <w:b/>
                <w:sz w:val="21"/>
              </w:rPr>
            </w:pPr>
            <w:r>
              <w:rPr>
                <w:b/>
                <w:sz w:val="21"/>
              </w:rPr>
              <w:t>责任免除</w:t>
            </w:r>
          </w:p>
        </w:tc>
        <w:tc>
          <w:tcPr>
            <w:tcW w:w="7626" w:type="dxa"/>
          </w:tcPr>
          <w:p>
            <w:pPr>
              <w:pStyle w:val="TableParagraph"/>
              <w:spacing w:line="273" w:lineRule="auto"/>
              <w:ind w:right="134"/>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5"/>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5"/>
              </w:numPr>
              <w:tabs>
                <w:tab w:pos="866" w:val="left" w:leader="none"/>
                <w:tab w:pos="867" w:val="left" w:leader="none"/>
              </w:tabs>
              <w:spacing w:line="240" w:lineRule="auto" w:before="115" w:after="0"/>
              <w:ind w:left="867" w:right="0" w:hanging="735"/>
              <w:jc w:val="left"/>
              <w:rPr>
                <w:rFonts w:ascii="黑体" w:eastAsia="黑体" w:hint="eastAsia"/>
                <w:sz w:val="21"/>
              </w:rPr>
            </w:pPr>
            <w:r>
              <w:rPr>
                <w:rFonts w:ascii="黑体" w:eastAsia="黑体" w:hint="eastAsia"/>
                <w:spacing w:val="-3"/>
                <w:sz w:val="21"/>
              </w:rPr>
              <w:t>被保险人主动吸食或者注射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10.8)；</w:t>
            </w:r>
          </w:p>
          <w:p>
            <w:pPr>
              <w:pStyle w:val="TableParagraph"/>
              <w:numPr>
                <w:ilvl w:val="0"/>
                <w:numId w:val="5"/>
              </w:numPr>
              <w:tabs>
                <w:tab w:pos="866" w:val="left" w:leader="none"/>
                <w:tab w:pos="867" w:val="left" w:leader="none"/>
              </w:tabs>
              <w:spacing w:line="273" w:lineRule="auto" w:before="113" w:after="0"/>
              <w:ind w:left="867" w:right="105"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4"/>
                <w:sz w:val="21"/>
              </w:rPr>
              <w:t>(见 </w:t>
            </w:r>
            <w:r>
              <w:rPr>
                <w:rFonts w:ascii="黑体" w:eastAsia="黑体" w:hint="eastAsia"/>
                <w:sz w:val="21"/>
              </w:rPr>
              <w:t>10.9)</w:t>
            </w:r>
            <w:r>
              <w:rPr>
                <w:rFonts w:ascii="黑体" w:eastAsia="黑体" w:hint="eastAsia"/>
                <w:spacing w:val="-46"/>
                <w:sz w:val="21"/>
              </w:rPr>
              <w:t>、</w:t>
            </w:r>
            <w:r>
              <w:rPr>
                <w:rFonts w:ascii="黑体" w:eastAsia="黑体" w:hint="eastAsia"/>
                <w:b/>
                <w:spacing w:val="-1"/>
                <w:sz w:val="21"/>
              </w:rPr>
              <w:t>无合法有效驾驶证驾驶</w:t>
            </w:r>
            <w:r>
              <w:rPr>
                <w:rFonts w:ascii="黑体" w:eastAsia="黑体" w:hint="eastAsia"/>
                <w:spacing w:val="-14"/>
                <w:sz w:val="21"/>
              </w:rPr>
              <w:t>(见 </w:t>
            </w:r>
            <w:r>
              <w:rPr>
                <w:rFonts w:ascii="黑体" w:eastAsia="黑体" w:hint="eastAsia"/>
                <w:spacing w:val="-8"/>
                <w:sz w:val="21"/>
              </w:rPr>
              <w:t>10.10</w:t>
            </w:r>
            <w:r>
              <w:rPr>
                <w:rFonts w:ascii="黑体" w:eastAsia="黑体" w:hint="eastAsia"/>
                <w:spacing w:val="-5"/>
                <w:sz w:val="21"/>
              </w:rPr>
              <w:t>)，或者驾</w:t>
            </w:r>
            <w:r>
              <w:rPr>
                <w:rFonts w:ascii="黑体" w:eastAsia="黑体" w:hint="eastAsia"/>
                <w:spacing w:val="-3"/>
                <w:sz w:val="21"/>
              </w:rPr>
              <w:t>驶</w:t>
            </w:r>
            <w:r>
              <w:rPr>
                <w:rFonts w:ascii="黑体" w:eastAsia="黑体" w:hint="eastAsia"/>
                <w:b/>
                <w:sz w:val="21"/>
              </w:rPr>
              <w:t>无有效行驶证</w:t>
            </w:r>
            <w:r>
              <w:rPr>
                <w:rFonts w:ascii="黑体" w:eastAsia="黑体" w:hint="eastAsia"/>
                <w:spacing w:val="-18"/>
                <w:sz w:val="21"/>
              </w:rPr>
              <w:t>(见 </w:t>
            </w:r>
            <w:r>
              <w:rPr>
                <w:rFonts w:ascii="黑体" w:eastAsia="黑体" w:hint="eastAsia"/>
                <w:sz w:val="21"/>
              </w:rPr>
              <w:t>10.11)的</w:t>
            </w:r>
            <w:r>
              <w:rPr>
                <w:rFonts w:ascii="黑体" w:eastAsia="黑体" w:hint="eastAsia"/>
                <w:b/>
                <w:sz w:val="21"/>
              </w:rPr>
              <w:t>机动车</w:t>
            </w:r>
            <w:r>
              <w:rPr>
                <w:rFonts w:ascii="黑体" w:eastAsia="黑体" w:hint="eastAsia"/>
                <w:spacing w:val="-18"/>
                <w:sz w:val="21"/>
              </w:rPr>
              <w:t>(见 </w:t>
            </w:r>
            <w:r>
              <w:rPr>
                <w:rFonts w:ascii="黑体" w:eastAsia="黑体" w:hint="eastAsia"/>
                <w:sz w:val="21"/>
              </w:rPr>
              <w:t>10.12)；</w:t>
            </w:r>
          </w:p>
          <w:p>
            <w:pPr>
              <w:pStyle w:val="TableParagraph"/>
              <w:numPr>
                <w:ilvl w:val="0"/>
                <w:numId w:val="5"/>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感染艾滋病病毒或者患艾滋病</w:t>
            </w:r>
            <w:r>
              <w:rPr>
                <w:rFonts w:ascii="黑体" w:eastAsia="黑体" w:hint="eastAsia"/>
                <w:spacing w:val="-16"/>
                <w:sz w:val="21"/>
              </w:rPr>
              <w:t>(见 </w:t>
            </w:r>
            <w:r>
              <w:rPr>
                <w:rFonts w:ascii="黑体" w:eastAsia="黑体" w:hint="eastAsia"/>
                <w:sz w:val="21"/>
              </w:rPr>
              <w:t>10.13)；</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5"/>
              </w:numPr>
              <w:tabs>
                <w:tab w:pos="866" w:val="left" w:leader="none"/>
                <w:tab w:pos="867" w:val="left" w:leader="none"/>
              </w:tabs>
              <w:spacing w:line="273" w:lineRule="auto" w:before="114" w:after="0"/>
              <w:ind w:left="867" w:right="122"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z w:val="21"/>
              </w:rPr>
              <w:t>10.14)，</w:t>
            </w:r>
            <w:r>
              <w:rPr>
                <w:rFonts w:ascii="黑体" w:eastAsia="黑体" w:hint="eastAsia"/>
                <w:b/>
                <w:spacing w:val="-2"/>
                <w:sz w:val="21"/>
              </w:rPr>
              <w:t>先天性畸形、变形或者染色体异常</w:t>
            </w:r>
            <w:r>
              <w:rPr>
                <w:rFonts w:ascii="黑体" w:eastAsia="黑体" w:hint="eastAsia"/>
                <w:spacing w:val="-17"/>
                <w:sz w:val="21"/>
              </w:rPr>
              <w:t>(见 </w:t>
            </w:r>
            <w:r>
              <w:rPr>
                <w:rFonts w:ascii="黑体" w:eastAsia="黑体" w:hint="eastAsia"/>
                <w:sz w:val="21"/>
              </w:rPr>
              <w:t>10.15)， </w:t>
            </w:r>
            <w:r>
              <w:rPr>
                <w:rFonts w:ascii="黑体" w:eastAsia="黑体" w:hint="eastAsia"/>
                <w:spacing w:val="-3"/>
                <w:sz w:val="21"/>
              </w:rPr>
              <w:t>但本附加合同有特别约定的除外。</w:t>
            </w:r>
          </w:p>
          <w:p>
            <w:pPr>
              <w:pStyle w:val="TableParagraph"/>
              <w:spacing w:line="271" w:lineRule="auto" w:before="87"/>
              <w:ind w:right="32"/>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10"/>
              <w:rPr>
                <w:rFonts w:ascii="黑体" w:eastAsia="黑体" w:hint="eastAsia"/>
                <w:sz w:val="21"/>
              </w:rPr>
            </w:pPr>
            <w:r>
              <w:rPr>
                <w:rFonts w:ascii="黑体" w:eastAsia="黑体" w:hint="eastAsia"/>
                <w:sz w:val="21"/>
              </w:rPr>
              <w:t>10.16)。</w:t>
            </w:r>
          </w:p>
          <w:p>
            <w:pPr>
              <w:pStyle w:val="TableParagraph"/>
              <w:spacing w:line="273" w:lineRule="auto" w:before="116"/>
              <w:ind w:right="134"/>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3.</w:t>
            </w:r>
          </w:p>
        </w:tc>
        <w:tc>
          <w:tcPr>
            <w:tcW w:w="1638" w:type="dxa"/>
            <w:tcBorders>
              <w:bottom w:val="single" w:sz="8" w:space="0" w:color="000000"/>
            </w:tcBorders>
          </w:tcPr>
          <w:p>
            <w:pPr>
              <w:pStyle w:val="TableParagraph"/>
              <w:spacing w:before="135"/>
              <w:ind w:left="238"/>
              <w:rPr>
                <w:b/>
                <w:sz w:val="24"/>
              </w:rPr>
            </w:pPr>
            <w:r>
              <w:rPr>
                <w:b/>
                <w:w w:val="95"/>
                <w:sz w:val="24"/>
              </w:rPr>
              <w:t>保险金的申</w:t>
            </w:r>
          </w:p>
        </w:tc>
        <w:tc>
          <w:tcPr>
            <w:tcW w:w="7626" w:type="dxa"/>
            <w:tcBorders>
              <w:bottom w:val="single" w:sz="8" w:space="0" w:color="000000"/>
            </w:tcBorders>
          </w:tcPr>
          <w:p>
            <w:pPr>
              <w:pStyle w:val="TableParagraph"/>
              <w:spacing w:before="135"/>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受益人</w:t>
            </w:r>
          </w:p>
        </w:tc>
        <w:tc>
          <w:tcPr>
            <w:tcW w:w="7626" w:type="dxa"/>
            <w:tcBorders>
              <w:top w:val="single" w:sz="8" w:space="0" w:color="000000"/>
            </w:tcBorders>
          </w:tcPr>
          <w:p>
            <w:pPr>
              <w:pStyle w:val="TableParagraph"/>
              <w:spacing w:before="8"/>
              <w:ind w:left="0"/>
              <w:rPr>
                <w:sz w:val="16"/>
              </w:rPr>
            </w:pPr>
          </w:p>
          <w:p>
            <w:pPr>
              <w:pStyle w:val="TableParagraph"/>
              <w:spacing w:before="0"/>
              <w:rPr>
                <w:sz w:val="21"/>
              </w:rPr>
            </w:pPr>
            <w:r>
              <w:rPr>
                <w:sz w:val="21"/>
              </w:rPr>
              <w:t>除另有指定外，重大疾病保险金的受益人为被保险人本人。</w:t>
            </w:r>
          </w:p>
        </w:tc>
      </w:tr>
      <w:tr>
        <w:trPr>
          <w:trHeight w:val="1807"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6" w:type="dxa"/>
          </w:tcPr>
          <w:p>
            <w:pPr>
              <w:pStyle w:val="TableParagraph"/>
              <w:spacing w:line="273" w:lineRule="auto" w:before="110"/>
              <w:ind w:right="105"/>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w:t>
            </w:r>
            <w:r>
              <w:rPr>
                <w:rFonts w:ascii="黑体" w:eastAsia="黑体" w:hint="eastAsia"/>
                <w:spacing w:val="-6"/>
                <w:sz w:val="21"/>
              </w:rPr>
              <w:t>未及时通知，致使保险事故的性质、原因、损失程度等难以确定的，我们对无法</w:t>
            </w:r>
            <w:r>
              <w:rPr>
                <w:rFonts w:ascii="黑体" w:eastAsia="黑体" w:hint="eastAsia"/>
                <w:spacing w:val="-4"/>
                <w:sz w:val="21"/>
              </w:rPr>
              <w:t>确定的部分不承担给付保险金的责任，但我们通过其他途径已经及时知道或者应</w:t>
            </w:r>
            <w:r>
              <w:rPr>
                <w:rFonts w:ascii="黑体" w:eastAsia="黑体" w:hint="eastAsia"/>
                <w:spacing w:val="-3"/>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697" w:hRule="atLeast"/>
        </w:trPr>
        <w:tc>
          <w:tcPr>
            <w:tcW w:w="664" w:type="dxa"/>
          </w:tcPr>
          <w:p>
            <w:pPr>
              <w:pStyle w:val="TableParagraph"/>
              <w:spacing w:before="110"/>
              <w:ind w:left="107"/>
              <w:rPr>
                <w:b/>
                <w:sz w:val="21"/>
              </w:rPr>
            </w:pPr>
            <w:r>
              <w:rPr>
                <w:b/>
                <w:sz w:val="21"/>
              </w:rPr>
              <w:t>3.3</w:t>
            </w:r>
          </w:p>
        </w:tc>
        <w:tc>
          <w:tcPr>
            <w:tcW w:w="1638" w:type="dxa"/>
          </w:tcPr>
          <w:p>
            <w:pPr>
              <w:pStyle w:val="TableParagraph"/>
              <w:spacing w:before="110"/>
              <w:ind w:left="238"/>
              <w:rPr>
                <w:b/>
                <w:sz w:val="21"/>
              </w:rPr>
            </w:pPr>
            <w:r>
              <w:rPr>
                <w:b/>
                <w:sz w:val="21"/>
              </w:rPr>
              <w:t>保险金申请</w:t>
            </w:r>
          </w:p>
        </w:tc>
        <w:tc>
          <w:tcPr>
            <w:tcW w:w="7626" w:type="dxa"/>
          </w:tcPr>
          <w:p>
            <w:pPr>
              <w:pStyle w:val="TableParagraph"/>
              <w:spacing w:line="310" w:lineRule="atLeast" w:before="75"/>
              <w:ind w:right="134"/>
              <w:rPr>
                <w:sz w:val="21"/>
              </w:rPr>
            </w:pPr>
            <w:r>
              <w:rPr>
                <w:sz w:val="21"/>
              </w:rPr>
              <w:t>在申请保险金时，重大疾病保险金受益人作为申请人须填写领取保险金申请书， 并须提供下列证明和资料的原件：</w:t>
            </w:r>
          </w:p>
        </w:tc>
      </w:tr>
    </w:tbl>
    <w:p>
      <w:pPr>
        <w:spacing w:after="0" w:line="310" w:lineRule="atLeas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7952"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numPr>
                <w:ilvl w:val="0"/>
                <w:numId w:val="6"/>
              </w:numPr>
              <w:tabs>
                <w:tab w:pos="869" w:val="left" w:leader="none"/>
                <w:tab w:pos="870" w:val="left" w:leader="none"/>
              </w:tabs>
              <w:spacing w:line="211" w:lineRule="exact" w:before="0" w:after="0"/>
              <w:ind w:left="852" w:right="0" w:hanging="720"/>
              <w:jc w:val="left"/>
              <w:rPr>
                <w:sz w:val="21"/>
              </w:rPr>
            </w:pPr>
            <w:r>
              <w:rPr>
                <w:spacing w:val="-3"/>
                <w:sz w:val="21"/>
              </w:rPr>
              <w:t>本附加合同；</w:t>
            </w:r>
          </w:p>
          <w:p>
            <w:pPr>
              <w:pStyle w:val="TableParagraph"/>
              <w:numPr>
                <w:ilvl w:val="0"/>
                <w:numId w:val="6"/>
              </w:numPr>
              <w:tabs>
                <w:tab w:pos="869" w:val="left" w:leader="none"/>
                <w:tab w:pos="870" w:val="left" w:leader="none"/>
              </w:tabs>
              <w:spacing w:line="240" w:lineRule="auto" w:before="116" w:after="0"/>
              <w:ind w:left="852" w:right="0" w:hanging="720"/>
              <w:jc w:val="left"/>
              <w:rPr>
                <w:sz w:val="21"/>
              </w:rPr>
            </w:pPr>
            <w:r>
              <w:rPr>
                <w:spacing w:val="-3"/>
                <w:sz w:val="21"/>
              </w:rPr>
              <w:t>重大疾病保险金受益人的有效身份证件；</w:t>
            </w:r>
          </w:p>
          <w:p>
            <w:pPr>
              <w:pStyle w:val="TableParagraph"/>
              <w:numPr>
                <w:ilvl w:val="0"/>
                <w:numId w:val="6"/>
              </w:numPr>
              <w:tabs>
                <w:tab w:pos="858" w:val="left" w:leader="none"/>
              </w:tabs>
              <w:spacing w:line="273" w:lineRule="auto" w:before="114" w:after="0"/>
              <w:ind w:left="852" w:right="101" w:hanging="720"/>
              <w:jc w:val="both"/>
              <w:rPr>
                <w:sz w:val="21"/>
              </w:rPr>
            </w:pPr>
            <w:r>
              <w:rPr>
                <w:spacing w:val="-3"/>
                <w:sz w:val="21"/>
              </w:rPr>
              <w:t>由医院</w:t>
            </w:r>
            <w:r>
              <w:rPr>
                <w:b/>
                <w:sz w:val="21"/>
              </w:rPr>
              <w:t>专科医生</w:t>
            </w:r>
            <w:r>
              <w:rPr>
                <w:spacing w:val="-13"/>
                <w:sz w:val="21"/>
              </w:rPr>
              <w:t>(见 </w:t>
            </w:r>
            <w:r>
              <w:rPr>
                <w:sz w:val="21"/>
              </w:rPr>
              <w:t>10.17</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6"/>
              </w:numPr>
              <w:tabs>
                <w:tab w:pos="870" w:val="left" w:leader="none"/>
              </w:tabs>
              <w:spacing w:line="240" w:lineRule="auto" w:before="87" w:after="0"/>
              <w:ind w:left="852" w:right="0" w:hanging="720"/>
              <w:jc w:val="both"/>
              <w:rPr>
                <w:sz w:val="21"/>
              </w:rPr>
            </w:pPr>
            <w:r>
              <w:rPr>
                <w:spacing w:val="-3"/>
                <w:sz w:val="21"/>
              </w:rPr>
              <w:t>所能提供的与确认保险事故的性质、原因等有关的其他证明和资料。</w:t>
            </w:r>
          </w:p>
          <w:p>
            <w:pPr>
              <w:pStyle w:val="TableParagraph"/>
              <w:spacing w:line="273" w:lineRule="auto" w:before="114"/>
              <w:ind w:right="132"/>
              <w:jc w:val="both"/>
              <w:rPr>
                <w:sz w:val="21"/>
              </w:rPr>
            </w:pPr>
            <w:r>
              <w:rPr>
                <w:sz w:val="21"/>
              </w:rPr>
              <w:t>以上证明和资料不完整的，我们将及时一次性通知受益人补充提供有关的证明和资料。</w:t>
            </w:r>
          </w:p>
          <w:p>
            <w:pPr>
              <w:pStyle w:val="TableParagraph"/>
              <w:spacing w:line="271" w:lineRule="auto" w:before="87"/>
              <w:ind w:right="132"/>
              <w:jc w:val="both"/>
              <w:rPr>
                <w:sz w:val="21"/>
              </w:rPr>
            </w:pPr>
            <w:r>
              <w:rPr>
                <w:sz w:val="21"/>
              </w:rPr>
              <w:t>委托他人领取保险金时，受托人还必须提供本人的有效身份证件及委托人亲笔签名的授权委托书。</w:t>
            </w:r>
          </w:p>
          <w:p>
            <w:pPr>
              <w:pStyle w:val="TableParagraph"/>
              <w:spacing w:line="273" w:lineRule="auto" w:before="89"/>
              <w:ind w:right="132"/>
              <w:jc w:val="both"/>
              <w:rPr>
                <w:sz w:val="21"/>
              </w:rPr>
            </w:pPr>
            <w:r>
              <w:rPr>
                <w:sz w:val="21"/>
              </w:rPr>
              <w:t>保险金作为被保险人遗产时，继承人还必须提供可证明其合法继承权的相关权利文件。</w:t>
            </w:r>
          </w:p>
          <w:p>
            <w:pPr>
              <w:pStyle w:val="TableParagraph"/>
              <w:spacing w:line="271" w:lineRule="auto" w:before="87"/>
              <w:ind w:right="132"/>
              <w:jc w:val="both"/>
              <w:rPr>
                <w:sz w:val="21"/>
              </w:rPr>
            </w:pPr>
            <w:r>
              <w:rPr>
                <w:sz w:val="21"/>
              </w:rPr>
              <w:t>受益人或者继承人为未成年人或者无民事行为能力人时，由其合法监护人代其申请领取保险金，其合法监护人还必须提供受益人或者继承人为未成年人或者无民事行为能力人的证明和监护人具有合法监护权的证明。</w:t>
            </w:r>
          </w:p>
          <w:p>
            <w:pPr>
              <w:pStyle w:val="TableParagraph"/>
              <w:spacing w:line="273" w:lineRule="auto" w:before="88"/>
              <w:ind w:right="132"/>
              <w:jc w:val="both"/>
              <w:rPr>
                <w:sz w:val="21"/>
              </w:rPr>
            </w:pPr>
            <w:r>
              <w:rPr>
                <w:sz w:val="21"/>
              </w:rPr>
              <w:t>如果重大疾病保险金受益人已向我们书面申领重大疾病保险金，但在实际领取重大疾病保险金前被保险人身故，我们仅承担向重大疾病保险金受益人给付重大疾病保险金的责任，而不再承担主合同约定的给付身故保险金的责任。如果重大疾病保险金受益人为被保险人本人，重大疾病保险金将作为被保险人的遗产，由我们向被保险人的合法继承人给付。</w:t>
            </w:r>
          </w:p>
          <w:p>
            <w:pPr>
              <w:pStyle w:val="TableParagraph"/>
              <w:spacing w:line="271" w:lineRule="auto" w:before="86"/>
              <w:ind w:right="132"/>
              <w:jc w:val="both"/>
              <w:rPr>
                <w:sz w:val="21"/>
              </w:rPr>
            </w:pPr>
            <w:r>
              <w:rPr>
                <w:sz w:val="21"/>
              </w:rPr>
              <w:t>如果在重大疾病保险金受益人提出申领重大疾病保险金书面申请之前被保险人身故，我们仅依主合同承担向身故保险金受益人给付身故保险金的责任，而不再承担本附加合同约定的保险责任。</w:t>
            </w:r>
          </w:p>
        </w:tc>
      </w:tr>
      <w:tr>
        <w:trPr>
          <w:trHeight w:val="3914" w:hRule="atLeast"/>
        </w:trPr>
        <w:tc>
          <w:tcPr>
            <w:tcW w:w="664" w:type="dxa"/>
          </w:tcPr>
          <w:p>
            <w:pPr>
              <w:pStyle w:val="TableParagraph"/>
              <w:ind w:left="107"/>
              <w:rPr>
                <w:b/>
                <w:sz w:val="21"/>
              </w:rPr>
            </w:pPr>
            <w:r>
              <w:rPr>
                <w:b/>
                <w:sz w:val="21"/>
              </w:rPr>
              <w:t>3.4</w:t>
            </w:r>
          </w:p>
        </w:tc>
        <w:tc>
          <w:tcPr>
            <w:tcW w:w="1638" w:type="dxa"/>
          </w:tcPr>
          <w:p>
            <w:pPr>
              <w:pStyle w:val="TableParagraph"/>
              <w:ind w:left="238"/>
              <w:rPr>
                <w:b/>
                <w:sz w:val="21"/>
              </w:rPr>
            </w:pPr>
            <w:r>
              <w:rPr>
                <w:b/>
                <w:sz w:val="21"/>
              </w:rPr>
              <w:t>保险金给付</w:t>
            </w:r>
          </w:p>
        </w:tc>
        <w:tc>
          <w:tcPr>
            <w:tcW w:w="7624" w:type="dxa"/>
          </w:tcPr>
          <w:p>
            <w:pPr>
              <w:pStyle w:val="TableParagraph"/>
              <w:rPr>
                <w:sz w:val="21"/>
              </w:rPr>
            </w:pPr>
            <w:r>
              <w:rPr>
                <w:sz w:val="21"/>
              </w:rPr>
              <w:t>我们在收到领取保险金申请书及本附加合同约定的证明和资料后，将在 5 日内作</w:t>
            </w:r>
          </w:p>
          <w:p>
            <w:pPr>
              <w:pStyle w:val="TableParagraph"/>
              <w:spacing w:before="36"/>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6"/>
              <w:rPr>
                <w:sz w:val="21"/>
              </w:rPr>
            </w:pPr>
            <w:r>
              <w:rPr>
                <w:sz w:val="21"/>
              </w:rPr>
              <w:t>达成给付保险金的协议后 10 日内，履行给付保险金义务。</w:t>
            </w:r>
          </w:p>
          <w:p>
            <w:pPr>
              <w:pStyle w:val="TableParagraph"/>
              <w:spacing w:line="271" w:lineRule="auto" w:before="115"/>
              <w:ind w:right="132"/>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3" w:lineRule="auto" w:before="88"/>
              <w:ind w:right="132"/>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1" w:lineRule="auto" w:before="86"/>
              <w:ind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908" w:hRule="atLeast"/>
        </w:trPr>
        <w:tc>
          <w:tcPr>
            <w:tcW w:w="664" w:type="dxa"/>
          </w:tcPr>
          <w:p>
            <w:pPr>
              <w:pStyle w:val="TableParagraph"/>
              <w:ind w:left="107"/>
              <w:rPr>
                <w:b/>
                <w:sz w:val="21"/>
              </w:rPr>
            </w:pPr>
            <w:r>
              <w:rPr>
                <w:b/>
                <w:sz w:val="21"/>
              </w:rPr>
              <w:t>3.5</w:t>
            </w:r>
          </w:p>
        </w:tc>
        <w:tc>
          <w:tcPr>
            <w:tcW w:w="1638" w:type="dxa"/>
          </w:tcPr>
          <w:p>
            <w:pPr>
              <w:pStyle w:val="TableParagraph"/>
              <w:ind w:left="238"/>
              <w:rPr>
                <w:b/>
                <w:sz w:val="21"/>
              </w:rPr>
            </w:pPr>
            <w:r>
              <w:rPr>
                <w:b/>
                <w:sz w:val="21"/>
              </w:rPr>
              <w:t>诉讼时效</w:t>
            </w:r>
          </w:p>
        </w:tc>
        <w:tc>
          <w:tcPr>
            <w:tcW w:w="7624" w:type="dxa"/>
          </w:tcPr>
          <w:p>
            <w:pPr>
              <w:pStyle w:val="TableParagraph"/>
              <w:spacing w:line="273" w:lineRule="auto"/>
              <w:ind w:right="132"/>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4.</w:t>
            </w:r>
          </w:p>
        </w:tc>
        <w:tc>
          <w:tcPr>
            <w:tcW w:w="1638" w:type="dxa"/>
            <w:tcBorders>
              <w:bottom w:val="single" w:sz="8" w:space="0" w:color="000000"/>
            </w:tcBorders>
          </w:tcPr>
          <w:p>
            <w:pPr>
              <w:pStyle w:val="TableParagraph"/>
              <w:spacing w:before="135"/>
              <w:ind w:left="238"/>
              <w:rPr>
                <w:b/>
                <w:sz w:val="24"/>
              </w:rPr>
            </w:pPr>
            <w:r>
              <w:rPr>
                <w:b/>
                <w:w w:val="95"/>
                <w:sz w:val="24"/>
              </w:rPr>
              <w:t>保险费的交</w:t>
            </w:r>
          </w:p>
        </w:tc>
        <w:tc>
          <w:tcPr>
            <w:tcW w:w="7624" w:type="dxa"/>
            <w:tcBorders>
              <w:bottom w:val="single" w:sz="8" w:space="0" w:color="000000"/>
            </w:tcBorders>
          </w:tcPr>
          <w:p>
            <w:pPr>
              <w:pStyle w:val="TableParagraph"/>
              <w:spacing w:before="135"/>
              <w:ind w:left="-195"/>
              <w:rPr>
                <w:b/>
                <w:sz w:val="24"/>
              </w:rPr>
            </w:pPr>
            <w:r>
              <w:rPr>
                <w:b/>
                <w:w w:val="99"/>
                <w:sz w:val="24"/>
              </w:rPr>
              <w:t>纳</w:t>
            </w:r>
          </w:p>
        </w:tc>
      </w:tr>
      <w:tr>
        <w:trPr>
          <w:trHeight w:val="881"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保险费的交纳</w:t>
            </w:r>
          </w:p>
        </w:tc>
        <w:tc>
          <w:tcPr>
            <w:tcW w:w="7624" w:type="dxa"/>
            <w:tcBorders>
              <w:top w:val="single" w:sz="8" w:space="0" w:color="000000"/>
            </w:tcBorders>
          </w:tcPr>
          <w:p>
            <w:pPr>
              <w:pStyle w:val="TableParagraph"/>
              <w:spacing w:line="390" w:lineRule="atLeast" w:before="102"/>
              <w:rPr>
                <w:sz w:val="21"/>
              </w:rPr>
            </w:pPr>
            <w:r>
              <w:rPr>
                <w:spacing w:val="-6"/>
                <w:sz w:val="21"/>
              </w:rPr>
              <w:t>本附加合同的交费方式和交费期间由您在投保时与我们约定，并在保险单上载明。</w:t>
            </w:r>
            <w:r>
              <w:rPr>
                <w:spacing w:val="-4"/>
                <w:sz w:val="21"/>
              </w:rPr>
              <w:t>分期支付保险费的，在交纳首期保险费后，您应当在每个保险费约定交纳日交纳</w:t>
            </w:r>
          </w:p>
        </w:tc>
      </w:tr>
    </w:tbl>
    <w:p>
      <w:pPr>
        <w:spacing w:after="0" w:line="390" w:lineRule="atLeas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86"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其余各期的保险费。</w:t>
            </w:r>
          </w:p>
        </w:tc>
      </w:tr>
      <w:tr>
        <w:trPr>
          <w:trHeight w:val="1922" w:hRule="atLeast"/>
        </w:trPr>
        <w:tc>
          <w:tcPr>
            <w:tcW w:w="664" w:type="dxa"/>
          </w:tcPr>
          <w:p>
            <w:pPr>
              <w:pStyle w:val="TableParagraph"/>
              <w:ind w:left="107"/>
              <w:rPr>
                <w:b/>
                <w:sz w:val="21"/>
              </w:rPr>
            </w:pPr>
            <w:r>
              <w:rPr>
                <w:b/>
                <w:sz w:val="21"/>
              </w:rPr>
              <w:t>4.2</w:t>
            </w:r>
          </w:p>
        </w:tc>
        <w:tc>
          <w:tcPr>
            <w:tcW w:w="1638" w:type="dxa"/>
          </w:tcPr>
          <w:p>
            <w:pPr>
              <w:pStyle w:val="TableParagraph"/>
              <w:ind w:left="238"/>
              <w:rPr>
                <w:b/>
                <w:sz w:val="21"/>
              </w:rPr>
            </w:pPr>
            <w:r>
              <w:rPr>
                <w:b/>
                <w:sz w:val="21"/>
              </w:rPr>
              <w:t>宽限期</w:t>
            </w:r>
          </w:p>
        </w:tc>
        <w:tc>
          <w:tcPr>
            <w:tcW w:w="7624" w:type="dxa"/>
          </w:tcPr>
          <w:p>
            <w:pPr>
              <w:pStyle w:val="TableParagraph"/>
              <w:spacing w:line="273" w:lineRule="auto"/>
              <w:ind w:right="103"/>
              <w:jc w:val="both"/>
              <w:rPr>
                <w:sz w:val="21"/>
              </w:rPr>
            </w:pPr>
            <w:r>
              <w:rPr>
                <w:spacing w:val="-8"/>
                <w:sz w:val="21"/>
              </w:rPr>
              <w:t>如果您到期未交纳保险费，自保险费约定交纳日的次日零时起 </w:t>
            </w:r>
            <w:r>
              <w:rPr>
                <w:sz w:val="21"/>
              </w:rPr>
              <w:t>60</w:t>
            </w:r>
            <w:r>
              <w:rPr>
                <w:spacing w:val="-11"/>
                <w:sz w:val="21"/>
              </w:rPr>
              <w:t> 日为宽限期。宽</w:t>
            </w:r>
            <w:r>
              <w:rPr>
                <w:spacing w:val="-6"/>
                <w:sz w:val="21"/>
              </w:rPr>
              <w:t>限期内发生的保险事故，我们仍承担保险责任，但在给付保险金时会扣除您欠交</w:t>
            </w:r>
            <w:r>
              <w:rPr>
                <w:spacing w:val="-4"/>
                <w:sz w:val="21"/>
              </w:rPr>
              <w:t>的保险费。</w:t>
            </w:r>
          </w:p>
          <w:p>
            <w:pPr>
              <w:pStyle w:val="TableParagraph"/>
              <w:spacing w:line="271" w:lineRule="auto" w:before="86"/>
              <w:ind w:right="132"/>
              <w:jc w:val="both"/>
              <w:rPr>
                <w:sz w:val="21"/>
              </w:rPr>
            </w:pPr>
            <w:r>
              <w:rPr>
                <w:sz w:val="21"/>
              </w:rPr>
              <w:t>如果您在宽限期内未交纳保险费，则本附加合同自宽限期满的次日零时起效力中止，但本附加合同另有约定的除外。</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5.</w:t>
            </w:r>
          </w:p>
        </w:tc>
        <w:tc>
          <w:tcPr>
            <w:tcW w:w="1638" w:type="dxa"/>
            <w:tcBorders>
              <w:bottom w:val="single" w:sz="8" w:space="0" w:color="000000"/>
            </w:tcBorders>
          </w:tcPr>
          <w:p>
            <w:pPr>
              <w:pStyle w:val="TableParagraph"/>
              <w:spacing w:before="136"/>
              <w:ind w:left="238"/>
              <w:rPr>
                <w:b/>
                <w:sz w:val="24"/>
              </w:rPr>
            </w:pPr>
            <w:r>
              <w:rPr>
                <w:b/>
                <w:w w:val="95"/>
                <w:sz w:val="24"/>
              </w:rPr>
              <w:t>现金价值权</w:t>
            </w:r>
          </w:p>
        </w:tc>
        <w:tc>
          <w:tcPr>
            <w:tcW w:w="7624" w:type="dxa"/>
            <w:tcBorders>
              <w:bottom w:val="single" w:sz="8" w:space="0" w:color="000000"/>
            </w:tcBorders>
          </w:tcPr>
          <w:p>
            <w:pPr>
              <w:pStyle w:val="TableParagraph"/>
              <w:spacing w:before="136"/>
              <w:ind w:left="-195"/>
              <w:rPr>
                <w:b/>
                <w:sz w:val="24"/>
              </w:rPr>
            </w:pPr>
            <w:r>
              <w:rPr>
                <w:b/>
                <w:w w:val="99"/>
                <w:sz w:val="24"/>
              </w:rPr>
              <w:t>益</w:t>
            </w:r>
          </w:p>
        </w:tc>
      </w:tr>
      <w:tr>
        <w:trPr>
          <w:trHeight w:val="667"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现金价值</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本附加合同的现金价值在保险单上载明。</w:t>
            </w:r>
          </w:p>
        </w:tc>
      </w:tr>
      <w:tr>
        <w:trPr>
          <w:trHeight w:val="2593" w:hRule="atLeast"/>
        </w:trPr>
        <w:tc>
          <w:tcPr>
            <w:tcW w:w="664" w:type="dxa"/>
          </w:tcPr>
          <w:p>
            <w:pPr>
              <w:pStyle w:val="TableParagraph"/>
              <w:ind w:left="107"/>
              <w:rPr>
                <w:b/>
                <w:sz w:val="21"/>
              </w:rPr>
            </w:pPr>
            <w:r>
              <w:rPr>
                <w:b/>
                <w:sz w:val="21"/>
              </w:rPr>
              <w:t>5.2</w:t>
            </w:r>
          </w:p>
        </w:tc>
        <w:tc>
          <w:tcPr>
            <w:tcW w:w="1638" w:type="dxa"/>
          </w:tcPr>
          <w:p>
            <w:pPr>
              <w:pStyle w:val="TableParagraph"/>
              <w:ind w:left="238"/>
              <w:rPr>
                <w:b/>
                <w:sz w:val="21"/>
              </w:rPr>
            </w:pPr>
            <w:r>
              <w:rPr>
                <w:b/>
                <w:sz w:val="21"/>
              </w:rPr>
              <w:t>保单贷款</w:t>
            </w:r>
          </w:p>
        </w:tc>
        <w:tc>
          <w:tcPr>
            <w:tcW w:w="7624" w:type="dxa"/>
          </w:tcPr>
          <w:p>
            <w:pPr>
              <w:pStyle w:val="TableParagraph"/>
              <w:spacing w:line="271" w:lineRule="auto"/>
              <w:ind w:right="-15"/>
              <w:rPr>
                <w:sz w:val="21"/>
              </w:rPr>
            </w:pPr>
            <w:r>
              <w:rPr>
                <w:spacing w:val="-8"/>
                <w:sz w:val="21"/>
              </w:rPr>
              <w:t>在本附加合同和主合同有效期内，您可以申请并经我们审核同意后办理保单贷款。</w:t>
            </w:r>
            <w:r>
              <w:rPr>
                <w:spacing w:val="-5"/>
                <w:sz w:val="21"/>
              </w:rPr>
              <w:t>贷款金额不得超过您申请时本附加合同和主合同的现金价值之和扣除各项欠款及</w:t>
            </w:r>
            <w:r>
              <w:rPr>
                <w:spacing w:val="-8"/>
                <w:sz w:val="21"/>
              </w:rPr>
              <w:t>应付利息后余额的 </w:t>
            </w:r>
            <w:r>
              <w:rPr>
                <w:sz w:val="21"/>
              </w:rPr>
              <w:t>70</w:t>
            </w:r>
            <w:r>
              <w:rPr>
                <w:spacing w:val="-6"/>
                <w:sz w:val="21"/>
              </w:rPr>
              <w:t>%，每次贷款期限最长不超过 </w:t>
            </w:r>
            <w:r>
              <w:rPr>
                <w:sz w:val="21"/>
              </w:rPr>
              <w:t>180</w:t>
            </w:r>
            <w:r>
              <w:rPr>
                <w:spacing w:val="-8"/>
                <w:sz w:val="21"/>
              </w:rPr>
              <w:t> 日，贷款利率按您与我们签</w:t>
            </w:r>
            <w:r>
              <w:rPr>
                <w:spacing w:val="-4"/>
                <w:sz w:val="21"/>
              </w:rPr>
              <w:t>订的贷款协议中约定的利率执行。</w:t>
            </w:r>
          </w:p>
          <w:p>
            <w:pPr>
              <w:pStyle w:val="TableParagraph"/>
              <w:spacing w:line="273" w:lineRule="auto" w:before="88"/>
              <w:ind w:right="132"/>
              <w:rPr>
                <w:sz w:val="21"/>
              </w:rPr>
            </w:pPr>
            <w:r>
              <w:rPr>
                <w:sz w:val="21"/>
              </w:rPr>
              <w:t>自贷款本金及利息加上其他各项欠款及应付利息达到本附加合同和主合同的现金价值之和的次日零时起，本附加合同和主合同效力中止。</w:t>
            </w:r>
          </w:p>
          <w:p>
            <w:pPr>
              <w:pStyle w:val="TableParagraph"/>
              <w:spacing w:before="86"/>
              <w:rPr>
                <w:sz w:val="21"/>
              </w:rPr>
            </w:pPr>
            <w:r>
              <w:rPr>
                <w:sz w:val="21"/>
              </w:rPr>
              <w:t>经我们审核不同意您的保单贷款申请的，我们不向您提供贷款。</w:t>
            </w:r>
          </w:p>
        </w:tc>
      </w:tr>
      <w:tr>
        <w:trPr>
          <w:trHeight w:val="2559" w:hRule="atLeast"/>
        </w:trPr>
        <w:tc>
          <w:tcPr>
            <w:tcW w:w="664" w:type="dxa"/>
          </w:tcPr>
          <w:p>
            <w:pPr>
              <w:pStyle w:val="TableParagraph"/>
              <w:spacing w:before="115"/>
              <w:ind w:left="107"/>
              <w:rPr>
                <w:b/>
                <w:sz w:val="21"/>
              </w:rPr>
            </w:pPr>
            <w:r>
              <w:rPr>
                <w:b/>
                <w:sz w:val="21"/>
              </w:rPr>
              <w:t>5.3</w:t>
            </w:r>
          </w:p>
        </w:tc>
        <w:tc>
          <w:tcPr>
            <w:tcW w:w="1638" w:type="dxa"/>
          </w:tcPr>
          <w:p>
            <w:pPr>
              <w:pStyle w:val="TableParagraph"/>
              <w:spacing w:line="273" w:lineRule="auto" w:before="115"/>
              <w:ind w:left="238" w:right="129"/>
              <w:rPr>
                <w:b/>
                <w:sz w:val="21"/>
              </w:rPr>
            </w:pPr>
            <w:r>
              <w:rPr>
                <w:b/>
                <w:sz w:val="21"/>
              </w:rPr>
              <w:t>保险费自动垫交</w:t>
            </w:r>
          </w:p>
        </w:tc>
        <w:tc>
          <w:tcPr>
            <w:tcW w:w="7624" w:type="dxa"/>
          </w:tcPr>
          <w:p>
            <w:pPr>
              <w:pStyle w:val="TableParagraph"/>
              <w:spacing w:line="273" w:lineRule="auto" w:before="115"/>
              <w:ind w:right="-15"/>
              <w:rPr>
                <w:sz w:val="21"/>
              </w:rPr>
            </w:pPr>
            <w:r>
              <w:rPr>
                <w:spacing w:val="-3"/>
                <w:sz w:val="21"/>
              </w:rPr>
              <w:t>您可以选择保险费自动垫交功能，即如果您在宽限期结束时仍未交纳保险费，我们将以本附加合同和主合同的现金价值之和扣除各项欠款及应付利息后的余额自</w:t>
            </w:r>
            <w:r>
              <w:rPr>
                <w:spacing w:val="-7"/>
                <w:sz w:val="21"/>
              </w:rPr>
              <w:t>动垫交到期应交的本附加合同和主合同的保险费，本附加合同和主合同继续有效。</w:t>
            </w:r>
            <w:r>
              <w:rPr>
                <w:spacing w:val="-5"/>
                <w:sz w:val="21"/>
              </w:rPr>
              <w:t>我们将对自动垫交的保险费计收</w:t>
            </w:r>
            <w:r>
              <w:rPr>
                <w:b/>
                <w:sz w:val="21"/>
              </w:rPr>
              <w:t>利息</w:t>
            </w:r>
            <w:r>
              <w:rPr>
                <w:spacing w:val="-14"/>
                <w:sz w:val="21"/>
              </w:rPr>
              <w:t>(见 </w:t>
            </w:r>
            <w:r>
              <w:rPr>
                <w:sz w:val="21"/>
              </w:rPr>
              <w:t>10.18)。</w:t>
            </w:r>
          </w:p>
          <w:p>
            <w:pPr>
              <w:pStyle w:val="TableParagraph"/>
              <w:spacing w:line="271" w:lineRule="auto" w:before="87"/>
              <w:ind w:right="132"/>
              <w:jc w:val="both"/>
              <w:rPr>
                <w:sz w:val="21"/>
              </w:rPr>
            </w:pPr>
            <w:r>
              <w:rPr>
                <w:sz w:val="21"/>
              </w:rPr>
              <w:t>如果本附加合同和主合同的现金价值之和扣除各项欠款及应付利息后的余额不足以全额垫交到期应交的保险费，则本附加合同和主合同自宽限期满的次日零时起效力中止。</w:t>
            </w:r>
          </w:p>
        </w:tc>
      </w:tr>
      <w:tr>
        <w:trPr>
          <w:trHeight w:val="584" w:hRule="atLeast"/>
        </w:trPr>
        <w:tc>
          <w:tcPr>
            <w:tcW w:w="664" w:type="dxa"/>
            <w:tcBorders>
              <w:bottom w:val="single" w:sz="8" w:space="0" w:color="000000"/>
            </w:tcBorders>
          </w:tcPr>
          <w:p>
            <w:pPr>
              <w:pStyle w:val="TableParagraph"/>
              <w:spacing w:before="146"/>
              <w:ind w:left="107"/>
              <w:rPr>
                <w:b/>
                <w:sz w:val="24"/>
              </w:rPr>
            </w:pPr>
            <w:r>
              <w:rPr>
                <w:b/>
                <w:sz w:val="24"/>
              </w:rPr>
              <w:t>6.</w:t>
            </w:r>
          </w:p>
        </w:tc>
        <w:tc>
          <w:tcPr>
            <w:tcW w:w="9262" w:type="dxa"/>
            <w:gridSpan w:val="2"/>
            <w:tcBorders>
              <w:bottom w:val="single" w:sz="8" w:space="0" w:color="000000"/>
            </w:tcBorders>
          </w:tcPr>
          <w:p>
            <w:pPr>
              <w:pStyle w:val="TableParagraph"/>
              <w:spacing w:before="146"/>
              <w:ind w:left="238"/>
              <w:rPr>
                <w:b/>
                <w:sz w:val="24"/>
              </w:rPr>
            </w:pPr>
            <w:r>
              <w:rPr>
                <w:b/>
                <w:w w:val="95"/>
                <w:sz w:val="24"/>
              </w:rPr>
              <w:t>合同效力的中止及恢复</w:t>
            </w:r>
          </w:p>
        </w:tc>
      </w:tr>
      <w:tr>
        <w:trPr>
          <w:trHeight w:val="667"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rFonts w:ascii="黑体" w:eastAsia="黑体" w:hint="eastAsia"/>
                <w:sz w:val="21"/>
              </w:rPr>
              <w:t>在本附加合同效力中止期间，我们不承担保险责任</w:t>
            </w:r>
            <w:r>
              <w:rPr>
                <w:sz w:val="21"/>
              </w:rPr>
              <w:t>。</w:t>
            </w:r>
          </w:p>
        </w:tc>
      </w:tr>
      <w:tr>
        <w:trPr>
          <w:trHeight w:val="1921" w:hRule="atLeast"/>
        </w:trPr>
        <w:tc>
          <w:tcPr>
            <w:tcW w:w="664" w:type="dxa"/>
          </w:tcPr>
          <w:p>
            <w:pPr>
              <w:pStyle w:val="TableParagraph"/>
              <w:ind w:left="107"/>
              <w:rPr>
                <w:b/>
                <w:sz w:val="21"/>
              </w:rPr>
            </w:pPr>
            <w:r>
              <w:rPr>
                <w:b/>
                <w:sz w:val="21"/>
              </w:rPr>
              <w:t>6.2</w:t>
            </w:r>
          </w:p>
        </w:tc>
        <w:tc>
          <w:tcPr>
            <w:tcW w:w="1638" w:type="dxa"/>
          </w:tcPr>
          <w:p>
            <w:pPr>
              <w:pStyle w:val="TableParagraph"/>
              <w:ind w:left="238"/>
              <w:rPr>
                <w:b/>
                <w:sz w:val="21"/>
              </w:rPr>
            </w:pPr>
            <w:r>
              <w:rPr>
                <w:b/>
                <w:sz w:val="21"/>
              </w:rPr>
              <w:t>效力恢复</w:t>
            </w:r>
          </w:p>
        </w:tc>
        <w:tc>
          <w:tcPr>
            <w:tcW w:w="7624" w:type="dxa"/>
          </w:tcPr>
          <w:p>
            <w:pPr>
              <w:pStyle w:val="TableParagraph"/>
              <w:spacing w:line="271" w:lineRule="auto"/>
              <w:ind w:right="132"/>
              <w:jc w:val="both"/>
              <w:rPr>
                <w:sz w:val="21"/>
              </w:rPr>
            </w:pPr>
            <w:r>
              <w:rPr>
                <w:spacing w:val="-6"/>
                <w:sz w:val="21"/>
              </w:rPr>
              <w:t>本附加合同效力中止之日起 </w:t>
            </w:r>
            <w:r>
              <w:rPr>
                <w:sz w:val="21"/>
              </w:rPr>
              <w:t>2</w:t>
            </w:r>
            <w:r>
              <w:rPr>
                <w:spacing w:val="-8"/>
                <w:sz w:val="21"/>
              </w:rPr>
              <w:t> 年内，您可以申请恢复合同效力。经您与我们协商</w:t>
            </w:r>
            <w:r>
              <w:rPr>
                <w:spacing w:val="-5"/>
                <w:sz w:val="21"/>
              </w:rPr>
              <w:t>并达成协议，在您补交保险费之日起，本附加合同效力恢复。</w:t>
            </w:r>
          </w:p>
          <w:p>
            <w:pPr>
              <w:pStyle w:val="TableParagraph"/>
              <w:spacing w:line="273" w:lineRule="auto" w:before="88"/>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6"/>
                <w:sz w:val="21"/>
              </w:rPr>
              <w:t>加合同，本附加合同自解除之日起终止。我们解除合同的，我们向您退还本附加</w:t>
            </w:r>
            <w:r>
              <w:rPr>
                <w:spacing w:val="-4"/>
                <w:sz w:val="21"/>
              </w:rPr>
              <w:t>合同中止时的现金价值。</w:t>
            </w:r>
          </w:p>
        </w:tc>
      </w:tr>
      <w:tr>
        <w:trPr>
          <w:trHeight w:val="576" w:hRule="atLeast"/>
        </w:trPr>
        <w:tc>
          <w:tcPr>
            <w:tcW w:w="664" w:type="dxa"/>
            <w:tcBorders>
              <w:bottom w:val="single" w:sz="8" w:space="0" w:color="000000"/>
            </w:tcBorders>
          </w:tcPr>
          <w:p>
            <w:pPr>
              <w:pStyle w:val="TableParagraph"/>
              <w:spacing w:before="136"/>
              <w:ind w:left="107"/>
              <w:rPr>
                <w:b/>
                <w:sz w:val="24"/>
              </w:rPr>
            </w:pPr>
            <w:r>
              <w:rPr>
                <w:b/>
                <w:sz w:val="24"/>
              </w:rPr>
              <w:t>7.</w:t>
            </w:r>
          </w:p>
        </w:tc>
        <w:tc>
          <w:tcPr>
            <w:tcW w:w="1638" w:type="dxa"/>
            <w:tcBorders>
              <w:bottom w:val="single" w:sz="8" w:space="0" w:color="000000"/>
            </w:tcBorders>
          </w:tcPr>
          <w:p>
            <w:pPr>
              <w:pStyle w:val="TableParagraph"/>
              <w:spacing w:before="136"/>
              <w:ind w:left="238"/>
              <w:rPr>
                <w:b/>
                <w:sz w:val="24"/>
              </w:rPr>
            </w:pPr>
            <w:r>
              <w:rPr>
                <w:b/>
                <w:sz w:val="24"/>
              </w:rPr>
              <w:t>合同解除</w:t>
            </w:r>
          </w:p>
        </w:tc>
        <w:tc>
          <w:tcPr>
            <w:tcW w:w="7624" w:type="dxa"/>
            <w:tcBorders>
              <w:bottom w:val="single" w:sz="8" w:space="0" w:color="000000"/>
            </w:tcBorders>
          </w:tcPr>
          <w:p>
            <w:pPr>
              <w:pStyle w:val="TableParagraph"/>
              <w:spacing w:before="0"/>
              <w:ind w:left="0"/>
              <w:rPr>
                <w:rFonts w:ascii="Times New Roman"/>
                <w:sz w:val="20"/>
              </w:rPr>
            </w:pPr>
          </w:p>
        </w:tc>
      </w:tr>
      <w:tr>
        <w:trPr>
          <w:trHeight w:val="1584"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spacing w:line="271" w:lineRule="auto" w:before="0"/>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7"/>
              </w:numPr>
              <w:tabs>
                <w:tab w:pos="866" w:val="left" w:leader="none"/>
                <w:tab w:pos="867" w:val="left" w:leader="none"/>
              </w:tabs>
              <w:spacing w:line="240" w:lineRule="auto" w:before="89" w:after="0"/>
              <w:ind w:left="867" w:right="0" w:hanging="735"/>
              <w:jc w:val="left"/>
              <w:rPr>
                <w:sz w:val="21"/>
              </w:rPr>
            </w:pPr>
            <w:r>
              <w:rPr>
                <w:spacing w:val="-2"/>
                <w:sz w:val="21"/>
              </w:rPr>
              <w:t>本附加合同；</w:t>
            </w:r>
          </w:p>
          <w:p>
            <w:pPr>
              <w:pStyle w:val="TableParagraph"/>
              <w:numPr>
                <w:ilvl w:val="0"/>
                <w:numId w:val="7"/>
              </w:numPr>
              <w:tabs>
                <w:tab w:pos="866" w:val="left" w:leader="none"/>
                <w:tab w:pos="867" w:val="left" w:leader="none"/>
              </w:tabs>
              <w:spacing w:line="255" w:lineRule="exact" w:before="116" w:after="0"/>
              <w:ind w:left="867" w:right="0" w:hanging="735"/>
              <w:jc w:val="left"/>
              <w:rPr>
                <w:sz w:val="21"/>
              </w:rPr>
            </w:pPr>
            <w:r>
              <w:rPr>
                <w:spacing w:val="-3"/>
                <w:sz w:val="21"/>
              </w:rPr>
              <w:t>您的有效身份证件。</w:t>
            </w:r>
          </w:p>
        </w:tc>
      </w:tr>
    </w:tbl>
    <w:p>
      <w:pPr>
        <w:spacing w:after="0" w:line="255" w:lineRule="exact"/>
        <w:jc w:val="lef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124"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自我们收到解除合同申请书时起，本附加合同终止，我们自收到解除合同申请书</w:t>
            </w:r>
          </w:p>
          <w:p>
            <w:pPr>
              <w:pStyle w:val="TableParagraph"/>
              <w:spacing w:before="37"/>
              <w:rPr>
                <w:sz w:val="21"/>
              </w:rPr>
            </w:pPr>
            <w:r>
              <w:rPr>
                <w:sz w:val="21"/>
              </w:rPr>
              <w:t>之日起 30 日内向您退还本附加合同终止时的现金价值。</w:t>
            </w:r>
          </w:p>
          <w:p>
            <w:pPr>
              <w:pStyle w:val="TableParagraph"/>
              <w:spacing w:before="116"/>
              <w:rPr>
                <w:rFonts w:ascii="黑体" w:eastAsia="黑体" w:hint="eastAsia"/>
                <w:sz w:val="21"/>
              </w:rPr>
            </w:pPr>
            <w:r>
              <w:rPr>
                <w:rFonts w:ascii="黑体" w:eastAsia="黑体" w:hint="eastAsia"/>
                <w:sz w:val="21"/>
              </w:rPr>
              <w:t>您在犹豫期后解除合同会遭受一定损失。</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1445" w:hRule="atLeast"/>
        </w:trPr>
        <w:tc>
          <w:tcPr>
            <w:tcW w:w="664"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8.1</w:t>
            </w:r>
          </w:p>
        </w:tc>
        <w:tc>
          <w:tcPr>
            <w:tcW w:w="1638" w:type="dxa"/>
            <w:tcBorders>
              <w:top w:val="single" w:sz="8" w:space="0" w:color="000000"/>
            </w:tcBorders>
          </w:tcPr>
          <w:p>
            <w:pPr>
              <w:pStyle w:val="TableParagraph"/>
              <w:spacing w:before="5"/>
              <w:ind w:left="0"/>
              <w:rPr>
                <w:sz w:val="16"/>
              </w:rPr>
            </w:pPr>
          </w:p>
          <w:p>
            <w:pPr>
              <w:pStyle w:val="TableParagraph"/>
              <w:spacing w:before="0"/>
              <w:ind w:left="238"/>
              <w:rPr>
                <w:b/>
                <w:sz w:val="21"/>
              </w:rPr>
            </w:pPr>
            <w:r>
              <w:rPr>
                <w:b/>
                <w:sz w:val="21"/>
              </w:rPr>
              <w:t>效力终止</w:t>
            </w:r>
          </w:p>
        </w:tc>
        <w:tc>
          <w:tcPr>
            <w:tcW w:w="7624" w:type="dxa"/>
            <w:tcBorders>
              <w:top w:val="single" w:sz="8" w:space="0" w:color="000000"/>
            </w:tcBorders>
          </w:tcPr>
          <w:p>
            <w:pPr>
              <w:pStyle w:val="TableParagraph"/>
              <w:spacing w:before="5"/>
              <w:ind w:left="0"/>
              <w:rPr>
                <w:sz w:val="16"/>
              </w:rPr>
            </w:pPr>
          </w:p>
          <w:p>
            <w:pPr>
              <w:pStyle w:val="TableParagraph"/>
              <w:spacing w:before="0"/>
              <w:rPr>
                <w:sz w:val="21"/>
              </w:rPr>
            </w:pPr>
            <w:r>
              <w:rPr>
                <w:sz w:val="21"/>
              </w:rPr>
              <w:t>发生下列情况之一时，本附加合同效力终止：</w:t>
            </w:r>
          </w:p>
          <w:p>
            <w:pPr>
              <w:pStyle w:val="TableParagraph"/>
              <w:numPr>
                <w:ilvl w:val="0"/>
                <w:numId w:val="8"/>
              </w:numPr>
              <w:tabs>
                <w:tab w:pos="869" w:val="left" w:leader="none"/>
                <w:tab w:pos="870" w:val="left" w:leader="none"/>
              </w:tabs>
              <w:spacing w:line="240" w:lineRule="auto" w:before="115" w:after="0"/>
              <w:ind w:left="869" w:right="0" w:hanging="737"/>
              <w:jc w:val="left"/>
              <w:rPr>
                <w:sz w:val="21"/>
              </w:rPr>
            </w:pPr>
            <w:r>
              <w:rPr>
                <w:spacing w:val="-3"/>
                <w:sz w:val="21"/>
              </w:rPr>
              <w:t>主合同效力终止；</w:t>
            </w:r>
          </w:p>
          <w:p>
            <w:pPr>
              <w:pStyle w:val="TableParagraph"/>
              <w:numPr>
                <w:ilvl w:val="0"/>
                <w:numId w:val="8"/>
              </w:numPr>
              <w:tabs>
                <w:tab w:pos="869" w:val="left" w:leader="none"/>
                <w:tab w:pos="870" w:val="left" w:leader="none"/>
              </w:tabs>
              <w:spacing w:line="240" w:lineRule="auto" w:before="113" w:after="0"/>
              <w:ind w:left="869" w:right="0" w:hanging="737"/>
              <w:jc w:val="left"/>
              <w:rPr>
                <w:sz w:val="21"/>
              </w:rPr>
            </w:pPr>
            <w:r>
              <w:rPr>
                <w:spacing w:val="-3"/>
                <w:sz w:val="21"/>
              </w:rPr>
              <w:t>本附加合同约定的合同效力终止情况。</w:t>
            </w:r>
          </w:p>
        </w:tc>
      </w:tr>
      <w:tr>
        <w:trPr>
          <w:trHeight w:val="3716" w:hRule="atLeast"/>
        </w:trPr>
        <w:tc>
          <w:tcPr>
            <w:tcW w:w="664" w:type="dxa"/>
          </w:tcPr>
          <w:p>
            <w:pPr>
              <w:pStyle w:val="TableParagraph"/>
              <w:ind w:left="107"/>
              <w:rPr>
                <w:b/>
                <w:sz w:val="21"/>
              </w:rPr>
            </w:pPr>
            <w:r>
              <w:rPr>
                <w:b/>
                <w:sz w:val="21"/>
              </w:rPr>
              <w:t>8.2</w:t>
            </w:r>
          </w:p>
        </w:tc>
        <w:tc>
          <w:tcPr>
            <w:tcW w:w="1638" w:type="dxa"/>
          </w:tcPr>
          <w:p>
            <w:pPr>
              <w:pStyle w:val="TableParagraph"/>
              <w:spacing w:line="271" w:lineRule="auto"/>
              <w:ind w:left="238" w:right="129"/>
              <w:rPr>
                <w:b/>
                <w:sz w:val="21"/>
              </w:rPr>
            </w:pPr>
            <w:r>
              <w:rPr>
                <w:b/>
                <w:sz w:val="21"/>
              </w:rPr>
              <w:t>适用主合同条款</w:t>
            </w:r>
          </w:p>
        </w:tc>
        <w:tc>
          <w:tcPr>
            <w:tcW w:w="7624" w:type="dxa"/>
          </w:tcPr>
          <w:p>
            <w:pPr>
              <w:pStyle w:val="TableParagraph"/>
              <w:rPr>
                <w:sz w:val="21"/>
              </w:rPr>
            </w:pPr>
            <w:r>
              <w:rPr>
                <w:sz w:val="21"/>
              </w:rPr>
              <w:t>主合同订立的下列各项条款适用于本附加合同：</w:t>
            </w:r>
          </w:p>
          <w:p>
            <w:pPr>
              <w:pStyle w:val="TableParagraph"/>
              <w:numPr>
                <w:ilvl w:val="0"/>
                <w:numId w:val="9"/>
              </w:numPr>
              <w:tabs>
                <w:tab w:pos="853" w:val="left" w:leader="none"/>
              </w:tabs>
              <w:spacing w:line="240" w:lineRule="auto" w:before="113" w:after="0"/>
              <w:ind w:left="852" w:right="0" w:hanging="720"/>
              <w:jc w:val="left"/>
              <w:rPr>
                <w:sz w:val="21"/>
              </w:rPr>
            </w:pPr>
            <w:r>
              <w:rPr>
                <w:spacing w:val="-3"/>
                <w:sz w:val="21"/>
              </w:rPr>
              <w:t>明确说明与如实告知；</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我们合同解除权的限制；</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年龄性别错误；</w:t>
            </w:r>
          </w:p>
          <w:p>
            <w:pPr>
              <w:pStyle w:val="TableParagraph"/>
              <w:numPr>
                <w:ilvl w:val="0"/>
                <w:numId w:val="9"/>
              </w:numPr>
              <w:tabs>
                <w:tab w:pos="869" w:val="left" w:leader="none"/>
                <w:tab w:pos="870" w:val="left" w:leader="none"/>
              </w:tabs>
              <w:spacing w:line="240" w:lineRule="auto" w:before="115" w:after="0"/>
              <w:ind w:left="869" w:right="0" w:hanging="737"/>
              <w:jc w:val="left"/>
              <w:rPr>
                <w:sz w:val="21"/>
              </w:rPr>
            </w:pPr>
            <w:r>
              <w:rPr>
                <w:spacing w:val="-3"/>
                <w:sz w:val="21"/>
              </w:rPr>
              <w:t>未还款项；</w:t>
            </w:r>
          </w:p>
          <w:p>
            <w:pPr>
              <w:pStyle w:val="TableParagraph"/>
              <w:numPr>
                <w:ilvl w:val="0"/>
                <w:numId w:val="9"/>
              </w:numPr>
              <w:tabs>
                <w:tab w:pos="869" w:val="left" w:leader="none"/>
                <w:tab w:pos="870" w:val="left" w:leader="none"/>
              </w:tabs>
              <w:spacing w:line="240" w:lineRule="auto" w:before="113" w:after="0"/>
              <w:ind w:left="869" w:right="0" w:hanging="737"/>
              <w:jc w:val="left"/>
              <w:rPr>
                <w:sz w:val="21"/>
              </w:rPr>
            </w:pPr>
            <w:r>
              <w:rPr>
                <w:spacing w:val="-3"/>
                <w:sz w:val="21"/>
              </w:rPr>
              <w:t>合同内容变更；</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联系方式变更；</w:t>
            </w:r>
          </w:p>
          <w:p>
            <w:pPr>
              <w:pStyle w:val="TableParagraph"/>
              <w:numPr>
                <w:ilvl w:val="0"/>
                <w:numId w:val="9"/>
              </w:numPr>
              <w:tabs>
                <w:tab w:pos="869" w:val="left" w:leader="none"/>
                <w:tab w:pos="870" w:val="left" w:leader="none"/>
              </w:tabs>
              <w:spacing w:line="240" w:lineRule="auto" w:before="114" w:after="0"/>
              <w:ind w:left="869" w:right="0" w:hanging="737"/>
              <w:jc w:val="left"/>
              <w:rPr>
                <w:sz w:val="21"/>
              </w:rPr>
            </w:pPr>
            <w:r>
              <w:rPr>
                <w:spacing w:val="-3"/>
                <w:sz w:val="21"/>
              </w:rPr>
              <w:t>争议处理；</w:t>
            </w:r>
          </w:p>
          <w:p>
            <w:pPr>
              <w:pStyle w:val="TableParagraph"/>
              <w:numPr>
                <w:ilvl w:val="0"/>
                <w:numId w:val="9"/>
              </w:numPr>
              <w:tabs>
                <w:tab w:pos="869" w:val="left" w:leader="none"/>
                <w:tab w:pos="870" w:val="left" w:leader="none"/>
              </w:tabs>
              <w:spacing w:line="240" w:lineRule="auto" w:before="116" w:after="0"/>
              <w:ind w:left="869" w:right="0" w:hanging="737"/>
              <w:jc w:val="left"/>
              <w:rPr>
                <w:sz w:val="21"/>
              </w:rPr>
            </w:pPr>
            <w:r>
              <w:rPr>
                <w:spacing w:val="-3"/>
                <w:sz w:val="21"/>
              </w:rPr>
              <w:t>保险事故鉴定。</w:t>
            </w:r>
          </w:p>
        </w:tc>
      </w:tr>
      <w:tr>
        <w:trPr>
          <w:trHeight w:val="573" w:hRule="atLeast"/>
        </w:trPr>
        <w:tc>
          <w:tcPr>
            <w:tcW w:w="664" w:type="dxa"/>
            <w:tcBorders>
              <w:bottom w:val="single" w:sz="8" w:space="0" w:color="000000"/>
            </w:tcBorders>
          </w:tcPr>
          <w:p>
            <w:pPr>
              <w:pStyle w:val="TableParagraph"/>
              <w:spacing w:before="135"/>
              <w:ind w:left="107"/>
              <w:rPr>
                <w:b/>
                <w:sz w:val="24"/>
              </w:rPr>
            </w:pPr>
            <w:r>
              <w:rPr>
                <w:b/>
                <w:sz w:val="24"/>
              </w:rPr>
              <w:t>9.</w:t>
            </w:r>
          </w:p>
        </w:tc>
        <w:tc>
          <w:tcPr>
            <w:tcW w:w="1638" w:type="dxa"/>
            <w:tcBorders>
              <w:bottom w:val="single" w:sz="8" w:space="0" w:color="000000"/>
            </w:tcBorders>
          </w:tcPr>
          <w:p>
            <w:pPr>
              <w:pStyle w:val="TableParagraph"/>
              <w:spacing w:before="135"/>
              <w:ind w:left="238"/>
              <w:rPr>
                <w:b/>
                <w:sz w:val="24"/>
              </w:rPr>
            </w:pPr>
            <w:r>
              <w:rPr>
                <w:b/>
                <w:w w:val="95"/>
                <w:sz w:val="24"/>
              </w:rPr>
              <w:t>重大疾病定</w:t>
            </w:r>
          </w:p>
        </w:tc>
        <w:tc>
          <w:tcPr>
            <w:tcW w:w="7624" w:type="dxa"/>
            <w:tcBorders>
              <w:bottom w:val="single" w:sz="8" w:space="0" w:color="000000"/>
            </w:tcBorders>
          </w:tcPr>
          <w:p>
            <w:pPr>
              <w:pStyle w:val="TableParagraph"/>
              <w:spacing w:before="135"/>
              <w:ind w:left="-195"/>
              <w:rPr>
                <w:b/>
                <w:sz w:val="24"/>
              </w:rPr>
            </w:pPr>
            <w:r>
              <w:rPr>
                <w:b/>
                <w:w w:val="99"/>
                <w:sz w:val="24"/>
              </w:rPr>
              <w:t>义</w:t>
            </w:r>
          </w:p>
        </w:tc>
      </w:tr>
      <w:tr>
        <w:trPr>
          <w:trHeight w:val="1602" w:hRule="atLeast"/>
        </w:trPr>
        <w:tc>
          <w:tcPr>
            <w:tcW w:w="664" w:type="dxa"/>
            <w:tcBorders>
              <w:top w:val="single" w:sz="8" w:space="0" w:color="000000"/>
            </w:tcBorders>
          </w:tcPr>
          <w:p>
            <w:pPr>
              <w:pStyle w:val="TableParagraph"/>
              <w:spacing w:before="0"/>
              <w:ind w:left="0"/>
              <w:rPr>
                <w:rFonts w:ascii="Times New Roman"/>
                <w:sz w:val="20"/>
              </w:rPr>
            </w:pPr>
          </w:p>
        </w:tc>
        <w:tc>
          <w:tcPr>
            <w:tcW w:w="1638" w:type="dxa"/>
            <w:tcBorders>
              <w:top w:val="single" w:sz="8" w:space="0" w:color="000000"/>
            </w:tcBorders>
          </w:tcPr>
          <w:p>
            <w:pPr>
              <w:pStyle w:val="TableParagraph"/>
              <w:spacing w:before="0"/>
              <w:ind w:left="0"/>
              <w:rPr>
                <w:rFonts w:ascii="Times New Roman"/>
                <w:sz w:val="20"/>
              </w:rPr>
            </w:pPr>
          </w:p>
        </w:tc>
        <w:tc>
          <w:tcPr>
            <w:tcW w:w="7624" w:type="dxa"/>
            <w:tcBorders>
              <w:top w:val="single" w:sz="8" w:space="0" w:color="000000"/>
            </w:tcBorders>
          </w:tcPr>
          <w:p>
            <w:pPr>
              <w:pStyle w:val="TableParagraph"/>
              <w:spacing w:before="8"/>
              <w:ind w:left="0"/>
              <w:rPr>
                <w:sz w:val="16"/>
              </w:rPr>
            </w:pPr>
          </w:p>
          <w:p>
            <w:pPr>
              <w:pStyle w:val="TableParagraph"/>
              <w:spacing w:line="273" w:lineRule="auto" w:before="0"/>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6" w:hRule="atLeast"/>
        </w:trPr>
        <w:tc>
          <w:tcPr>
            <w:tcW w:w="664" w:type="dxa"/>
          </w:tcPr>
          <w:p>
            <w:pPr>
              <w:pStyle w:val="TableParagraph"/>
              <w:spacing w:before="110"/>
              <w:ind w:left="107"/>
              <w:rPr>
                <w:b/>
                <w:sz w:val="21"/>
              </w:rPr>
            </w:pPr>
            <w:r>
              <w:rPr>
                <w:b/>
                <w:sz w:val="21"/>
              </w:rPr>
              <w:t>9.1</w:t>
            </w:r>
          </w:p>
        </w:tc>
        <w:tc>
          <w:tcPr>
            <w:tcW w:w="1638" w:type="dxa"/>
          </w:tcPr>
          <w:p>
            <w:pPr>
              <w:pStyle w:val="TableParagraph"/>
              <w:spacing w:before="110"/>
              <w:ind w:left="238"/>
              <w:rPr>
                <w:b/>
                <w:sz w:val="21"/>
              </w:rPr>
            </w:pPr>
            <w:r>
              <w:rPr>
                <w:b/>
                <w:sz w:val="21"/>
              </w:rPr>
              <w:t>恶性肿瘤</w:t>
            </w:r>
          </w:p>
        </w:tc>
        <w:tc>
          <w:tcPr>
            <w:tcW w:w="7624" w:type="dxa"/>
          </w:tcPr>
          <w:p>
            <w:pPr>
              <w:pStyle w:val="TableParagraph"/>
              <w:spacing w:line="273" w:lineRule="auto" w:before="110"/>
              <w:ind w:right="-15"/>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6"/>
              <w:rPr>
                <w:rFonts w:ascii="黑体" w:eastAsia="黑体" w:hint="eastAsia"/>
                <w:sz w:val="21"/>
              </w:rPr>
            </w:pPr>
            <w:r>
              <w:rPr>
                <w:rFonts w:ascii="黑体" w:eastAsia="黑体" w:hint="eastAsia"/>
                <w:sz w:val="21"/>
              </w:rPr>
              <w:t>下列疾病不在保障范围内：</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0"/>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0"/>
              </w:numPr>
              <w:tabs>
                <w:tab w:pos="869" w:val="left" w:leader="none"/>
                <w:tab w:pos="870" w:val="left" w:leader="none"/>
              </w:tabs>
              <w:spacing w:line="240" w:lineRule="auto" w:before="117"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0"/>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1088" w:hRule="atLeast"/>
        </w:trPr>
        <w:tc>
          <w:tcPr>
            <w:tcW w:w="664" w:type="dxa"/>
          </w:tcPr>
          <w:p>
            <w:pPr>
              <w:pStyle w:val="TableParagraph"/>
              <w:spacing w:before="110"/>
              <w:ind w:left="107"/>
              <w:rPr>
                <w:b/>
                <w:sz w:val="21"/>
              </w:rPr>
            </w:pPr>
            <w:r>
              <w:rPr>
                <w:b/>
                <w:sz w:val="21"/>
              </w:rPr>
              <w:t>9.2</w:t>
            </w:r>
          </w:p>
        </w:tc>
        <w:tc>
          <w:tcPr>
            <w:tcW w:w="1638" w:type="dxa"/>
          </w:tcPr>
          <w:p>
            <w:pPr>
              <w:pStyle w:val="TableParagraph"/>
              <w:spacing w:before="110"/>
              <w:ind w:left="238"/>
              <w:rPr>
                <w:b/>
                <w:sz w:val="21"/>
              </w:rPr>
            </w:pPr>
            <w:r>
              <w:rPr>
                <w:b/>
                <w:sz w:val="21"/>
              </w:rPr>
              <w:t>急性心肌梗塞</w:t>
            </w:r>
          </w:p>
        </w:tc>
        <w:tc>
          <w:tcPr>
            <w:tcW w:w="7624" w:type="dxa"/>
          </w:tcPr>
          <w:p>
            <w:pPr>
              <w:pStyle w:val="TableParagraph"/>
              <w:spacing w:line="273" w:lineRule="auto" w:before="110"/>
              <w:ind w:right="132"/>
              <w:rPr>
                <w:sz w:val="21"/>
              </w:rPr>
            </w:pPr>
            <w:r>
              <w:rPr>
                <w:sz w:val="21"/>
              </w:rPr>
              <w:t>指因冠状动脉阻塞导致的相应区域供血不足造成部分心肌坏死。须满足下列至少三项条件：</w:t>
            </w:r>
          </w:p>
          <w:p>
            <w:pPr>
              <w:pStyle w:val="TableParagraph"/>
              <w:tabs>
                <w:tab w:pos="869" w:val="left" w:leader="none"/>
              </w:tabs>
              <w:spacing w:line="255" w:lineRule="exact" w:before="87"/>
              <w:rPr>
                <w:sz w:val="21"/>
              </w:rPr>
            </w:pPr>
            <w:r>
              <w:rPr>
                <w:sz w:val="21"/>
              </w:rPr>
              <w:t>（1）</w:t>
              <w:tab/>
            </w:r>
            <w:r>
              <w:rPr>
                <w:spacing w:val="-3"/>
                <w:sz w:val="21"/>
              </w:rPr>
              <w:t>典型临床表现，例如急性胸痛等；</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8"/>
        <w:gridCol w:w="7824"/>
      </w:tblGrid>
      <w:tr>
        <w:trPr>
          <w:trHeight w:val="1478" w:hRule="atLeast"/>
        </w:trPr>
        <w:tc>
          <w:tcPr>
            <w:tcW w:w="756"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824" w:type="dxa"/>
          </w:tcPr>
          <w:p>
            <w:pPr>
              <w:pStyle w:val="TableParagraph"/>
              <w:numPr>
                <w:ilvl w:val="0"/>
                <w:numId w:val="11"/>
              </w:numPr>
              <w:tabs>
                <w:tab w:pos="869" w:val="left" w:leader="none"/>
                <w:tab w:pos="870" w:val="left" w:leader="none"/>
              </w:tabs>
              <w:spacing w:line="211" w:lineRule="exact" w:before="0" w:after="0"/>
              <w:ind w:left="852" w:right="0" w:hanging="720"/>
              <w:jc w:val="left"/>
              <w:rPr>
                <w:sz w:val="21"/>
              </w:rPr>
            </w:pPr>
            <w:r>
              <w:rPr>
                <w:spacing w:val="-3"/>
                <w:sz w:val="21"/>
              </w:rPr>
              <w:t>新近的心电图改变提示急性心肌梗塞；</w:t>
            </w:r>
          </w:p>
          <w:p>
            <w:pPr>
              <w:pStyle w:val="TableParagraph"/>
              <w:numPr>
                <w:ilvl w:val="0"/>
                <w:numId w:val="11"/>
              </w:numPr>
              <w:tabs>
                <w:tab w:pos="834" w:val="left" w:leader="none"/>
              </w:tabs>
              <w:spacing w:line="271" w:lineRule="auto" w:before="116" w:after="0"/>
              <w:ind w:left="852" w:right="303" w:hanging="720"/>
              <w:jc w:val="left"/>
              <w:rPr>
                <w:sz w:val="21"/>
              </w:rPr>
            </w:pPr>
            <w:r>
              <w:rPr>
                <w:spacing w:val="-5"/>
                <w:sz w:val="21"/>
              </w:rPr>
              <w:t>心肌酶或肌钙蛋白有诊断意义的升高，或呈符合急性心肌梗塞的动态性变化；</w:t>
            </w:r>
          </w:p>
          <w:p>
            <w:pPr>
              <w:pStyle w:val="TableParagraph"/>
              <w:numPr>
                <w:ilvl w:val="0"/>
                <w:numId w:val="11"/>
              </w:numPr>
              <w:tabs>
                <w:tab w:pos="862" w:val="left" w:leader="none"/>
                <w:tab w:pos="863" w:val="left" w:leader="none"/>
              </w:tabs>
              <w:spacing w:line="240" w:lineRule="auto" w:before="88" w:after="0"/>
              <w:ind w:left="862" w:right="0"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6" w:hRule="atLeast"/>
        </w:trPr>
        <w:tc>
          <w:tcPr>
            <w:tcW w:w="756" w:type="dxa"/>
          </w:tcPr>
          <w:p>
            <w:pPr>
              <w:pStyle w:val="TableParagraph"/>
              <w:ind w:left="200"/>
              <w:rPr>
                <w:b/>
                <w:sz w:val="21"/>
              </w:rPr>
            </w:pPr>
            <w:r>
              <w:rPr>
                <w:b/>
                <w:sz w:val="21"/>
              </w:rPr>
              <w:t>9.3</w:t>
            </w:r>
          </w:p>
        </w:tc>
        <w:tc>
          <w:tcPr>
            <w:tcW w:w="1638" w:type="dxa"/>
          </w:tcPr>
          <w:p>
            <w:pPr>
              <w:pStyle w:val="TableParagraph"/>
              <w:ind w:left="238"/>
              <w:rPr>
                <w:b/>
                <w:sz w:val="21"/>
              </w:rPr>
            </w:pPr>
            <w:r>
              <w:rPr>
                <w:b/>
                <w:sz w:val="21"/>
              </w:rPr>
              <w:t>脑中风后遗症</w:t>
            </w:r>
          </w:p>
        </w:tc>
        <w:tc>
          <w:tcPr>
            <w:tcW w:w="7824" w:type="dxa"/>
          </w:tcPr>
          <w:p>
            <w:pPr>
              <w:pStyle w:val="TableParagraph"/>
              <w:spacing w:line="271" w:lineRule="auto"/>
              <w:ind w:right="3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2"/>
              </w:numPr>
              <w:tabs>
                <w:tab w:pos="869" w:val="left" w:leader="none"/>
                <w:tab w:pos="870" w:val="left" w:leader="none"/>
              </w:tabs>
              <w:spacing w:line="240" w:lineRule="auto" w:before="88"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10.19)；</w:t>
            </w:r>
          </w:p>
          <w:p>
            <w:pPr>
              <w:pStyle w:val="TableParagraph"/>
              <w:numPr>
                <w:ilvl w:val="0"/>
                <w:numId w:val="12"/>
              </w:numPr>
              <w:tabs>
                <w:tab w:pos="866" w:val="left" w:leader="none"/>
                <w:tab w:pos="867" w:val="left" w:leader="none"/>
              </w:tabs>
              <w:spacing w:line="240" w:lineRule="auto" w:before="115" w:after="0"/>
              <w:ind w:left="867" w:right="0" w:hanging="735"/>
              <w:jc w:val="left"/>
              <w:rPr>
                <w:sz w:val="21"/>
              </w:rPr>
            </w:pPr>
            <w:r>
              <w:rPr>
                <w:b/>
                <w:spacing w:val="-1"/>
                <w:sz w:val="21"/>
              </w:rPr>
              <w:t>语言能力或咀嚼吞咽能力完全丧失</w:t>
            </w:r>
            <w:r>
              <w:rPr>
                <w:spacing w:val="-18"/>
                <w:sz w:val="21"/>
              </w:rPr>
              <w:t>(见 </w:t>
            </w:r>
            <w:r>
              <w:rPr>
                <w:sz w:val="21"/>
              </w:rPr>
              <w:t>10.20)；</w:t>
            </w:r>
          </w:p>
          <w:p>
            <w:pPr>
              <w:pStyle w:val="TableParagraph"/>
              <w:numPr>
                <w:ilvl w:val="0"/>
                <w:numId w:val="12"/>
              </w:numPr>
              <w:tabs>
                <w:tab w:pos="855" w:val="left" w:leader="none"/>
              </w:tabs>
              <w:spacing w:line="273" w:lineRule="auto" w:before="113" w:after="0"/>
              <w:ind w:left="852" w:right="3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10.21) </w:t>
            </w:r>
            <w:r>
              <w:rPr>
                <w:spacing w:val="-3"/>
                <w:sz w:val="21"/>
              </w:rPr>
              <w:t>中的三项或三项以上。</w:t>
            </w:r>
          </w:p>
        </w:tc>
      </w:tr>
      <w:tr>
        <w:trPr>
          <w:trHeight w:val="1885" w:hRule="atLeast"/>
        </w:trPr>
        <w:tc>
          <w:tcPr>
            <w:tcW w:w="756" w:type="dxa"/>
          </w:tcPr>
          <w:p>
            <w:pPr>
              <w:pStyle w:val="TableParagraph"/>
              <w:ind w:left="200"/>
              <w:rPr>
                <w:b/>
                <w:sz w:val="21"/>
              </w:rPr>
            </w:pPr>
            <w:r>
              <w:rPr>
                <w:b/>
                <w:sz w:val="21"/>
              </w:rPr>
              <w:t>9.4</w:t>
            </w:r>
          </w:p>
        </w:tc>
        <w:tc>
          <w:tcPr>
            <w:tcW w:w="1638" w:type="dxa"/>
          </w:tcPr>
          <w:p>
            <w:pPr>
              <w:pStyle w:val="TableParagraph"/>
              <w:spacing w:line="271" w:lineRule="auto"/>
              <w:ind w:left="238" w:right="129"/>
              <w:jc w:val="both"/>
              <w:rPr>
                <w:b/>
                <w:sz w:val="21"/>
              </w:rPr>
            </w:pPr>
            <w:r>
              <w:rPr>
                <w:b/>
                <w:sz w:val="21"/>
              </w:rPr>
              <w:t>重大器官移植术或造血干细胞移植术</w:t>
            </w:r>
          </w:p>
        </w:tc>
        <w:tc>
          <w:tcPr>
            <w:tcW w:w="7824" w:type="dxa"/>
          </w:tcPr>
          <w:p>
            <w:pPr>
              <w:pStyle w:val="TableParagraph"/>
              <w:spacing w:line="271" w:lineRule="auto"/>
              <w:ind w:right="332"/>
              <w:jc w:val="both"/>
              <w:rPr>
                <w:sz w:val="21"/>
              </w:rPr>
            </w:pPr>
            <w:r>
              <w:rPr>
                <w:sz w:val="21"/>
              </w:rPr>
              <w:t>重大器官移植术，指因相应器官功能衰竭，已经实施了肾脏、肝脏、心脏或肺脏的异体移植手术。</w:t>
            </w:r>
          </w:p>
          <w:p>
            <w:pPr>
              <w:pStyle w:val="TableParagraph"/>
              <w:spacing w:line="273" w:lineRule="auto" w:before="88"/>
              <w:ind w:right="3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96" w:hRule="atLeast"/>
        </w:trPr>
        <w:tc>
          <w:tcPr>
            <w:tcW w:w="756" w:type="dxa"/>
          </w:tcPr>
          <w:p>
            <w:pPr>
              <w:pStyle w:val="TableParagraph"/>
              <w:spacing w:before="110"/>
              <w:ind w:left="200"/>
              <w:rPr>
                <w:b/>
                <w:sz w:val="21"/>
              </w:rPr>
            </w:pPr>
            <w:r>
              <w:rPr>
                <w:b/>
                <w:sz w:val="21"/>
              </w:rPr>
              <w:t>9.5</w:t>
            </w:r>
          </w:p>
        </w:tc>
        <w:tc>
          <w:tcPr>
            <w:tcW w:w="1638" w:type="dxa"/>
          </w:tcPr>
          <w:p>
            <w:pPr>
              <w:pStyle w:val="TableParagraph"/>
              <w:spacing w:line="273" w:lineRule="auto" w:before="110"/>
              <w:ind w:left="238" w:right="129"/>
              <w:jc w:val="both"/>
              <w:rPr>
                <w:b/>
                <w:sz w:val="21"/>
              </w:rPr>
            </w:pPr>
            <w:r>
              <w:rPr>
                <w:b/>
                <w:sz w:val="21"/>
              </w:rPr>
              <w:t>冠状动脉搭桥术（或称冠状动脉旁路移植术）</w:t>
            </w:r>
          </w:p>
        </w:tc>
        <w:tc>
          <w:tcPr>
            <w:tcW w:w="7824" w:type="dxa"/>
          </w:tcPr>
          <w:p>
            <w:pPr>
              <w:pStyle w:val="TableParagraph"/>
              <w:spacing w:before="110"/>
              <w:rPr>
                <w:sz w:val="21"/>
              </w:rPr>
            </w:pPr>
            <w:r>
              <w:rPr>
                <w:sz w:val="21"/>
              </w:rPr>
              <w:t>指为治疗严重的冠心病，实际实施了开胸进行的冠状动脉血管旁路移植的手术。</w:t>
            </w:r>
          </w:p>
          <w:p>
            <w:pPr>
              <w:pStyle w:val="TableParagraph"/>
              <w:spacing w:line="271" w:lineRule="auto" w:before="116"/>
              <w:ind w:right="332"/>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495" w:hRule="atLeast"/>
        </w:trPr>
        <w:tc>
          <w:tcPr>
            <w:tcW w:w="756" w:type="dxa"/>
          </w:tcPr>
          <w:p>
            <w:pPr>
              <w:pStyle w:val="TableParagraph"/>
              <w:ind w:left="200"/>
              <w:rPr>
                <w:b/>
                <w:sz w:val="21"/>
              </w:rPr>
            </w:pPr>
            <w:r>
              <w:rPr>
                <w:b/>
                <w:sz w:val="21"/>
              </w:rPr>
              <w:t>9.6</w:t>
            </w:r>
          </w:p>
        </w:tc>
        <w:tc>
          <w:tcPr>
            <w:tcW w:w="1638" w:type="dxa"/>
          </w:tcPr>
          <w:p>
            <w:pPr>
              <w:pStyle w:val="TableParagraph"/>
              <w:ind w:left="238"/>
              <w:rPr>
                <w:b/>
                <w:sz w:val="21"/>
              </w:rPr>
            </w:pPr>
            <w:r>
              <w:rPr>
                <w:b/>
                <w:sz w:val="21"/>
              </w:rPr>
              <w:t>终末期肾病</w:t>
            </w:r>
          </w:p>
          <w:p>
            <w:pPr>
              <w:pStyle w:val="TableParagraph"/>
              <w:spacing w:line="273" w:lineRule="auto" w:before="34"/>
              <w:ind w:left="238" w:right="129"/>
              <w:jc w:val="both"/>
              <w:rPr>
                <w:b/>
                <w:sz w:val="21"/>
              </w:rPr>
            </w:pPr>
            <w:r>
              <w:rPr>
                <w:b/>
                <w:sz w:val="21"/>
              </w:rPr>
              <w:t>（或称慢性肾功能衰竭尿毒症期）</w:t>
            </w:r>
          </w:p>
        </w:tc>
        <w:tc>
          <w:tcPr>
            <w:tcW w:w="7824" w:type="dxa"/>
          </w:tcPr>
          <w:p>
            <w:pPr>
              <w:pStyle w:val="TableParagraph"/>
              <w:spacing w:line="271" w:lineRule="auto"/>
              <w:ind w:right="307"/>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2" w:hRule="atLeast"/>
        </w:trPr>
        <w:tc>
          <w:tcPr>
            <w:tcW w:w="756" w:type="dxa"/>
          </w:tcPr>
          <w:p>
            <w:pPr>
              <w:pStyle w:val="TableParagraph"/>
              <w:ind w:left="200"/>
              <w:rPr>
                <w:b/>
                <w:sz w:val="21"/>
              </w:rPr>
            </w:pPr>
            <w:r>
              <w:rPr>
                <w:b/>
                <w:sz w:val="21"/>
              </w:rPr>
              <w:t>9.7</w:t>
            </w:r>
          </w:p>
        </w:tc>
        <w:tc>
          <w:tcPr>
            <w:tcW w:w="1638" w:type="dxa"/>
          </w:tcPr>
          <w:p>
            <w:pPr>
              <w:pStyle w:val="TableParagraph"/>
              <w:ind w:left="238"/>
              <w:rPr>
                <w:b/>
                <w:sz w:val="21"/>
              </w:rPr>
            </w:pPr>
            <w:r>
              <w:rPr>
                <w:b/>
                <w:sz w:val="21"/>
              </w:rPr>
              <w:t>多个肢体缺失</w:t>
            </w:r>
          </w:p>
        </w:tc>
        <w:tc>
          <w:tcPr>
            <w:tcW w:w="7824" w:type="dxa"/>
          </w:tcPr>
          <w:p>
            <w:pPr>
              <w:pStyle w:val="TableParagraph"/>
              <w:spacing w:line="273" w:lineRule="auto"/>
              <w:ind w:right="332"/>
              <w:rPr>
                <w:sz w:val="21"/>
              </w:rPr>
            </w:pPr>
            <w:r>
              <w:rPr>
                <w:sz w:val="21"/>
              </w:rPr>
              <w:t>指因疾病或意外伤害导致两个或两个以上肢体自腕关节或踝关节近端（靠近躯干端）以上完全性断离。</w:t>
            </w:r>
          </w:p>
        </w:tc>
      </w:tr>
      <w:tr>
        <w:trPr>
          <w:trHeight w:val="2433" w:hRule="atLeast"/>
        </w:trPr>
        <w:tc>
          <w:tcPr>
            <w:tcW w:w="756" w:type="dxa"/>
          </w:tcPr>
          <w:p>
            <w:pPr>
              <w:pStyle w:val="TableParagraph"/>
              <w:spacing w:before="110"/>
              <w:ind w:left="200"/>
              <w:rPr>
                <w:b/>
                <w:sz w:val="21"/>
              </w:rPr>
            </w:pPr>
            <w:r>
              <w:rPr>
                <w:b/>
                <w:sz w:val="21"/>
              </w:rPr>
              <w:t>9.8</w:t>
            </w:r>
          </w:p>
        </w:tc>
        <w:tc>
          <w:tcPr>
            <w:tcW w:w="1638" w:type="dxa"/>
          </w:tcPr>
          <w:p>
            <w:pPr>
              <w:pStyle w:val="TableParagraph"/>
              <w:spacing w:line="273" w:lineRule="auto" w:before="110"/>
              <w:ind w:left="238" w:right="131"/>
              <w:rPr>
                <w:b/>
                <w:sz w:val="21"/>
              </w:rPr>
            </w:pPr>
            <w:r>
              <w:rPr>
                <w:b/>
                <w:sz w:val="21"/>
              </w:rPr>
              <w:t>急性或亚急性重症肝炎</w:t>
            </w:r>
          </w:p>
        </w:tc>
        <w:tc>
          <w:tcPr>
            <w:tcW w:w="7824" w:type="dxa"/>
          </w:tcPr>
          <w:p>
            <w:pPr>
              <w:pStyle w:val="TableParagraph"/>
              <w:spacing w:line="273" w:lineRule="auto" w:before="110"/>
              <w:ind w:right="332"/>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3"/>
              </w:numPr>
              <w:tabs>
                <w:tab w:pos="869" w:val="left" w:leader="none"/>
                <w:tab w:pos="870" w:val="left" w:leader="none"/>
              </w:tabs>
              <w:spacing w:line="240" w:lineRule="auto" w:before="86" w:after="0"/>
              <w:ind w:left="869" w:right="0" w:hanging="737"/>
              <w:jc w:val="left"/>
              <w:rPr>
                <w:sz w:val="21"/>
              </w:rPr>
            </w:pPr>
            <w:r>
              <w:rPr>
                <w:spacing w:val="-3"/>
                <w:sz w:val="21"/>
              </w:rPr>
              <w:t>重度黄疸或黄疸迅速加重；</w:t>
            </w:r>
          </w:p>
          <w:p>
            <w:pPr>
              <w:pStyle w:val="TableParagraph"/>
              <w:numPr>
                <w:ilvl w:val="0"/>
                <w:numId w:val="13"/>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3"/>
              </w:numPr>
              <w:tabs>
                <w:tab w:pos="869" w:val="left" w:leader="none"/>
                <w:tab w:pos="870" w:val="left" w:leader="none"/>
              </w:tabs>
              <w:spacing w:line="240" w:lineRule="auto" w:before="116"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3"/>
              </w:numPr>
              <w:tabs>
                <w:tab w:pos="869" w:val="left" w:leader="none"/>
                <w:tab w:pos="870" w:val="left" w:leader="none"/>
              </w:tabs>
              <w:spacing w:line="240" w:lineRule="auto" w:before="114" w:after="0"/>
              <w:ind w:left="869" w:right="0" w:hanging="737"/>
              <w:jc w:val="left"/>
              <w:rPr>
                <w:sz w:val="21"/>
              </w:rPr>
            </w:pPr>
            <w:r>
              <w:rPr>
                <w:spacing w:val="-3"/>
                <w:sz w:val="21"/>
              </w:rPr>
              <w:t>肝功能指标进行性恶化。</w:t>
            </w:r>
          </w:p>
        </w:tc>
      </w:tr>
      <w:tr>
        <w:trPr>
          <w:trHeight w:val="1790" w:hRule="atLeast"/>
        </w:trPr>
        <w:tc>
          <w:tcPr>
            <w:tcW w:w="756" w:type="dxa"/>
          </w:tcPr>
          <w:p>
            <w:pPr>
              <w:pStyle w:val="TableParagraph"/>
              <w:ind w:left="200"/>
              <w:rPr>
                <w:b/>
                <w:sz w:val="21"/>
              </w:rPr>
            </w:pPr>
            <w:r>
              <w:rPr>
                <w:b/>
                <w:sz w:val="21"/>
              </w:rPr>
              <w:t>9.9</w:t>
            </w:r>
          </w:p>
        </w:tc>
        <w:tc>
          <w:tcPr>
            <w:tcW w:w="1638" w:type="dxa"/>
          </w:tcPr>
          <w:p>
            <w:pPr>
              <w:pStyle w:val="TableParagraph"/>
              <w:ind w:left="238"/>
              <w:rPr>
                <w:b/>
                <w:sz w:val="21"/>
              </w:rPr>
            </w:pPr>
            <w:r>
              <w:rPr>
                <w:b/>
                <w:sz w:val="21"/>
              </w:rPr>
              <w:t>良性脑肿瘤</w:t>
            </w:r>
          </w:p>
        </w:tc>
        <w:tc>
          <w:tcPr>
            <w:tcW w:w="7824" w:type="dxa"/>
          </w:tcPr>
          <w:p>
            <w:pPr>
              <w:pStyle w:val="TableParagraph"/>
              <w:spacing w:line="271" w:lineRule="auto"/>
              <w:ind w:right="200"/>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4"/>
              </w:numPr>
              <w:tabs>
                <w:tab w:pos="870" w:val="left" w:leader="none"/>
              </w:tabs>
              <w:spacing w:line="240" w:lineRule="auto" w:before="88" w:after="0"/>
              <w:ind w:left="869" w:right="0" w:hanging="737"/>
              <w:jc w:val="both"/>
              <w:rPr>
                <w:sz w:val="21"/>
              </w:rPr>
            </w:pPr>
            <w:r>
              <w:rPr>
                <w:spacing w:val="-3"/>
                <w:sz w:val="21"/>
              </w:rPr>
              <w:t>实际实施了开颅进行的脑肿瘤完全切除或部分切除的手术；</w:t>
            </w:r>
          </w:p>
          <w:p>
            <w:pPr>
              <w:pStyle w:val="TableParagraph"/>
              <w:numPr>
                <w:ilvl w:val="0"/>
                <w:numId w:val="14"/>
              </w:numPr>
              <w:tabs>
                <w:tab w:pos="870" w:val="left" w:leader="none"/>
              </w:tabs>
              <w:spacing w:line="255" w:lineRule="exact" w:before="116" w:after="0"/>
              <w:ind w:left="869" w:right="0" w:hanging="737"/>
              <w:jc w:val="both"/>
              <w:rPr>
                <w:sz w:val="21"/>
              </w:rPr>
            </w:pPr>
            <w:r>
              <w:rPr>
                <w:spacing w:val="-3"/>
                <w:sz w:val="21"/>
              </w:rPr>
              <w:t>实际实施了对脑肿瘤进行的放射治疗。</w:t>
            </w:r>
          </w:p>
        </w:tc>
      </w:tr>
    </w:tbl>
    <w:p>
      <w:pPr>
        <w:spacing w:after="0" w:line="255" w:lineRule="exact"/>
        <w:jc w:val="both"/>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737"/>
      </w:tblGrid>
      <w:tr>
        <w:trPr>
          <w:trHeight w:val="386"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737" w:type="dxa"/>
          </w:tcPr>
          <w:p>
            <w:pPr>
              <w:pStyle w:val="TableParagraph"/>
              <w:spacing w:line="211" w:lineRule="exact" w:before="0"/>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ind w:left="200"/>
              <w:rPr>
                <w:b/>
                <w:sz w:val="21"/>
              </w:rPr>
            </w:pPr>
            <w:r>
              <w:rPr>
                <w:b/>
                <w:sz w:val="21"/>
              </w:rPr>
              <w:t>9.10</w:t>
            </w:r>
          </w:p>
        </w:tc>
        <w:tc>
          <w:tcPr>
            <w:tcW w:w="1585" w:type="dxa"/>
          </w:tcPr>
          <w:p>
            <w:pPr>
              <w:pStyle w:val="TableParagraph"/>
              <w:spacing w:line="271" w:lineRule="auto"/>
              <w:ind w:left="185" w:right="129"/>
              <w:rPr>
                <w:b/>
                <w:sz w:val="21"/>
              </w:rPr>
            </w:pPr>
            <w:r>
              <w:rPr>
                <w:b/>
                <w:sz w:val="21"/>
              </w:rPr>
              <w:t>慢性肝功能衰竭失代偿期</w:t>
            </w:r>
          </w:p>
        </w:tc>
        <w:tc>
          <w:tcPr>
            <w:tcW w:w="7737" w:type="dxa"/>
          </w:tcPr>
          <w:p>
            <w:pPr>
              <w:pStyle w:val="TableParagraph"/>
              <w:rPr>
                <w:sz w:val="21"/>
              </w:rPr>
            </w:pPr>
            <w:r>
              <w:rPr>
                <w:sz w:val="21"/>
              </w:rPr>
              <w:t>指因慢性肝脏疾病导致肝功能衰竭。须满足下列全部条件：</w:t>
            </w:r>
          </w:p>
          <w:p>
            <w:pPr>
              <w:pStyle w:val="TableParagraph"/>
              <w:numPr>
                <w:ilvl w:val="0"/>
                <w:numId w:val="15"/>
              </w:numPr>
              <w:tabs>
                <w:tab w:pos="869" w:val="left" w:leader="none"/>
                <w:tab w:pos="870" w:val="left" w:leader="none"/>
              </w:tabs>
              <w:spacing w:line="240" w:lineRule="auto" w:before="113" w:after="0"/>
              <w:ind w:left="869" w:right="0" w:hanging="737"/>
              <w:jc w:val="left"/>
              <w:rPr>
                <w:sz w:val="21"/>
              </w:rPr>
            </w:pPr>
            <w:r>
              <w:rPr>
                <w:spacing w:val="-3"/>
                <w:sz w:val="21"/>
              </w:rPr>
              <w:t>持续性黄疸；</w:t>
            </w:r>
          </w:p>
          <w:p>
            <w:pPr>
              <w:pStyle w:val="TableParagraph"/>
              <w:numPr>
                <w:ilvl w:val="0"/>
                <w:numId w:val="15"/>
              </w:numPr>
              <w:tabs>
                <w:tab w:pos="869" w:val="left" w:leader="none"/>
                <w:tab w:pos="870" w:val="left" w:leader="none"/>
              </w:tabs>
              <w:spacing w:line="240" w:lineRule="auto" w:before="116" w:after="0"/>
              <w:ind w:left="869" w:right="0" w:hanging="737"/>
              <w:jc w:val="left"/>
              <w:rPr>
                <w:sz w:val="21"/>
              </w:rPr>
            </w:pPr>
            <w:r>
              <w:rPr>
                <w:spacing w:val="-2"/>
                <w:sz w:val="21"/>
              </w:rPr>
              <w:t>腹水；</w:t>
            </w:r>
          </w:p>
          <w:p>
            <w:pPr>
              <w:pStyle w:val="TableParagraph"/>
              <w:numPr>
                <w:ilvl w:val="0"/>
                <w:numId w:val="15"/>
              </w:numPr>
              <w:tabs>
                <w:tab w:pos="869" w:val="left" w:leader="none"/>
                <w:tab w:pos="870" w:val="left" w:leader="none"/>
              </w:tabs>
              <w:spacing w:line="240" w:lineRule="auto" w:before="114" w:after="0"/>
              <w:ind w:left="869" w:right="0" w:hanging="737"/>
              <w:jc w:val="left"/>
              <w:rPr>
                <w:sz w:val="21"/>
              </w:rPr>
            </w:pPr>
            <w:r>
              <w:rPr>
                <w:spacing w:val="-3"/>
                <w:sz w:val="21"/>
              </w:rPr>
              <w:t>肝性脑病；</w:t>
            </w:r>
          </w:p>
          <w:p>
            <w:pPr>
              <w:pStyle w:val="TableParagraph"/>
              <w:numPr>
                <w:ilvl w:val="0"/>
                <w:numId w:val="15"/>
              </w:numPr>
              <w:tabs>
                <w:tab w:pos="869" w:val="left" w:leader="none"/>
                <w:tab w:pos="870" w:val="left" w:leader="none"/>
              </w:tabs>
              <w:spacing w:line="240" w:lineRule="auto" w:before="116" w:after="0"/>
              <w:ind w:left="869" w:right="0" w:hanging="737"/>
              <w:jc w:val="left"/>
              <w:rPr>
                <w:sz w:val="21"/>
              </w:rPr>
            </w:pPr>
            <w:r>
              <w:rPr>
                <w:spacing w:val="-3"/>
                <w:sz w:val="21"/>
              </w:rPr>
              <w:t>充血性脾肿大伴脾功能亢进或食管胃底静脉曲张。</w:t>
            </w:r>
          </w:p>
          <w:p>
            <w:pPr>
              <w:pStyle w:val="TableParagraph"/>
              <w:spacing w:before="113"/>
              <w:rPr>
                <w:sz w:val="21"/>
              </w:rPr>
            </w:pPr>
            <w:r>
              <w:rPr>
                <w:rFonts w:ascii="黑体" w:eastAsia="黑体" w:hint="eastAsia"/>
                <w:sz w:val="21"/>
              </w:rPr>
              <w:t>因酗酒或药物滥用导致的肝功能衰竭不在保障范围内</w:t>
            </w:r>
            <w:r>
              <w:rPr>
                <w:sz w:val="21"/>
              </w:rPr>
              <w:t>。</w:t>
            </w:r>
          </w:p>
        </w:tc>
      </w:tr>
      <w:tr>
        <w:trPr>
          <w:trHeight w:val="2353" w:hRule="atLeast"/>
        </w:trPr>
        <w:tc>
          <w:tcPr>
            <w:tcW w:w="809" w:type="dxa"/>
          </w:tcPr>
          <w:p>
            <w:pPr>
              <w:pStyle w:val="TableParagraph"/>
              <w:ind w:left="200"/>
              <w:rPr>
                <w:b/>
                <w:sz w:val="21"/>
              </w:rPr>
            </w:pPr>
            <w:r>
              <w:rPr>
                <w:b/>
                <w:sz w:val="21"/>
              </w:rPr>
              <w:t>9.11</w:t>
            </w:r>
          </w:p>
        </w:tc>
        <w:tc>
          <w:tcPr>
            <w:tcW w:w="1585" w:type="dxa"/>
          </w:tcPr>
          <w:p>
            <w:pPr>
              <w:pStyle w:val="TableParagraph"/>
              <w:spacing w:line="271" w:lineRule="auto"/>
              <w:ind w:left="185" w:right="129"/>
              <w:rPr>
                <w:b/>
                <w:sz w:val="21"/>
              </w:rPr>
            </w:pPr>
            <w:r>
              <w:rPr>
                <w:b/>
                <w:sz w:val="21"/>
              </w:rPr>
              <w:t>脑炎后遗症或脑膜炎后遗症</w:t>
            </w:r>
          </w:p>
        </w:tc>
        <w:tc>
          <w:tcPr>
            <w:tcW w:w="7737" w:type="dxa"/>
          </w:tcPr>
          <w:p>
            <w:pPr>
              <w:pStyle w:val="TableParagraph"/>
              <w:spacing w:line="271" w:lineRule="auto"/>
              <w:ind w:right="245"/>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6"/>
              </w:numPr>
              <w:tabs>
                <w:tab w:pos="869" w:val="left" w:leader="none"/>
                <w:tab w:pos="870" w:val="left" w:leader="none"/>
              </w:tabs>
              <w:spacing w:line="240" w:lineRule="auto" w:before="88" w:after="0"/>
              <w:ind w:left="852" w:right="0" w:hanging="720"/>
              <w:jc w:val="left"/>
              <w:rPr>
                <w:sz w:val="21"/>
              </w:rPr>
            </w:pPr>
            <w:r>
              <w:rPr>
                <w:spacing w:val="-3"/>
                <w:sz w:val="21"/>
              </w:rPr>
              <w:t>一肢或一肢以上肢体机能完全丧失；</w:t>
            </w:r>
          </w:p>
          <w:p>
            <w:pPr>
              <w:pStyle w:val="TableParagraph"/>
              <w:numPr>
                <w:ilvl w:val="0"/>
                <w:numId w:val="16"/>
              </w:numPr>
              <w:tabs>
                <w:tab w:pos="869" w:val="left" w:leader="none"/>
                <w:tab w:pos="870" w:val="left" w:leader="none"/>
              </w:tabs>
              <w:spacing w:line="240" w:lineRule="auto" w:before="115" w:after="0"/>
              <w:ind w:left="852" w:right="0" w:hanging="720"/>
              <w:jc w:val="left"/>
              <w:rPr>
                <w:sz w:val="21"/>
              </w:rPr>
            </w:pPr>
            <w:r>
              <w:rPr>
                <w:spacing w:val="-3"/>
                <w:sz w:val="21"/>
              </w:rPr>
              <w:t>语言能力或咀嚼吞咽能力完全丧失；</w:t>
            </w:r>
          </w:p>
          <w:p>
            <w:pPr>
              <w:pStyle w:val="TableParagraph"/>
              <w:numPr>
                <w:ilvl w:val="0"/>
                <w:numId w:val="16"/>
              </w:numPr>
              <w:tabs>
                <w:tab w:pos="834" w:val="left" w:leader="none"/>
              </w:tabs>
              <w:spacing w:line="273" w:lineRule="auto" w:before="114" w:after="0"/>
              <w:ind w:left="852" w:right="216"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574" w:hRule="atLeast"/>
        </w:trPr>
        <w:tc>
          <w:tcPr>
            <w:tcW w:w="809" w:type="dxa"/>
          </w:tcPr>
          <w:p>
            <w:pPr>
              <w:pStyle w:val="TableParagraph"/>
              <w:spacing w:before="110"/>
              <w:ind w:left="200"/>
              <w:rPr>
                <w:b/>
                <w:sz w:val="21"/>
              </w:rPr>
            </w:pPr>
            <w:r>
              <w:rPr>
                <w:b/>
                <w:sz w:val="21"/>
              </w:rPr>
              <w:t>9.12</w:t>
            </w:r>
          </w:p>
        </w:tc>
        <w:tc>
          <w:tcPr>
            <w:tcW w:w="1585" w:type="dxa"/>
          </w:tcPr>
          <w:p>
            <w:pPr>
              <w:pStyle w:val="TableParagraph"/>
              <w:spacing w:before="110"/>
              <w:ind w:left="185"/>
              <w:rPr>
                <w:b/>
                <w:sz w:val="21"/>
              </w:rPr>
            </w:pPr>
            <w:r>
              <w:rPr>
                <w:b/>
                <w:sz w:val="21"/>
              </w:rPr>
              <w:t>深度昏迷</w:t>
            </w:r>
          </w:p>
        </w:tc>
        <w:tc>
          <w:tcPr>
            <w:tcW w:w="7737" w:type="dxa"/>
          </w:tcPr>
          <w:p>
            <w:pPr>
              <w:pStyle w:val="TableParagraph"/>
              <w:spacing w:line="273" w:lineRule="auto" w:before="110"/>
              <w:ind w:right="245"/>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9"/>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86"/>
              <w:jc w:val="both"/>
              <w:rPr>
                <w:sz w:val="21"/>
              </w:rPr>
            </w:pPr>
            <w:r>
              <w:rPr>
                <w:rFonts w:ascii="黑体" w:eastAsia="黑体" w:hint="eastAsia"/>
                <w:sz w:val="21"/>
              </w:rPr>
              <w:t>因酗酒或药物滥用导致的深度昏迷不在保障范围内</w:t>
            </w:r>
            <w:r>
              <w:rPr>
                <w:sz w:val="21"/>
              </w:rPr>
              <w:t>。</w:t>
            </w:r>
          </w:p>
        </w:tc>
      </w:tr>
      <w:tr>
        <w:trPr>
          <w:trHeight w:val="1184" w:hRule="atLeast"/>
        </w:trPr>
        <w:tc>
          <w:tcPr>
            <w:tcW w:w="809" w:type="dxa"/>
          </w:tcPr>
          <w:p>
            <w:pPr>
              <w:pStyle w:val="TableParagraph"/>
              <w:spacing w:before="110"/>
              <w:ind w:left="200"/>
              <w:rPr>
                <w:b/>
                <w:sz w:val="21"/>
              </w:rPr>
            </w:pPr>
            <w:r>
              <w:rPr>
                <w:b/>
                <w:sz w:val="21"/>
              </w:rPr>
              <w:t>9.13</w:t>
            </w:r>
          </w:p>
        </w:tc>
        <w:tc>
          <w:tcPr>
            <w:tcW w:w="1585" w:type="dxa"/>
          </w:tcPr>
          <w:p>
            <w:pPr>
              <w:pStyle w:val="TableParagraph"/>
              <w:spacing w:before="110"/>
              <w:ind w:left="185"/>
              <w:rPr>
                <w:b/>
                <w:sz w:val="21"/>
              </w:rPr>
            </w:pPr>
            <w:r>
              <w:rPr>
                <w:b/>
                <w:sz w:val="21"/>
              </w:rPr>
              <w:t>双耳失聪</w:t>
            </w:r>
          </w:p>
        </w:tc>
        <w:tc>
          <w:tcPr>
            <w:tcW w:w="7737" w:type="dxa"/>
          </w:tcPr>
          <w:p>
            <w:pPr>
              <w:pStyle w:val="TableParagraph"/>
              <w:spacing w:before="110"/>
              <w:rPr>
                <w:sz w:val="21"/>
              </w:rPr>
            </w:pPr>
            <w:r>
              <w:rPr>
                <w:sz w:val="21"/>
              </w:rPr>
              <w:t>指因疾病或意外伤害导致双耳听力</w:t>
            </w:r>
            <w:r>
              <w:rPr>
                <w:b/>
                <w:sz w:val="21"/>
              </w:rPr>
              <w:t>永久不可逆</w:t>
            </w:r>
            <w:r>
              <w:rPr>
                <w:sz w:val="21"/>
              </w:rPr>
              <w:t>(见 10.22)性丧失，在 500 赫兹、</w:t>
            </w:r>
          </w:p>
          <w:p>
            <w:pPr>
              <w:pStyle w:val="TableParagraph"/>
              <w:spacing w:line="273" w:lineRule="auto" w:before="37"/>
              <w:ind w:right="197"/>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3"/>
                <w:sz w:val="21"/>
              </w:rPr>
              <w:t>声导抗检测或听觉诱发电位检测等证实。</w:t>
            </w:r>
          </w:p>
        </w:tc>
      </w:tr>
      <w:tr>
        <w:trPr>
          <w:trHeight w:val="2353" w:hRule="atLeast"/>
        </w:trPr>
        <w:tc>
          <w:tcPr>
            <w:tcW w:w="809" w:type="dxa"/>
          </w:tcPr>
          <w:p>
            <w:pPr>
              <w:pStyle w:val="TableParagraph"/>
              <w:ind w:left="200"/>
              <w:rPr>
                <w:b/>
                <w:sz w:val="21"/>
              </w:rPr>
            </w:pPr>
            <w:r>
              <w:rPr>
                <w:b/>
                <w:sz w:val="21"/>
              </w:rPr>
              <w:t>9.14</w:t>
            </w:r>
          </w:p>
        </w:tc>
        <w:tc>
          <w:tcPr>
            <w:tcW w:w="1585" w:type="dxa"/>
          </w:tcPr>
          <w:p>
            <w:pPr>
              <w:pStyle w:val="TableParagraph"/>
              <w:ind w:left="185"/>
              <w:rPr>
                <w:b/>
                <w:sz w:val="21"/>
              </w:rPr>
            </w:pPr>
            <w:r>
              <w:rPr>
                <w:b/>
                <w:sz w:val="21"/>
              </w:rPr>
              <w:t>双目失明</w:t>
            </w:r>
          </w:p>
        </w:tc>
        <w:tc>
          <w:tcPr>
            <w:tcW w:w="7737" w:type="dxa"/>
          </w:tcPr>
          <w:p>
            <w:pPr>
              <w:pStyle w:val="TableParagraph"/>
              <w:spacing w:line="271" w:lineRule="auto"/>
              <w:ind w:right="245"/>
              <w:rPr>
                <w:sz w:val="21"/>
              </w:rPr>
            </w:pPr>
            <w:r>
              <w:rPr>
                <w:sz w:val="21"/>
              </w:rPr>
              <w:t>指因疾病或意外伤害导致双眼视力永久不可逆性丧失，双眼中较好眼须满足下列至少一项条件：</w:t>
            </w:r>
          </w:p>
          <w:p>
            <w:pPr>
              <w:pStyle w:val="TableParagraph"/>
              <w:numPr>
                <w:ilvl w:val="0"/>
                <w:numId w:val="17"/>
              </w:numPr>
              <w:tabs>
                <w:tab w:pos="869" w:val="left" w:leader="none"/>
                <w:tab w:pos="870" w:val="left" w:leader="none"/>
              </w:tabs>
              <w:spacing w:line="240" w:lineRule="auto" w:before="88" w:after="0"/>
              <w:ind w:left="852" w:right="0" w:hanging="720"/>
              <w:jc w:val="left"/>
              <w:rPr>
                <w:sz w:val="21"/>
              </w:rPr>
            </w:pPr>
            <w:r>
              <w:rPr>
                <w:spacing w:val="-3"/>
                <w:sz w:val="21"/>
              </w:rPr>
              <w:t>眼球缺失或摘除；</w:t>
            </w:r>
          </w:p>
          <w:p>
            <w:pPr>
              <w:pStyle w:val="TableParagraph"/>
              <w:numPr>
                <w:ilvl w:val="0"/>
                <w:numId w:val="17"/>
              </w:numPr>
              <w:tabs>
                <w:tab w:pos="869" w:val="left" w:leader="none"/>
                <w:tab w:pos="870" w:val="left" w:leader="none"/>
              </w:tabs>
              <w:spacing w:line="271" w:lineRule="auto" w:before="116" w:after="0"/>
              <w:ind w:left="852" w:right="303"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7"/>
              </w:numPr>
              <w:tabs>
                <w:tab w:pos="869" w:val="left" w:leader="none"/>
                <w:tab w:pos="870" w:val="left" w:leader="none"/>
              </w:tabs>
              <w:spacing w:line="240" w:lineRule="auto" w:before="89" w:after="0"/>
              <w:ind w:left="852" w:right="0" w:hanging="720"/>
              <w:jc w:val="left"/>
              <w:rPr>
                <w:sz w:val="21"/>
              </w:rPr>
            </w:pPr>
            <w:r>
              <w:rPr>
                <w:spacing w:val="-10"/>
                <w:sz w:val="21"/>
              </w:rPr>
              <w:t>视野半径小于 </w:t>
            </w:r>
            <w:r>
              <w:rPr>
                <w:sz w:val="21"/>
              </w:rPr>
              <w:t>5</w:t>
            </w:r>
            <w:r>
              <w:rPr>
                <w:spacing w:val="-19"/>
                <w:sz w:val="21"/>
              </w:rPr>
              <w:t> 度。</w:t>
            </w:r>
          </w:p>
        </w:tc>
      </w:tr>
      <w:tr>
        <w:trPr>
          <w:trHeight w:val="1184" w:hRule="atLeast"/>
        </w:trPr>
        <w:tc>
          <w:tcPr>
            <w:tcW w:w="809" w:type="dxa"/>
          </w:tcPr>
          <w:p>
            <w:pPr>
              <w:pStyle w:val="TableParagraph"/>
              <w:spacing w:before="110"/>
              <w:ind w:left="200"/>
              <w:rPr>
                <w:b/>
                <w:sz w:val="21"/>
              </w:rPr>
            </w:pPr>
            <w:r>
              <w:rPr>
                <w:b/>
                <w:sz w:val="21"/>
              </w:rPr>
              <w:t>9.15</w:t>
            </w:r>
          </w:p>
        </w:tc>
        <w:tc>
          <w:tcPr>
            <w:tcW w:w="1585" w:type="dxa"/>
          </w:tcPr>
          <w:p>
            <w:pPr>
              <w:pStyle w:val="TableParagraph"/>
              <w:spacing w:before="110"/>
              <w:ind w:left="185"/>
              <w:rPr>
                <w:b/>
                <w:sz w:val="21"/>
              </w:rPr>
            </w:pPr>
            <w:r>
              <w:rPr>
                <w:b/>
                <w:sz w:val="21"/>
              </w:rPr>
              <w:t>瘫痪</w:t>
            </w:r>
          </w:p>
        </w:tc>
        <w:tc>
          <w:tcPr>
            <w:tcW w:w="7737" w:type="dxa"/>
          </w:tcPr>
          <w:p>
            <w:pPr>
              <w:pStyle w:val="TableParagraph"/>
              <w:spacing w:line="273" w:lineRule="auto" w:before="110"/>
              <w:ind w:right="245"/>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0" w:hRule="atLeast"/>
        </w:trPr>
        <w:tc>
          <w:tcPr>
            <w:tcW w:w="809" w:type="dxa"/>
          </w:tcPr>
          <w:p>
            <w:pPr>
              <w:pStyle w:val="TableParagraph"/>
              <w:ind w:left="200"/>
              <w:rPr>
                <w:b/>
                <w:sz w:val="21"/>
              </w:rPr>
            </w:pPr>
            <w:r>
              <w:rPr>
                <w:b/>
                <w:sz w:val="21"/>
              </w:rPr>
              <w:t>9.16</w:t>
            </w:r>
          </w:p>
        </w:tc>
        <w:tc>
          <w:tcPr>
            <w:tcW w:w="1585" w:type="dxa"/>
          </w:tcPr>
          <w:p>
            <w:pPr>
              <w:pStyle w:val="TableParagraph"/>
              <w:ind w:left="185"/>
              <w:rPr>
                <w:b/>
                <w:sz w:val="21"/>
              </w:rPr>
            </w:pPr>
            <w:r>
              <w:rPr>
                <w:b/>
                <w:sz w:val="21"/>
              </w:rPr>
              <w:t>心脏瓣膜手术</w:t>
            </w:r>
          </w:p>
        </w:tc>
        <w:tc>
          <w:tcPr>
            <w:tcW w:w="7737" w:type="dxa"/>
          </w:tcPr>
          <w:p>
            <w:pPr>
              <w:pStyle w:val="TableParagraph"/>
              <w:rPr>
                <w:sz w:val="21"/>
              </w:rPr>
            </w:pPr>
            <w:r>
              <w:rPr>
                <w:sz w:val="21"/>
              </w:rPr>
              <w:t>指为治疗心脏瓣膜疾病，实际实施了开胸进行的心脏瓣膜置换或修复的手术。</w:t>
            </w:r>
          </w:p>
        </w:tc>
      </w:tr>
      <w:tr>
        <w:trPr>
          <w:trHeight w:val="2024" w:hRule="atLeast"/>
        </w:trPr>
        <w:tc>
          <w:tcPr>
            <w:tcW w:w="809" w:type="dxa"/>
          </w:tcPr>
          <w:p>
            <w:pPr>
              <w:pStyle w:val="TableParagraph"/>
              <w:spacing w:before="110"/>
              <w:ind w:left="200"/>
              <w:rPr>
                <w:b/>
                <w:sz w:val="21"/>
              </w:rPr>
            </w:pPr>
            <w:r>
              <w:rPr>
                <w:b/>
                <w:sz w:val="21"/>
              </w:rPr>
              <w:t>9.17</w:t>
            </w:r>
          </w:p>
        </w:tc>
        <w:tc>
          <w:tcPr>
            <w:tcW w:w="1585" w:type="dxa"/>
          </w:tcPr>
          <w:p>
            <w:pPr>
              <w:pStyle w:val="TableParagraph"/>
              <w:spacing w:line="273" w:lineRule="auto" w:before="110"/>
              <w:ind w:left="185" w:right="129"/>
              <w:rPr>
                <w:b/>
                <w:sz w:val="21"/>
              </w:rPr>
            </w:pPr>
            <w:r>
              <w:rPr>
                <w:b/>
                <w:sz w:val="21"/>
              </w:rPr>
              <w:t>严重阿尔茨海默病</w:t>
            </w:r>
          </w:p>
        </w:tc>
        <w:tc>
          <w:tcPr>
            <w:tcW w:w="7737" w:type="dxa"/>
          </w:tcPr>
          <w:p>
            <w:pPr>
              <w:pStyle w:val="TableParagraph"/>
              <w:spacing w:line="273" w:lineRule="auto" w:before="110"/>
              <w:ind w:right="218"/>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line="255" w:lineRule="exact" w:before="86"/>
              <w:jc w:val="both"/>
              <w:rPr>
                <w:rFonts w:ascii="黑体" w:eastAsia="黑体" w:hint="eastAsia"/>
                <w:sz w:val="21"/>
              </w:rPr>
            </w:pPr>
            <w:r>
              <w:rPr>
                <w:rFonts w:ascii="黑体" w:eastAsia="黑体" w:hint="eastAsia"/>
                <w:sz w:val="21"/>
              </w:rPr>
              <w:t>神经官能症和精神疾病不在保障范围内。</w:t>
            </w:r>
          </w:p>
        </w:tc>
      </w:tr>
    </w:tbl>
    <w:p>
      <w:pPr>
        <w:spacing w:after="0" w:line="255" w:lineRule="exact"/>
        <w:jc w:val="both"/>
        <w:rPr>
          <w:rFonts w:ascii="黑体" w:eastAsia="黑体" w:hint="eastAsia"/>
          <w:sz w:val="21"/>
        </w:rPr>
        <w:sectPr>
          <w:pgSz w:w="11910" w:h="16840"/>
          <w:pgMar w:top="1240" w:bottom="280" w:left="820" w:right="7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357"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4" w:type="dxa"/>
          </w:tcPr>
          <w:p>
            <w:pPr>
              <w:pStyle w:val="TableParagraph"/>
              <w:spacing w:line="211" w:lineRule="exact" w:before="0"/>
              <w:rPr>
                <w:rFonts w:ascii="黑体" w:eastAsia="黑体" w:hint="eastAsia"/>
                <w:sz w:val="21"/>
              </w:rPr>
            </w:pPr>
            <w:r>
              <w:rPr>
                <w:rFonts w:ascii="黑体" w:eastAsia="黑体" w:hint="eastAsia"/>
                <w:sz w:val="21"/>
              </w:rPr>
              <w:t>我们只对被保险人在 65 周岁前被确诊患有本病承担保险责任。</w:t>
            </w:r>
          </w:p>
        </w:tc>
      </w:tr>
      <w:tr>
        <w:trPr>
          <w:trHeight w:val="2949" w:hRule="atLeast"/>
        </w:trPr>
        <w:tc>
          <w:tcPr>
            <w:tcW w:w="809" w:type="dxa"/>
          </w:tcPr>
          <w:p>
            <w:pPr>
              <w:pStyle w:val="TableParagraph"/>
              <w:spacing w:before="83"/>
              <w:ind w:left="200"/>
              <w:rPr>
                <w:b/>
                <w:sz w:val="21"/>
              </w:rPr>
            </w:pPr>
            <w:r>
              <w:rPr>
                <w:b/>
                <w:sz w:val="21"/>
              </w:rPr>
              <w:t>9.18</w:t>
            </w:r>
          </w:p>
        </w:tc>
        <w:tc>
          <w:tcPr>
            <w:tcW w:w="1585" w:type="dxa"/>
          </w:tcPr>
          <w:p>
            <w:pPr>
              <w:pStyle w:val="TableParagraph"/>
              <w:spacing w:before="83"/>
              <w:ind w:left="185"/>
              <w:rPr>
                <w:b/>
                <w:sz w:val="21"/>
              </w:rPr>
            </w:pPr>
            <w:r>
              <w:rPr>
                <w:b/>
                <w:sz w:val="21"/>
              </w:rPr>
              <w:t>严重脑损伤</w:t>
            </w:r>
          </w:p>
        </w:tc>
        <w:tc>
          <w:tcPr>
            <w:tcW w:w="7824" w:type="dxa"/>
          </w:tcPr>
          <w:p>
            <w:pPr>
              <w:pStyle w:val="TableParagraph"/>
              <w:spacing w:line="273" w:lineRule="auto" w:before="83"/>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3"/>
                <w:sz w:val="21"/>
              </w:rPr>
              <w:t>列一种或一种以上障碍：</w:t>
            </w:r>
          </w:p>
          <w:p>
            <w:pPr>
              <w:pStyle w:val="TableParagraph"/>
              <w:numPr>
                <w:ilvl w:val="0"/>
                <w:numId w:val="18"/>
              </w:numPr>
              <w:tabs>
                <w:tab w:pos="869" w:val="left" w:leader="none"/>
                <w:tab w:pos="870" w:val="left" w:leader="none"/>
              </w:tabs>
              <w:spacing w:line="240" w:lineRule="auto" w:before="87" w:after="0"/>
              <w:ind w:left="852" w:right="0" w:hanging="720"/>
              <w:jc w:val="left"/>
              <w:rPr>
                <w:sz w:val="21"/>
              </w:rPr>
            </w:pPr>
            <w:r>
              <w:rPr>
                <w:spacing w:val="-3"/>
                <w:sz w:val="21"/>
              </w:rPr>
              <w:t>一肢或一肢以上肢体机能完全丧失；</w:t>
            </w:r>
          </w:p>
          <w:p>
            <w:pPr>
              <w:pStyle w:val="TableParagraph"/>
              <w:numPr>
                <w:ilvl w:val="0"/>
                <w:numId w:val="18"/>
              </w:numPr>
              <w:tabs>
                <w:tab w:pos="869" w:val="left" w:leader="none"/>
                <w:tab w:pos="870" w:val="left" w:leader="none"/>
              </w:tabs>
              <w:spacing w:line="240" w:lineRule="auto" w:before="114" w:after="0"/>
              <w:ind w:left="852" w:right="0" w:hanging="720"/>
              <w:jc w:val="left"/>
              <w:rPr>
                <w:sz w:val="21"/>
              </w:rPr>
            </w:pPr>
            <w:r>
              <w:rPr>
                <w:spacing w:val="-3"/>
                <w:sz w:val="21"/>
              </w:rPr>
              <w:t>语言能力或咀嚼吞咽能力完全丧失；</w:t>
            </w:r>
          </w:p>
          <w:p>
            <w:pPr>
              <w:pStyle w:val="TableParagraph"/>
              <w:numPr>
                <w:ilvl w:val="0"/>
                <w:numId w:val="18"/>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745" w:hRule="atLeast"/>
        </w:trPr>
        <w:tc>
          <w:tcPr>
            <w:tcW w:w="809" w:type="dxa"/>
          </w:tcPr>
          <w:p>
            <w:pPr>
              <w:pStyle w:val="TableParagraph"/>
              <w:ind w:left="200"/>
              <w:rPr>
                <w:b/>
                <w:sz w:val="21"/>
              </w:rPr>
            </w:pPr>
            <w:r>
              <w:rPr>
                <w:b/>
                <w:sz w:val="21"/>
              </w:rPr>
              <w:t>9.19</w:t>
            </w:r>
          </w:p>
        </w:tc>
        <w:tc>
          <w:tcPr>
            <w:tcW w:w="1585" w:type="dxa"/>
          </w:tcPr>
          <w:p>
            <w:pPr>
              <w:pStyle w:val="TableParagraph"/>
              <w:ind w:left="185"/>
              <w:rPr>
                <w:b/>
                <w:sz w:val="21"/>
              </w:rPr>
            </w:pPr>
            <w:r>
              <w:rPr>
                <w:b/>
                <w:sz w:val="21"/>
              </w:rPr>
              <w:t>严重帕金森病</w:t>
            </w:r>
          </w:p>
        </w:tc>
        <w:tc>
          <w:tcPr>
            <w:tcW w:w="7824" w:type="dxa"/>
          </w:tcPr>
          <w:p>
            <w:pPr>
              <w:pStyle w:val="TableParagraph"/>
              <w:spacing w:line="271" w:lineRule="auto"/>
              <w:ind w:right="332"/>
              <w:rPr>
                <w:sz w:val="21"/>
              </w:rPr>
            </w:pPr>
            <w:r>
              <w:rPr>
                <w:sz w:val="21"/>
              </w:rPr>
              <w:t>是一种中枢神经系统的退行性疾病，临床表现为震颤麻痹、共济失调等。须满足下列全部条件：</w:t>
            </w:r>
          </w:p>
          <w:p>
            <w:pPr>
              <w:pStyle w:val="TableParagraph"/>
              <w:numPr>
                <w:ilvl w:val="0"/>
                <w:numId w:val="19"/>
              </w:numPr>
              <w:tabs>
                <w:tab w:pos="869" w:val="left" w:leader="none"/>
                <w:tab w:pos="870" w:val="left" w:leader="none"/>
              </w:tabs>
              <w:spacing w:line="240" w:lineRule="auto" w:before="88" w:after="0"/>
              <w:ind w:left="852" w:right="0" w:hanging="720"/>
              <w:jc w:val="left"/>
              <w:rPr>
                <w:sz w:val="21"/>
              </w:rPr>
            </w:pPr>
            <w:r>
              <w:rPr>
                <w:spacing w:val="-3"/>
                <w:sz w:val="21"/>
              </w:rPr>
              <w:t>药物治疗无法控制病情；</w:t>
            </w:r>
          </w:p>
          <w:p>
            <w:pPr>
              <w:pStyle w:val="TableParagraph"/>
              <w:numPr>
                <w:ilvl w:val="0"/>
                <w:numId w:val="19"/>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8"/>
              <w:rPr>
                <w:rFonts w:ascii="黑体" w:eastAsia="黑体" w:hint="eastAsia"/>
                <w:sz w:val="21"/>
              </w:rPr>
            </w:pPr>
            <w:r>
              <w:rPr>
                <w:rFonts w:ascii="黑体" w:eastAsia="黑体" w:hint="eastAsia"/>
                <w:sz w:val="21"/>
              </w:rPr>
              <w:t>继发性帕金森综合征不在保障范围内。</w:t>
            </w:r>
          </w:p>
          <w:p>
            <w:pPr>
              <w:pStyle w:val="TableParagraph"/>
              <w:spacing w:before="115"/>
              <w:rPr>
                <w:rFonts w:ascii="黑体" w:eastAsia="黑体" w:hint="eastAsia"/>
                <w:sz w:val="21"/>
              </w:rPr>
            </w:pPr>
            <w:r>
              <w:rPr>
                <w:rFonts w:ascii="黑体" w:eastAsia="黑体" w:hint="eastAsia"/>
                <w:sz w:val="21"/>
              </w:rPr>
              <w:t>我们只对被保险人在 65 周岁前被确诊患有本病承担保险责任。</w:t>
            </w:r>
          </w:p>
        </w:tc>
      </w:tr>
      <w:tr>
        <w:trPr>
          <w:trHeight w:val="872" w:hRule="atLeast"/>
        </w:trPr>
        <w:tc>
          <w:tcPr>
            <w:tcW w:w="809" w:type="dxa"/>
          </w:tcPr>
          <w:p>
            <w:pPr>
              <w:pStyle w:val="TableParagraph"/>
              <w:spacing w:before="110"/>
              <w:ind w:left="200"/>
              <w:rPr>
                <w:b/>
                <w:sz w:val="21"/>
              </w:rPr>
            </w:pPr>
            <w:r>
              <w:rPr>
                <w:b/>
                <w:sz w:val="21"/>
              </w:rPr>
              <w:t>9.20</w:t>
            </w:r>
          </w:p>
        </w:tc>
        <w:tc>
          <w:tcPr>
            <w:tcW w:w="1585" w:type="dxa"/>
          </w:tcPr>
          <w:p>
            <w:pPr>
              <w:pStyle w:val="TableParagraph"/>
              <w:spacing w:before="110"/>
              <w:ind w:left="185"/>
              <w:rPr>
                <w:b/>
                <w:sz w:val="21"/>
              </w:rPr>
            </w:pPr>
            <w:r>
              <w:rPr>
                <w:b/>
                <w:sz w:val="21"/>
              </w:rPr>
              <w:t>严重Ⅲ度烧伤</w:t>
            </w:r>
          </w:p>
        </w:tc>
        <w:tc>
          <w:tcPr>
            <w:tcW w:w="7824" w:type="dxa"/>
          </w:tcPr>
          <w:p>
            <w:pPr>
              <w:pStyle w:val="TableParagraph"/>
              <w:spacing w:line="273" w:lineRule="auto" w:before="110"/>
              <w:ind w:right="303"/>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10"/>
                <w:sz w:val="21"/>
              </w:rPr>
              <w:t>％以上。体</w:t>
            </w:r>
            <w:r>
              <w:rPr>
                <w:spacing w:val="-5"/>
                <w:sz w:val="21"/>
              </w:rPr>
              <w:t>表面积根据《中国新九分法》计算。</w:t>
            </w:r>
          </w:p>
        </w:tc>
      </w:tr>
      <w:tr>
        <w:trPr>
          <w:trHeight w:val="1183" w:hRule="atLeast"/>
        </w:trPr>
        <w:tc>
          <w:tcPr>
            <w:tcW w:w="809" w:type="dxa"/>
          </w:tcPr>
          <w:p>
            <w:pPr>
              <w:pStyle w:val="TableParagraph"/>
              <w:ind w:left="200"/>
              <w:rPr>
                <w:b/>
                <w:sz w:val="21"/>
              </w:rPr>
            </w:pPr>
            <w:r>
              <w:rPr>
                <w:b/>
                <w:sz w:val="21"/>
              </w:rPr>
              <w:t>9.21</w:t>
            </w:r>
          </w:p>
        </w:tc>
        <w:tc>
          <w:tcPr>
            <w:tcW w:w="1585" w:type="dxa"/>
          </w:tcPr>
          <w:p>
            <w:pPr>
              <w:pStyle w:val="TableParagraph"/>
              <w:spacing w:line="271" w:lineRule="auto"/>
              <w:ind w:left="185" w:right="129"/>
              <w:rPr>
                <w:b/>
                <w:sz w:val="21"/>
              </w:rPr>
            </w:pPr>
            <w:r>
              <w:rPr>
                <w:b/>
                <w:sz w:val="21"/>
              </w:rPr>
              <w:t>严重原发性肺动脉高压</w:t>
            </w:r>
          </w:p>
        </w:tc>
        <w:tc>
          <w:tcPr>
            <w:tcW w:w="7824" w:type="dxa"/>
          </w:tcPr>
          <w:p>
            <w:pPr>
              <w:pStyle w:val="TableParagraph"/>
              <w:spacing w:line="271" w:lineRule="auto"/>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3" w:hRule="atLeast"/>
        </w:trPr>
        <w:tc>
          <w:tcPr>
            <w:tcW w:w="809" w:type="dxa"/>
          </w:tcPr>
          <w:p>
            <w:pPr>
              <w:pStyle w:val="TableParagraph"/>
              <w:ind w:left="200"/>
              <w:rPr>
                <w:b/>
                <w:sz w:val="21"/>
              </w:rPr>
            </w:pPr>
            <w:r>
              <w:rPr>
                <w:b/>
                <w:sz w:val="21"/>
              </w:rPr>
              <w:t>9.22</w:t>
            </w:r>
          </w:p>
        </w:tc>
        <w:tc>
          <w:tcPr>
            <w:tcW w:w="1585" w:type="dxa"/>
          </w:tcPr>
          <w:p>
            <w:pPr>
              <w:pStyle w:val="TableParagraph"/>
              <w:spacing w:line="271" w:lineRule="auto"/>
              <w:ind w:left="185" w:right="129"/>
              <w:rPr>
                <w:b/>
                <w:sz w:val="21"/>
              </w:rPr>
            </w:pPr>
            <w:r>
              <w:rPr>
                <w:b/>
                <w:sz w:val="21"/>
              </w:rPr>
              <w:t>严重运动神经元病</w:t>
            </w:r>
          </w:p>
        </w:tc>
        <w:tc>
          <w:tcPr>
            <w:tcW w:w="7824" w:type="dxa"/>
          </w:tcPr>
          <w:p>
            <w:pPr>
              <w:pStyle w:val="TableParagraph"/>
              <w:spacing w:line="271" w:lineRule="auto"/>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3" w:hRule="atLeast"/>
        </w:trPr>
        <w:tc>
          <w:tcPr>
            <w:tcW w:w="809" w:type="dxa"/>
          </w:tcPr>
          <w:p>
            <w:pPr>
              <w:pStyle w:val="TableParagraph"/>
              <w:ind w:left="200"/>
              <w:rPr>
                <w:b/>
                <w:sz w:val="21"/>
              </w:rPr>
            </w:pPr>
            <w:r>
              <w:rPr>
                <w:b/>
                <w:sz w:val="21"/>
              </w:rPr>
              <w:t>9.23</w:t>
            </w:r>
          </w:p>
        </w:tc>
        <w:tc>
          <w:tcPr>
            <w:tcW w:w="1585" w:type="dxa"/>
          </w:tcPr>
          <w:p>
            <w:pPr>
              <w:pStyle w:val="TableParagraph"/>
              <w:ind w:left="185"/>
              <w:rPr>
                <w:b/>
                <w:sz w:val="21"/>
              </w:rPr>
            </w:pPr>
            <w:r>
              <w:rPr>
                <w:b/>
                <w:sz w:val="21"/>
              </w:rPr>
              <w:t>语言能力丧失</w:t>
            </w:r>
          </w:p>
        </w:tc>
        <w:tc>
          <w:tcPr>
            <w:tcW w:w="7824" w:type="dxa"/>
          </w:tcPr>
          <w:p>
            <w:pPr>
              <w:pStyle w:val="TableParagraph"/>
              <w:spacing w:line="273" w:lineRule="auto"/>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rPr>
                <w:sz w:val="21"/>
              </w:rPr>
            </w:pPr>
            <w:r>
              <w:rPr>
                <w:rFonts w:ascii="黑体" w:eastAsia="黑体" w:hint="eastAsia"/>
                <w:sz w:val="21"/>
              </w:rPr>
              <w:t>精神心理因素所致的语言能力丧失不在保障范围内</w:t>
            </w:r>
            <w:r>
              <w:rPr>
                <w:sz w:val="21"/>
              </w:rPr>
              <w:t>。</w:t>
            </w:r>
          </w:p>
        </w:tc>
      </w:tr>
      <w:tr>
        <w:trPr>
          <w:trHeight w:val="2822" w:hRule="atLeast"/>
        </w:trPr>
        <w:tc>
          <w:tcPr>
            <w:tcW w:w="809" w:type="dxa"/>
          </w:tcPr>
          <w:p>
            <w:pPr>
              <w:pStyle w:val="TableParagraph"/>
              <w:spacing w:before="110"/>
              <w:ind w:left="200"/>
              <w:rPr>
                <w:b/>
                <w:sz w:val="21"/>
              </w:rPr>
            </w:pPr>
            <w:r>
              <w:rPr>
                <w:b/>
                <w:sz w:val="21"/>
              </w:rPr>
              <w:t>9.24</w:t>
            </w:r>
          </w:p>
        </w:tc>
        <w:tc>
          <w:tcPr>
            <w:tcW w:w="1585" w:type="dxa"/>
          </w:tcPr>
          <w:p>
            <w:pPr>
              <w:pStyle w:val="TableParagraph"/>
              <w:spacing w:line="273" w:lineRule="auto" w:before="110"/>
              <w:ind w:left="185" w:right="129"/>
              <w:rPr>
                <w:b/>
                <w:sz w:val="21"/>
              </w:rPr>
            </w:pPr>
            <w:r>
              <w:rPr>
                <w:b/>
                <w:sz w:val="21"/>
              </w:rPr>
              <w:t>重型再生障碍性贫血</w:t>
            </w:r>
          </w:p>
        </w:tc>
        <w:tc>
          <w:tcPr>
            <w:tcW w:w="7824" w:type="dxa"/>
          </w:tcPr>
          <w:p>
            <w:pPr>
              <w:pStyle w:val="TableParagraph"/>
              <w:spacing w:line="273" w:lineRule="auto" w:before="110"/>
              <w:ind w:right="332"/>
              <w:rPr>
                <w:sz w:val="21"/>
              </w:rPr>
            </w:pPr>
            <w:r>
              <w:rPr>
                <w:sz w:val="21"/>
              </w:rPr>
              <w:t>指因骨髓造血功能慢性持续性衰竭导致的贫血、中性粒细胞减少及血小板减少。须满足下列全部条件：</w:t>
            </w:r>
          </w:p>
          <w:p>
            <w:pPr>
              <w:pStyle w:val="TableParagraph"/>
              <w:numPr>
                <w:ilvl w:val="0"/>
                <w:numId w:val="20"/>
              </w:numPr>
              <w:tabs>
                <w:tab w:pos="869" w:val="left" w:leader="none"/>
                <w:tab w:pos="870" w:val="left" w:leader="none"/>
              </w:tabs>
              <w:spacing w:line="240" w:lineRule="auto" w:before="86" w:after="0"/>
              <w:ind w:left="869" w:right="0" w:hanging="737"/>
              <w:jc w:val="left"/>
              <w:rPr>
                <w:sz w:val="21"/>
              </w:rPr>
            </w:pPr>
            <w:r>
              <w:rPr>
                <w:spacing w:val="-3"/>
                <w:sz w:val="21"/>
              </w:rPr>
              <w:t>骨髓穿刺检查或骨髓活检结果支持诊断；</w:t>
            </w:r>
          </w:p>
          <w:p>
            <w:pPr>
              <w:pStyle w:val="TableParagraph"/>
              <w:numPr>
                <w:ilvl w:val="0"/>
                <w:numId w:val="20"/>
              </w:numPr>
              <w:tabs>
                <w:tab w:pos="869" w:val="left" w:leader="none"/>
                <w:tab w:pos="870" w:val="left" w:leader="none"/>
              </w:tabs>
              <w:spacing w:line="240" w:lineRule="auto" w:before="114" w:after="0"/>
              <w:ind w:left="869" w:right="0" w:hanging="737"/>
              <w:jc w:val="left"/>
              <w:rPr>
                <w:sz w:val="21"/>
              </w:rPr>
            </w:pPr>
            <w:r>
              <w:rPr>
                <w:spacing w:val="-3"/>
                <w:sz w:val="21"/>
              </w:rPr>
              <w:t>外周血象须具备以下三项条件：</w:t>
            </w:r>
          </w:p>
          <w:p>
            <w:pPr>
              <w:pStyle w:val="TableParagraph"/>
              <w:spacing w:before="116"/>
              <w:ind w:left="845"/>
              <w:rPr>
                <w:sz w:val="21"/>
              </w:rPr>
            </w:pPr>
            <w:r>
              <w:rPr>
                <w:sz w:val="21"/>
              </w:rPr>
              <w:t>① 中性粒细胞绝对值≤0.5×10</w:t>
            </w:r>
            <w:r>
              <w:rPr>
                <w:position w:val="11"/>
                <w:sz w:val="11"/>
              </w:rPr>
              <w:t>9</w:t>
            </w:r>
            <w:r>
              <w:rPr>
                <w:sz w:val="21"/>
              </w:rPr>
              <w:t>/L ；</w:t>
            </w:r>
          </w:p>
          <w:p>
            <w:pPr>
              <w:pStyle w:val="TableParagraph"/>
              <w:spacing w:before="113"/>
              <w:ind w:left="845"/>
              <w:rPr>
                <w:sz w:val="21"/>
              </w:rPr>
            </w:pPr>
            <w:r>
              <w:rPr>
                <w:sz w:val="21"/>
              </w:rPr>
              <w:t>② 网织红细胞＜1%；</w:t>
            </w:r>
          </w:p>
          <w:p>
            <w:pPr>
              <w:pStyle w:val="TableParagraph"/>
              <w:spacing w:before="116"/>
              <w:ind w:left="845"/>
              <w:rPr>
                <w:sz w:val="21"/>
              </w:rPr>
            </w:pPr>
            <w:r>
              <w:rPr>
                <w:sz w:val="21"/>
              </w:rPr>
              <w:t>③ 血小板绝对值≤20×10</w:t>
            </w:r>
            <w:r>
              <w:rPr>
                <w:position w:val="11"/>
                <w:sz w:val="11"/>
              </w:rPr>
              <w:t>9</w:t>
            </w:r>
            <w:r>
              <w:rPr>
                <w:sz w:val="21"/>
              </w:rPr>
              <w:t>/L。</w:t>
            </w:r>
          </w:p>
        </w:tc>
      </w:tr>
      <w:tr>
        <w:trPr>
          <w:trHeight w:val="1006" w:hRule="atLeast"/>
        </w:trPr>
        <w:tc>
          <w:tcPr>
            <w:tcW w:w="809" w:type="dxa"/>
          </w:tcPr>
          <w:p>
            <w:pPr>
              <w:pStyle w:val="TableParagraph"/>
              <w:spacing w:before="110"/>
              <w:ind w:left="200"/>
              <w:rPr>
                <w:b/>
                <w:sz w:val="21"/>
              </w:rPr>
            </w:pPr>
            <w:r>
              <w:rPr>
                <w:b/>
                <w:sz w:val="21"/>
              </w:rPr>
              <w:t>9.25</w:t>
            </w:r>
          </w:p>
        </w:tc>
        <w:tc>
          <w:tcPr>
            <w:tcW w:w="1585" w:type="dxa"/>
          </w:tcPr>
          <w:p>
            <w:pPr>
              <w:pStyle w:val="TableParagraph"/>
              <w:spacing w:before="110"/>
              <w:ind w:left="185"/>
              <w:rPr>
                <w:b/>
                <w:sz w:val="21"/>
              </w:rPr>
            </w:pPr>
            <w:r>
              <w:rPr>
                <w:b/>
                <w:sz w:val="21"/>
              </w:rPr>
              <w:t>主动脉手术</w:t>
            </w:r>
          </w:p>
        </w:tc>
        <w:tc>
          <w:tcPr>
            <w:tcW w:w="7824" w:type="dxa"/>
          </w:tcPr>
          <w:p>
            <w:pPr>
              <w:pStyle w:val="TableParagraph"/>
              <w:spacing w:line="271" w:lineRule="auto" w:before="110"/>
              <w:ind w:right="332"/>
              <w:rPr>
                <w:sz w:val="21"/>
              </w:rPr>
            </w:pPr>
            <w:r>
              <w:rPr>
                <w:sz w:val="21"/>
              </w:rPr>
              <w:t>指为治疗主动脉疾病，实际实施了开胸或开腹进行的切除、置换、修补病损主动脉血管的手术。主动脉指胸主动脉和腹主动脉，不包括胸主动脉和腹主动脉的分</w:t>
            </w:r>
          </w:p>
          <w:p>
            <w:pPr>
              <w:pStyle w:val="TableParagraph"/>
              <w:spacing w:line="255" w:lineRule="exact" w:before="9"/>
              <w:rPr>
                <w:sz w:val="21"/>
              </w:rPr>
            </w:pPr>
            <w:r>
              <w:rPr>
                <w:sz w:val="21"/>
              </w:rPr>
              <w:t>支血管。</w:t>
            </w:r>
          </w:p>
        </w:tc>
      </w:tr>
    </w:tbl>
    <w:p>
      <w:pPr>
        <w:spacing w:after="0" w:line="255" w:lineRule="exact"/>
        <w:rPr>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
        <w:gridCol w:w="1585"/>
        <w:gridCol w:w="7624"/>
      </w:tblGrid>
      <w:tr>
        <w:trPr>
          <w:trHeight w:val="386" w:hRule="atLeast"/>
        </w:trPr>
        <w:tc>
          <w:tcPr>
            <w:tcW w:w="717"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rFonts w:ascii="黑体" w:eastAsia="黑体" w:hint="eastAsia"/>
                <w:sz w:val="21"/>
              </w:rPr>
              <w:t>动脉内血管成形术不在保障范围内</w:t>
            </w:r>
            <w:r>
              <w:rPr>
                <w:sz w:val="21"/>
              </w:rPr>
              <w:t>。</w:t>
            </w:r>
          </w:p>
        </w:tc>
      </w:tr>
      <w:tr>
        <w:trPr>
          <w:trHeight w:val="1815" w:hRule="atLeast"/>
        </w:trPr>
        <w:tc>
          <w:tcPr>
            <w:tcW w:w="717" w:type="dxa"/>
          </w:tcPr>
          <w:p>
            <w:pPr>
              <w:pStyle w:val="TableParagraph"/>
              <w:ind w:left="107"/>
              <w:rPr>
                <w:b/>
                <w:sz w:val="21"/>
              </w:rPr>
            </w:pPr>
            <w:r>
              <w:rPr>
                <w:b/>
                <w:sz w:val="21"/>
              </w:rPr>
              <w:t>9.26</w:t>
            </w:r>
          </w:p>
        </w:tc>
        <w:tc>
          <w:tcPr>
            <w:tcW w:w="1585" w:type="dxa"/>
          </w:tcPr>
          <w:p>
            <w:pPr>
              <w:pStyle w:val="TableParagraph"/>
              <w:ind w:left="185"/>
              <w:rPr>
                <w:b/>
                <w:sz w:val="21"/>
              </w:rPr>
            </w:pPr>
            <w:r>
              <w:rPr>
                <w:b/>
                <w:sz w:val="21"/>
              </w:rPr>
              <w:t>多发性硬化</w:t>
            </w:r>
          </w:p>
        </w:tc>
        <w:tc>
          <w:tcPr>
            <w:tcW w:w="7624" w:type="dxa"/>
          </w:tcPr>
          <w:p>
            <w:pPr>
              <w:pStyle w:val="TableParagraph"/>
              <w:spacing w:line="271" w:lineRule="auto"/>
              <w:ind w:right="1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before="0"/>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12" w:hRule="atLeast"/>
        </w:trPr>
        <w:tc>
          <w:tcPr>
            <w:tcW w:w="717" w:type="dxa"/>
          </w:tcPr>
          <w:p>
            <w:pPr>
              <w:pStyle w:val="TableParagraph"/>
              <w:spacing w:before="103"/>
              <w:ind w:left="107"/>
              <w:rPr>
                <w:b/>
                <w:sz w:val="21"/>
              </w:rPr>
            </w:pPr>
            <w:r>
              <w:rPr>
                <w:b/>
                <w:sz w:val="21"/>
              </w:rPr>
              <w:t>9.27</w:t>
            </w:r>
          </w:p>
        </w:tc>
        <w:tc>
          <w:tcPr>
            <w:tcW w:w="1585" w:type="dxa"/>
          </w:tcPr>
          <w:p>
            <w:pPr>
              <w:pStyle w:val="TableParagraph"/>
              <w:spacing w:before="103"/>
              <w:ind w:left="185"/>
              <w:rPr>
                <w:b/>
                <w:sz w:val="21"/>
              </w:rPr>
            </w:pPr>
            <w:r>
              <w:rPr>
                <w:b/>
                <w:sz w:val="21"/>
              </w:rPr>
              <w:t>终末期肺病</w:t>
            </w:r>
          </w:p>
        </w:tc>
        <w:tc>
          <w:tcPr>
            <w:tcW w:w="7624" w:type="dxa"/>
          </w:tcPr>
          <w:p>
            <w:pPr>
              <w:pStyle w:val="TableParagraph"/>
              <w:spacing w:before="103"/>
              <w:rPr>
                <w:sz w:val="21"/>
              </w:rPr>
            </w:pPr>
            <w:r>
              <w:rPr>
                <w:sz w:val="21"/>
              </w:rPr>
              <w:t>被保险人患有终末期肺病而出现慢性呼吸功能衰竭，须满足下列全部条件：</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1"/>
              </w:numPr>
              <w:tabs>
                <w:tab w:pos="869" w:val="left" w:leader="none"/>
                <w:tab w:pos="870" w:val="left" w:leader="none"/>
              </w:tabs>
              <w:spacing w:line="240" w:lineRule="auto" w:before="114" w:after="0"/>
              <w:ind w:left="869" w:right="0" w:hanging="737"/>
              <w:jc w:val="left"/>
              <w:rPr>
                <w:sz w:val="21"/>
              </w:rPr>
            </w:pPr>
            <w:r>
              <w:rPr>
                <w:spacing w:val="-3"/>
                <w:sz w:val="21"/>
              </w:rPr>
              <w:t>病人缺氧必须广泛而持续地进行输氧治疗；</w:t>
            </w:r>
          </w:p>
          <w:p>
            <w:pPr>
              <w:pStyle w:val="TableParagraph"/>
              <w:numPr>
                <w:ilvl w:val="0"/>
                <w:numId w:val="21"/>
              </w:numPr>
              <w:tabs>
                <w:tab w:pos="869" w:val="left" w:leader="none"/>
                <w:tab w:pos="870" w:val="left" w:leader="none"/>
              </w:tabs>
              <w:spacing w:line="240" w:lineRule="auto" w:before="116" w:after="0"/>
              <w:ind w:left="869" w:right="0" w:hanging="737"/>
              <w:jc w:val="left"/>
              <w:rPr>
                <w:sz w:val="21"/>
              </w:rPr>
            </w:pPr>
            <w:r>
              <w:rPr>
                <w:spacing w:val="-7"/>
                <w:sz w:val="21"/>
              </w:rPr>
              <w:t>动脉血气分析氧分压低于 </w:t>
            </w:r>
            <w:r>
              <w:rPr>
                <w:sz w:val="21"/>
              </w:rPr>
              <w:t>55mmHg。</w:t>
            </w:r>
          </w:p>
          <w:p>
            <w:pPr>
              <w:pStyle w:val="TableParagraph"/>
              <w:spacing w:before="113"/>
              <w:rPr>
                <w:sz w:val="21"/>
              </w:rPr>
            </w:pPr>
            <w:r>
              <w:rPr>
                <w:sz w:val="21"/>
              </w:rPr>
              <w:t>理赔时必须提供以上三项相应的证明文件或检查报告。</w:t>
            </w:r>
          </w:p>
        </w:tc>
      </w:tr>
      <w:tr>
        <w:trPr>
          <w:trHeight w:val="1652" w:hRule="atLeast"/>
        </w:trPr>
        <w:tc>
          <w:tcPr>
            <w:tcW w:w="717" w:type="dxa"/>
          </w:tcPr>
          <w:p>
            <w:pPr>
              <w:pStyle w:val="TableParagraph"/>
              <w:spacing w:before="110"/>
              <w:ind w:left="107"/>
              <w:rPr>
                <w:b/>
                <w:sz w:val="21"/>
              </w:rPr>
            </w:pPr>
            <w:r>
              <w:rPr>
                <w:b/>
                <w:sz w:val="21"/>
              </w:rPr>
              <w:t>9.28</w:t>
            </w:r>
          </w:p>
        </w:tc>
        <w:tc>
          <w:tcPr>
            <w:tcW w:w="1585" w:type="dxa"/>
          </w:tcPr>
          <w:p>
            <w:pPr>
              <w:pStyle w:val="TableParagraph"/>
              <w:spacing w:before="110"/>
              <w:ind w:left="185"/>
              <w:rPr>
                <w:b/>
                <w:sz w:val="21"/>
              </w:rPr>
            </w:pPr>
            <w:r>
              <w:rPr>
                <w:b/>
                <w:sz w:val="21"/>
              </w:rPr>
              <w:t>颅脑手术</w:t>
            </w:r>
          </w:p>
        </w:tc>
        <w:tc>
          <w:tcPr>
            <w:tcW w:w="7624" w:type="dxa"/>
          </w:tcPr>
          <w:p>
            <w:pPr>
              <w:pStyle w:val="TableParagraph"/>
              <w:spacing w:line="273" w:lineRule="auto" w:before="110"/>
              <w:ind w:right="3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6"/>
              <w:rPr>
                <w:rFonts w:ascii="黑体" w:eastAsia="黑体" w:hint="eastAsia"/>
                <w:sz w:val="21"/>
              </w:rPr>
            </w:pPr>
            <w:r>
              <w:rPr>
                <w:rFonts w:ascii="黑体" w:eastAsia="黑体" w:hint="eastAsia"/>
                <w:sz w:val="21"/>
              </w:rPr>
              <w:t>因外伤而实施的脑外科手术不在保障范围之内。</w:t>
            </w:r>
          </w:p>
          <w:p>
            <w:pPr>
              <w:pStyle w:val="TableParagraph"/>
              <w:spacing w:before="113"/>
              <w:rPr>
                <w:sz w:val="21"/>
              </w:rPr>
            </w:pPr>
            <w:r>
              <w:rPr>
                <w:sz w:val="21"/>
              </w:rPr>
              <w:t>理赔时必须提供由神经外科医生出具的诊断书及手术报告。</w:t>
            </w:r>
          </w:p>
        </w:tc>
      </w:tr>
      <w:tr>
        <w:trPr>
          <w:trHeight w:val="1574" w:hRule="atLeast"/>
        </w:trPr>
        <w:tc>
          <w:tcPr>
            <w:tcW w:w="717" w:type="dxa"/>
          </w:tcPr>
          <w:p>
            <w:pPr>
              <w:pStyle w:val="TableParagraph"/>
              <w:ind w:left="107"/>
              <w:rPr>
                <w:b/>
                <w:sz w:val="21"/>
              </w:rPr>
            </w:pPr>
            <w:r>
              <w:rPr>
                <w:b/>
                <w:sz w:val="21"/>
              </w:rPr>
              <w:t>9.29</w:t>
            </w:r>
          </w:p>
        </w:tc>
        <w:tc>
          <w:tcPr>
            <w:tcW w:w="1585" w:type="dxa"/>
          </w:tcPr>
          <w:p>
            <w:pPr>
              <w:pStyle w:val="TableParagraph"/>
              <w:ind w:left="185"/>
              <w:rPr>
                <w:b/>
                <w:sz w:val="21"/>
              </w:rPr>
            </w:pPr>
            <w:r>
              <w:rPr>
                <w:b/>
                <w:sz w:val="21"/>
              </w:rPr>
              <w:t>脊髓灰质炎</w:t>
            </w:r>
          </w:p>
        </w:tc>
        <w:tc>
          <w:tcPr>
            <w:tcW w:w="7624" w:type="dxa"/>
          </w:tcPr>
          <w:p>
            <w:pPr>
              <w:pStyle w:val="TableParagraph"/>
              <w:spacing w:line="271" w:lineRule="auto"/>
              <w:ind w:right="132"/>
              <w:rPr>
                <w:sz w:val="21"/>
              </w:rPr>
            </w:pPr>
            <w:r>
              <w:rPr>
                <w:sz w:val="21"/>
              </w:rPr>
              <w:t>指由我们认可的神经专科医生确认是因脊髓灰质病毒感染以致表现出运动功能障碍或呼吸功能减弱，并造成瘫痪。</w:t>
            </w:r>
          </w:p>
          <w:p>
            <w:pPr>
              <w:pStyle w:val="TableParagraph"/>
              <w:spacing w:line="273" w:lineRule="auto" w:before="88"/>
              <w:ind w:right="132"/>
              <w:rPr>
                <w:rFonts w:ascii="黑体" w:eastAsia="黑体" w:hint="eastAsia"/>
                <w:sz w:val="21"/>
              </w:rPr>
            </w:pPr>
            <w:r>
              <w:rPr>
                <w:rFonts w:ascii="黑体" w:eastAsia="黑体" w:hint="eastAsia"/>
                <w:sz w:val="21"/>
              </w:rPr>
              <w:t>非脊髓灰质炎感染导致的麻痹性瘫痪，以及其它病因导致的麻痹，例如格林巴利综合征不在保障范围内。</w:t>
            </w:r>
          </w:p>
        </w:tc>
      </w:tr>
      <w:tr>
        <w:trPr>
          <w:trHeight w:val="1963" w:hRule="atLeast"/>
        </w:trPr>
        <w:tc>
          <w:tcPr>
            <w:tcW w:w="717" w:type="dxa"/>
          </w:tcPr>
          <w:p>
            <w:pPr>
              <w:pStyle w:val="TableParagraph"/>
              <w:ind w:left="107"/>
              <w:rPr>
                <w:b/>
                <w:sz w:val="21"/>
              </w:rPr>
            </w:pPr>
            <w:r>
              <w:rPr>
                <w:b/>
                <w:sz w:val="21"/>
              </w:rPr>
              <w:t>9.30</w:t>
            </w:r>
          </w:p>
        </w:tc>
        <w:tc>
          <w:tcPr>
            <w:tcW w:w="1585" w:type="dxa"/>
          </w:tcPr>
          <w:p>
            <w:pPr>
              <w:pStyle w:val="TableParagraph"/>
              <w:spacing w:line="271" w:lineRule="auto"/>
              <w:ind w:left="185" w:right="129"/>
              <w:rPr>
                <w:b/>
                <w:sz w:val="21"/>
              </w:rPr>
            </w:pPr>
            <w:r>
              <w:rPr>
                <w:b/>
                <w:sz w:val="21"/>
              </w:rPr>
              <w:t>严重肌营养不良症</w:t>
            </w:r>
          </w:p>
        </w:tc>
        <w:tc>
          <w:tcPr>
            <w:tcW w:w="7624" w:type="dxa"/>
          </w:tcPr>
          <w:p>
            <w:pPr>
              <w:pStyle w:val="TableParagraph"/>
              <w:spacing w:line="271" w:lineRule="auto"/>
              <w:ind w:right="132"/>
              <w:rPr>
                <w:sz w:val="21"/>
              </w:rPr>
            </w:pPr>
            <w:r>
              <w:rPr>
                <w:sz w:val="21"/>
              </w:rPr>
              <w:t>指一组原发于肌肉的遗传性疾病，临床表现为与神经系统无关的肌肉无力和肌肉萎缩。须满足下列全部条件：</w:t>
            </w:r>
          </w:p>
          <w:p>
            <w:pPr>
              <w:pStyle w:val="TableParagraph"/>
              <w:numPr>
                <w:ilvl w:val="0"/>
                <w:numId w:val="22"/>
              </w:numPr>
              <w:tabs>
                <w:tab w:pos="869" w:val="left" w:leader="none"/>
                <w:tab w:pos="870" w:val="left" w:leader="none"/>
              </w:tabs>
              <w:spacing w:line="240" w:lineRule="auto" w:before="88" w:after="0"/>
              <w:ind w:left="852" w:right="0" w:hanging="720"/>
              <w:jc w:val="left"/>
              <w:rPr>
                <w:sz w:val="21"/>
              </w:rPr>
            </w:pPr>
            <w:r>
              <w:rPr>
                <w:spacing w:val="-3"/>
                <w:sz w:val="21"/>
              </w:rPr>
              <w:t>肌肉组织活检结果满足肌营养不良症的肌肉细胞变性、坏死等阳性改变；</w:t>
            </w:r>
          </w:p>
          <w:p>
            <w:pPr>
              <w:pStyle w:val="TableParagraph"/>
              <w:numPr>
                <w:ilvl w:val="0"/>
                <w:numId w:val="22"/>
              </w:numPr>
              <w:tabs>
                <w:tab w:pos="834" w:val="left" w:leader="none"/>
              </w:tabs>
              <w:spacing w:line="271" w:lineRule="auto" w:before="115" w:after="0"/>
              <w:ind w:left="852" w:right="1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3" w:hRule="atLeast"/>
        </w:trPr>
        <w:tc>
          <w:tcPr>
            <w:tcW w:w="717" w:type="dxa"/>
          </w:tcPr>
          <w:p>
            <w:pPr>
              <w:pStyle w:val="TableParagraph"/>
              <w:ind w:left="107"/>
              <w:rPr>
                <w:b/>
                <w:sz w:val="21"/>
              </w:rPr>
            </w:pPr>
            <w:r>
              <w:rPr>
                <w:b/>
                <w:sz w:val="21"/>
              </w:rPr>
              <w:t>9.31</w:t>
            </w:r>
          </w:p>
        </w:tc>
        <w:tc>
          <w:tcPr>
            <w:tcW w:w="1585" w:type="dxa"/>
          </w:tcPr>
          <w:p>
            <w:pPr>
              <w:pStyle w:val="TableParagraph"/>
              <w:spacing w:line="271" w:lineRule="auto"/>
              <w:ind w:left="185" w:right="129"/>
              <w:rPr>
                <w:b/>
                <w:sz w:val="21"/>
              </w:rPr>
            </w:pPr>
            <w:r>
              <w:rPr>
                <w:b/>
                <w:sz w:val="21"/>
              </w:rPr>
              <w:t>急性出血坏死性胰腺炎</w:t>
            </w:r>
          </w:p>
        </w:tc>
        <w:tc>
          <w:tcPr>
            <w:tcW w:w="7624" w:type="dxa"/>
          </w:tcPr>
          <w:p>
            <w:pPr>
              <w:pStyle w:val="TableParagraph"/>
              <w:spacing w:line="271" w:lineRule="auto"/>
              <w:ind w:right="132"/>
              <w:jc w:val="both"/>
              <w:rPr>
                <w:rFonts w:ascii="黑体" w:eastAsia="黑体" w:hint="eastAsia"/>
                <w:sz w:val="21"/>
              </w:rPr>
            </w:pPr>
            <w:r>
              <w:rPr>
                <w:sz w:val="21"/>
              </w:rPr>
              <w:t>指被保险人因为急性出血坏死性胰腺炎已经接受了外科开腹手术治疗，以进行坏死组织清除、坏死病灶切除或胰腺切除。</w:t>
            </w:r>
            <w:r>
              <w:rPr>
                <w:rFonts w:ascii="黑体" w:eastAsia="黑体" w:hint="eastAsia"/>
                <w:sz w:val="21"/>
              </w:rPr>
              <w:t>因饮酒所致的急性出血坏死性胰腺炎或经腹腔镜手术进行的治疗不在保障范围内。</w:t>
            </w:r>
          </w:p>
        </w:tc>
      </w:tr>
      <w:tr>
        <w:trPr>
          <w:trHeight w:val="1220" w:hRule="atLeast"/>
        </w:trPr>
        <w:tc>
          <w:tcPr>
            <w:tcW w:w="717" w:type="dxa"/>
          </w:tcPr>
          <w:p>
            <w:pPr>
              <w:pStyle w:val="TableParagraph"/>
              <w:ind w:left="107"/>
              <w:rPr>
                <w:b/>
                <w:sz w:val="21"/>
              </w:rPr>
            </w:pPr>
            <w:r>
              <w:rPr>
                <w:b/>
                <w:sz w:val="21"/>
              </w:rPr>
              <w:t>9.32</w:t>
            </w:r>
          </w:p>
        </w:tc>
        <w:tc>
          <w:tcPr>
            <w:tcW w:w="1585" w:type="dxa"/>
          </w:tcPr>
          <w:p>
            <w:pPr>
              <w:pStyle w:val="TableParagraph"/>
              <w:ind w:left="185"/>
              <w:rPr>
                <w:b/>
                <w:sz w:val="21"/>
              </w:rPr>
            </w:pPr>
            <w:r>
              <w:rPr>
                <w:b/>
                <w:sz w:val="21"/>
              </w:rPr>
              <w:t>侵蚀性葡萄胎</w:t>
            </w:r>
          </w:p>
          <w:p>
            <w:pPr>
              <w:pStyle w:val="TableParagraph"/>
              <w:spacing w:line="273" w:lineRule="auto" w:before="36"/>
              <w:ind w:left="185" w:right="131"/>
              <w:rPr>
                <w:b/>
                <w:sz w:val="21"/>
              </w:rPr>
            </w:pPr>
            <w:r>
              <w:rPr>
                <w:b/>
                <w:sz w:val="21"/>
              </w:rPr>
              <w:t>（或称恶性葡萄胎）</w:t>
            </w:r>
          </w:p>
        </w:tc>
        <w:tc>
          <w:tcPr>
            <w:tcW w:w="7624" w:type="dxa"/>
          </w:tcPr>
          <w:p>
            <w:pPr>
              <w:pStyle w:val="TableParagraph"/>
              <w:spacing w:line="273" w:lineRule="auto"/>
              <w:ind w:right="132"/>
              <w:rPr>
                <w:sz w:val="21"/>
              </w:rPr>
            </w:pPr>
            <w:r>
              <w:rPr>
                <w:sz w:val="21"/>
              </w:rPr>
              <w:t>指异常增生的绒毛组织浸润性生长浸入子宫肌层或转移至其他器官或组织的葡萄胎，并已经进行化疗或手术治疗的。</w:t>
            </w:r>
          </w:p>
        </w:tc>
      </w:tr>
      <w:tr>
        <w:trPr>
          <w:trHeight w:val="576" w:hRule="atLeast"/>
        </w:trPr>
        <w:tc>
          <w:tcPr>
            <w:tcW w:w="717" w:type="dxa"/>
            <w:tcBorders>
              <w:bottom w:val="single" w:sz="8" w:space="0" w:color="000000"/>
            </w:tcBorders>
          </w:tcPr>
          <w:p>
            <w:pPr>
              <w:pStyle w:val="TableParagraph"/>
              <w:spacing w:before="136"/>
              <w:ind w:left="107"/>
              <w:rPr>
                <w:b/>
                <w:sz w:val="24"/>
              </w:rPr>
            </w:pPr>
            <w:r>
              <w:rPr>
                <w:b/>
                <w:sz w:val="24"/>
              </w:rPr>
              <w:t>10.</w:t>
            </w:r>
          </w:p>
        </w:tc>
        <w:tc>
          <w:tcPr>
            <w:tcW w:w="1585" w:type="dxa"/>
            <w:tcBorders>
              <w:bottom w:val="single" w:sz="8" w:space="0" w:color="000000"/>
            </w:tcBorders>
          </w:tcPr>
          <w:p>
            <w:pPr>
              <w:pStyle w:val="TableParagraph"/>
              <w:spacing w:before="136"/>
              <w:ind w:left="185"/>
              <w:rPr>
                <w:b/>
                <w:sz w:val="24"/>
              </w:rPr>
            </w:pPr>
            <w:r>
              <w:rPr>
                <w:b/>
                <w:sz w:val="24"/>
              </w:rPr>
              <w:t>释义</w:t>
            </w:r>
          </w:p>
        </w:tc>
        <w:tc>
          <w:tcPr>
            <w:tcW w:w="7624" w:type="dxa"/>
            <w:tcBorders>
              <w:bottom w:val="single" w:sz="8" w:space="0" w:color="000000"/>
            </w:tcBorders>
          </w:tcPr>
          <w:p>
            <w:pPr>
              <w:pStyle w:val="TableParagraph"/>
              <w:spacing w:before="0"/>
              <w:ind w:left="0"/>
              <w:rPr>
                <w:rFonts w:ascii="Times New Roman"/>
                <w:sz w:val="20"/>
              </w:rPr>
            </w:pPr>
          </w:p>
        </w:tc>
      </w:tr>
      <w:tr>
        <w:trPr>
          <w:trHeight w:val="977" w:hRule="atLeast"/>
        </w:trPr>
        <w:tc>
          <w:tcPr>
            <w:tcW w:w="717"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10.1</w:t>
            </w:r>
          </w:p>
        </w:tc>
        <w:tc>
          <w:tcPr>
            <w:tcW w:w="1585" w:type="dxa"/>
            <w:tcBorders>
              <w:top w:val="single" w:sz="8" w:space="0" w:color="000000"/>
            </w:tcBorders>
          </w:tcPr>
          <w:p>
            <w:pPr>
              <w:pStyle w:val="TableParagraph"/>
              <w:spacing w:before="8"/>
              <w:ind w:left="0"/>
              <w:rPr>
                <w:sz w:val="16"/>
              </w:rPr>
            </w:pPr>
          </w:p>
          <w:p>
            <w:pPr>
              <w:pStyle w:val="TableParagraph"/>
              <w:spacing w:before="0"/>
              <w:ind w:left="185"/>
              <w:rPr>
                <w:b/>
                <w:sz w:val="21"/>
              </w:rPr>
            </w:pPr>
            <w:r>
              <w:rPr>
                <w:b/>
                <w:sz w:val="21"/>
              </w:rPr>
              <w:t>保单年度</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rPr>
                <w:sz w:val="21"/>
              </w:rPr>
            </w:pPr>
            <w:r>
              <w:rPr>
                <w:sz w:val="21"/>
              </w:rPr>
              <w:t>从保险合同生效日或者生效对应日零时起至下一年度保险合同生效对应日零时止为一个保单年度。如果当月无对应的同一日，则以该月最后一日为对应日。</w:t>
            </w:r>
          </w:p>
        </w:tc>
      </w:tr>
      <w:tr>
        <w:trPr>
          <w:trHeight w:val="698" w:hRule="atLeast"/>
        </w:trPr>
        <w:tc>
          <w:tcPr>
            <w:tcW w:w="717" w:type="dxa"/>
          </w:tcPr>
          <w:p>
            <w:pPr>
              <w:pStyle w:val="TableParagraph"/>
              <w:ind w:left="107"/>
              <w:rPr>
                <w:b/>
                <w:sz w:val="21"/>
              </w:rPr>
            </w:pPr>
            <w:r>
              <w:rPr>
                <w:b/>
                <w:sz w:val="21"/>
              </w:rPr>
              <w:t>10.2</w:t>
            </w:r>
          </w:p>
        </w:tc>
        <w:tc>
          <w:tcPr>
            <w:tcW w:w="1585" w:type="dxa"/>
          </w:tcPr>
          <w:p>
            <w:pPr>
              <w:pStyle w:val="TableParagraph"/>
              <w:spacing w:line="310" w:lineRule="atLeast" w:before="76"/>
              <w:ind w:left="185" w:right="129"/>
              <w:rPr>
                <w:b/>
                <w:sz w:val="21"/>
              </w:rPr>
            </w:pPr>
            <w:r>
              <w:rPr>
                <w:b/>
                <w:sz w:val="21"/>
              </w:rPr>
              <w:t>保险费约定交纳日</w:t>
            </w:r>
          </w:p>
        </w:tc>
        <w:tc>
          <w:tcPr>
            <w:tcW w:w="7624" w:type="dxa"/>
          </w:tcPr>
          <w:p>
            <w:pPr>
              <w:pStyle w:val="TableParagraph"/>
              <w:spacing w:line="310" w:lineRule="atLeast" w:before="76"/>
              <w:rPr>
                <w:sz w:val="21"/>
              </w:rPr>
            </w:pPr>
            <w:r>
              <w:rPr>
                <w:spacing w:val="-8"/>
                <w:sz w:val="21"/>
              </w:rPr>
              <w:t>保险合同生效日在每月、每季、每半年或者每年</w:t>
            </w:r>
            <w:r>
              <w:rPr>
                <w:spacing w:val="-3"/>
                <w:sz w:val="21"/>
              </w:rPr>
              <w:t>（根据交费方式确定</w:t>
            </w:r>
            <w:r>
              <w:rPr>
                <w:spacing w:val="-22"/>
                <w:sz w:val="21"/>
              </w:rPr>
              <w:t>）</w:t>
            </w:r>
            <w:r>
              <w:rPr>
                <w:spacing w:val="-2"/>
                <w:sz w:val="21"/>
              </w:rPr>
              <w:t>的对应日。</w:t>
            </w:r>
            <w:r>
              <w:rPr>
                <w:spacing w:val="-3"/>
                <w:sz w:val="21"/>
              </w:rPr>
              <w:t>如果当月无对应的同一日，则以该月最后一日为对应日。</w:t>
            </w:r>
          </w:p>
        </w:tc>
      </w:tr>
    </w:tbl>
    <w:p>
      <w:pPr>
        <w:spacing w:after="0" w:line="310" w:lineRule="atLeas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4"/>
      </w:tblGrid>
      <w:tr>
        <w:trPr>
          <w:trHeight w:val="1322" w:hRule="atLeast"/>
        </w:trPr>
        <w:tc>
          <w:tcPr>
            <w:tcW w:w="862" w:type="dxa"/>
          </w:tcPr>
          <w:p>
            <w:pPr>
              <w:pStyle w:val="TableParagraph"/>
              <w:spacing w:line="211" w:lineRule="exact" w:before="0"/>
              <w:ind w:left="200"/>
              <w:rPr>
                <w:b/>
                <w:sz w:val="21"/>
              </w:rPr>
            </w:pPr>
            <w:r>
              <w:rPr>
                <w:b/>
                <w:sz w:val="21"/>
              </w:rPr>
              <w:t>10.3</w:t>
            </w:r>
          </w:p>
        </w:tc>
        <w:tc>
          <w:tcPr>
            <w:tcW w:w="1533" w:type="dxa"/>
          </w:tcPr>
          <w:p>
            <w:pPr>
              <w:pStyle w:val="TableParagraph"/>
              <w:spacing w:line="211" w:lineRule="exact" w:before="0"/>
              <w:ind w:left="132"/>
              <w:rPr>
                <w:b/>
                <w:sz w:val="21"/>
              </w:rPr>
            </w:pPr>
            <w:r>
              <w:rPr>
                <w:b/>
                <w:sz w:val="21"/>
              </w:rPr>
              <w:t>周岁</w:t>
            </w:r>
          </w:p>
        </w:tc>
        <w:tc>
          <w:tcPr>
            <w:tcW w:w="7824" w:type="dxa"/>
          </w:tcPr>
          <w:p>
            <w:pPr>
              <w:pStyle w:val="TableParagraph"/>
              <w:spacing w:line="211" w:lineRule="exact" w:before="0"/>
              <w:ind w:left="130"/>
              <w:rPr>
                <w:sz w:val="21"/>
              </w:rPr>
            </w:pPr>
            <w:r>
              <w:rPr>
                <w:sz w:val="21"/>
              </w:rPr>
              <w:t>指按有效身份证件中记载的出生日期计算的年龄，自出生之日起为零周岁，每经</w:t>
            </w:r>
          </w:p>
          <w:p>
            <w:pPr>
              <w:pStyle w:val="TableParagraph"/>
              <w:spacing w:before="37"/>
              <w:ind w:left="130"/>
              <w:rPr>
                <w:sz w:val="21"/>
              </w:rPr>
            </w:pPr>
            <w:r>
              <w:rPr>
                <w:sz w:val="21"/>
              </w:rPr>
              <w:t>过一年增加一岁，不足一年的不计。例如，出生日期为 2000 年 9 月 1 日，2000</w:t>
            </w:r>
          </w:p>
          <w:p>
            <w:pPr>
              <w:pStyle w:val="TableParagraph"/>
              <w:spacing w:before="37"/>
              <w:ind w:left="130"/>
              <w:rPr>
                <w:sz w:val="21"/>
              </w:rPr>
            </w:pPr>
            <w:r>
              <w:rPr>
                <w:spacing w:val="-26"/>
                <w:sz w:val="21"/>
              </w:rPr>
              <w:t>年 </w:t>
            </w:r>
            <w:r>
              <w:rPr>
                <w:sz w:val="21"/>
              </w:rPr>
              <w:t>9</w:t>
            </w:r>
            <w:r>
              <w:rPr>
                <w:spacing w:val="-17"/>
                <w:sz w:val="21"/>
              </w:rPr>
              <w:t> 月 </w:t>
            </w:r>
            <w:r>
              <w:rPr>
                <w:sz w:val="21"/>
              </w:rPr>
              <w:t>1</w:t>
            </w:r>
            <w:r>
              <w:rPr>
                <w:spacing w:val="-14"/>
                <w:sz w:val="21"/>
              </w:rPr>
              <w:t> 日至 </w:t>
            </w:r>
            <w:r>
              <w:rPr>
                <w:sz w:val="21"/>
              </w:rPr>
              <w:t>2001</w:t>
            </w:r>
            <w:r>
              <w:rPr>
                <w:spacing w:val="-18"/>
                <w:sz w:val="21"/>
              </w:rPr>
              <w:t> 年 </w:t>
            </w:r>
            <w:r>
              <w:rPr>
                <w:sz w:val="21"/>
              </w:rPr>
              <w:t>8</w:t>
            </w:r>
            <w:r>
              <w:rPr>
                <w:spacing w:val="-19"/>
                <w:sz w:val="21"/>
              </w:rPr>
              <w:t> 月 </w:t>
            </w:r>
            <w:r>
              <w:rPr>
                <w:sz w:val="21"/>
              </w:rPr>
              <w:t>31</w:t>
            </w:r>
            <w:r>
              <w:rPr>
                <w:spacing w:val="-10"/>
                <w:sz w:val="21"/>
              </w:rPr>
              <w:t> 日期间为 </w:t>
            </w:r>
            <w:r>
              <w:rPr>
                <w:sz w:val="21"/>
              </w:rPr>
              <w:t>0</w:t>
            </w:r>
            <w:r>
              <w:rPr>
                <w:spacing w:val="-2"/>
                <w:sz w:val="21"/>
              </w:rPr>
              <w:t> 周岁，</w:t>
            </w:r>
            <w:r>
              <w:rPr>
                <w:spacing w:val="-5"/>
                <w:sz w:val="21"/>
              </w:rPr>
              <w:t>2001</w:t>
            </w:r>
            <w:r>
              <w:rPr>
                <w:spacing w:val="-18"/>
                <w:sz w:val="21"/>
              </w:rPr>
              <w:t> 年 </w:t>
            </w:r>
            <w:r>
              <w:rPr>
                <w:sz w:val="21"/>
              </w:rPr>
              <w:t>9</w:t>
            </w:r>
            <w:r>
              <w:rPr>
                <w:spacing w:val="-17"/>
                <w:sz w:val="21"/>
              </w:rPr>
              <w:t> 月 </w:t>
            </w:r>
            <w:r>
              <w:rPr>
                <w:sz w:val="21"/>
              </w:rPr>
              <w:t>1</w:t>
            </w:r>
            <w:r>
              <w:rPr>
                <w:spacing w:val="-14"/>
                <w:sz w:val="21"/>
              </w:rPr>
              <w:t> 日至 </w:t>
            </w:r>
            <w:r>
              <w:rPr>
                <w:sz w:val="21"/>
              </w:rPr>
              <w:t>2002</w:t>
            </w:r>
            <w:r>
              <w:rPr>
                <w:spacing w:val="-2"/>
                <w:sz w:val="21"/>
              </w:rPr>
              <w:t> 年</w:t>
            </w:r>
          </w:p>
          <w:p>
            <w:pPr>
              <w:pStyle w:val="TableParagraph"/>
              <w:spacing w:before="36"/>
              <w:ind w:left="130"/>
              <w:rPr>
                <w:sz w:val="21"/>
              </w:rPr>
            </w:pPr>
            <w:r>
              <w:rPr>
                <w:sz w:val="21"/>
              </w:rPr>
              <w:t>8 月 31 日期间为 1 周岁，依此类推。</w:t>
            </w:r>
          </w:p>
        </w:tc>
      </w:tr>
      <w:tr>
        <w:trPr>
          <w:trHeight w:val="871" w:hRule="atLeast"/>
        </w:trPr>
        <w:tc>
          <w:tcPr>
            <w:tcW w:w="862" w:type="dxa"/>
          </w:tcPr>
          <w:p>
            <w:pPr>
              <w:pStyle w:val="TableParagraph"/>
              <w:ind w:left="200"/>
              <w:rPr>
                <w:b/>
                <w:sz w:val="21"/>
              </w:rPr>
            </w:pPr>
            <w:r>
              <w:rPr>
                <w:b/>
                <w:sz w:val="21"/>
              </w:rPr>
              <w:t>10.4</w:t>
            </w:r>
          </w:p>
        </w:tc>
        <w:tc>
          <w:tcPr>
            <w:tcW w:w="1533" w:type="dxa"/>
          </w:tcPr>
          <w:p>
            <w:pPr>
              <w:pStyle w:val="TableParagraph"/>
              <w:ind w:left="132"/>
              <w:rPr>
                <w:b/>
                <w:sz w:val="21"/>
              </w:rPr>
            </w:pPr>
            <w:r>
              <w:rPr>
                <w:b/>
                <w:sz w:val="21"/>
              </w:rPr>
              <w:t>有效身份证件</w:t>
            </w:r>
          </w:p>
        </w:tc>
        <w:tc>
          <w:tcPr>
            <w:tcW w:w="7824" w:type="dxa"/>
          </w:tcPr>
          <w:p>
            <w:pPr>
              <w:pStyle w:val="TableParagraph"/>
              <w:spacing w:line="271" w:lineRule="auto"/>
              <w:ind w:left="130" w:right="333"/>
              <w:rPr>
                <w:sz w:val="21"/>
              </w:rPr>
            </w:pPr>
            <w:r>
              <w:rPr>
                <w:sz w:val="21"/>
              </w:rPr>
              <w:t>指由政府主管部门规定的证明其身份的证件，如：居民身份证、按规定可使用的有效护照、军官证、警官证、士兵证、户口簿等证件。</w:t>
            </w:r>
          </w:p>
        </w:tc>
      </w:tr>
      <w:tr>
        <w:trPr>
          <w:trHeight w:val="872" w:hRule="atLeast"/>
        </w:trPr>
        <w:tc>
          <w:tcPr>
            <w:tcW w:w="862" w:type="dxa"/>
          </w:tcPr>
          <w:p>
            <w:pPr>
              <w:pStyle w:val="TableParagraph"/>
              <w:ind w:left="200"/>
              <w:rPr>
                <w:b/>
                <w:sz w:val="21"/>
              </w:rPr>
            </w:pPr>
            <w:r>
              <w:rPr>
                <w:b/>
                <w:sz w:val="21"/>
              </w:rPr>
              <w:t>10.5</w:t>
            </w:r>
          </w:p>
        </w:tc>
        <w:tc>
          <w:tcPr>
            <w:tcW w:w="1533" w:type="dxa"/>
          </w:tcPr>
          <w:p>
            <w:pPr>
              <w:pStyle w:val="TableParagraph"/>
              <w:ind w:left="132"/>
              <w:rPr>
                <w:b/>
                <w:sz w:val="21"/>
              </w:rPr>
            </w:pPr>
            <w:r>
              <w:rPr>
                <w:b/>
                <w:sz w:val="21"/>
              </w:rPr>
              <w:t>医院</w:t>
            </w:r>
          </w:p>
        </w:tc>
        <w:tc>
          <w:tcPr>
            <w:tcW w:w="7824" w:type="dxa"/>
          </w:tcPr>
          <w:p>
            <w:pPr>
              <w:pStyle w:val="TableParagraph"/>
              <w:ind w:left="130"/>
              <w:rPr>
                <w:sz w:val="21"/>
              </w:rPr>
            </w:pPr>
            <w:r>
              <w:rPr>
                <w:sz w:val="21"/>
              </w:rPr>
              <w:t>指中华人民共和国卫生部医院等级分类中的二级合格或者二级合格以上的医院，</w:t>
            </w:r>
          </w:p>
          <w:p>
            <w:pPr>
              <w:pStyle w:val="TableParagraph"/>
              <w:spacing w:before="36"/>
              <w:ind w:left="130"/>
              <w:rPr>
                <w:rFonts w:ascii="黑体" w:eastAsia="黑体" w:hint="eastAsia"/>
                <w:sz w:val="21"/>
              </w:rPr>
            </w:pPr>
            <w:r>
              <w:rPr>
                <w:rFonts w:ascii="黑体" w:eastAsia="黑体" w:hint="eastAsia"/>
                <w:sz w:val="21"/>
              </w:rPr>
              <w:t>不包括主要作为康复、护理、疗养、戒酒、戒毒或者相类似的医疗机构。</w:t>
            </w:r>
          </w:p>
        </w:tc>
      </w:tr>
      <w:tr>
        <w:trPr>
          <w:trHeight w:val="6722" w:hRule="atLeast"/>
        </w:trPr>
        <w:tc>
          <w:tcPr>
            <w:tcW w:w="862" w:type="dxa"/>
          </w:tcPr>
          <w:p>
            <w:pPr>
              <w:pStyle w:val="TableParagraph"/>
              <w:spacing w:before="110"/>
              <w:ind w:left="200"/>
              <w:rPr>
                <w:b/>
                <w:sz w:val="21"/>
              </w:rPr>
            </w:pPr>
            <w:r>
              <w:rPr>
                <w:b/>
                <w:sz w:val="21"/>
              </w:rPr>
              <w:t>10.6</w:t>
            </w:r>
          </w:p>
        </w:tc>
        <w:tc>
          <w:tcPr>
            <w:tcW w:w="1533" w:type="dxa"/>
          </w:tcPr>
          <w:p>
            <w:pPr>
              <w:pStyle w:val="TableParagraph"/>
              <w:spacing w:before="110"/>
              <w:ind w:left="132"/>
              <w:rPr>
                <w:b/>
                <w:sz w:val="21"/>
              </w:rPr>
            </w:pPr>
            <w:r>
              <w:rPr>
                <w:b/>
                <w:sz w:val="21"/>
              </w:rPr>
              <w:t>初次确诊</w:t>
            </w:r>
          </w:p>
        </w:tc>
        <w:tc>
          <w:tcPr>
            <w:tcW w:w="7824" w:type="dxa"/>
          </w:tcPr>
          <w:p>
            <w:pPr>
              <w:pStyle w:val="TableParagraph"/>
              <w:spacing w:line="264" w:lineRule="auto" w:before="110"/>
              <w:ind w:left="130" w:right="302"/>
              <w:jc w:val="both"/>
              <w:rPr>
                <w:sz w:val="21"/>
              </w:rPr>
            </w:pPr>
            <w:r>
              <w:rPr>
                <w:spacing w:val="-3"/>
                <w:sz w:val="21"/>
              </w:rPr>
              <w:t>指自被保险人出生之日起第一次经医院确诊患有某种疾病，而不是指自本附加合</w:t>
            </w:r>
            <w:r>
              <w:rPr>
                <w:spacing w:val="-6"/>
                <w:sz w:val="21"/>
              </w:rPr>
              <w:t>同生效、复效之后第一次经医院确诊患有某种疾病。例如，</w:t>
            </w:r>
            <w:r>
              <w:rPr>
                <w:rFonts w:ascii="Times New Roman" w:eastAsia="Times New Roman"/>
                <w:spacing w:val="-3"/>
                <w:sz w:val="21"/>
              </w:rPr>
              <w:t>2010 </w:t>
            </w:r>
            <w:r>
              <w:rPr>
                <w:spacing w:val="-24"/>
                <w:sz w:val="21"/>
              </w:rPr>
              <w:t>年 </w:t>
            </w:r>
            <w:r>
              <w:rPr>
                <w:rFonts w:ascii="Times New Roman" w:eastAsia="Times New Roman"/>
                <w:sz w:val="21"/>
              </w:rPr>
              <w:t>1 </w:t>
            </w:r>
            <w:r>
              <w:rPr>
                <w:spacing w:val="-24"/>
                <w:sz w:val="21"/>
              </w:rPr>
              <w:t>月 </w:t>
            </w:r>
            <w:r>
              <w:rPr>
                <w:rFonts w:ascii="Times New Roman" w:eastAsia="Times New Roman"/>
                <w:sz w:val="21"/>
              </w:rPr>
              <w:t>1 </w:t>
            </w:r>
            <w:r>
              <w:rPr>
                <w:spacing w:val="-2"/>
                <w:sz w:val="21"/>
              </w:rPr>
              <w:t>日本附</w:t>
            </w:r>
            <w:r>
              <w:rPr>
                <w:spacing w:val="-3"/>
                <w:sz w:val="21"/>
              </w:rPr>
              <w:t>加合同经首次投保后生效，若：</w:t>
            </w:r>
          </w:p>
          <w:p>
            <w:pPr>
              <w:pStyle w:val="TableParagraph"/>
              <w:numPr>
                <w:ilvl w:val="0"/>
                <w:numId w:val="23"/>
              </w:numPr>
              <w:tabs>
                <w:tab w:pos="888" w:val="left" w:leader="none"/>
              </w:tabs>
              <w:spacing w:line="240" w:lineRule="auto" w:before="95" w:after="0"/>
              <w:ind w:left="887" w:right="0" w:hanging="720"/>
              <w:jc w:val="left"/>
              <w:rPr>
                <w:sz w:val="21"/>
              </w:rPr>
            </w:pP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before="34"/>
              <w:ind w:left="887"/>
              <w:rPr>
                <w:sz w:val="21"/>
              </w:rPr>
            </w:pPr>
            <w:r>
              <w:rPr>
                <w:sz w:val="21"/>
              </w:rPr>
              <w:t>2010</w:t>
            </w:r>
            <w:r>
              <w:rPr>
                <w:spacing w:val="-34"/>
                <w:sz w:val="21"/>
              </w:rPr>
              <w:t> 年 </w:t>
            </w:r>
            <w:r>
              <w:rPr>
                <w:sz w:val="21"/>
              </w:rPr>
              <w:t>1</w:t>
            </w:r>
            <w:r>
              <w:rPr>
                <w:spacing w:val="-34"/>
                <w:sz w:val="21"/>
              </w:rPr>
              <w:t> 月 </w:t>
            </w:r>
            <w:r>
              <w:rPr>
                <w:sz w:val="21"/>
              </w:rPr>
              <w:t>1</w:t>
            </w:r>
            <w:r>
              <w:rPr>
                <w:spacing w:val="-21"/>
                <w:sz w:val="21"/>
              </w:rPr>
              <w:t> 日被保险人再次经医院确诊罹患“恶性肿瘤”，则 </w:t>
            </w:r>
            <w:r>
              <w:rPr>
                <w:sz w:val="21"/>
              </w:rPr>
              <w:t>2009</w:t>
            </w:r>
            <w:r>
              <w:rPr>
                <w:spacing w:val="-33"/>
                <w:sz w:val="21"/>
              </w:rPr>
              <w:t> 年 </w:t>
            </w:r>
            <w:r>
              <w:rPr>
                <w:sz w:val="21"/>
              </w:rPr>
              <w:t>1</w:t>
            </w:r>
          </w:p>
          <w:p>
            <w:pPr>
              <w:pStyle w:val="TableParagraph"/>
              <w:spacing w:line="273" w:lineRule="auto" w:before="37"/>
              <w:ind w:left="887" w:right="302"/>
              <w:jc w:val="both"/>
              <w:rPr>
                <w:sz w:val="21"/>
              </w:rPr>
            </w:pPr>
            <w:r>
              <w:rPr>
                <w:spacing w:val="-19"/>
                <w:sz w:val="21"/>
              </w:rPr>
              <w:t>月 </w:t>
            </w:r>
            <w:r>
              <w:rPr>
                <w:sz w:val="21"/>
              </w:rPr>
              <w:t>1</w:t>
            </w:r>
            <w:r>
              <w:rPr>
                <w:spacing w:val="-13"/>
                <w:sz w:val="21"/>
              </w:rPr>
              <w:t> 日为被保险人经医院初次确诊罹患“恶性肿瘤”的时间，由于“初次</w:t>
            </w:r>
            <w:r>
              <w:rPr>
                <w:spacing w:val="-11"/>
                <w:sz w:val="21"/>
              </w:rPr>
              <w:t>确诊”发生在本附加合同生效之前，因此不属于保险责任范围，我们不承</w:t>
            </w:r>
            <w:r>
              <w:rPr>
                <w:spacing w:val="-6"/>
                <w:sz w:val="21"/>
              </w:rPr>
              <w:t>担给付重大疾病保险金的责任；</w:t>
            </w:r>
          </w:p>
          <w:p>
            <w:pPr>
              <w:pStyle w:val="TableParagraph"/>
              <w:numPr>
                <w:ilvl w:val="0"/>
                <w:numId w:val="23"/>
              </w:numPr>
              <w:tabs>
                <w:tab w:pos="888" w:val="left" w:leader="none"/>
              </w:tabs>
              <w:spacing w:line="240" w:lineRule="auto" w:before="87" w:after="0"/>
              <w:ind w:left="887" w:right="0" w:hanging="720"/>
              <w:jc w:val="left"/>
              <w:rPr>
                <w:sz w:val="21"/>
              </w:rPr>
            </w:pPr>
            <w:r>
              <w:rPr>
                <w:sz w:val="21"/>
              </w:rPr>
              <w:t>2010</w:t>
            </w:r>
            <w:r>
              <w:rPr>
                <w:spacing w:val="-33"/>
                <w:sz w:val="21"/>
              </w:rPr>
              <w:t> 年 </w:t>
            </w:r>
            <w:r>
              <w:rPr>
                <w:sz w:val="21"/>
              </w:rPr>
              <w:t>2</w:t>
            </w:r>
            <w:r>
              <w:rPr>
                <w:spacing w:val="-33"/>
                <w:sz w:val="21"/>
              </w:rPr>
              <w:t> 月 </w:t>
            </w:r>
            <w:r>
              <w:rPr>
                <w:sz w:val="21"/>
              </w:rPr>
              <w:t>2</w:t>
            </w:r>
            <w:r>
              <w:rPr>
                <w:spacing w:val="-9"/>
                <w:sz w:val="21"/>
              </w:rPr>
              <w:t> 日被保险人自出生后第一次经医院确诊非因意外伤害罹患</w:t>
            </w:r>
          </w:p>
          <w:p>
            <w:pPr>
              <w:pStyle w:val="TableParagraph"/>
              <w:spacing w:before="37"/>
              <w:ind w:left="887"/>
              <w:rPr>
                <w:sz w:val="21"/>
              </w:rPr>
            </w:pPr>
            <w:r>
              <w:rPr>
                <w:spacing w:val="-32"/>
                <w:w w:val="100"/>
                <w:sz w:val="21"/>
              </w:rPr>
              <w:t>“恶性肿瘤”，</w:t>
            </w:r>
            <w:r>
              <w:rPr>
                <w:w w:val="100"/>
                <w:sz w:val="21"/>
              </w:rPr>
              <w:t>2</w:t>
            </w:r>
            <w:r>
              <w:rPr>
                <w:spacing w:val="-3"/>
                <w:w w:val="100"/>
                <w:sz w:val="21"/>
              </w:rPr>
              <w:t>0</w:t>
            </w:r>
            <w:r>
              <w:rPr>
                <w:w w:val="100"/>
                <w:sz w:val="21"/>
              </w:rPr>
              <w:t>10</w:t>
            </w:r>
            <w:r>
              <w:rPr>
                <w:spacing w:val="-62"/>
                <w:sz w:val="21"/>
              </w:rPr>
              <w:t> </w:t>
            </w:r>
            <w:r>
              <w:rPr>
                <w:w w:val="100"/>
                <w:sz w:val="21"/>
              </w:rPr>
              <w:t>年</w:t>
            </w:r>
            <w:r>
              <w:rPr>
                <w:spacing w:val="-62"/>
                <w:sz w:val="21"/>
              </w:rPr>
              <w:t> </w:t>
            </w:r>
            <w:r>
              <w:rPr>
                <w:w w:val="100"/>
                <w:sz w:val="21"/>
              </w:rPr>
              <w:t>5</w:t>
            </w:r>
            <w:r>
              <w:rPr>
                <w:spacing w:val="-62"/>
                <w:sz w:val="21"/>
              </w:rPr>
              <w:t> </w:t>
            </w:r>
            <w:r>
              <w:rPr>
                <w:w w:val="100"/>
                <w:sz w:val="21"/>
              </w:rPr>
              <w:t>月</w:t>
            </w:r>
            <w:r>
              <w:rPr>
                <w:spacing w:val="-65"/>
                <w:sz w:val="21"/>
              </w:rPr>
              <w:t> </w:t>
            </w:r>
            <w:r>
              <w:rPr>
                <w:w w:val="100"/>
                <w:sz w:val="21"/>
              </w:rPr>
              <w:t>5</w:t>
            </w:r>
            <w:r>
              <w:rPr>
                <w:spacing w:val="-62"/>
                <w:sz w:val="21"/>
              </w:rPr>
              <w:t> </w:t>
            </w:r>
            <w:r>
              <w:rPr>
                <w:spacing w:val="-16"/>
                <w:w w:val="100"/>
                <w:sz w:val="21"/>
              </w:rPr>
              <w:t>日被保险人再次经医院确诊罹患“恶性肿瘤”，</w:t>
            </w:r>
          </w:p>
          <w:p>
            <w:pPr>
              <w:pStyle w:val="TableParagraph"/>
              <w:spacing w:before="37"/>
              <w:ind w:left="887"/>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4"/>
                <w:sz w:val="21"/>
              </w:rPr>
              <w:t> 日为被保险人经医院初次确诊罹患“恶性肿瘤”的时间，</w:t>
            </w:r>
          </w:p>
          <w:p>
            <w:pPr>
              <w:pStyle w:val="TableParagraph"/>
              <w:spacing w:line="264" w:lineRule="auto" w:before="37"/>
              <w:ind w:left="887" w:right="304"/>
              <w:rPr>
                <w:sz w:val="21"/>
              </w:rPr>
            </w:pPr>
            <w:r>
              <w:rPr>
                <w:spacing w:val="-12"/>
                <w:sz w:val="21"/>
              </w:rPr>
              <w:t>由于“初次确诊”发生在本附加合同生效之日起 </w:t>
            </w:r>
            <w:r>
              <w:rPr>
                <w:rFonts w:ascii="Times New Roman" w:hAnsi="Times New Roman" w:eastAsia="Times New Roman"/>
                <w:sz w:val="21"/>
              </w:rPr>
              <w:t>1 </w:t>
            </w:r>
            <w:r>
              <w:rPr>
                <w:spacing w:val="-7"/>
                <w:sz w:val="21"/>
              </w:rPr>
              <w:t>年内，我们按您已交纳</w:t>
            </w:r>
            <w:r>
              <w:rPr>
                <w:spacing w:val="-5"/>
                <w:sz w:val="21"/>
              </w:rPr>
              <w:t>的本附加合同和主合同的累计保险费数额向重大疾病保险金受益人给付</w:t>
            </w:r>
            <w:r>
              <w:rPr>
                <w:spacing w:val="-3"/>
                <w:sz w:val="21"/>
              </w:rPr>
              <w:t>重大疾病保险金，本附加合同和主合同同时终止；</w:t>
            </w:r>
          </w:p>
          <w:p>
            <w:pPr>
              <w:pStyle w:val="TableParagraph"/>
              <w:numPr>
                <w:ilvl w:val="0"/>
                <w:numId w:val="23"/>
              </w:numPr>
              <w:tabs>
                <w:tab w:pos="888" w:val="left" w:leader="none"/>
              </w:tabs>
              <w:spacing w:line="240" w:lineRule="auto" w:before="95" w:after="0"/>
              <w:ind w:left="887" w:right="0" w:hanging="720"/>
              <w:jc w:val="left"/>
              <w:rPr>
                <w:sz w:val="21"/>
              </w:rPr>
            </w:pPr>
            <w:r>
              <w:rPr>
                <w:w w:val="100"/>
                <w:sz w:val="21"/>
              </w:rPr>
              <w:t>2011</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5"/>
              <w:ind w:left="887"/>
              <w:rPr>
                <w:sz w:val="21"/>
              </w:rPr>
            </w:pPr>
            <w:r>
              <w:rPr>
                <w:spacing w:val="-24"/>
                <w:sz w:val="21"/>
              </w:rPr>
              <w:t>则 </w:t>
            </w:r>
            <w:r>
              <w:rPr>
                <w:sz w:val="21"/>
              </w:rPr>
              <w:t>2011</w:t>
            </w:r>
            <w:r>
              <w:rPr>
                <w:spacing w:val="-33"/>
                <w:sz w:val="21"/>
              </w:rPr>
              <w:t> 年 </w:t>
            </w:r>
            <w:r>
              <w:rPr>
                <w:sz w:val="21"/>
              </w:rPr>
              <w:t>5</w:t>
            </w:r>
            <w:r>
              <w:rPr>
                <w:spacing w:val="-33"/>
                <w:sz w:val="21"/>
              </w:rPr>
              <w:t> 月 </w:t>
            </w:r>
            <w:r>
              <w:rPr>
                <w:sz w:val="21"/>
              </w:rPr>
              <w:t>5</w:t>
            </w:r>
            <w:r>
              <w:rPr>
                <w:spacing w:val="-14"/>
                <w:sz w:val="21"/>
              </w:rPr>
              <w:t> 日为被保险人经医院初次确诊罹患“恶性肿瘤”的时间，</w:t>
            </w:r>
          </w:p>
          <w:p>
            <w:pPr>
              <w:pStyle w:val="TableParagraph"/>
              <w:spacing w:line="266" w:lineRule="auto" w:before="37"/>
              <w:ind w:left="887" w:right="302"/>
              <w:jc w:val="both"/>
              <w:rPr>
                <w:sz w:val="21"/>
              </w:rPr>
            </w:pPr>
            <w:r>
              <w:rPr>
                <w:spacing w:val="-12"/>
                <w:sz w:val="21"/>
              </w:rPr>
              <w:t>由于“初次确诊”发生在本附加合同生效之日起 </w:t>
            </w:r>
            <w:r>
              <w:rPr>
                <w:rFonts w:ascii="Times New Roman" w:hAnsi="Times New Roman" w:eastAsia="Times New Roman"/>
                <w:sz w:val="21"/>
              </w:rPr>
              <w:t>1 </w:t>
            </w:r>
            <w:r>
              <w:rPr>
                <w:spacing w:val="-7"/>
                <w:sz w:val="21"/>
              </w:rPr>
              <w:t>年外，我们向重大疾病</w:t>
            </w:r>
            <w:r>
              <w:rPr>
                <w:spacing w:val="-10"/>
                <w:sz w:val="21"/>
              </w:rPr>
              <w:t>保险金受益人给付重大疾病保险金，本附加合同和主合同同时终止。重大</w:t>
            </w:r>
            <w:r>
              <w:rPr>
                <w:spacing w:val="-8"/>
                <w:sz w:val="21"/>
              </w:rPr>
              <w:t>疾病保险金数额为被保险人重大疾病初次确诊之日，主合同项下的身故保</w:t>
            </w:r>
            <w:r>
              <w:rPr>
                <w:spacing w:val="-5"/>
                <w:sz w:val="21"/>
              </w:rPr>
              <w:t>险金数额。</w:t>
            </w:r>
          </w:p>
        </w:tc>
      </w:tr>
      <w:tr>
        <w:trPr>
          <w:trHeight w:val="1185" w:hRule="atLeast"/>
        </w:trPr>
        <w:tc>
          <w:tcPr>
            <w:tcW w:w="862" w:type="dxa"/>
          </w:tcPr>
          <w:p>
            <w:pPr>
              <w:pStyle w:val="TableParagraph"/>
              <w:ind w:left="200"/>
              <w:rPr>
                <w:b/>
                <w:sz w:val="21"/>
              </w:rPr>
            </w:pPr>
            <w:r>
              <w:rPr>
                <w:b/>
                <w:sz w:val="21"/>
              </w:rPr>
              <w:t>10.7</w:t>
            </w:r>
          </w:p>
        </w:tc>
        <w:tc>
          <w:tcPr>
            <w:tcW w:w="1533" w:type="dxa"/>
          </w:tcPr>
          <w:p>
            <w:pPr>
              <w:pStyle w:val="TableParagraph"/>
              <w:ind w:left="132"/>
              <w:rPr>
                <w:b/>
                <w:sz w:val="21"/>
              </w:rPr>
            </w:pPr>
            <w:r>
              <w:rPr>
                <w:b/>
                <w:sz w:val="21"/>
              </w:rPr>
              <w:t>意外伤害</w:t>
            </w:r>
          </w:p>
        </w:tc>
        <w:tc>
          <w:tcPr>
            <w:tcW w:w="7824" w:type="dxa"/>
          </w:tcPr>
          <w:p>
            <w:pPr>
              <w:pStyle w:val="TableParagraph"/>
              <w:spacing w:line="273" w:lineRule="auto"/>
              <w:ind w:left="130" w:right="333"/>
              <w:jc w:val="both"/>
              <w:rPr>
                <w:sz w:val="21"/>
              </w:rPr>
            </w:pP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猝死不属于意外伤害</w:t>
            </w:r>
            <w:r>
              <w:rPr>
                <w:sz w:val="21"/>
              </w:rPr>
              <w:t>。</w:t>
            </w:r>
          </w:p>
        </w:tc>
      </w:tr>
      <w:tr>
        <w:trPr>
          <w:trHeight w:val="1183" w:hRule="atLeast"/>
        </w:trPr>
        <w:tc>
          <w:tcPr>
            <w:tcW w:w="862" w:type="dxa"/>
          </w:tcPr>
          <w:p>
            <w:pPr>
              <w:pStyle w:val="TableParagraph"/>
              <w:ind w:left="200"/>
              <w:rPr>
                <w:b/>
                <w:sz w:val="21"/>
              </w:rPr>
            </w:pPr>
            <w:r>
              <w:rPr>
                <w:b/>
                <w:sz w:val="21"/>
              </w:rPr>
              <w:t>10.8</w:t>
            </w:r>
          </w:p>
        </w:tc>
        <w:tc>
          <w:tcPr>
            <w:tcW w:w="1533" w:type="dxa"/>
          </w:tcPr>
          <w:p>
            <w:pPr>
              <w:pStyle w:val="TableParagraph"/>
              <w:ind w:left="132"/>
              <w:rPr>
                <w:b/>
                <w:sz w:val="21"/>
              </w:rPr>
            </w:pPr>
            <w:r>
              <w:rPr>
                <w:b/>
                <w:sz w:val="21"/>
              </w:rPr>
              <w:t>毒品</w:t>
            </w:r>
          </w:p>
        </w:tc>
        <w:tc>
          <w:tcPr>
            <w:tcW w:w="7824" w:type="dxa"/>
          </w:tcPr>
          <w:p>
            <w:pPr>
              <w:pStyle w:val="TableParagraph"/>
              <w:spacing w:line="271" w:lineRule="auto"/>
              <w:ind w:left="130" w:right="23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173" w:hRule="atLeast"/>
        </w:trPr>
        <w:tc>
          <w:tcPr>
            <w:tcW w:w="862" w:type="dxa"/>
          </w:tcPr>
          <w:p>
            <w:pPr>
              <w:pStyle w:val="TableParagraph"/>
              <w:ind w:left="200"/>
              <w:rPr>
                <w:b/>
                <w:sz w:val="21"/>
              </w:rPr>
            </w:pPr>
            <w:r>
              <w:rPr>
                <w:b/>
                <w:sz w:val="21"/>
              </w:rPr>
              <w:t>10.9</w:t>
            </w:r>
          </w:p>
        </w:tc>
        <w:tc>
          <w:tcPr>
            <w:tcW w:w="1533" w:type="dxa"/>
          </w:tcPr>
          <w:p>
            <w:pPr>
              <w:pStyle w:val="TableParagraph"/>
              <w:ind w:left="132"/>
              <w:rPr>
                <w:b/>
                <w:sz w:val="21"/>
              </w:rPr>
            </w:pPr>
            <w:r>
              <w:rPr>
                <w:b/>
                <w:sz w:val="21"/>
              </w:rPr>
              <w:t>酒后驾驶</w:t>
            </w:r>
          </w:p>
        </w:tc>
        <w:tc>
          <w:tcPr>
            <w:tcW w:w="7824" w:type="dxa"/>
          </w:tcPr>
          <w:p>
            <w:pPr>
              <w:pStyle w:val="TableParagraph"/>
              <w:spacing w:line="271" w:lineRule="auto"/>
              <w:ind w:left="130" w:right="333"/>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r>
        <w:trPr>
          <w:trHeight w:val="767" w:hRule="atLeast"/>
        </w:trPr>
        <w:tc>
          <w:tcPr>
            <w:tcW w:w="862" w:type="dxa"/>
          </w:tcPr>
          <w:p>
            <w:pPr>
              <w:pStyle w:val="TableParagraph"/>
              <w:spacing w:before="121"/>
              <w:ind w:left="200"/>
              <w:rPr>
                <w:b/>
                <w:sz w:val="21"/>
              </w:rPr>
            </w:pPr>
            <w:r>
              <w:rPr>
                <w:b/>
                <w:sz w:val="21"/>
              </w:rPr>
              <w:t>10.10</w:t>
            </w:r>
          </w:p>
        </w:tc>
        <w:tc>
          <w:tcPr>
            <w:tcW w:w="1533" w:type="dxa"/>
          </w:tcPr>
          <w:p>
            <w:pPr>
              <w:pStyle w:val="TableParagraph"/>
              <w:spacing w:line="273" w:lineRule="auto" w:before="121"/>
              <w:ind w:left="132" w:right="130"/>
              <w:rPr>
                <w:b/>
                <w:sz w:val="21"/>
              </w:rPr>
            </w:pPr>
            <w:r>
              <w:rPr>
                <w:b/>
                <w:sz w:val="21"/>
              </w:rPr>
              <w:t>无合法有效驾驶证驾驶</w:t>
            </w:r>
          </w:p>
        </w:tc>
        <w:tc>
          <w:tcPr>
            <w:tcW w:w="7824" w:type="dxa"/>
          </w:tcPr>
          <w:p>
            <w:pPr>
              <w:pStyle w:val="TableParagraph"/>
              <w:spacing w:before="101"/>
              <w:ind w:left="130"/>
              <w:rPr>
                <w:sz w:val="21"/>
              </w:rPr>
            </w:pPr>
            <w:r>
              <w:rPr>
                <w:sz w:val="21"/>
              </w:rPr>
              <w:t>指下列情形之一：</w:t>
            </w:r>
          </w:p>
          <w:p>
            <w:pPr>
              <w:pStyle w:val="TableParagraph"/>
              <w:spacing w:line="255" w:lineRule="exact" w:before="115"/>
              <w:ind w:left="130"/>
              <w:rPr>
                <w:sz w:val="21"/>
              </w:rPr>
            </w:pPr>
            <w:r>
              <w:rPr>
                <w:sz w:val="21"/>
              </w:rPr>
              <w:t>（1） 没有取得驾驶资格；</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5"/>
      </w:tblGrid>
      <w:tr>
        <w:trPr>
          <w:trHeight w:val="1469" w:hRule="atLeast"/>
        </w:trPr>
        <w:tc>
          <w:tcPr>
            <w:tcW w:w="862" w:type="dxa"/>
          </w:tcPr>
          <w:p>
            <w:pPr>
              <w:pStyle w:val="TableParagraph"/>
              <w:spacing w:before="0"/>
              <w:ind w:left="0"/>
              <w:rPr>
                <w:rFonts w:ascii="Times New Roman"/>
                <w:sz w:val="20"/>
              </w:rPr>
            </w:pPr>
          </w:p>
        </w:tc>
        <w:tc>
          <w:tcPr>
            <w:tcW w:w="1533" w:type="dxa"/>
          </w:tcPr>
          <w:p>
            <w:pPr>
              <w:pStyle w:val="TableParagraph"/>
              <w:spacing w:before="0"/>
              <w:ind w:left="0"/>
              <w:rPr>
                <w:rFonts w:ascii="Times New Roman"/>
                <w:sz w:val="20"/>
              </w:rPr>
            </w:pPr>
          </w:p>
        </w:tc>
        <w:tc>
          <w:tcPr>
            <w:tcW w:w="7825" w:type="dxa"/>
          </w:tcPr>
          <w:p>
            <w:pPr>
              <w:pStyle w:val="TableParagraph"/>
              <w:numPr>
                <w:ilvl w:val="0"/>
                <w:numId w:val="24"/>
              </w:numPr>
              <w:tabs>
                <w:tab w:pos="852" w:val="left" w:leader="none"/>
              </w:tabs>
              <w:spacing w:line="211" w:lineRule="exact" w:before="0" w:after="0"/>
              <w:ind w:left="851" w:right="0" w:hanging="720"/>
              <w:jc w:val="left"/>
              <w:rPr>
                <w:sz w:val="21"/>
              </w:rPr>
            </w:pPr>
            <w:r>
              <w:rPr>
                <w:spacing w:val="-3"/>
                <w:sz w:val="21"/>
              </w:rPr>
              <w:t>驾驶与驾驶证准驾车型不相符合的车辆；</w:t>
            </w:r>
          </w:p>
          <w:p>
            <w:pPr>
              <w:pStyle w:val="TableParagraph"/>
              <w:numPr>
                <w:ilvl w:val="0"/>
                <w:numId w:val="24"/>
              </w:numPr>
              <w:tabs>
                <w:tab w:pos="852" w:val="left" w:leader="none"/>
              </w:tabs>
              <w:spacing w:line="240" w:lineRule="auto" w:before="116" w:after="0"/>
              <w:ind w:left="851" w:right="0" w:hanging="720"/>
              <w:jc w:val="left"/>
              <w:rPr>
                <w:sz w:val="21"/>
              </w:rPr>
            </w:pPr>
            <w:r>
              <w:rPr>
                <w:spacing w:val="-3"/>
                <w:sz w:val="21"/>
              </w:rPr>
              <w:t>持审验不合格的驾驶证驾驶；</w:t>
            </w:r>
          </w:p>
          <w:p>
            <w:pPr>
              <w:pStyle w:val="TableParagraph"/>
              <w:numPr>
                <w:ilvl w:val="0"/>
                <w:numId w:val="24"/>
              </w:numPr>
              <w:tabs>
                <w:tab w:pos="852" w:val="left" w:leader="none"/>
              </w:tabs>
              <w:spacing w:line="273" w:lineRule="auto" w:before="114" w:after="0"/>
              <w:ind w:left="851" w:right="305" w:hanging="720"/>
              <w:jc w:val="left"/>
              <w:rPr>
                <w:sz w:val="21"/>
              </w:rPr>
            </w:pPr>
            <w:r>
              <w:rPr>
                <w:spacing w:val="-7"/>
                <w:sz w:val="21"/>
              </w:rPr>
              <w:t>持学习驾驶证学习驾车时，无教练员随车指导，或者不按指定时间、路线</w:t>
            </w:r>
            <w:r>
              <w:rPr>
                <w:spacing w:val="-4"/>
                <w:sz w:val="21"/>
              </w:rPr>
              <w:t>学习驾车。</w:t>
            </w:r>
          </w:p>
        </w:tc>
      </w:tr>
      <w:tr>
        <w:trPr>
          <w:trHeight w:val="1332" w:hRule="atLeast"/>
        </w:trPr>
        <w:tc>
          <w:tcPr>
            <w:tcW w:w="862" w:type="dxa"/>
          </w:tcPr>
          <w:p>
            <w:pPr>
              <w:pStyle w:val="TableParagraph"/>
              <w:spacing w:before="121"/>
              <w:ind w:left="0" w:right="131"/>
              <w:jc w:val="right"/>
              <w:rPr>
                <w:b/>
                <w:sz w:val="21"/>
              </w:rPr>
            </w:pPr>
            <w:r>
              <w:rPr>
                <w:b/>
                <w:w w:val="95"/>
                <w:sz w:val="21"/>
              </w:rPr>
              <w:t>10.11</w:t>
            </w:r>
          </w:p>
        </w:tc>
        <w:tc>
          <w:tcPr>
            <w:tcW w:w="1533" w:type="dxa"/>
          </w:tcPr>
          <w:p>
            <w:pPr>
              <w:pStyle w:val="TableParagraph"/>
              <w:spacing w:before="121"/>
              <w:ind w:left="132"/>
              <w:rPr>
                <w:b/>
                <w:sz w:val="21"/>
              </w:rPr>
            </w:pPr>
            <w:r>
              <w:rPr>
                <w:b/>
                <w:sz w:val="21"/>
              </w:rPr>
              <w:t>无有效行驶证</w:t>
            </w:r>
          </w:p>
        </w:tc>
        <w:tc>
          <w:tcPr>
            <w:tcW w:w="7825" w:type="dxa"/>
          </w:tcPr>
          <w:p>
            <w:pPr>
              <w:pStyle w:val="TableParagraph"/>
              <w:spacing w:before="102"/>
              <w:ind w:left="130"/>
              <w:rPr>
                <w:sz w:val="21"/>
              </w:rPr>
            </w:pPr>
            <w:r>
              <w:rPr>
                <w:sz w:val="21"/>
              </w:rPr>
              <w:t>指下列情形之一：</w:t>
            </w:r>
          </w:p>
          <w:p>
            <w:pPr>
              <w:pStyle w:val="TableParagraph"/>
              <w:numPr>
                <w:ilvl w:val="0"/>
                <w:numId w:val="25"/>
              </w:numPr>
              <w:tabs>
                <w:tab w:pos="852" w:val="left" w:leader="none"/>
              </w:tabs>
              <w:spacing w:line="240" w:lineRule="auto" w:before="116" w:after="0"/>
              <w:ind w:left="851" w:right="0" w:hanging="720"/>
              <w:jc w:val="left"/>
              <w:rPr>
                <w:sz w:val="21"/>
              </w:rPr>
            </w:pPr>
            <w:r>
              <w:rPr>
                <w:spacing w:val="-3"/>
                <w:sz w:val="21"/>
              </w:rPr>
              <w:t>机动车被依法注销登记的；</w:t>
            </w:r>
          </w:p>
          <w:p>
            <w:pPr>
              <w:pStyle w:val="TableParagraph"/>
              <w:numPr>
                <w:ilvl w:val="0"/>
                <w:numId w:val="25"/>
              </w:numPr>
              <w:tabs>
                <w:tab w:pos="852" w:val="left" w:leader="none"/>
              </w:tabs>
              <w:spacing w:line="240" w:lineRule="auto" w:before="113" w:after="0"/>
              <w:ind w:left="851" w:right="0" w:hanging="720"/>
              <w:jc w:val="left"/>
              <w:rPr>
                <w:sz w:val="21"/>
              </w:rPr>
            </w:pPr>
            <w:r>
              <w:rPr>
                <w:spacing w:val="-3"/>
                <w:sz w:val="21"/>
              </w:rPr>
              <w:t>未依法按时进行或者通过机动车安全技术检验。</w:t>
            </w:r>
          </w:p>
        </w:tc>
      </w:tr>
      <w:tr>
        <w:trPr>
          <w:trHeight w:val="871" w:hRule="atLeast"/>
        </w:trPr>
        <w:tc>
          <w:tcPr>
            <w:tcW w:w="862" w:type="dxa"/>
          </w:tcPr>
          <w:p>
            <w:pPr>
              <w:pStyle w:val="TableParagraph"/>
              <w:ind w:left="0" w:right="131"/>
              <w:jc w:val="right"/>
              <w:rPr>
                <w:b/>
                <w:sz w:val="21"/>
              </w:rPr>
            </w:pPr>
            <w:r>
              <w:rPr>
                <w:b/>
                <w:sz w:val="21"/>
              </w:rPr>
              <w:t>10.12</w:t>
            </w:r>
          </w:p>
        </w:tc>
        <w:tc>
          <w:tcPr>
            <w:tcW w:w="1533" w:type="dxa"/>
          </w:tcPr>
          <w:p>
            <w:pPr>
              <w:pStyle w:val="TableParagraph"/>
              <w:ind w:left="132"/>
              <w:rPr>
                <w:b/>
                <w:sz w:val="21"/>
              </w:rPr>
            </w:pPr>
            <w:r>
              <w:rPr>
                <w:b/>
                <w:sz w:val="21"/>
              </w:rPr>
              <w:t>机动车</w:t>
            </w:r>
          </w:p>
        </w:tc>
        <w:tc>
          <w:tcPr>
            <w:tcW w:w="7825" w:type="dxa"/>
          </w:tcPr>
          <w:p>
            <w:pPr>
              <w:pStyle w:val="TableParagraph"/>
              <w:spacing w:line="271" w:lineRule="auto"/>
              <w:ind w:left="130" w:right="334"/>
              <w:rPr>
                <w:sz w:val="21"/>
              </w:rPr>
            </w:pPr>
            <w:r>
              <w:rPr>
                <w:sz w:val="21"/>
              </w:rPr>
              <w:t>指以动力装置驱动或者牵引，上道路行驶的供人员乘用或者用于运送物品以及进行工程专项作业的轮式车辆。</w:t>
            </w:r>
          </w:p>
        </w:tc>
      </w:tr>
      <w:tr>
        <w:trPr>
          <w:trHeight w:val="1887" w:hRule="atLeast"/>
        </w:trPr>
        <w:tc>
          <w:tcPr>
            <w:tcW w:w="862" w:type="dxa"/>
          </w:tcPr>
          <w:p>
            <w:pPr>
              <w:pStyle w:val="TableParagraph"/>
              <w:ind w:left="0" w:right="131"/>
              <w:jc w:val="right"/>
              <w:rPr>
                <w:b/>
                <w:sz w:val="21"/>
              </w:rPr>
            </w:pPr>
            <w:r>
              <w:rPr>
                <w:b/>
                <w:sz w:val="21"/>
              </w:rPr>
              <w:t>10.13</w:t>
            </w:r>
          </w:p>
        </w:tc>
        <w:tc>
          <w:tcPr>
            <w:tcW w:w="1533" w:type="dxa"/>
          </w:tcPr>
          <w:p>
            <w:pPr>
              <w:pStyle w:val="TableParagraph"/>
              <w:spacing w:line="271" w:lineRule="auto"/>
              <w:ind w:left="132" w:right="130"/>
              <w:jc w:val="both"/>
              <w:rPr>
                <w:b/>
                <w:sz w:val="21"/>
              </w:rPr>
            </w:pPr>
            <w:r>
              <w:rPr>
                <w:b/>
                <w:sz w:val="21"/>
              </w:rPr>
              <w:t>感染艾滋病病毒或者患艾滋病</w:t>
            </w:r>
          </w:p>
        </w:tc>
        <w:tc>
          <w:tcPr>
            <w:tcW w:w="7825" w:type="dxa"/>
          </w:tcPr>
          <w:p>
            <w:pPr>
              <w:pStyle w:val="TableParagraph"/>
              <w:spacing w:line="271" w:lineRule="auto"/>
              <w:ind w:left="130" w:right="325"/>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9"/>
              <w:ind w:left="130" w:right="199"/>
              <w:rPr>
                <w:sz w:val="21"/>
              </w:rPr>
            </w:pPr>
            <w:r>
              <w:rPr>
                <w:spacing w:val="-3"/>
                <w:sz w:val="21"/>
              </w:rPr>
              <w:t>在人体血液或者其他样本中检测到艾滋病病毒或者其抗体呈阳性，没有出现临床</w:t>
            </w:r>
            <w:r>
              <w:rPr>
                <w:spacing w:val="-10"/>
                <w:sz w:val="21"/>
              </w:rPr>
              <w:t>症状或者体征的，为感染艾滋病病毒；如果同时出现了明显临床症状或者体征的， </w:t>
            </w:r>
            <w:r>
              <w:rPr>
                <w:spacing w:val="-5"/>
                <w:sz w:val="21"/>
              </w:rPr>
              <w:t>为患艾滋病。</w:t>
            </w:r>
          </w:p>
        </w:tc>
      </w:tr>
      <w:tr>
        <w:trPr>
          <w:trHeight w:val="871" w:hRule="atLeast"/>
        </w:trPr>
        <w:tc>
          <w:tcPr>
            <w:tcW w:w="862" w:type="dxa"/>
          </w:tcPr>
          <w:p>
            <w:pPr>
              <w:pStyle w:val="TableParagraph"/>
              <w:ind w:left="0" w:right="131"/>
              <w:jc w:val="right"/>
              <w:rPr>
                <w:b/>
                <w:sz w:val="21"/>
              </w:rPr>
            </w:pPr>
            <w:r>
              <w:rPr>
                <w:b/>
                <w:sz w:val="21"/>
              </w:rPr>
              <w:t>10.14</w:t>
            </w:r>
          </w:p>
        </w:tc>
        <w:tc>
          <w:tcPr>
            <w:tcW w:w="1533" w:type="dxa"/>
          </w:tcPr>
          <w:p>
            <w:pPr>
              <w:pStyle w:val="TableParagraph"/>
              <w:ind w:left="132"/>
              <w:rPr>
                <w:b/>
                <w:sz w:val="21"/>
              </w:rPr>
            </w:pPr>
            <w:r>
              <w:rPr>
                <w:b/>
                <w:sz w:val="21"/>
              </w:rPr>
              <w:t>遗传性疾病</w:t>
            </w:r>
          </w:p>
        </w:tc>
        <w:tc>
          <w:tcPr>
            <w:tcW w:w="7825" w:type="dxa"/>
          </w:tcPr>
          <w:p>
            <w:pPr>
              <w:pStyle w:val="TableParagraph"/>
              <w:spacing w:line="271" w:lineRule="auto"/>
              <w:ind w:left="130" w:right="334"/>
              <w:rPr>
                <w:sz w:val="21"/>
              </w:rPr>
            </w:pPr>
            <w:r>
              <w:rPr>
                <w:sz w:val="21"/>
              </w:rPr>
              <w:t>指生殖细胞或者受精卵的遗传物质（染色体和基因）发生突变或者畸变所引起的疾病，通常具有由亲代传至后代的垂直传递的特征。</w:t>
            </w:r>
          </w:p>
        </w:tc>
      </w:tr>
      <w:tr>
        <w:trPr>
          <w:trHeight w:val="1184" w:hRule="atLeast"/>
        </w:trPr>
        <w:tc>
          <w:tcPr>
            <w:tcW w:w="862" w:type="dxa"/>
          </w:tcPr>
          <w:p>
            <w:pPr>
              <w:pStyle w:val="TableParagraph"/>
              <w:ind w:left="0" w:right="131"/>
              <w:jc w:val="right"/>
              <w:rPr>
                <w:b/>
                <w:sz w:val="21"/>
              </w:rPr>
            </w:pPr>
            <w:r>
              <w:rPr>
                <w:b/>
                <w:sz w:val="21"/>
              </w:rPr>
              <w:t>10.15</w:t>
            </w:r>
          </w:p>
        </w:tc>
        <w:tc>
          <w:tcPr>
            <w:tcW w:w="1533" w:type="dxa"/>
          </w:tcPr>
          <w:p>
            <w:pPr>
              <w:pStyle w:val="TableParagraph"/>
              <w:spacing w:line="273" w:lineRule="auto"/>
              <w:ind w:left="132" w:right="130"/>
              <w:jc w:val="both"/>
              <w:rPr>
                <w:b/>
                <w:sz w:val="21"/>
              </w:rPr>
            </w:pPr>
            <w:r>
              <w:rPr>
                <w:b/>
                <w:sz w:val="21"/>
              </w:rPr>
              <w:t>先天性畸形、变形或者染色体异常</w:t>
            </w:r>
          </w:p>
        </w:tc>
        <w:tc>
          <w:tcPr>
            <w:tcW w:w="7825" w:type="dxa"/>
          </w:tcPr>
          <w:p>
            <w:pPr>
              <w:pStyle w:val="TableParagraph"/>
              <w:spacing w:line="273" w:lineRule="auto"/>
              <w:ind w:left="130" w:right="329"/>
              <w:jc w:val="both"/>
              <w:rPr>
                <w:sz w:val="21"/>
              </w:rPr>
            </w:pPr>
            <w:r>
              <w:rPr>
                <w:spacing w:val="-3"/>
                <w:sz w:val="21"/>
              </w:rPr>
              <w:t>指被保险人出生时就具有的畸形、变形或者染色体异常。先天性畸形、变形和染</w:t>
            </w:r>
            <w:r>
              <w:rPr>
                <w:spacing w:val="-5"/>
                <w:sz w:val="21"/>
              </w:rPr>
              <w:t>色体异常依照世界卫生组织《疾病和有关健康问题的国际统计分类</w:t>
            </w:r>
            <w:r>
              <w:rPr>
                <w:spacing w:val="-130"/>
                <w:sz w:val="21"/>
              </w:rPr>
              <w:t>》</w:t>
            </w:r>
            <w:r>
              <w:rPr>
                <w:spacing w:val="-5"/>
                <w:sz w:val="21"/>
              </w:rPr>
              <w:t>（ICD-10）</w:t>
            </w:r>
            <w:r>
              <w:rPr>
                <w:spacing w:val="-24"/>
                <w:sz w:val="21"/>
              </w:rPr>
              <w:t>确</w:t>
            </w:r>
            <w:r>
              <w:rPr>
                <w:sz w:val="21"/>
              </w:rPr>
              <w:t>定。</w:t>
            </w:r>
          </w:p>
        </w:tc>
      </w:tr>
      <w:tr>
        <w:trPr>
          <w:trHeight w:val="872" w:hRule="atLeast"/>
        </w:trPr>
        <w:tc>
          <w:tcPr>
            <w:tcW w:w="862" w:type="dxa"/>
          </w:tcPr>
          <w:p>
            <w:pPr>
              <w:pStyle w:val="TableParagraph"/>
              <w:spacing w:before="110"/>
              <w:ind w:left="0" w:right="131"/>
              <w:jc w:val="right"/>
              <w:rPr>
                <w:b/>
                <w:sz w:val="21"/>
              </w:rPr>
            </w:pPr>
            <w:r>
              <w:rPr>
                <w:b/>
                <w:sz w:val="21"/>
              </w:rPr>
              <w:t>10.16</w:t>
            </w:r>
          </w:p>
        </w:tc>
        <w:tc>
          <w:tcPr>
            <w:tcW w:w="1533" w:type="dxa"/>
          </w:tcPr>
          <w:p>
            <w:pPr>
              <w:pStyle w:val="TableParagraph"/>
              <w:spacing w:before="110"/>
              <w:ind w:left="132"/>
              <w:rPr>
                <w:b/>
                <w:sz w:val="21"/>
              </w:rPr>
            </w:pPr>
            <w:r>
              <w:rPr>
                <w:b/>
                <w:sz w:val="21"/>
              </w:rPr>
              <w:t>现金价值</w:t>
            </w:r>
          </w:p>
        </w:tc>
        <w:tc>
          <w:tcPr>
            <w:tcW w:w="7825" w:type="dxa"/>
          </w:tcPr>
          <w:p>
            <w:pPr>
              <w:pStyle w:val="TableParagraph"/>
              <w:spacing w:line="273" w:lineRule="auto" w:before="110"/>
              <w:ind w:left="130" w:right="334"/>
              <w:rPr>
                <w:sz w:val="21"/>
              </w:rPr>
            </w:pPr>
            <w:r>
              <w:rPr>
                <w:sz w:val="21"/>
              </w:rPr>
              <w:t>指保险合同所具有的价值，通常体现为解除合同时，根据精算原理计算的，由我们退还的那部分金额。</w:t>
            </w:r>
          </w:p>
        </w:tc>
      </w:tr>
      <w:tr>
        <w:trPr>
          <w:trHeight w:val="2744" w:hRule="atLeast"/>
        </w:trPr>
        <w:tc>
          <w:tcPr>
            <w:tcW w:w="862" w:type="dxa"/>
          </w:tcPr>
          <w:p>
            <w:pPr>
              <w:pStyle w:val="TableParagraph"/>
              <w:ind w:left="0" w:right="131"/>
              <w:jc w:val="right"/>
              <w:rPr>
                <w:b/>
                <w:sz w:val="21"/>
              </w:rPr>
            </w:pPr>
            <w:r>
              <w:rPr>
                <w:b/>
                <w:sz w:val="21"/>
              </w:rPr>
              <w:t>10.17</w:t>
            </w:r>
          </w:p>
        </w:tc>
        <w:tc>
          <w:tcPr>
            <w:tcW w:w="1533" w:type="dxa"/>
          </w:tcPr>
          <w:p>
            <w:pPr>
              <w:pStyle w:val="TableParagraph"/>
              <w:ind w:left="132"/>
              <w:rPr>
                <w:b/>
                <w:sz w:val="21"/>
              </w:rPr>
            </w:pPr>
            <w:r>
              <w:rPr>
                <w:b/>
                <w:sz w:val="21"/>
              </w:rPr>
              <w:t>专科医生</w:t>
            </w:r>
          </w:p>
        </w:tc>
        <w:tc>
          <w:tcPr>
            <w:tcW w:w="7825" w:type="dxa"/>
          </w:tcPr>
          <w:p>
            <w:pPr>
              <w:pStyle w:val="TableParagraph"/>
              <w:ind w:left="130"/>
              <w:rPr>
                <w:sz w:val="21"/>
              </w:rPr>
            </w:pPr>
            <w:r>
              <w:rPr>
                <w:sz w:val="21"/>
              </w:rPr>
              <w:t>专科医生应当同时满足以下四项资格条件：</w:t>
            </w:r>
          </w:p>
          <w:p>
            <w:pPr>
              <w:pStyle w:val="TableParagraph"/>
              <w:numPr>
                <w:ilvl w:val="0"/>
                <w:numId w:val="26"/>
              </w:numPr>
              <w:tabs>
                <w:tab w:pos="868" w:val="left" w:leader="none"/>
                <w:tab w:pos="869" w:val="left" w:leader="none"/>
              </w:tabs>
              <w:spacing w:line="240" w:lineRule="auto" w:before="113" w:after="0"/>
              <w:ind w:left="851" w:right="0" w:hanging="720"/>
              <w:jc w:val="left"/>
              <w:rPr>
                <w:sz w:val="21"/>
              </w:rPr>
            </w:pPr>
            <w:r>
              <w:rPr>
                <w:spacing w:val="-9"/>
                <w:sz w:val="21"/>
              </w:rPr>
              <w:t>具有有效的中华人民共和国《医师资格证书》；</w:t>
            </w:r>
          </w:p>
          <w:p>
            <w:pPr>
              <w:pStyle w:val="TableParagraph"/>
              <w:numPr>
                <w:ilvl w:val="0"/>
                <w:numId w:val="26"/>
              </w:numPr>
              <w:tabs>
                <w:tab w:pos="868" w:val="left" w:leader="none"/>
                <w:tab w:pos="869" w:val="left" w:leader="none"/>
              </w:tabs>
              <w:spacing w:line="271" w:lineRule="auto" w:before="116" w:after="0"/>
              <w:ind w:left="851" w:right="338" w:hanging="720"/>
              <w:jc w:val="left"/>
              <w:rPr>
                <w:sz w:val="21"/>
              </w:rPr>
            </w:pPr>
            <w:r>
              <w:rPr>
                <w:spacing w:val="-9"/>
                <w:sz w:val="21"/>
              </w:rPr>
              <w:t>具有有效的中华人民共和国《医师执业证书》，并按期到相关部门登记注册；</w:t>
            </w:r>
          </w:p>
          <w:p>
            <w:pPr>
              <w:pStyle w:val="TableParagraph"/>
              <w:numPr>
                <w:ilvl w:val="0"/>
                <w:numId w:val="26"/>
              </w:numPr>
              <w:tabs>
                <w:tab w:pos="833" w:val="left" w:leader="none"/>
              </w:tabs>
              <w:spacing w:line="273" w:lineRule="auto" w:before="89" w:after="0"/>
              <w:ind w:left="851" w:right="305" w:hanging="720"/>
              <w:jc w:val="left"/>
              <w:rPr>
                <w:sz w:val="21"/>
              </w:rPr>
            </w:pPr>
            <w:r>
              <w:rPr>
                <w:spacing w:val="-5"/>
                <w:sz w:val="21"/>
              </w:rPr>
              <w:t>具有有效的中华人民共和国主治医师或者主治医师以上职称的《医师职称</w:t>
            </w:r>
            <w:r>
              <w:rPr>
                <w:spacing w:val="-30"/>
                <w:sz w:val="21"/>
              </w:rPr>
              <w:t>证书》；</w:t>
            </w:r>
          </w:p>
          <w:p>
            <w:pPr>
              <w:pStyle w:val="TableParagraph"/>
              <w:numPr>
                <w:ilvl w:val="0"/>
                <w:numId w:val="26"/>
              </w:numPr>
              <w:tabs>
                <w:tab w:pos="868" w:val="left" w:leader="none"/>
                <w:tab w:pos="869" w:val="left" w:leader="none"/>
              </w:tabs>
              <w:spacing w:line="240" w:lineRule="auto" w:before="86" w:after="0"/>
              <w:ind w:left="851" w:right="0" w:hanging="720"/>
              <w:jc w:val="left"/>
              <w:rPr>
                <w:sz w:val="21"/>
              </w:rPr>
            </w:pPr>
            <w:r>
              <w:rPr>
                <w:spacing w:val="-3"/>
                <w:sz w:val="21"/>
              </w:rPr>
              <w:t>在二级或者二级以上医院的相应科室从事临床工作三年以上。</w:t>
            </w:r>
          </w:p>
        </w:tc>
      </w:tr>
      <w:tr>
        <w:trPr>
          <w:trHeight w:val="1183" w:hRule="atLeast"/>
        </w:trPr>
        <w:tc>
          <w:tcPr>
            <w:tcW w:w="862" w:type="dxa"/>
          </w:tcPr>
          <w:p>
            <w:pPr>
              <w:pStyle w:val="TableParagraph"/>
              <w:spacing w:before="110"/>
              <w:ind w:left="0" w:right="131"/>
              <w:jc w:val="right"/>
              <w:rPr>
                <w:b/>
                <w:sz w:val="21"/>
              </w:rPr>
            </w:pPr>
            <w:r>
              <w:rPr>
                <w:b/>
                <w:sz w:val="21"/>
              </w:rPr>
              <w:t>10.18</w:t>
            </w:r>
          </w:p>
        </w:tc>
        <w:tc>
          <w:tcPr>
            <w:tcW w:w="1533" w:type="dxa"/>
          </w:tcPr>
          <w:p>
            <w:pPr>
              <w:pStyle w:val="TableParagraph"/>
              <w:spacing w:before="110"/>
              <w:ind w:left="132"/>
              <w:rPr>
                <w:b/>
                <w:sz w:val="21"/>
              </w:rPr>
            </w:pPr>
            <w:r>
              <w:rPr>
                <w:b/>
                <w:sz w:val="21"/>
              </w:rPr>
              <w:t>利息</w:t>
            </w:r>
          </w:p>
        </w:tc>
        <w:tc>
          <w:tcPr>
            <w:tcW w:w="7825" w:type="dxa"/>
          </w:tcPr>
          <w:p>
            <w:pPr>
              <w:pStyle w:val="TableParagraph"/>
              <w:spacing w:line="273" w:lineRule="auto" w:before="110"/>
              <w:ind w:left="130" w:right="305"/>
              <w:jc w:val="both"/>
              <w:rPr>
                <w:sz w:val="21"/>
              </w:rPr>
            </w:pPr>
            <w:r>
              <w:rPr>
                <w:spacing w:val="-3"/>
                <w:sz w:val="21"/>
              </w:rPr>
              <w:t>涉及垫交或者补交保险费的利息，以垫交或者补交的保险费数额为基数，按“同期中国人民银行两年期居民定期储蓄存款利率</w:t>
            </w:r>
            <w:r>
              <w:rPr>
                <w:sz w:val="21"/>
              </w:rPr>
              <w:t>+2</w:t>
            </w:r>
            <w:r>
              <w:rPr>
                <w:spacing w:val="-10"/>
                <w:sz w:val="21"/>
              </w:rPr>
              <w:t>%”的年复利计算。如果没有中国</w:t>
            </w:r>
            <w:r>
              <w:rPr>
                <w:spacing w:val="-5"/>
                <w:sz w:val="21"/>
              </w:rPr>
              <w:t>人民银行相应存款利率作为参照，我们将按照国家相关法律法规确定适用利率。</w:t>
            </w:r>
          </w:p>
        </w:tc>
      </w:tr>
      <w:tr>
        <w:trPr>
          <w:trHeight w:val="872" w:hRule="atLeast"/>
        </w:trPr>
        <w:tc>
          <w:tcPr>
            <w:tcW w:w="862" w:type="dxa"/>
          </w:tcPr>
          <w:p>
            <w:pPr>
              <w:pStyle w:val="TableParagraph"/>
              <w:spacing w:before="110"/>
              <w:ind w:left="0" w:right="131"/>
              <w:jc w:val="right"/>
              <w:rPr>
                <w:b/>
                <w:sz w:val="21"/>
              </w:rPr>
            </w:pPr>
            <w:r>
              <w:rPr>
                <w:b/>
                <w:sz w:val="21"/>
              </w:rPr>
              <w:t>10.19</w:t>
            </w:r>
          </w:p>
        </w:tc>
        <w:tc>
          <w:tcPr>
            <w:tcW w:w="1533" w:type="dxa"/>
          </w:tcPr>
          <w:p>
            <w:pPr>
              <w:pStyle w:val="TableParagraph"/>
              <w:spacing w:line="273" w:lineRule="auto" w:before="110"/>
              <w:ind w:left="132" w:right="130"/>
              <w:rPr>
                <w:b/>
                <w:sz w:val="21"/>
              </w:rPr>
            </w:pPr>
            <w:r>
              <w:rPr>
                <w:b/>
                <w:sz w:val="21"/>
              </w:rPr>
              <w:t>肢体机能完全丧失</w:t>
            </w:r>
          </w:p>
        </w:tc>
        <w:tc>
          <w:tcPr>
            <w:tcW w:w="7825" w:type="dxa"/>
          </w:tcPr>
          <w:p>
            <w:pPr>
              <w:pStyle w:val="TableParagraph"/>
              <w:spacing w:line="273" w:lineRule="auto" w:before="110"/>
              <w:ind w:left="130" w:right="334"/>
              <w:rPr>
                <w:sz w:val="21"/>
              </w:rPr>
            </w:pPr>
            <w:r>
              <w:rPr>
                <w:sz w:val="21"/>
              </w:rPr>
              <w:t>指肢体的三大关节中的两大关节僵硬，或者不能随意识活动。肢体是指包括肩关节的整个上肢或者包括髋关节的整个下肢。</w:t>
            </w:r>
          </w:p>
        </w:tc>
      </w:tr>
      <w:tr>
        <w:trPr>
          <w:trHeight w:val="1007" w:hRule="atLeast"/>
        </w:trPr>
        <w:tc>
          <w:tcPr>
            <w:tcW w:w="862" w:type="dxa"/>
          </w:tcPr>
          <w:p>
            <w:pPr>
              <w:pStyle w:val="TableParagraph"/>
              <w:ind w:left="0" w:right="131"/>
              <w:jc w:val="right"/>
              <w:rPr>
                <w:b/>
                <w:sz w:val="21"/>
              </w:rPr>
            </w:pPr>
            <w:r>
              <w:rPr>
                <w:b/>
                <w:sz w:val="21"/>
              </w:rPr>
              <w:t>10.20</w:t>
            </w:r>
          </w:p>
        </w:tc>
        <w:tc>
          <w:tcPr>
            <w:tcW w:w="1533" w:type="dxa"/>
          </w:tcPr>
          <w:p>
            <w:pPr>
              <w:pStyle w:val="TableParagraph"/>
              <w:spacing w:line="271" w:lineRule="auto"/>
              <w:ind w:left="132" w:right="130"/>
              <w:rPr>
                <w:b/>
                <w:sz w:val="21"/>
              </w:rPr>
            </w:pPr>
            <w:r>
              <w:rPr>
                <w:b/>
                <w:sz w:val="21"/>
              </w:rPr>
              <w:t>语言能力或咀嚼吞咽能力完</w:t>
            </w:r>
          </w:p>
          <w:p>
            <w:pPr>
              <w:pStyle w:val="TableParagraph"/>
              <w:spacing w:line="255" w:lineRule="exact" w:before="9"/>
              <w:ind w:left="132"/>
              <w:rPr>
                <w:b/>
                <w:sz w:val="21"/>
              </w:rPr>
            </w:pPr>
            <w:r>
              <w:rPr>
                <w:b/>
                <w:sz w:val="21"/>
              </w:rPr>
              <w:t>全丧失</w:t>
            </w:r>
          </w:p>
        </w:tc>
        <w:tc>
          <w:tcPr>
            <w:tcW w:w="7825" w:type="dxa"/>
          </w:tcPr>
          <w:p>
            <w:pPr>
              <w:pStyle w:val="TableParagraph"/>
              <w:spacing w:line="271" w:lineRule="auto"/>
              <w:ind w:left="130" w:right="127"/>
              <w:rPr>
                <w:sz w:val="21"/>
              </w:rPr>
            </w:pPr>
            <w:r>
              <w:rPr>
                <w:sz w:val="21"/>
              </w:rPr>
              <w:t>语言能力完全丧失，指无法发出四种语音（包括口唇音、齿舌音、口盖音和喉头音）中的任何三种、或者声带全部切除，或者因大脑语言中枢受伤害而患失语症。</w:t>
            </w:r>
          </w:p>
          <w:p>
            <w:pPr>
              <w:pStyle w:val="TableParagraph"/>
              <w:spacing w:line="255" w:lineRule="exact" w:before="9"/>
              <w:ind w:left="130"/>
              <w:rPr>
                <w:sz w:val="21"/>
              </w:rPr>
            </w:pPr>
            <w:r>
              <w:rPr>
                <w:sz w:val="21"/>
              </w:rPr>
              <w:t>咀嚼吞咽能力完全丧失，指因牙齿以外的原因导致器质障碍或者机能障碍，以致</w:t>
            </w:r>
          </w:p>
        </w:tc>
      </w:tr>
    </w:tbl>
    <w:p>
      <w:pPr>
        <w:spacing w:after="0" w:line="255" w:lineRule="exact"/>
        <w:rPr>
          <w:sz w:val="21"/>
        </w:rPr>
        <w:sectPr>
          <w:pgSz w:w="11910" w:h="16840"/>
          <w:pgMar w:top="124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690"/>
      </w:tblGrid>
      <w:tr>
        <w:trPr>
          <w:trHeight w:val="386" w:hRule="atLeast"/>
        </w:trPr>
        <w:tc>
          <w:tcPr>
            <w:tcW w:w="862" w:type="dxa"/>
          </w:tcPr>
          <w:p>
            <w:pPr>
              <w:pStyle w:val="TableParagraph"/>
              <w:spacing w:before="0"/>
              <w:ind w:left="0"/>
              <w:rPr>
                <w:rFonts w:ascii="Times New Roman"/>
                <w:sz w:val="20"/>
              </w:rPr>
            </w:pPr>
          </w:p>
        </w:tc>
        <w:tc>
          <w:tcPr>
            <w:tcW w:w="1533" w:type="dxa"/>
          </w:tcPr>
          <w:p>
            <w:pPr>
              <w:pStyle w:val="TableParagraph"/>
              <w:spacing w:before="0"/>
              <w:ind w:left="0"/>
              <w:rPr>
                <w:rFonts w:ascii="Times New Roman"/>
                <w:sz w:val="20"/>
              </w:rPr>
            </w:pPr>
          </w:p>
        </w:tc>
        <w:tc>
          <w:tcPr>
            <w:tcW w:w="7690" w:type="dxa"/>
          </w:tcPr>
          <w:p>
            <w:pPr>
              <w:pStyle w:val="TableParagraph"/>
              <w:spacing w:line="211" w:lineRule="exact" w:before="0"/>
              <w:ind w:left="130"/>
              <w:rPr>
                <w:sz w:val="21"/>
              </w:rPr>
            </w:pPr>
            <w:r>
              <w:rPr>
                <w:sz w:val="21"/>
              </w:rPr>
              <w:t>不能作咀嚼吞咽运动，除流质食物外不能摄取或者吞咽的状态。</w:t>
            </w:r>
          </w:p>
        </w:tc>
      </w:tr>
      <w:tr>
        <w:trPr>
          <w:trHeight w:val="2901" w:hRule="atLeast"/>
        </w:trPr>
        <w:tc>
          <w:tcPr>
            <w:tcW w:w="862" w:type="dxa"/>
          </w:tcPr>
          <w:p>
            <w:pPr>
              <w:pStyle w:val="TableParagraph"/>
              <w:ind w:left="0" w:right="131"/>
              <w:jc w:val="right"/>
              <w:rPr>
                <w:b/>
                <w:sz w:val="21"/>
              </w:rPr>
            </w:pPr>
            <w:r>
              <w:rPr>
                <w:b/>
                <w:w w:val="95"/>
                <w:sz w:val="21"/>
              </w:rPr>
              <w:t>10.21</w:t>
            </w:r>
          </w:p>
        </w:tc>
        <w:tc>
          <w:tcPr>
            <w:tcW w:w="1533" w:type="dxa"/>
          </w:tcPr>
          <w:p>
            <w:pPr>
              <w:pStyle w:val="TableParagraph"/>
              <w:spacing w:line="273" w:lineRule="auto"/>
              <w:ind w:left="132" w:right="130"/>
              <w:rPr>
                <w:b/>
                <w:sz w:val="21"/>
              </w:rPr>
            </w:pPr>
            <w:r>
              <w:rPr>
                <w:b/>
                <w:sz w:val="21"/>
              </w:rPr>
              <w:t>六项基本日常生活活动</w:t>
            </w:r>
          </w:p>
        </w:tc>
        <w:tc>
          <w:tcPr>
            <w:tcW w:w="7690" w:type="dxa"/>
          </w:tcPr>
          <w:p>
            <w:pPr>
              <w:pStyle w:val="TableParagraph"/>
              <w:ind w:left="130"/>
              <w:rPr>
                <w:sz w:val="21"/>
              </w:rPr>
            </w:pPr>
            <w:r>
              <w:rPr>
                <w:sz w:val="21"/>
              </w:rPr>
              <w:t>六项基本日常生活活动是指：</w:t>
            </w:r>
          </w:p>
          <w:p>
            <w:pPr>
              <w:pStyle w:val="TableParagraph"/>
              <w:numPr>
                <w:ilvl w:val="0"/>
                <w:numId w:val="27"/>
              </w:numPr>
              <w:tabs>
                <w:tab w:pos="868" w:val="left" w:leader="none"/>
                <w:tab w:pos="869" w:val="left" w:leader="none"/>
              </w:tabs>
              <w:spacing w:line="240" w:lineRule="auto" w:before="115" w:after="0"/>
              <w:ind w:left="868" w:right="0" w:hanging="737"/>
              <w:jc w:val="left"/>
              <w:rPr>
                <w:sz w:val="21"/>
              </w:rPr>
            </w:pPr>
            <w:r>
              <w:rPr>
                <w:spacing w:val="-3"/>
                <w:sz w:val="21"/>
              </w:rPr>
              <w:t>穿衣：自己能够穿衣及脱衣；</w:t>
            </w:r>
          </w:p>
          <w:p>
            <w:pPr>
              <w:pStyle w:val="TableParagraph"/>
              <w:numPr>
                <w:ilvl w:val="0"/>
                <w:numId w:val="27"/>
              </w:numPr>
              <w:tabs>
                <w:tab w:pos="868" w:val="left" w:leader="none"/>
                <w:tab w:pos="869" w:val="left" w:leader="none"/>
              </w:tabs>
              <w:spacing w:line="240" w:lineRule="auto" w:before="113" w:after="0"/>
              <w:ind w:left="868" w:right="0" w:hanging="737"/>
              <w:jc w:val="left"/>
              <w:rPr>
                <w:sz w:val="21"/>
              </w:rPr>
            </w:pPr>
            <w:r>
              <w:rPr>
                <w:spacing w:val="-3"/>
                <w:sz w:val="21"/>
              </w:rPr>
              <w:t>移动：自己从一个房间到另一个房间；</w:t>
            </w:r>
          </w:p>
          <w:p>
            <w:pPr>
              <w:pStyle w:val="TableParagraph"/>
              <w:numPr>
                <w:ilvl w:val="0"/>
                <w:numId w:val="27"/>
              </w:numPr>
              <w:tabs>
                <w:tab w:pos="868" w:val="left" w:leader="none"/>
                <w:tab w:pos="869" w:val="left" w:leader="none"/>
              </w:tabs>
              <w:spacing w:line="240" w:lineRule="auto" w:before="116" w:after="0"/>
              <w:ind w:left="868" w:right="0" w:hanging="737"/>
              <w:jc w:val="left"/>
              <w:rPr>
                <w:sz w:val="21"/>
              </w:rPr>
            </w:pPr>
            <w:r>
              <w:rPr>
                <w:spacing w:val="-3"/>
                <w:sz w:val="21"/>
              </w:rPr>
              <w:t>行动：自己上下床或者上下轮椅；</w:t>
            </w:r>
          </w:p>
          <w:p>
            <w:pPr>
              <w:pStyle w:val="TableParagraph"/>
              <w:numPr>
                <w:ilvl w:val="0"/>
                <w:numId w:val="27"/>
              </w:numPr>
              <w:tabs>
                <w:tab w:pos="868" w:val="left" w:leader="none"/>
                <w:tab w:pos="869" w:val="left" w:leader="none"/>
              </w:tabs>
              <w:spacing w:line="240" w:lineRule="auto" w:before="114" w:after="0"/>
              <w:ind w:left="868" w:right="0" w:hanging="737"/>
              <w:jc w:val="left"/>
              <w:rPr>
                <w:sz w:val="21"/>
              </w:rPr>
            </w:pPr>
            <w:r>
              <w:rPr>
                <w:spacing w:val="-3"/>
                <w:sz w:val="21"/>
              </w:rPr>
              <w:t>如厕：自己控制进行大小便；</w:t>
            </w:r>
          </w:p>
          <w:p>
            <w:pPr>
              <w:pStyle w:val="TableParagraph"/>
              <w:numPr>
                <w:ilvl w:val="0"/>
                <w:numId w:val="27"/>
              </w:numPr>
              <w:tabs>
                <w:tab w:pos="868" w:val="left" w:leader="none"/>
                <w:tab w:pos="869" w:val="left" w:leader="none"/>
              </w:tabs>
              <w:spacing w:line="240" w:lineRule="auto" w:before="116" w:after="0"/>
              <w:ind w:left="868" w:right="0" w:hanging="737"/>
              <w:jc w:val="left"/>
              <w:rPr>
                <w:sz w:val="21"/>
              </w:rPr>
            </w:pPr>
            <w:r>
              <w:rPr>
                <w:spacing w:val="-3"/>
                <w:sz w:val="21"/>
              </w:rPr>
              <w:t>进食：自己从已准备好的碗或者碟中取食物放入口中；</w:t>
            </w:r>
          </w:p>
          <w:p>
            <w:pPr>
              <w:pStyle w:val="TableParagraph"/>
              <w:numPr>
                <w:ilvl w:val="0"/>
                <w:numId w:val="27"/>
              </w:numPr>
              <w:tabs>
                <w:tab w:pos="868" w:val="left" w:leader="none"/>
                <w:tab w:pos="869" w:val="left" w:leader="none"/>
              </w:tabs>
              <w:spacing w:line="240" w:lineRule="auto" w:before="113" w:after="0"/>
              <w:ind w:left="868" w:right="0" w:hanging="737"/>
              <w:jc w:val="left"/>
              <w:rPr>
                <w:sz w:val="21"/>
              </w:rPr>
            </w:pPr>
            <w:r>
              <w:rPr>
                <w:spacing w:val="-3"/>
                <w:sz w:val="21"/>
              </w:rPr>
              <w:t>洗澡：自己进行淋浴或者盆浴。</w:t>
            </w:r>
          </w:p>
        </w:tc>
      </w:tr>
      <w:tr>
        <w:trPr>
          <w:trHeight w:val="696" w:hRule="atLeast"/>
        </w:trPr>
        <w:tc>
          <w:tcPr>
            <w:tcW w:w="862" w:type="dxa"/>
          </w:tcPr>
          <w:p>
            <w:pPr>
              <w:pStyle w:val="TableParagraph"/>
              <w:ind w:left="0" w:right="131"/>
              <w:jc w:val="right"/>
              <w:rPr>
                <w:b/>
                <w:sz w:val="21"/>
              </w:rPr>
            </w:pPr>
            <w:r>
              <w:rPr>
                <w:b/>
                <w:sz w:val="21"/>
              </w:rPr>
              <w:t>10.22</w:t>
            </w:r>
          </w:p>
        </w:tc>
        <w:tc>
          <w:tcPr>
            <w:tcW w:w="1533" w:type="dxa"/>
          </w:tcPr>
          <w:p>
            <w:pPr>
              <w:pStyle w:val="TableParagraph"/>
              <w:ind w:left="132"/>
              <w:rPr>
                <w:b/>
                <w:sz w:val="21"/>
              </w:rPr>
            </w:pPr>
            <w:r>
              <w:rPr>
                <w:b/>
                <w:sz w:val="21"/>
              </w:rPr>
              <w:t>永久不可逆</w:t>
            </w:r>
          </w:p>
        </w:tc>
        <w:tc>
          <w:tcPr>
            <w:tcW w:w="7690" w:type="dxa"/>
          </w:tcPr>
          <w:p>
            <w:pPr>
              <w:pStyle w:val="TableParagraph"/>
              <w:spacing w:line="310" w:lineRule="atLeast" w:before="76"/>
              <w:ind w:left="130" w:right="199"/>
              <w:rPr>
                <w:sz w:val="21"/>
              </w:rPr>
            </w:pPr>
            <w:r>
              <w:rPr>
                <w:spacing w:val="-5"/>
                <w:sz w:val="21"/>
              </w:rPr>
              <w:t>指自疾病确诊或者意外伤害发生之日起，经过积极治疗 </w:t>
            </w:r>
            <w:r>
              <w:rPr>
                <w:sz w:val="21"/>
              </w:rPr>
              <w:t>180</w:t>
            </w:r>
            <w:r>
              <w:rPr>
                <w:spacing w:val="-8"/>
                <w:sz w:val="21"/>
              </w:rPr>
              <w:t> 天后，仍无法通过现</w:t>
            </w:r>
            <w:r>
              <w:rPr>
                <w:spacing w:val="-5"/>
                <w:sz w:val="21"/>
              </w:rPr>
              <w:t>有医疗手段恢复。</w:t>
            </w:r>
          </w:p>
        </w:tc>
      </w:tr>
    </w:tbl>
    <w:sectPr>
      <w:pgSz w:w="11910" w:h="16840"/>
      <w:pgMar w:top="1160" w:bottom="280" w:left="82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 w:name="Arial">
    <w:altName w:val="Arial"/>
    <w:charset w:val="0"/>
    <w:family w:val="swiss"/>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43" w:hanging="738"/>
      </w:pPr>
      <w:rPr>
        <w:rFonts w:hint="default"/>
      </w:rPr>
    </w:lvl>
    <w:lvl w:ilvl="2">
      <w:start w:val="0"/>
      <w:numFmt w:val="bullet"/>
      <w:lvlText w:val="•"/>
      <w:lvlJc w:val="left"/>
      <w:pPr>
        <w:ind w:left="2226" w:hanging="738"/>
      </w:pPr>
      <w:rPr>
        <w:rFonts w:hint="default"/>
      </w:rPr>
    </w:lvl>
    <w:lvl w:ilvl="3">
      <w:start w:val="0"/>
      <w:numFmt w:val="bullet"/>
      <w:lvlText w:val="•"/>
      <w:lvlJc w:val="left"/>
      <w:pPr>
        <w:ind w:left="2909" w:hanging="738"/>
      </w:pPr>
      <w:rPr>
        <w:rFonts w:hint="default"/>
      </w:rPr>
    </w:lvl>
    <w:lvl w:ilvl="4">
      <w:start w:val="0"/>
      <w:numFmt w:val="bullet"/>
      <w:lvlText w:val="•"/>
      <w:lvlJc w:val="left"/>
      <w:pPr>
        <w:ind w:left="3592" w:hanging="738"/>
      </w:pPr>
      <w:rPr>
        <w:rFonts w:hint="default"/>
      </w:rPr>
    </w:lvl>
    <w:lvl w:ilvl="5">
      <w:start w:val="0"/>
      <w:numFmt w:val="bullet"/>
      <w:lvlText w:val="•"/>
      <w:lvlJc w:val="left"/>
      <w:pPr>
        <w:ind w:left="4275" w:hanging="738"/>
      </w:pPr>
      <w:rPr>
        <w:rFonts w:hint="default"/>
      </w:rPr>
    </w:lvl>
    <w:lvl w:ilvl="6">
      <w:start w:val="0"/>
      <w:numFmt w:val="bullet"/>
      <w:lvlText w:val="•"/>
      <w:lvlJc w:val="left"/>
      <w:pPr>
        <w:ind w:left="4958" w:hanging="738"/>
      </w:pPr>
      <w:rPr>
        <w:rFonts w:hint="default"/>
      </w:rPr>
    </w:lvl>
    <w:lvl w:ilvl="7">
      <w:start w:val="0"/>
      <w:numFmt w:val="bullet"/>
      <w:lvlText w:val="•"/>
      <w:lvlJc w:val="left"/>
      <w:pPr>
        <w:ind w:left="5641" w:hanging="738"/>
      </w:pPr>
      <w:rPr>
        <w:rFonts w:hint="default"/>
      </w:rPr>
    </w:lvl>
    <w:lvl w:ilvl="8">
      <w:start w:val="0"/>
      <w:numFmt w:val="bullet"/>
      <w:lvlText w:val="•"/>
      <w:lvlJc w:val="left"/>
      <w:pPr>
        <w:ind w:left="6324" w:hanging="738"/>
      </w:pPr>
      <w:rPr>
        <w:rFonts w:hint="default"/>
      </w:rPr>
    </w:lvl>
  </w:abstractNum>
  <w:abstractNum w:abstractNumId="25">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9" w:hanging="738"/>
      </w:pPr>
      <w:rPr>
        <w:rFonts w:hint="default"/>
      </w:rPr>
    </w:lvl>
    <w:lvl w:ilvl="7">
      <w:start w:val="0"/>
      <w:numFmt w:val="bullet"/>
      <w:lvlText w:val="•"/>
      <w:lvlJc w:val="left"/>
      <w:pPr>
        <w:ind w:left="5735" w:hanging="738"/>
      </w:pPr>
      <w:rPr>
        <w:rFonts w:hint="default"/>
      </w:rPr>
    </w:lvl>
    <w:lvl w:ilvl="8">
      <w:start w:val="0"/>
      <w:numFmt w:val="bullet"/>
      <w:lvlText w:val="•"/>
      <w:lvlJc w:val="left"/>
      <w:pPr>
        <w:ind w:left="6432" w:hanging="738"/>
      </w:pPr>
      <w:rPr>
        <w:rFonts w:hint="default"/>
      </w:rPr>
    </w:lvl>
  </w:abstractNum>
  <w:abstractNum w:abstractNumId="24">
    <w:multiLevelType w:val="hybridMultilevel"/>
    <w:lvl w:ilvl="0">
      <w:start w:val="1"/>
      <w:numFmt w:val="decimal"/>
      <w:lvlText w:val="（%1）"/>
      <w:lvlJc w:val="left"/>
      <w:pPr>
        <w:ind w:left="851" w:hanging="721"/>
        <w:jc w:val="left"/>
      </w:pPr>
      <w:rPr>
        <w:rFonts w:hint="default" w:ascii="宋体" w:hAnsi="宋体" w:eastAsia="宋体" w:cs="宋体"/>
        <w:w w:val="100"/>
        <w:sz w:val="21"/>
        <w:szCs w:val="21"/>
      </w:rPr>
    </w:lvl>
    <w:lvl w:ilvl="1">
      <w:start w:val="0"/>
      <w:numFmt w:val="bullet"/>
      <w:lvlText w:val="•"/>
      <w:lvlJc w:val="left"/>
      <w:pPr>
        <w:ind w:left="1556" w:hanging="721"/>
      </w:pPr>
      <w:rPr>
        <w:rFonts w:hint="default"/>
      </w:rPr>
    </w:lvl>
    <w:lvl w:ilvl="2">
      <w:start w:val="0"/>
      <w:numFmt w:val="bullet"/>
      <w:lvlText w:val="•"/>
      <w:lvlJc w:val="left"/>
      <w:pPr>
        <w:ind w:left="2253" w:hanging="721"/>
      </w:pPr>
      <w:rPr>
        <w:rFonts w:hint="default"/>
      </w:rPr>
    </w:lvl>
    <w:lvl w:ilvl="3">
      <w:start w:val="0"/>
      <w:numFmt w:val="bullet"/>
      <w:lvlText w:val="•"/>
      <w:lvlJc w:val="left"/>
      <w:pPr>
        <w:ind w:left="2949" w:hanging="721"/>
      </w:pPr>
      <w:rPr>
        <w:rFonts w:hint="default"/>
      </w:rPr>
    </w:lvl>
    <w:lvl w:ilvl="4">
      <w:start w:val="0"/>
      <w:numFmt w:val="bullet"/>
      <w:lvlText w:val="•"/>
      <w:lvlJc w:val="left"/>
      <w:pPr>
        <w:ind w:left="3646" w:hanging="721"/>
      </w:pPr>
      <w:rPr>
        <w:rFonts w:hint="default"/>
      </w:rPr>
    </w:lvl>
    <w:lvl w:ilvl="5">
      <w:start w:val="0"/>
      <w:numFmt w:val="bullet"/>
      <w:lvlText w:val="•"/>
      <w:lvlJc w:val="left"/>
      <w:pPr>
        <w:ind w:left="4342" w:hanging="721"/>
      </w:pPr>
      <w:rPr>
        <w:rFonts w:hint="default"/>
      </w:rPr>
    </w:lvl>
    <w:lvl w:ilvl="6">
      <w:start w:val="0"/>
      <w:numFmt w:val="bullet"/>
      <w:lvlText w:val="•"/>
      <w:lvlJc w:val="left"/>
      <w:pPr>
        <w:ind w:left="5039" w:hanging="721"/>
      </w:pPr>
      <w:rPr>
        <w:rFonts w:hint="default"/>
      </w:rPr>
    </w:lvl>
    <w:lvl w:ilvl="7">
      <w:start w:val="0"/>
      <w:numFmt w:val="bullet"/>
      <w:lvlText w:val="•"/>
      <w:lvlJc w:val="left"/>
      <w:pPr>
        <w:ind w:left="5735" w:hanging="721"/>
      </w:pPr>
      <w:rPr>
        <w:rFonts w:hint="default"/>
      </w:rPr>
    </w:lvl>
    <w:lvl w:ilvl="8">
      <w:start w:val="0"/>
      <w:numFmt w:val="bullet"/>
      <w:lvlText w:val="•"/>
      <w:lvlJc w:val="left"/>
      <w:pPr>
        <w:ind w:left="6432" w:hanging="721"/>
      </w:pPr>
      <w:rPr>
        <w:rFonts w:hint="default"/>
      </w:rPr>
    </w:lvl>
  </w:abstractNum>
  <w:abstractNum w:abstractNumId="23">
    <w:multiLevelType w:val="hybridMultilevel"/>
    <w:lvl w:ilvl="0">
      <w:start w:val="2"/>
      <w:numFmt w:val="decimal"/>
      <w:lvlText w:val="（%1）"/>
      <w:lvlJc w:val="left"/>
      <w:pPr>
        <w:ind w:left="851" w:hanging="721"/>
        <w:jc w:val="left"/>
      </w:pPr>
      <w:rPr>
        <w:rFonts w:hint="default" w:ascii="宋体" w:hAnsi="宋体" w:eastAsia="宋体" w:cs="宋体"/>
        <w:w w:val="100"/>
        <w:sz w:val="21"/>
        <w:szCs w:val="21"/>
      </w:rPr>
    </w:lvl>
    <w:lvl w:ilvl="1">
      <w:start w:val="0"/>
      <w:numFmt w:val="bullet"/>
      <w:lvlText w:val="•"/>
      <w:lvlJc w:val="left"/>
      <w:pPr>
        <w:ind w:left="1556" w:hanging="721"/>
      </w:pPr>
      <w:rPr>
        <w:rFonts w:hint="default"/>
      </w:rPr>
    </w:lvl>
    <w:lvl w:ilvl="2">
      <w:start w:val="0"/>
      <w:numFmt w:val="bullet"/>
      <w:lvlText w:val="•"/>
      <w:lvlJc w:val="left"/>
      <w:pPr>
        <w:ind w:left="2253" w:hanging="721"/>
      </w:pPr>
      <w:rPr>
        <w:rFonts w:hint="default"/>
      </w:rPr>
    </w:lvl>
    <w:lvl w:ilvl="3">
      <w:start w:val="0"/>
      <w:numFmt w:val="bullet"/>
      <w:lvlText w:val="•"/>
      <w:lvlJc w:val="left"/>
      <w:pPr>
        <w:ind w:left="2949" w:hanging="721"/>
      </w:pPr>
      <w:rPr>
        <w:rFonts w:hint="default"/>
      </w:rPr>
    </w:lvl>
    <w:lvl w:ilvl="4">
      <w:start w:val="0"/>
      <w:numFmt w:val="bullet"/>
      <w:lvlText w:val="•"/>
      <w:lvlJc w:val="left"/>
      <w:pPr>
        <w:ind w:left="3646" w:hanging="721"/>
      </w:pPr>
      <w:rPr>
        <w:rFonts w:hint="default"/>
      </w:rPr>
    </w:lvl>
    <w:lvl w:ilvl="5">
      <w:start w:val="0"/>
      <w:numFmt w:val="bullet"/>
      <w:lvlText w:val="•"/>
      <w:lvlJc w:val="left"/>
      <w:pPr>
        <w:ind w:left="4342" w:hanging="721"/>
      </w:pPr>
      <w:rPr>
        <w:rFonts w:hint="default"/>
      </w:rPr>
    </w:lvl>
    <w:lvl w:ilvl="6">
      <w:start w:val="0"/>
      <w:numFmt w:val="bullet"/>
      <w:lvlText w:val="•"/>
      <w:lvlJc w:val="left"/>
      <w:pPr>
        <w:ind w:left="5039" w:hanging="721"/>
      </w:pPr>
      <w:rPr>
        <w:rFonts w:hint="default"/>
      </w:rPr>
    </w:lvl>
    <w:lvl w:ilvl="7">
      <w:start w:val="0"/>
      <w:numFmt w:val="bullet"/>
      <w:lvlText w:val="•"/>
      <w:lvlJc w:val="left"/>
      <w:pPr>
        <w:ind w:left="5735" w:hanging="721"/>
      </w:pPr>
      <w:rPr>
        <w:rFonts w:hint="default"/>
      </w:rPr>
    </w:lvl>
    <w:lvl w:ilvl="8">
      <w:start w:val="0"/>
      <w:numFmt w:val="bullet"/>
      <w:lvlText w:val="•"/>
      <w:lvlJc w:val="left"/>
      <w:pPr>
        <w:ind w:left="6432" w:hanging="721"/>
      </w:pPr>
      <w:rPr>
        <w:rFonts w:hint="default"/>
      </w:rPr>
    </w:lvl>
  </w:abstractNum>
  <w:abstractNum w:abstractNumId="22">
    <w:multiLevelType w:val="hybridMultilevel"/>
    <w:lvl w:ilvl="0">
      <w:start w:val="1"/>
      <w:numFmt w:val="decimal"/>
      <w:lvlText w:val="（%1）"/>
      <w:lvlJc w:val="left"/>
      <w:pPr>
        <w:ind w:left="887" w:hanging="721"/>
        <w:jc w:val="left"/>
      </w:pPr>
      <w:rPr>
        <w:rFonts w:hint="default" w:ascii="宋体" w:hAnsi="宋体" w:eastAsia="宋体" w:cs="宋体"/>
        <w:w w:val="100"/>
        <w:sz w:val="21"/>
        <w:szCs w:val="21"/>
      </w:rPr>
    </w:lvl>
    <w:lvl w:ilvl="1">
      <w:start w:val="0"/>
      <w:numFmt w:val="bullet"/>
      <w:lvlText w:val="•"/>
      <w:lvlJc w:val="left"/>
      <w:pPr>
        <w:ind w:left="1574" w:hanging="721"/>
      </w:pPr>
      <w:rPr>
        <w:rFonts w:hint="default"/>
      </w:rPr>
    </w:lvl>
    <w:lvl w:ilvl="2">
      <w:start w:val="0"/>
      <w:numFmt w:val="bullet"/>
      <w:lvlText w:val="•"/>
      <w:lvlJc w:val="left"/>
      <w:pPr>
        <w:ind w:left="2268" w:hanging="721"/>
      </w:pPr>
      <w:rPr>
        <w:rFonts w:hint="default"/>
      </w:rPr>
    </w:lvl>
    <w:lvl w:ilvl="3">
      <w:start w:val="0"/>
      <w:numFmt w:val="bullet"/>
      <w:lvlText w:val="•"/>
      <w:lvlJc w:val="left"/>
      <w:pPr>
        <w:ind w:left="2963" w:hanging="721"/>
      </w:pPr>
      <w:rPr>
        <w:rFonts w:hint="default"/>
      </w:rPr>
    </w:lvl>
    <w:lvl w:ilvl="4">
      <w:start w:val="0"/>
      <w:numFmt w:val="bullet"/>
      <w:lvlText w:val="•"/>
      <w:lvlJc w:val="left"/>
      <w:pPr>
        <w:ind w:left="3657" w:hanging="721"/>
      </w:pPr>
      <w:rPr>
        <w:rFonts w:hint="default"/>
      </w:rPr>
    </w:lvl>
    <w:lvl w:ilvl="5">
      <w:start w:val="0"/>
      <w:numFmt w:val="bullet"/>
      <w:lvlText w:val="•"/>
      <w:lvlJc w:val="left"/>
      <w:pPr>
        <w:ind w:left="4352" w:hanging="721"/>
      </w:pPr>
      <w:rPr>
        <w:rFonts w:hint="default"/>
      </w:rPr>
    </w:lvl>
    <w:lvl w:ilvl="6">
      <w:start w:val="0"/>
      <w:numFmt w:val="bullet"/>
      <w:lvlText w:val="•"/>
      <w:lvlJc w:val="left"/>
      <w:pPr>
        <w:ind w:left="5046" w:hanging="721"/>
      </w:pPr>
      <w:rPr>
        <w:rFonts w:hint="default"/>
      </w:rPr>
    </w:lvl>
    <w:lvl w:ilvl="7">
      <w:start w:val="0"/>
      <w:numFmt w:val="bullet"/>
      <w:lvlText w:val="•"/>
      <w:lvlJc w:val="left"/>
      <w:pPr>
        <w:ind w:left="5740" w:hanging="721"/>
      </w:pPr>
      <w:rPr>
        <w:rFonts w:hint="default"/>
      </w:rPr>
    </w:lvl>
    <w:lvl w:ilvl="8">
      <w:start w:val="0"/>
      <w:numFmt w:val="bullet"/>
      <w:lvlText w:val="•"/>
      <w:lvlJc w:val="left"/>
      <w:pPr>
        <w:ind w:left="6435" w:hanging="721"/>
      </w:pPr>
      <w:rPr>
        <w:rFonts w:hint="default"/>
      </w:rPr>
    </w:lvl>
  </w:abstractNum>
  <w:abstractNum w:abstractNumId="2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2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9">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6">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47" w:hanging="738"/>
      </w:pPr>
      <w:rPr>
        <w:rFonts w:hint="default"/>
      </w:rPr>
    </w:lvl>
    <w:lvl w:ilvl="2">
      <w:start w:val="0"/>
      <w:numFmt w:val="bullet"/>
      <w:lvlText w:val="•"/>
      <w:lvlJc w:val="left"/>
      <w:pPr>
        <w:ind w:left="2235" w:hanging="738"/>
      </w:pPr>
      <w:rPr>
        <w:rFonts w:hint="default"/>
      </w:rPr>
    </w:lvl>
    <w:lvl w:ilvl="3">
      <w:start w:val="0"/>
      <w:numFmt w:val="bullet"/>
      <w:lvlText w:val="•"/>
      <w:lvlJc w:val="left"/>
      <w:pPr>
        <w:ind w:left="2923"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298" w:hanging="738"/>
      </w:pPr>
      <w:rPr>
        <w:rFonts w:hint="default"/>
      </w:rPr>
    </w:lvl>
    <w:lvl w:ilvl="6">
      <w:start w:val="0"/>
      <w:numFmt w:val="bullet"/>
      <w:lvlText w:val="•"/>
      <w:lvlJc w:val="left"/>
      <w:pPr>
        <w:ind w:left="4986" w:hanging="738"/>
      </w:pPr>
      <w:rPr>
        <w:rFonts w:hint="default"/>
      </w:rPr>
    </w:lvl>
    <w:lvl w:ilvl="7">
      <w:start w:val="0"/>
      <w:numFmt w:val="bullet"/>
      <w:lvlText w:val="•"/>
      <w:lvlJc w:val="left"/>
      <w:pPr>
        <w:ind w:left="5673" w:hanging="738"/>
      </w:pPr>
      <w:rPr>
        <w:rFonts w:hint="default"/>
      </w:rPr>
    </w:lvl>
    <w:lvl w:ilvl="8">
      <w:start w:val="0"/>
      <w:numFmt w:val="bullet"/>
      <w:lvlText w:val="•"/>
      <w:lvlJc w:val="left"/>
      <w:pPr>
        <w:ind w:left="6361" w:hanging="738"/>
      </w:pPr>
      <w:rPr>
        <w:rFonts w:hint="default"/>
      </w:rPr>
    </w:lvl>
  </w:abstractNum>
  <w:abstractNum w:abstractNumId="1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47" w:hanging="738"/>
      </w:pPr>
      <w:rPr>
        <w:rFonts w:hint="default"/>
      </w:rPr>
    </w:lvl>
    <w:lvl w:ilvl="2">
      <w:start w:val="0"/>
      <w:numFmt w:val="bullet"/>
      <w:lvlText w:val="•"/>
      <w:lvlJc w:val="left"/>
      <w:pPr>
        <w:ind w:left="2235" w:hanging="738"/>
      </w:pPr>
      <w:rPr>
        <w:rFonts w:hint="default"/>
      </w:rPr>
    </w:lvl>
    <w:lvl w:ilvl="3">
      <w:start w:val="0"/>
      <w:numFmt w:val="bullet"/>
      <w:lvlText w:val="•"/>
      <w:lvlJc w:val="left"/>
      <w:pPr>
        <w:ind w:left="2923"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298" w:hanging="738"/>
      </w:pPr>
      <w:rPr>
        <w:rFonts w:hint="default"/>
      </w:rPr>
    </w:lvl>
    <w:lvl w:ilvl="6">
      <w:start w:val="0"/>
      <w:numFmt w:val="bullet"/>
      <w:lvlText w:val="•"/>
      <w:lvlJc w:val="left"/>
      <w:pPr>
        <w:ind w:left="4986" w:hanging="738"/>
      </w:pPr>
      <w:rPr>
        <w:rFonts w:hint="default"/>
      </w:rPr>
    </w:lvl>
    <w:lvl w:ilvl="7">
      <w:start w:val="0"/>
      <w:numFmt w:val="bullet"/>
      <w:lvlText w:val="•"/>
      <w:lvlJc w:val="left"/>
      <w:pPr>
        <w:ind w:left="5673" w:hanging="738"/>
      </w:pPr>
      <w:rPr>
        <w:rFonts w:hint="default"/>
      </w:rPr>
    </w:lvl>
    <w:lvl w:ilvl="8">
      <w:start w:val="0"/>
      <w:numFmt w:val="bullet"/>
      <w:lvlText w:val="•"/>
      <w:lvlJc w:val="left"/>
      <w:pPr>
        <w:ind w:left="6361"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47" w:hanging="738"/>
      </w:pPr>
      <w:rPr>
        <w:rFonts w:hint="default"/>
      </w:rPr>
    </w:lvl>
    <w:lvl w:ilvl="2">
      <w:start w:val="0"/>
      <w:numFmt w:val="bullet"/>
      <w:lvlText w:val="•"/>
      <w:lvlJc w:val="left"/>
      <w:pPr>
        <w:ind w:left="2235" w:hanging="738"/>
      </w:pPr>
      <w:rPr>
        <w:rFonts w:hint="default"/>
      </w:rPr>
    </w:lvl>
    <w:lvl w:ilvl="3">
      <w:start w:val="0"/>
      <w:numFmt w:val="bullet"/>
      <w:lvlText w:val="•"/>
      <w:lvlJc w:val="left"/>
      <w:pPr>
        <w:ind w:left="2923" w:hanging="738"/>
      </w:pPr>
      <w:rPr>
        <w:rFonts w:hint="default"/>
      </w:rPr>
    </w:lvl>
    <w:lvl w:ilvl="4">
      <w:start w:val="0"/>
      <w:numFmt w:val="bullet"/>
      <w:lvlText w:val="•"/>
      <w:lvlJc w:val="left"/>
      <w:pPr>
        <w:ind w:left="3610" w:hanging="738"/>
      </w:pPr>
      <w:rPr>
        <w:rFonts w:hint="default"/>
      </w:rPr>
    </w:lvl>
    <w:lvl w:ilvl="5">
      <w:start w:val="0"/>
      <w:numFmt w:val="bullet"/>
      <w:lvlText w:val="•"/>
      <w:lvlJc w:val="left"/>
      <w:pPr>
        <w:ind w:left="4298" w:hanging="738"/>
      </w:pPr>
      <w:rPr>
        <w:rFonts w:hint="default"/>
      </w:rPr>
    </w:lvl>
    <w:lvl w:ilvl="6">
      <w:start w:val="0"/>
      <w:numFmt w:val="bullet"/>
      <w:lvlText w:val="•"/>
      <w:lvlJc w:val="left"/>
      <w:pPr>
        <w:ind w:left="4986" w:hanging="738"/>
      </w:pPr>
      <w:rPr>
        <w:rFonts w:hint="default"/>
      </w:rPr>
    </w:lvl>
    <w:lvl w:ilvl="7">
      <w:start w:val="0"/>
      <w:numFmt w:val="bullet"/>
      <w:lvlText w:val="•"/>
      <w:lvlJc w:val="left"/>
      <w:pPr>
        <w:ind w:left="5673" w:hanging="738"/>
      </w:pPr>
      <w:rPr>
        <w:rFonts w:hint="default"/>
      </w:rPr>
    </w:lvl>
    <w:lvl w:ilvl="8">
      <w:start w:val="0"/>
      <w:numFmt w:val="bullet"/>
      <w:lvlText w:val="•"/>
      <w:lvlJc w:val="left"/>
      <w:pPr>
        <w:ind w:left="6361"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2">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0">
    <w:multiLevelType w:val="hybridMultilevel"/>
    <w:lvl w:ilvl="0">
      <w:start w:val="2"/>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9">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8">
    <w:multiLevelType w:val="hybridMultilevel"/>
    <w:lvl w:ilvl="0">
      <w:start w:val="1"/>
      <w:numFmt w:val="decimal"/>
      <w:lvlText w:val="（%1）"/>
      <w:lvlJc w:val="left"/>
      <w:pPr>
        <w:ind w:left="852" w:hanging="721"/>
        <w:jc w:val="left"/>
      </w:pPr>
      <w:rPr>
        <w:rFonts w:hint="default" w:ascii="宋体" w:hAnsi="宋体" w:eastAsia="宋体" w:cs="宋体"/>
        <w:w w:val="100"/>
        <w:sz w:val="21"/>
        <w:szCs w:val="21"/>
      </w:rPr>
    </w:lvl>
    <w:lvl w:ilvl="1">
      <w:start w:val="0"/>
      <w:numFmt w:val="bullet"/>
      <w:lvlText w:val="•"/>
      <w:lvlJc w:val="left"/>
      <w:pPr>
        <w:ind w:left="1536" w:hanging="721"/>
      </w:pPr>
      <w:rPr>
        <w:rFonts w:hint="default"/>
      </w:rPr>
    </w:lvl>
    <w:lvl w:ilvl="2">
      <w:start w:val="0"/>
      <w:numFmt w:val="bullet"/>
      <w:lvlText w:val="•"/>
      <w:lvlJc w:val="left"/>
      <w:pPr>
        <w:ind w:left="2212" w:hanging="721"/>
      </w:pPr>
      <w:rPr>
        <w:rFonts w:hint="default"/>
      </w:rPr>
    </w:lvl>
    <w:lvl w:ilvl="3">
      <w:start w:val="0"/>
      <w:numFmt w:val="bullet"/>
      <w:lvlText w:val="•"/>
      <w:lvlJc w:val="left"/>
      <w:pPr>
        <w:ind w:left="2889" w:hanging="721"/>
      </w:pPr>
      <w:rPr>
        <w:rFonts w:hint="default"/>
      </w:rPr>
    </w:lvl>
    <w:lvl w:ilvl="4">
      <w:start w:val="0"/>
      <w:numFmt w:val="bullet"/>
      <w:lvlText w:val="•"/>
      <w:lvlJc w:val="left"/>
      <w:pPr>
        <w:ind w:left="3565" w:hanging="721"/>
      </w:pPr>
      <w:rPr>
        <w:rFonts w:hint="default"/>
      </w:rPr>
    </w:lvl>
    <w:lvl w:ilvl="5">
      <w:start w:val="0"/>
      <w:numFmt w:val="bullet"/>
      <w:lvlText w:val="•"/>
      <w:lvlJc w:val="left"/>
      <w:pPr>
        <w:ind w:left="4242" w:hanging="721"/>
      </w:pPr>
      <w:rPr>
        <w:rFonts w:hint="default"/>
      </w:rPr>
    </w:lvl>
    <w:lvl w:ilvl="6">
      <w:start w:val="0"/>
      <w:numFmt w:val="bullet"/>
      <w:lvlText w:val="•"/>
      <w:lvlJc w:val="left"/>
      <w:pPr>
        <w:ind w:left="4918" w:hanging="721"/>
      </w:pPr>
      <w:rPr>
        <w:rFonts w:hint="default"/>
      </w:rPr>
    </w:lvl>
    <w:lvl w:ilvl="7">
      <w:start w:val="0"/>
      <w:numFmt w:val="bullet"/>
      <w:lvlText w:val="•"/>
      <w:lvlJc w:val="left"/>
      <w:pPr>
        <w:ind w:left="5594" w:hanging="721"/>
      </w:pPr>
      <w:rPr>
        <w:rFonts w:hint="default"/>
      </w:rPr>
    </w:lvl>
    <w:lvl w:ilvl="8">
      <w:start w:val="0"/>
      <w:numFmt w:val="bullet"/>
      <w:lvlText w:val="•"/>
      <w:lvlJc w:val="left"/>
      <w:pPr>
        <w:ind w:left="6271" w:hanging="721"/>
      </w:pPr>
      <w:rPr>
        <w:rFonts w:hint="default"/>
      </w:rPr>
    </w:lvl>
  </w:abstractNum>
  <w:abstractNum w:abstractNumId="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5">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4">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3"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6" w:hanging="735"/>
      </w:pPr>
      <w:rPr>
        <w:rFonts w:hint="default"/>
      </w:rPr>
    </w:lvl>
    <w:lvl w:ilvl="5">
      <w:start w:val="0"/>
      <w:numFmt w:val="bullet"/>
      <w:lvlText w:val="•"/>
      <w:lvlJc w:val="left"/>
      <w:pPr>
        <w:ind w:left="4243" w:hanging="735"/>
      </w:pPr>
      <w:rPr>
        <w:rFonts w:hint="default"/>
      </w:rPr>
    </w:lvl>
    <w:lvl w:ilvl="6">
      <w:start w:val="0"/>
      <w:numFmt w:val="bullet"/>
      <w:lvlText w:val="•"/>
      <w:lvlJc w:val="left"/>
      <w:pPr>
        <w:ind w:left="4919" w:hanging="735"/>
      </w:pPr>
      <w:rPr>
        <w:rFonts w:hint="default"/>
      </w:rPr>
    </w:lvl>
    <w:lvl w:ilvl="7">
      <w:start w:val="0"/>
      <w:numFmt w:val="bullet"/>
      <w:lvlText w:val="•"/>
      <w:lvlJc w:val="left"/>
      <w:pPr>
        <w:ind w:left="5596" w:hanging="735"/>
      </w:pPr>
      <w:rPr>
        <w:rFonts w:hint="default"/>
      </w:rPr>
    </w:lvl>
    <w:lvl w:ilvl="8">
      <w:start w:val="0"/>
      <w:numFmt w:val="bullet"/>
      <w:lvlText w:val="•"/>
      <w:lvlJc w:val="left"/>
      <w:pPr>
        <w:ind w:left="6272" w:hanging="735"/>
      </w:pPr>
      <w:rPr>
        <w:rFonts w:hint="default"/>
      </w:rPr>
    </w:lvl>
  </w:abstractNum>
  <w:abstractNum w:abstractNumId="3">
    <w:multiLevelType w:val="hybridMultilevel"/>
    <w:lvl w:ilvl="0">
      <w:start w:val="10"/>
      <w:numFmt w:val="decimal"/>
      <w:lvlText w:val="%1"/>
      <w:lvlJc w:val="left"/>
      <w:pPr>
        <w:ind w:left="771" w:hanging="526"/>
        <w:jc w:val="left"/>
      </w:pPr>
      <w:rPr>
        <w:rFonts w:hint="default"/>
      </w:rPr>
    </w:lvl>
    <w:lvl w:ilvl="1">
      <w:start w:val="6"/>
      <w:numFmt w:val="decimal"/>
      <w:lvlText w:val="%1.%2"/>
      <w:lvlJc w:val="left"/>
      <w:pPr>
        <w:ind w:left="140" w:hanging="526"/>
        <w:jc w:val="left"/>
      </w:pPr>
      <w:rPr>
        <w:rFonts w:hint="default" w:ascii="宋体" w:hAnsi="宋体" w:eastAsia="宋体" w:cs="宋体"/>
        <w:w w:val="100"/>
        <w:sz w:val="21"/>
        <w:szCs w:val="21"/>
      </w:rPr>
    </w:lvl>
    <w:lvl w:ilvl="2">
      <w:start w:val="0"/>
      <w:numFmt w:val="bullet"/>
      <w:lvlText w:val="•"/>
      <w:lvlJc w:val="left"/>
      <w:pPr>
        <w:ind w:left="1153" w:hanging="526"/>
      </w:pPr>
      <w:rPr>
        <w:rFonts w:hint="default"/>
      </w:rPr>
    </w:lvl>
    <w:lvl w:ilvl="3">
      <w:start w:val="0"/>
      <w:numFmt w:val="bullet"/>
      <w:lvlText w:val="•"/>
      <w:lvlJc w:val="left"/>
      <w:pPr>
        <w:ind w:left="1527" w:hanging="526"/>
      </w:pPr>
      <w:rPr>
        <w:rFonts w:hint="default"/>
      </w:rPr>
    </w:lvl>
    <w:lvl w:ilvl="4">
      <w:start w:val="0"/>
      <w:numFmt w:val="bullet"/>
      <w:lvlText w:val="•"/>
      <w:lvlJc w:val="left"/>
      <w:pPr>
        <w:ind w:left="1900" w:hanging="526"/>
      </w:pPr>
      <w:rPr>
        <w:rFonts w:hint="default"/>
      </w:rPr>
    </w:lvl>
    <w:lvl w:ilvl="5">
      <w:start w:val="0"/>
      <w:numFmt w:val="bullet"/>
      <w:lvlText w:val="•"/>
      <w:lvlJc w:val="left"/>
      <w:pPr>
        <w:ind w:left="2274" w:hanging="526"/>
      </w:pPr>
      <w:rPr>
        <w:rFonts w:hint="default"/>
      </w:rPr>
    </w:lvl>
    <w:lvl w:ilvl="6">
      <w:start w:val="0"/>
      <w:numFmt w:val="bullet"/>
      <w:lvlText w:val="•"/>
      <w:lvlJc w:val="left"/>
      <w:pPr>
        <w:ind w:left="2647" w:hanging="526"/>
      </w:pPr>
      <w:rPr>
        <w:rFonts w:hint="default"/>
      </w:rPr>
    </w:lvl>
    <w:lvl w:ilvl="7">
      <w:start w:val="0"/>
      <w:numFmt w:val="bullet"/>
      <w:lvlText w:val="•"/>
      <w:lvlJc w:val="left"/>
      <w:pPr>
        <w:ind w:left="3021" w:hanging="526"/>
      </w:pPr>
      <w:rPr>
        <w:rFonts w:hint="default"/>
      </w:rPr>
    </w:lvl>
    <w:lvl w:ilvl="8">
      <w:start w:val="0"/>
      <w:numFmt w:val="bullet"/>
      <w:lvlText w:val="•"/>
      <w:lvlJc w:val="left"/>
      <w:pPr>
        <w:ind w:left="3394" w:hanging="526"/>
      </w:pPr>
      <w:rPr>
        <w:rFonts w:hint="default"/>
      </w:rPr>
    </w:lvl>
  </w:abstractNum>
  <w:abstractNum w:abstractNumId="2">
    <w:multiLevelType w:val="hybridMultilevel"/>
    <w:lvl w:ilvl="0">
      <w:start w:val="5"/>
      <w:numFmt w:val="decimal"/>
      <w:lvlText w:val="%1."/>
      <w:lvlJc w:val="left"/>
      <w:pPr>
        <w:ind w:left="502" w:hanging="318"/>
        <w:jc w:val="left"/>
      </w:pPr>
      <w:rPr>
        <w:rFonts w:hint="default" w:ascii="宋体" w:hAnsi="宋体" w:eastAsia="宋体" w:cs="宋体"/>
        <w:b/>
        <w:bCs/>
        <w:w w:val="99"/>
        <w:sz w:val="21"/>
        <w:szCs w:val="21"/>
      </w:rPr>
    </w:lvl>
    <w:lvl w:ilvl="1">
      <w:start w:val="1"/>
      <w:numFmt w:val="decimal"/>
      <w:lvlText w:val="%1.%2"/>
      <w:lvlJc w:val="left"/>
      <w:pPr>
        <w:ind w:left="711" w:hanging="421"/>
        <w:jc w:val="left"/>
      </w:pPr>
      <w:rPr>
        <w:rFonts w:hint="default" w:ascii="宋体" w:hAnsi="宋体" w:eastAsia="宋体" w:cs="宋体"/>
        <w:w w:val="100"/>
        <w:sz w:val="21"/>
        <w:szCs w:val="21"/>
      </w:rPr>
    </w:lvl>
    <w:lvl w:ilvl="2">
      <w:start w:val="0"/>
      <w:numFmt w:val="bullet"/>
      <w:lvlText w:val="•"/>
      <w:lvlJc w:val="left"/>
      <w:pPr>
        <w:ind w:left="820" w:hanging="421"/>
      </w:pPr>
      <w:rPr>
        <w:rFonts w:hint="default"/>
      </w:rPr>
    </w:lvl>
    <w:lvl w:ilvl="3">
      <w:start w:val="0"/>
      <w:numFmt w:val="bullet"/>
      <w:lvlText w:val="•"/>
      <w:lvlJc w:val="left"/>
      <w:pPr>
        <w:ind w:left="1112" w:hanging="421"/>
      </w:pPr>
      <w:rPr>
        <w:rFonts w:hint="default"/>
      </w:rPr>
    </w:lvl>
    <w:lvl w:ilvl="4">
      <w:start w:val="0"/>
      <w:numFmt w:val="bullet"/>
      <w:lvlText w:val="•"/>
      <w:lvlJc w:val="left"/>
      <w:pPr>
        <w:ind w:left="1405" w:hanging="421"/>
      </w:pPr>
      <w:rPr>
        <w:rFonts w:hint="default"/>
      </w:rPr>
    </w:lvl>
    <w:lvl w:ilvl="5">
      <w:start w:val="0"/>
      <w:numFmt w:val="bullet"/>
      <w:lvlText w:val="•"/>
      <w:lvlJc w:val="left"/>
      <w:pPr>
        <w:ind w:left="1698" w:hanging="421"/>
      </w:pPr>
      <w:rPr>
        <w:rFonts w:hint="default"/>
      </w:rPr>
    </w:lvl>
    <w:lvl w:ilvl="6">
      <w:start w:val="0"/>
      <w:numFmt w:val="bullet"/>
      <w:lvlText w:val="•"/>
      <w:lvlJc w:val="left"/>
      <w:pPr>
        <w:ind w:left="1991" w:hanging="421"/>
      </w:pPr>
      <w:rPr>
        <w:rFonts w:hint="default"/>
      </w:rPr>
    </w:lvl>
    <w:lvl w:ilvl="7">
      <w:start w:val="0"/>
      <w:numFmt w:val="bullet"/>
      <w:lvlText w:val="•"/>
      <w:lvlJc w:val="left"/>
      <w:pPr>
        <w:ind w:left="2284" w:hanging="421"/>
      </w:pPr>
      <w:rPr>
        <w:rFonts w:hint="default"/>
      </w:rPr>
    </w:lvl>
    <w:lvl w:ilvl="8">
      <w:start w:val="0"/>
      <w:numFmt w:val="bullet"/>
      <w:lvlText w:val="•"/>
      <w:lvlJc w:val="left"/>
      <w:pPr>
        <w:ind w:left="2577" w:hanging="421"/>
      </w:pPr>
      <w:rPr>
        <w:rFonts w:hint="default"/>
      </w:rPr>
    </w:lvl>
  </w:abstractNum>
  <w:abstractNum w:abstractNumId="1">
    <w:multiLevelType w:val="hybridMultilevel"/>
    <w:lvl w:ilvl="0">
      <w:start w:val="1"/>
      <w:numFmt w:val="decimal"/>
      <w:lvlText w:val="%1."/>
      <w:lvlJc w:val="left"/>
      <w:pPr>
        <w:ind w:left="535" w:hanging="318"/>
        <w:jc w:val="left"/>
      </w:pPr>
      <w:rPr>
        <w:rFonts w:hint="default" w:ascii="宋体" w:hAnsi="宋体" w:eastAsia="宋体" w:cs="宋体"/>
        <w:b/>
        <w:bCs/>
        <w:w w:val="99"/>
        <w:sz w:val="21"/>
        <w:szCs w:val="21"/>
      </w:rPr>
    </w:lvl>
    <w:lvl w:ilvl="1">
      <w:start w:val="1"/>
      <w:numFmt w:val="decimal"/>
      <w:lvlText w:val="%1.%2"/>
      <w:lvlJc w:val="left"/>
      <w:pPr>
        <w:ind w:left="744" w:hanging="421"/>
        <w:jc w:val="left"/>
      </w:pPr>
      <w:rPr>
        <w:rFonts w:hint="default" w:ascii="宋体" w:hAnsi="宋体" w:eastAsia="宋体" w:cs="宋体"/>
        <w:w w:val="100"/>
        <w:sz w:val="21"/>
        <w:szCs w:val="21"/>
      </w:rPr>
    </w:lvl>
    <w:lvl w:ilvl="2">
      <w:start w:val="0"/>
      <w:numFmt w:val="bullet"/>
      <w:lvlText w:val="•"/>
      <w:lvlJc w:val="left"/>
      <w:pPr>
        <w:ind w:left="949" w:hanging="421"/>
      </w:pPr>
      <w:rPr>
        <w:rFonts w:hint="default"/>
      </w:rPr>
    </w:lvl>
    <w:lvl w:ilvl="3">
      <w:start w:val="0"/>
      <w:numFmt w:val="bullet"/>
      <w:lvlText w:val="•"/>
      <w:lvlJc w:val="left"/>
      <w:pPr>
        <w:ind w:left="1158" w:hanging="421"/>
      </w:pPr>
      <w:rPr>
        <w:rFonts w:hint="default"/>
      </w:rPr>
    </w:lvl>
    <w:lvl w:ilvl="4">
      <w:start w:val="0"/>
      <w:numFmt w:val="bullet"/>
      <w:lvlText w:val="•"/>
      <w:lvlJc w:val="left"/>
      <w:pPr>
        <w:ind w:left="1367" w:hanging="421"/>
      </w:pPr>
      <w:rPr>
        <w:rFonts w:hint="default"/>
      </w:rPr>
    </w:lvl>
    <w:lvl w:ilvl="5">
      <w:start w:val="0"/>
      <w:numFmt w:val="bullet"/>
      <w:lvlText w:val="•"/>
      <w:lvlJc w:val="left"/>
      <w:pPr>
        <w:ind w:left="1576" w:hanging="421"/>
      </w:pPr>
      <w:rPr>
        <w:rFonts w:hint="default"/>
      </w:rPr>
    </w:lvl>
    <w:lvl w:ilvl="6">
      <w:start w:val="0"/>
      <w:numFmt w:val="bullet"/>
      <w:lvlText w:val="•"/>
      <w:lvlJc w:val="left"/>
      <w:pPr>
        <w:ind w:left="1785" w:hanging="421"/>
      </w:pPr>
      <w:rPr>
        <w:rFonts w:hint="default"/>
      </w:rPr>
    </w:lvl>
    <w:lvl w:ilvl="7">
      <w:start w:val="0"/>
      <w:numFmt w:val="bullet"/>
      <w:lvlText w:val="•"/>
      <w:lvlJc w:val="left"/>
      <w:pPr>
        <w:ind w:left="1994" w:hanging="421"/>
      </w:pPr>
      <w:rPr>
        <w:rFonts w:hint="default"/>
      </w:rPr>
    </w:lvl>
    <w:lvl w:ilvl="8">
      <w:start w:val="0"/>
      <w:numFmt w:val="bullet"/>
      <w:lvlText w:val="•"/>
      <w:lvlJc w:val="left"/>
      <w:pPr>
        <w:ind w:left="2203" w:hanging="421"/>
      </w:pPr>
      <w:rPr>
        <w:rFonts w:hint="default"/>
      </w:rPr>
    </w:lvl>
  </w:abstractNum>
  <w:abstractNum w:abstractNumId="0">
    <w:multiLevelType w:val="hybridMultilevel"/>
    <w:lvl w:ilvl="0">
      <w:start w:val="0"/>
      <w:numFmt w:val="bullet"/>
      <w:lvlText w:val=""/>
      <w:lvlJc w:val="left"/>
      <w:pPr>
        <w:ind w:left="1249" w:hanging="399"/>
      </w:pPr>
      <w:rPr>
        <w:rFonts w:hint="default" w:ascii="Wingdings" w:hAnsi="Wingdings" w:eastAsia="Wingdings" w:cs="Wingdings"/>
        <w:w w:val="100"/>
        <w:sz w:val="21"/>
        <w:szCs w:val="21"/>
      </w:rPr>
    </w:lvl>
    <w:lvl w:ilvl="1">
      <w:start w:val="0"/>
      <w:numFmt w:val="bullet"/>
      <w:lvlText w:val="•"/>
      <w:lvlJc w:val="left"/>
      <w:pPr>
        <w:ind w:left="219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4097" w:hanging="399"/>
      </w:pPr>
      <w:rPr>
        <w:rFonts w:hint="default"/>
      </w:rPr>
    </w:lvl>
    <w:lvl w:ilvl="4">
      <w:start w:val="0"/>
      <w:numFmt w:val="bullet"/>
      <w:lvlText w:val="•"/>
      <w:lvlJc w:val="left"/>
      <w:pPr>
        <w:ind w:left="5050"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55" w:hanging="399"/>
      </w:pPr>
      <w:rPr>
        <w:rFonts w:hint="default"/>
      </w:rPr>
    </w:lvl>
    <w:lvl w:ilvl="7">
      <w:start w:val="0"/>
      <w:numFmt w:val="bullet"/>
      <w:lvlText w:val="•"/>
      <w:lvlJc w:val="left"/>
      <w:pPr>
        <w:ind w:left="7908" w:hanging="399"/>
      </w:pPr>
      <w:rPr>
        <w:rFonts w:hint="default"/>
      </w:rPr>
    </w:lvl>
    <w:lvl w:ilvl="8">
      <w:start w:val="0"/>
      <w:numFmt w:val="bullet"/>
      <w:lvlText w:val="•"/>
      <w:lvlJc w:val="left"/>
      <w:pPr>
        <w:ind w:left="8861" w:hanging="399"/>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5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9" w:hanging="399"/>
    </w:pPr>
    <w:rPr>
      <w:rFonts w:ascii="宋体" w:hAnsi="宋体" w:eastAsia="宋体" w:cs="宋体"/>
    </w:rPr>
  </w:style>
  <w:style w:styleId="TableParagraph" w:type="paragraph">
    <w:name w:val="Table Paragraph"/>
    <w:basedOn w:val="Normal"/>
    <w:uiPriority w:val="1"/>
    <w:qFormat/>
    <w:pPr>
      <w:spacing w:before="111"/>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2018-10-19T23:42:53Z</dcterms:created>
  <dcterms:modified xsi:type="dcterms:W3CDTF">2018-10-19T23:42:53Z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