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223" w:right="101" w:firstLine="0"/>
        <w:jc w:val="center"/>
        <w:rPr>
          <w:b/>
          <w:sz w:val="30"/>
        </w:rPr>
      </w:pPr>
      <w:r>
        <w:rPr>
          <w:b/>
          <w:w w:val="95"/>
          <w:sz w:val="30"/>
        </w:rPr>
        <w:t>太平附加福利全佑重大疾病保险条款</w:t>
      </w:r>
    </w:p>
    <w:p>
      <w:pPr>
        <w:pStyle w:val="BodyText"/>
        <w:rPr>
          <w:b/>
          <w:sz w:val="30"/>
        </w:rPr>
      </w:pPr>
    </w:p>
    <w:p>
      <w:pPr>
        <w:pStyle w:val="BodyText"/>
        <w:spacing w:before="6"/>
        <w:rPr>
          <w:b/>
          <w:sz w:val="44"/>
        </w:rPr>
      </w:pPr>
    </w:p>
    <w:p>
      <w:pPr>
        <w:spacing w:before="0"/>
        <w:ind w:left="3221" w:right="101" w:firstLine="0"/>
        <w:jc w:val="center"/>
        <w:rPr>
          <w:b/>
          <w:sz w:val="28"/>
        </w:rPr>
      </w:pPr>
      <w:r>
        <w:rPr>
          <w:b/>
          <w:sz w:val="28"/>
        </w:rPr>
        <w:t>特别提示</w:t>
      </w:r>
    </w:p>
    <w:p>
      <w:pPr>
        <w:spacing w:before="29"/>
        <w:ind w:left="0" w:right="185"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029 </w:t>
      </w:r>
      <w:r>
        <w:rPr>
          <w:sz w:val="18"/>
        </w:rPr>
        <w:t>号</w:t>
      </w:r>
    </w:p>
    <w:p>
      <w:pPr>
        <w:pStyle w:val="BodyText"/>
        <w:spacing w:before="8"/>
        <w:rPr>
          <w:sz w:val="6"/>
        </w:rPr>
      </w:pPr>
    </w:p>
    <w:p>
      <w:pPr>
        <w:pStyle w:val="BodyText"/>
        <w:ind w:left="654"/>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8"/>
        <w:ind w:left="0" w:right="183" w:firstLine="0"/>
        <w:jc w:val="center"/>
        <w:rPr>
          <w:sz w:val="18"/>
        </w:rPr>
      </w:pPr>
      <w:r>
        <w:rPr>
          <w:sz w:val="18"/>
        </w:rPr>
        <w:t>请扫描以查询验证条款</w:t>
      </w:r>
    </w:p>
    <w:p>
      <w:pPr>
        <w:spacing w:after="0"/>
        <w:jc w:val="center"/>
        <w:rPr>
          <w:sz w:val="18"/>
        </w:rPr>
        <w:sectPr>
          <w:type w:val="continuous"/>
          <w:pgSz w:w="11910" w:h="16160"/>
          <w:pgMar w:top="560" w:bottom="280" w:left="500" w:right="700"/>
          <w:cols w:num="2" w:equalWidth="0">
            <w:col w:w="7942" w:space="40"/>
            <w:col w:w="2728"/>
          </w:cols>
        </w:sectPr>
      </w:pPr>
    </w:p>
    <w:p>
      <w:pPr>
        <w:pStyle w:val="BodyText"/>
        <w:rPr>
          <w:sz w:val="20"/>
        </w:rPr>
      </w:pPr>
    </w:p>
    <w:p>
      <w:pPr>
        <w:pStyle w:val="BodyText"/>
        <w:rPr>
          <w:sz w:val="20"/>
        </w:rPr>
      </w:pPr>
    </w:p>
    <w:p>
      <w:pPr>
        <w:pStyle w:val="BodyText"/>
        <w:spacing w:before="1"/>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219" w:hanging="420"/>
        <w:jc w:val="left"/>
        <w:rPr>
          <w:b/>
          <w:sz w:val="24"/>
        </w:rPr>
      </w:pPr>
      <w:r>
        <w:rPr>
          <w:b/>
          <w:spacing w:val="-4"/>
          <w:sz w:val="24"/>
        </w:rPr>
        <w:t>签收本附加合同之日起 </w:t>
      </w:r>
      <w:r>
        <w:rPr>
          <w:rFonts w:ascii="Times New Roman" w:eastAsia="Times New Roman"/>
          <w:b/>
          <w:sz w:val="24"/>
        </w:rPr>
        <w:t>10</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7"/>
        <w:rPr>
          <w:b/>
          <w:sz w:val="29"/>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0"/>
        <w:ind w:left="4831" w:right="4473"/>
        <w:jc w:val="center"/>
      </w:pPr>
      <w:r>
        <w:rPr/>
        <w:t>第</w:t>
      </w:r>
      <w:r>
        <w:rPr>
          <w:rFonts w:ascii="Times New Roman" w:eastAsia="Times New Roman"/>
        </w:rPr>
        <w:t>1</w:t>
      </w:r>
      <w:r>
        <w:rPr/>
        <w:t>页，共</w:t>
      </w:r>
      <w:r>
        <w:rPr>
          <w:rFonts w:ascii="Times New Roman" w:eastAsia="Times New Roman"/>
        </w:rPr>
        <w:t>16</w:t>
      </w:r>
      <w:r>
        <w:rPr/>
        <w:t>页</w:t>
      </w:r>
    </w:p>
    <w:p>
      <w:pPr>
        <w:spacing w:after="0"/>
        <w:jc w:val="center"/>
        <w:sectPr>
          <w:type w:val="continuous"/>
          <w:pgSz w:w="11910" w:h="16160"/>
          <w:pgMar w:top="560" w:bottom="280" w:left="500" w:right="700"/>
        </w:sectPr>
      </w:pPr>
    </w:p>
    <w:p>
      <w:pPr>
        <w:pStyle w:val="BodyText"/>
        <w:rPr>
          <w:sz w:val="20"/>
        </w:rPr>
      </w:pPr>
    </w:p>
    <w:p>
      <w:pPr>
        <w:pStyle w:val="BodyText"/>
        <w:rPr>
          <w:sz w:val="20"/>
        </w:rPr>
      </w:pPr>
    </w:p>
    <w:p>
      <w:pPr>
        <w:pStyle w:val="BodyText"/>
        <w:rPr>
          <w:sz w:val="20"/>
        </w:rPr>
      </w:pPr>
    </w:p>
    <w:p>
      <w:pPr>
        <w:tabs>
          <w:tab w:pos="858" w:val="left" w:leader="none"/>
        </w:tabs>
        <w:spacing w:before="163"/>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8"/>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spacing w:before="41"/>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特定疾病的定义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8</w:t>
            </w:r>
          </w:hyperlink>
        </w:p>
        <w:p>
          <w:pPr/>
          <w:r>
            <w:fldChar w:fldCharType="end"/>
          </w:r>
        </w:p>
      </w:sdtContent>
    </w:sdt>
    <w:p>
      <w:pPr>
        <w:spacing w:after="0"/>
        <w:sectPr>
          <w:footerReference w:type="default" r:id="rId8"/>
          <w:pgSz w:w="11910" w:h="16160"/>
          <w:pgMar w:footer="631" w:header="0" w:top="1520" w:bottom="820" w:left="960" w:right="820"/>
          <w:pgNumType w:start="2"/>
        </w:sectPr>
      </w:pPr>
    </w:p>
    <w:p>
      <w:pPr>
        <w:pStyle w:val="BodyText"/>
        <w:rPr>
          <w:rFonts w:ascii="Times New Roman"/>
          <w:sz w:val="24"/>
        </w:rPr>
      </w:pPr>
    </w:p>
    <w:p>
      <w:pPr>
        <w:pStyle w:val="Heading1"/>
        <w:tabs>
          <w:tab w:pos="2888" w:val="left" w:leader="none"/>
        </w:tabs>
        <w:spacing w:before="168"/>
        <w:ind w:left="1469"/>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4" w:firstLine="420"/>
      </w:pPr>
      <w:r>
        <w:rPr>
          <w:spacing w:val="-10"/>
        </w:rPr>
        <w:t>本附加合同依您的申请，可附加于我们提供的主合同《太平福利全佑终身寿险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tabs>
          <w:tab w:pos="969" w:val="left" w:leader="none"/>
        </w:tabs>
        <w:spacing w:before="1"/>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left="0" w:right="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6"/>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3"/>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1"/>
        <w:rPr>
          <w:sz w:val="11"/>
        </w:rPr>
      </w:pPr>
      <w:r>
        <w:rPr/>
        <w:pict>
          <v:line style="position:absolute;mso-position-horizontal-relative:page;mso-position-vertical-relative:paragraph;z-index:1072;mso-wrap-distance-left:0;mso-wrap-distance-right:0" from="53.880001pt,9.484497pt" to="197.930001pt,9.484497pt" stroked="true" strokeweight=".48004pt" strokecolor="#000000">
            <v:stroke dashstyle="solid"/>
            <w10:wrap type="topAndBottom"/>
          </v:line>
        </w:pict>
      </w:r>
    </w:p>
    <w:p>
      <w:pPr>
        <w:pStyle w:val="BodyText"/>
        <w:spacing w:line="274"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1"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3" w:lineRule="exact"/>
        <w:ind w:left="117"/>
        <w:rPr>
          <w:rFonts w:ascii="楷体" w:eastAsia="楷体" w:hint="eastAsia"/>
        </w:rPr>
      </w:pPr>
      <w:r>
        <w:rPr>
          <w:rFonts w:ascii="楷体" w:eastAsia="楷体" w:hint="eastAsia"/>
        </w:rPr>
        <w:t>意并寻求诊断、治疗或护理的病症。</w:t>
      </w:r>
    </w:p>
    <w:p>
      <w:pPr>
        <w:pStyle w:val="BodyText"/>
        <w:spacing w:line="273"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spacing w:after="0" w:line="273" w:lineRule="exact"/>
        <w:rPr>
          <w:rFonts w:ascii="楷体" w:eastAsia="楷体" w:hint="eastAsia"/>
        </w:rPr>
        <w:sectPr>
          <w:pgSz w:w="11910" w:h="16160"/>
          <w:pgMar w:header="0" w:footer="631" w:top="1520" w:bottom="880" w:left="960" w:right="800"/>
        </w:sectPr>
      </w:pPr>
    </w:p>
    <w:p>
      <w:pPr>
        <w:spacing w:line="273" w:lineRule="auto" w:before="7"/>
        <w:ind w:left="117" w:right="217" w:firstLine="0"/>
        <w:jc w:val="left"/>
        <w:rPr>
          <w:sz w:val="21"/>
        </w:rPr>
      </w:pPr>
      <w:r>
        <w:rPr>
          <w:sz w:val="21"/>
        </w:rPr>
        <w:t>初次患上一种或多种本附加合同第十七条所定义的重大疾病，我们按本附加合同基本保险金额给付重大疾病保险金，</w:t>
      </w:r>
      <w:r>
        <w:rPr>
          <w:b/>
          <w:sz w:val="21"/>
        </w:rPr>
        <w:t>本附加合同终止。主合同同时终止，</w:t>
      </w:r>
      <w:r>
        <w:rPr>
          <w:sz w:val="21"/>
        </w:rPr>
        <w:t>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b/>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w:t>
      </w:r>
      <w:r>
        <w:rPr>
          <w:spacing w:val="-1"/>
          <w:sz w:val="21"/>
        </w:rPr>
        <w:t>金，</w:t>
      </w:r>
      <w:r>
        <w:rPr>
          <w:b/>
          <w:spacing w:val="-1"/>
          <w:sz w:val="21"/>
        </w:rPr>
        <w:t>同时主合同及本附加合同终止。</w:t>
      </w:r>
    </w:p>
    <w:p>
      <w:pPr>
        <w:pStyle w:val="BodyText"/>
        <w:spacing w:before="28"/>
        <w:ind w:left="538"/>
      </w:pPr>
      <w:r>
        <w:rPr/>
        <w:t>二、特定疾病保险金</w:t>
      </w:r>
    </w:p>
    <w:p>
      <w:pPr>
        <w:pStyle w:val="ListParagraph"/>
        <w:numPr>
          <w:ilvl w:val="0"/>
          <w:numId w:val="3"/>
        </w:numPr>
        <w:tabs>
          <w:tab w:pos="807" w:val="left" w:leader="none"/>
        </w:tabs>
        <w:spacing w:line="256" w:lineRule="auto" w:before="37" w:after="0"/>
        <w:ind w:left="117" w:right="214"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次患上一种或多种本附加合同第十六条所定义的特定疾病，我们按本附加合同基本保险金额的 </w:t>
      </w:r>
      <w:r>
        <w:rPr>
          <w:rFonts w:ascii="Times New Roman" w:eastAsia="Times New Roman"/>
          <w:sz w:val="21"/>
        </w:rPr>
        <w:t>20%</w:t>
      </w:r>
      <w:r>
        <w:rPr>
          <w:spacing w:val="-3"/>
          <w:sz w:val="21"/>
        </w:rPr>
        <w:t>给付特定疾病保险金，给付以一次为限，</w:t>
      </w:r>
      <w:r>
        <w:rPr>
          <w:b/>
          <w:spacing w:val="-2"/>
          <w:sz w:val="21"/>
        </w:rPr>
        <w:t>同时本项责任终止。</w:t>
      </w:r>
    </w:p>
    <w:p>
      <w:pPr>
        <w:pStyle w:val="ListParagraph"/>
        <w:numPr>
          <w:ilvl w:val="0"/>
          <w:numId w:val="3"/>
        </w:numPr>
        <w:tabs>
          <w:tab w:pos="803" w:val="left" w:leader="none"/>
        </w:tabs>
        <w:spacing w:line="256" w:lineRule="auto" w:before="22" w:after="0"/>
        <w:ind w:left="117" w:right="406" w:firstLine="421"/>
        <w:jc w:val="left"/>
        <w:rPr>
          <w:b/>
          <w:sz w:val="21"/>
        </w:rPr>
      </w:pPr>
      <w:r>
        <w:rPr>
          <w:spacing w:val="-3"/>
          <w:sz w:val="21"/>
        </w:rPr>
        <w:t>如果被保险人因意外伤害事故以外的原因经医院确诊初次患上一种或多种本附加合同第十六条所定义的特定疾病，并且</w:t>
      </w:r>
      <w:r>
        <w:rPr>
          <w:b/>
          <w:spacing w:val="-3"/>
          <w:sz w:val="21"/>
        </w:rPr>
        <w:t>首次发病时间在等待期内，我们不承担本项责任，同时本项责任终止。</w:t>
      </w:r>
    </w:p>
    <w:p>
      <w:pPr>
        <w:pStyle w:val="BodyText"/>
        <w:spacing w:before="23"/>
        <w:ind w:left="538"/>
      </w:pPr>
      <w:r>
        <w:rPr/>
        <w:t>三、保险费豁免</w:t>
      </w:r>
    </w:p>
    <w:p>
      <w:pPr>
        <w:pStyle w:val="BodyText"/>
        <w:spacing w:line="273" w:lineRule="auto" w:before="37"/>
        <w:ind w:left="117" w:right="217" w:firstLine="420"/>
        <w:jc w:val="both"/>
      </w:pPr>
      <w:r>
        <w:rPr/>
        <w:t>如果被保险人符合特定疾病保险金给付条件，我们在给付特定疾病保险金的同时，将豁免自特定疾病确诊日后的首个保险费约定支付日至交费期满之间主合同及本附加合同剩余的各期保险费，但不包括特定疾病确诊日之前所欠交的保险费及利息。</w:t>
      </w:r>
    </w:p>
    <w:p>
      <w:pPr>
        <w:pStyle w:val="BodyText"/>
        <w:spacing w:before="5"/>
        <w:rPr>
          <w:sz w:val="24"/>
        </w:rPr>
      </w:pPr>
    </w:p>
    <w:p>
      <w:pPr>
        <w:spacing w:line="273" w:lineRule="auto" w:before="0"/>
        <w:ind w:left="117" w:right="219" w:firstLine="420"/>
        <w:jc w:val="left"/>
        <w:rPr>
          <w:b/>
          <w:sz w:val="21"/>
        </w:rPr>
      </w:pPr>
      <w:r>
        <w:rPr>
          <w:b/>
          <w:sz w:val="21"/>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rPr>
          <w:sz w:val="26"/>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19" w:firstLine="420"/>
        <w:rPr>
          <w:rFonts w:ascii="黑体" w:eastAsia="黑体" w:hint="eastAsia"/>
        </w:rPr>
      </w:pPr>
      <w:r>
        <w:rPr>
          <w:rFonts w:ascii="黑体" w:eastAsia="黑体" w:hint="eastAsia"/>
        </w:rPr>
        <w:t>因下列情形之一导致被保险人患上本附加合同所定义的重大疾病或特定疾病的，我们不承担给付相应保险金的责任：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5"/>
        <w:rPr>
          <w:rFonts w:ascii="黑体"/>
          <w:sz w:val="25"/>
        </w:rPr>
      </w:pPr>
      <w:r>
        <w:rPr/>
        <w:pict>
          <v:line style="position:absolute;mso-position-horizontal-relative:page;mso-position-vertical-relative:paragraph;z-index:1096;mso-wrap-distance-left:0;mso-wrap-distance-right:0" from="53.880001pt,18.852428pt" to="197.930001pt,18.852428pt" stroked="true" strokeweight=".48001pt" strokecolor="#000000">
            <v:stroke dashstyle="solid"/>
            <w10:wrap type="topAndBottom"/>
          </v:line>
        </w:pict>
      </w:r>
    </w:p>
    <w:p>
      <w:pPr>
        <w:pStyle w:val="BodyText"/>
        <w:spacing w:line="274" w:lineRule="exact" w:before="32"/>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line="264" w:lineRule="exact" w:before="0"/>
        <w:ind w:left="117" w:right="0" w:firstLine="0"/>
        <w:jc w:val="left"/>
        <w:rPr>
          <w:rFonts w:ascii="楷体" w:eastAsia="楷体" w:hint="eastAsia"/>
          <w:sz w:val="21"/>
        </w:rPr>
      </w:pPr>
      <w:r>
        <w:rPr>
          <w:rFonts w:ascii="Times New Roman" w:eastAsia="Times New Roman"/>
          <w:position w:val="10"/>
          <w:sz w:val="14"/>
        </w:rPr>
        <w:t>8</w:t>
      </w:r>
      <w:r>
        <w:rPr>
          <w:rFonts w:ascii="楷体" w:eastAsia="楷体" w:hint="eastAsia"/>
          <w:b/>
          <w:sz w:val="21"/>
        </w:rPr>
        <w:t>主合同累积红利保险金额对应的现金价值：</w:t>
      </w:r>
      <w:r>
        <w:rPr>
          <w:rFonts w:ascii="楷体" w:eastAsia="楷体" w:hint="eastAsia"/>
          <w:sz w:val="21"/>
        </w:rPr>
        <w:t>是指根据精算原理计算的主合同累积红利保险金额所具有的价</w:t>
      </w:r>
    </w:p>
    <w:p>
      <w:pPr>
        <w:pStyle w:val="BodyText"/>
        <w:spacing w:line="272" w:lineRule="exact"/>
        <w:ind w:left="117"/>
        <w:rPr>
          <w:rFonts w:ascii="楷体" w:eastAsia="楷体" w:hint="eastAsia"/>
        </w:rPr>
      </w:pPr>
      <w:r>
        <w:rPr>
          <w:rFonts w:ascii="楷体" w:eastAsia="楷体" w:hint="eastAsia"/>
        </w:rPr>
        <w:t>值。</w:t>
      </w:r>
    </w:p>
    <w:p>
      <w:pPr>
        <w:pStyle w:val="BodyText"/>
        <w:spacing w:line="273" w:lineRule="exact"/>
        <w:ind w:left="117"/>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1"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11</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2"/>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2" w:lineRule="exact"/>
        <w:ind w:left="117"/>
        <w:rPr>
          <w:rFonts w:ascii="楷体" w:eastAsia="楷体" w:hint="eastAsia"/>
        </w:rPr>
      </w:pPr>
      <w:r>
        <w:rPr>
          <w:rFonts w:ascii="Times New Roman" w:eastAsia="Times New Roman"/>
          <w:position w:val="10"/>
          <w:sz w:val="14"/>
        </w:rPr>
        <w:t>12</w:t>
      </w:r>
      <w:r>
        <w:rPr>
          <w:rFonts w:ascii="楷体" w:eastAsia="楷体" w:hint="eastAsia"/>
          <w:b/>
        </w:rPr>
        <w:t>无有效行驶证：</w:t>
      </w:r>
      <w:r>
        <w:rPr>
          <w:rFonts w:ascii="楷体" w:eastAsia="楷体" w:hint="eastAsia"/>
        </w:rPr>
        <w:t>发生保险事故时没有按照公安机关交通管理部门机动车登记制度的规定进行登记并领取机</w:t>
      </w:r>
    </w:p>
    <w:p>
      <w:pPr>
        <w:pStyle w:val="BodyText"/>
        <w:spacing w:line="225" w:lineRule="auto" w:before="16"/>
        <w:ind w:left="117" w:right="246"/>
        <w:jc w:val="both"/>
        <w:rPr>
          <w:rFonts w:ascii="楷体" w:eastAsia="楷体" w:hint="eastAsia"/>
        </w:rPr>
      </w:pPr>
      <w:r>
        <w:rPr>
          <w:rFonts w:ascii="楷体" w:eastAsia="楷体" w:hint="eastAsia"/>
          <w:spacing w:val="-7"/>
          <w:w w:val="100"/>
        </w:rPr>
        <w:t>动车行驶证或者临时通行牌证等法定证件。包括下列情形之一：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3"/>
          <w:w w:val="100"/>
        </w:rPr>
        <w:t>未办理行驶证或者行驶证在申办过程中</w:t>
      </w:r>
      <w:r>
        <w:rPr>
          <w:rFonts w:ascii="楷体" w:eastAsia="楷体" w:hint="eastAsia"/>
          <w:spacing w:val="-55"/>
          <w:w w:val="100"/>
        </w:rPr>
        <w:t>的；</w:t>
      </w:r>
      <w:r>
        <w:rPr>
          <w:rFonts w:ascii="楷体" w:eastAsia="楷体" w:hint="eastAsia"/>
          <w:w w:val="100"/>
        </w:rPr>
        <w:t>（</w:t>
      </w:r>
      <w:r>
        <w:rPr>
          <w:rFonts w:ascii="Times New Roman" w:eastAsia="Times New Roman"/>
          <w:spacing w:val="-3"/>
          <w:w w:val="100"/>
        </w:rPr>
        <w:t>2</w:t>
      </w:r>
      <w:r>
        <w:rPr>
          <w:rFonts w:ascii="楷体" w:eastAsia="楷体" w:hint="eastAsia"/>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未在行驶证检验有效期内依法按时进行或者未通过机动车安</w:t>
      </w:r>
      <w:r>
        <w:rPr>
          <w:rFonts w:ascii="楷体" w:eastAsia="楷体" w:hint="eastAsia"/>
          <w:spacing w:val="-3"/>
        </w:rPr>
        <w:t>全技术检验的。</w:t>
      </w:r>
    </w:p>
    <w:p>
      <w:pPr>
        <w:pStyle w:val="BodyText"/>
        <w:spacing w:line="272" w:lineRule="exact"/>
        <w:ind w:left="117"/>
        <w:rPr>
          <w:rFonts w:ascii="楷体" w:eastAsia="楷体" w:hint="eastAsia"/>
        </w:rPr>
      </w:pPr>
      <w:r>
        <w:rPr>
          <w:rFonts w:ascii="Times New Roman" w:eastAsia="Times New Roman"/>
          <w:position w:val="10"/>
          <w:sz w:val="14"/>
        </w:rPr>
        <w:t>13</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ind w:left="117"/>
        <w:rPr>
          <w:rFonts w:ascii="楷体" w:eastAsia="楷体" w:hint="eastAsia"/>
        </w:rPr>
      </w:pPr>
      <w:r>
        <w:rPr>
          <w:rFonts w:ascii="楷体" w:eastAsia="楷体" w:hint="eastAsia"/>
        </w:rPr>
        <w:t>的轮式车辆。</w:t>
      </w:r>
    </w:p>
    <w:p>
      <w:pPr>
        <w:spacing w:after="0" w:line="273" w:lineRule="exact"/>
        <w:rPr>
          <w:rFonts w:ascii="楷体" w:eastAsia="楷体" w:hint="eastAsia"/>
        </w:rPr>
        <w:sectPr>
          <w:pgSz w:w="11910" w:h="16160"/>
          <w:pgMar w:header="0" w:footer="631" w:top="1360" w:bottom="880" w:left="960" w:right="700"/>
        </w:sectPr>
      </w:pPr>
    </w:p>
    <w:p>
      <w:pPr>
        <w:pStyle w:val="ListParagraph"/>
        <w:numPr>
          <w:ilvl w:val="0"/>
          <w:numId w:val="4"/>
        </w:numPr>
        <w:tabs>
          <w:tab w:pos="803" w:val="left" w:leader="none"/>
        </w:tabs>
        <w:spacing w:line="282" w:lineRule="exact" w:before="26"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1"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4"/>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before="20"/>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0"/>
        <w:ind w:left="117" w:right="11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left="0" w:right="1"/>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spacing w:before="1"/>
        <w:ind w:left="0"/>
        <w:jc w:val="center"/>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除另有约定外，重大疾病保险金和特定疾病保险金的受益人为被保险人本人。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6"/>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18</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在申请本附加合同重大疾病保险金或特定疾病保险金时，由相应保险金的受益人作为申请人填写保险金给付申请书，并提供下列证明和资料：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before="5"/>
        <w:rPr>
          <w:sz w:val="25"/>
        </w:rPr>
      </w:pPr>
    </w:p>
    <w:p>
      <w:pPr>
        <w:pStyle w:val="BodyText"/>
        <w:ind w:left="538"/>
      </w:pPr>
      <w:r>
        <w:rPr/>
        <w:t>如果委托他人代为申请，除上述证明和资料外，还须提供相关保险金受益人的授权委托书、受托人有效</w:t>
      </w:r>
    </w:p>
    <w:p>
      <w:pPr>
        <w:pStyle w:val="BodyText"/>
        <w:spacing w:before="3"/>
      </w:pPr>
      <w:r>
        <w:rPr/>
        <w:pict>
          <v:line style="position:absolute;mso-position-horizontal-relative:page;mso-position-vertical-relative:paragraph;z-index:1120;mso-wrap-distance-left:0;mso-wrap-distance-right:0" from="53.880001pt,16.135544pt" to="197.930001pt,16.135544pt" stroked="true" strokeweight=".48004pt" strokecolor="#000000">
            <v:stroke dashstyle="solid"/>
            <w10:wrap type="topAndBottom"/>
          </v:line>
        </w:pict>
      </w:r>
    </w:p>
    <w:p>
      <w:pPr>
        <w:pStyle w:val="BodyText"/>
        <w:spacing w:line="228" w:lineRule="auto" w:before="49"/>
        <w:ind w:left="117" w:right="112"/>
        <w:rPr>
          <w:rFonts w:ascii="楷体" w:eastAsia="楷体" w:hint="eastAsia"/>
        </w:rPr>
      </w:pPr>
      <w:r>
        <w:rPr>
          <w:rFonts w:ascii="Times New Roman" w:eastAsia="Times New Roman"/>
          <w:position w:val="10"/>
          <w:sz w:val="14"/>
        </w:rPr>
        <w:t>14</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15</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17</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1"/>
        <w:ind w:left="117" w:right="0" w:firstLine="0"/>
        <w:jc w:val="left"/>
        <w:rPr>
          <w:rFonts w:ascii="楷体" w:eastAsia="楷体" w:hint="eastAsia"/>
          <w:sz w:val="21"/>
        </w:rPr>
      </w:pPr>
      <w:r>
        <w:rPr>
          <w:rFonts w:ascii="Times New Roman" w:eastAsia="Times New Roman"/>
          <w:position w:val="10"/>
          <w:sz w:val="14"/>
        </w:rPr>
        <w:t>18</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19</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spacing w:after="0"/>
        <w:rPr>
          <w:rFonts w:ascii="楷体" w:eastAsia="楷体" w:hint="eastAsia"/>
        </w:rPr>
        <w:sectPr>
          <w:pgSz w:w="11910" w:h="16160"/>
          <w:pgMar w:header="0" w:footer="631" w:top="1320" w:bottom="900" w:left="960" w:right="800"/>
        </w:sectPr>
      </w:pPr>
    </w:p>
    <w:p>
      <w:pPr>
        <w:pStyle w:val="BodyText"/>
        <w:spacing w:line="266" w:lineRule="auto" w:before="7"/>
        <w:ind w:left="317" w:right="297"/>
        <w:jc w:val="both"/>
      </w:pPr>
      <w:r>
        <w:rPr>
          <w:spacing w:val="-3"/>
        </w:rPr>
        <w:t>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2</w:t>
      </w:r>
      <w:r>
        <w:rPr>
          <w:rFonts w:ascii="Times New Roman" w:eastAsia="Times New Roman"/>
          <w:b/>
          <w:spacing w:val="-3"/>
          <w:vertAlign w:val="superscript"/>
        </w:rPr>
        <w:t>0</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9"/>
        <w:rPr>
          <w:sz w:val="22"/>
        </w:rPr>
      </w:pPr>
    </w:p>
    <w:p>
      <w:pPr>
        <w:pStyle w:val="Heading1"/>
        <w:tabs>
          <w:tab w:pos="1436" w:val="left" w:leader="none"/>
        </w:tabs>
        <w:spacing w:before="1"/>
        <w:ind w:left="17"/>
        <w:jc w:val="center"/>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6"/>
        <w:ind w:left="7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317" w:right="29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8"/>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79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rPr>
          <w:sz w:val="24"/>
        </w:rPr>
      </w:pPr>
    </w:p>
    <w:p>
      <w:pPr>
        <w:pStyle w:val="Heading1"/>
        <w:tabs>
          <w:tab w:pos="1434" w:val="left" w:leader="none"/>
        </w:tabs>
        <w:ind w:left="15"/>
        <w:jc w:val="center"/>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6"/>
        <w:ind w:left="738" w:right="306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7"/>
        <w:ind w:left="738"/>
      </w:pPr>
      <w:r>
        <w:rPr/>
        <w:t>三、本附加合同内约定的其他终止情况。</w:t>
      </w:r>
    </w:p>
    <w:p>
      <w:pPr>
        <w:pStyle w:val="BodyText"/>
        <w:spacing w:before="9"/>
        <w:rPr>
          <w:sz w:val="26"/>
        </w:rPr>
      </w:pPr>
    </w:p>
    <w:p>
      <w:pPr>
        <w:pStyle w:val="Heading2"/>
        <w:tabs>
          <w:tab w:pos="1397" w:val="left" w:leader="none"/>
        </w:tabs>
        <w:ind w:left="317"/>
      </w:pPr>
      <w:bookmarkStart w:name="_bookmark21" w:id="22"/>
      <w:bookmarkEnd w:id="22"/>
      <w:r>
        <w:rPr>
          <w:b w:val="0"/>
        </w:rPr>
      </w:r>
      <w:r>
        <w:rPr/>
        <w:t>第十六条</w:t>
        <w:tab/>
        <w:t>特定疾病的定义</w:t>
      </w:r>
    </w:p>
    <w:p>
      <w:pPr>
        <w:pStyle w:val="BodyText"/>
        <w:spacing w:line="256" w:lineRule="auto" w:before="37"/>
        <w:ind w:left="317" w:right="300" w:firstLine="420"/>
      </w:pPr>
      <w:r>
        <w:rPr/>
        <w:t>本附加合同所保障的特定疾病，是指被保险人经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本附加合同所保障的特定疾病共 </w:t>
      </w:r>
      <w:r>
        <w:rPr>
          <w:rFonts w:ascii="Times New Roman" w:eastAsia="Times New Roman"/>
        </w:rPr>
        <w:t>14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28"/>
      </w:tblGrid>
      <w:tr>
        <w:trPr>
          <w:trHeight w:val="1210" w:hRule="atLeast"/>
        </w:trPr>
        <w:tc>
          <w:tcPr>
            <w:tcW w:w="421" w:type="dxa"/>
          </w:tcPr>
          <w:p>
            <w:pPr>
              <w:pStyle w:val="TableParagraph"/>
              <w:spacing w:line="234" w:lineRule="exact"/>
              <w:ind w:left="0"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28"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0"/>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0"/>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570" w:hRule="atLeast"/>
        </w:trPr>
        <w:tc>
          <w:tcPr>
            <w:tcW w:w="421" w:type="dxa"/>
          </w:tcPr>
          <w:p>
            <w:pPr>
              <w:pStyle w:val="TableParagraph"/>
              <w:spacing w:before="30"/>
              <w:ind w:left="0"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line="255" w:lineRule="exact" w:before="37"/>
              <w:ind w:left="62"/>
              <w:rPr>
                <w:sz w:val="21"/>
              </w:rPr>
            </w:pPr>
            <w:r>
              <w:rPr>
                <w:sz w:val="21"/>
              </w:rPr>
              <w:t>恶性病变</w:t>
            </w:r>
          </w:p>
        </w:tc>
        <w:tc>
          <w:tcPr>
            <w:tcW w:w="7128"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line="255" w:lineRule="exact" w:before="37"/>
              <w:ind w:left="142"/>
              <w:rPr>
                <w:sz w:val="21"/>
              </w:rPr>
            </w:pPr>
            <w:r>
              <w:rPr>
                <w:sz w:val="21"/>
              </w:rPr>
              <w:t>应的治疗。</w:t>
            </w:r>
          </w:p>
        </w:tc>
      </w:tr>
    </w:tbl>
    <w:p>
      <w:pPr>
        <w:pStyle w:val="BodyText"/>
        <w:rPr>
          <w:sz w:val="18"/>
        </w:rPr>
      </w:pPr>
      <w:r>
        <w:rPr/>
        <w:pict>
          <v:line style="position:absolute;mso-position-horizontal-relative:page;mso-position-vertical-relative:paragraph;z-index:1144;mso-wrap-distance-left:0;mso-wrap-distance-right:0" from="53.880001pt,14.004389pt" to="197.930001pt,14.004389pt" stroked="true" strokeweight=".47998pt" strokecolor="#000000">
            <v:stroke dashstyle="solid"/>
            <w10:wrap type="topAndBottom"/>
          </v:line>
        </w:pict>
      </w:r>
    </w:p>
    <w:p>
      <w:pPr>
        <w:pStyle w:val="BodyText"/>
        <w:spacing w:line="237" w:lineRule="auto" w:before="38"/>
        <w:ind w:left="317" w:right="294"/>
        <w:rPr>
          <w:rFonts w:ascii="楷体" w:eastAsia="楷体" w:hint="eastAsia"/>
        </w:rPr>
      </w:pPr>
      <w:r>
        <w:rPr>
          <w:rFonts w:ascii="Times New Roman" w:eastAsia="Times New Roman"/>
          <w:position w:val="10"/>
          <w:sz w:val="14"/>
        </w:rPr>
        <w:t>20</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pStyle w:val="BodyText"/>
        <w:spacing w:line="280" w:lineRule="exact"/>
        <w:ind w:left="317"/>
        <w:rPr>
          <w:rFonts w:ascii="楷体" w:eastAsia="楷体" w:hint="eastAsia"/>
        </w:rPr>
      </w:pPr>
      <w:r>
        <w:rPr>
          <w:rFonts w:ascii="Times New Roman" w:eastAsia="Times New Roman"/>
          <w:w w:val="99"/>
          <w:position w:val="10"/>
          <w:sz w:val="14"/>
        </w:rPr>
        <w:t>21</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2"/>
        <w:gridCol w:w="7232"/>
      </w:tblGrid>
      <w:tr>
        <w:trPr>
          <w:trHeight w:val="1824" w:hRule="atLeast"/>
        </w:trPr>
        <w:tc>
          <w:tcPr>
            <w:tcW w:w="474" w:type="dxa"/>
          </w:tcPr>
          <w:p>
            <w:pPr>
              <w:pStyle w:val="TableParagraph"/>
              <w:ind w:left="0"/>
              <w:rPr>
                <w:rFonts w:ascii="Times New Roman"/>
                <w:sz w:val="20"/>
              </w:rPr>
            </w:pPr>
          </w:p>
        </w:tc>
        <w:tc>
          <w:tcPr>
            <w:tcW w:w="2702" w:type="dxa"/>
          </w:tcPr>
          <w:p>
            <w:pPr>
              <w:pStyle w:val="TableParagraph"/>
              <w:ind w:left="0"/>
              <w:rPr>
                <w:rFonts w:ascii="Times New Roman"/>
                <w:sz w:val="20"/>
              </w:rPr>
            </w:pPr>
          </w:p>
        </w:tc>
        <w:tc>
          <w:tcPr>
            <w:tcW w:w="7232" w:type="dxa"/>
          </w:tcPr>
          <w:p>
            <w:pPr>
              <w:pStyle w:val="TableParagraph"/>
              <w:spacing w:line="234" w:lineRule="exact"/>
              <w:ind w:left="142"/>
              <w:rPr>
                <w:sz w:val="21"/>
              </w:rPr>
            </w:pPr>
            <w:r>
              <w:rPr>
                <w:sz w:val="21"/>
              </w:rPr>
              <w:t>（</w:t>
            </w:r>
            <w:r>
              <w:rPr>
                <w:rFonts w:ascii="Times New Roman" w:eastAsia="Times New Roman"/>
                <w:sz w:val="21"/>
              </w:rPr>
              <w:t>1</w:t>
            </w:r>
            <w:r>
              <w:rPr>
                <w:sz w:val="21"/>
              </w:rPr>
              <w:t>）原位癌；</w:t>
            </w:r>
          </w:p>
          <w:p>
            <w:pPr>
              <w:pStyle w:val="TableParagraph"/>
              <w:spacing w:before="21"/>
              <w:ind w:left="14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4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4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0"/>
              <w:ind w:left="142"/>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20"/>
              <w:ind w:left="142"/>
              <w:rPr>
                <w:b/>
                <w:sz w:val="21"/>
              </w:rPr>
            </w:pPr>
            <w:r>
              <w:rPr>
                <w:b/>
                <w:sz w:val="21"/>
              </w:rPr>
              <w:t>任何在诊断时已经超越以上阶段的癌症不在本项责任的保障范围内。</w:t>
            </w:r>
          </w:p>
        </w:tc>
      </w:tr>
      <w:tr>
        <w:trPr>
          <w:trHeight w:val="936" w:hRule="atLeast"/>
        </w:trPr>
        <w:tc>
          <w:tcPr>
            <w:tcW w:w="474" w:type="dxa"/>
          </w:tcPr>
          <w:p>
            <w:pPr>
              <w:pStyle w:val="TableParagraph"/>
              <w:spacing w:before="38"/>
              <w:ind w:left="200"/>
              <w:rPr>
                <w:rFonts w:ascii="Times New Roman"/>
                <w:sz w:val="21"/>
              </w:rPr>
            </w:pPr>
            <w:r>
              <w:rPr>
                <w:rFonts w:ascii="Times New Roman"/>
                <w:sz w:val="21"/>
              </w:rPr>
              <w:t>3.</w:t>
            </w:r>
          </w:p>
        </w:tc>
        <w:tc>
          <w:tcPr>
            <w:tcW w:w="2702" w:type="dxa"/>
          </w:tcPr>
          <w:p>
            <w:pPr>
              <w:pStyle w:val="TableParagraph"/>
              <w:spacing w:line="273" w:lineRule="auto"/>
              <w:ind w:left="9" w:right="141"/>
              <w:rPr>
                <w:sz w:val="21"/>
              </w:rPr>
            </w:pPr>
            <w:r>
              <w:rPr>
                <w:sz w:val="21"/>
              </w:rPr>
              <w:t>冠状动脉介入手术（非开胸手术）</w:t>
            </w:r>
          </w:p>
        </w:tc>
        <w:tc>
          <w:tcPr>
            <w:tcW w:w="7232" w:type="dxa"/>
          </w:tcPr>
          <w:p>
            <w:pPr>
              <w:pStyle w:val="TableParagraph"/>
              <w:spacing w:line="273" w:lineRule="auto"/>
              <w:ind w:left="142" w:right="305"/>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6"/>
              <w:ind w:left="142"/>
              <w:rPr>
                <w:sz w:val="21"/>
              </w:rPr>
            </w:pPr>
            <w:r>
              <w:rPr>
                <w:sz w:val="21"/>
              </w:rPr>
              <w:t>术。</w:t>
            </w:r>
          </w:p>
        </w:tc>
      </w:tr>
      <w:tr>
        <w:trPr>
          <w:trHeight w:val="2496" w:hRule="atLeast"/>
        </w:trPr>
        <w:tc>
          <w:tcPr>
            <w:tcW w:w="474" w:type="dxa"/>
          </w:tcPr>
          <w:p>
            <w:pPr>
              <w:pStyle w:val="TableParagraph"/>
              <w:spacing w:before="38"/>
              <w:ind w:left="200"/>
              <w:rPr>
                <w:rFonts w:ascii="Times New Roman"/>
                <w:sz w:val="21"/>
              </w:rPr>
            </w:pPr>
            <w:r>
              <w:rPr>
                <w:rFonts w:ascii="Times New Roman"/>
                <w:sz w:val="21"/>
              </w:rPr>
              <w:t>4.</w:t>
            </w:r>
          </w:p>
        </w:tc>
        <w:tc>
          <w:tcPr>
            <w:tcW w:w="2702" w:type="dxa"/>
          </w:tcPr>
          <w:p>
            <w:pPr>
              <w:pStyle w:val="TableParagraph"/>
              <w:spacing w:line="266" w:lineRule="exact"/>
              <w:ind w:left="9"/>
              <w:rPr>
                <w:sz w:val="21"/>
              </w:rPr>
            </w:pPr>
            <w:r>
              <w:rPr>
                <w:sz w:val="21"/>
              </w:rPr>
              <w:t>轻微脑中风</w:t>
            </w:r>
          </w:p>
        </w:tc>
        <w:tc>
          <w:tcPr>
            <w:tcW w:w="7232" w:type="dxa"/>
          </w:tcPr>
          <w:p>
            <w:pPr>
              <w:pStyle w:val="TableParagraph"/>
              <w:spacing w:line="261" w:lineRule="auto"/>
              <w:ind w:left="142" w:right="301"/>
              <w:jc w:val="both"/>
              <w:rPr>
                <w:sz w:val="21"/>
              </w:rPr>
            </w:pPr>
            <w:r>
              <w:rPr>
                <w:sz w:val="21"/>
              </w:rPr>
              <w:t>指被保险人实际发生了脑血管的突发病变出现神经系统功能障碍表现，头</w:t>
            </w:r>
            <w:r>
              <w:rPr>
                <w:spacing w:val="-5"/>
                <w:w w:val="100"/>
                <w:sz w:val="21"/>
              </w:rPr>
              <w:t>颅断层扫描</w:t>
            </w:r>
            <w:r>
              <w:rPr>
                <w:spacing w:val="-1"/>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9"/>
                <w:w w:val="100"/>
                <w:sz w:val="21"/>
              </w:rPr>
              <w:t>、核磁共振</w:t>
            </w:r>
            <w:r>
              <w:rPr>
                <w:spacing w:val="-1"/>
                <w:w w:val="100"/>
                <w:sz w:val="21"/>
              </w:rPr>
              <w:t>（</w:t>
            </w:r>
            <w:r>
              <w:rPr>
                <w:rFonts w:ascii="Times New Roman" w:hAnsi="Times New Roman" w:eastAsia="Times New Roman"/>
                <w:w w:val="100"/>
                <w:sz w:val="21"/>
              </w:rPr>
              <w:t>MR</w:t>
            </w:r>
            <w:r>
              <w:rPr>
                <w:rFonts w:ascii="Times New Roman" w:hAnsi="Times New Roman" w:eastAsia="Times New Roman"/>
                <w:spacing w:val="-3"/>
                <w:w w:val="100"/>
                <w:sz w:val="21"/>
              </w:rPr>
              <w:t>I</w:t>
            </w:r>
            <w:r>
              <w:rPr>
                <w:spacing w:val="-17"/>
                <w:w w:val="100"/>
                <w:sz w:val="21"/>
              </w:rPr>
              <w:t>）</w:t>
            </w:r>
            <w:r>
              <w:rPr>
                <w:spacing w:val="-5"/>
                <w:w w:val="100"/>
                <w:sz w:val="21"/>
              </w:rPr>
              <w:t>等影像学检查证实存在对应病灶，确</w:t>
            </w:r>
            <w:r>
              <w:rPr>
                <w:spacing w:val="-5"/>
                <w:sz w:val="21"/>
              </w:rPr>
              <w:t>诊为脑出血、脑栓塞或脑梗塞，在确诊 </w:t>
            </w:r>
            <w:r>
              <w:rPr>
                <w:rFonts w:ascii="Times New Roman" w:hAnsi="Times New Roman" w:eastAsia="Times New Roman"/>
                <w:sz w:val="21"/>
              </w:rPr>
              <w:t>180 </w:t>
            </w:r>
            <w:r>
              <w:rPr>
                <w:spacing w:val="-3"/>
                <w:sz w:val="21"/>
              </w:rPr>
              <w:t>天后遗留神经系统功能障碍。</w:t>
            </w:r>
            <w:r>
              <w:rPr>
                <w:spacing w:val="5"/>
                <w:sz w:val="21"/>
              </w:rPr>
              <w:t>后遗的神经系统功能障碍程度未达到重大疾病</w:t>
            </w:r>
            <w:r>
              <w:rPr>
                <w:rFonts w:ascii="Times New Roman" w:hAnsi="Times New Roman" w:eastAsia="Times New Roman"/>
                <w:spacing w:val="5"/>
                <w:sz w:val="21"/>
              </w:rPr>
              <w:t>“</w:t>
            </w:r>
            <w:r>
              <w:rPr>
                <w:spacing w:val="5"/>
                <w:sz w:val="21"/>
              </w:rPr>
              <w:t>脑中风后遗症</w:t>
            </w:r>
            <w:r>
              <w:rPr>
                <w:rFonts w:ascii="Times New Roman" w:hAnsi="Times New Roman" w:eastAsia="Times New Roman"/>
                <w:spacing w:val="7"/>
                <w:sz w:val="21"/>
              </w:rPr>
              <w:t>”</w:t>
            </w:r>
            <w:r>
              <w:rPr>
                <w:spacing w:val="2"/>
                <w:sz w:val="21"/>
              </w:rPr>
              <w:t>的给付标</w:t>
            </w:r>
            <w:r>
              <w:rPr>
                <w:spacing w:val="-3"/>
                <w:sz w:val="21"/>
              </w:rPr>
              <w:t>准，但仍遗留下列一种或一种以上障碍：</w:t>
            </w:r>
          </w:p>
          <w:p>
            <w:pPr>
              <w:pStyle w:val="TableParagraph"/>
              <w:spacing w:before="27"/>
              <w:ind w:left="142"/>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6" w:lineRule="auto" w:before="21"/>
              <w:ind w:left="142" w:right="303"/>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中的两项或两项以上。</w:t>
            </w:r>
          </w:p>
        </w:tc>
      </w:tr>
      <w:tr>
        <w:trPr>
          <w:trHeight w:val="623" w:hRule="atLeast"/>
        </w:trPr>
        <w:tc>
          <w:tcPr>
            <w:tcW w:w="474" w:type="dxa"/>
          </w:tcPr>
          <w:p>
            <w:pPr>
              <w:pStyle w:val="TableParagraph"/>
              <w:spacing w:before="38"/>
              <w:ind w:left="200"/>
              <w:rPr>
                <w:rFonts w:ascii="Times New Roman"/>
                <w:sz w:val="21"/>
              </w:rPr>
            </w:pPr>
            <w:r>
              <w:rPr>
                <w:rFonts w:ascii="Times New Roman"/>
                <w:sz w:val="21"/>
              </w:rPr>
              <w:t>5.</w:t>
            </w:r>
          </w:p>
        </w:tc>
        <w:tc>
          <w:tcPr>
            <w:tcW w:w="2702" w:type="dxa"/>
          </w:tcPr>
          <w:p>
            <w:pPr>
              <w:pStyle w:val="TableParagraph"/>
              <w:spacing w:line="266" w:lineRule="exact"/>
              <w:ind w:left="9"/>
              <w:rPr>
                <w:sz w:val="21"/>
              </w:rPr>
            </w:pPr>
            <w:r>
              <w:rPr>
                <w:sz w:val="21"/>
              </w:rPr>
              <w:t>心脏瓣膜介入手术（非开胸</w:t>
            </w:r>
          </w:p>
          <w:p>
            <w:pPr>
              <w:pStyle w:val="TableParagraph"/>
              <w:spacing w:before="37"/>
              <w:ind w:left="9"/>
              <w:rPr>
                <w:sz w:val="21"/>
              </w:rPr>
            </w:pPr>
            <w:r>
              <w:rPr>
                <w:sz w:val="21"/>
              </w:rPr>
              <w:t>手术）</w:t>
            </w:r>
          </w:p>
        </w:tc>
        <w:tc>
          <w:tcPr>
            <w:tcW w:w="7232" w:type="dxa"/>
          </w:tcPr>
          <w:p>
            <w:pPr>
              <w:pStyle w:val="TableParagraph"/>
              <w:spacing w:line="266" w:lineRule="exact"/>
              <w:ind w:left="142"/>
              <w:rPr>
                <w:sz w:val="21"/>
              </w:rPr>
            </w:pPr>
            <w:r>
              <w:rPr>
                <w:sz w:val="21"/>
              </w:rPr>
              <w:t>为了治疗心脏瓣膜疾病，被保险人实际接受了非开胸的经胸壁打孔内镜手</w:t>
            </w:r>
          </w:p>
          <w:p>
            <w:pPr>
              <w:pStyle w:val="TableParagraph"/>
              <w:spacing w:before="37"/>
              <w:ind w:left="142"/>
              <w:rPr>
                <w:sz w:val="21"/>
              </w:rPr>
            </w:pPr>
            <w:r>
              <w:rPr>
                <w:sz w:val="21"/>
              </w:rPr>
              <w:t>术或经皮经导管介入手术进行的心脏瓣膜置换或修复手术。</w:t>
            </w:r>
          </w:p>
        </w:tc>
      </w:tr>
      <w:tr>
        <w:trPr>
          <w:trHeight w:val="1568" w:hRule="atLeast"/>
        </w:trPr>
        <w:tc>
          <w:tcPr>
            <w:tcW w:w="474" w:type="dxa"/>
          </w:tcPr>
          <w:p>
            <w:pPr>
              <w:pStyle w:val="TableParagraph"/>
              <w:spacing w:before="38"/>
              <w:ind w:left="200"/>
              <w:rPr>
                <w:rFonts w:ascii="Times New Roman"/>
                <w:sz w:val="21"/>
              </w:rPr>
            </w:pPr>
            <w:r>
              <w:rPr>
                <w:rFonts w:ascii="Times New Roman"/>
                <w:sz w:val="21"/>
              </w:rPr>
              <w:t>6.</w:t>
            </w:r>
          </w:p>
        </w:tc>
        <w:tc>
          <w:tcPr>
            <w:tcW w:w="2702" w:type="dxa"/>
          </w:tcPr>
          <w:p>
            <w:pPr>
              <w:pStyle w:val="TableParagraph"/>
              <w:spacing w:line="273" w:lineRule="auto"/>
              <w:ind w:left="9" w:right="141"/>
              <w:rPr>
                <w:sz w:val="21"/>
              </w:rPr>
            </w:pPr>
            <w:r>
              <w:rPr>
                <w:sz w:val="21"/>
              </w:rPr>
              <w:t>脑垂体瘤、脑囊肿、脑动脉瘤、脑血管瘤</w:t>
            </w:r>
          </w:p>
        </w:tc>
        <w:tc>
          <w:tcPr>
            <w:tcW w:w="7232" w:type="dxa"/>
          </w:tcPr>
          <w:p>
            <w:pPr>
              <w:pStyle w:val="TableParagraph"/>
              <w:spacing w:line="256" w:lineRule="auto"/>
              <w:ind w:left="142" w:right="301"/>
              <w:rPr>
                <w:sz w:val="21"/>
              </w:rPr>
            </w:pPr>
            <w:r>
              <w:rPr>
                <w:spacing w:val="-5"/>
                <w:w w:val="100"/>
                <w:sz w:val="21"/>
              </w:rPr>
              <w:t>指被保险人经头颅断层扫描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0"/>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20"/>
                <w:w w:val="100"/>
                <w:sz w:val="21"/>
              </w:rPr>
              <w:t>）</w:t>
            </w:r>
            <w:r>
              <w:rPr>
                <w:spacing w:val="-3"/>
                <w:w w:val="100"/>
                <w:sz w:val="21"/>
              </w:rPr>
              <w:t>或其他影像学检查被</w:t>
            </w:r>
            <w:r>
              <w:rPr>
                <w:spacing w:val="-3"/>
                <w:sz w:val="21"/>
              </w:rPr>
              <w:t>确诊为下列病变，并实际接受了手术或放射治疗。</w:t>
            </w:r>
          </w:p>
          <w:p>
            <w:pPr>
              <w:pStyle w:val="TableParagraph"/>
              <w:spacing w:before="31"/>
              <w:ind w:left="142"/>
              <w:rPr>
                <w:sz w:val="21"/>
              </w:rPr>
            </w:pPr>
            <w:r>
              <w:rPr>
                <w:sz w:val="21"/>
              </w:rPr>
              <w:t>（</w:t>
            </w:r>
            <w:r>
              <w:rPr>
                <w:rFonts w:ascii="Times New Roman" w:eastAsia="Times New Roman"/>
                <w:sz w:val="21"/>
              </w:rPr>
              <w:t>1</w:t>
            </w:r>
            <w:r>
              <w:rPr>
                <w:sz w:val="21"/>
              </w:rPr>
              <w:t>）脑垂体瘤；</w:t>
            </w:r>
          </w:p>
          <w:p>
            <w:pPr>
              <w:pStyle w:val="TableParagraph"/>
              <w:spacing w:before="21"/>
              <w:ind w:left="142"/>
              <w:rPr>
                <w:sz w:val="21"/>
              </w:rPr>
            </w:pPr>
            <w:r>
              <w:rPr>
                <w:sz w:val="21"/>
              </w:rPr>
              <w:t>（</w:t>
            </w:r>
            <w:r>
              <w:rPr>
                <w:rFonts w:ascii="Times New Roman" w:eastAsia="Times New Roman"/>
                <w:sz w:val="21"/>
              </w:rPr>
              <w:t>2</w:t>
            </w:r>
            <w:r>
              <w:rPr>
                <w:sz w:val="21"/>
              </w:rPr>
              <w:t>）脑囊肿；</w:t>
            </w:r>
          </w:p>
          <w:p>
            <w:pPr>
              <w:pStyle w:val="TableParagraph"/>
              <w:spacing w:before="21"/>
              <w:ind w:left="142"/>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30"/>
              <w:ind w:left="200"/>
              <w:rPr>
                <w:rFonts w:ascii="Times New Roman"/>
                <w:sz w:val="21"/>
              </w:rPr>
            </w:pPr>
            <w:r>
              <w:rPr>
                <w:rFonts w:ascii="Times New Roman"/>
                <w:sz w:val="21"/>
              </w:rPr>
              <w:t>7.</w:t>
            </w:r>
          </w:p>
        </w:tc>
        <w:tc>
          <w:tcPr>
            <w:tcW w:w="2702" w:type="dxa"/>
          </w:tcPr>
          <w:p>
            <w:pPr>
              <w:pStyle w:val="TableParagraph"/>
              <w:spacing w:line="258" w:lineRule="exact"/>
              <w:ind w:left="9"/>
              <w:rPr>
                <w:sz w:val="21"/>
              </w:rPr>
            </w:pPr>
            <w:r>
              <w:rPr>
                <w:sz w:val="21"/>
              </w:rPr>
              <w:t>重症头部外伤</w:t>
            </w:r>
          </w:p>
        </w:tc>
        <w:tc>
          <w:tcPr>
            <w:tcW w:w="7232" w:type="dxa"/>
          </w:tcPr>
          <w:p>
            <w:pPr>
              <w:pStyle w:val="TableParagraph"/>
              <w:spacing w:line="274" w:lineRule="exact"/>
              <w:ind w:left="142"/>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56" w:lineRule="auto" w:before="21"/>
              <w:ind w:left="142" w:right="301"/>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6"/>
                <w:sz w:val="21"/>
              </w:rPr>
              <w:t>像学检查证实。头部外伤导致神经系统功能障碍，未达到重大疾病</w:t>
            </w:r>
            <w:r>
              <w:rPr>
                <w:rFonts w:ascii="Times New Roman" w:hAnsi="Times New Roman" w:eastAsia="Times New Roman"/>
                <w:sz w:val="21"/>
              </w:rPr>
              <w:t>“</w:t>
            </w:r>
            <w:r>
              <w:rPr>
                <w:spacing w:val="-2"/>
                <w:sz w:val="21"/>
              </w:rPr>
              <w:t>严重脑损伤</w:t>
            </w:r>
            <w:r>
              <w:rPr>
                <w:rFonts w:ascii="Times New Roman" w:hAnsi="Times New Roman" w:eastAsia="Times New Roman"/>
                <w:spacing w:val="-3"/>
                <w:sz w:val="21"/>
              </w:rPr>
              <w:t>”</w:t>
            </w:r>
            <w:r>
              <w:rPr>
                <w:spacing w:val="-3"/>
                <w:sz w:val="21"/>
              </w:rPr>
              <w:t>的给付标准，但是符合以下条件之一：</w:t>
            </w:r>
          </w:p>
          <w:p>
            <w:pPr>
              <w:pStyle w:val="TableParagraph"/>
              <w:spacing w:before="4"/>
              <w:ind w:left="142"/>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0"/>
              <w:ind w:left="142" w:right="301"/>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级以下</w:t>
            </w:r>
            <w:r>
              <w:rPr>
                <w:spacing w:val="-3"/>
                <w:sz w:val="21"/>
              </w:rPr>
              <w:t>的运动功能障碍。</w:t>
            </w:r>
          </w:p>
        </w:tc>
      </w:tr>
      <w:tr>
        <w:trPr>
          <w:trHeight w:val="632" w:hRule="atLeast"/>
        </w:trPr>
        <w:tc>
          <w:tcPr>
            <w:tcW w:w="474" w:type="dxa"/>
          </w:tcPr>
          <w:p>
            <w:pPr>
              <w:pStyle w:val="TableParagraph"/>
              <w:spacing w:before="38"/>
              <w:ind w:left="200"/>
              <w:rPr>
                <w:rFonts w:ascii="Times New Roman"/>
                <w:sz w:val="21"/>
              </w:rPr>
            </w:pPr>
            <w:r>
              <w:rPr>
                <w:rFonts w:ascii="Times New Roman"/>
                <w:sz w:val="21"/>
              </w:rPr>
              <w:t>8.</w:t>
            </w:r>
          </w:p>
        </w:tc>
        <w:tc>
          <w:tcPr>
            <w:tcW w:w="2702" w:type="dxa"/>
          </w:tcPr>
          <w:p>
            <w:pPr>
              <w:pStyle w:val="TableParagraph"/>
              <w:spacing w:line="266" w:lineRule="exact"/>
              <w:ind w:left="9"/>
              <w:rPr>
                <w:sz w:val="21"/>
              </w:rPr>
            </w:pPr>
            <w:r>
              <w:rPr>
                <w:sz w:val="21"/>
              </w:rPr>
              <w:t>特定面积Ⅲ度烧伤</w:t>
            </w:r>
          </w:p>
        </w:tc>
        <w:tc>
          <w:tcPr>
            <w:tcW w:w="7232" w:type="dxa"/>
          </w:tcPr>
          <w:p>
            <w:pPr>
              <w:pStyle w:val="TableParagraph"/>
              <w:spacing w:line="256" w:lineRule="auto"/>
              <w:ind w:left="142" w:right="291"/>
              <w:rPr>
                <w:sz w:val="21"/>
              </w:rPr>
            </w:pPr>
            <w:r>
              <w:rPr>
                <w:spacing w:val="-5"/>
                <w:sz w:val="21"/>
              </w:rPr>
              <w:t>指烧伤程度为Ⅲ度，且Ⅲ度烧伤面积为全身体表面积的 </w:t>
            </w:r>
            <w:r>
              <w:rPr>
                <w:rFonts w:ascii="Times New Roman" w:hAnsi="Times New Roman" w:eastAsia="Times New Roman"/>
                <w:sz w:val="21"/>
              </w:rPr>
              <w:t>10</w:t>
            </w:r>
            <w:r>
              <w:rPr>
                <w:spacing w:val="-14"/>
                <w:sz w:val="21"/>
              </w:rPr>
              <w:t>％或 </w:t>
            </w:r>
            <w:r>
              <w:rPr>
                <w:rFonts w:ascii="Times New Roman" w:hAnsi="Times New Roman" w:eastAsia="Times New Roman"/>
                <w:sz w:val="21"/>
              </w:rPr>
              <w:t>10%</w:t>
            </w:r>
            <w:r>
              <w:rPr>
                <w:spacing w:val="-2"/>
                <w:sz w:val="21"/>
              </w:rPr>
              <w:t>以上， </w:t>
            </w:r>
            <w:r>
              <w:rPr>
                <w:spacing w:val="-7"/>
                <w:sz w:val="21"/>
              </w:rPr>
              <w:t>但尚未达到 </w:t>
            </w:r>
            <w:r>
              <w:rPr>
                <w:rFonts w:ascii="Times New Roman" w:hAnsi="Times New Roman" w:eastAsia="Times New Roman"/>
                <w:sz w:val="21"/>
              </w:rPr>
              <w:t>20%</w:t>
            </w:r>
            <w:r>
              <w:rPr>
                <w:spacing w:val="-3"/>
                <w:sz w:val="21"/>
              </w:rPr>
              <w:t>。体表面积根据《中国新九分法》计算。</w:t>
            </w:r>
          </w:p>
        </w:tc>
      </w:tr>
      <w:tr>
        <w:trPr>
          <w:trHeight w:val="599" w:hRule="atLeast"/>
        </w:trPr>
        <w:tc>
          <w:tcPr>
            <w:tcW w:w="474" w:type="dxa"/>
          </w:tcPr>
          <w:p>
            <w:pPr>
              <w:pStyle w:val="TableParagraph"/>
              <w:spacing w:before="30"/>
              <w:ind w:left="200"/>
              <w:rPr>
                <w:rFonts w:ascii="Times New Roman"/>
                <w:sz w:val="21"/>
              </w:rPr>
            </w:pPr>
            <w:r>
              <w:rPr>
                <w:rFonts w:ascii="Times New Roman"/>
                <w:sz w:val="21"/>
              </w:rPr>
              <w:t>9.</w:t>
            </w:r>
          </w:p>
        </w:tc>
        <w:tc>
          <w:tcPr>
            <w:tcW w:w="2702" w:type="dxa"/>
          </w:tcPr>
          <w:p>
            <w:pPr>
              <w:pStyle w:val="TableParagraph"/>
              <w:spacing w:line="258" w:lineRule="exact"/>
              <w:ind w:left="9"/>
              <w:rPr>
                <w:sz w:val="21"/>
              </w:rPr>
            </w:pPr>
            <w:r>
              <w:rPr>
                <w:sz w:val="21"/>
              </w:rPr>
              <w:t>主动脉介入手术</w:t>
            </w:r>
          </w:p>
        </w:tc>
        <w:tc>
          <w:tcPr>
            <w:tcW w:w="7232" w:type="dxa"/>
          </w:tcPr>
          <w:p>
            <w:pPr>
              <w:pStyle w:val="TableParagraph"/>
              <w:spacing w:line="258" w:lineRule="exact"/>
              <w:ind w:left="142"/>
              <w:rPr>
                <w:sz w:val="21"/>
              </w:rPr>
            </w:pPr>
            <w:r>
              <w:rPr>
                <w:sz w:val="21"/>
              </w:rPr>
              <w:t>指为治疗主动脉疾病实际实施了经皮经导管进行的动脉内手术。主动脉指</w:t>
            </w:r>
          </w:p>
          <w:p>
            <w:pPr>
              <w:pStyle w:val="TableParagraph"/>
              <w:spacing w:before="37"/>
              <w:ind w:left="142"/>
              <w:rPr>
                <w:b/>
                <w:sz w:val="21"/>
              </w:rPr>
            </w:pPr>
            <w:r>
              <w:rPr>
                <w:sz w:val="21"/>
              </w:rPr>
              <w:t>胸主动脉和腹主动脉，但</w:t>
            </w:r>
            <w:r>
              <w:rPr>
                <w:b/>
                <w:sz w:val="21"/>
              </w:rPr>
              <w:t>不包括胸主动脉和腹主动脉的分支血管。</w:t>
            </w:r>
          </w:p>
        </w:tc>
      </w:tr>
      <w:tr>
        <w:trPr>
          <w:trHeight w:val="1531" w:hRule="atLeast"/>
        </w:trPr>
        <w:tc>
          <w:tcPr>
            <w:tcW w:w="474" w:type="dxa"/>
          </w:tcPr>
          <w:p>
            <w:pPr>
              <w:pStyle w:val="TableParagraph"/>
              <w:spacing w:before="55"/>
              <w:ind w:left="200"/>
              <w:rPr>
                <w:rFonts w:ascii="Times New Roman"/>
                <w:sz w:val="21"/>
              </w:rPr>
            </w:pPr>
            <w:r>
              <w:rPr>
                <w:rFonts w:ascii="Times New Roman"/>
                <w:sz w:val="21"/>
              </w:rPr>
              <w:t>10.</w:t>
            </w:r>
          </w:p>
        </w:tc>
        <w:tc>
          <w:tcPr>
            <w:tcW w:w="2702" w:type="dxa"/>
          </w:tcPr>
          <w:p>
            <w:pPr>
              <w:pStyle w:val="TableParagraph"/>
              <w:spacing w:before="8"/>
              <w:ind w:left="9"/>
              <w:rPr>
                <w:sz w:val="21"/>
              </w:rPr>
            </w:pPr>
            <w:r>
              <w:rPr>
                <w:sz w:val="21"/>
              </w:rPr>
              <w:t>视力严重受损</w:t>
            </w:r>
          </w:p>
        </w:tc>
        <w:tc>
          <w:tcPr>
            <w:tcW w:w="7232" w:type="dxa"/>
          </w:tcPr>
          <w:p>
            <w:pPr>
              <w:pStyle w:val="TableParagraph"/>
              <w:spacing w:line="256" w:lineRule="auto" w:before="8"/>
              <w:ind w:left="142" w:right="303"/>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23</w:t>
            </w:r>
            <w:r>
              <w:rPr>
                <w:rFonts w:ascii="Times New Roman" w:hAnsi="Times New Roman" w:eastAsia="Times New Roman"/>
                <w:b/>
                <w:sz w:val="21"/>
                <w:vertAlign w:val="baseline"/>
              </w:rPr>
            </w:r>
            <w:r>
              <w:rPr>
                <w:spacing w:val="-12"/>
                <w:sz w:val="21"/>
                <w:vertAlign w:val="baseline"/>
              </w:rPr>
              <w:t>性丧失，未达到本附加合</w:t>
            </w:r>
            <w:r>
              <w:rPr>
                <w:spacing w:val="-6"/>
                <w:sz w:val="21"/>
                <w:vertAlign w:val="baseline"/>
              </w:rPr>
              <w:t>同所指重大疾病“双目失明</w:t>
            </w:r>
            <w:r>
              <w:rPr>
                <w:rFonts w:ascii="Times New Roman" w:hAnsi="Times New Roman" w:eastAsia="Times New Roman"/>
                <w:spacing w:val="-4"/>
                <w:sz w:val="21"/>
                <w:vertAlign w:val="baseline"/>
              </w:rPr>
              <w:t>-</w:t>
            </w:r>
            <w:r>
              <w:rPr>
                <w:spacing w:val="-4"/>
                <w:sz w:val="21"/>
                <w:vertAlign w:val="baseline"/>
              </w:rPr>
              <w:t>三岁始理赔”的给付标准，但须满足下列全部条件：</w:t>
            </w:r>
          </w:p>
          <w:p>
            <w:pPr>
              <w:pStyle w:val="TableParagraph"/>
              <w:spacing w:line="290" w:lineRule="atLeast" w:before="22"/>
              <w:ind w:left="142" w:right="301"/>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tc>
      </w:tr>
    </w:tbl>
    <w:p>
      <w:pPr>
        <w:pStyle w:val="BodyText"/>
        <w:rPr>
          <w:rFonts w:ascii="楷体"/>
          <w:sz w:val="20"/>
        </w:rPr>
      </w:pPr>
    </w:p>
    <w:p>
      <w:pPr>
        <w:pStyle w:val="BodyText"/>
        <w:spacing w:before="2"/>
        <w:rPr>
          <w:rFonts w:ascii="楷体"/>
          <w:sz w:val="13"/>
        </w:rPr>
      </w:pPr>
      <w:r>
        <w:rPr/>
        <w:pict>
          <v:line style="position:absolute;mso-position-horizontal-relative:page;mso-position-vertical-relative:paragraph;z-index:1168;mso-wrap-distance-left:0;mso-wrap-distance-right:0" from="53.880001pt,10.854917pt" to="197.930001pt,10.854917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92"/>
        <w:rPr>
          <w:rFonts w:ascii="楷体" w:eastAsia="楷体" w:hint="eastAsia"/>
        </w:rPr>
      </w:pPr>
      <w:r>
        <w:rPr>
          <w:rFonts w:ascii="Times New Roman" w:eastAsia="Times New Roman"/>
          <w:position w:val="10"/>
          <w:sz w:val="14"/>
        </w:rPr>
        <w:t>23</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584"/>
        <w:gridCol w:w="7247"/>
      </w:tblGrid>
      <w:tr>
        <w:trPr>
          <w:trHeight w:val="888" w:hRule="atLeast"/>
        </w:trPr>
        <w:tc>
          <w:tcPr>
            <w:tcW w:w="474" w:type="dxa"/>
          </w:tcPr>
          <w:p>
            <w:pPr>
              <w:pStyle w:val="TableParagraph"/>
              <w:ind w:left="0"/>
              <w:rPr>
                <w:rFonts w:ascii="Times New Roman"/>
                <w:sz w:val="20"/>
              </w:rPr>
            </w:pPr>
          </w:p>
        </w:tc>
        <w:tc>
          <w:tcPr>
            <w:tcW w:w="2584" w:type="dxa"/>
          </w:tcPr>
          <w:p>
            <w:pPr>
              <w:pStyle w:val="TableParagraph"/>
              <w:ind w:left="0"/>
              <w:rPr>
                <w:rFonts w:ascii="Times New Roman"/>
                <w:sz w:val="20"/>
              </w:rPr>
            </w:pPr>
          </w:p>
        </w:tc>
        <w:tc>
          <w:tcPr>
            <w:tcW w:w="7247" w:type="dxa"/>
          </w:tcPr>
          <w:p>
            <w:pPr>
              <w:pStyle w:val="TableParagraph"/>
              <w:spacing w:line="234" w:lineRule="exact"/>
              <w:ind w:left="260"/>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7"/>
              <w:ind w:left="260" w:right="206"/>
              <w:rPr>
                <w:b/>
                <w:sz w:val="21"/>
              </w:rPr>
            </w:pPr>
            <w:r>
              <w:rPr>
                <w:b/>
                <w:sz w:val="21"/>
              </w:rPr>
              <w:t>被保险人申请理赔时年龄必须在三周岁以上，并且提供理赔当时的视力丧失诊断及检查证据。</w:t>
            </w:r>
          </w:p>
        </w:tc>
      </w:tr>
      <w:tr>
        <w:trPr>
          <w:trHeight w:val="1248" w:hRule="atLeast"/>
        </w:trPr>
        <w:tc>
          <w:tcPr>
            <w:tcW w:w="474" w:type="dxa"/>
          </w:tcPr>
          <w:p>
            <w:pPr>
              <w:pStyle w:val="TableParagraph"/>
              <w:spacing w:before="38"/>
              <w:ind w:left="0" w:right="15"/>
              <w:jc w:val="right"/>
              <w:rPr>
                <w:rFonts w:ascii="Times New Roman"/>
                <w:sz w:val="21"/>
              </w:rPr>
            </w:pPr>
            <w:r>
              <w:rPr>
                <w:rFonts w:ascii="Times New Roman"/>
                <w:sz w:val="21"/>
              </w:rPr>
              <w:t>11.</w:t>
            </w:r>
          </w:p>
        </w:tc>
        <w:tc>
          <w:tcPr>
            <w:tcW w:w="2584" w:type="dxa"/>
          </w:tcPr>
          <w:p>
            <w:pPr>
              <w:pStyle w:val="TableParagraph"/>
              <w:spacing w:line="266" w:lineRule="exact"/>
              <w:ind w:left="9"/>
              <w:rPr>
                <w:sz w:val="21"/>
              </w:rPr>
            </w:pPr>
            <w:r>
              <w:rPr>
                <w:sz w:val="21"/>
              </w:rPr>
              <w:t>听力严重受损</w:t>
            </w:r>
          </w:p>
        </w:tc>
        <w:tc>
          <w:tcPr>
            <w:tcW w:w="7247" w:type="dxa"/>
          </w:tcPr>
          <w:p>
            <w:pPr>
              <w:pStyle w:val="TableParagraph"/>
              <w:spacing w:line="282" w:lineRule="exact"/>
              <w:ind w:left="260"/>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64" w:lineRule="auto" w:before="21"/>
              <w:ind w:left="260" w:right="203"/>
              <w:rPr>
                <w:b/>
                <w:sz w:val="21"/>
              </w:rPr>
            </w:pP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分贝，且经纯音听力测试声导抗检测或听觉诱发电位检测等证实。</w:t>
            </w:r>
            <w:r>
              <w:rPr>
                <w:b/>
                <w:spacing w:val="-7"/>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left="0" w:right="9"/>
              <w:jc w:val="right"/>
              <w:rPr>
                <w:rFonts w:ascii="Times New Roman"/>
                <w:sz w:val="21"/>
              </w:rPr>
            </w:pPr>
            <w:r>
              <w:rPr>
                <w:rFonts w:ascii="Times New Roman"/>
                <w:sz w:val="21"/>
              </w:rPr>
              <w:t>12.</w:t>
            </w:r>
          </w:p>
        </w:tc>
        <w:tc>
          <w:tcPr>
            <w:tcW w:w="2584" w:type="dxa"/>
          </w:tcPr>
          <w:p>
            <w:pPr>
              <w:pStyle w:val="TableParagraph"/>
              <w:spacing w:line="266" w:lineRule="exact"/>
              <w:ind w:left="9"/>
              <w:rPr>
                <w:sz w:val="21"/>
              </w:rPr>
            </w:pPr>
            <w:r>
              <w:rPr>
                <w:sz w:val="21"/>
              </w:rPr>
              <w:t>单肢缺失</w:t>
            </w:r>
          </w:p>
        </w:tc>
        <w:tc>
          <w:tcPr>
            <w:tcW w:w="7247" w:type="dxa"/>
          </w:tcPr>
          <w:p>
            <w:pPr>
              <w:pStyle w:val="TableParagraph"/>
              <w:spacing w:line="266" w:lineRule="exact"/>
              <w:ind w:left="260"/>
              <w:rPr>
                <w:b/>
                <w:sz w:val="21"/>
              </w:rPr>
            </w:pPr>
            <w:r>
              <w:rPr>
                <w:sz w:val="21"/>
              </w:rPr>
              <w:t>因疾病或意外导致单肢已断离并且不可接回，</w:t>
            </w:r>
            <w:r>
              <w:rPr>
                <w:b/>
                <w:sz w:val="21"/>
              </w:rPr>
              <w:t>但断肢必须是在膝部或肘部</w:t>
            </w:r>
          </w:p>
          <w:p>
            <w:pPr>
              <w:pStyle w:val="TableParagraph"/>
              <w:spacing w:before="37"/>
              <w:ind w:left="260"/>
              <w:rPr>
                <w:b/>
                <w:sz w:val="21"/>
              </w:rPr>
            </w:pPr>
            <w:r>
              <w:rPr>
                <w:b/>
                <w:sz w:val="21"/>
              </w:rPr>
              <w:t>以上。</w:t>
            </w:r>
          </w:p>
        </w:tc>
      </w:tr>
      <w:tr>
        <w:trPr>
          <w:trHeight w:val="1872" w:hRule="atLeast"/>
        </w:trPr>
        <w:tc>
          <w:tcPr>
            <w:tcW w:w="474" w:type="dxa"/>
          </w:tcPr>
          <w:p>
            <w:pPr>
              <w:pStyle w:val="TableParagraph"/>
              <w:spacing w:before="38"/>
              <w:ind w:left="0" w:right="9"/>
              <w:jc w:val="right"/>
              <w:rPr>
                <w:rFonts w:ascii="Times New Roman"/>
                <w:sz w:val="21"/>
              </w:rPr>
            </w:pPr>
            <w:r>
              <w:rPr>
                <w:rFonts w:ascii="Times New Roman"/>
                <w:sz w:val="21"/>
              </w:rPr>
              <w:t>13.</w:t>
            </w:r>
          </w:p>
        </w:tc>
        <w:tc>
          <w:tcPr>
            <w:tcW w:w="2584" w:type="dxa"/>
          </w:tcPr>
          <w:p>
            <w:pPr>
              <w:pStyle w:val="TableParagraph"/>
              <w:spacing w:line="266" w:lineRule="exact"/>
              <w:ind w:left="9"/>
              <w:rPr>
                <w:sz w:val="21"/>
              </w:rPr>
            </w:pPr>
            <w:r>
              <w:rPr>
                <w:sz w:val="21"/>
              </w:rPr>
              <w:t>心脏起搏器或除颤器植入</w:t>
            </w:r>
          </w:p>
        </w:tc>
        <w:tc>
          <w:tcPr>
            <w:tcW w:w="7247" w:type="dxa"/>
          </w:tcPr>
          <w:p>
            <w:pPr>
              <w:pStyle w:val="TableParagraph"/>
              <w:spacing w:line="273" w:lineRule="auto"/>
              <w:ind w:left="260" w:right="202"/>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260"/>
              <w:rPr>
                <w:b/>
                <w:sz w:val="21"/>
              </w:rPr>
            </w:pPr>
            <w:r>
              <w:rPr>
                <w:b/>
                <w:sz w:val="21"/>
              </w:rPr>
              <w:t>若被保险人因同一原因导致其同时满足本附加合同重大疾病严重 </w:t>
            </w:r>
            <w:r>
              <w:rPr>
                <w:rFonts w:ascii="Times New Roman" w:eastAsia="Times New Roman"/>
                <w:b/>
                <w:sz w:val="21"/>
              </w:rPr>
              <w:t>1 </w:t>
            </w:r>
            <w:r>
              <w:rPr>
                <w:b/>
                <w:sz w:val="21"/>
              </w:rPr>
              <w:t>型糖尿</w:t>
            </w:r>
          </w:p>
          <w:p>
            <w:pPr>
              <w:pStyle w:val="TableParagraph"/>
              <w:spacing w:line="256" w:lineRule="auto" w:before="20"/>
              <w:ind w:left="260" w:right="202"/>
              <w:jc w:val="both"/>
              <w:rPr>
                <w:b/>
                <w:sz w:val="21"/>
              </w:rPr>
            </w:pPr>
            <w:r>
              <w:rPr>
                <w:b/>
                <w:spacing w:val="-4"/>
                <w:sz w:val="21"/>
              </w:rPr>
              <w:t>病和心脏起搏器或除颤器植入手术的，仅按重大疾病严重 </w:t>
            </w:r>
            <w:r>
              <w:rPr>
                <w:rFonts w:ascii="Times New Roman" w:eastAsia="Times New Roman"/>
                <w:b/>
                <w:sz w:val="21"/>
              </w:rPr>
              <w:t>1 </w:t>
            </w:r>
            <w:r>
              <w:rPr>
                <w:b/>
                <w:sz w:val="21"/>
              </w:rPr>
              <w:t>型糖尿病一项给付。</w:t>
            </w:r>
          </w:p>
        </w:tc>
      </w:tr>
      <w:tr>
        <w:trPr>
          <w:trHeight w:val="578" w:hRule="atLeast"/>
        </w:trPr>
        <w:tc>
          <w:tcPr>
            <w:tcW w:w="474" w:type="dxa"/>
          </w:tcPr>
          <w:p>
            <w:pPr>
              <w:pStyle w:val="TableParagraph"/>
              <w:spacing w:before="38"/>
              <w:ind w:left="0" w:right="9"/>
              <w:jc w:val="right"/>
              <w:rPr>
                <w:rFonts w:ascii="Times New Roman"/>
                <w:sz w:val="21"/>
              </w:rPr>
            </w:pPr>
            <w:r>
              <w:rPr>
                <w:rFonts w:ascii="Times New Roman"/>
                <w:sz w:val="21"/>
              </w:rPr>
              <w:t>14.</w:t>
            </w:r>
          </w:p>
        </w:tc>
        <w:tc>
          <w:tcPr>
            <w:tcW w:w="2584" w:type="dxa"/>
          </w:tcPr>
          <w:p>
            <w:pPr>
              <w:pStyle w:val="TableParagraph"/>
              <w:spacing w:line="266" w:lineRule="exact"/>
              <w:ind w:left="9"/>
              <w:rPr>
                <w:sz w:val="21"/>
              </w:rPr>
            </w:pPr>
            <w:r>
              <w:rPr>
                <w:sz w:val="21"/>
              </w:rPr>
              <w:t>轻度颅脑手术</w:t>
            </w:r>
          </w:p>
        </w:tc>
        <w:tc>
          <w:tcPr>
            <w:tcW w:w="7247" w:type="dxa"/>
          </w:tcPr>
          <w:p>
            <w:pPr>
              <w:pStyle w:val="TableParagraph"/>
              <w:spacing w:line="266" w:lineRule="exact"/>
              <w:ind w:left="260"/>
              <w:rPr>
                <w:b/>
                <w:sz w:val="21"/>
              </w:rPr>
            </w:pPr>
            <w:r>
              <w:rPr>
                <w:sz w:val="21"/>
              </w:rPr>
              <w:t>被保险人确已实施全麻下的颅骨钻孔手术或经鼻蝶窦入颅手术。</w:t>
            </w:r>
            <w:r>
              <w:rPr>
                <w:b/>
                <w:sz w:val="21"/>
              </w:rPr>
              <w:t>因外伤而</w:t>
            </w:r>
          </w:p>
          <w:p>
            <w:pPr>
              <w:pStyle w:val="TableParagraph"/>
              <w:spacing w:line="255" w:lineRule="exact" w:before="37"/>
              <w:ind w:left="260"/>
              <w:rPr>
                <w:b/>
                <w:sz w:val="21"/>
              </w:rPr>
            </w:pPr>
            <w:r>
              <w:rPr>
                <w:b/>
                <w:sz w:val="21"/>
              </w:rPr>
              <w:t>实施的脑外科手术不在保障范围内。</w:t>
            </w:r>
          </w:p>
        </w:tc>
      </w:tr>
    </w:tbl>
    <w:p>
      <w:pPr>
        <w:pStyle w:val="BodyText"/>
        <w:spacing w:before="3"/>
        <w:rPr>
          <w:rFonts w:ascii="楷体"/>
          <w:sz w:val="24"/>
        </w:rPr>
      </w:pPr>
    </w:p>
    <w:p>
      <w:pPr>
        <w:pStyle w:val="Heading2"/>
        <w:tabs>
          <w:tab w:pos="1397" w:val="left" w:leader="none"/>
        </w:tabs>
        <w:spacing w:before="36"/>
        <w:ind w:left="317"/>
      </w:pPr>
      <w:bookmarkStart w:name="_bookmark22" w:id="23"/>
      <w:bookmarkEnd w:id="23"/>
      <w:r>
        <w:rPr>
          <w:b w:val="0"/>
        </w:rPr>
      </w:r>
      <w:r>
        <w:rPr/>
        <w:t>第十七条</w:t>
        <w:tab/>
        <w:t>重大疾病的种类及</w:t>
      </w:r>
      <w:r>
        <w:rPr>
          <w:spacing w:val="-3"/>
        </w:rPr>
        <w:t>定</w:t>
      </w:r>
      <w:r>
        <w:rPr/>
        <w:t>义</w:t>
      </w:r>
    </w:p>
    <w:p>
      <w:pPr>
        <w:pStyle w:val="BodyText"/>
        <w:spacing w:line="273" w:lineRule="auto" w:before="36"/>
        <w:ind w:left="317" w:right="319" w:firstLine="420"/>
      </w:pPr>
      <w:r>
        <w:rPr/>
        <w:t>本附加合同所保障的重大疾病，是指被保险人经专科医生明确诊断初次发生下列疾病或初次达到下列疾病状态或在医院初次接受下列手术。</w:t>
      </w:r>
    </w:p>
    <w:p>
      <w:pPr>
        <w:pStyle w:val="BodyText"/>
        <w:spacing w:line="256" w:lineRule="auto" w:before="7"/>
        <w:ind w:left="317" w:right="314" w:firstLine="420"/>
      </w:pPr>
      <w:r>
        <w:rPr>
          <w:spacing w:val="-7"/>
        </w:rPr>
        <w:t>本附加合同所保障的重大疾病共 </w:t>
      </w:r>
      <w:r>
        <w:rPr>
          <w:rFonts w:ascii="Times New Roman" w:eastAsia="Times New Roman"/>
        </w:rPr>
        <w:t>60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087"/>
        <w:gridCol w:w="7823"/>
      </w:tblGrid>
      <w:tr>
        <w:trPr>
          <w:trHeight w:val="3706" w:hRule="atLeast"/>
        </w:trPr>
        <w:tc>
          <w:tcPr>
            <w:tcW w:w="417" w:type="dxa"/>
          </w:tcPr>
          <w:p>
            <w:pPr>
              <w:pStyle w:val="TableParagraph"/>
              <w:spacing w:line="234" w:lineRule="exact"/>
              <w:ind w:left="0" w:right="56"/>
              <w:jc w:val="right"/>
              <w:rPr>
                <w:rFonts w:ascii="Times New Roman"/>
                <w:sz w:val="21"/>
              </w:rPr>
            </w:pPr>
            <w:r>
              <w:rPr>
                <w:rFonts w:ascii="Times New Roman"/>
                <w:sz w:val="21"/>
              </w:rPr>
              <w:t>1.</w:t>
            </w:r>
          </w:p>
        </w:tc>
        <w:tc>
          <w:tcPr>
            <w:tcW w:w="2087" w:type="dxa"/>
          </w:tcPr>
          <w:p>
            <w:pPr>
              <w:pStyle w:val="TableParagraph"/>
              <w:spacing w:line="220" w:lineRule="exact"/>
              <w:ind w:left="59"/>
              <w:rPr>
                <w:sz w:val="21"/>
              </w:rPr>
            </w:pPr>
            <w:r>
              <w:rPr>
                <w:sz w:val="21"/>
              </w:rPr>
              <w:t>恶性肿瘤</w:t>
            </w:r>
          </w:p>
        </w:tc>
        <w:tc>
          <w:tcPr>
            <w:tcW w:w="7823" w:type="dxa"/>
          </w:tcPr>
          <w:p>
            <w:pPr>
              <w:pStyle w:val="TableParagraph"/>
              <w:spacing w:line="220" w:lineRule="exact"/>
              <w:ind w:left="766"/>
              <w:rPr>
                <w:sz w:val="21"/>
              </w:rPr>
            </w:pPr>
            <w:r>
              <w:rPr>
                <w:sz w:val="21"/>
              </w:rPr>
              <w:t>指恶性细胞不受控制的进行性增长和扩散，浸润和破坏周围正常组织，可以</w:t>
            </w:r>
          </w:p>
          <w:p>
            <w:pPr>
              <w:pStyle w:val="TableParagraph"/>
              <w:spacing w:line="273" w:lineRule="auto" w:before="37"/>
              <w:ind w:left="766" w:right="198"/>
              <w:jc w:val="both"/>
              <w:rPr>
                <w:sz w:val="21"/>
              </w:rPr>
            </w:pPr>
            <w:r>
              <w:rPr>
                <w:spacing w:val="-9"/>
                <w:sz w:val="21"/>
              </w:rPr>
              <w:t>经血管、淋巴管和体腔扩散转移到身体其他部位的疾病。经病理学检查结果</w:t>
            </w:r>
            <w:r>
              <w:rPr>
                <w:spacing w:val="-11"/>
                <w:sz w:val="21"/>
              </w:rPr>
              <w:t>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766"/>
              <w:jc w:val="both"/>
              <w:rPr>
                <w:b/>
                <w:sz w:val="21"/>
              </w:rPr>
            </w:pPr>
            <w:r>
              <w:rPr>
                <w:b/>
                <w:sz w:val="21"/>
              </w:rPr>
              <w:t>下列疾病不在保障范围内：</w:t>
            </w:r>
          </w:p>
          <w:p>
            <w:pPr>
              <w:pStyle w:val="TableParagraph"/>
              <w:spacing w:before="37"/>
              <w:ind w:left="766"/>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766"/>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766"/>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766"/>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9" w:lineRule="auto" w:before="21"/>
              <w:ind w:left="766" w:right="197"/>
              <w:rPr>
                <w:b/>
                <w:sz w:val="21"/>
              </w:rPr>
            </w:pPr>
            <w:r>
              <w:rPr>
                <w:b/>
                <w:spacing w:val="-5"/>
                <w:sz w:val="21"/>
              </w:rPr>
              <w:t>（</w:t>
            </w:r>
            <w:r>
              <w:rPr>
                <w:rFonts w:ascii="Times New Roman" w:eastAsia="Times New Roman"/>
                <w:b/>
                <w:spacing w:val="-5"/>
                <w:sz w:val="21"/>
              </w:rPr>
              <w:t>5</w:t>
            </w:r>
            <w:r>
              <w:rPr>
                <w:b/>
                <w:spacing w:val="-5"/>
                <w:sz w:val="21"/>
              </w:rPr>
              <w:t>）</w:t>
            </w:r>
            <w:r>
              <w:rPr>
                <w:rFonts w:ascii="Times New Roman" w:eastAsia="Times New Roman"/>
                <w:b/>
                <w:spacing w:val="-5"/>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5"/>
                <w:sz w:val="21"/>
                <w:vertAlign w:val="baseline"/>
              </w:rPr>
              <w:t>注：如果为女性重大</w:t>
            </w:r>
            <w:r>
              <w:rPr>
                <w:b/>
                <w:spacing w:val="-5"/>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0"/>
              <w:ind w:left="766"/>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5" w:hRule="atLeast"/>
        </w:trPr>
        <w:tc>
          <w:tcPr>
            <w:tcW w:w="417" w:type="dxa"/>
          </w:tcPr>
          <w:p>
            <w:pPr>
              <w:pStyle w:val="TableParagraph"/>
              <w:spacing w:before="30"/>
              <w:ind w:left="0" w:right="56"/>
              <w:jc w:val="right"/>
              <w:rPr>
                <w:rFonts w:ascii="Times New Roman"/>
                <w:sz w:val="21"/>
              </w:rPr>
            </w:pPr>
            <w:r>
              <w:rPr>
                <w:rFonts w:ascii="Times New Roman"/>
                <w:sz w:val="21"/>
              </w:rPr>
              <w:t>2.</w:t>
            </w:r>
          </w:p>
        </w:tc>
        <w:tc>
          <w:tcPr>
            <w:tcW w:w="2087" w:type="dxa"/>
          </w:tcPr>
          <w:p>
            <w:pPr>
              <w:pStyle w:val="TableParagraph"/>
              <w:spacing w:line="258" w:lineRule="exact"/>
              <w:ind w:left="59"/>
              <w:rPr>
                <w:sz w:val="21"/>
              </w:rPr>
            </w:pPr>
            <w:r>
              <w:rPr>
                <w:sz w:val="21"/>
              </w:rPr>
              <w:t>急性心肌梗塞</w:t>
            </w:r>
          </w:p>
        </w:tc>
        <w:tc>
          <w:tcPr>
            <w:tcW w:w="7823" w:type="dxa"/>
          </w:tcPr>
          <w:p>
            <w:pPr>
              <w:pStyle w:val="TableParagraph"/>
              <w:spacing w:line="258" w:lineRule="exact"/>
              <w:ind w:left="766"/>
              <w:rPr>
                <w:sz w:val="21"/>
              </w:rPr>
            </w:pPr>
            <w:r>
              <w:rPr>
                <w:sz w:val="21"/>
              </w:rPr>
              <w:t>指因冠状动脉阻塞导致的相应区域供血不足造成部分心肌坏死。须满足下列</w:t>
            </w:r>
          </w:p>
          <w:p>
            <w:pPr>
              <w:pStyle w:val="TableParagraph"/>
              <w:spacing w:before="37"/>
              <w:ind w:left="766"/>
              <w:rPr>
                <w:sz w:val="21"/>
              </w:rPr>
            </w:pPr>
            <w:r>
              <w:rPr>
                <w:sz w:val="21"/>
              </w:rPr>
              <w:t>至少三项条件：</w:t>
            </w:r>
          </w:p>
          <w:p>
            <w:pPr>
              <w:pStyle w:val="TableParagraph"/>
              <w:spacing w:before="37"/>
              <w:ind w:left="766"/>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766"/>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766" w:right="19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76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766"/>
              <w:rPr>
                <w:sz w:val="21"/>
              </w:rPr>
            </w:pPr>
            <w:r>
              <w:rPr>
                <w:rFonts w:ascii="Times New Roman" w:eastAsia="Times New Roman"/>
                <w:sz w:val="21"/>
              </w:rPr>
              <w:t>50%</w:t>
            </w:r>
            <w:r>
              <w:rPr>
                <w:sz w:val="21"/>
              </w:rPr>
              <w:t>。</w:t>
            </w:r>
          </w:p>
        </w:tc>
      </w:tr>
      <w:tr>
        <w:trPr>
          <w:trHeight w:val="271" w:hRule="atLeast"/>
        </w:trPr>
        <w:tc>
          <w:tcPr>
            <w:tcW w:w="417" w:type="dxa"/>
          </w:tcPr>
          <w:p>
            <w:pPr>
              <w:pStyle w:val="TableParagraph"/>
              <w:spacing w:line="222" w:lineRule="exact" w:before="30"/>
              <w:ind w:left="0" w:right="56"/>
              <w:jc w:val="right"/>
              <w:rPr>
                <w:rFonts w:ascii="Times New Roman"/>
                <w:sz w:val="21"/>
              </w:rPr>
            </w:pPr>
            <w:r>
              <w:rPr>
                <w:rFonts w:ascii="Times New Roman"/>
                <w:sz w:val="21"/>
              </w:rPr>
              <w:t>3.</w:t>
            </w:r>
          </w:p>
        </w:tc>
        <w:tc>
          <w:tcPr>
            <w:tcW w:w="2087" w:type="dxa"/>
          </w:tcPr>
          <w:p>
            <w:pPr>
              <w:pStyle w:val="TableParagraph"/>
              <w:spacing w:line="252" w:lineRule="exact"/>
              <w:ind w:left="59"/>
              <w:rPr>
                <w:sz w:val="21"/>
              </w:rPr>
            </w:pPr>
            <w:r>
              <w:rPr>
                <w:sz w:val="21"/>
              </w:rPr>
              <w:t>脑中风后遗症</w:t>
            </w:r>
          </w:p>
        </w:tc>
        <w:tc>
          <w:tcPr>
            <w:tcW w:w="7823" w:type="dxa"/>
          </w:tcPr>
          <w:p>
            <w:pPr>
              <w:pStyle w:val="TableParagraph"/>
              <w:spacing w:line="252" w:lineRule="exact"/>
              <w:ind w:left="766"/>
              <w:rPr>
                <w:sz w:val="21"/>
              </w:rPr>
            </w:pPr>
            <w:r>
              <w:rPr>
                <w:sz w:val="21"/>
              </w:rPr>
              <w:t>指因脑血管的突发病变引起脑血管出血、栓塞或梗塞，并导致神经系统永久</w:t>
            </w:r>
          </w:p>
        </w:tc>
      </w:tr>
    </w:tbl>
    <w:p>
      <w:pPr>
        <w:spacing w:after="0" w:line="252" w:lineRule="exact"/>
        <w:rPr>
          <w:sz w:val="21"/>
        </w:rPr>
        <w:sectPr>
          <w:pgSz w:w="11910" w:h="16160"/>
          <w:pgMar w:header="0" w:footer="631" w:top="1420" w:bottom="90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636"/>
        <w:gridCol w:w="7223"/>
      </w:tblGrid>
      <w:tr>
        <w:trPr>
          <w:trHeight w:val="1824" w:hRule="atLeast"/>
        </w:trPr>
        <w:tc>
          <w:tcPr>
            <w:tcW w:w="470" w:type="dxa"/>
          </w:tcPr>
          <w:p>
            <w:pPr>
              <w:pStyle w:val="TableParagraph"/>
              <w:ind w:left="0"/>
              <w:rPr>
                <w:rFonts w:ascii="Times New Roman"/>
                <w:sz w:val="20"/>
              </w:rPr>
            </w:pPr>
          </w:p>
        </w:tc>
        <w:tc>
          <w:tcPr>
            <w:tcW w:w="2636" w:type="dxa"/>
          </w:tcPr>
          <w:p>
            <w:pPr>
              <w:pStyle w:val="TableParagraph"/>
              <w:ind w:left="0"/>
              <w:rPr>
                <w:rFonts w:ascii="Times New Roman"/>
                <w:sz w:val="20"/>
              </w:rPr>
            </w:pPr>
          </w:p>
        </w:tc>
        <w:tc>
          <w:tcPr>
            <w:tcW w:w="7223" w:type="dxa"/>
          </w:tcPr>
          <w:p>
            <w:pPr>
              <w:pStyle w:val="TableParagraph"/>
              <w:spacing w:line="234" w:lineRule="exact"/>
              <w:ind w:left="164"/>
              <w:rPr>
                <w:sz w:val="21"/>
              </w:rPr>
            </w:pPr>
            <w:r>
              <w:rPr>
                <w:sz w:val="21"/>
              </w:rPr>
              <w:t>性的功能障碍。神经系统永久性的功能障碍，指疾病确诊 </w:t>
            </w:r>
            <w:r>
              <w:rPr>
                <w:rFonts w:ascii="Times New Roman" w:eastAsia="Times New Roman"/>
                <w:sz w:val="21"/>
              </w:rPr>
              <w:t>180 </w:t>
            </w:r>
            <w:r>
              <w:rPr>
                <w:sz w:val="21"/>
              </w:rPr>
              <w:t>天后，仍遗留</w:t>
            </w:r>
          </w:p>
          <w:p>
            <w:pPr>
              <w:pStyle w:val="TableParagraph"/>
              <w:spacing w:before="21"/>
              <w:ind w:left="164"/>
              <w:rPr>
                <w:sz w:val="21"/>
              </w:rPr>
            </w:pPr>
            <w:r>
              <w:rPr>
                <w:sz w:val="21"/>
              </w:rPr>
              <w:t>下列一种或一种以上障碍：</w:t>
            </w:r>
          </w:p>
          <w:p>
            <w:pPr>
              <w:pStyle w:val="TableParagraph"/>
              <w:spacing w:before="36"/>
              <w:ind w:left="164"/>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TableParagraph"/>
              <w:spacing w:before="21"/>
              <w:ind w:left="164"/>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w:t>
            </w:r>
          </w:p>
          <w:p>
            <w:pPr>
              <w:pStyle w:val="TableParagraph"/>
              <w:spacing w:line="256" w:lineRule="auto" w:before="21"/>
              <w:ind w:left="164" w:right="203"/>
              <w:rPr>
                <w:sz w:val="21"/>
              </w:rPr>
            </w:pPr>
            <w:r>
              <w:rPr>
                <w:sz w:val="21"/>
              </w:rPr>
              <w:t>（</w:t>
            </w:r>
            <w:r>
              <w:rPr>
                <w:rFonts w:ascii="Times New Roman" w:eastAsia="Times New Roman"/>
                <w:sz w:val="21"/>
              </w:rPr>
              <w:t>3</w:t>
            </w:r>
            <w:r>
              <w:rPr>
                <w:sz w:val="21"/>
              </w:rPr>
              <w:t>）</w:t>
            </w:r>
            <w:r>
              <w:rPr>
                <w:spacing w:val="-8"/>
                <w:sz w:val="21"/>
              </w:rPr>
              <w:t>自主生活能力完全丧失， 无法独立完成六项基本日常生活活动中的三</w:t>
            </w:r>
            <w:r>
              <w:rPr>
                <w:spacing w:val="-5"/>
                <w:sz w:val="21"/>
              </w:rPr>
              <w:t>项或三项以上。</w:t>
            </w:r>
          </w:p>
        </w:tc>
      </w:tr>
      <w:tr>
        <w:trPr>
          <w:trHeight w:val="1560" w:hRule="atLeast"/>
        </w:trPr>
        <w:tc>
          <w:tcPr>
            <w:tcW w:w="470" w:type="dxa"/>
          </w:tcPr>
          <w:p>
            <w:pPr>
              <w:pStyle w:val="TableParagraph"/>
              <w:spacing w:before="38"/>
              <w:ind w:left="200"/>
              <w:rPr>
                <w:rFonts w:ascii="Times New Roman"/>
                <w:sz w:val="21"/>
              </w:rPr>
            </w:pPr>
            <w:r>
              <w:rPr>
                <w:rFonts w:ascii="Times New Roman"/>
                <w:sz w:val="21"/>
              </w:rPr>
              <w:t>4.</w:t>
            </w:r>
          </w:p>
        </w:tc>
        <w:tc>
          <w:tcPr>
            <w:tcW w:w="2636" w:type="dxa"/>
          </w:tcPr>
          <w:p>
            <w:pPr>
              <w:pStyle w:val="TableParagraph"/>
              <w:spacing w:line="273" w:lineRule="auto"/>
              <w:ind w:left="6" w:right="162"/>
              <w:rPr>
                <w:sz w:val="21"/>
              </w:rPr>
            </w:pPr>
            <w:r>
              <w:rPr>
                <w:sz w:val="21"/>
              </w:rPr>
              <w:t>重大器官移植术或造血干细胞移植术</w:t>
            </w:r>
          </w:p>
        </w:tc>
        <w:tc>
          <w:tcPr>
            <w:tcW w:w="7223" w:type="dxa"/>
          </w:tcPr>
          <w:p>
            <w:pPr>
              <w:pStyle w:val="TableParagraph"/>
              <w:spacing w:line="273" w:lineRule="auto"/>
              <w:ind w:left="164" w:right="203"/>
              <w:jc w:val="both"/>
              <w:rPr>
                <w:sz w:val="21"/>
              </w:rPr>
            </w:pPr>
            <w:r>
              <w:rPr>
                <w:spacing w:val="-9"/>
                <w:sz w:val="21"/>
              </w:rPr>
              <w:t>重大器官移植术，指因相应器官功能衰竭，已经实施了肾脏、肝脏、心脏或</w:t>
            </w:r>
            <w:r>
              <w:rPr>
                <w:spacing w:val="-5"/>
                <w:sz w:val="21"/>
              </w:rPr>
              <w:t>肺脏的异体移植手术。</w:t>
            </w:r>
          </w:p>
          <w:p>
            <w:pPr>
              <w:pStyle w:val="TableParagraph"/>
              <w:spacing w:line="312" w:lineRule="exact" w:before="12"/>
              <w:ind w:left="164" w:right="198"/>
              <w:jc w:val="both"/>
              <w:rPr>
                <w:sz w:val="21"/>
              </w:rPr>
            </w:pPr>
            <w:r>
              <w:rPr>
                <w:spacing w:val="-9"/>
                <w:sz w:val="21"/>
              </w:rPr>
              <w:t>造血干细胞移植术，指因造血功能损害或造血系统恶性肿瘤，已经实施了造</w:t>
            </w:r>
            <w:r>
              <w:rPr>
                <w:spacing w:val="-12"/>
                <w:sz w:val="21"/>
              </w:rPr>
              <w:t>血干细胞</w:t>
            </w:r>
            <w:r>
              <w:rPr>
                <w:spacing w:val="-3"/>
                <w:sz w:val="21"/>
              </w:rPr>
              <w:t>（</w:t>
            </w:r>
            <w:r>
              <w:rPr>
                <w:spacing w:val="-6"/>
                <w:sz w:val="21"/>
              </w:rPr>
              <w:t>包括骨髓造血干细胞、外周血造血干细胞和脐血造血干细胞</w:t>
            </w:r>
            <w:r>
              <w:rPr>
                <w:spacing w:val="-27"/>
                <w:sz w:val="21"/>
              </w:rPr>
              <w:t>）</w:t>
            </w:r>
            <w:r>
              <w:rPr>
                <w:sz w:val="21"/>
              </w:rPr>
              <w:t>的</w:t>
            </w:r>
            <w:r>
              <w:rPr>
                <w:spacing w:val="-2"/>
                <w:sz w:val="21"/>
              </w:rPr>
              <w:t>异体移植手术。</w:t>
            </w:r>
          </w:p>
        </w:tc>
      </w:tr>
      <w:tr>
        <w:trPr>
          <w:trHeight w:val="1248" w:hRule="atLeast"/>
        </w:trPr>
        <w:tc>
          <w:tcPr>
            <w:tcW w:w="470" w:type="dxa"/>
          </w:tcPr>
          <w:p>
            <w:pPr>
              <w:pStyle w:val="TableParagraph"/>
              <w:spacing w:before="38"/>
              <w:ind w:left="200"/>
              <w:rPr>
                <w:rFonts w:ascii="Times New Roman"/>
                <w:sz w:val="21"/>
              </w:rPr>
            </w:pPr>
            <w:r>
              <w:rPr>
                <w:rFonts w:ascii="Times New Roman"/>
                <w:sz w:val="21"/>
              </w:rPr>
              <w:t>5.</w:t>
            </w:r>
          </w:p>
        </w:tc>
        <w:tc>
          <w:tcPr>
            <w:tcW w:w="2636" w:type="dxa"/>
          </w:tcPr>
          <w:p>
            <w:pPr>
              <w:pStyle w:val="TableParagraph"/>
              <w:spacing w:line="273" w:lineRule="auto"/>
              <w:ind w:left="6" w:right="95"/>
              <w:rPr>
                <w:sz w:val="21"/>
              </w:rPr>
            </w:pPr>
            <w:r>
              <w:rPr>
                <w:sz w:val="21"/>
              </w:rPr>
              <w:t>冠状动脉搭桥术（或称冠状动脉旁路移植术）</w:t>
            </w:r>
          </w:p>
        </w:tc>
        <w:tc>
          <w:tcPr>
            <w:tcW w:w="7223" w:type="dxa"/>
          </w:tcPr>
          <w:p>
            <w:pPr>
              <w:pStyle w:val="TableParagraph"/>
              <w:spacing w:line="273" w:lineRule="auto"/>
              <w:ind w:left="164" w:right="198"/>
              <w:rPr>
                <w:sz w:val="21"/>
              </w:rPr>
            </w:pPr>
            <w:r>
              <w:rPr>
                <w:spacing w:val="-10"/>
                <w:sz w:val="21"/>
              </w:rPr>
              <w:t>指为治疗严重的冠心病，实际实施了开胸进行的冠状动脉血管旁路移植的手术。</w:t>
            </w:r>
          </w:p>
          <w:p>
            <w:pPr>
              <w:pStyle w:val="TableParagraph"/>
              <w:spacing w:line="312" w:lineRule="exact" w:before="12"/>
              <w:ind w:left="164" w:right="204"/>
              <w:rPr>
                <w:b/>
                <w:sz w:val="21"/>
              </w:rPr>
            </w:pPr>
            <w:r>
              <w:rPr>
                <w:b/>
                <w:spacing w:val="-9"/>
                <w:sz w:val="21"/>
              </w:rPr>
              <w:t>冠状动脉支架植入术、心导管球囊扩张术、激光射频技术及其他非开胸的介入手术、腔镜手术不在保障范围内。</w:t>
            </w:r>
          </w:p>
        </w:tc>
      </w:tr>
      <w:tr>
        <w:trPr>
          <w:trHeight w:val="631" w:hRule="atLeast"/>
        </w:trPr>
        <w:tc>
          <w:tcPr>
            <w:tcW w:w="470" w:type="dxa"/>
          </w:tcPr>
          <w:p>
            <w:pPr>
              <w:pStyle w:val="TableParagraph"/>
              <w:spacing w:before="38"/>
              <w:ind w:left="200"/>
              <w:rPr>
                <w:rFonts w:ascii="Times New Roman"/>
                <w:sz w:val="21"/>
              </w:rPr>
            </w:pPr>
            <w:r>
              <w:rPr>
                <w:rFonts w:ascii="Times New Roman"/>
                <w:sz w:val="21"/>
              </w:rPr>
              <w:t>6.</w:t>
            </w:r>
          </w:p>
        </w:tc>
        <w:tc>
          <w:tcPr>
            <w:tcW w:w="2636" w:type="dxa"/>
          </w:tcPr>
          <w:p>
            <w:pPr>
              <w:pStyle w:val="TableParagraph"/>
              <w:spacing w:line="273" w:lineRule="auto"/>
              <w:ind w:left="6" w:right="95"/>
              <w:rPr>
                <w:sz w:val="21"/>
              </w:rPr>
            </w:pPr>
            <w:r>
              <w:rPr>
                <w:sz w:val="21"/>
              </w:rPr>
              <w:t>终末期肾病（或称慢性肾功能衰竭尿毒症期）</w:t>
            </w:r>
          </w:p>
        </w:tc>
        <w:tc>
          <w:tcPr>
            <w:tcW w:w="7223" w:type="dxa"/>
          </w:tcPr>
          <w:p>
            <w:pPr>
              <w:pStyle w:val="TableParagraph"/>
              <w:spacing w:line="266" w:lineRule="exact"/>
              <w:ind w:left="164"/>
              <w:rPr>
                <w:sz w:val="21"/>
              </w:rPr>
            </w:pPr>
            <w:r>
              <w:rPr>
                <w:sz w:val="21"/>
              </w:rPr>
              <w:t>指双肾功能慢性不可逆性衰竭，达到尿毒症期，经诊断后已经进行了至少</w:t>
            </w:r>
          </w:p>
          <w:p>
            <w:pPr>
              <w:pStyle w:val="TableParagraph"/>
              <w:spacing w:before="37"/>
              <w:ind w:left="164"/>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70" w:type="dxa"/>
          </w:tcPr>
          <w:p>
            <w:pPr>
              <w:pStyle w:val="TableParagraph"/>
              <w:spacing w:before="30"/>
              <w:ind w:left="200"/>
              <w:rPr>
                <w:rFonts w:ascii="Times New Roman"/>
                <w:sz w:val="21"/>
              </w:rPr>
            </w:pPr>
            <w:r>
              <w:rPr>
                <w:rFonts w:ascii="Times New Roman"/>
                <w:sz w:val="21"/>
              </w:rPr>
              <w:t>7.</w:t>
            </w:r>
          </w:p>
        </w:tc>
        <w:tc>
          <w:tcPr>
            <w:tcW w:w="2636" w:type="dxa"/>
          </w:tcPr>
          <w:p>
            <w:pPr>
              <w:pStyle w:val="TableParagraph"/>
              <w:spacing w:line="258" w:lineRule="exact"/>
              <w:ind w:left="6"/>
              <w:rPr>
                <w:sz w:val="21"/>
              </w:rPr>
            </w:pPr>
            <w:r>
              <w:rPr>
                <w:sz w:val="21"/>
              </w:rPr>
              <w:t>多个肢体缺失</w:t>
            </w:r>
          </w:p>
        </w:tc>
        <w:tc>
          <w:tcPr>
            <w:tcW w:w="7223" w:type="dxa"/>
          </w:tcPr>
          <w:p>
            <w:pPr>
              <w:pStyle w:val="TableParagraph"/>
              <w:spacing w:line="258" w:lineRule="exact"/>
              <w:ind w:left="164"/>
              <w:rPr>
                <w:sz w:val="21"/>
              </w:rPr>
            </w:pPr>
            <w:r>
              <w:rPr>
                <w:sz w:val="21"/>
              </w:rPr>
              <w:t>指因疾病或意外伤害导致两个或两个以上肢体自腕关节或踝关节近端（靠近</w:t>
            </w:r>
          </w:p>
          <w:p>
            <w:pPr>
              <w:pStyle w:val="TableParagraph"/>
              <w:spacing w:before="37"/>
              <w:ind w:left="164"/>
              <w:rPr>
                <w:sz w:val="21"/>
              </w:rPr>
            </w:pPr>
            <w:r>
              <w:rPr>
                <w:sz w:val="21"/>
              </w:rPr>
              <w:t>躯干端）以上完全性断离。</w:t>
            </w:r>
          </w:p>
        </w:tc>
      </w:tr>
      <w:tr>
        <w:trPr>
          <w:trHeight w:val="1880" w:hRule="atLeast"/>
        </w:trPr>
        <w:tc>
          <w:tcPr>
            <w:tcW w:w="470" w:type="dxa"/>
          </w:tcPr>
          <w:p>
            <w:pPr>
              <w:pStyle w:val="TableParagraph"/>
              <w:spacing w:before="38"/>
              <w:ind w:left="200"/>
              <w:rPr>
                <w:rFonts w:ascii="Times New Roman"/>
                <w:sz w:val="21"/>
              </w:rPr>
            </w:pPr>
            <w:r>
              <w:rPr>
                <w:rFonts w:ascii="Times New Roman"/>
                <w:sz w:val="21"/>
              </w:rPr>
              <w:t>8.</w:t>
            </w:r>
          </w:p>
        </w:tc>
        <w:tc>
          <w:tcPr>
            <w:tcW w:w="2636" w:type="dxa"/>
          </w:tcPr>
          <w:p>
            <w:pPr>
              <w:pStyle w:val="TableParagraph"/>
              <w:spacing w:line="266" w:lineRule="exact"/>
              <w:ind w:left="6"/>
              <w:rPr>
                <w:sz w:val="21"/>
              </w:rPr>
            </w:pPr>
            <w:r>
              <w:rPr>
                <w:sz w:val="21"/>
              </w:rPr>
              <w:t>急性或亚急性重症肝炎</w:t>
            </w:r>
          </w:p>
        </w:tc>
        <w:tc>
          <w:tcPr>
            <w:tcW w:w="7223" w:type="dxa"/>
          </w:tcPr>
          <w:p>
            <w:pPr>
              <w:pStyle w:val="TableParagraph"/>
              <w:spacing w:line="273" w:lineRule="auto"/>
              <w:ind w:left="164" w:right="200"/>
              <w:rPr>
                <w:sz w:val="21"/>
              </w:rPr>
            </w:pPr>
            <w:r>
              <w:rPr>
                <w:spacing w:val="-7"/>
                <w:sz w:val="21"/>
              </w:rPr>
              <w:t>指因肝炎病毒感染引起肝脏组织弥漫性坏死，导致急性肝功能衰竭，且经血</w:t>
            </w:r>
            <w:r>
              <w:rPr>
                <w:spacing w:val="-5"/>
                <w:sz w:val="21"/>
              </w:rPr>
              <w:t>清学或病毒学检查证实，并须满足下列全部条件：</w:t>
            </w:r>
          </w:p>
          <w:p>
            <w:pPr>
              <w:pStyle w:val="TableParagraph"/>
              <w:spacing w:before="16"/>
              <w:ind w:left="164"/>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64"/>
              <w:rPr>
                <w:sz w:val="21"/>
              </w:rPr>
            </w:pPr>
            <w:r>
              <w:rPr>
                <w:sz w:val="21"/>
              </w:rPr>
              <w:t>（</w:t>
            </w:r>
            <w:r>
              <w:rPr>
                <w:rFonts w:ascii="Times New Roman" w:eastAsia="Times New Roman"/>
                <w:sz w:val="21"/>
              </w:rPr>
              <w:t>2</w:t>
            </w:r>
            <w:r>
              <w:rPr>
                <w:sz w:val="21"/>
              </w:rPr>
              <w:t>）肝性脑病；</w:t>
            </w:r>
          </w:p>
          <w:p>
            <w:pPr>
              <w:pStyle w:val="TableParagraph"/>
              <w:spacing w:before="21"/>
              <w:ind w:left="16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64"/>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70" w:type="dxa"/>
          </w:tcPr>
          <w:p>
            <w:pPr>
              <w:pStyle w:val="TableParagraph"/>
              <w:spacing w:before="30"/>
              <w:ind w:left="200"/>
              <w:rPr>
                <w:rFonts w:ascii="Times New Roman"/>
                <w:sz w:val="21"/>
              </w:rPr>
            </w:pPr>
            <w:r>
              <w:rPr>
                <w:rFonts w:ascii="Times New Roman"/>
                <w:sz w:val="21"/>
              </w:rPr>
              <w:t>9.</w:t>
            </w:r>
          </w:p>
        </w:tc>
        <w:tc>
          <w:tcPr>
            <w:tcW w:w="2636" w:type="dxa"/>
          </w:tcPr>
          <w:p>
            <w:pPr>
              <w:pStyle w:val="TableParagraph"/>
              <w:spacing w:line="258" w:lineRule="exact"/>
              <w:ind w:left="6"/>
              <w:rPr>
                <w:sz w:val="21"/>
              </w:rPr>
            </w:pPr>
            <w:r>
              <w:rPr>
                <w:sz w:val="21"/>
              </w:rPr>
              <w:t>良性脑肿瘤</w:t>
            </w:r>
          </w:p>
        </w:tc>
        <w:tc>
          <w:tcPr>
            <w:tcW w:w="7223" w:type="dxa"/>
          </w:tcPr>
          <w:p>
            <w:pPr>
              <w:pStyle w:val="TableParagraph"/>
              <w:spacing w:line="258" w:lineRule="exact"/>
              <w:ind w:left="164"/>
              <w:rPr>
                <w:sz w:val="21"/>
              </w:rPr>
            </w:pPr>
            <w:r>
              <w:rPr>
                <w:sz w:val="21"/>
              </w:rPr>
              <w:t>指脑的良性肿瘤，已经引起颅内压增高，临床表现为视神经乳头水肿、精神</w:t>
            </w:r>
          </w:p>
          <w:p>
            <w:pPr>
              <w:pStyle w:val="TableParagraph"/>
              <w:spacing w:line="256" w:lineRule="auto" w:before="37"/>
              <w:ind w:left="164" w:right="200"/>
              <w:jc w:val="both"/>
              <w:rPr>
                <w:sz w:val="21"/>
              </w:rPr>
            </w:pPr>
            <w:r>
              <w:rPr>
                <w:spacing w:val="-6"/>
                <w:w w:val="100"/>
                <w:sz w:val="21"/>
              </w:rPr>
              <w:t>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4"/>
                <w:w w:val="100"/>
                <w:sz w:val="21"/>
              </w:rPr>
              <w:t>、核</w:t>
            </w:r>
            <w:r>
              <w:rPr>
                <w:spacing w:val="-3"/>
                <w:sz w:val="21"/>
              </w:rPr>
              <w:t>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4"/>
                <w:sz w:val="21"/>
              </w:rPr>
              <w:t>等影像学检查证实，并</w:t>
            </w:r>
            <w:r>
              <w:rPr>
                <w:spacing w:val="-3"/>
                <w:sz w:val="21"/>
              </w:rPr>
              <w:t>须满足下列至少一项条件：</w:t>
            </w:r>
          </w:p>
          <w:p>
            <w:pPr>
              <w:pStyle w:val="TableParagraph"/>
              <w:spacing w:before="22"/>
              <w:ind w:left="164"/>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64"/>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64"/>
              <w:jc w:val="both"/>
              <w:rPr>
                <w:b/>
                <w:sz w:val="21"/>
              </w:rPr>
            </w:pPr>
            <w:r>
              <w:rPr>
                <w:b/>
                <w:sz w:val="21"/>
              </w:rPr>
              <w:t>脑垂体瘤、脑囊肿、脑血管性疾病不在保障范围内。</w:t>
            </w:r>
          </w:p>
        </w:tc>
      </w:tr>
      <w:tr>
        <w:trPr>
          <w:trHeight w:val="1826" w:hRule="atLeast"/>
        </w:trPr>
        <w:tc>
          <w:tcPr>
            <w:tcW w:w="470" w:type="dxa"/>
          </w:tcPr>
          <w:p>
            <w:pPr>
              <w:pStyle w:val="TableParagraph"/>
              <w:spacing w:before="38"/>
              <w:ind w:left="200"/>
              <w:rPr>
                <w:rFonts w:ascii="Times New Roman"/>
                <w:sz w:val="21"/>
              </w:rPr>
            </w:pPr>
            <w:r>
              <w:rPr>
                <w:rFonts w:ascii="Times New Roman"/>
                <w:sz w:val="21"/>
              </w:rPr>
              <w:t>10.</w:t>
            </w:r>
          </w:p>
        </w:tc>
        <w:tc>
          <w:tcPr>
            <w:tcW w:w="2636" w:type="dxa"/>
          </w:tcPr>
          <w:p>
            <w:pPr>
              <w:pStyle w:val="TableParagraph"/>
              <w:spacing w:line="266" w:lineRule="exact"/>
              <w:ind w:left="6"/>
              <w:rPr>
                <w:sz w:val="21"/>
              </w:rPr>
            </w:pPr>
            <w:r>
              <w:rPr>
                <w:sz w:val="21"/>
              </w:rPr>
              <w:t>慢性肝功能衰竭失代偿期</w:t>
            </w:r>
          </w:p>
        </w:tc>
        <w:tc>
          <w:tcPr>
            <w:tcW w:w="7223" w:type="dxa"/>
          </w:tcPr>
          <w:p>
            <w:pPr>
              <w:pStyle w:val="TableParagraph"/>
              <w:spacing w:line="266" w:lineRule="exact"/>
              <w:ind w:left="164"/>
              <w:rPr>
                <w:sz w:val="21"/>
              </w:rPr>
            </w:pPr>
            <w:r>
              <w:rPr>
                <w:sz w:val="21"/>
              </w:rPr>
              <w:t>指因慢性肝脏疾病导致肝功能衰竭。须满足下列全部条件：</w:t>
            </w:r>
          </w:p>
          <w:p>
            <w:pPr>
              <w:pStyle w:val="TableParagraph"/>
              <w:spacing w:before="37"/>
              <w:ind w:left="164"/>
              <w:rPr>
                <w:sz w:val="21"/>
              </w:rPr>
            </w:pPr>
            <w:r>
              <w:rPr>
                <w:sz w:val="21"/>
              </w:rPr>
              <w:t>（</w:t>
            </w:r>
            <w:r>
              <w:rPr>
                <w:rFonts w:ascii="Times New Roman" w:eastAsia="Times New Roman"/>
                <w:sz w:val="21"/>
              </w:rPr>
              <w:t>1</w:t>
            </w:r>
            <w:r>
              <w:rPr>
                <w:sz w:val="21"/>
              </w:rPr>
              <w:t>）持续性黄疸；</w:t>
            </w:r>
          </w:p>
          <w:p>
            <w:pPr>
              <w:pStyle w:val="TableParagraph"/>
              <w:spacing w:before="20"/>
              <w:ind w:left="164"/>
              <w:rPr>
                <w:sz w:val="21"/>
              </w:rPr>
            </w:pPr>
            <w:r>
              <w:rPr>
                <w:sz w:val="21"/>
              </w:rPr>
              <w:t>（</w:t>
            </w:r>
            <w:r>
              <w:rPr>
                <w:rFonts w:ascii="Times New Roman" w:eastAsia="Times New Roman"/>
                <w:sz w:val="21"/>
              </w:rPr>
              <w:t>2</w:t>
            </w:r>
            <w:r>
              <w:rPr>
                <w:sz w:val="21"/>
              </w:rPr>
              <w:t>）腹水；</w:t>
            </w:r>
          </w:p>
          <w:p>
            <w:pPr>
              <w:pStyle w:val="TableParagraph"/>
              <w:spacing w:before="20"/>
              <w:ind w:left="164"/>
              <w:rPr>
                <w:sz w:val="21"/>
              </w:rPr>
            </w:pPr>
            <w:r>
              <w:rPr>
                <w:sz w:val="21"/>
              </w:rPr>
              <w:t>（</w:t>
            </w:r>
            <w:r>
              <w:rPr>
                <w:rFonts w:ascii="Times New Roman" w:eastAsia="Times New Roman"/>
                <w:sz w:val="21"/>
              </w:rPr>
              <w:t>3</w:t>
            </w:r>
            <w:r>
              <w:rPr>
                <w:sz w:val="21"/>
              </w:rPr>
              <w:t>）肝性脑病；</w:t>
            </w:r>
          </w:p>
          <w:p>
            <w:pPr>
              <w:pStyle w:val="TableParagraph"/>
              <w:spacing w:line="290" w:lineRule="atLeast" w:before="20"/>
              <w:ind w:left="164" w:right="1907"/>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bl>
    <w:p>
      <w:pPr>
        <w:pStyle w:val="BodyText"/>
        <w:spacing w:before="4"/>
        <w:rPr>
          <w:sz w:val="18"/>
        </w:rPr>
      </w:pPr>
      <w:r>
        <w:rPr/>
        <w:pict>
          <v:line style="position:absolute;mso-position-horizontal-relative:page;mso-position-vertical-relative:paragraph;z-index:1192;mso-wrap-distance-left:0;mso-wrap-distance-right:0" from="53.880001pt,14.224854pt" to="197.930001pt,14.224854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25</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1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635"/>
        <w:gridCol w:w="7299"/>
      </w:tblGrid>
      <w:tr>
        <w:trPr>
          <w:trHeight w:val="1826" w:hRule="atLeast"/>
        </w:trPr>
        <w:tc>
          <w:tcPr>
            <w:tcW w:w="470" w:type="dxa"/>
          </w:tcPr>
          <w:p>
            <w:pPr>
              <w:pStyle w:val="TableParagraph"/>
              <w:spacing w:line="234" w:lineRule="exact"/>
              <w:ind w:left="0" w:right="11"/>
              <w:jc w:val="right"/>
              <w:rPr>
                <w:rFonts w:ascii="Times New Roman"/>
                <w:sz w:val="21"/>
              </w:rPr>
            </w:pPr>
            <w:r>
              <w:rPr>
                <w:rFonts w:ascii="Times New Roman"/>
                <w:sz w:val="21"/>
              </w:rPr>
              <w:t>11.</w:t>
            </w:r>
          </w:p>
        </w:tc>
        <w:tc>
          <w:tcPr>
            <w:tcW w:w="2635" w:type="dxa"/>
          </w:tcPr>
          <w:p>
            <w:pPr>
              <w:pStyle w:val="TableParagraph"/>
              <w:spacing w:line="220" w:lineRule="exact"/>
              <w:ind w:left="6"/>
              <w:rPr>
                <w:sz w:val="21"/>
              </w:rPr>
            </w:pPr>
            <w:r>
              <w:rPr>
                <w:sz w:val="21"/>
              </w:rPr>
              <w:t>脑炎后遗症或脑膜炎后遗</w:t>
            </w:r>
          </w:p>
          <w:p>
            <w:pPr>
              <w:pStyle w:val="TableParagraph"/>
              <w:spacing w:before="37"/>
              <w:ind w:left="6"/>
              <w:rPr>
                <w:sz w:val="21"/>
              </w:rPr>
            </w:pPr>
            <w:r>
              <w:rPr>
                <w:w w:val="100"/>
                <w:sz w:val="21"/>
              </w:rPr>
              <w:t>症</w:t>
            </w:r>
          </w:p>
        </w:tc>
        <w:tc>
          <w:tcPr>
            <w:tcW w:w="7299" w:type="dxa"/>
          </w:tcPr>
          <w:p>
            <w:pPr>
              <w:pStyle w:val="TableParagraph"/>
              <w:spacing w:line="220" w:lineRule="exact"/>
              <w:rPr>
                <w:sz w:val="21"/>
              </w:rPr>
            </w:pPr>
            <w:r>
              <w:rPr>
                <w:sz w:val="21"/>
              </w:rPr>
              <w:t>指因患脑炎或脑膜炎导致的神经系统永久性的功能障碍。神经系统永久性的</w:t>
            </w:r>
          </w:p>
          <w:p>
            <w:pPr>
              <w:pStyle w:val="TableParagraph"/>
              <w:spacing w:before="37"/>
              <w:rPr>
                <w:sz w:val="21"/>
              </w:rPr>
            </w:pPr>
            <w:r>
              <w:rPr>
                <w:sz w:val="21"/>
              </w:rPr>
              <w:t>功能障碍，指疾病确诊 </w:t>
            </w:r>
            <w:r>
              <w:rPr>
                <w:rFonts w:ascii="Times New Roman" w:eastAsia="Times New Roman"/>
                <w:sz w:val="21"/>
              </w:rPr>
              <w:t>180 </w:t>
            </w:r>
            <w:r>
              <w:rPr>
                <w:sz w:val="21"/>
              </w:rPr>
              <w:t>天后，仍遗留下列一种或一种以上障碍：</w:t>
            </w:r>
          </w:p>
          <w:p>
            <w:pPr>
              <w:pStyle w:val="TableParagraph"/>
              <w:spacing w:before="2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7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470" w:type="dxa"/>
          </w:tcPr>
          <w:p>
            <w:pPr>
              <w:pStyle w:val="TableParagraph"/>
              <w:spacing w:before="38"/>
              <w:ind w:left="0" w:right="5"/>
              <w:jc w:val="right"/>
              <w:rPr>
                <w:rFonts w:ascii="Times New Roman"/>
                <w:sz w:val="21"/>
              </w:rPr>
            </w:pPr>
            <w:r>
              <w:rPr>
                <w:rFonts w:ascii="Times New Roman"/>
                <w:sz w:val="21"/>
              </w:rPr>
              <w:t>12.</w:t>
            </w:r>
          </w:p>
        </w:tc>
        <w:tc>
          <w:tcPr>
            <w:tcW w:w="2635" w:type="dxa"/>
          </w:tcPr>
          <w:p>
            <w:pPr>
              <w:pStyle w:val="TableParagraph"/>
              <w:spacing w:line="266" w:lineRule="exact"/>
              <w:ind w:left="6"/>
              <w:rPr>
                <w:sz w:val="21"/>
              </w:rPr>
            </w:pPr>
            <w:r>
              <w:rPr>
                <w:sz w:val="21"/>
              </w:rPr>
              <w:t>深度昏迷</w:t>
            </w:r>
          </w:p>
        </w:tc>
        <w:tc>
          <w:tcPr>
            <w:tcW w:w="7299" w:type="dxa"/>
          </w:tcPr>
          <w:p>
            <w:pPr>
              <w:pStyle w:val="TableParagraph"/>
              <w:spacing w:line="264" w:lineRule="auto"/>
              <w:ind w:right="275"/>
              <w:rPr>
                <w:sz w:val="21"/>
              </w:rPr>
            </w:pPr>
            <w:r>
              <w:rPr>
                <w:spacing w:val="-8"/>
                <w:sz w:val="21"/>
              </w:rPr>
              <w:t>指因疾病或意外伤害导致意识丧失，对外界刺激和体内需求均无反应，昏迷</w:t>
            </w:r>
            <w:r>
              <w:rPr>
                <w:spacing w:val="-6"/>
                <w:sz w:val="21"/>
              </w:rPr>
              <w:t>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2"/>
                <w:sz w:val="21"/>
              </w:rPr>
              <w:t>分以下</w:t>
            </w:r>
            <w:r>
              <w:rPr>
                <w:spacing w:val="-5"/>
                <w:sz w:val="21"/>
              </w:rPr>
              <w:t>且已经持续使用呼吸机及其他生命维持系统 </w:t>
            </w:r>
            <w:r>
              <w:rPr>
                <w:rFonts w:ascii="Times New Roman" w:eastAsia="Times New Roman"/>
                <w:sz w:val="21"/>
              </w:rPr>
              <w:t>96 </w:t>
            </w:r>
            <w:r>
              <w:rPr>
                <w:spacing w:val="-2"/>
                <w:sz w:val="21"/>
              </w:rPr>
              <w:t>小时以上。</w:t>
            </w:r>
          </w:p>
          <w:p>
            <w:pPr>
              <w:pStyle w:val="TableParagraph"/>
              <w:spacing w:line="273" w:lineRule="exact" w:before="9"/>
              <w:rPr>
                <w:b/>
                <w:sz w:val="21"/>
              </w:rPr>
            </w:pPr>
            <w:r>
              <w:rPr>
                <w:b/>
                <w:sz w:val="21"/>
              </w:rPr>
              <w:t>因酗酒或药物滥用导致的深度昏迷不在保障范围内。</w:t>
            </w:r>
          </w:p>
        </w:tc>
      </w:tr>
      <w:tr>
        <w:trPr>
          <w:trHeight w:val="1560" w:hRule="atLeast"/>
        </w:trPr>
        <w:tc>
          <w:tcPr>
            <w:tcW w:w="470" w:type="dxa"/>
          </w:tcPr>
          <w:p>
            <w:pPr>
              <w:pStyle w:val="TableParagraph"/>
              <w:spacing w:before="38"/>
              <w:ind w:left="0" w:right="5"/>
              <w:jc w:val="right"/>
              <w:rPr>
                <w:rFonts w:ascii="Times New Roman"/>
                <w:sz w:val="21"/>
              </w:rPr>
            </w:pPr>
            <w:r>
              <w:rPr>
                <w:rFonts w:ascii="Times New Roman"/>
                <w:sz w:val="21"/>
              </w:rPr>
              <w:t>13.</w:t>
            </w:r>
          </w:p>
        </w:tc>
        <w:tc>
          <w:tcPr>
            <w:tcW w:w="2635" w:type="dxa"/>
          </w:tcPr>
          <w:p>
            <w:pPr>
              <w:pStyle w:val="TableParagraph"/>
              <w:spacing w:line="282" w:lineRule="exact"/>
              <w:ind w:left="6"/>
              <w:rPr>
                <w:b/>
                <w:sz w:val="21"/>
              </w:rPr>
            </w:pPr>
            <w:r>
              <w:rPr>
                <w:sz w:val="21"/>
              </w:rPr>
              <w:t>双耳失聪 </w:t>
            </w:r>
            <w:r>
              <w:rPr>
                <w:rFonts w:ascii="Times New Roman" w:eastAsia="Times New Roman"/>
                <w:sz w:val="21"/>
              </w:rPr>
              <w:t>-  </w:t>
            </w:r>
            <w:r>
              <w:rPr>
                <w:b/>
                <w:sz w:val="21"/>
              </w:rPr>
              <w:t>三岁始理赔</w:t>
            </w:r>
          </w:p>
        </w:tc>
        <w:tc>
          <w:tcPr>
            <w:tcW w:w="7299" w:type="dxa"/>
          </w:tcPr>
          <w:p>
            <w:pPr>
              <w:pStyle w:val="TableParagraph"/>
              <w:spacing w:line="282" w:lineRule="exact"/>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2"/>
              <w:ind w:right="196"/>
              <w:rPr>
                <w:sz w:val="21"/>
              </w:rPr>
            </w:pPr>
            <w:r>
              <w:rPr>
                <w:spacing w:val="-13"/>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312" w:lineRule="exact" w:before="18"/>
              <w:ind w:right="273"/>
              <w:rPr>
                <w:sz w:val="21"/>
              </w:rPr>
            </w:pPr>
            <w:r>
              <w:rPr>
                <w:spacing w:val="-7"/>
                <w:sz w:val="21"/>
              </w:rPr>
              <w:t>被保险人申请理赔时年龄必须在三周岁以上，并且提供理赔当时的听力丧失</w:t>
            </w:r>
            <w:r>
              <w:rPr>
                <w:spacing w:val="-5"/>
                <w:sz w:val="21"/>
              </w:rPr>
              <w:t>诊断及检查证据。</w:t>
            </w:r>
          </w:p>
        </w:tc>
      </w:tr>
      <w:tr>
        <w:trPr>
          <w:trHeight w:val="2496" w:hRule="atLeast"/>
        </w:trPr>
        <w:tc>
          <w:tcPr>
            <w:tcW w:w="470" w:type="dxa"/>
          </w:tcPr>
          <w:p>
            <w:pPr>
              <w:pStyle w:val="TableParagraph"/>
              <w:spacing w:before="38"/>
              <w:ind w:left="0" w:right="5"/>
              <w:jc w:val="right"/>
              <w:rPr>
                <w:rFonts w:ascii="Times New Roman"/>
                <w:sz w:val="21"/>
              </w:rPr>
            </w:pPr>
            <w:r>
              <w:rPr>
                <w:rFonts w:ascii="Times New Roman"/>
                <w:sz w:val="21"/>
              </w:rPr>
              <w:t>14.</w:t>
            </w:r>
          </w:p>
        </w:tc>
        <w:tc>
          <w:tcPr>
            <w:tcW w:w="2635" w:type="dxa"/>
          </w:tcPr>
          <w:p>
            <w:pPr>
              <w:pStyle w:val="TableParagraph"/>
              <w:spacing w:line="282" w:lineRule="exact"/>
              <w:ind w:left="6"/>
              <w:rPr>
                <w:b/>
                <w:sz w:val="21"/>
              </w:rPr>
            </w:pPr>
            <w:r>
              <w:rPr>
                <w:sz w:val="21"/>
              </w:rPr>
              <w:t>双目失明 </w:t>
            </w:r>
            <w:r>
              <w:rPr>
                <w:rFonts w:ascii="Times New Roman" w:eastAsia="Times New Roman"/>
                <w:sz w:val="21"/>
              </w:rPr>
              <w:t>-  </w:t>
            </w:r>
            <w:r>
              <w:rPr>
                <w:b/>
                <w:sz w:val="21"/>
              </w:rPr>
              <w:t>三岁始理赔</w:t>
            </w:r>
          </w:p>
        </w:tc>
        <w:tc>
          <w:tcPr>
            <w:tcW w:w="7299" w:type="dxa"/>
          </w:tcPr>
          <w:p>
            <w:pPr>
              <w:pStyle w:val="TableParagraph"/>
              <w:spacing w:line="273" w:lineRule="auto"/>
              <w:ind w:right="273"/>
              <w:rPr>
                <w:sz w:val="21"/>
              </w:rPr>
            </w:pPr>
            <w:r>
              <w:rPr>
                <w:spacing w:val="-7"/>
                <w:sz w:val="21"/>
              </w:rPr>
              <w:t>指因疾病或意外伤害导致双眼视力永久不可逆性丧失，双眼中较好眼须满足</w:t>
            </w:r>
            <w:r>
              <w:rPr>
                <w:spacing w:val="-5"/>
                <w:sz w:val="21"/>
              </w:rPr>
              <w:t>下列至少一项条件：</w:t>
            </w:r>
          </w:p>
          <w:p>
            <w:pPr>
              <w:pStyle w:val="TableParagraph"/>
              <w:spacing w:before="16"/>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right="273"/>
              <w:rPr>
                <w:sz w:val="21"/>
              </w:rPr>
            </w:pPr>
            <w:r>
              <w:rPr>
                <w:sz w:val="21"/>
              </w:rPr>
              <w:t>（</w:t>
            </w:r>
            <w:r>
              <w:rPr>
                <w:rFonts w:ascii="Times New Roman" w:eastAsia="Times New Roman"/>
                <w:sz w:val="21"/>
              </w:rPr>
              <w:t>2</w:t>
            </w:r>
            <w:r>
              <w:rPr>
                <w:sz w:val="21"/>
              </w:rPr>
              <w:t>）</w:t>
            </w:r>
            <w:r>
              <w:rPr>
                <w:spacing w:val="-3"/>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273"/>
              <w:rPr>
                <w:sz w:val="21"/>
              </w:rPr>
            </w:pPr>
            <w:r>
              <w:rPr>
                <w:spacing w:val="-7"/>
                <w:sz w:val="21"/>
              </w:rPr>
              <w:t>被保险人申请理赔时年龄必须在三周岁以上，并且提供理赔当时的视力丧失</w:t>
            </w:r>
            <w:r>
              <w:rPr>
                <w:spacing w:val="-5"/>
                <w:sz w:val="21"/>
              </w:rPr>
              <w:t>诊断及检查证据。</w:t>
            </w:r>
          </w:p>
        </w:tc>
      </w:tr>
      <w:tr>
        <w:trPr>
          <w:trHeight w:val="935" w:hRule="atLeast"/>
        </w:trPr>
        <w:tc>
          <w:tcPr>
            <w:tcW w:w="470" w:type="dxa"/>
          </w:tcPr>
          <w:p>
            <w:pPr>
              <w:pStyle w:val="TableParagraph"/>
              <w:spacing w:before="38"/>
              <w:ind w:left="0" w:right="5"/>
              <w:jc w:val="right"/>
              <w:rPr>
                <w:rFonts w:ascii="Times New Roman"/>
                <w:sz w:val="21"/>
              </w:rPr>
            </w:pPr>
            <w:r>
              <w:rPr>
                <w:rFonts w:ascii="Times New Roman"/>
                <w:sz w:val="21"/>
              </w:rPr>
              <w:t>15.</w:t>
            </w:r>
          </w:p>
        </w:tc>
        <w:tc>
          <w:tcPr>
            <w:tcW w:w="2635" w:type="dxa"/>
          </w:tcPr>
          <w:p>
            <w:pPr>
              <w:pStyle w:val="TableParagraph"/>
              <w:spacing w:line="266" w:lineRule="exact"/>
              <w:ind w:left="6"/>
              <w:rPr>
                <w:sz w:val="21"/>
              </w:rPr>
            </w:pPr>
            <w:r>
              <w:rPr>
                <w:sz w:val="21"/>
              </w:rPr>
              <w:t>瘫痪</w:t>
            </w:r>
          </w:p>
        </w:tc>
        <w:tc>
          <w:tcPr>
            <w:tcW w:w="7299" w:type="dxa"/>
          </w:tcPr>
          <w:p>
            <w:pPr>
              <w:pStyle w:val="TableParagraph"/>
              <w:spacing w:line="264" w:lineRule="auto"/>
              <w:ind w:right="273"/>
              <w:jc w:val="both"/>
              <w:rPr>
                <w:sz w:val="21"/>
              </w:rPr>
            </w:pPr>
            <w:r>
              <w:rPr>
                <w:spacing w:val="-6"/>
                <w:sz w:val="21"/>
              </w:rPr>
              <w:t>指因疾病或意外伤害导致两肢或两肢以上肢体机能永久完全丧失。肢体机能</w:t>
            </w:r>
            <w:r>
              <w:rPr>
                <w:spacing w:val="-11"/>
                <w:sz w:val="21"/>
              </w:rPr>
              <w:t>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8"/>
                <w:sz w:val="21"/>
              </w:rPr>
              <w:t>天后，每肢三大关</w:t>
            </w:r>
            <w:r>
              <w:rPr>
                <w:spacing w:val="-5"/>
                <w:sz w:val="21"/>
              </w:rPr>
              <w:t>节中的两大关节仍然完全僵硬，或不能随意识活动。</w:t>
            </w:r>
          </w:p>
        </w:tc>
      </w:tr>
      <w:tr>
        <w:trPr>
          <w:trHeight w:val="624" w:hRule="atLeast"/>
        </w:trPr>
        <w:tc>
          <w:tcPr>
            <w:tcW w:w="470" w:type="dxa"/>
          </w:tcPr>
          <w:p>
            <w:pPr>
              <w:pStyle w:val="TableParagraph"/>
              <w:spacing w:before="38"/>
              <w:ind w:left="0" w:right="5"/>
              <w:jc w:val="right"/>
              <w:rPr>
                <w:rFonts w:ascii="Times New Roman"/>
                <w:sz w:val="21"/>
              </w:rPr>
            </w:pPr>
            <w:r>
              <w:rPr>
                <w:rFonts w:ascii="Times New Roman"/>
                <w:sz w:val="21"/>
              </w:rPr>
              <w:t>16.</w:t>
            </w:r>
          </w:p>
        </w:tc>
        <w:tc>
          <w:tcPr>
            <w:tcW w:w="2635" w:type="dxa"/>
          </w:tcPr>
          <w:p>
            <w:pPr>
              <w:pStyle w:val="TableParagraph"/>
              <w:spacing w:line="266" w:lineRule="exact"/>
              <w:ind w:left="6"/>
              <w:rPr>
                <w:sz w:val="21"/>
              </w:rPr>
            </w:pPr>
            <w:r>
              <w:rPr>
                <w:sz w:val="21"/>
              </w:rPr>
              <w:t>心脏瓣膜手术</w:t>
            </w:r>
          </w:p>
        </w:tc>
        <w:tc>
          <w:tcPr>
            <w:tcW w:w="7299" w:type="dxa"/>
          </w:tcPr>
          <w:p>
            <w:pPr>
              <w:pStyle w:val="TableParagraph"/>
              <w:spacing w:line="266" w:lineRule="exact"/>
              <w:rPr>
                <w:sz w:val="21"/>
              </w:rPr>
            </w:pPr>
            <w:r>
              <w:rPr>
                <w:sz w:val="21"/>
              </w:rPr>
              <w:t>指为治疗心脏瓣膜疾病，实际实施了开胸进行的心脏瓣膜置换或修复的手</w:t>
            </w:r>
          </w:p>
          <w:p>
            <w:pPr>
              <w:pStyle w:val="TableParagraph"/>
              <w:spacing w:before="37"/>
              <w:rPr>
                <w:sz w:val="21"/>
              </w:rPr>
            </w:pPr>
            <w:r>
              <w:rPr>
                <w:sz w:val="21"/>
              </w:rPr>
              <w:t>术。</w:t>
            </w:r>
          </w:p>
        </w:tc>
      </w:tr>
      <w:tr>
        <w:trPr>
          <w:trHeight w:val="1872" w:hRule="atLeast"/>
        </w:trPr>
        <w:tc>
          <w:tcPr>
            <w:tcW w:w="470" w:type="dxa"/>
          </w:tcPr>
          <w:p>
            <w:pPr>
              <w:pStyle w:val="TableParagraph"/>
              <w:spacing w:before="38"/>
              <w:ind w:left="0" w:right="5"/>
              <w:jc w:val="right"/>
              <w:rPr>
                <w:rFonts w:ascii="Times New Roman"/>
                <w:sz w:val="21"/>
              </w:rPr>
            </w:pPr>
            <w:r>
              <w:rPr>
                <w:rFonts w:ascii="Times New Roman"/>
                <w:sz w:val="21"/>
              </w:rPr>
              <w:t>17.</w:t>
            </w:r>
          </w:p>
        </w:tc>
        <w:tc>
          <w:tcPr>
            <w:tcW w:w="2635" w:type="dxa"/>
          </w:tcPr>
          <w:p>
            <w:pPr>
              <w:pStyle w:val="TableParagraph"/>
              <w:spacing w:line="266" w:lineRule="exact"/>
              <w:ind w:left="6"/>
              <w:rPr>
                <w:sz w:val="21"/>
              </w:rPr>
            </w:pPr>
            <w:r>
              <w:rPr>
                <w:sz w:val="21"/>
              </w:rPr>
              <w:t>严重阿尔茨海默病</w:t>
            </w:r>
          </w:p>
        </w:tc>
        <w:tc>
          <w:tcPr>
            <w:tcW w:w="7299" w:type="dxa"/>
          </w:tcPr>
          <w:p>
            <w:pPr>
              <w:pStyle w:val="TableParagraph"/>
              <w:spacing w:line="264" w:lineRule="auto"/>
              <w:ind w:right="275"/>
              <w:jc w:val="both"/>
              <w:rPr>
                <w:sz w:val="21"/>
              </w:rPr>
            </w:pPr>
            <w:r>
              <w:rPr>
                <w:spacing w:val="-10"/>
                <w:sz w:val="21"/>
              </w:rPr>
              <w:t>指因大脑进行性、不可逆性改变导致智能严重衰退或丧失，临床表现为明显</w:t>
            </w:r>
            <w:r>
              <w:rPr>
                <w:spacing w:val="-11"/>
                <w:sz w:val="21"/>
              </w:rPr>
              <w:t>的认知能力障碍、行为异常和社交能力减退，其日常生活必须持续受到他人</w:t>
            </w:r>
            <w:r>
              <w:rPr>
                <w:spacing w:val="-6"/>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）或正电子发射断层</w:t>
            </w:r>
            <w:r>
              <w:rPr>
                <w:spacing w:val="-7"/>
                <w:sz w:val="21"/>
              </w:rPr>
              <w:t>扫描</w:t>
            </w:r>
            <w:r>
              <w:rPr>
                <w:spacing w:val="-3"/>
                <w:sz w:val="21"/>
              </w:rPr>
              <w:t>（</w:t>
            </w:r>
            <w:r>
              <w:rPr>
                <w:rFonts w:ascii="Times New Roman" w:eastAsia="Times New Roman"/>
                <w:spacing w:val="-3"/>
                <w:sz w:val="21"/>
              </w:rPr>
              <w:t>PET</w:t>
            </w:r>
            <w:r>
              <w:rPr>
                <w:spacing w:val="-3"/>
                <w:sz w:val="21"/>
              </w:rPr>
              <w:t>）</w:t>
            </w:r>
            <w:r>
              <w:rPr>
                <w:spacing w:val="-5"/>
                <w:sz w:val="21"/>
              </w:rPr>
              <w:t>等影像学检查证实，且自主生活能力完全丧失，无法独立完成</w:t>
            </w:r>
            <w:r>
              <w:rPr>
                <w:spacing w:val="-4"/>
                <w:sz w:val="21"/>
              </w:rPr>
              <w:t>六项基本日常生活活动中的三项或三项以上。</w:t>
            </w:r>
          </w:p>
          <w:p>
            <w:pPr>
              <w:pStyle w:val="TableParagraph"/>
              <w:spacing w:before="25"/>
              <w:jc w:val="both"/>
              <w:rPr>
                <w:b/>
                <w:sz w:val="21"/>
              </w:rPr>
            </w:pPr>
            <w:r>
              <w:rPr>
                <w:b/>
                <w:sz w:val="21"/>
              </w:rPr>
              <w:t>神经官能症和精神疾病不在保障范围内。</w:t>
            </w:r>
          </w:p>
        </w:tc>
      </w:tr>
      <w:tr>
        <w:trPr>
          <w:trHeight w:val="2495" w:hRule="atLeast"/>
        </w:trPr>
        <w:tc>
          <w:tcPr>
            <w:tcW w:w="470" w:type="dxa"/>
          </w:tcPr>
          <w:p>
            <w:pPr>
              <w:pStyle w:val="TableParagraph"/>
              <w:spacing w:before="38"/>
              <w:ind w:left="0" w:right="5"/>
              <w:jc w:val="right"/>
              <w:rPr>
                <w:rFonts w:ascii="Times New Roman"/>
                <w:sz w:val="21"/>
              </w:rPr>
            </w:pPr>
            <w:r>
              <w:rPr>
                <w:rFonts w:ascii="Times New Roman"/>
                <w:sz w:val="21"/>
              </w:rPr>
              <w:t>18.</w:t>
            </w:r>
          </w:p>
        </w:tc>
        <w:tc>
          <w:tcPr>
            <w:tcW w:w="2635" w:type="dxa"/>
          </w:tcPr>
          <w:p>
            <w:pPr>
              <w:pStyle w:val="TableParagraph"/>
              <w:spacing w:line="266" w:lineRule="exact"/>
              <w:ind w:left="6"/>
              <w:rPr>
                <w:sz w:val="21"/>
              </w:rPr>
            </w:pPr>
            <w:r>
              <w:rPr>
                <w:sz w:val="21"/>
              </w:rPr>
              <w:t>严重脑损伤</w:t>
            </w:r>
          </w:p>
        </w:tc>
        <w:tc>
          <w:tcPr>
            <w:tcW w:w="7299" w:type="dxa"/>
          </w:tcPr>
          <w:p>
            <w:pPr>
              <w:pStyle w:val="TableParagraph"/>
              <w:spacing w:line="264" w:lineRule="auto"/>
              <w:ind w:right="273"/>
              <w:jc w:val="both"/>
              <w:rPr>
                <w:sz w:val="21"/>
              </w:rPr>
            </w:pPr>
            <w:r>
              <w:rPr>
                <w:spacing w:val="-8"/>
                <w:sz w:val="21"/>
              </w:rPr>
              <w:t>指因头部遭受机械性外力，引起脑重要部位损伤，导致神经系统永久性的功</w:t>
            </w:r>
            <w:r>
              <w:rPr>
                <w:spacing w:val="-5"/>
                <w:w w:val="100"/>
                <w:sz w:val="21"/>
              </w:rPr>
              <w:t>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w:t>
            </w:r>
            <w:r>
              <w:rPr>
                <w:spacing w:val="-2"/>
                <w:w w:val="100"/>
                <w:sz w:val="21"/>
              </w:rPr>
              <w:t>或正电子发射断</w:t>
            </w:r>
            <w:r>
              <w:rPr>
                <w:spacing w:val="-5"/>
                <w:sz w:val="21"/>
              </w:rPr>
              <w:t>层扫描</w:t>
            </w:r>
            <w:r>
              <w:rPr>
                <w:spacing w:val="-3"/>
                <w:sz w:val="21"/>
              </w:rPr>
              <w:t>（</w:t>
            </w:r>
            <w:r>
              <w:rPr>
                <w:rFonts w:ascii="Times New Roman" w:eastAsia="Times New Roman"/>
                <w:spacing w:val="-3"/>
                <w:sz w:val="21"/>
              </w:rPr>
              <w:t>PET</w:t>
            </w:r>
            <w:r>
              <w:rPr>
                <w:spacing w:val="-3"/>
                <w:sz w:val="21"/>
              </w:rPr>
              <w:t>）</w:t>
            </w:r>
            <w:r>
              <w:rPr>
                <w:spacing w:val="-5"/>
                <w:sz w:val="21"/>
              </w:rPr>
              <w:t>等影像学检查证实。神经系统永久性的功能障碍，指脑损伤</w:t>
            </w:r>
          </w:p>
          <w:p>
            <w:pPr>
              <w:pStyle w:val="TableParagraph"/>
              <w:spacing w:line="289" w:lineRule="exact" w:before="9"/>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7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578" w:hRule="atLeast"/>
        </w:trPr>
        <w:tc>
          <w:tcPr>
            <w:tcW w:w="470" w:type="dxa"/>
          </w:tcPr>
          <w:p>
            <w:pPr>
              <w:pStyle w:val="TableParagraph"/>
              <w:spacing w:before="38"/>
              <w:ind w:left="0" w:right="5"/>
              <w:jc w:val="right"/>
              <w:rPr>
                <w:rFonts w:ascii="Times New Roman"/>
                <w:sz w:val="21"/>
              </w:rPr>
            </w:pPr>
            <w:r>
              <w:rPr>
                <w:rFonts w:ascii="Times New Roman"/>
                <w:sz w:val="21"/>
              </w:rPr>
              <w:t>19.</w:t>
            </w:r>
          </w:p>
        </w:tc>
        <w:tc>
          <w:tcPr>
            <w:tcW w:w="2635" w:type="dxa"/>
          </w:tcPr>
          <w:p>
            <w:pPr>
              <w:pStyle w:val="TableParagraph"/>
              <w:spacing w:line="266" w:lineRule="exact"/>
              <w:ind w:left="6"/>
              <w:rPr>
                <w:sz w:val="21"/>
              </w:rPr>
            </w:pPr>
            <w:r>
              <w:rPr>
                <w:sz w:val="21"/>
              </w:rPr>
              <w:t>严重帕金森病</w:t>
            </w:r>
          </w:p>
        </w:tc>
        <w:tc>
          <w:tcPr>
            <w:tcW w:w="7299" w:type="dxa"/>
          </w:tcPr>
          <w:p>
            <w:pPr>
              <w:pStyle w:val="TableParagraph"/>
              <w:spacing w:line="266" w:lineRule="exact"/>
              <w:rPr>
                <w:sz w:val="21"/>
              </w:rPr>
            </w:pPr>
            <w:r>
              <w:rPr>
                <w:sz w:val="21"/>
              </w:rPr>
              <w:t>是一种中枢神经系统的退行性疾病，临床表现为震颤麻痹、共济失调等。须</w:t>
            </w:r>
          </w:p>
          <w:p>
            <w:pPr>
              <w:pStyle w:val="TableParagraph"/>
              <w:spacing w:line="255" w:lineRule="exact" w:before="37"/>
              <w:rPr>
                <w:sz w:val="21"/>
              </w:rPr>
            </w:pPr>
            <w:r>
              <w:rPr>
                <w:sz w:val="21"/>
              </w:rPr>
              <w:t>满足下列全部条件：</w:t>
            </w:r>
          </w:p>
        </w:tc>
      </w:tr>
    </w:tbl>
    <w:p>
      <w:pPr>
        <w:spacing w:after="0" w:line="255" w:lineRule="exac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803"/>
        <w:gridCol w:w="7056"/>
      </w:tblGrid>
      <w:tr>
        <w:trPr>
          <w:trHeight w:val="1200" w:hRule="atLeast"/>
        </w:trPr>
        <w:tc>
          <w:tcPr>
            <w:tcW w:w="470" w:type="dxa"/>
          </w:tcPr>
          <w:p>
            <w:pPr>
              <w:pStyle w:val="TableParagraph"/>
              <w:ind w:left="0"/>
              <w:rPr>
                <w:rFonts w:ascii="Times New Roman"/>
                <w:sz w:val="20"/>
              </w:rPr>
            </w:pPr>
          </w:p>
        </w:tc>
        <w:tc>
          <w:tcPr>
            <w:tcW w:w="2803" w:type="dxa"/>
          </w:tcPr>
          <w:p>
            <w:pPr>
              <w:pStyle w:val="TableParagraph"/>
              <w:ind w:left="0"/>
              <w:rPr>
                <w:rFonts w:ascii="Times New Roman"/>
                <w:sz w:val="20"/>
              </w:rPr>
            </w:pPr>
          </w:p>
        </w:tc>
        <w:tc>
          <w:tcPr>
            <w:tcW w:w="7056" w:type="dxa"/>
          </w:tcPr>
          <w:p>
            <w:pPr>
              <w:pStyle w:val="TableParagraph"/>
              <w:spacing w:line="234" w:lineRule="exact"/>
              <w:ind w:left="-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3" w:right="201"/>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1"/>
              <w:ind w:left="-3"/>
              <w:rPr>
                <w:b/>
                <w:sz w:val="21"/>
              </w:rPr>
            </w:pPr>
            <w:r>
              <w:rPr>
                <w:b/>
                <w:sz w:val="21"/>
              </w:rPr>
              <w:t>继发性帕金森综合征不在保障范围内。</w:t>
            </w:r>
          </w:p>
        </w:tc>
      </w:tr>
      <w:tr>
        <w:trPr>
          <w:trHeight w:val="623" w:hRule="atLeast"/>
        </w:trPr>
        <w:tc>
          <w:tcPr>
            <w:tcW w:w="470" w:type="dxa"/>
          </w:tcPr>
          <w:p>
            <w:pPr>
              <w:pStyle w:val="TableParagraph"/>
              <w:spacing w:before="38"/>
              <w:ind w:left="0" w:right="5"/>
              <w:jc w:val="right"/>
              <w:rPr>
                <w:rFonts w:ascii="Times New Roman"/>
                <w:sz w:val="21"/>
              </w:rPr>
            </w:pPr>
            <w:r>
              <w:rPr>
                <w:rFonts w:ascii="Times New Roman"/>
                <w:sz w:val="21"/>
              </w:rPr>
              <w:t>20.</w:t>
            </w:r>
          </w:p>
        </w:tc>
        <w:tc>
          <w:tcPr>
            <w:tcW w:w="2803" w:type="dxa"/>
          </w:tcPr>
          <w:p>
            <w:pPr>
              <w:pStyle w:val="TableParagraph"/>
              <w:spacing w:line="266" w:lineRule="exact"/>
              <w:ind w:left="6"/>
              <w:rPr>
                <w:sz w:val="21"/>
              </w:rPr>
            </w:pPr>
            <w:r>
              <w:rPr>
                <w:sz w:val="21"/>
              </w:rPr>
              <w:t>严重Ⅲ度烧伤</w:t>
            </w:r>
          </w:p>
        </w:tc>
        <w:tc>
          <w:tcPr>
            <w:tcW w:w="7056" w:type="dxa"/>
          </w:tcPr>
          <w:p>
            <w:pPr>
              <w:pStyle w:val="TableParagraph"/>
              <w:spacing w:line="256" w:lineRule="auto"/>
              <w:ind w:left="-3" w:right="124"/>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943" w:hRule="atLeast"/>
        </w:trPr>
        <w:tc>
          <w:tcPr>
            <w:tcW w:w="470" w:type="dxa"/>
          </w:tcPr>
          <w:p>
            <w:pPr>
              <w:pStyle w:val="TableParagraph"/>
              <w:spacing w:before="38"/>
              <w:ind w:left="0" w:right="5"/>
              <w:jc w:val="right"/>
              <w:rPr>
                <w:rFonts w:ascii="Times New Roman"/>
                <w:sz w:val="21"/>
              </w:rPr>
            </w:pPr>
            <w:r>
              <w:rPr>
                <w:rFonts w:ascii="Times New Roman"/>
                <w:sz w:val="21"/>
              </w:rPr>
              <w:t>21.</w:t>
            </w:r>
          </w:p>
        </w:tc>
        <w:tc>
          <w:tcPr>
            <w:tcW w:w="2803" w:type="dxa"/>
          </w:tcPr>
          <w:p>
            <w:pPr>
              <w:pStyle w:val="TableParagraph"/>
              <w:spacing w:line="266" w:lineRule="exact"/>
              <w:ind w:left="6"/>
              <w:rPr>
                <w:sz w:val="21"/>
              </w:rPr>
            </w:pPr>
            <w:r>
              <w:rPr>
                <w:sz w:val="21"/>
              </w:rPr>
              <w:t>严重原发性肺动脉高压</w:t>
            </w:r>
          </w:p>
        </w:tc>
        <w:tc>
          <w:tcPr>
            <w:tcW w:w="7056" w:type="dxa"/>
          </w:tcPr>
          <w:p>
            <w:pPr>
              <w:pStyle w:val="TableParagraph"/>
              <w:spacing w:line="273" w:lineRule="auto"/>
              <w:ind w:left="-3" w:right="198"/>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p>
          <w:p>
            <w:pPr>
              <w:pStyle w:val="TableParagraph"/>
              <w:spacing w:before="16"/>
              <w:ind w:left="-3"/>
              <w:rPr>
                <w:sz w:val="21"/>
              </w:rPr>
            </w:pPr>
            <w:r>
              <w:rPr>
                <w:sz w:val="21"/>
              </w:rPr>
              <w:t>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470" w:type="dxa"/>
          </w:tcPr>
          <w:p>
            <w:pPr>
              <w:pStyle w:val="TableParagraph"/>
              <w:spacing w:before="30"/>
              <w:ind w:left="0" w:right="5"/>
              <w:jc w:val="right"/>
              <w:rPr>
                <w:rFonts w:ascii="Times New Roman"/>
                <w:sz w:val="21"/>
              </w:rPr>
            </w:pPr>
            <w:r>
              <w:rPr>
                <w:rFonts w:ascii="Times New Roman"/>
                <w:sz w:val="21"/>
              </w:rPr>
              <w:t>22.</w:t>
            </w:r>
          </w:p>
        </w:tc>
        <w:tc>
          <w:tcPr>
            <w:tcW w:w="2803" w:type="dxa"/>
          </w:tcPr>
          <w:p>
            <w:pPr>
              <w:pStyle w:val="TableParagraph"/>
              <w:spacing w:line="258" w:lineRule="exact"/>
              <w:ind w:left="6"/>
              <w:rPr>
                <w:sz w:val="21"/>
              </w:rPr>
            </w:pPr>
            <w:r>
              <w:rPr>
                <w:sz w:val="21"/>
              </w:rPr>
              <w:t>严重运动神经元病</w:t>
            </w:r>
          </w:p>
        </w:tc>
        <w:tc>
          <w:tcPr>
            <w:tcW w:w="7056" w:type="dxa"/>
          </w:tcPr>
          <w:p>
            <w:pPr>
              <w:pStyle w:val="TableParagraph"/>
              <w:spacing w:line="258" w:lineRule="exact"/>
              <w:ind w:left="-3"/>
              <w:rPr>
                <w:sz w:val="21"/>
              </w:rPr>
            </w:pPr>
            <w:r>
              <w:rPr>
                <w:sz w:val="21"/>
              </w:rPr>
              <w:t>是一组中枢神经系统运动神经元的进行性变性疾病，包括进行性脊肌萎缩</w:t>
            </w:r>
          </w:p>
          <w:p>
            <w:pPr>
              <w:pStyle w:val="TableParagraph"/>
              <w:spacing w:before="37"/>
              <w:ind w:left="-3"/>
              <w:rPr>
                <w:sz w:val="21"/>
              </w:rPr>
            </w:pPr>
            <w:r>
              <w:rPr>
                <w:sz w:val="21"/>
              </w:rPr>
              <w:t>症、进行性延髓麻痹症、原发性侧索硬化症、肌萎缩性侧索硬化症。须满足</w:t>
            </w:r>
          </w:p>
          <w:p>
            <w:pPr>
              <w:pStyle w:val="TableParagraph"/>
              <w:spacing w:line="310" w:lineRule="atLeast" w:before="2"/>
              <w:ind w:left="-3" w:right="198"/>
              <w:rPr>
                <w:sz w:val="21"/>
              </w:rPr>
            </w:pPr>
            <w:r>
              <w:rPr>
                <w:spacing w:val="-10"/>
                <w:sz w:val="21"/>
              </w:rPr>
              <w:t>自主生活能力完全丧失，无法独立完成六项基本日常生活活动中的三项或三</w:t>
            </w:r>
            <w:r>
              <w:rPr>
                <w:spacing w:val="-5"/>
                <w:sz w:val="21"/>
              </w:rPr>
              <w:t>项以上的条件。</w:t>
            </w:r>
          </w:p>
        </w:tc>
      </w:tr>
      <w:tr>
        <w:trPr>
          <w:trHeight w:val="1560" w:hRule="atLeast"/>
        </w:trPr>
        <w:tc>
          <w:tcPr>
            <w:tcW w:w="470" w:type="dxa"/>
          </w:tcPr>
          <w:p>
            <w:pPr>
              <w:pStyle w:val="TableParagraph"/>
              <w:spacing w:before="38"/>
              <w:ind w:left="0" w:right="5"/>
              <w:jc w:val="right"/>
              <w:rPr>
                <w:rFonts w:ascii="Times New Roman"/>
                <w:sz w:val="21"/>
              </w:rPr>
            </w:pPr>
            <w:r>
              <w:rPr>
                <w:rFonts w:ascii="Times New Roman"/>
                <w:sz w:val="21"/>
              </w:rPr>
              <w:t>23.</w:t>
            </w:r>
          </w:p>
        </w:tc>
        <w:tc>
          <w:tcPr>
            <w:tcW w:w="2803" w:type="dxa"/>
          </w:tcPr>
          <w:p>
            <w:pPr>
              <w:pStyle w:val="TableParagraph"/>
              <w:spacing w:line="256" w:lineRule="auto"/>
              <w:ind w:left="6" w:right="332"/>
              <w:rPr>
                <w:b/>
                <w:sz w:val="21"/>
              </w:rPr>
            </w:pPr>
            <w:r>
              <w:rPr>
                <w:sz w:val="21"/>
              </w:rPr>
              <w:t>语言能力丧失 </w:t>
            </w:r>
            <w:r>
              <w:rPr>
                <w:rFonts w:ascii="Times New Roman" w:eastAsia="Times New Roman"/>
                <w:sz w:val="21"/>
              </w:rPr>
              <w:t>- </w:t>
            </w:r>
            <w:r>
              <w:rPr>
                <w:b/>
                <w:sz w:val="21"/>
              </w:rPr>
              <w:t>三岁始理赔</w:t>
            </w:r>
          </w:p>
        </w:tc>
        <w:tc>
          <w:tcPr>
            <w:tcW w:w="7056" w:type="dxa"/>
          </w:tcPr>
          <w:p>
            <w:pPr>
              <w:pStyle w:val="TableParagraph"/>
              <w:spacing w:line="256" w:lineRule="auto"/>
              <w:ind w:left="-3" w:right="198"/>
              <w:rPr>
                <w:sz w:val="21"/>
              </w:rPr>
            </w:pPr>
            <w:r>
              <w:rPr>
                <w:spacing w:val="-9"/>
                <w:sz w:val="21"/>
              </w:rPr>
              <w:t>指因疾病或意外伤害导致完全丧失语言能力，经过积极治疗至少 </w:t>
            </w:r>
            <w:r>
              <w:rPr>
                <w:rFonts w:ascii="Times New Roman" w:eastAsia="Times New Roman"/>
                <w:sz w:val="21"/>
              </w:rPr>
              <w:t>12 </w:t>
            </w:r>
            <w:r>
              <w:rPr>
                <w:spacing w:val="-47"/>
                <w:sz w:val="21"/>
              </w:rPr>
              <w:t>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1"/>
              <w:ind w:left="-3"/>
              <w:rPr>
                <w:b/>
                <w:sz w:val="21"/>
              </w:rPr>
            </w:pPr>
            <w:r>
              <w:rPr>
                <w:b/>
                <w:sz w:val="21"/>
              </w:rPr>
              <w:t>精神心理因素所致的语言能力丧失不在保障范围内。</w:t>
            </w:r>
          </w:p>
          <w:p>
            <w:pPr>
              <w:pStyle w:val="TableParagraph"/>
              <w:spacing w:line="310" w:lineRule="atLeast" w:before="1"/>
              <w:ind w:left="-3" w:right="198"/>
              <w:rPr>
                <w:sz w:val="21"/>
              </w:rPr>
            </w:pPr>
            <w:r>
              <w:rPr>
                <w:spacing w:val="-7"/>
                <w:sz w:val="21"/>
              </w:rPr>
              <w:t>被保险人申请理赔时年龄必须在三周岁以上，并且提供理赔当时的语言能力</w:t>
            </w:r>
            <w:r>
              <w:rPr>
                <w:spacing w:val="-5"/>
                <w:sz w:val="21"/>
              </w:rPr>
              <w:t>丧失诊断及检查证据。</w:t>
            </w:r>
          </w:p>
        </w:tc>
      </w:tr>
      <w:tr>
        <w:trPr>
          <w:trHeight w:val="2192" w:hRule="atLeast"/>
        </w:trPr>
        <w:tc>
          <w:tcPr>
            <w:tcW w:w="470" w:type="dxa"/>
          </w:tcPr>
          <w:p>
            <w:pPr>
              <w:pStyle w:val="TableParagraph"/>
              <w:spacing w:before="38"/>
              <w:ind w:left="0" w:right="5"/>
              <w:jc w:val="right"/>
              <w:rPr>
                <w:rFonts w:ascii="Times New Roman"/>
                <w:sz w:val="21"/>
              </w:rPr>
            </w:pPr>
            <w:r>
              <w:rPr>
                <w:rFonts w:ascii="Times New Roman"/>
                <w:sz w:val="21"/>
              </w:rPr>
              <w:t>24.</w:t>
            </w:r>
          </w:p>
        </w:tc>
        <w:tc>
          <w:tcPr>
            <w:tcW w:w="2803" w:type="dxa"/>
          </w:tcPr>
          <w:p>
            <w:pPr>
              <w:pStyle w:val="TableParagraph"/>
              <w:spacing w:line="266" w:lineRule="exact"/>
              <w:ind w:left="6"/>
              <w:rPr>
                <w:sz w:val="21"/>
              </w:rPr>
            </w:pPr>
            <w:r>
              <w:rPr>
                <w:sz w:val="21"/>
              </w:rPr>
              <w:t>重型再生障碍性贫血</w:t>
            </w:r>
          </w:p>
        </w:tc>
        <w:tc>
          <w:tcPr>
            <w:tcW w:w="7056" w:type="dxa"/>
          </w:tcPr>
          <w:p>
            <w:pPr>
              <w:pStyle w:val="TableParagraph"/>
              <w:spacing w:line="273" w:lineRule="auto"/>
              <w:ind w:left="-3" w:right="198"/>
              <w:rPr>
                <w:sz w:val="21"/>
              </w:rPr>
            </w:pPr>
            <w:r>
              <w:rPr>
                <w:spacing w:val="-7"/>
                <w:sz w:val="21"/>
              </w:rPr>
              <w:t>指因骨髓造血功能慢性持续性衰竭导致的贫血、中性粒细胞减少及血小板减</w:t>
            </w:r>
            <w:r>
              <w:rPr>
                <w:spacing w:val="-5"/>
                <w:sz w:val="21"/>
              </w:rPr>
              <w:t>少。须满足下列全部条件：</w:t>
            </w:r>
          </w:p>
          <w:p>
            <w:pPr>
              <w:pStyle w:val="TableParagraph"/>
              <w:spacing w:before="16"/>
              <w:ind w:left="-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3"/>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470" w:type="dxa"/>
          </w:tcPr>
          <w:p>
            <w:pPr>
              <w:pStyle w:val="TableParagraph"/>
              <w:spacing w:before="30"/>
              <w:ind w:left="0" w:right="5"/>
              <w:jc w:val="right"/>
              <w:rPr>
                <w:rFonts w:ascii="Times New Roman"/>
                <w:sz w:val="21"/>
              </w:rPr>
            </w:pPr>
            <w:r>
              <w:rPr>
                <w:rFonts w:ascii="Times New Roman"/>
                <w:sz w:val="21"/>
              </w:rPr>
              <w:t>25.</w:t>
            </w:r>
          </w:p>
        </w:tc>
        <w:tc>
          <w:tcPr>
            <w:tcW w:w="2803" w:type="dxa"/>
          </w:tcPr>
          <w:p>
            <w:pPr>
              <w:pStyle w:val="TableParagraph"/>
              <w:spacing w:line="258" w:lineRule="exact"/>
              <w:ind w:left="6"/>
              <w:rPr>
                <w:sz w:val="21"/>
              </w:rPr>
            </w:pPr>
            <w:r>
              <w:rPr>
                <w:sz w:val="21"/>
              </w:rPr>
              <w:t>主动脉手术</w:t>
            </w:r>
          </w:p>
        </w:tc>
        <w:tc>
          <w:tcPr>
            <w:tcW w:w="7056" w:type="dxa"/>
          </w:tcPr>
          <w:p>
            <w:pPr>
              <w:pStyle w:val="TableParagraph"/>
              <w:spacing w:line="258" w:lineRule="exact"/>
              <w:ind w:left="-3"/>
              <w:rPr>
                <w:sz w:val="21"/>
              </w:rPr>
            </w:pPr>
            <w:r>
              <w:rPr>
                <w:sz w:val="21"/>
              </w:rPr>
              <w:t>指为治疗主动脉疾病，实际实施了开胸或开腹进行的切除、置换、修补病损</w:t>
            </w:r>
          </w:p>
          <w:p>
            <w:pPr>
              <w:pStyle w:val="TableParagraph"/>
              <w:spacing w:line="273" w:lineRule="auto" w:before="37"/>
              <w:ind w:left="-3" w:right="198"/>
              <w:rPr>
                <w:b/>
                <w:sz w:val="21"/>
              </w:rPr>
            </w:pPr>
            <w:r>
              <w:rPr>
                <w:spacing w:val="-10"/>
                <w:sz w:val="21"/>
              </w:rPr>
              <w:t>主动脉血管的手术。主动脉指胸主动脉和腹主动脉，</w:t>
            </w:r>
            <w:r>
              <w:rPr>
                <w:b/>
                <w:sz w:val="21"/>
              </w:rPr>
              <w:t>不包括胸主动脉和腹主动脉的分支血管。</w:t>
            </w:r>
          </w:p>
          <w:p>
            <w:pPr>
              <w:pStyle w:val="TableParagraph"/>
              <w:spacing w:before="7"/>
              <w:ind w:left="-3"/>
              <w:rPr>
                <w:b/>
                <w:sz w:val="21"/>
              </w:rPr>
            </w:pPr>
            <w:r>
              <w:rPr>
                <w:b/>
                <w:sz w:val="21"/>
              </w:rPr>
              <w:t>动脉内血管成形术不在保障范围内。</w:t>
            </w:r>
          </w:p>
        </w:tc>
      </w:tr>
      <w:tr>
        <w:trPr>
          <w:trHeight w:val="2192" w:hRule="atLeast"/>
        </w:trPr>
        <w:tc>
          <w:tcPr>
            <w:tcW w:w="470" w:type="dxa"/>
          </w:tcPr>
          <w:p>
            <w:pPr>
              <w:pStyle w:val="TableParagraph"/>
              <w:spacing w:before="38"/>
              <w:ind w:left="0" w:right="5"/>
              <w:jc w:val="right"/>
              <w:rPr>
                <w:rFonts w:ascii="Times New Roman"/>
                <w:sz w:val="21"/>
              </w:rPr>
            </w:pPr>
            <w:r>
              <w:rPr>
                <w:rFonts w:ascii="Times New Roman"/>
                <w:sz w:val="21"/>
              </w:rPr>
              <w:t>26.</w:t>
            </w:r>
          </w:p>
        </w:tc>
        <w:tc>
          <w:tcPr>
            <w:tcW w:w="2803" w:type="dxa"/>
          </w:tcPr>
          <w:p>
            <w:pPr>
              <w:pStyle w:val="TableParagraph"/>
              <w:spacing w:line="266" w:lineRule="exact"/>
              <w:ind w:left="6"/>
              <w:rPr>
                <w:sz w:val="21"/>
              </w:rPr>
            </w:pPr>
            <w:r>
              <w:rPr>
                <w:sz w:val="21"/>
              </w:rPr>
              <w:t>严重多发性硬化</w:t>
            </w:r>
          </w:p>
        </w:tc>
        <w:tc>
          <w:tcPr>
            <w:tcW w:w="7056" w:type="dxa"/>
          </w:tcPr>
          <w:p>
            <w:pPr>
              <w:pStyle w:val="TableParagraph"/>
              <w:spacing w:line="264" w:lineRule="auto"/>
              <w:ind w:left="-3" w:right="198"/>
              <w:jc w:val="both"/>
              <w:rPr>
                <w:sz w:val="21"/>
              </w:rPr>
            </w:pPr>
            <w:r>
              <w:rPr>
                <w:spacing w:val="-7"/>
                <w:sz w:val="21"/>
              </w:rPr>
              <w:t>多发性硬化为中枢神经系统白质多灶性脱髓鞘病变，病变有时累及灰质。多发性硬化须由核磁共振</w:t>
            </w:r>
            <w:r>
              <w:rPr>
                <w:spacing w:val="-6"/>
                <w:sz w:val="21"/>
              </w:rPr>
              <w:t>（</w:t>
            </w:r>
            <w:r>
              <w:rPr>
                <w:rFonts w:ascii="Times New Roman" w:eastAsia="Times New Roman"/>
                <w:spacing w:val="-6"/>
                <w:sz w:val="21"/>
              </w:rPr>
              <w:t>MRI</w:t>
            </w:r>
            <w:r>
              <w:rPr>
                <w:spacing w:val="-6"/>
                <w:sz w:val="21"/>
              </w:rPr>
              <w:t>）</w:t>
            </w:r>
            <w:r>
              <w:rPr>
                <w:spacing w:val="-5"/>
                <w:sz w:val="21"/>
              </w:rPr>
              <w:t>等影像学检查证实，经三级医院神经科专科</w:t>
            </w:r>
            <w:r>
              <w:rPr>
                <w:spacing w:val="-10"/>
                <w:sz w:val="21"/>
              </w:rPr>
              <w:t>医生明确诊断，并且已经造成永久不可逆的神经系统功能损害。永久不可逆</w:t>
            </w:r>
            <w:r>
              <w:rPr>
                <w:spacing w:val="-9"/>
                <w:sz w:val="21"/>
              </w:rPr>
              <w:t>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25"/>
              <w:ind w:left="0"/>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0"/>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2532" w:hRule="atLeast"/>
        </w:trPr>
        <w:tc>
          <w:tcPr>
            <w:tcW w:w="470" w:type="dxa"/>
          </w:tcPr>
          <w:p>
            <w:pPr>
              <w:pStyle w:val="TableParagraph"/>
              <w:spacing w:before="30"/>
              <w:ind w:left="0" w:right="5"/>
              <w:jc w:val="right"/>
              <w:rPr>
                <w:rFonts w:ascii="Times New Roman"/>
                <w:sz w:val="21"/>
              </w:rPr>
            </w:pPr>
            <w:r>
              <w:rPr>
                <w:rFonts w:ascii="Times New Roman"/>
                <w:sz w:val="21"/>
              </w:rPr>
              <w:t>27.</w:t>
            </w:r>
          </w:p>
        </w:tc>
        <w:tc>
          <w:tcPr>
            <w:tcW w:w="2803" w:type="dxa"/>
            <w:tcBorders>
              <w:right w:val="single" w:sz="4" w:space="0" w:color="000000"/>
            </w:tcBorders>
          </w:tcPr>
          <w:p>
            <w:pPr>
              <w:pStyle w:val="TableParagraph"/>
              <w:spacing w:line="274" w:lineRule="exact"/>
              <w:ind w:left="6"/>
              <w:rPr>
                <w:sz w:val="21"/>
              </w:rPr>
            </w:pPr>
            <w:r>
              <w:rPr>
                <w:spacing w:val="-3"/>
                <w:sz w:val="21"/>
              </w:rPr>
              <w:t>因职业关系导致的 </w:t>
            </w:r>
            <w:r>
              <w:rPr>
                <w:rFonts w:ascii="Times New Roman" w:eastAsia="Times New Roman"/>
                <w:sz w:val="21"/>
              </w:rPr>
              <w:t>HIV</w:t>
            </w:r>
            <w:r>
              <w:rPr>
                <w:rFonts w:ascii="Times New Roman" w:eastAsia="Times New Roman"/>
                <w:spacing w:val="51"/>
                <w:sz w:val="21"/>
              </w:rPr>
              <w:t> </w:t>
            </w:r>
            <w:r>
              <w:rPr>
                <w:sz w:val="21"/>
              </w:rPr>
              <w:t>感</w:t>
            </w:r>
          </w:p>
          <w:p>
            <w:pPr>
              <w:pStyle w:val="TableParagraph"/>
              <w:spacing w:before="21"/>
              <w:ind w:left="6"/>
              <w:rPr>
                <w:sz w:val="21"/>
              </w:rPr>
            </w:pPr>
            <w:r>
              <w:rPr>
                <w:w w:val="100"/>
                <w:sz w:val="21"/>
              </w:rPr>
              <w:t>染</w:t>
            </w:r>
          </w:p>
        </w:tc>
        <w:tc>
          <w:tcPr>
            <w:tcW w:w="7056" w:type="dxa"/>
            <w:tcBorders>
              <w:left w:val="single" w:sz="4" w:space="0" w:color="000000"/>
              <w:bottom w:val="single" w:sz="4" w:space="0" w:color="000000"/>
            </w:tcBorders>
          </w:tcPr>
          <w:p>
            <w:pPr>
              <w:pStyle w:val="TableParagraph"/>
              <w:spacing w:line="258" w:lineRule="exact"/>
              <w:ind w:left="-8"/>
              <w:rPr>
                <w:sz w:val="21"/>
              </w:rPr>
            </w:pPr>
            <w:r>
              <w:rPr>
                <w:sz w:val="21"/>
              </w:rPr>
              <w:t>被保险人在其常规职业工作过程中遭遇外伤，或者职业需要处理血液或者其</w:t>
            </w:r>
          </w:p>
          <w:p>
            <w:pPr>
              <w:pStyle w:val="TableParagraph"/>
              <w:spacing w:line="256" w:lineRule="auto" w:before="37"/>
              <w:ind w:left="-8" w:right="3112"/>
              <w:rPr>
                <w:sz w:val="21"/>
              </w:rPr>
            </w:pPr>
            <w:r>
              <w:rPr>
                <w:spacing w:val="-3"/>
                <w:w w:val="100"/>
                <w:sz w:val="21"/>
              </w:rPr>
              <w:t>他体液时感染上人类免疫缺陷病毒（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8"/>
                <w:w w:val="100"/>
                <w:sz w:val="21"/>
              </w:rPr>
              <w:t>）。</w:t>
            </w:r>
            <w:r>
              <w:rPr>
                <w:spacing w:val="-3"/>
                <w:sz w:val="21"/>
              </w:rPr>
              <w:t>理赔必须符合下列所有条件：</w:t>
            </w:r>
          </w:p>
          <w:p>
            <w:pPr>
              <w:pStyle w:val="TableParagraph"/>
              <w:spacing w:line="256" w:lineRule="auto" w:before="22"/>
              <w:ind w:left="-8" w:right="201"/>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tabs>
                <w:tab w:pos="2793" w:val="left" w:leader="none"/>
              </w:tabs>
              <w:spacing w:before="31"/>
              <w:ind w:left="69"/>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3" w:val="left" w:leader="none"/>
              </w:tabs>
              <w:spacing w:before="53"/>
              <w:ind w:left="69"/>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3" w:val="left" w:leader="none"/>
              </w:tabs>
              <w:spacing w:before="51"/>
              <w:ind w:left="69"/>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tc>
      </w:tr>
    </w:tbl>
    <w:p>
      <w:pPr>
        <w:rPr>
          <w:sz w:val="2"/>
          <w:szCs w:val="2"/>
        </w:rPr>
      </w:pPr>
      <w:r>
        <w:rPr/>
        <w:pict>
          <v:group style="position:absolute;margin-left:207.889999pt;margin-top:709.656067pt;width:278.1pt;height:49.35pt;mso-position-horizontal-relative:page;mso-position-vertical-relative:page;z-index:-33856" coordorigin="4158,14193" coordsize="5562,987">
            <v:line style="position:absolute" from="4158,14198" to="6873,14198" stroked="true" strokeweight=".47998pt" strokecolor="#000000">
              <v:stroke dashstyle="solid"/>
            </v:line>
            <v:rect style="position:absolute;left:6872;top:14193;width:10;height:10" filled="true" fillcolor="#000000" stroked="false">
              <v:fill type="solid"/>
            </v:rect>
            <v:line style="position:absolute" from="6882,14198" to="9710,14198" stroked="true" strokeweight=".47998pt" strokecolor="#000000">
              <v:stroke dashstyle="solid"/>
            </v:line>
            <v:line style="position:absolute" from="4158,14522" to="6873,14522" stroked="true" strokeweight=".72003pt" strokecolor="#000000">
              <v:stroke dashstyle="solid"/>
            </v:line>
            <v:line style="position:absolute" from="6887,14522" to="9710,14522" stroked="true" strokeweight=".72003pt" strokecolor="#000000">
              <v:stroke dashstyle="solid"/>
            </v:line>
            <v:line style="position:absolute" from="4158,14851" to="6873,14851" stroked="true" strokeweight=".72003pt" strokecolor="#000000">
              <v:stroke dashstyle="solid"/>
            </v:line>
            <v:line style="position:absolute" from="6887,14851" to="9710,14851" stroked="true" strokeweight=".72003pt" strokecolor="#000000">
              <v:stroke dashstyle="solid"/>
            </v:line>
            <v:line style="position:absolute" from="6880,14203" to="6880,15170" stroked="true" strokeweight=".72pt" strokecolor="#000000">
              <v:stroke dashstyle="solid"/>
            </v:line>
            <v:line style="position:absolute" from="9715,14193" to="9715,15180" stroked="true" strokeweight=".47998pt" strokecolor="#000000">
              <v:stroke dashstyle="solid"/>
            </v:line>
            <w10:wrap type="none"/>
          </v:group>
        </w:pict>
      </w:r>
    </w:p>
    <w:p>
      <w:pPr>
        <w:spacing w:after="0"/>
        <w:rPr>
          <w:sz w:val="2"/>
          <w:szCs w:val="2"/>
        </w:rPr>
        <w:sectPr>
          <w:pgSz w:w="11910" w:h="16160"/>
          <w:pgMar w:header="0" w:footer="631" w:top="142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803"/>
        <w:gridCol w:w="7056"/>
      </w:tblGrid>
      <w:tr>
        <w:trPr>
          <w:trHeight w:val="2518" w:hRule="atLeast"/>
        </w:trPr>
        <w:tc>
          <w:tcPr>
            <w:tcW w:w="470" w:type="dxa"/>
          </w:tcPr>
          <w:p>
            <w:pPr>
              <w:pStyle w:val="TableParagraph"/>
              <w:ind w:left="0"/>
              <w:rPr>
                <w:rFonts w:ascii="Times New Roman"/>
                <w:sz w:val="20"/>
              </w:rPr>
            </w:pPr>
          </w:p>
        </w:tc>
        <w:tc>
          <w:tcPr>
            <w:tcW w:w="2803" w:type="dxa"/>
            <w:tcBorders>
              <w:right w:val="single" w:sz="4" w:space="0" w:color="000000"/>
            </w:tcBorders>
          </w:tcPr>
          <w:p>
            <w:pPr>
              <w:pStyle w:val="TableParagraph"/>
              <w:ind w:left="0"/>
              <w:rPr>
                <w:rFonts w:ascii="Times New Roman"/>
                <w:sz w:val="20"/>
              </w:rPr>
            </w:pPr>
          </w:p>
        </w:tc>
        <w:tc>
          <w:tcPr>
            <w:tcW w:w="7056" w:type="dxa"/>
            <w:tcBorders>
              <w:top w:val="single" w:sz="4" w:space="0" w:color="000000"/>
              <w:left w:val="single" w:sz="4" w:space="0" w:color="000000"/>
            </w:tcBorders>
          </w:tcPr>
          <w:p>
            <w:pPr>
              <w:pStyle w:val="TableParagraph"/>
              <w:tabs>
                <w:tab w:pos="2793" w:val="left" w:leader="none"/>
              </w:tabs>
              <w:spacing w:line="265" w:lineRule="exact"/>
              <w:ind w:left="69"/>
              <w:rPr>
                <w:sz w:val="21"/>
              </w:rPr>
            </w:pPr>
            <w:r>
              <w:rPr>
                <w:sz w:val="21"/>
              </w:rPr>
              <w:t>助产士</w:t>
              <w:tab/>
              <w:t>消防</w:t>
            </w:r>
            <w:r>
              <w:rPr>
                <w:spacing w:val="-3"/>
                <w:sz w:val="21"/>
              </w:rPr>
              <w:t>队</w:t>
            </w:r>
            <w:r>
              <w:rPr>
                <w:sz w:val="21"/>
              </w:rPr>
              <w:t>员</w:t>
            </w:r>
          </w:p>
          <w:p>
            <w:pPr>
              <w:pStyle w:val="TableParagraph"/>
              <w:tabs>
                <w:tab w:pos="2793" w:val="left" w:leader="none"/>
              </w:tabs>
              <w:spacing w:before="52"/>
              <w:ind w:left="69"/>
              <w:rPr>
                <w:sz w:val="21"/>
              </w:rPr>
            </w:pPr>
            <w:r>
              <w:rPr>
                <w:sz w:val="21"/>
              </w:rPr>
              <w:t>警察</w:t>
              <w:tab/>
              <w:t>狱警</w:t>
            </w:r>
          </w:p>
          <w:p>
            <w:pPr>
              <w:pStyle w:val="TableParagraph"/>
              <w:spacing w:line="256" w:lineRule="auto" w:before="46"/>
              <w:ind w:left="-8" w:right="150"/>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4"/>
              <w:ind w:left="-8"/>
              <w:rPr>
                <w:sz w:val="21"/>
              </w:rPr>
            </w:pPr>
            <w:r>
              <w:rPr>
                <w:sz w:val="21"/>
              </w:rPr>
              <w:t>（</w:t>
            </w:r>
            <w:r>
              <w:rPr>
                <w:rFonts w:ascii="Times New Roman" w:eastAsia="Times New Roman"/>
                <w:sz w:val="21"/>
              </w:rPr>
              <w:t>3</w:t>
            </w:r>
            <w:r>
              <w:rPr>
                <w:sz w:val="21"/>
              </w:rPr>
              <w:t>）</w:t>
            </w:r>
            <w:r>
              <w:rPr>
                <w:spacing w:val="-3"/>
                <w:sz w:val="21"/>
              </w:rPr>
              <w:t>必须在事故发生后的 </w:t>
            </w:r>
            <w:r>
              <w:rPr>
                <w:rFonts w:ascii="Times New Roman" w:eastAsia="Times New Roman"/>
                <w:sz w:val="21"/>
              </w:rPr>
              <w:t>6</w:t>
            </w:r>
            <w:r>
              <w:rPr>
                <w:rFonts w:ascii="Times New Roman" w:eastAsia="Times New Roman"/>
                <w:spacing w:val="50"/>
                <w:sz w:val="21"/>
              </w:rPr>
              <w:t> </w:t>
            </w:r>
            <w:r>
              <w:rPr>
                <w:spacing w:val="-4"/>
                <w:sz w:val="21"/>
              </w:rPr>
              <w:t>个月内证实被保险人体内存在 </w:t>
            </w:r>
            <w:r>
              <w:rPr>
                <w:rFonts w:ascii="Times New Roman" w:eastAsia="Times New Roman"/>
                <w:sz w:val="21"/>
              </w:rPr>
              <w:t>HIV</w:t>
            </w:r>
            <w:r>
              <w:rPr>
                <w:rFonts w:ascii="Times New Roman" w:eastAsia="Times New Roman"/>
                <w:spacing w:val="51"/>
                <w:sz w:val="21"/>
              </w:rPr>
              <w:t> </w:t>
            </w:r>
            <w:r>
              <w:rPr>
                <w:spacing w:val="-2"/>
                <w:sz w:val="21"/>
              </w:rPr>
              <w:t>病毒或者</w:t>
            </w:r>
          </w:p>
          <w:p>
            <w:pPr>
              <w:pStyle w:val="TableParagraph"/>
              <w:spacing w:before="21"/>
              <w:ind w:left="-8"/>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312" w:lineRule="exact" w:before="17"/>
              <w:ind w:left="-8" w:right="198"/>
              <w:rPr>
                <w:sz w:val="21"/>
              </w:rPr>
            </w:pPr>
            <w:r>
              <w:rPr>
                <w:spacing w:val="-7"/>
                <w:sz w:val="21"/>
              </w:rPr>
              <w:t>我们承担本项疾病责任不受本附加合同第八条“责任免除”中“被保险人感</w:t>
            </w:r>
            <w:r>
              <w:rPr>
                <w:spacing w:val="-5"/>
                <w:sz w:val="21"/>
              </w:rPr>
              <w:t>染艾滋病病毒或患艾滋病”的限制。</w:t>
            </w:r>
          </w:p>
        </w:tc>
      </w:tr>
      <w:tr>
        <w:trPr>
          <w:trHeight w:val="3744" w:hRule="atLeast"/>
        </w:trPr>
        <w:tc>
          <w:tcPr>
            <w:tcW w:w="470" w:type="dxa"/>
          </w:tcPr>
          <w:p>
            <w:pPr>
              <w:pStyle w:val="TableParagraph"/>
              <w:spacing w:before="38"/>
              <w:ind w:left="0" w:right="5"/>
              <w:jc w:val="right"/>
              <w:rPr>
                <w:rFonts w:ascii="Times New Roman"/>
                <w:sz w:val="21"/>
              </w:rPr>
            </w:pPr>
            <w:r>
              <w:rPr>
                <w:rFonts w:ascii="Times New Roman"/>
                <w:sz w:val="21"/>
              </w:rPr>
              <w:t>28.</w:t>
            </w:r>
          </w:p>
        </w:tc>
        <w:tc>
          <w:tcPr>
            <w:tcW w:w="2803" w:type="dxa"/>
          </w:tcPr>
          <w:p>
            <w:pPr>
              <w:pStyle w:val="TableParagraph"/>
              <w:spacing w:line="273" w:lineRule="auto"/>
              <w:ind w:left="6" w:right="329"/>
              <w:rPr>
                <w:sz w:val="21"/>
              </w:rPr>
            </w:pPr>
            <w:r>
              <w:rPr>
                <w:sz w:val="21"/>
              </w:rPr>
              <w:t>特发性慢性肾上腺皮质功能减退</w:t>
            </w:r>
          </w:p>
        </w:tc>
        <w:tc>
          <w:tcPr>
            <w:tcW w:w="7056" w:type="dxa"/>
          </w:tcPr>
          <w:p>
            <w:pPr>
              <w:pStyle w:val="TableParagraph"/>
              <w:spacing w:line="273" w:lineRule="auto"/>
              <w:ind w:left="-3" w:right="123"/>
              <w:rPr>
                <w:sz w:val="21"/>
              </w:rPr>
            </w:pPr>
            <w:r>
              <w:rPr>
                <w:sz w:val="21"/>
              </w:rPr>
              <w:t>指自身免疫性肾上腺炎（既往称：特发性肾上腺皮质萎缩）导致肾上腺萎缩和慢性肾上腺皮质功能减退。必须满足所有以下条件：</w:t>
            </w:r>
          </w:p>
          <w:p>
            <w:pPr>
              <w:pStyle w:val="TableParagraph"/>
              <w:spacing w:before="16"/>
              <w:ind w:left="-3"/>
              <w:rPr>
                <w:sz w:val="21"/>
              </w:rPr>
            </w:pPr>
            <w:r>
              <w:rPr>
                <w:sz w:val="21"/>
              </w:rPr>
              <w:t>（</w:t>
            </w:r>
            <w:r>
              <w:rPr>
                <w:rFonts w:ascii="Times New Roman" w:eastAsia="Times New Roman"/>
                <w:sz w:val="21"/>
              </w:rPr>
              <w:t>1</w:t>
            </w:r>
            <w:r>
              <w:rPr>
                <w:sz w:val="21"/>
              </w:rPr>
              <w:t>）明确诊断，符合所有以下诊断标准；</w:t>
            </w:r>
          </w:p>
          <w:p>
            <w:pPr>
              <w:pStyle w:val="TableParagraph"/>
              <w:spacing w:before="21"/>
              <w:ind w:left="523"/>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64" w:lineRule="auto" w:before="21"/>
              <w:ind w:left="-3" w:right="296" w:firstLine="525"/>
              <w:jc w:val="both"/>
              <w:rPr>
                <w:sz w:val="21"/>
              </w:rPr>
            </w:pPr>
            <w:r>
              <w:rPr>
                <w:spacing w:val="-7"/>
                <w:sz w:val="21"/>
              </w:rPr>
              <w:t>② 血浆和尿游离皮质醇及尿 </w:t>
            </w:r>
            <w:r>
              <w:rPr>
                <w:sz w:val="21"/>
              </w:rPr>
              <w:t>17</w:t>
            </w:r>
            <w:r>
              <w:rPr>
                <w:spacing w:val="-24"/>
                <w:sz w:val="21"/>
              </w:rPr>
              <w:t> 羟皮质类固醇、</w:t>
            </w:r>
            <w:r>
              <w:rPr>
                <w:sz w:val="21"/>
              </w:rPr>
              <w:t>17</w:t>
            </w:r>
            <w:r>
              <w:rPr>
                <w:spacing w:val="-9"/>
                <w:sz w:val="21"/>
              </w:rPr>
              <w:t> 酮皮质类固醇测定</w:t>
            </w:r>
            <w:r>
              <w:rPr>
                <w:spacing w:val="-8"/>
                <w:sz w:val="21"/>
              </w:rPr>
              <w:t>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16"/>
              <w:ind w:left="-3" w:right="243" w:firstLine="525"/>
              <w:jc w:val="both"/>
              <w:rPr>
                <w:sz w:val="21"/>
              </w:rPr>
            </w:pPr>
            <w:r>
              <w:rPr>
                <w:sz w:val="21"/>
              </w:rPr>
              <w:t>③ 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3"/>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3" w:right="205"/>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470" w:type="dxa"/>
          </w:tcPr>
          <w:p>
            <w:pPr>
              <w:pStyle w:val="TableParagraph"/>
              <w:spacing w:before="38"/>
              <w:ind w:left="0" w:right="5"/>
              <w:jc w:val="right"/>
              <w:rPr>
                <w:rFonts w:ascii="Times New Roman"/>
                <w:sz w:val="21"/>
              </w:rPr>
            </w:pPr>
            <w:r>
              <w:rPr>
                <w:rFonts w:ascii="Times New Roman"/>
                <w:sz w:val="21"/>
              </w:rPr>
              <w:t>29.</w:t>
            </w:r>
          </w:p>
        </w:tc>
        <w:tc>
          <w:tcPr>
            <w:tcW w:w="2803" w:type="dxa"/>
          </w:tcPr>
          <w:p>
            <w:pPr>
              <w:pStyle w:val="TableParagraph"/>
              <w:spacing w:line="273" w:lineRule="auto"/>
              <w:ind w:left="6" w:right="331"/>
              <w:rPr>
                <w:sz w:val="21"/>
              </w:rPr>
            </w:pPr>
            <w:r>
              <w:rPr>
                <w:sz w:val="21"/>
              </w:rPr>
              <w:t>严重冠状动脉粥样硬化性心脏病</w:t>
            </w:r>
          </w:p>
        </w:tc>
        <w:tc>
          <w:tcPr>
            <w:tcW w:w="7056" w:type="dxa"/>
          </w:tcPr>
          <w:p>
            <w:pPr>
              <w:pStyle w:val="TableParagraph"/>
              <w:spacing w:line="273" w:lineRule="auto"/>
              <w:ind w:left="-3" w:right="209"/>
              <w:rPr>
                <w:sz w:val="21"/>
              </w:rPr>
            </w:pPr>
            <w:r>
              <w:rPr>
                <w:sz w:val="21"/>
              </w:rPr>
              <w:t>指经心脏科专科医师根据冠状动脉造影检查结果确诊为主要血管严重狭窄性病变，须满足下列至少一项条件：</w:t>
            </w:r>
          </w:p>
          <w:p>
            <w:pPr>
              <w:pStyle w:val="TableParagraph"/>
              <w:spacing w:line="256" w:lineRule="auto" w:before="17"/>
              <w:ind w:left="-3" w:right="200"/>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3" w:right="200"/>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312" w:lineRule="exact"/>
              <w:ind w:left="-3" w:right="204"/>
              <w:rPr>
                <w:b/>
                <w:sz w:val="21"/>
              </w:rPr>
            </w:pPr>
            <w:r>
              <w:rPr>
                <w:b/>
                <w:spacing w:val="-11"/>
                <w:sz w:val="21"/>
              </w:rPr>
              <w:t>前降支的分支血管、左旋支的分支血管及右冠状动脉的分支血管的狭窄不作</w:t>
            </w:r>
            <w:r>
              <w:rPr>
                <w:b/>
                <w:spacing w:val="-10"/>
                <w:sz w:val="21"/>
              </w:rPr>
              <w:t>为本保障的衡量指标。</w:t>
            </w:r>
          </w:p>
        </w:tc>
      </w:tr>
      <w:tr>
        <w:trPr>
          <w:trHeight w:val="1560" w:hRule="atLeast"/>
        </w:trPr>
        <w:tc>
          <w:tcPr>
            <w:tcW w:w="470" w:type="dxa"/>
          </w:tcPr>
          <w:p>
            <w:pPr>
              <w:pStyle w:val="TableParagraph"/>
              <w:spacing w:before="38"/>
              <w:ind w:left="0" w:right="5"/>
              <w:jc w:val="right"/>
              <w:rPr>
                <w:rFonts w:ascii="Times New Roman"/>
                <w:sz w:val="21"/>
              </w:rPr>
            </w:pPr>
            <w:r>
              <w:rPr>
                <w:rFonts w:ascii="Times New Roman"/>
                <w:sz w:val="21"/>
              </w:rPr>
              <w:t>30.</w:t>
            </w:r>
          </w:p>
        </w:tc>
        <w:tc>
          <w:tcPr>
            <w:tcW w:w="2803" w:type="dxa"/>
          </w:tcPr>
          <w:p>
            <w:pPr>
              <w:pStyle w:val="TableParagraph"/>
              <w:spacing w:line="266" w:lineRule="exact"/>
              <w:ind w:left="6"/>
              <w:rPr>
                <w:sz w:val="21"/>
              </w:rPr>
            </w:pPr>
            <w:r>
              <w:rPr>
                <w:sz w:val="21"/>
              </w:rPr>
              <w:t>脊髓灰质炎</w:t>
            </w:r>
          </w:p>
        </w:tc>
        <w:tc>
          <w:tcPr>
            <w:tcW w:w="7056" w:type="dxa"/>
          </w:tcPr>
          <w:p>
            <w:pPr>
              <w:pStyle w:val="TableParagraph"/>
              <w:spacing w:line="268" w:lineRule="auto"/>
              <w:ind w:left="-3" w:right="198"/>
              <w:jc w:val="both"/>
              <w:rPr>
                <w:sz w:val="21"/>
              </w:rPr>
            </w:pPr>
            <w:r>
              <w:rPr>
                <w:spacing w:val="-7"/>
                <w:sz w:val="21"/>
              </w:rPr>
              <w:t>指由于脊髓灰质炎病毒感染所致的瘫痪性疾病，临床表现为运动功能损害或</w:t>
            </w:r>
            <w:r>
              <w:rPr>
                <w:spacing w:val="-12"/>
                <w:sz w:val="21"/>
              </w:rPr>
              <w:t>呼吸无力。脊髓灰质炎必须明确诊断。</w:t>
            </w:r>
            <w:r>
              <w:rPr>
                <w:b/>
                <w:spacing w:val="-2"/>
                <w:sz w:val="21"/>
              </w:rPr>
              <w:t>本附加合同仅对脊髓灰质炎造成的神</w:t>
            </w:r>
            <w:r>
              <w:rPr>
                <w:b/>
                <w:sz w:val="21"/>
              </w:rPr>
              <w:t>经系统功能损害导致被保险人一肢或一肢以上肢体机能永久完全丧失的情况予以理赔。</w:t>
            </w:r>
            <w:r>
              <w:rPr>
                <w:spacing w:val="-3"/>
                <w:sz w:val="21"/>
              </w:rPr>
              <w:t>肢体机能永久完全丧失，指疾病确诊</w:t>
            </w:r>
            <w:r>
              <w:rPr>
                <w:rFonts w:ascii="Times New Roman" w:eastAsia="Times New Roman"/>
                <w:sz w:val="21"/>
              </w:rPr>
              <w:t>180</w:t>
            </w:r>
            <w:r>
              <w:rPr>
                <w:spacing w:val="-1"/>
                <w:sz w:val="21"/>
              </w:rPr>
              <w:t>天后，每肢三大关节</w:t>
            </w:r>
            <w:r>
              <w:rPr>
                <w:spacing w:val="-3"/>
                <w:sz w:val="21"/>
              </w:rPr>
              <w:t>中的两大关节仍然完全僵硬，或不能随意识活动。</w:t>
            </w:r>
          </w:p>
        </w:tc>
      </w:tr>
      <w:tr>
        <w:trPr>
          <w:trHeight w:val="3120" w:hRule="atLeast"/>
        </w:trPr>
        <w:tc>
          <w:tcPr>
            <w:tcW w:w="470" w:type="dxa"/>
          </w:tcPr>
          <w:p>
            <w:pPr>
              <w:pStyle w:val="TableParagraph"/>
              <w:spacing w:before="38"/>
              <w:ind w:left="0" w:right="5"/>
              <w:jc w:val="right"/>
              <w:rPr>
                <w:rFonts w:ascii="Times New Roman"/>
                <w:sz w:val="21"/>
              </w:rPr>
            </w:pPr>
            <w:r>
              <w:rPr>
                <w:rFonts w:ascii="Times New Roman"/>
                <w:sz w:val="21"/>
              </w:rPr>
              <w:t>31.</w:t>
            </w:r>
          </w:p>
        </w:tc>
        <w:tc>
          <w:tcPr>
            <w:tcW w:w="2803" w:type="dxa"/>
          </w:tcPr>
          <w:p>
            <w:pPr>
              <w:pStyle w:val="TableParagraph"/>
              <w:spacing w:line="266" w:lineRule="exact"/>
              <w:ind w:left="6"/>
              <w:rPr>
                <w:sz w:val="21"/>
              </w:rPr>
            </w:pPr>
            <w:r>
              <w:rPr>
                <w:sz w:val="21"/>
              </w:rPr>
              <w:t>全身性（型）重症肌无力</w:t>
            </w:r>
          </w:p>
        </w:tc>
        <w:tc>
          <w:tcPr>
            <w:tcW w:w="7056" w:type="dxa"/>
          </w:tcPr>
          <w:p>
            <w:pPr>
              <w:pStyle w:val="TableParagraph"/>
              <w:spacing w:line="273" w:lineRule="auto"/>
              <w:ind w:left="-3" w:right="198"/>
              <w:jc w:val="both"/>
              <w:rPr>
                <w:sz w:val="21"/>
              </w:rPr>
            </w:pPr>
            <w:r>
              <w:rPr>
                <w:spacing w:val="-7"/>
                <w:sz w:val="21"/>
              </w:rPr>
              <w:t>指一种神经与肌肉接头部位传递障碍的自身免疫性疾病，临床特征是局部或</w:t>
            </w:r>
            <w:r>
              <w:rPr>
                <w:spacing w:val="-10"/>
                <w:sz w:val="21"/>
              </w:rPr>
              <w:t>全身横纹肌于活动时易于疲劳无力，颅神经眼外肌最易累及，也可涉及呼吸</w:t>
            </w:r>
            <w:r>
              <w:rPr>
                <w:spacing w:val="-5"/>
                <w:sz w:val="21"/>
              </w:rPr>
              <w:t>肌、下肢近端肌群乃至全身肌肉。其诊断必须同时满足下列全部条件：</w:t>
            </w:r>
          </w:p>
          <w:p>
            <w:pPr>
              <w:pStyle w:val="TableParagraph"/>
              <w:spacing w:line="264" w:lineRule="auto" w:before="16"/>
              <w:ind w:left="-3" w:right="200"/>
              <w:rPr>
                <w:sz w:val="21"/>
              </w:rPr>
            </w:pPr>
            <w:r>
              <w:rPr>
                <w:spacing w:val="-16"/>
                <w:sz w:val="21"/>
              </w:rPr>
              <w:t>（</w:t>
            </w:r>
            <w:r>
              <w:rPr>
                <w:rFonts w:ascii="Times New Roman" w:eastAsia="Times New Roman"/>
                <w:spacing w:val="-16"/>
                <w:sz w:val="21"/>
              </w:rPr>
              <w:t>1</w:t>
            </w:r>
            <w:r>
              <w:rPr>
                <w:spacing w:val="-16"/>
                <w:sz w:val="21"/>
              </w:rPr>
              <w:t>）</w:t>
            </w:r>
            <w:r>
              <w:rPr>
                <w:spacing w:val="-13"/>
                <w:sz w:val="21"/>
              </w:rPr>
              <w:t>经药物、胸腺手术治疗一年以上无法控制病情，丧失正常工作能力</w:t>
            </w:r>
            <w:r>
              <w:rPr>
                <w:spacing w:val="-3"/>
                <w:sz w:val="21"/>
              </w:rPr>
              <w:t>（</w:t>
            </w:r>
            <w:r>
              <w:rPr>
                <w:sz w:val="21"/>
              </w:rPr>
              <w:t>为</w:t>
            </w:r>
            <w:r>
              <w:rPr>
                <w:spacing w:val="-13"/>
                <w:sz w:val="21"/>
              </w:rPr>
              <w:t>维持生命必要的日常生活活动，全需他人扶助，系指食物摄取、大小便始末</w:t>
            </w:r>
            <w:r>
              <w:rPr>
                <w:spacing w:val="-3"/>
                <w:sz w:val="21"/>
              </w:rPr>
              <w:t>穿脱衣服、起居、步行、入浴等，皆不能自己为之，需要他人帮助。</w:t>
            </w:r>
            <w:r>
              <w:rPr>
                <w:sz w:val="21"/>
              </w:rPr>
              <w:t>）；</w:t>
            </w:r>
          </w:p>
          <w:p>
            <w:pPr>
              <w:pStyle w:val="TableParagraph"/>
              <w:spacing w:line="256" w:lineRule="auto" w:before="16"/>
              <w:ind w:left="-3" w:right="201"/>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3" w:right="201"/>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279" w:hRule="atLeast"/>
        </w:trPr>
        <w:tc>
          <w:tcPr>
            <w:tcW w:w="470" w:type="dxa"/>
          </w:tcPr>
          <w:p>
            <w:pPr>
              <w:pStyle w:val="TableParagraph"/>
              <w:spacing w:line="222" w:lineRule="exact" w:before="38"/>
              <w:ind w:left="0" w:right="5"/>
              <w:jc w:val="right"/>
              <w:rPr>
                <w:rFonts w:ascii="Times New Roman"/>
                <w:sz w:val="21"/>
              </w:rPr>
            </w:pPr>
            <w:r>
              <w:rPr>
                <w:rFonts w:ascii="Times New Roman"/>
                <w:sz w:val="21"/>
              </w:rPr>
              <w:t>32.</w:t>
            </w:r>
          </w:p>
        </w:tc>
        <w:tc>
          <w:tcPr>
            <w:tcW w:w="2803" w:type="dxa"/>
          </w:tcPr>
          <w:p>
            <w:pPr>
              <w:pStyle w:val="TableParagraph"/>
              <w:spacing w:line="260" w:lineRule="exact"/>
              <w:ind w:left="6"/>
              <w:rPr>
                <w:sz w:val="21"/>
              </w:rPr>
            </w:pPr>
            <w:r>
              <w:rPr>
                <w:sz w:val="21"/>
              </w:rPr>
              <w:t>严重心肌病</w:t>
            </w:r>
          </w:p>
        </w:tc>
        <w:tc>
          <w:tcPr>
            <w:tcW w:w="7056" w:type="dxa"/>
          </w:tcPr>
          <w:p>
            <w:pPr>
              <w:pStyle w:val="TableParagraph"/>
              <w:spacing w:line="260" w:lineRule="exact"/>
              <w:ind w:left="-3"/>
              <w:rPr>
                <w:sz w:val="21"/>
              </w:rPr>
            </w:pPr>
            <w:r>
              <w:rPr>
                <w:sz w:val="21"/>
              </w:rPr>
              <w:t>指被保人因心肌病导致慢性心功能损害造成永久不可逆性的心功能衰竭。心</w:t>
            </w:r>
          </w:p>
        </w:tc>
      </w:tr>
    </w:tbl>
    <w:p>
      <w:pPr>
        <w:rPr>
          <w:sz w:val="2"/>
          <w:szCs w:val="2"/>
        </w:rPr>
      </w:pPr>
      <w:r>
        <w:rPr/>
        <w:pict>
          <v:group style="position:absolute;margin-left:207.889999pt;margin-top:69.960022pt;width:278.1pt;height:33.050pt;mso-position-horizontal-relative:page;mso-position-vertical-relative:page;z-index:-33832" coordorigin="4158,1399" coordsize="5562,661">
            <v:line style="position:absolute" from="4158,1728" to="6873,1728" stroked="true" strokeweight=".72pt" strokecolor="#000000">
              <v:stroke dashstyle="solid"/>
            </v:line>
            <v:line style="position:absolute" from="6887,1728" to="9710,1728" stroked="true" strokeweight=".72pt" strokecolor="#000000">
              <v:stroke dashstyle="solid"/>
            </v:line>
            <v:line style="position:absolute" from="4158,2055" to="6873,2055" stroked="true" strokeweight=".48pt" strokecolor="#000000">
              <v:stroke dashstyle="solid"/>
            </v:line>
            <v:line style="position:absolute" from="6880,1409" to="6880,2050" stroked="true" strokeweight=".72pt" strokecolor="#000000">
              <v:stroke dashstyle="solid"/>
            </v:line>
            <v:rect style="position:absolute;left:6872;top:2050;width:10;height:10" filled="true" fillcolor="#000000" stroked="false">
              <v:fill type="solid"/>
            </v:rect>
            <v:line style="position:absolute" from="6882,2055" to="9710,2055" stroked="true" strokeweight=".48pt" strokecolor="#000000">
              <v:stroke dashstyle="solid"/>
            </v:line>
            <v:line style="position:absolute" from="9715,1399" to="9715,2060" stroked="true" strokeweight=".47998pt" strokecolor="#000000">
              <v:stroke dashstyle="solid"/>
            </v:line>
            <w10:wrap type="none"/>
          </v:group>
        </w:pict>
      </w:r>
    </w:p>
    <w:p>
      <w:pPr>
        <w:spacing w:after="0"/>
        <w:rPr>
          <w:sz w:val="2"/>
          <w:szCs w:val="2"/>
        </w:rPr>
        <w:sectPr>
          <w:pgSz w:w="11910" w:h="16160"/>
          <w:pgMar w:header="0" w:footer="631" w:top="1380" w:bottom="820" w:left="760" w:right="580"/>
        </w:sectPr>
      </w:pPr>
    </w:p>
    <w:p>
      <w:pPr>
        <w:pStyle w:val="BodyText"/>
        <w:spacing w:line="256" w:lineRule="auto" w:before="27"/>
        <w:ind w:left="3188" w:right="180"/>
        <w:jc w:val="both"/>
      </w:pPr>
      <w:r>
        <w:rPr>
          <w:spacing w:val="-3"/>
        </w:rPr>
        <w:t>功能衰竭程度达到纽约心脏病学会的心功能分级标准之心功能</w:t>
      </w:r>
      <w:r>
        <w:rPr>
          <w:rFonts w:ascii="Times New Roman" w:eastAsia="Times New Roman"/>
          <w:spacing w:val="-3"/>
        </w:rPr>
        <w:t>IV</w:t>
      </w:r>
      <w:r>
        <w:rPr>
          <w:spacing w:val="-20"/>
        </w:rPr>
        <w:t>级，且心功</w:t>
      </w:r>
      <w:r>
        <w:rPr/>
        <w:t>能衰竭状态持续至少</w:t>
      </w:r>
      <w:r>
        <w:rPr>
          <w:rFonts w:ascii="Times New Roman" w:eastAsia="Times New Roman"/>
        </w:rPr>
        <w:t>180</w:t>
      </w:r>
      <w:r>
        <w:rPr>
          <w:spacing w:val="-3"/>
        </w:rPr>
        <w:t>天。被保险人永久不可逆性的体力活动能力受限， 且不能从事任何体力活动。</w:t>
      </w:r>
    </w:p>
    <w:p>
      <w:pPr>
        <w:pStyle w:val="BodyText"/>
        <w:tabs>
          <w:tab w:pos="3188" w:val="left" w:leader="none"/>
        </w:tabs>
        <w:spacing w:before="22"/>
        <w:ind w:left="117"/>
      </w:pPr>
      <w:r>
        <w:rPr>
          <w:rFonts w:ascii="Times New Roman" w:hAnsi="Times New Roman" w:eastAsia="Times New Roman"/>
          <w:spacing w:val="2"/>
        </w:rPr>
        <w:t>33.</w:t>
      </w:r>
      <w:r>
        <w:rPr/>
        <w:t>严重</w:t>
      </w:r>
      <w:r>
        <w:rPr>
          <w:spacing w:val="-3"/>
        </w:rPr>
        <w:t>克</w:t>
      </w:r>
      <w:r>
        <w:rPr/>
        <w:t>罗</w:t>
      </w:r>
      <w:r>
        <w:rPr>
          <w:spacing w:val="-3"/>
        </w:rPr>
        <w:t>恩</w:t>
      </w:r>
      <w:r>
        <w:rPr>
          <w:spacing w:val="-41"/>
        </w:rPr>
        <w:t>病</w:t>
      </w:r>
      <w:r>
        <w:rPr>
          <w:spacing w:val="-3"/>
        </w:rPr>
        <w:t>（</w:t>
      </w:r>
      <w:r>
        <w:rPr>
          <w:rFonts w:ascii="Times New Roman" w:hAnsi="Times New Roman" w:eastAsia="Times New Roman"/>
          <w:spacing w:val="-3"/>
        </w:rPr>
        <w:t>Crohn’s</w:t>
      </w:r>
      <w:r>
        <w:rPr>
          <w:rFonts w:ascii="Times New Roman" w:hAnsi="Times New Roman" w:eastAsia="Times New Roman"/>
          <w:spacing w:val="5"/>
        </w:rPr>
        <w:t> </w:t>
      </w:r>
      <w:r>
        <w:rPr/>
        <w:t>病</w:t>
        <w:tab/>
      </w:r>
      <w:r>
        <w:rPr>
          <w:spacing w:val="2"/>
        </w:rPr>
        <w:t>克</w:t>
      </w:r>
      <w:r>
        <w:rPr/>
        <w:t>罗恩病</w:t>
      </w:r>
      <w:r>
        <w:rPr>
          <w:spacing w:val="2"/>
        </w:rPr>
        <w:t>是</w:t>
      </w:r>
      <w:r>
        <w:rPr/>
        <w:t>一种</w:t>
      </w:r>
      <w:r>
        <w:rPr>
          <w:spacing w:val="2"/>
        </w:rPr>
        <w:t>慢</w:t>
      </w:r>
      <w:r>
        <w:rPr/>
        <w:t>性肉芽</w:t>
      </w:r>
      <w:r>
        <w:rPr>
          <w:spacing w:val="2"/>
        </w:rPr>
        <w:t>肿</w:t>
      </w:r>
      <w:r>
        <w:rPr/>
        <w:t>性肠炎</w:t>
      </w:r>
      <w:r>
        <w:rPr>
          <w:spacing w:val="2"/>
        </w:rPr>
        <w:t>，</w:t>
      </w:r>
      <w:r>
        <w:rPr/>
        <w:t>具有</w:t>
      </w:r>
      <w:r>
        <w:rPr>
          <w:spacing w:val="2"/>
        </w:rPr>
        <w:t>特</w:t>
      </w:r>
      <w:r>
        <w:rPr/>
        <w:t>征性的</w:t>
      </w:r>
      <w:r>
        <w:rPr>
          <w:spacing w:val="2"/>
        </w:rPr>
        <w:t>克</w:t>
      </w:r>
      <w:r>
        <w:rPr/>
        <w:t>罗恩病</w:t>
      </w:r>
      <w:r>
        <w:rPr>
          <w:spacing w:val="2"/>
        </w:rPr>
        <w:t>病</w:t>
      </w:r>
      <w:r>
        <w:rPr/>
        <w:t>理组</w:t>
      </w:r>
      <w:r>
        <w:rPr>
          <w:spacing w:val="2"/>
        </w:rPr>
        <w:t>织</w:t>
      </w:r>
      <w:r>
        <w:rPr/>
        <w:t>学变</w:t>
      </w:r>
    </w:p>
    <w:p>
      <w:pPr>
        <w:pStyle w:val="BodyText"/>
        <w:spacing w:line="273" w:lineRule="auto" w:before="21"/>
        <w:ind w:left="3188" w:right="180"/>
        <w:jc w:val="both"/>
      </w:pPr>
      <w:r>
        <w:rPr>
          <w:spacing w:val="-10"/>
        </w:rPr>
        <w:t>化。诊断必须由病理检查结果证实。被保险人所患的克罗恩病必须已经造成</w:t>
      </w:r>
      <w:r>
        <w:rPr>
          <w:spacing w:val="-5"/>
        </w:rPr>
        <w:t>瘘管形成并伴有肠梗阻或肠穿孔。</w:t>
      </w:r>
    </w:p>
    <w:p>
      <w:pPr>
        <w:pStyle w:val="BodyText"/>
        <w:tabs>
          <w:tab w:pos="3188" w:val="left" w:leader="none"/>
        </w:tabs>
        <w:spacing w:before="7"/>
        <w:ind w:left="117"/>
      </w:pPr>
      <w:r>
        <w:rPr>
          <w:rFonts w:ascii="Times New Roman" w:eastAsia="Times New Roman"/>
          <w:spacing w:val="2"/>
        </w:rPr>
        <w:t>34.</w:t>
      </w:r>
      <w:r>
        <w:rPr/>
        <w:t>严重</w:t>
      </w:r>
      <w:r>
        <w:rPr>
          <w:spacing w:val="-3"/>
        </w:rPr>
        <w:t>溃</w:t>
      </w:r>
      <w:r>
        <w:rPr/>
        <w:t>疡</w:t>
      </w:r>
      <w:r>
        <w:rPr>
          <w:spacing w:val="-3"/>
        </w:rPr>
        <w:t>性</w:t>
      </w:r>
      <w:r>
        <w:rPr/>
        <w:t>结</w:t>
      </w:r>
      <w:r>
        <w:rPr>
          <w:spacing w:val="-3"/>
        </w:rPr>
        <w:t>肠</w:t>
      </w:r>
      <w:r>
        <w:rPr/>
        <w:t>炎</w:t>
        <w:tab/>
      </w:r>
      <w:r>
        <w:rPr>
          <w:spacing w:val="2"/>
        </w:rPr>
        <w:t>本</w:t>
      </w:r>
      <w:r>
        <w:rPr/>
        <w:t>附加合</w:t>
      </w:r>
      <w:r>
        <w:rPr>
          <w:spacing w:val="2"/>
        </w:rPr>
        <w:t>同</w:t>
      </w:r>
      <w:r>
        <w:rPr/>
        <w:t>所保</w:t>
      </w:r>
      <w:r>
        <w:rPr>
          <w:spacing w:val="2"/>
        </w:rPr>
        <w:t>障</w:t>
      </w:r>
      <w:r>
        <w:rPr/>
        <w:t>的溃疡</w:t>
      </w:r>
      <w:r>
        <w:rPr>
          <w:spacing w:val="2"/>
        </w:rPr>
        <w:t>性</w:t>
      </w:r>
      <w:r>
        <w:rPr/>
        <w:t>结肠炎</w:t>
      </w:r>
      <w:r>
        <w:rPr>
          <w:spacing w:val="2"/>
        </w:rPr>
        <w:t>是</w:t>
      </w:r>
      <w:r>
        <w:rPr/>
        <w:t>指伴</w:t>
      </w:r>
      <w:r>
        <w:rPr>
          <w:spacing w:val="2"/>
        </w:rPr>
        <w:t>有</w:t>
      </w:r>
      <w:r>
        <w:rPr/>
        <w:t>致命性</w:t>
      </w:r>
      <w:r>
        <w:rPr>
          <w:spacing w:val="2"/>
        </w:rPr>
        <w:t>电</w:t>
      </w:r>
      <w:r>
        <w:rPr/>
        <w:t>解质紊</w:t>
      </w:r>
      <w:r>
        <w:rPr>
          <w:spacing w:val="2"/>
        </w:rPr>
        <w:t>乱</w:t>
      </w:r>
      <w:r>
        <w:rPr/>
        <w:t>的急</w:t>
      </w:r>
      <w:r>
        <w:rPr>
          <w:spacing w:val="2"/>
        </w:rPr>
        <w:t>性</w:t>
      </w:r>
      <w:r>
        <w:rPr/>
        <w:t>暴发</w:t>
      </w:r>
    </w:p>
    <w:p>
      <w:pPr>
        <w:pStyle w:val="BodyText"/>
        <w:spacing w:line="273" w:lineRule="auto" w:before="21"/>
        <w:ind w:left="3188" w:right="99"/>
      </w:pPr>
      <w:r>
        <w:rPr>
          <w:spacing w:val="-3"/>
        </w:rPr>
        <w:t>性溃疡性结肠炎，病变累及全结肠，表现为严重的血便和系统性症状体征。</w:t>
      </w:r>
      <w:r>
        <w:rPr>
          <w:spacing w:val="-7"/>
        </w:rPr>
        <w:t>溃疡性结肠炎必须根据组织病理学特点诊断，并且被保险人已经接受了结肠</w:t>
      </w:r>
      <w:r>
        <w:rPr>
          <w:spacing w:val="-5"/>
        </w:rPr>
        <w:t>切除或回肠造瘘术。</w:t>
      </w:r>
    </w:p>
    <w:p>
      <w:pPr>
        <w:pStyle w:val="BodyText"/>
        <w:tabs>
          <w:tab w:pos="3188" w:val="left" w:leader="none"/>
        </w:tabs>
        <w:spacing w:before="8"/>
        <w:ind w:left="117"/>
      </w:pPr>
      <w:r>
        <w:rPr>
          <w:rFonts w:ascii="Times New Roman" w:eastAsia="Times New Roman"/>
          <w:spacing w:val="2"/>
        </w:rPr>
        <w:t>35.</w:t>
      </w:r>
      <w:r>
        <w:rPr/>
        <w:t>植物</w:t>
      </w:r>
      <w:r>
        <w:rPr>
          <w:spacing w:val="-3"/>
        </w:rPr>
        <w:t>人</w:t>
      </w:r>
      <w:r>
        <w:rPr/>
        <w:t>状态</w:t>
        <w:tab/>
        <w:t>植物人状态是指由于严重颅脑外伤造成大脑</w:t>
      </w:r>
      <w:r>
        <w:rPr>
          <w:spacing w:val="5"/>
        </w:rPr>
        <w:t>和</w:t>
      </w:r>
      <w:r>
        <w:rPr>
          <w:rFonts w:ascii="Times New Roman" w:eastAsia="Times New Roman"/>
        </w:rPr>
        <w:t>/</w:t>
      </w:r>
      <w:r>
        <w:rPr/>
        <w:t>或脑干严重损害导致完全永</w:t>
      </w:r>
    </w:p>
    <w:p>
      <w:pPr>
        <w:pStyle w:val="BodyText"/>
        <w:spacing w:line="266" w:lineRule="auto" w:before="22"/>
        <w:ind w:left="3188" w:right="177"/>
        <w:jc w:val="both"/>
      </w:pPr>
      <w:r>
        <w:rPr>
          <w:spacing w:val="-7"/>
        </w:rPr>
        <w:t>久性的对自身和环境的意识丧失和中枢神经系统功能丧失，仅残存植物神经</w:t>
      </w:r>
      <w:r>
        <w:rPr>
          <w:spacing w:val="-12"/>
        </w:rPr>
        <w:t>功能的疾病状态。对自身和环境的意识丧失的完全永久性指严重颅脑外伤后</w:t>
      </w:r>
      <w:r>
        <w:rPr>
          <w:spacing w:val="-6"/>
        </w:rPr>
        <w:t>对自身和环境的意识丧失持续</w:t>
      </w:r>
      <w:r>
        <w:rPr>
          <w:rFonts w:ascii="Times New Roman" w:eastAsia="Times New Roman"/>
        </w:rPr>
        <w:t>12</w:t>
      </w:r>
      <w:r>
        <w:rPr>
          <w:spacing w:val="-10"/>
        </w:rPr>
        <w:t>个月以上。诊断必须明确并且具有严重颅脑</w:t>
      </w:r>
      <w:r>
        <w:rPr>
          <w:spacing w:val="-5"/>
        </w:rPr>
        <w:t>外伤和脑损害的证据。</w:t>
      </w:r>
    </w:p>
    <w:p>
      <w:pPr>
        <w:pStyle w:val="BodyText"/>
        <w:tabs>
          <w:tab w:pos="3188" w:val="left" w:leader="none"/>
        </w:tabs>
        <w:spacing w:before="14"/>
        <w:ind w:left="117"/>
      </w:pPr>
      <w:r>
        <w:rPr>
          <w:rFonts w:ascii="Times New Roman" w:eastAsia="Times New Roman"/>
          <w:spacing w:val="2"/>
        </w:rPr>
        <w:t>36.</w:t>
      </w:r>
      <w:r>
        <w:rPr/>
        <w:t>严重</w:t>
      </w:r>
      <w:r>
        <w:rPr>
          <w:spacing w:val="-51"/>
        </w:rPr>
        <w:t> </w:t>
      </w:r>
      <w:r>
        <w:rPr>
          <w:rFonts w:ascii="Times New Roman" w:eastAsia="Times New Roman"/>
        </w:rPr>
        <w:t>1</w:t>
      </w:r>
      <w:r>
        <w:rPr>
          <w:rFonts w:ascii="Times New Roman" w:eastAsia="Times New Roman"/>
          <w:spacing w:val="-1"/>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80"/>
        </w:rPr>
        <w:t>，</w:t>
      </w:r>
      <w:r>
        <w:rPr>
          <w:spacing w:val="-3"/>
        </w:rPr>
        <w:t>且</w:t>
      </w:r>
      <w:r>
        <w:rPr/>
        <w:t>已经</w:t>
      </w:r>
      <w:r>
        <w:rPr>
          <w:spacing w:val="-3"/>
        </w:rPr>
        <w:t>持</w:t>
      </w:r>
      <w:r>
        <w:rPr/>
        <w:t>续</w:t>
      </w:r>
      <w:r>
        <w:rPr>
          <w:spacing w:val="-3"/>
        </w:rPr>
        <w:t>性</w:t>
      </w:r>
      <w:r>
        <w:rPr/>
        <w:t>地</w:t>
      </w:r>
      <w:r>
        <w:rPr>
          <w:spacing w:val="-3"/>
        </w:rPr>
        <w:t>依</w:t>
      </w:r>
      <w:r>
        <w:rPr/>
        <w:t>赖</w:t>
      </w:r>
      <w:r>
        <w:rPr>
          <w:spacing w:val="-3"/>
        </w:rPr>
        <w:t>外</w:t>
      </w:r>
      <w:r>
        <w:rPr/>
        <w:t>源</w:t>
      </w:r>
    </w:p>
    <w:p>
      <w:pPr>
        <w:pStyle w:val="BodyText"/>
        <w:spacing w:line="266" w:lineRule="auto" w:before="21"/>
        <w:ind w:left="3188" w:right="178"/>
        <w:jc w:val="both"/>
      </w:pPr>
      <w:r>
        <w:rPr>
          <w:spacing w:val="-2"/>
        </w:rPr>
        <w:t>性胰岛素维持</w:t>
      </w:r>
      <w:r>
        <w:rPr>
          <w:rFonts w:ascii="Times New Roman" w:eastAsia="Times New Roman"/>
        </w:rPr>
        <w:t>180</w:t>
      </w:r>
      <w:r>
        <w:rPr>
          <w:spacing w:val="-6"/>
        </w:rPr>
        <w:t>天以上。须经血胰岛素测定、血</w:t>
      </w:r>
      <w:r>
        <w:rPr>
          <w:rFonts w:ascii="Times New Roman" w:eastAsia="Times New Roman"/>
        </w:rPr>
        <w:t>C</w:t>
      </w:r>
      <w:r>
        <w:rPr>
          <w:spacing w:val="-3"/>
        </w:rPr>
        <w:t>肽测定或尿</w:t>
      </w:r>
      <w:r>
        <w:rPr>
          <w:rFonts w:ascii="Times New Roman" w:eastAsia="Times New Roman"/>
        </w:rPr>
        <w:t>C</w:t>
      </w:r>
      <w:r>
        <w:rPr>
          <w:spacing w:val="-5"/>
        </w:rPr>
        <w:t>肽测定，结</w:t>
      </w:r>
      <w:r>
        <w:rPr>
          <w:spacing w:val="-10"/>
        </w:rPr>
        <w:t>果异常，并由内分泌科专科医生明确诊断。并须在本附加合同有效期内，且</w:t>
      </w:r>
      <w:r>
        <w:rPr>
          <w:spacing w:val="-11"/>
        </w:rPr>
        <w:t>已经接受下列治疗：因严重心律失常已经植入了心脏起搏器，或因坏疽需切</w:t>
      </w:r>
      <w:r>
        <w:rPr>
          <w:spacing w:val="-6"/>
        </w:rPr>
        <w:t>除至少一个脚趾。</w:t>
      </w:r>
    </w:p>
    <w:p>
      <w:pPr>
        <w:spacing w:after="0" w:line="266" w:lineRule="auto"/>
        <w:jc w:val="both"/>
        <w:sectPr>
          <w:pgSz w:w="11910" w:h="16160"/>
          <w:pgMar w:header="0" w:footer="631" w:top="1340" w:bottom="820" w:left="960" w:right="720"/>
        </w:sectPr>
      </w:pPr>
    </w:p>
    <w:p>
      <w:pPr>
        <w:pStyle w:val="BodyText"/>
        <w:spacing w:before="14"/>
        <w:ind w:left="117"/>
      </w:pPr>
      <w:r>
        <w:rPr>
          <w:rFonts w:ascii="Times New Roman" w:eastAsia="Times New Roman"/>
        </w:rPr>
        <w:t>37.</w:t>
      </w:r>
      <w:r>
        <w:rPr/>
        <w:t>系统性红斑狼疮 －（并发</w:t>
      </w:r>
    </w:p>
    <w:p>
      <w:pPr>
        <w:pStyle w:val="BodyText"/>
        <w:spacing w:before="21"/>
        <w:ind w:left="394"/>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7"/>
        </w:rPr>
      </w:pPr>
    </w:p>
    <w:p>
      <w:pPr>
        <w:pStyle w:val="BodyText"/>
        <w:spacing w:line="256" w:lineRule="auto"/>
        <w:ind w:left="394" w:hanging="277"/>
      </w:pPr>
      <w:r>
        <w:rPr>
          <w:rFonts w:ascii="Times New Roman" w:eastAsia="Times New Roman"/>
        </w:rPr>
        <w:t>38.</w:t>
      </w:r>
      <w:r>
        <w:rPr/>
        <w:t>非阿尔茨海默病所致严重痴呆</w:t>
      </w:r>
    </w:p>
    <w:p>
      <w:pPr>
        <w:pStyle w:val="BodyText"/>
        <w:spacing w:line="273" w:lineRule="auto" w:before="14"/>
        <w:ind w:left="117" w:right="180"/>
      </w:pPr>
      <w:r>
        <w:rPr/>
        <w:br w:type="column"/>
      </w:r>
      <w:r>
        <w:rPr>
          <w:spacing w:val="-8"/>
        </w:rPr>
        <w:t>系统性红斑狼疮是由多种因素引起，累及多系统的自身免疫性疾病。其特点</w:t>
      </w:r>
      <w:r>
        <w:rPr>
          <w:spacing w:val="-5"/>
        </w:rPr>
        <w:t>是生成自身抗体对抗多种自身抗原。多见于育龄妇女。</w:t>
      </w:r>
    </w:p>
    <w:p>
      <w:pPr>
        <w:spacing w:line="266" w:lineRule="auto" w:before="8"/>
        <w:ind w:left="117" w:right="125" w:firstLine="0"/>
        <w:jc w:val="both"/>
        <w:rPr>
          <w:b/>
          <w:sz w:val="21"/>
        </w:rPr>
      </w:pPr>
      <w:r>
        <w:rPr>
          <w:spacing w:val="-5"/>
          <w:sz w:val="21"/>
        </w:rPr>
        <w:t>本附加合同所指的系统性红斑狼疮仅限于累及肾脏</w:t>
      </w:r>
      <w:r>
        <w:rPr>
          <w:sz w:val="21"/>
        </w:rPr>
        <w:t>（</w:t>
      </w:r>
      <w:r>
        <w:rPr>
          <w:spacing w:val="-8"/>
          <w:sz w:val="21"/>
        </w:rPr>
        <w:t>经肾脏活检确认的，符</w:t>
      </w:r>
      <w:r>
        <w:rPr>
          <w:spacing w:val="-29"/>
          <w:sz w:val="21"/>
        </w:rPr>
        <w:t>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pacing w:val="-11"/>
          <w:sz w:val="21"/>
        </w:rPr>
        <w:t>其他类型的红斑性狼疮，如盘状狼疮、仅累及血液及关节的狼疮不在保障范围內。</w:t>
      </w:r>
    </w:p>
    <w:p>
      <w:pPr>
        <w:pStyle w:val="BodyText"/>
        <w:spacing w:before="14"/>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3"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2"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left="117" w:right="178"/>
      </w:pPr>
      <w:r>
        <w:rPr>
          <w:spacing w:val="-3"/>
        </w:rPr>
        <w:t>指因阿尔茨海默病以外的脑的器质性疾病造成脑功能衰竭导致永久不可逆</w:t>
      </w:r>
      <w:r>
        <w:rPr>
          <w:spacing w:val="-16"/>
        </w:rPr>
        <w:t>性的严重痴呆，临床表现为明显的认知能力障碍、行为异常和社交能力减退</w:t>
      </w:r>
      <w:r>
        <w:rPr>
          <w:spacing w:val="-12"/>
        </w:rPr>
        <w:t>被保险人自主生活能力完全丧失，无法独立完成六项基本日常生活活动中的三项或三项以上，日常生活必须持续受到他人监护。导致痴呆的疾病必须明</w:t>
      </w:r>
      <w:r>
        <w:rPr>
          <w:spacing w:val="-6"/>
        </w:rPr>
        <w:t>确诊断，并且有完整的临床、实验室和影像学检查结果证实。</w:t>
      </w:r>
    </w:p>
    <w:p>
      <w:pPr>
        <w:pStyle w:val="Heading2"/>
        <w:spacing w:before="7"/>
      </w:pPr>
      <w:r>
        <w:rPr/>
        <w:t>神经官能症,精神疾病及酒精中毒所致脑损害不在保障范围内。</w:t>
      </w:r>
    </w:p>
    <w:p>
      <w:pPr>
        <w:spacing w:after="0"/>
        <w:sectPr>
          <w:type w:val="continuous"/>
          <w:pgSz w:w="11910" w:h="16160"/>
          <w:pgMar w:top="560" w:bottom="280" w:left="960" w:right="720"/>
          <w:cols w:num="2" w:equalWidth="0">
            <w:col w:w="2859" w:space="211"/>
            <w:col w:w="7160"/>
          </w:cols>
        </w:sectPr>
      </w:pPr>
    </w:p>
    <w:p>
      <w:pPr>
        <w:pStyle w:val="BodyText"/>
        <w:tabs>
          <w:tab w:pos="3188" w:val="left" w:leader="none"/>
        </w:tabs>
        <w:spacing w:before="36"/>
        <w:ind w:left="117"/>
      </w:pPr>
      <w:r>
        <w:rPr>
          <w:rFonts w:ascii="Times New Roman" w:eastAsia="Times New Roman"/>
          <w:spacing w:val="2"/>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41"/>
        </w:rPr>
        <w:t>，</w:t>
      </w:r>
      <w:r>
        <w:rPr/>
        <w:t>表</w:t>
      </w:r>
      <w:r>
        <w:rPr>
          <w:spacing w:val="-3"/>
        </w:rPr>
        <w:t>现</w:t>
      </w:r>
      <w:r>
        <w:rPr/>
        <w:t>为</w:t>
      </w:r>
      <w:r>
        <w:rPr>
          <w:spacing w:val="-3"/>
        </w:rPr>
        <w:t>关节</w:t>
      </w:r>
      <w:r>
        <w:rPr/>
        <w:t>严重</w:t>
      </w:r>
      <w:r>
        <w:rPr>
          <w:spacing w:val="-3"/>
        </w:rPr>
        <w:t>变形</w:t>
      </w:r>
      <w:r>
        <w:rPr>
          <w:spacing w:val="-39"/>
        </w:rPr>
        <w:t>，</w:t>
      </w:r>
      <w:r>
        <w:rPr>
          <w:spacing w:val="-3"/>
        </w:rPr>
        <w:t>侵</w:t>
      </w:r>
      <w:r>
        <w:rPr/>
        <w:t>犯</w:t>
      </w:r>
      <w:r>
        <w:rPr>
          <w:spacing w:val="-3"/>
        </w:rPr>
        <w:t>至</w:t>
      </w:r>
      <w:r>
        <w:rPr/>
        <w:t>少</w:t>
      </w:r>
      <w:r>
        <w:rPr>
          <w:spacing w:val="-3"/>
        </w:rPr>
        <w:t>三</w:t>
      </w:r>
      <w:r>
        <w:rPr/>
        <w:t>个</w:t>
      </w:r>
    </w:p>
    <w:p>
      <w:pPr>
        <w:pStyle w:val="BodyText"/>
        <w:spacing w:before="21"/>
        <w:ind w:left="3188"/>
      </w:pPr>
      <w:r>
        <w:rPr/>
        <w:t>主要关节（腕关节、肘关节、肩关节、踝关节、膝关节、髋关节）或关节组</w:t>
      </w:r>
    </w:p>
    <w:p>
      <w:pPr>
        <w:pStyle w:val="BodyText"/>
        <w:spacing w:line="264" w:lineRule="auto" w:before="37"/>
        <w:ind w:left="3188" w:right="197"/>
        <w:jc w:val="both"/>
      </w:pPr>
      <w:r>
        <w:rPr/>
        <w:t>（</w:t>
      </w:r>
      <w:r>
        <w:rPr>
          <w:spacing w:val="-3"/>
        </w:rPr>
        <w:t>如手的多个指间、掌指关节，足的多个足趾、跖趾关节等</w:t>
      </w:r>
      <w:r>
        <w:rPr>
          <w:spacing w:val="-108"/>
        </w:rPr>
        <w:t>）</w:t>
      </w:r>
      <w:r>
        <w:rPr>
          <w:spacing w:val="-3"/>
        </w:rPr>
        <w:t>。类风湿性关节炎须明确诊断，并已达到类风湿性关节炎功能活动分级</w:t>
      </w:r>
      <w:r>
        <w:rPr/>
        <w:t>（</w:t>
      </w:r>
      <w:r>
        <w:rPr>
          <w:spacing w:val="-3"/>
        </w:rPr>
        <w:t>注</w:t>
      </w:r>
      <w:r>
        <w:rPr/>
        <w:t>）</w:t>
      </w:r>
      <w:r>
        <w:rPr>
          <w:rFonts w:ascii="Times New Roman" w:eastAsia="Times New Roman"/>
        </w:rPr>
        <w:t>IV </w:t>
      </w:r>
      <w:r>
        <w:rPr>
          <w:spacing w:val="-2"/>
        </w:rPr>
        <w:t>级的永</w:t>
      </w:r>
      <w:r>
        <w:rPr>
          <w:spacing w:val="-3"/>
        </w:rPr>
        <w:t>久不可逆性关节功能障碍，且须满足下列全部条件：</w:t>
      </w:r>
    </w:p>
    <w:p>
      <w:pPr>
        <w:spacing w:after="0" w:line="264" w:lineRule="auto"/>
        <w:jc w:val="both"/>
        <w:sectPr>
          <w:type w:val="continuous"/>
          <w:pgSz w:w="11910" w:h="16160"/>
          <w:pgMar w:top="560" w:bottom="280" w:left="9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635"/>
        <w:gridCol w:w="7222"/>
      </w:tblGrid>
      <w:tr>
        <w:trPr>
          <w:trHeight w:val="3072" w:hRule="atLeast"/>
        </w:trPr>
        <w:tc>
          <w:tcPr>
            <w:tcW w:w="470" w:type="dxa"/>
          </w:tcPr>
          <w:p>
            <w:pPr>
              <w:pStyle w:val="TableParagraph"/>
              <w:ind w:left="0"/>
              <w:rPr>
                <w:rFonts w:ascii="Times New Roman"/>
                <w:sz w:val="20"/>
              </w:rPr>
            </w:pPr>
          </w:p>
        </w:tc>
        <w:tc>
          <w:tcPr>
            <w:tcW w:w="2635" w:type="dxa"/>
          </w:tcPr>
          <w:p>
            <w:pPr>
              <w:pStyle w:val="TableParagraph"/>
              <w:ind w:left="0"/>
              <w:rPr>
                <w:rFonts w:ascii="Times New Roman"/>
                <w:sz w:val="20"/>
              </w:rPr>
            </w:pPr>
          </w:p>
        </w:tc>
        <w:tc>
          <w:tcPr>
            <w:tcW w:w="7222" w:type="dxa"/>
          </w:tcPr>
          <w:p>
            <w:pPr>
              <w:pStyle w:val="TableParagraph"/>
              <w:spacing w:line="234" w:lineRule="exact"/>
              <w:rPr>
                <w:sz w:val="21"/>
              </w:rPr>
            </w:pPr>
            <w:r>
              <w:rPr>
                <w:sz w:val="21"/>
              </w:rPr>
              <w:t>（</w:t>
            </w:r>
            <w:r>
              <w:rPr>
                <w:rFonts w:ascii="Times New Roman" w:eastAsia="Times New Roman"/>
                <w:sz w:val="21"/>
              </w:rPr>
              <w:t>1</w:t>
            </w:r>
            <w:r>
              <w:rPr>
                <w:sz w:val="21"/>
              </w:rPr>
              <w:t>）晨僵；</w:t>
            </w:r>
          </w:p>
          <w:p>
            <w:pPr>
              <w:pStyle w:val="TableParagraph"/>
              <w:spacing w:before="21"/>
              <w:rPr>
                <w:sz w:val="21"/>
              </w:rPr>
            </w:pPr>
            <w:r>
              <w:rPr>
                <w:sz w:val="21"/>
              </w:rPr>
              <w:t>（</w:t>
            </w:r>
            <w:r>
              <w:rPr>
                <w:rFonts w:ascii="Times New Roman" w:eastAsia="Times New Roman"/>
                <w:sz w:val="21"/>
              </w:rPr>
              <w:t>2</w:t>
            </w:r>
            <w:r>
              <w:rPr>
                <w:sz w:val="21"/>
              </w:rPr>
              <w:t>）对称性关节炎；</w:t>
            </w:r>
          </w:p>
          <w:p>
            <w:pPr>
              <w:pStyle w:val="TableParagraph"/>
              <w:spacing w:before="20"/>
              <w:rPr>
                <w:sz w:val="21"/>
              </w:rPr>
            </w:pPr>
            <w:r>
              <w:rPr>
                <w:sz w:val="21"/>
              </w:rPr>
              <w:t>（</w:t>
            </w:r>
            <w:r>
              <w:rPr>
                <w:rFonts w:ascii="Times New Roman" w:eastAsia="Times New Roman"/>
                <w:sz w:val="21"/>
              </w:rPr>
              <w:t>3</w:t>
            </w:r>
            <w:r>
              <w:rPr>
                <w:sz w:val="21"/>
              </w:rPr>
              <w:t>）类风湿性皮下结节；</w:t>
            </w:r>
          </w:p>
          <w:p>
            <w:pPr>
              <w:pStyle w:val="TableParagraph"/>
              <w:spacing w:before="20"/>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0"/>
              <w:ind w:right="1752"/>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571"/>
              <w:rPr>
                <w:sz w:val="21"/>
              </w:rPr>
            </w:pPr>
            <w:r>
              <w:rPr>
                <w:sz w:val="21"/>
              </w:rPr>
              <w:t>Ⅰ级：关节功能完整，一般活动无障碍。</w:t>
            </w:r>
          </w:p>
          <w:p>
            <w:pPr>
              <w:pStyle w:val="TableParagraph"/>
              <w:spacing w:before="37"/>
              <w:ind w:left="571"/>
              <w:rPr>
                <w:sz w:val="21"/>
              </w:rPr>
            </w:pPr>
            <w:r>
              <w:rPr>
                <w:sz w:val="21"/>
              </w:rPr>
              <w:t>Ⅱ级：有关节不适或障碍，但尚能完成一半活动。</w:t>
            </w:r>
          </w:p>
          <w:p>
            <w:pPr>
              <w:pStyle w:val="TableParagraph"/>
              <w:spacing w:before="37"/>
              <w:ind w:left="571"/>
              <w:rPr>
                <w:sz w:val="21"/>
              </w:rPr>
            </w:pPr>
            <w:r>
              <w:rPr>
                <w:sz w:val="21"/>
              </w:rPr>
              <w:t>Ⅲ级：功能活动明显受限，但大部分生活可自理。</w:t>
            </w:r>
          </w:p>
          <w:p>
            <w:pPr>
              <w:pStyle w:val="TableParagraph"/>
              <w:spacing w:before="37"/>
              <w:ind w:left="571"/>
              <w:rPr>
                <w:sz w:val="21"/>
              </w:rPr>
            </w:pPr>
            <w:r>
              <w:rPr>
                <w:sz w:val="21"/>
              </w:rPr>
              <w:t>Ⅳ级：生活不能自理或卧床。</w:t>
            </w:r>
          </w:p>
        </w:tc>
      </w:tr>
      <w:tr>
        <w:trPr>
          <w:trHeight w:val="2184" w:hRule="atLeast"/>
        </w:trPr>
        <w:tc>
          <w:tcPr>
            <w:tcW w:w="470" w:type="dxa"/>
          </w:tcPr>
          <w:p>
            <w:pPr>
              <w:pStyle w:val="TableParagraph"/>
              <w:spacing w:before="38"/>
              <w:ind w:left="0" w:right="3"/>
              <w:jc w:val="right"/>
              <w:rPr>
                <w:rFonts w:ascii="Times New Roman"/>
                <w:sz w:val="21"/>
              </w:rPr>
            </w:pPr>
            <w:r>
              <w:rPr>
                <w:rFonts w:ascii="Times New Roman"/>
                <w:sz w:val="21"/>
              </w:rPr>
              <w:t>40.</w:t>
            </w:r>
          </w:p>
        </w:tc>
        <w:tc>
          <w:tcPr>
            <w:tcW w:w="2635" w:type="dxa"/>
          </w:tcPr>
          <w:p>
            <w:pPr>
              <w:pStyle w:val="TableParagraph"/>
              <w:spacing w:line="259" w:lineRule="auto"/>
              <w:ind w:left="6" w:right="163"/>
              <w:rPr>
                <w:b/>
                <w:sz w:val="21"/>
              </w:rPr>
            </w:pPr>
            <w:r>
              <w:rPr>
                <w:sz w:val="21"/>
              </w:rPr>
              <w:t>严重哮喘 </w:t>
            </w:r>
            <w:r>
              <w:rPr>
                <w:rFonts w:ascii="Times New Roman" w:eastAsia="Times New Roman"/>
                <w:sz w:val="21"/>
              </w:rPr>
              <w:t>- </w:t>
            </w:r>
            <w:r>
              <w:rPr>
                <w:b/>
                <w:sz w:val="21"/>
              </w:rPr>
              <w:t>二十五岁前理赔</w:t>
            </w:r>
          </w:p>
        </w:tc>
        <w:tc>
          <w:tcPr>
            <w:tcW w:w="7222" w:type="dxa"/>
          </w:tcPr>
          <w:p>
            <w:pPr>
              <w:pStyle w:val="TableParagraph"/>
              <w:spacing w:line="273" w:lineRule="auto"/>
              <w:ind w:right="198"/>
              <w:rPr>
                <w:sz w:val="21"/>
              </w:rPr>
            </w:pPr>
            <w:r>
              <w:rPr>
                <w:spacing w:val="-7"/>
                <w:sz w:val="21"/>
              </w:rPr>
              <w:t>指一种反复发作的严重支气管阻塞性疾病，经我们认可的专科医生确诊，且</w:t>
            </w:r>
            <w:r>
              <w:rPr>
                <w:spacing w:val="-5"/>
                <w:sz w:val="21"/>
              </w:rPr>
              <w:t>必须同时符合下列标准：</w:t>
            </w:r>
          </w:p>
          <w:p>
            <w:pPr>
              <w:pStyle w:val="TableParagraph"/>
              <w:spacing w:before="16"/>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rPr>
                <w:sz w:val="21"/>
              </w:rPr>
            </w:pPr>
            <w:r>
              <w:rPr>
                <w:sz w:val="21"/>
              </w:rPr>
              <w:t>（</w:t>
            </w:r>
            <w:r>
              <w:rPr>
                <w:rFonts w:ascii="Times New Roman" w:eastAsia="Times New Roman"/>
                <w:sz w:val="21"/>
              </w:rPr>
              <w:t>2</w:t>
            </w:r>
            <w:r>
              <w:rPr>
                <w:sz w:val="21"/>
              </w:rPr>
              <w:t>）因慢性过度换气导致胸廓畸形；</w:t>
            </w:r>
          </w:p>
          <w:p>
            <w:pPr>
              <w:pStyle w:val="TableParagraph"/>
              <w:spacing w:before="20"/>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right="1694"/>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470" w:type="dxa"/>
          </w:tcPr>
          <w:p>
            <w:pPr>
              <w:pStyle w:val="TableParagraph"/>
              <w:spacing w:before="38"/>
              <w:ind w:left="0" w:right="3"/>
              <w:jc w:val="right"/>
              <w:rPr>
                <w:rFonts w:ascii="Times New Roman"/>
                <w:sz w:val="21"/>
              </w:rPr>
            </w:pPr>
            <w:r>
              <w:rPr>
                <w:rFonts w:ascii="Times New Roman"/>
                <w:sz w:val="21"/>
              </w:rPr>
              <w:t>41.</w:t>
            </w:r>
          </w:p>
        </w:tc>
        <w:tc>
          <w:tcPr>
            <w:tcW w:w="2635" w:type="dxa"/>
          </w:tcPr>
          <w:p>
            <w:pPr>
              <w:pStyle w:val="TableParagraph"/>
              <w:spacing w:line="266" w:lineRule="exact"/>
              <w:ind w:left="6"/>
              <w:rPr>
                <w:sz w:val="21"/>
              </w:rPr>
            </w:pPr>
            <w:r>
              <w:rPr>
                <w:sz w:val="21"/>
              </w:rPr>
              <w:t>肾髓质囊性病</w:t>
            </w:r>
          </w:p>
        </w:tc>
        <w:tc>
          <w:tcPr>
            <w:tcW w:w="7222" w:type="dxa"/>
          </w:tcPr>
          <w:p>
            <w:pPr>
              <w:pStyle w:val="TableParagraph"/>
              <w:spacing w:line="266" w:lineRule="exact"/>
              <w:rPr>
                <w:sz w:val="21"/>
              </w:rPr>
            </w:pPr>
            <w:r>
              <w:rPr>
                <w:sz w:val="21"/>
              </w:rPr>
              <w:t>肾髓质囊性病的诊断须同时符合下列要求：</w:t>
            </w:r>
          </w:p>
          <w:p>
            <w:pPr>
              <w:pStyle w:val="TableParagraph"/>
              <w:spacing w:before="3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rPr>
                <w:sz w:val="21"/>
              </w:rPr>
            </w:pPr>
            <w:r>
              <w:rPr>
                <w:sz w:val="21"/>
              </w:rPr>
              <w:t>（</w:t>
            </w:r>
            <w:r>
              <w:rPr>
                <w:rFonts w:ascii="Times New Roman" w:eastAsia="Times New Roman"/>
                <w:sz w:val="21"/>
              </w:rPr>
              <w:t>2</w:t>
            </w:r>
            <w:r>
              <w:rPr>
                <w:sz w:val="21"/>
              </w:rPr>
              <w:t>）肾功能衰竭；</w:t>
            </w:r>
          </w:p>
          <w:p>
            <w:pPr>
              <w:pStyle w:val="TableParagraph"/>
              <w:spacing w:before="21"/>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right="301"/>
              <w:rPr>
                <w:sz w:val="21"/>
              </w:rPr>
            </w:pPr>
            <w:r>
              <w:rPr>
                <w:spacing w:val="-11"/>
                <w:sz w:val="21"/>
              </w:rPr>
              <w:t>我们承担本项疾病责任不受本附加合同第八条“责任免除”中“遗传性疾病</w:t>
            </w:r>
            <w:r>
              <w:rPr>
                <w:spacing w:val="-6"/>
                <w:sz w:val="21"/>
              </w:rPr>
              <w:t>先天性畸形、变形或染色体异常”的限制。</w:t>
            </w:r>
          </w:p>
        </w:tc>
      </w:tr>
      <w:tr>
        <w:trPr>
          <w:trHeight w:val="1879" w:hRule="atLeast"/>
        </w:trPr>
        <w:tc>
          <w:tcPr>
            <w:tcW w:w="470" w:type="dxa"/>
          </w:tcPr>
          <w:p>
            <w:pPr>
              <w:pStyle w:val="TableParagraph"/>
              <w:spacing w:before="38"/>
              <w:ind w:left="0" w:right="3"/>
              <w:jc w:val="right"/>
              <w:rPr>
                <w:rFonts w:ascii="Times New Roman"/>
                <w:sz w:val="21"/>
              </w:rPr>
            </w:pPr>
            <w:r>
              <w:rPr>
                <w:rFonts w:ascii="Times New Roman"/>
                <w:sz w:val="21"/>
              </w:rPr>
              <w:t>42.</w:t>
            </w:r>
          </w:p>
        </w:tc>
        <w:tc>
          <w:tcPr>
            <w:tcW w:w="2635" w:type="dxa"/>
          </w:tcPr>
          <w:p>
            <w:pPr>
              <w:pStyle w:val="TableParagraph"/>
              <w:spacing w:line="266" w:lineRule="exact"/>
              <w:ind w:left="6"/>
              <w:rPr>
                <w:sz w:val="21"/>
              </w:rPr>
            </w:pPr>
            <w:r>
              <w:rPr>
                <w:sz w:val="21"/>
              </w:rPr>
              <w:t>重症急性坏死性筋膜炎</w:t>
            </w:r>
          </w:p>
        </w:tc>
        <w:tc>
          <w:tcPr>
            <w:tcW w:w="7222" w:type="dxa"/>
          </w:tcPr>
          <w:p>
            <w:pPr>
              <w:pStyle w:val="TableParagraph"/>
              <w:spacing w:line="273" w:lineRule="auto"/>
              <w:ind w:right="196"/>
              <w:jc w:val="both"/>
              <w:rPr>
                <w:sz w:val="21"/>
              </w:rPr>
            </w:pPr>
            <w:r>
              <w:rPr>
                <w:spacing w:val="-6"/>
                <w:sz w:val="21"/>
              </w:rPr>
              <w:t>是一种由细菌侵入皮下组织和筋膜引起的急性坏死性软组织感染，可伴有毒</w:t>
            </w:r>
            <w:r>
              <w:rPr>
                <w:spacing w:val="-11"/>
                <w:sz w:val="21"/>
              </w:rPr>
              <w:t>血症、败血症、中毒性休克、弥漫性血管内凝血及多器官衰竭。必须满足以</w:t>
            </w:r>
            <w:r>
              <w:rPr>
                <w:spacing w:val="-6"/>
                <w:sz w:val="21"/>
              </w:rPr>
              <w:t>下所有条件：</w:t>
            </w:r>
          </w:p>
          <w:p>
            <w:pPr>
              <w:pStyle w:val="TableParagraph"/>
              <w:spacing w:before="16"/>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470" w:type="dxa"/>
          </w:tcPr>
          <w:p>
            <w:pPr>
              <w:pStyle w:val="TableParagraph"/>
              <w:spacing w:before="30"/>
              <w:ind w:left="0" w:right="3"/>
              <w:jc w:val="right"/>
              <w:rPr>
                <w:rFonts w:ascii="Times New Roman"/>
                <w:sz w:val="21"/>
              </w:rPr>
            </w:pPr>
            <w:r>
              <w:rPr>
                <w:rFonts w:ascii="Times New Roman"/>
                <w:sz w:val="21"/>
              </w:rPr>
              <w:t>43.</w:t>
            </w:r>
          </w:p>
        </w:tc>
        <w:tc>
          <w:tcPr>
            <w:tcW w:w="2635" w:type="dxa"/>
          </w:tcPr>
          <w:p>
            <w:pPr>
              <w:pStyle w:val="TableParagraph"/>
              <w:spacing w:line="258" w:lineRule="exact"/>
              <w:ind w:left="6"/>
              <w:rPr>
                <w:sz w:val="21"/>
              </w:rPr>
            </w:pPr>
            <w:r>
              <w:rPr>
                <w:sz w:val="21"/>
              </w:rPr>
              <w:t>慢性呼吸功能衰竭终末期</w:t>
            </w:r>
          </w:p>
          <w:p>
            <w:pPr>
              <w:pStyle w:val="TableParagraph"/>
              <w:spacing w:before="37"/>
              <w:ind w:left="6"/>
              <w:rPr>
                <w:sz w:val="21"/>
              </w:rPr>
            </w:pPr>
            <w:r>
              <w:rPr>
                <w:sz w:val="21"/>
              </w:rPr>
              <w:t>肺病</w:t>
            </w:r>
          </w:p>
        </w:tc>
        <w:tc>
          <w:tcPr>
            <w:tcW w:w="7222" w:type="dxa"/>
          </w:tcPr>
          <w:p>
            <w:pPr>
              <w:pStyle w:val="TableParagraph"/>
              <w:spacing w:line="258" w:lineRule="exact"/>
              <w:rPr>
                <w:sz w:val="21"/>
              </w:rPr>
            </w:pPr>
            <w:r>
              <w:rPr>
                <w:sz w:val="21"/>
              </w:rPr>
              <w:t>指慢性肺部疾病导致永久不可逆性的慢性呼吸功能衰竭，必须由呼吸专科医</w:t>
            </w:r>
          </w:p>
          <w:p>
            <w:pPr>
              <w:pStyle w:val="TableParagraph"/>
              <w:spacing w:before="37"/>
              <w:rPr>
                <w:sz w:val="21"/>
              </w:rPr>
            </w:pPr>
            <w:r>
              <w:rPr>
                <w:sz w:val="21"/>
              </w:rPr>
              <w:t>师确认并符合下列所有条件：</w:t>
            </w:r>
          </w:p>
          <w:p>
            <w:pPr>
              <w:pStyle w:val="TableParagraph"/>
              <w:spacing w:before="37"/>
              <w:rPr>
                <w:sz w:val="21"/>
              </w:rPr>
            </w:pPr>
            <w:r>
              <w:rPr>
                <w:sz w:val="21"/>
              </w:rPr>
              <w:t>（</w:t>
            </w:r>
            <w:r>
              <w:rPr>
                <w:rFonts w:ascii="Times New Roman" w:eastAsia="Times New Roman"/>
                <w:sz w:val="21"/>
              </w:rPr>
              <w:t>1</w:t>
            </w:r>
            <w:r>
              <w:rPr>
                <w:sz w:val="21"/>
              </w:rPr>
              <w:t>）休息时出现呼吸困难；</w:t>
            </w:r>
          </w:p>
          <w:p>
            <w:pPr>
              <w:pStyle w:val="TableParagraph"/>
              <w:spacing w:before="2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0"/>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470" w:type="dxa"/>
          </w:tcPr>
          <w:p>
            <w:pPr>
              <w:pStyle w:val="TableParagraph"/>
              <w:spacing w:before="30"/>
              <w:ind w:left="0" w:right="3"/>
              <w:jc w:val="right"/>
              <w:rPr>
                <w:rFonts w:ascii="Times New Roman"/>
                <w:sz w:val="21"/>
              </w:rPr>
            </w:pPr>
            <w:r>
              <w:rPr>
                <w:rFonts w:ascii="Times New Roman"/>
                <w:sz w:val="21"/>
              </w:rPr>
              <w:t>44.</w:t>
            </w:r>
          </w:p>
        </w:tc>
        <w:tc>
          <w:tcPr>
            <w:tcW w:w="2635" w:type="dxa"/>
          </w:tcPr>
          <w:p>
            <w:pPr>
              <w:pStyle w:val="TableParagraph"/>
              <w:spacing w:line="258" w:lineRule="exact"/>
              <w:ind w:left="6"/>
              <w:rPr>
                <w:sz w:val="21"/>
              </w:rPr>
            </w:pPr>
            <w:r>
              <w:rPr>
                <w:sz w:val="21"/>
              </w:rPr>
              <w:t>胰腺移植</w:t>
            </w:r>
          </w:p>
        </w:tc>
        <w:tc>
          <w:tcPr>
            <w:tcW w:w="7222" w:type="dxa"/>
          </w:tcPr>
          <w:p>
            <w:pPr>
              <w:pStyle w:val="TableParagraph"/>
              <w:spacing w:line="258" w:lineRule="exact"/>
              <w:rPr>
                <w:sz w:val="21"/>
              </w:rPr>
            </w:pPr>
            <w:r>
              <w:rPr>
                <w:sz w:val="21"/>
              </w:rPr>
              <w:t>指因胰腺功能衰竭，已经实施了在全身麻醉下进行的胰腺的异体器官移植手</w:t>
            </w:r>
          </w:p>
          <w:p>
            <w:pPr>
              <w:pStyle w:val="TableParagraph"/>
              <w:spacing w:before="37"/>
              <w:rPr>
                <w:sz w:val="21"/>
              </w:rPr>
            </w:pPr>
            <w:r>
              <w:rPr>
                <w:sz w:val="21"/>
              </w:rPr>
              <w:t>术（</w:t>
            </w:r>
            <w:r>
              <w:rPr>
                <w:spacing w:val="-3"/>
                <w:sz w:val="21"/>
              </w:rPr>
              <w:t>供体必须是人体器官</w:t>
            </w:r>
            <w:r>
              <w:rPr>
                <w:spacing w:val="-108"/>
                <w:sz w:val="21"/>
              </w:rPr>
              <w:t>）</w:t>
            </w:r>
            <w:r>
              <w:rPr>
                <w:sz w:val="21"/>
              </w:rPr>
              <w:t>。</w:t>
            </w:r>
          </w:p>
          <w:p>
            <w:pPr>
              <w:pStyle w:val="TableParagraph"/>
              <w:spacing w:before="37"/>
              <w:rPr>
                <w:b/>
                <w:sz w:val="21"/>
              </w:rPr>
            </w:pPr>
            <w:r>
              <w:rPr>
                <w:b/>
                <w:sz w:val="21"/>
              </w:rPr>
              <w:t>单纯胰岛移植、部分胰腺组织或细胞的移植不在保障范围内。</w:t>
            </w:r>
          </w:p>
        </w:tc>
      </w:tr>
      <w:tr>
        <w:trPr>
          <w:trHeight w:val="943" w:hRule="atLeast"/>
        </w:trPr>
        <w:tc>
          <w:tcPr>
            <w:tcW w:w="470" w:type="dxa"/>
          </w:tcPr>
          <w:p>
            <w:pPr>
              <w:pStyle w:val="TableParagraph"/>
              <w:spacing w:before="38"/>
              <w:ind w:left="0" w:right="5"/>
              <w:jc w:val="right"/>
              <w:rPr>
                <w:rFonts w:ascii="Times New Roman"/>
                <w:sz w:val="21"/>
              </w:rPr>
            </w:pPr>
            <w:r>
              <w:rPr>
                <w:rFonts w:ascii="Times New Roman"/>
                <w:sz w:val="21"/>
              </w:rPr>
              <w:t>45.</w:t>
            </w:r>
          </w:p>
        </w:tc>
        <w:tc>
          <w:tcPr>
            <w:tcW w:w="2635" w:type="dxa"/>
          </w:tcPr>
          <w:p>
            <w:pPr>
              <w:pStyle w:val="TableParagraph"/>
              <w:spacing w:line="266" w:lineRule="exact"/>
              <w:ind w:left="6"/>
              <w:rPr>
                <w:sz w:val="21"/>
              </w:rPr>
            </w:pPr>
            <w:r>
              <w:rPr>
                <w:sz w:val="21"/>
              </w:rPr>
              <w:t>埃博拉病毒感染</w:t>
            </w:r>
          </w:p>
        </w:tc>
        <w:tc>
          <w:tcPr>
            <w:tcW w:w="7222" w:type="dxa"/>
          </w:tcPr>
          <w:p>
            <w:pPr>
              <w:pStyle w:val="TableParagraph"/>
              <w:spacing w:line="266" w:lineRule="exact"/>
              <w:rPr>
                <w:sz w:val="21"/>
              </w:rPr>
            </w:pPr>
            <w:r>
              <w:rPr>
                <w:sz w:val="21"/>
              </w:rPr>
              <w:t>指受埃博拉病毒感染导致出血性发热。埃博拉病必须经国家机关认可的有合</w:t>
            </w:r>
          </w:p>
          <w:p>
            <w:pPr>
              <w:pStyle w:val="TableParagraph"/>
              <w:spacing w:line="312" w:lineRule="exact" w:before="33"/>
              <w:ind w:right="207"/>
              <w:rPr>
                <w:sz w:val="21"/>
              </w:rPr>
            </w:pPr>
            <w:r>
              <w:rPr>
                <w:sz w:val="21"/>
              </w:rPr>
              <w:t>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882" w:hRule="atLeast"/>
        </w:trPr>
        <w:tc>
          <w:tcPr>
            <w:tcW w:w="470" w:type="dxa"/>
          </w:tcPr>
          <w:p>
            <w:pPr>
              <w:pStyle w:val="TableParagraph"/>
              <w:spacing w:before="30"/>
              <w:ind w:left="0" w:right="3"/>
              <w:jc w:val="right"/>
              <w:rPr>
                <w:rFonts w:ascii="Times New Roman"/>
                <w:sz w:val="21"/>
              </w:rPr>
            </w:pPr>
            <w:r>
              <w:rPr>
                <w:rFonts w:ascii="Times New Roman"/>
                <w:sz w:val="21"/>
              </w:rPr>
              <w:t>46.</w:t>
            </w:r>
          </w:p>
        </w:tc>
        <w:tc>
          <w:tcPr>
            <w:tcW w:w="2635" w:type="dxa"/>
          </w:tcPr>
          <w:p>
            <w:pPr>
              <w:pStyle w:val="TableParagraph"/>
              <w:spacing w:line="258" w:lineRule="exact"/>
              <w:ind w:left="6"/>
              <w:rPr>
                <w:sz w:val="21"/>
              </w:rPr>
            </w:pPr>
            <w:r>
              <w:rPr>
                <w:sz w:val="21"/>
              </w:rPr>
              <w:t>破裂脑动脉瘤夹闭手术</w:t>
            </w:r>
          </w:p>
        </w:tc>
        <w:tc>
          <w:tcPr>
            <w:tcW w:w="7222" w:type="dxa"/>
          </w:tcPr>
          <w:p>
            <w:pPr>
              <w:pStyle w:val="TableParagraph"/>
              <w:spacing w:line="258" w:lineRule="exact"/>
              <w:rPr>
                <w:sz w:val="21"/>
              </w:rPr>
            </w:pPr>
            <w:r>
              <w:rPr>
                <w:sz w:val="21"/>
              </w:rPr>
              <w:t>指因脑动脉瘤破裂造成蛛网膜下腔出血，被保险人实际接受了在全麻下进行</w:t>
            </w:r>
          </w:p>
          <w:p>
            <w:pPr>
              <w:pStyle w:val="TableParagraph"/>
              <w:spacing w:before="37"/>
              <w:rPr>
                <w:sz w:val="21"/>
              </w:rPr>
            </w:pPr>
            <w:r>
              <w:rPr>
                <w:sz w:val="21"/>
              </w:rPr>
              <w:t>的开颅动脉瘤夹闭手术。</w:t>
            </w:r>
          </w:p>
          <w:p>
            <w:pPr>
              <w:pStyle w:val="TableParagraph"/>
              <w:spacing w:line="255" w:lineRule="exact" w:before="37"/>
              <w:rPr>
                <w:b/>
                <w:sz w:val="21"/>
              </w:rPr>
            </w:pPr>
            <w:r>
              <w:rPr>
                <w:b/>
                <w:sz w:val="21"/>
              </w:rPr>
              <w:t>脑动脉瘤（未破裂）预防性手术、颅骨打孔手术、动脉瘤栓塞手术、血管内</w:t>
            </w:r>
          </w:p>
        </w:tc>
      </w:tr>
    </w:tbl>
    <w:p>
      <w:pPr>
        <w:spacing w:after="0" w:line="255"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635"/>
        <w:gridCol w:w="7222"/>
      </w:tblGrid>
      <w:tr>
        <w:trPr>
          <w:trHeight w:val="263" w:hRule="atLeast"/>
        </w:trPr>
        <w:tc>
          <w:tcPr>
            <w:tcW w:w="470" w:type="dxa"/>
          </w:tcPr>
          <w:p>
            <w:pPr>
              <w:pStyle w:val="TableParagraph"/>
              <w:ind w:left="0"/>
              <w:rPr>
                <w:rFonts w:ascii="Times New Roman"/>
                <w:sz w:val="18"/>
              </w:rPr>
            </w:pPr>
          </w:p>
        </w:tc>
        <w:tc>
          <w:tcPr>
            <w:tcW w:w="2635" w:type="dxa"/>
          </w:tcPr>
          <w:p>
            <w:pPr>
              <w:pStyle w:val="TableParagraph"/>
              <w:ind w:left="0"/>
              <w:rPr>
                <w:rFonts w:ascii="Times New Roman"/>
                <w:sz w:val="18"/>
              </w:rPr>
            </w:pPr>
          </w:p>
        </w:tc>
        <w:tc>
          <w:tcPr>
            <w:tcW w:w="7222" w:type="dxa"/>
          </w:tcPr>
          <w:p>
            <w:pPr>
              <w:pStyle w:val="TableParagraph"/>
              <w:spacing w:line="202" w:lineRule="exact"/>
              <w:rPr>
                <w:b/>
                <w:sz w:val="21"/>
              </w:rPr>
            </w:pPr>
            <w:r>
              <w:rPr>
                <w:b/>
                <w:sz w:val="21"/>
              </w:rPr>
              <w:t>手术及其他颅脑手术不在保障范围内。</w:t>
            </w:r>
          </w:p>
        </w:tc>
      </w:tr>
      <w:tr>
        <w:trPr>
          <w:trHeight w:val="942" w:hRule="atLeast"/>
        </w:trPr>
        <w:tc>
          <w:tcPr>
            <w:tcW w:w="470" w:type="dxa"/>
          </w:tcPr>
          <w:p>
            <w:pPr>
              <w:pStyle w:val="TableParagraph"/>
              <w:spacing w:before="35"/>
              <w:ind w:left="0" w:right="3"/>
              <w:jc w:val="right"/>
              <w:rPr>
                <w:rFonts w:ascii="Times New Roman"/>
                <w:sz w:val="21"/>
              </w:rPr>
            </w:pPr>
            <w:r>
              <w:rPr>
                <w:rFonts w:ascii="Times New Roman"/>
                <w:sz w:val="21"/>
              </w:rPr>
              <w:t>47.</w:t>
            </w:r>
          </w:p>
        </w:tc>
        <w:tc>
          <w:tcPr>
            <w:tcW w:w="2635" w:type="dxa"/>
          </w:tcPr>
          <w:p>
            <w:pPr>
              <w:pStyle w:val="TableParagraph"/>
              <w:spacing w:line="263" w:lineRule="exact"/>
              <w:ind w:left="6"/>
              <w:rPr>
                <w:sz w:val="21"/>
              </w:rPr>
            </w:pPr>
            <w:r>
              <w:rPr>
                <w:sz w:val="21"/>
              </w:rPr>
              <w:t>丝虫病所致象皮肿</w:t>
            </w:r>
          </w:p>
        </w:tc>
        <w:tc>
          <w:tcPr>
            <w:tcW w:w="7222" w:type="dxa"/>
          </w:tcPr>
          <w:p>
            <w:pPr>
              <w:pStyle w:val="TableParagraph"/>
              <w:spacing w:line="264" w:lineRule="auto"/>
              <w:ind w:right="196"/>
              <w:jc w:val="both"/>
              <w:rPr>
                <w:sz w:val="21"/>
              </w:rPr>
            </w:pPr>
            <w:r>
              <w:rPr>
                <w:spacing w:val="-7"/>
                <w:sz w:val="21"/>
              </w:rPr>
              <w:t>指因丝虫感染导致淋巴阻塞性出现严重淋巴水肿，达到国际淋巴学会淋巴水</w:t>
            </w:r>
            <w:r>
              <w:rPr>
                <w:spacing w:val="-12"/>
                <w:sz w:val="21"/>
              </w:rPr>
              <w:t>肿分期第 </w:t>
            </w:r>
            <w:r>
              <w:rPr>
                <w:rFonts w:ascii="Times New Roman" w:eastAsia="Times New Roman"/>
                <w:sz w:val="21"/>
              </w:rPr>
              <w:t>III </w:t>
            </w:r>
            <w:r>
              <w:rPr>
                <w:spacing w:val="-5"/>
                <w:sz w:val="21"/>
              </w:rPr>
              <w:t>期，临床表现为肢体象皮肿，患肢较健肢增粗 </w:t>
            </w:r>
            <w:r>
              <w:rPr>
                <w:rFonts w:ascii="Times New Roman" w:eastAsia="Times New Roman"/>
                <w:sz w:val="21"/>
              </w:rPr>
              <w:t>30%</w:t>
            </w:r>
            <w:r>
              <w:rPr>
                <w:spacing w:val="-3"/>
                <w:sz w:val="21"/>
              </w:rPr>
              <w:t>以上，日常生活不能自理。</w:t>
            </w:r>
          </w:p>
        </w:tc>
      </w:tr>
      <w:tr>
        <w:trPr>
          <w:trHeight w:val="935" w:hRule="atLeast"/>
        </w:trPr>
        <w:tc>
          <w:tcPr>
            <w:tcW w:w="470" w:type="dxa"/>
          </w:tcPr>
          <w:p>
            <w:pPr>
              <w:pStyle w:val="TableParagraph"/>
              <w:spacing w:before="29"/>
              <w:ind w:left="0" w:right="3"/>
              <w:jc w:val="right"/>
              <w:rPr>
                <w:rFonts w:ascii="Times New Roman"/>
                <w:sz w:val="21"/>
              </w:rPr>
            </w:pPr>
            <w:r>
              <w:rPr>
                <w:rFonts w:ascii="Times New Roman"/>
                <w:sz w:val="21"/>
              </w:rPr>
              <w:t>48.</w:t>
            </w:r>
          </w:p>
        </w:tc>
        <w:tc>
          <w:tcPr>
            <w:tcW w:w="2635" w:type="dxa"/>
          </w:tcPr>
          <w:p>
            <w:pPr>
              <w:pStyle w:val="TableParagraph"/>
              <w:spacing w:line="257" w:lineRule="exact"/>
              <w:ind w:left="6"/>
              <w:rPr>
                <w:sz w:val="21"/>
              </w:rPr>
            </w:pPr>
            <w:r>
              <w:rPr>
                <w:sz w:val="21"/>
              </w:rPr>
              <w:t>急性坏死性胰腺炎开腹手</w:t>
            </w:r>
          </w:p>
          <w:p>
            <w:pPr>
              <w:pStyle w:val="TableParagraph"/>
              <w:spacing w:before="37"/>
              <w:ind w:left="6"/>
              <w:rPr>
                <w:sz w:val="21"/>
              </w:rPr>
            </w:pPr>
            <w:r>
              <w:rPr>
                <w:w w:val="100"/>
                <w:sz w:val="21"/>
              </w:rPr>
              <w:t>术</w:t>
            </w:r>
          </w:p>
        </w:tc>
        <w:tc>
          <w:tcPr>
            <w:tcW w:w="7222" w:type="dxa"/>
          </w:tcPr>
          <w:p>
            <w:pPr>
              <w:pStyle w:val="TableParagraph"/>
              <w:spacing w:line="257" w:lineRule="exact"/>
              <w:rPr>
                <w:sz w:val="21"/>
              </w:rPr>
            </w:pPr>
            <w:r>
              <w:rPr>
                <w:sz w:val="21"/>
              </w:rPr>
              <w:t>指为治疗急性坏死性胰腺炎，实际实施了开腹进行的坏死组织清除术、病灶</w:t>
            </w:r>
          </w:p>
          <w:p>
            <w:pPr>
              <w:pStyle w:val="TableParagraph"/>
              <w:spacing w:before="37"/>
              <w:rPr>
                <w:sz w:val="21"/>
              </w:rPr>
            </w:pPr>
            <w:r>
              <w:rPr>
                <w:sz w:val="21"/>
              </w:rPr>
              <w:t>切除术或胰腺部分切除术。</w:t>
            </w:r>
          </w:p>
          <w:p>
            <w:pPr>
              <w:pStyle w:val="TableParagraph"/>
              <w:spacing w:before="37"/>
              <w:rPr>
                <w:sz w:val="21"/>
              </w:rPr>
            </w:pPr>
            <w:r>
              <w:rPr>
                <w:b/>
                <w:sz w:val="21"/>
              </w:rPr>
              <w:t>为治疗因酒精中毒引起的急性坏死性胰腺炎的开腹手术不在保障范围内</w:t>
            </w:r>
            <w:r>
              <w:rPr>
                <w:sz w:val="21"/>
              </w:rPr>
              <w:t>。</w:t>
            </w:r>
          </w:p>
        </w:tc>
      </w:tr>
      <w:tr>
        <w:trPr>
          <w:trHeight w:val="1560" w:hRule="atLeast"/>
        </w:trPr>
        <w:tc>
          <w:tcPr>
            <w:tcW w:w="470" w:type="dxa"/>
          </w:tcPr>
          <w:p>
            <w:pPr>
              <w:pStyle w:val="TableParagraph"/>
              <w:spacing w:before="29"/>
              <w:ind w:left="0" w:right="3"/>
              <w:jc w:val="right"/>
              <w:rPr>
                <w:rFonts w:ascii="Times New Roman"/>
                <w:sz w:val="21"/>
              </w:rPr>
            </w:pPr>
            <w:r>
              <w:rPr>
                <w:rFonts w:ascii="Times New Roman"/>
                <w:sz w:val="21"/>
              </w:rPr>
              <w:t>49.</w:t>
            </w:r>
          </w:p>
        </w:tc>
        <w:tc>
          <w:tcPr>
            <w:tcW w:w="2635" w:type="dxa"/>
          </w:tcPr>
          <w:p>
            <w:pPr>
              <w:pStyle w:val="TableParagraph"/>
              <w:spacing w:line="257" w:lineRule="exact"/>
              <w:ind w:left="6"/>
              <w:rPr>
                <w:sz w:val="21"/>
              </w:rPr>
            </w:pPr>
            <w:r>
              <w:rPr>
                <w:sz w:val="21"/>
              </w:rPr>
              <w:t>主动脉夹层血肿</w:t>
            </w:r>
          </w:p>
        </w:tc>
        <w:tc>
          <w:tcPr>
            <w:tcW w:w="7222" w:type="dxa"/>
          </w:tcPr>
          <w:p>
            <w:pPr>
              <w:pStyle w:val="TableParagraph"/>
              <w:spacing w:line="257" w:lineRule="exact"/>
              <w:rPr>
                <w:sz w:val="21"/>
              </w:rPr>
            </w:pPr>
            <w:r>
              <w:rPr>
                <w:sz w:val="21"/>
              </w:rPr>
              <w:t>是指主动脉壁在受到某些病理因素的破坏后，高速、高压的主动脉血流将其</w:t>
            </w:r>
          </w:p>
          <w:p>
            <w:pPr>
              <w:pStyle w:val="TableParagraph"/>
              <w:spacing w:line="261" w:lineRule="auto" w:before="37"/>
              <w:ind w:right="196"/>
              <w:jc w:val="both"/>
              <w:rPr>
                <w:sz w:val="21"/>
              </w:rPr>
            </w:pPr>
            <w:r>
              <w:rPr>
                <w:spacing w:val="-10"/>
                <w:sz w:val="21"/>
              </w:rPr>
              <w:t>内膜撕裂，以致主动脉腔内的血流通过主动脉内膜的破裂口进入主动脉内壁</w:t>
            </w:r>
            <w:r>
              <w:rPr>
                <w:w w:val="100"/>
                <w:sz w:val="21"/>
              </w:rPr>
              <w:t>而形成血肿。被保险人需通过断层扫描</w:t>
            </w:r>
            <w:r>
              <w:rPr>
                <w:spacing w:val="5"/>
                <w:w w:val="100"/>
                <w:sz w:val="21"/>
              </w:rPr>
              <w:t>（</w:t>
            </w:r>
            <w:r>
              <w:rPr>
                <w:rFonts w:ascii="Times New Roman" w:eastAsia="Times New Roman"/>
                <w:w w:val="100"/>
                <w:sz w:val="21"/>
              </w:rPr>
              <w:t>CT</w:t>
            </w:r>
            <w:r>
              <w:rPr>
                <w:spacing w:val="-101"/>
                <w:w w:val="100"/>
                <w:sz w:val="21"/>
              </w:rPr>
              <w:t>）</w:t>
            </w:r>
            <w:r>
              <w:rPr>
                <w:w w:val="100"/>
                <w:sz w:val="21"/>
              </w:rPr>
              <w:t>、核磁共振检查</w:t>
            </w:r>
            <w:r>
              <w:rPr>
                <w:spacing w:val="3"/>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01"/>
                <w:w w:val="100"/>
                <w:sz w:val="21"/>
              </w:rPr>
              <w:t>）</w:t>
            </w:r>
            <w:r>
              <w:rPr>
                <w:w w:val="100"/>
                <w:sz w:val="21"/>
              </w:rPr>
              <w:t>、磁</w:t>
            </w:r>
            <w:r>
              <w:rPr>
                <w:sz w:val="21"/>
              </w:rPr>
              <w:t>共振血管检验法（</w:t>
            </w:r>
            <w:r>
              <w:rPr>
                <w:rFonts w:ascii="Times New Roman" w:eastAsia="Times New Roman"/>
                <w:sz w:val="21"/>
              </w:rPr>
              <w:t>MRA</w:t>
            </w:r>
            <w:r>
              <w:rPr>
                <w:sz w:val="21"/>
              </w:rPr>
              <w:t>）或血管扫描等检查，并且实施了胸腹切开的直视</w:t>
            </w:r>
            <w:r>
              <w:rPr>
                <w:spacing w:val="-2"/>
                <w:sz w:val="21"/>
              </w:rPr>
              <w:t>主动脉手术。</w:t>
            </w:r>
          </w:p>
        </w:tc>
      </w:tr>
      <w:tr>
        <w:trPr>
          <w:trHeight w:val="1567" w:hRule="atLeast"/>
        </w:trPr>
        <w:tc>
          <w:tcPr>
            <w:tcW w:w="470" w:type="dxa"/>
          </w:tcPr>
          <w:p>
            <w:pPr>
              <w:pStyle w:val="TableParagraph"/>
              <w:spacing w:before="29"/>
              <w:ind w:left="0" w:right="3"/>
              <w:jc w:val="right"/>
              <w:rPr>
                <w:rFonts w:ascii="Times New Roman"/>
                <w:sz w:val="21"/>
              </w:rPr>
            </w:pPr>
            <w:r>
              <w:rPr>
                <w:rFonts w:ascii="Times New Roman"/>
                <w:sz w:val="21"/>
              </w:rPr>
              <w:t>50.</w:t>
            </w:r>
          </w:p>
        </w:tc>
        <w:tc>
          <w:tcPr>
            <w:tcW w:w="2635" w:type="dxa"/>
          </w:tcPr>
          <w:p>
            <w:pPr>
              <w:pStyle w:val="TableParagraph"/>
              <w:spacing w:line="257" w:lineRule="exact"/>
              <w:ind w:left="6"/>
              <w:rPr>
                <w:sz w:val="21"/>
              </w:rPr>
            </w:pPr>
            <w:r>
              <w:rPr>
                <w:sz w:val="21"/>
              </w:rPr>
              <w:t>系统性硬皮病</w:t>
            </w:r>
          </w:p>
        </w:tc>
        <w:tc>
          <w:tcPr>
            <w:tcW w:w="7222" w:type="dxa"/>
          </w:tcPr>
          <w:p>
            <w:pPr>
              <w:pStyle w:val="TableParagraph"/>
              <w:spacing w:line="257" w:lineRule="exact"/>
              <w:rPr>
                <w:sz w:val="21"/>
              </w:rPr>
            </w:pPr>
            <w:r>
              <w:rPr>
                <w:sz w:val="21"/>
              </w:rPr>
              <w:t>指一种以局限性或弥漫性皮肤增厚和皮肤、血管、内脏器官异常纤维化为特</w:t>
            </w:r>
          </w:p>
          <w:p>
            <w:pPr>
              <w:pStyle w:val="TableParagraph"/>
              <w:spacing w:before="37"/>
              <w:rPr>
                <w:sz w:val="21"/>
              </w:rPr>
            </w:pPr>
            <w:r>
              <w:rPr>
                <w:sz w:val="21"/>
              </w:rPr>
              <w:t>征的结缔组织病。本病须经专科医师明确诊断，并须满足下列至少一项条件</w:t>
            </w:r>
          </w:p>
          <w:p>
            <w:pPr>
              <w:pStyle w:val="TableParagraph"/>
              <w:spacing w:before="37"/>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1"/>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470" w:type="dxa"/>
          </w:tcPr>
          <w:p>
            <w:pPr>
              <w:pStyle w:val="TableParagraph"/>
              <w:spacing w:before="21"/>
              <w:ind w:left="0" w:right="3"/>
              <w:jc w:val="right"/>
              <w:rPr>
                <w:rFonts w:ascii="Times New Roman"/>
                <w:sz w:val="21"/>
              </w:rPr>
            </w:pPr>
            <w:r>
              <w:rPr>
                <w:rFonts w:ascii="Times New Roman"/>
                <w:sz w:val="21"/>
              </w:rPr>
              <w:t>51.</w:t>
            </w:r>
          </w:p>
        </w:tc>
        <w:tc>
          <w:tcPr>
            <w:tcW w:w="2635" w:type="dxa"/>
          </w:tcPr>
          <w:p>
            <w:pPr>
              <w:pStyle w:val="TableParagraph"/>
              <w:spacing w:line="249" w:lineRule="exact"/>
              <w:ind w:left="6"/>
              <w:rPr>
                <w:sz w:val="21"/>
              </w:rPr>
            </w:pPr>
            <w:r>
              <w:rPr>
                <w:sz w:val="21"/>
              </w:rPr>
              <w:t>原发性硬化性胆管炎</w:t>
            </w:r>
          </w:p>
        </w:tc>
        <w:tc>
          <w:tcPr>
            <w:tcW w:w="7222" w:type="dxa"/>
          </w:tcPr>
          <w:p>
            <w:pPr>
              <w:pStyle w:val="TableParagraph"/>
              <w:spacing w:line="249" w:lineRule="exact"/>
              <w:rPr>
                <w:sz w:val="21"/>
              </w:rPr>
            </w:pPr>
            <w:r>
              <w:rPr>
                <w:sz w:val="21"/>
              </w:rPr>
              <w:t>指一种胆汁淤积综合征，其特征是肝内、肝外胆道因纤维化性炎症逐渐狭窄</w:t>
            </w:r>
          </w:p>
          <w:p>
            <w:pPr>
              <w:pStyle w:val="TableParagraph"/>
              <w:spacing w:line="273" w:lineRule="auto" w:before="37"/>
              <w:ind w:right="196"/>
              <w:rPr>
                <w:sz w:val="21"/>
              </w:rPr>
            </w:pPr>
            <w:r>
              <w:rPr>
                <w:spacing w:val="-8"/>
                <w:sz w:val="21"/>
              </w:rPr>
              <w:t>并最终导致完全阻塞而发展为肝硬化。本病须经内镜逆行胰胆管造影等影像</w:t>
            </w:r>
            <w:r>
              <w:rPr>
                <w:spacing w:val="-5"/>
                <w:sz w:val="21"/>
              </w:rPr>
              <w:t>学检查证实，并须满足下列全部条件：</w:t>
            </w:r>
          </w:p>
          <w:p>
            <w:pPr>
              <w:pStyle w:val="TableParagraph"/>
              <w:spacing w:before="7"/>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rPr>
                <w:sz w:val="21"/>
              </w:rPr>
            </w:pPr>
            <w:r>
              <w:rPr>
                <w:sz w:val="21"/>
              </w:rPr>
              <w:t>（</w:t>
            </w:r>
            <w:r>
              <w:rPr>
                <w:rFonts w:ascii="Times New Roman" w:eastAsia="Times New Roman"/>
                <w:sz w:val="21"/>
              </w:rPr>
              <w:t>2</w:t>
            </w:r>
            <w:r>
              <w:rPr>
                <w:sz w:val="21"/>
              </w:rPr>
              <w:t>）持续性黄疸病史；</w:t>
            </w:r>
          </w:p>
          <w:p>
            <w:pPr>
              <w:pStyle w:val="TableParagraph"/>
              <w:spacing w:before="21"/>
              <w:rPr>
                <w:sz w:val="21"/>
              </w:rPr>
            </w:pPr>
            <w:r>
              <w:rPr>
                <w:sz w:val="21"/>
              </w:rPr>
              <w:t>（</w:t>
            </w:r>
            <w:r>
              <w:rPr>
                <w:rFonts w:ascii="Times New Roman" w:eastAsia="Times New Roman"/>
                <w:sz w:val="21"/>
              </w:rPr>
              <w:t>3</w:t>
            </w:r>
            <w:r>
              <w:rPr>
                <w:sz w:val="21"/>
              </w:rPr>
              <w:t>）出现胆汁性肝硬化或门脉高压。</w:t>
            </w:r>
          </w:p>
          <w:p>
            <w:pPr>
              <w:pStyle w:val="TableParagraph"/>
              <w:spacing w:before="21"/>
              <w:rPr>
                <w:b/>
                <w:sz w:val="21"/>
              </w:rPr>
            </w:pPr>
            <w:r>
              <w:rPr>
                <w:b/>
                <w:sz w:val="21"/>
              </w:rPr>
              <w:t>因肿瘤或胆管损伤等继发性的硬化性胆管炎不在保障范围内。</w:t>
            </w:r>
          </w:p>
        </w:tc>
      </w:tr>
      <w:tr>
        <w:trPr>
          <w:trHeight w:val="3120" w:hRule="atLeast"/>
        </w:trPr>
        <w:tc>
          <w:tcPr>
            <w:tcW w:w="470" w:type="dxa"/>
          </w:tcPr>
          <w:p>
            <w:pPr>
              <w:pStyle w:val="TableParagraph"/>
              <w:spacing w:before="29"/>
              <w:ind w:left="0" w:right="3"/>
              <w:jc w:val="right"/>
              <w:rPr>
                <w:rFonts w:ascii="Times New Roman"/>
                <w:sz w:val="21"/>
              </w:rPr>
            </w:pPr>
            <w:r>
              <w:rPr>
                <w:rFonts w:ascii="Times New Roman"/>
                <w:sz w:val="21"/>
              </w:rPr>
              <w:t>52.</w:t>
            </w:r>
          </w:p>
        </w:tc>
        <w:tc>
          <w:tcPr>
            <w:tcW w:w="2635" w:type="dxa"/>
          </w:tcPr>
          <w:p>
            <w:pPr>
              <w:pStyle w:val="TableParagraph"/>
              <w:spacing w:line="273" w:lineRule="exact"/>
              <w:ind w:left="6"/>
              <w:rPr>
                <w:sz w:val="21"/>
              </w:rPr>
            </w:pPr>
            <w:r>
              <w:rPr>
                <w:sz w:val="21"/>
              </w:rPr>
              <w:t>经输血导致的 </w:t>
            </w:r>
            <w:r>
              <w:rPr>
                <w:rFonts w:ascii="Times New Roman" w:eastAsia="Times New Roman"/>
                <w:sz w:val="21"/>
              </w:rPr>
              <w:t>HIV </w:t>
            </w:r>
            <w:r>
              <w:rPr>
                <w:sz w:val="21"/>
              </w:rPr>
              <w:t>感染</w:t>
            </w:r>
          </w:p>
        </w:tc>
        <w:tc>
          <w:tcPr>
            <w:tcW w:w="7222" w:type="dxa"/>
          </w:tcPr>
          <w:p>
            <w:pPr>
              <w:pStyle w:val="TableParagraph"/>
              <w:spacing w:line="273" w:lineRule="exact"/>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right="199"/>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right="198"/>
              <w:jc w:val="both"/>
              <w:rPr>
                <w:sz w:val="21"/>
              </w:rPr>
            </w:pPr>
            <w:r>
              <w:rPr>
                <w:b/>
                <w:spacing w:val="-4"/>
                <w:sz w:val="21"/>
              </w:rPr>
              <w:t>任何因其他传播方式</w:t>
            </w:r>
            <w:r>
              <w:rPr>
                <w:b/>
                <w:sz w:val="21"/>
              </w:rPr>
              <w:t>（</w:t>
            </w:r>
            <w:r>
              <w:rPr>
                <w:b/>
                <w:spacing w:val="-6"/>
                <w:sz w:val="21"/>
              </w:rPr>
              <w:t>包括：性传播或静脉注射毒品</w:t>
            </w:r>
            <w:r>
              <w:rPr>
                <w:b/>
                <w:spacing w:val="-27"/>
                <w:sz w:val="21"/>
              </w:rPr>
              <w:t>）</w:t>
            </w:r>
            <w:r>
              <w:rPr>
                <w:b/>
                <w:sz w:val="21"/>
              </w:rPr>
              <w:t>导致的</w:t>
            </w:r>
            <w:r>
              <w:rPr>
                <w:rFonts w:ascii="Times New Roman" w:eastAsia="Times New Roman"/>
                <w:b/>
                <w:spacing w:val="-2"/>
                <w:sz w:val="21"/>
              </w:rPr>
              <w:t>HIV</w:t>
            </w:r>
            <w:r>
              <w:rPr>
                <w:b/>
                <w:sz w:val="21"/>
              </w:rPr>
              <w:t>感染不在</w:t>
            </w:r>
            <w:r>
              <w:rPr>
                <w:b/>
                <w:spacing w:val="-7"/>
                <w:sz w:val="21"/>
              </w:rPr>
              <w:t>保障范围内。</w:t>
            </w:r>
            <w:r>
              <w:rPr>
                <w:spacing w:val="-5"/>
                <w:sz w:val="21"/>
              </w:rPr>
              <w:t>我们保留获得使用被保险人的所有血液样本的权利，并对这些</w:t>
            </w:r>
            <w:r>
              <w:rPr>
                <w:spacing w:val="-4"/>
                <w:sz w:val="21"/>
              </w:rPr>
              <w:t>样本进行独立检验。</w:t>
            </w:r>
          </w:p>
          <w:p>
            <w:pPr>
              <w:pStyle w:val="TableParagraph"/>
              <w:spacing w:line="273" w:lineRule="auto" w:before="16"/>
              <w:ind w:right="196"/>
              <w:rPr>
                <w:sz w:val="21"/>
              </w:rPr>
            </w:pPr>
            <w:r>
              <w:rPr>
                <w:spacing w:val="-7"/>
                <w:sz w:val="21"/>
              </w:rPr>
              <w:t>我们承担本项疾病责任不受本附加合同第八条“责任免除”中“被保险人感</w:t>
            </w:r>
            <w:r>
              <w:rPr>
                <w:spacing w:val="-5"/>
                <w:sz w:val="21"/>
              </w:rPr>
              <w:t>染艾滋病病毒或患艾滋病”的限制。</w:t>
            </w:r>
          </w:p>
        </w:tc>
      </w:tr>
      <w:tr>
        <w:trPr>
          <w:trHeight w:val="1248" w:hRule="atLeast"/>
        </w:trPr>
        <w:tc>
          <w:tcPr>
            <w:tcW w:w="470" w:type="dxa"/>
          </w:tcPr>
          <w:p>
            <w:pPr>
              <w:pStyle w:val="TableParagraph"/>
              <w:spacing w:before="29"/>
              <w:ind w:left="0" w:right="3"/>
              <w:jc w:val="right"/>
              <w:rPr>
                <w:rFonts w:ascii="Times New Roman"/>
                <w:sz w:val="21"/>
              </w:rPr>
            </w:pPr>
            <w:r>
              <w:rPr>
                <w:rFonts w:ascii="Times New Roman"/>
                <w:sz w:val="21"/>
              </w:rPr>
              <w:t>53.</w:t>
            </w:r>
          </w:p>
        </w:tc>
        <w:tc>
          <w:tcPr>
            <w:tcW w:w="2635" w:type="dxa"/>
          </w:tcPr>
          <w:p>
            <w:pPr>
              <w:pStyle w:val="TableParagraph"/>
              <w:spacing w:line="257" w:lineRule="exact"/>
              <w:ind w:left="6"/>
              <w:rPr>
                <w:sz w:val="21"/>
              </w:rPr>
            </w:pPr>
            <w:r>
              <w:rPr>
                <w:sz w:val="21"/>
              </w:rPr>
              <w:t>疯牛病</w:t>
            </w:r>
          </w:p>
        </w:tc>
        <w:tc>
          <w:tcPr>
            <w:tcW w:w="7222" w:type="dxa"/>
          </w:tcPr>
          <w:p>
            <w:pPr>
              <w:pStyle w:val="TableParagraph"/>
              <w:spacing w:line="257" w:lineRule="exact"/>
              <w:rPr>
                <w:sz w:val="21"/>
              </w:rPr>
            </w:pPr>
            <w:r>
              <w:rPr>
                <w:sz w:val="21"/>
              </w:rPr>
              <w:t>一种由动物传染而来的中枢神经系统变性性疾病，大脑呈海绵状改变伴神经</w:t>
            </w:r>
          </w:p>
          <w:p>
            <w:pPr>
              <w:pStyle w:val="TableParagraph"/>
              <w:spacing w:line="273" w:lineRule="auto" w:before="37"/>
              <w:ind w:right="196"/>
              <w:rPr>
                <w:sz w:val="21"/>
              </w:rPr>
            </w:pPr>
            <w:r>
              <w:rPr>
                <w:spacing w:val="-9"/>
                <w:sz w:val="21"/>
              </w:rPr>
              <w:t>元缺失和胶质化。临床表现为进行性痴呆、不随意运动及抽搐、行动困难等</w:t>
            </w:r>
            <w:r>
              <w:rPr>
                <w:spacing w:val="-5"/>
                <w:sz w:val="21"/>
              </w:rPr>
              <w:t>等。疯牛病必须由权威医疗机构根据致病蛋白的发现而明确诊断。</w:t>
            </w:r>
          </w:p>
          <w:p>
            <w:pPr>
              <w:pStyle w:val="TableParagraph"/>
              <w:spacing w:before="7"/>
              <w:rPr>
                <w:b/>
                <w:sz w:val="21"/>
              </w:rPr>
            </w:pPr>
            <w:r>
              <w:rPr>
                <w:b/>
                <w:sz w:val="21"/>
              </w:rPr>
              <w:t>疑似诊断不作为理赔依据。</w:t>
            </w:r>
          </w:p>
        </w:tc>
      </w:tr>
      <w:tr>
        <w:trPr>
          <w:trHeight w:val="1559" w:hRule="atLeast"/>
        </w:trPr>
        <w:tc>
          <w:tcPr>
            <w:tcW w:w="470" w:type="dxa"/>
          </w:tcPr>
          <w:p>
            <w:pPr>
              <w:pStyle w:val="TableParagraph"/>
              <w:spacing w:before="29"/>
              <w:ind w:left="0" w:right="3"/>
              <w:jc w:val="right"/>
              <w:rPr>
                <w:rFonts w:ascii="Times New Roman"/>
                <w:sz w:val="21"/>
              </w:rPr>
            </w:pPr>
            <w:r>
              <w:rPr>
                <w:rFonts w:ascii="Times New Roman"/>
                <w:sz w:val="21"/>
              </w:rPr>
              <w:t>54.</w:t>
            </w:r>
          </w:p>
        </w:tc>
        <w:tc>
          <w:tcPr>
            <w:tcW w:w="2635" w:type="dxa"/>
          </w:tcPr>
          <w:p>
            <w:pPr>
              <w:pStyle w:val="TableParagraph"/>
              <w:spacing w:line="257" w:lineRule="exact"/>
              <w:ind w:left="6"/>
              <w:rPr>
                <w:sz w:val="21"/>
              </w:rPr>
            </w:pPr>
            <w:r>
              <w:rPr>
                <w:sz w:val="21"/>
              </w:rPr>
              <w:t>慢性复发性胰腺炎</w:t>
            </w:r>
          </w:p>
        </w:tc>
        <w:tc>
          <w:tcPr>
            <w:tcW w:w="7222" w:type="dxa"/>
          </w:tcPr>
          <w:p>
            <w:pPr>
              <w:pStyle w:val="TableParagraph"/>
              <w:spacing w:line="257" w:lineRule="exact"/>
              <w:rPr>
                <w:sz w:val="21"/>
              </w:rPr>
            </w:pPr>
            <w:r>
              <w:rPr>
                <w:sz w:val="21"/>
              </w:rPr>
              <w:t>指有腹痛等典型症状的胰腺炎反复发作，导致胰腺进行性破坏，并导致胰腺</w:t>
            </w:r>
          </w:p>
          <w:p>
            <w:pPr>
              <w:pStyle w:val="TableParagraph"/>
              <w:spacing w:line="256" w:lineRule="auto" w:before="37"/>
              <w:ind w:right="200"/>
              <w:jc w:val="both"/>
              <w:rPr>
                <w:sz w:val="21"/>
              </w:rPr>
            </w:pPr>
            <w:r>
              <w:rPr>
                <w:sz w:val="21"/>
              </w:rPr>
              <w:t>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2"/>
              <w:jc w:val="both"/>
              <w:rPr>
                <w:b/>
                <w:sz w:val="21"/>
              </w:rPr>
            </w:pPr>
            <w:r>
              <w:rPr>
                <w:b/>
                <w:sz w:val="21"/>
              </w:rPr>
              <w:t>酒精导致的慢性复发性胰腺炎不在保障范围内。</w:t>
            </w:r>
          </w:p>
        </w:tc>
      </w:tr>
      <w:tr>
        <w:trPr>
          <w:trHeight w:val="279" w:hRule="atLeast"/>
        </w:trPr>
        <w:tc>
          <w:tcPr>
            <w:tcW w:w="470" w:type="dxa"/>
          </w:tcPr>
          <w:p>
            <w:pPr>
              <w:pStyle w:val="TableParagraph"/>
              <w:spacing w:line="230" w:lineRule="exact" w:before="29"/>
              <w:ind w:left="0" w:right="3"/>
              <w:jc w:val="right"/>
              <w:rPr>
                <w:rFonts w:ascii="Times New Roman"/>
                <w:sz w:val="21"/>
              </w:rPr>
            </w:pPr>
            <w:r>
              <w:rPr>
                <w:rFonts w:ascii="Times New Roman"/>
                <w:sz w:val="21"/>
              </w:rPr>
              <w:t>55.</w:t>
            </w:r>
          </w:p>
        </w:tc>
        <w:tc>
          <w:tcPr>
            <w:tcW w:w="2635" w:type="dxa"/>
          </w:tcPr>
          <w:p>
            <w:pPr>
              <w:pStyle w:val="TableParagraph"/>
              <w:spacing w:line="257" w:lineRule="exact"/>
              <w:ind w:left="6"/>
              <w:rPr>
                <w:sz w:val="21"/>
              </w:rPr>
            </w:pPr>
            <w:r>
              <w:rPr>
                <w:sz w:val="21"/>
              </w:rPr>
              <w:t>终末期疾病</w:t>
            </w:r>
          </w:p>
        </w:tc>
        <w:tc>
          <w:tcPr>
            <w:tcW w:w="7222" w:type="dxa"/>
          </w:tcPr>
          <w:p>
            <w:pPr>
              <w:pStyle w:val="TableParagraph"/>
              <w:spacing w:line="257" w:lineRule="exact"/>
              <w:rPr>
                <w:sz w:val="21"/>
              </w:rPr>
            </w:pPr>
            <w:r>
              <w:rPr>
                <w:sz w:val="21"/>
              </w:rPr>
              <w:t>指被保险人被确诊为疾病的终末期状态，疾病已经无法以现有的医疗技术医</w:t>
            </w:r>
          </w:p>
        </w:tc>
      </w:tr>
    </w:tbl>
    <w:p>
      <w:pPr>
        <w:spacing w:after="0" w:line="257" w:lineRule="exact"/>
        <w:rPr>
          <w:sz w:val="21"/>
        </w:rPr>
        <w:sectPr>
          <w:pgSz w:w="11910" w:h="16160"/>
          <w:pgMar w:header="0" w:footer="631" w:top="144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349"/>
        <w:gridCol w:w="7507"/>
      </w:tblGrid>
      <w:tr>
        <w:trPr>
          <w:trHeight w:val="1193" w:hRule="atLeast"/>
        </w:trPr>
        <w:tc>
          <w:tcPr>
            <w:tcW w:w="470" w:type="dxa"/>
          </w:tcPr>
          <w:p>
            <w:pPr>
              <w:pStyle w:val="TableParagraph"/>
              <w:ind w:left="0"/>
              <w:rPr>
                <w:rFonts w:ascii="Times New Roman"/>
                <w:sz w:val="20"/>
              </w:rPr>
            </w:pPr>
          </w:p>
        </w:tc>
        <w:tc>
          <w:tcPr>
            <w:tcW w:w="2349" w:type="dxa"/>
          </w:tcPr>
          <w:p>
            <w:pPr>
              <w:pStyle w:val="TableParagraph"/>
              <w:ind w:left="0"/>
              <w:rPr>
                <w:rFonts w:ascii="Times New Roman"/>
                <w:sz w:val="20"/>
              </w:rPr>
            </w:pPr>
          </w:p>
        </w:tc>
        <w:tc>
          <w:tcPr>
            <w:tcW w:w="7507" w:type="dxa"/>
          </w:tcPr>
          <w:p>
            <w:pPr>
              <w:pStyle w:val="TableParagraph"/>
              <w:spacing w:line="202" w:lineRule="exact"/>
              <w:ind w:left="451"/>
              <w:rPr>
                <w:sz w:val="21"/>
              </w:rPr>
            </w:pPr>
            <w:r>
              <w:rPr>
                <w:sz w:val="21"/>
              </w:rPr>
              <w:t>治缓解，并且根据临床医学经验判断被保险人将于未来六个月内死亡。在家</w:t>
            </w:r>
          </w:p>
          <w:p>
            <w:pPr>
              <w:pStyle w:val="TableParagraph"/>
              <w:spacing w:line="273" w:lineRule="auto" w:before="37"/>
              <w:ind w:left="451" w:right="195"/>
              <w:jc w:val="both"/>
              <w:rPr>
                <w:sz w:val="21"/>
              </w:rPr>
            </w:pPr>
            <w:r>
              <w:rPr>
                <w:spacing w:val="-7"/>
                <w:sz w:val="21"/>
              </w:rPr>
              <w:t>属及患者的要求和医师的同意下积极治疗已被放弃，所有治疗措施仅以减轻</w:t>
            </w:r>
            <w:r>
              <w:rPr>
                <w:spacing w:val="-12"/>
                <w:sz w:val="21"/>
              </w:rPr>
              <w:t>患者痛苦为目的。此疾病状态必须在被保险人生前已经确诊并且具有医疗证</w:t>
            </w:r>
            <w:r>
              <w:rPr>
                <w:spacing w:val="-6"/>
                <w:sz w:val="21"/>
              </w:rPr>
              <w:t>明文件和临床检查依据。</w:t>
            </w:r>
          </w:p>
        </w:tc>
      </w:tr>
      <w:tr>
        <w:trPr>
          <w:trHeight w:val="2504" w:hRule="atLeast"/>
        </w:trPr>
        <w:tc>
          <w:tcPr>
            <w:tcW w:w="470" w:type="dxa"/>
          </w:tcPr>
          <w:p>
            <w:pPr>
              <w:pStyle w:val="TableParagraph"/>
              <w:spacing w:before="29"/>
              <w:ind w:left="0" w:right="5"/>
              <w:jc w:val="right"/>
              <w:rPr>
                <w:rFonts w:ascii="Times New Roman"/>
                <w:sz w:val="21"/>
              </w:rPr>
            </w:pPr>
            <w:r>
              <w:rPr>
                <w:rFonts w:ascii="Times New Roman"/>
                <w:sz w:val="21"/>
              </w:rPr>
              <w:t>56.</w:t>
            </w:r>
          </w:p>
        </w:tc>
        <w:tc>
          <w:tcPr>
            <w:tcW w:w="2349" w:type="dxa"/>
          </w:tcPr>
          <w:p>
            <w:pPr>
              <w:pStyle w:val="TableParagraph"/>
              <w:spacing w:line="257" w:lineRule="exact"/>
              <w:ind w:left="6"/>
              <w:rPr>
                <w:sz w:val="21"/>
              </w:rPr>
            </w:pPr>
            <w:r>
              <w:rPr>
                <w:sz w:val="21"/>
              </w:rPr>
              <w:t>肺源性心脏病</w:t>
            </w:r>
          </w:p>
        </w:tc>
        <w:tc>
          <w:tcPr>
            <w:tcW w:w="7507" w:type="dxa"/>
          </w:tcPr>
          <w:p>
            <w:pPr>
              <w:pStyle w:val="TableParagraph"/>
              <w:spacing w:line="257" w:lineRule="exact"/>
              <w:ind w:left="451"/>
              <w:rPr>
                <w:sz w:val="21"/>
              </w:rPr>
            </w:pPr>
            <w:r>
              <w:rPr>
                <w:sz w:val="21"/>
              </w:rPr>
              <w:t>指由于各种胸肺及支气管病变而继发的肺动脉高压，最后导致以右室肥大为</w:t>
            </w:r>
          </w:p>
          <w:p>
            <w:pPr>
              <w:pStyle w:val="TableParagraph"/>
              <w:spacing w:before="37"/>
              <w:ind w:left="451"/>
              <w:rPr>
                <w:sz w:val="21"/>
              </w:rPr>
            </w:pPr>
            <w:r>
              <w:rPr>
                <w:sz w:val="21"/>
              </w:rPr>
              <w:t>特征的心脏病。须经呼吸专科医生确诊，且必须同时满足如下诊断标准：</w:t>
            </w:r>
          </w:p>
          <w:p>
            <w:pPr>
              <w:pStyle w:val="TableParagraph"/>
              <w:spacing w:before="37"/>
              <w:ind w:left="451"/>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451"/>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451"/>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451"/>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451"/>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2"/>
              <w:ind w:left="451"/>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470" w:type="dxa"/>
          </w:tcPr>
          <w:p>
            <w:pPr>
              <w:pStyle w:val="TableParagraph"/>
              <w:spacing w:before="21"/>
              <w:ind w:left="0" w:right="5"/>
              <w:jc w:val="right"/>
              <w:rPr>
                <w:rFonts w:ascii="Times New Roman"/>
                <w:sz w:val="21"/>
              </w:rPr>
            </w:pPr>
            <w:r>
              <w:rPr>
                <w:rFonts w:ascii="Times New Roman"/>
                <w:sz w:val="21"/>
              </w:rPr>
              <w:t>57.</w:t>
            </w:r>
          </w:p>
        </w:tc>
        <w:tc>
          <w:tcPr>
            <w:tcW w:w="2349" w:type="dxa"/>
          </w:tcPr>
          <w:p>
            <w:pPr>
              <w:pStyle w:val="TableParagraph"/>
              <w:spacing w:line="249" w:lineRule="exact"/>
              <w:ind w:left="6"/>
              <w:rPr>
                <w:sz w:val="21"/>
              </w:rPr>
            </w:pPr>
            <w:r>
              <w:rPr>
                <w:sz w:val="21"/>
              </w:rPr>
              <w:t>严重肌营养不良症</w:t>
            </w:r>
          </w:p>
        </w:tc>
        <w:tc>
          <w:tcPr>
            <w:tcW w:w="7507" w:type="dxa"/>
          </w:tcPr>
          <w:p>
            <w:pPr>
              <w:pStyle w:val="TableParagraph"/>
              <w:spacing w:line="249" w:lineRule="exact"/>
              <w:ind w:left="451"/>
              <w:rPr>
                <w:sz w:val="21"/>
              </w:rPr>
            </w:pPr>
            <w:r>
              <w:rPr>
                <w:sz w:val="21"/>
              </w:rPr>
              <w:t>指一组原发于肌肉的遗传性疾病，临床表现为与神经系统无关的肌肉无力和</w:t>
            </w:r>
          </w:p>
          <w:p>
            <w:pPr>
              <w:pStyle w:val="TableParagraph"/>
              <w:spacing w:before="37"/>
              <w:ind w:left="451"/>
              <w:rPr>
                <w:sz w:val="21"/>
              </w:rPr>
            </w:pPr>
            <w:r>
              <w:rPr>
                <w:sz w:val="21"/>
              </w:rPr>
              <w:t>肌肉萎缩。且须满足下列全部条件：</w:t>
            </w:r>
          </w:p>
          <w:p>
            <w:pPr>
              <w:pStyle w:val="TableParagraph"/>
              <w:spacing w:line="256" w:lineRule="auto" w:before="37"/>
              <w:ind w:left="451" w:right="197"/>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451" w:right="198"/>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451" w:right="300"/>
              <w:rPr>
                <w:sz w:val="21"/>
              </w:rPr>
            </w:pPr>
            <w:r>
              <w:rPr>
                <w:spacing w:val="-11"/>
                <w:sz w:val="21"/>
              </w:rPr>
              <w:t>我们承担本项疾病责任不受本附加合同第八条“责任免除”中“遗传性疾病</w:t>
            </w:r>
            <w:r>
              <w:rPr>
                <w:spacing w:val="-6"/>
                <w:sz w:val="21"/>
              </w:rPr>
              <w:t>先天性畸形、变形或染色体异常”的限制。</w:t>
            </w:r>
          </w:p>
        </w:tc>
      </w:tr>
      <w:tr>
        <w:trPr>
          <w:trHeight w:val="624" w:hRule="atLeast"/>
        </w:trPr>
        <w:tc>
          <w:tcPr>
            <w:tcW w:w="470" w:type="dxa"/>
          </w:tcPr>
          <w:p>
            <w:pPr>
              <w:pStyle w:val="TableParagraph"/>
              <w:spacing w:before="29"/>
              <w:ind w:left="0" w:right="3"/>
              <w:jc w:val="right"/>
              <w:rPr>
                <w:rFonts w:ascii="Times New Roman"/>
                <w:sz w:val="21"/>
              </w:rPr>
            </w:pPr>
            <w:r>
              <w:rPr>
                <w:rFonts w:ascii="Times New Roman"/>
                <w:sz w:val="21"/>
              </w:rPr>
              <w:t>58.</w:t>
            </w:r>
          </w:p>
        </w:tc>
        <w:tc>
          <w:tcPr>
            <w:tcW w:w="2349" w:type="dxa"/>
          </w:tcPr>
          <w:p>
            <w:pPr>
              <w:pStyle w:val="TableParagraph"/>
              <w:spacing w:line="257" w:lineRule="exact"/>
              <w:ind w:left="6"/>
              <w:rPr>
                <w:sz w:val="21"/>
              </w:rPr>
            </w:pPr>
            <w:r>
              <w:rPr>
                <w:sz w:val="21"/>
              </w:rPr>
              <w:t>严重川崎病</w:t>
            </w:r>
          </w:p>
        </w:tc>
        <w:tc>
          <w:tcPr>
            <w:tcW w:w="7507" w:type="dxa"/>
          </w:tcPr>
          <w:p>
            <w:pPr>
              <w:pStyle w:val="TableParagraph"/>
              <w:spacing w:line="257" w:lineRule="exact"/>
              <w:ind w:left="451"/>
              <w:rPr>
                <w:b/>
                <w:sz w:val="21"/>
              </w:rPr>
            </w:pPr>
            <w:r>
              <w:rPr>
                <w:sz w:val="21"/>
              </w:rPr>
              <w:t>为一种病因不明的系统性血管炎。</w:t>
            </w:r>
            <w:r>
              <w:rPr>
                <w:b/>
                <w:sz w:val="21"/>
              </w:rPr>
              <w:t>本附加合同仅对诊断性检查证实川崎病并</w:t>
            </w:r>
          </w:p>
          <w:p>
            <w:pPr>
              <w:pStyle w:val="TableParagraph"/>
              <w:spacing w:before="37"/>
              <w:ind w:left="451"/>
              <w:rPr>
                <w:b/>
                <w:sz w:val="21"/>
              </w:rPr>
            </w:pPr>
            <w:r>
              <w:rPr>
                <w:b/>
                <w:sz w:val="21"/>
              </w:rPr>
              <w:t>发动脉瘤或其他心血管异常并且实际接受了手术治疗的情况予以理赔。</w:t>
            </w:r>
          </w:p>
        </w:tc>
      </w:tr>
      <w:tr>
        <w:trPr>
          <w:trHeight w:val="2504" w:hRule="atLeast"/>
        </w:trPr>
        <w:tc>
          <w:tcPr>
            <w:tcW w:w="470" w:type="dxa"/>
          </w:tcPr>
          <w:p>
            <w:pPr>
              <w:pStyle w:val="TableParagraph"/>
              <w:spacing w:before="29"/>
              <w:ind w:left="0" w:right="3"/>
              <w:jc w:val="right"/>
              <w:rPr>
                <w:rFonts w:ascii="Times New Roman"/>
                <w:sz w:val="21"/>
              </w:rPr>
            </w:pPr>
            <w:r>
              <w:rPr>
                <w:rFonts w:ascii="Times New Roman"/>
                <w:sz w:val="21"/>
              </w:rPr>
              <w:t>59.</w:t>
            </w:r>
          </w:p>
        </w:tc>
        <w:tc>
          <w:tcPr>
            <w:tcW w:w="2349" w:type="dxa"/>
          </w:tcPr>
          <w:p>
            <w:pPr>
              <w:pStyle w:val="TableParagraph"/>
              <w:spacing w:line="257" w:lineRule="exact"/>
              <w:ind w:left="6"/>
              <w:rPr>
                <w:sz w:val="21"/>
              </w:rPr>
            </w:pPr>
            <w:r>
              <w:rPr>
                <w:sz w:val="21"/>
              </w:rPr>
              <w:t>严重自身免疫性肝炎</w:t>
            </w:r>
          </w:p>
        </w:tc>
        <w:tc>
          <w:tcPr>
            <w:tcW w:w="7507" w:type="dxa"/>
          </w:tcPr>
          <w:p>
            <w:pPr>
              <w:pStyle w:val="TableParagraph"/>
              <w:spacing w:line="257" w:lineRule="exact"/>
              <w:ind w:left="451"/>
              <w:rPr>
                <w:sz w:val="21"/>
              </w:rPr>
            </w:pPr>
            <w:r>
              <w:rPr>
                <w:sz w:val="21"/>
              </w:rPr>
              <w:t>自身免疫性肝炎是一种原因不明的慢性肝脏的坏死性炎性疾病，机体免疫机</w:t>
            </w:r>
          </w:p>
          <w:p>
            <w:pPr>
              <w:pStyle w:val="TableParagraph"/>
              <w:spacing w:line="273" w:lineRule="auto" w:before="37"/>
              <w:ind w:left="451" w:right="197"/>
              <w:rPr>
                <w:sz w:val="21"/>
              </w:rPr>
            </w:pPr>
            <w:r>
              <w:rPr>
                <w:spacing w:val="-10"/>
                <w:sz w:val="21"/>
              </w:rPr>
              <w:t>制被破坏，产生针对肝脏自身抗原的抗体导致自身免疫反应，从而破坏肝细</w:t>
            </w:r>
            <w:r>
              <w:rPr>
                <w:spacing w:val="-5"/>
                <w:sz w:val="21"/>
              </w:rPr>
              <w:t>胞造成肝脏炎症坏死，进而发展为肝硬化。必须满足所有以下条件：</w:t>
            </w:r>
          </w:p>
          <w:p>
            <w:pPr>
              <w:pStyle w:val="TableParagraph"/>
              <w:spacing w:before="7"/>
              <w:ind w:left="451"/>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0"/>
              <w:ind w:left="451" w:right="197"/>
              <w:rPr>
                <w:sz w:val="21"/>
              </w:rPr>
            </w:pPr>
            <w:r>
              <w:rPr>
                <w:sz w:val="21"/>
              </w:rPr>
              <w:t>（</w:t>
            </w:r>
            <w:r>
              <w:rPr>
                <w:rFonts w:ascii="Times New Roman" w:eastAsia="Times New Roman"/>
                <w:sz w:val="21"/>
              </w:rPr>
              <w:t>2</w:t>
            </w:r>
            <w:r>
              <w:rPr>
                <w:sz w:val="21"/>
              </w:rPr>
              <w:t>）</w:t>
            </w:r>
            <w:r>
              <w:rPr>
                <w:spacing w:val="-5"/>
                <w:sz w:val="21"/>
              </w:rPr>
              <w:t>血液中存在高水平的自身免疫抗体，如 </w:t>
            </w:r>
            <w:r>
              <w:rPr>
                <w:rFonts w:ascii="Times New Roman" w:eastAsia="Times New Roman"/>
                <w:sz w:val="21"/>
              </w:rPr>
              <w:t>ANA</w:t>
            </w:r>
            <w:r>
              <w:rPr>
                <w:sz w:val="21"/>
              </w:rPr>
              <w:t>（</w:t>
            </w:r>
            <w:r>
              <w:rPr>
                <w:spacing w:val="-1"/>
                <w:sz w:val="21"/>
              </w:rPr>
              <w:t>抗核抗体</w:t>
            </w:r>
            <w:r>
              <w:rPr>
                <w:spacing w:val="-108"/>
                <w:sz w:val="21"/>
              </w:rPr>
              <w:t>）</w:t>
            </w:r>
            <w:r>
              <w:rPr>
                <w:sz w:val="21"/>
              </w:rPr>
              <w:t>、</w:t>
            </w:r>
            <w:r>
              <w:rPr>
                <w:rFonts w:ascii="Times New Roman" w:eastAsia="Times New Roman"/>
                <w:sz w:val="21"/>
              </w:rPr>
              <w:t>SMA</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451"/>
              <w:rPr>
                <w:sz w:val="21"/>
              </w:rPr>
            </w:pPr>
            <w:r>
              <w:rPr>
                <w:sz w:val="21"/>
              </w:rPr>
              <w:t>（</w:t>
            </w:r>
            <w:r>
              <w:rPr>
                <w:rFonts w:ascii="Times New Roman" w:eastAsia="Times New Roman"/>
                <w:sz w:val="21"/>
              </w:rPr>
              <w:t>3</w:t>
            </w:r>
            <w:r>
              <w:rPr>
                <w:sz w:val="21"/>
              </w:rPr>
              <w:t>）肝脏活检证实免疫性肝炎；</w:t>
            </w:r>
          </w:p>
          <w:p>
            <w:pPr>
              <w:pStyle w:val="TableParagraph"/>
              <w:spacing w:before="21"/>
              <w:ind w:left="451"/>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898" w:hRule="atLeast"/>
        </w:trPr>
        <w:tc>
          <w:tcPr>
            <w:tcW w:w="470" w:type="dxa"/>
          </w:tcPr>
          <w:p>
            <w:pPr>
              <w:pStyle w:val="TableParagraph"/>
              <w:spacing w:before="21"/>
              <w:ind w:left="0" w:right="3"/>
              <w:jc w:val="right"/>
              <w:rPr>
                <w:rFonts w:ascii="Times New Roman"/>
                <w:sz w:val="21"/>
              </w:rPr>
            </w:pPr>
            <w:r>
              <w:rPr>
                <w:rFonts w:ascii="Times New Roman"/>
                <w:sz w:val="21"/>
              </w:rPr>
              <w:t>60.</w:t>
            </w:r>
          </w:p>
        </w:tc>
        <w:tc>
          <w:tcPr>
            <w:tcW w:w="2349" w:type="dxa"/>
          </w:tcPr>
          <w:p>
            <w:pPr>
              <w:pStyle w:val="TableParagraph"/>
              <w:spacing w:line="249" w:lineRule="exact"/>
              <w:ind w:left="6"/>
              <w:rPr>
                <w:sz w:val="21"/>
              </w:rPr>
            </w:pPr>
            <w:r>
              <w:rPr>
                <w:sz w:val="21"/>
              </w:rPr>
              <w:t>严重心肌炎</w:t>
            </w:r>
          </w:p>
        </w:tc>
        <w:tc>
          <w:tcPr>
            <w:tcW w:w="7507" w:type="dxa"/>
          </w:tcPr>
          <w:p>
            <w:pPr>
              <w:pStyle w:val="TableParagraph"/>
              <w:spacing w:line="265" w:lineRule="exact"/>
              <w:ind w:left="451"/>
              <w:rPr>
                <w:sz w:val="21"/>
              </w:rPr>
            </w:pPr>
            <w:r>
              <w:rPr>
                <w:sz w:val="21"/>
              </w:rPr>
              <w:t>心肌的严重感染而导致至少持续 </w:t>
            </w:r>
            <w:r>
              <w:rPr>
                <w:rFonts w:ascii="Times New Roman" w:eastAsia="Times New Roman"/>
                <w:sz w:val="21"/>
              </w:rPr>
              <w:t>6 </w:t>
            </w:r>
            <w:r>
              <w:rPr>
                <w:sz w:val="21"/>
              </w:rPr>
              <w:t>个月的心功能损害。严重的心功能损害必</w:t>
            </w:r>
          </w:p>
          <w:p>
            <w:pPr>
              <w:pStyle w:val="TableParagraph"/>
              <w:spacing w:line="310" w:lineRule="atLeast" w:before="2"/>
              <w:ind w:left="451" w:right="137"/>
              <w:rPr>
                <w:sz w:val="21"/>
              </w:rPr>
            </w:pPr>
            <w:r>
              <w:rPr>
                <w:sz w:val="21"/>
              </w:rPr>
              <w:t>须具备如下条件：左室腔扩大至少达到正常值上限的 </w:t>
            </w:r>
            <w:r>
              <w:rPr>
                <w:rFonts w:ascii="Times New Roman" w:eastAsia="Times New Roman"/>
                <w:sz w:val="21"/>
              </w:rPr>
              <w:t>120%</w:t>
            </w:r>
            <w:r>
              <w:rPr>
                <w:sz w:val="21"/>
              </w:rPr>
              <w:t>，且左室射血分数持续性低于 </w:t>
            </w:r>
            <w:r>
              <w:rPr>
                <w:rFonts w:ascii="Times New Roman" w:eastAsia="Times New Roman"/>
                <w:sz w:val="21"/>
              </w:rPr>
              <w:t>40%</w:t>
            </w:r>
            <w:r>
              <w:rPr>
                <w:sz w:val="21"/>
              </w:rPr>
              <w:t>。</w:t>
            </w:r>
          </w:p>
        </w:tc>
      </w:tr>
    </w:tbl>
    <w:p>
      <w:pPr>
        <w:pStyle w:val="BodyText"/>
        <w:rPr>
          <w:sz w:val="20"/>
        </w:rPr>
      </w:pPr>
    </w:p>
    <w:p>
      <w:pPr>
        <w:pStyle w:val="BodyText"/>
        <w:rPr>
          <w:sz w:val="20"/>
        </w:rPr>
      </w:pPr>
    </w:p>
    <w:p>
      <w:pPr>
        <w:pStyle w:val="BodyText"/>
        <w:spacing w:before="3"/>
        <w:rPr>
          <w:sz w:val="29"/>
        </w:rPr>
      </w:pPr>
    </w:p>
    <w:p>
      <w:pPr>
        <w:spacing w:before="43"/>
        <w:ind w:left="0" w:right="3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440" w:bottom="82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34048" type="#_x0000_t202" filled="false" stroked="false">
          <v:textbox inset="0,0,0,0">
            <w:txbxContent>
              <w:p>
                <w:pPr>
                  <w:pStyle w:val="BodyText"/>
                  <w:spacing w:line="254" w:lineRule="exact"/>
                  <w:ind w:left="20"/>
                </w:pPr>
                <w:r>
                  <w:rPr/>
                  <w:t>太平附加福利全佑重大疾病保险，第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16</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98"/>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16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2018-10-19T23:43:35Z</dcterms:created>
  <dcterms:modified xsi:type="dcterms:W3CDTF">2018-10-19T23:43:35Z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Microsoft® Word 2010</vt:lpwstr>
  </property>
  <property fmtid="{D5CDD505-2E9C-101B-9397-08002B2CF9AE}" pid="4" name="LastSaved">
    <vt:filetime>2018-10-19T00:00:00Z</vt:filetime>
  </property>
</Properties>
</file>