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
        <w:ind w:left="5486" w:right="0" w:firstLine="0"/>
        <w:jc w:val="left"/>
        <w:rPr>
          <w:sz w:val="21"/>
        </w:rPr>
      </w:pPr>
      <w:r>
        <w:rPr/>
        <w:drawing>
          <wp:anchor distT="0" distB="0" distL="0" distR="0" allowOverlap="1" layoutInCell="1" locked="0" behindDoc="0" simplePos="0" relativeHeight="0">
            <wp:simplePos x="0" y="0"/>
            <wp:positionH relativeFrom="page">
              <wp:posOffset>5186171</wp:posOffset>
            </wp:positionH>
            <wp:positionV relativeFrom="paragraph">
              <wp:posOffset>245284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21"/>
        </w:rPr>
        <w:t>瑞泰人寿[2009]疾病保险 020 号</w:t>
      </w:r>
    </w:p>
    <w:p>
      <w:pPr>
        <w:spacing w:before="13"/>
        <w:ind w:left="0" w:right="427" w:firstLine="0"/>
        <w:jc w:val="right"/>
        <w:rPr>
          <w:sz w:val="21"/>
        </w:rPr>
      </w:pPr>
      <w:r>
        <w:rPr>
          <w:sz w:val="21"/>
        </w:rPr>
        <w:t>请扫描以查询验证条款</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
        <w:ind w:left="0"/>
        <w:rPr>
          <w:sz w:val="27"/>
        </w:rPr>
      </w:pPr>
    </w:p>
    <w:p>
      <w:pPr>
        <w:spacing w:before="0"/>
        <w:ind w:left="4" w:right="0" w:firstLine="0"/>
        <w:jc w:val="center"/>
        <w:rPr>
          <w:rFonts w:ascii="Microsoft JhengHei" w:eastAsia="Microsoft JhengHei" w:hint="eastAsia"/>
          <w:b/>
          <w:sz w:val="44"/>
        </w:rPr>
      </w:pPr>
      <w:r>
        <w:rPr>
          <w:rFonts w:ascii="Microsoft JhengHei" w:eastAsia="Microsoft JhengHei" w:hint="eastAsia"/>
          <w:b/>
          <w:sz w:val="44"/>
        </w:rPr>
        <w:t>瑞泰附加瑞丽女性重大疾病保险合同条款</w:t>
      </w:r>
    </w:p>
    <w:p>
      <w:pPr>
        <w:pStyle w:val="BodyText"/>
        <w:ind w:left="0"/>
        <w:rPr>
          <w:rFonts w:ascii="Microsoft JhengHei"/>
          <w:b/>
          <w:sz w:val="44"/>
        </w:rPr>
      </w:pPr>
    </w:p>
    <w:p>
      <w:pPr>
        <w:pStyle w:val="BodyText"/>
        <w:ind w:left="0"/>
        <w:rPr>
          <w:rFonts w:ascii="Microsoft JhengHei"/>
          <w:b/>
          <w:sz w:val="44"/>
        </w:rPr>
      </w:pPr>
    </w:p>
    <w:p>
      <w:pPr>
        <w:pStyle w:val="BodyText"/>
        <w:ind w:left="0"/>
        <w:rPr>
          <w:rFonts w:ascii="Microsoft JhengHei"/>
          <w:b/>
          <w:sz w:val="44"/>
        </w:rPr>
      </w:pPr>
    </w:p>
    <w:p>
      <w:pPr>
        <w:pStyle w:val="BodyText"/>
        <w:ind w:left="0"/>
        <w:rPr>
          <w:rFonts w:ascii="Microsoft JhengHei"/>
          <w:b/>
          <w:sz w:val="44"/>
        </w:rPr>
      </w:pPr>
    </w:p>
    <w:p>
      <w:pPr>
        <w:pStyle w:val="BodyText"/>
        <w:ind w:left="0"/>
        <w:rPr>
          <w:rFonts w:ascii="Microsoft JhengHei"/>
          <w:b/>
          <w:sz w:val="44"/>
        </w:rPr>
      </w:pPr>
    </w:p>
    <w:p>
      <w:pPr>
        <w:pStyle w:val="BodyText"/>
        <w:ind w:left="0"/>
        <w:rPr>
          <w:rFonts w:ascii="Microsoft JhengHei"/>
          <w:b/>
          <w:sz w:val="44"/>
        </w:rPr>
      </w:pPr>
    </w:p>
    <w:p>
      <w:pPr>
        <w:pStyle w:val="BodyText"/>
        <w:ind w:left="0"/>
        <w:rPr>
          <w:rFonts w:ascii="Microsoft JhengHei"/>
          <w:b/>
          <w:sz w:val="44"/>
        </w:rPr>
      </w:pPr>
    </w:p>
    <w:p>
      <w:pPr>
        <w:pStyle w:val="BodyText"/>
        <w:spacing w:before="14"/>
        <w:ind w:left="0"/>
        <w:rPr>
          <w:rFonts w:ascii="Microsoft JhengHei"/>
          <w:b/>
          <w:sz w:val="52"/>
        </w:rPr>
      </w:pPr>
    </w:p>
    <w:p>
      <w:pPr>
        <w:pStyle w:val="Heading3"/>
        <w:ind w:left="6"/>
      </w:pPr>
      <w:r>
        <w:rPr/>
        <w:t>瑞泰人寿保险有限公司</w:t>
      </w:r>
    </w:p>
    <w:p>
      <w:pPr>
        <w:pStyle w:val="Heading3"/>
        <w:spacing w:before="136"/>
      </w:pPr>
      <w:r>
        <w:rPr/>
        <w:t>2009 年 9 月</w:t>
      </w:r>
    </w:p>
    <w:p>
      <w:pPr>
        <w:spacing w:after="0"/>
        <w:sectPr>
          <w:footerReference w:type="default" r:id="rId5"/>
          <w:type w:val="continuous"/>
          <w:pgSz w:w="11900" w:h="16840"/>
          <w:pgMar w:footer="1007" w:top="1420" w:bottom="1200" w:left="1680" w:right="1680"/>
          <w:pgNumType w:start="1"/>
        </w:sectPr>
      </w:pPr>
    </w:p>
    <w:p>
      <w:pPr>
        <w:tabs>
          <w:tab w:pos="663" w:val="left" w:leader="none"/>
        </w:tabs>
        <w:spacing w:line="562" w:lineRule="exact" w:before="0"/>
        <w:ind w:left="1" w:right="0" w:firstLine="0"/>
        <w:jc w:val="center"/>
        <w:rPr>
          <w:rFonts w:ascii="Microsoft JhengHei" w:eastAsia="Microsoft JhengHei" w:hint="eastAsia"/>
          <w:b/>
          <w:sz w:val="44"/>
        </w:rPr>
      </w:pPr>
      <w:r>
        <w:rPr>
          <w:rFonts w:ascii="Microsoft JhengHei" w:eastAsia="Microsoft JhengHei" w:hint="eastAsia"/>
          <w:b/>
          <w:sz w:val="44"/>
        </w:rPr>
        <w:t>目</w:t>
        <w:tab/>
        <w:t>录</w:t>
      </w:r>
    </w:p>
    <w:sdt>
      <w:sdtPr>
        <w:docPartObj>
          <w:docPartGallery w:val="Table of Contents"/>
          <w:docPartUnique/>
        </w:docPartObj>
      </w:sdtPr>
      <w:sdtEndPr/>
      <w:sdtContent>
        <w:p>
          <w:pPr>
            <w:pStyle w:val="TOC1"/>
            <w:tabs>
              <w:tab w:pos="8415" w:val="right" w:leader="dot"/>
            </w:tabs>
            <w:spacing w:before="92"/>
            <w:rPr>
              <w:rFonts w:ascii="Times New Roman" w:eastAsia="Times New Roman"/>
            </w:rPr>
          </w:pPr>
          <w:r>
            <w:fldChar w:fldCharType="begin"/>
          </w:r>
          <w:r>
            <w:instrText>TOC \o "1-2" \h \z \u </w:instrText>
          </w:r>
          <w:r>
            <w:fldChar w:fldCharType="separate"/>
          </w:r>
          <w:hyperlink w:history="true" w:anchor="_TOC_250024">
            <w:r>
              <w:rPr/>
              <w:t>一、总则</w:t>
              <w:tab/>
            </w:r>
            <w:r>
              <w:rPr>
                <w:rFonts w:ascii="Times New Roman" w:eastAsia="Times New Roman"/>
              </w:rPr>
              <w:t>3</w:t>
            </w:r>
          </w:hyperlink>
        </w:p>
        <w:p>
          <w:pPr>
            <w:pStyle w:val="TOC2"/>
            <w:numPr>
              <w:ilvl w:val="0"/>
              <w:numId w:val="1"/>
            </w:numPr>
            <w:tabs>
              <w:tab w:pos="562" w:val="left" w:leader="none"/>
              <w:tab w:pos="8415" w:val="right" w:leader="dot"/>
            </w:tabs>
            <w:spacing w:line="240" w:lineRule="auto" w:before="147" w:after="0"/>
            <w:ind w:left="561" w:right="0" w:hanging="230"/>
            <w:jc w:val="left"/>
            <w:rPr>
              <w:rFonts w:ascii="Times New Roman" w:hAnsi="Times New Roman" w:eastAsia="Times New Roman"/>
            </w:rPr>
          </w:pPr>
          <w:hyperlink w:history="true" w:anchor="_TOC_250023">
            <w:r>
              <w:rPr/>
              <w:t>关于瑞泰附加瑞丽女性重大疾病保险合同（以下简称“本附加合同</w:t>
            </w:r>
            <w:r>
              <w:rPr>
                <w:spacing w:val="-101"/>
              </w:rPr>
              <w:t>”）</w:t>
              <w:tab/>
            </w:r>
            <w:r>
              <w:rPr>
                <w:rFonts w:ascii="Times New Roman" w:hAnsi="Times New Roman" w:eastAsia="Times New Roman"/>
              </w:rPr>
              <w:t>3</w:t>
            </w:r>
          </w:hyperlink>
        </w:p>
        <w:p>
          <w:pPr>
            <w:pStyle w:val="TOC2"/>
            <w:numPr>
              <w:ilvl w:val="0"/>
              <w:numId w:val="1"/>
            </w:numPr>
            <w:tabs>
              <w:tab w:pos="612" w:val="left" w:leader="none"/>
              <w:tab w:pos="8415" w:val="right" w:leader="dot"/>
            </w:tabs>
            <w:spacing w:line="240" w:lineRule="auto" w:before="35" w:after="0"/>
            <w:ind w:left="612" w:right="0" w:hanging="281"/>
            <w:jc w:val="left"/>
          </w:pPr>
          <w:hyperlink w:history="true" w:anchor="_TOC_250022">
            <w:r>
              <w:rPr/>
              <w:t>本附加合同的构成</w:t>
              <w:tab/>
            </w:r>
            <w:r>
              <w:rPr>
                <w:rFonts w:ascii="Times New Roman" w:eastAsia="Times New Roman"/>
              </w:rPr>
              <w:t>3</w:t>
            </w:r>
          </w:hyperlink>
        </w:p>
        <w:p>
          <w:pPr>
            <w:pStyle w:val="TOC2"/>
            <w:numPr>
              <w:ilvl w:val="0"/>
              <w:numId w:val="1"/>
            </w:numPr>
            <w:tabs>
              <w:tab w:pos="612" w:val="left" w:leader="none"/>
              <w:tab w:pos="8415" w:val="right" w:leader="dot"/>
            </w:tabs>
            <w:spacing w:line="240" w:lineRule="auto" w:before="35" w:after="0"/>
            <w:ind w:left="612" w:right="0" w:hanging="281"/>
            <w:jc w:val="left"/>
          </w:pPr>
          <w:hyperlink w:history="true" w:anchor="_TOC_250021">
            <w:r>
              <w:rPr/>
              <w:t>投保条件</w:t>
              <w:tab/>
            </w:r>
            <w:r>
              <w:rPr>
                <w:rFonts w:ascii="Times New Roman" w:eastAsia="Times New Roman"/>
              </w:rPr>
              <w:t>3</w:t>
            </w:r>
          </w:hyperlink>
        </w:p>
        <w:p>
          <w:pPr>
            <w:pStyle w:val="TOC2"/>
            <w:numPr>
              <w:ilvl w:val="0"/>
              <w:numId w:val="1"/>
            </w:numPr>
            <w:tabs>
              <w:tab w:pos="612" w:val="left" w:leader="none"/>
              <w:tab w:pos="8415" w:val="right" w:leader="dot"/>
            </w:tabs>
            <w:spacing w:line="240" w:lineRule="auto" w:before="35" w:after="0"/>
            <w:ind w:left="612" w:right="0" w:hanging="281"/>
            <w:jc w:val="left"/>
          </w:pPr>
          <w:hyperlink w:history="true" w:anchor="_TOC_250020">
            <w:r>
              <w:rPr/>
              <w:t>本附加合同的生效及保险期间</w:t>
              <w:tab/>
            </w:r>
            <w:r>
              <w:rPr>
                <w:rFonts w:ascii="Times New Roman" w:eastAsia="Times New Roman"/>
              </w:rPr>
              <w:t>3</w:t>
            </w:r>
          </w:hyperlink>
        </w:p>
        <w:p>
          <w:pPr>
            <w:pStyle w:val="TOC2"/>
            <w:tabs>
              <w:tab w:pos="8415" w:val="right" w:leader="dot"/>
            </w:tabs>
            <w:rPr>
              <w:rFonts w:ascii="Times New Roman" w:eastAsia="Times New Roman"/>
            </w:rPr>
          </w:pPr>
          <w:hyperlink w:history="true" w:anchor="_TOC_250019">
            <w:r>
              <w:rPr/>
              <w:t>5．</w:t>
            </w:r>
            <w:r>
              <w:rPr>
                <w:spacing w:val="-20"/>
              </w:rPr>
              <w:t> </w:t>
            </w:r>
            <w:r>
              <w:rPr/>
              <w:t>犹豫期</w:t>
              <w:tab/>
            </w:r>
            <w:r>
              <w:rPr>
                <w:rFonts w:ascii="Times New Roman" w:eastAsia="Times New Roman"/>
              </w:rPr>
              <w:t>4</w:t>
            </w:r>
          </w:hyperlink>
        </w:p>
        <w:p>
          <w:pPr>
            <w:pStyle w:val="TOC1"/>
            <w:tabs>
              <w:tab w:pos="8415" w:val="right" w:leader="dot"/>
            </w:tabs>
            <w:rPr>
              <w:rFonts w:ascii="Times New Roman" w:eastAsia="Times New Roman"/>
            </w:rPr>
          </w:pPr>
          <w:hyperlink w:history="true" w:anchor="_TOC_250018">
            <w:r>
              <w:rPr/>
              <w:t>二、保障条款</w:t>
              <w:tab/>
            </w:r>
            <w:r>
              <w:rPr>
                <w:rFonts w:ascii="Times New Roman" w:eastAsia="Times New Roman"/>
              </w:rPr>
              <w:t>5</w:t>
            </w:r>
          </w:hyperlink>
        </w:p>
        <w:p>
          <w:pPr>
            <w:pStyle w:val="TOC2"/>
            <w:numPr>
              <w:ilvl w:val="0"/>
              <w:numId w:val="2"/>
            </w:numPr>
            <w:tabs>
              <w:tab w:pos="612" w:val="left" w:leader="none"/>
              <w:tab w:pos="8415" w:val="right" w:leader="dot"/>
            </w:tabs>
            <w:spacing w:line="240" w:lineRule="auto" w:before="147" w:after="0"/>
            <w:ind w:left="612" w:right="0" w:hanging="281"/>
            <w:jc w:val="left"/>
            <w:rPr>
              <w:rFonts w:ascii="Times New Roman" w:eastAsia="Times New Roman"/>
            </w:rPr>
          </w:pPr>
          <w:hyperlink w:history="true" w:anchor="_TOC_250017">
            <w:r>
              <w:rPr/>
              <w:t>保险金额</w:t>
              <w:tab/>
            </w:r>
            <w:r>
              <w:rPr>
                <w:rFonts w:ascii="Times New Roman" w:eastAsia="Times New Roman"/>
              </w:rPr>
              <w:t>5</w:t>
            </w:r>
          </w:hyperlink>
        </w:p>
        <w:p>
          <w:pPr>
            <w:pStyle w:val="TOC2"/>
            <w:numPr>
              <w:ilvl w:val="0"/>
              <w:numId w:val="2"/>
            </w:numPr>
            <w:tabs>
              <w:tab w:pos="612" w:val="left" w:leader="none"/>
              <w:tab w:pos="8415" w:val="right" w:leader="dot"/>
            </w:tabs>
            <w:spacing w:line="240" w:lineRule="auto" w:before="35" w:after="0"/>
            <w:ind w:left="612" w:right="0" w:hanging="281"/>
            <w:jc w:val="left"/>
            <w:rPr>
              <w:rFonts w:ascii="Times New Roman" w:eastAsia="Times New Roman"/>
            </w:rPr>
          </w:pPr>
          <w:hyperlink w:history="true" w:anchor="_TOC_250016">
            <w:r>
              <w:rPr/>
              <w:t>保险费</w:t>
              <w:tab/>
            </w:r>
            <w:r>
              <w:rPr>
                <w:rFonts w:ascii="Times New Roman" w:eastAsia="Times New Roman"/>
              </w:rPr>
              <w:t>5</w:t>
            </w:r>
          </w:hyperlink>
        </w:p>
        <w:p>
          <w:pPr>
            <w:pStyle w:val="TOC2"/>
            <w:numPr>
              <w:ilvl w:val="0"/>
              <w:numId w:val="2"/>
            </w:numPr>
            <w:tabs>
              <w:tab w:pos="612" w:val="left" w:leader="none"/>
              <w:tab w:pos="8415" w:val="right" w:leader="dot"/>
            </w:tabs>
            <w:spacing w:line="240" w:lineRule="auto" w:before="35" w:after="0"/>
            <w:ind w:left="612" w:right="0" w:hanging="281"/>
            <w:jc w:val="left"/>
            <w:rPr>
              <w:rFonts w:ascii="Times New Roman" w:eastAsia="Times New Roman"/>
            </w:rPr>
          </w:pPr>
          <w:hyperlink w:history="true" w:anchor="_TOC_250015">
            <w:r>
              <w:rPr/>
              <w:t>保险责任</w:t>
              <w:tab/>
            </w:r>
            <w:r>
              <w:rPr>
                <w:rFonts w:ascii="Times New Roman" w:eastAsia="Times New Roman"/>
              </w:rPr>
              <w:t>5</w:t>
            </w:r>
          </w:hyperlink>
        </w:p>
        <w:p>
          <w:pPr>
            <w:pStyle w:val="TOC2"/>
            <w:numPr>
              <w:ilvl w:val="0"/>
              <w:numId w:val="2"/>
            </w:numPr>
            <w:tabs>
              <w:tab w:pos="612" w:val="left" w:leader="none"/>
              <w:tab w:pos="8415" w:val="right" w:leader="dot"/>
            </w:tabs>
            <w:spacing w:line="240" w:lineRule="auto" w:before="35" w:after="0"/>
            <w:ind w:left="612" w:right="0" w:hanging="281"/>
            <w:jc w:val="left"/>
            <w:rPr>
              <w:rFonts w:ascii="Times New Roman" w:eastAsia="Times New Roman"/>
            </w:rPr>
          </w:pPr>
          <w:hyperlink w:history="true" w:anchor="_TOC_250014">
            <w:r>
              <w:rPr/>
              <w:t>责任免除</w:t>
              <w:tab/>
            </w:r>
            <w:r>
              <w:rPr>
                <w:rFonts w:ascii="Times New Roman" w:eastAsia="Times New Roman"/>
              </w:rPr>
              <w:t>6</w:t>
            </w:r>
          </w:hyperlink>
        </w:p>
        <w:p>
          <w:pPr>
            <w:pStyle w:val="TOC2"/>
            <w:tabs>
              <w:tab w:pos="8415" w:val="right" w:leader="dot"/>
            </w:tabs>
            <w:rPr>
              <w:rFonts w:ascii="Times New Roman" w:eastAsia="Times New Roman"/>
            </w:rPr>
          </w:pPr>
          <w:hyperlink w:history="true" w:anchor="_TOC_250013">
            <w:r>
              <w:rPr/>
              <w:t>10.受益人的指定和变更</w:t>
              <w:tab/>
            </w:r>
            <w:r>
              <w:rPr>
                <w:rFonts w:ascii="Times New Roman" w:eastAsia="Times New Roman"/>
              </w:rPr>
              <w:t>6</w:t>
            </w:r>
          </w:hyperlink>
        </w:p>
        <w:p>
          <w:pPr>
            <w:pStyle w:val="TOC2"/>
            <w:tabs>
              <w:tab w:pos="8415" w:val="right" w:leader="dot"/>
            </w:tabs>
            <w:rPr>
              <w:rFonts w:ascii="Times New Roman" w:eastAsia="Times New Roman"/>
            </w:rPr>
          </w:pPr>
          <w:hyperlink w:history="true" w:anchor="_TOC_250012">
            <w:r>
              <w:rPr/>
              <w:t>11.保险事故通知及保险金的申请时间</w:t>
              <w:tab/>
            </w:r>
            <w:r>
              <w:rPr>
                <w:rFonts w:ascii="Times New Roman" w:eastAsia="Times New Roman"/>
              </w:rPr>
              <w:t>7</w:t>
            </w:r>
          </w:hyperlink>
        </w:p>
        <w:p>
          <w:pPr>
            <w:pStyle w:val="TOC2"/>
            <w:tabs>
              <w:tab w:pos="8415" w:val="right" w:leader="dot"/>
            </w:tabs>
            <w:rPr>
              <w:rFonts w:ascii="Times New Roman" w:eastAsia="Times New Roman"/>
            </w:rPr>
          </w:pPr>
          <w:hyperlink w:history="true" w:anchor="_TOC_250011">
            <w:r>
              <w:rPr/>
              <w:t>12．</w:t>
            </w:r>
            <w:r>
              <w:rPr>
                <w:spacing w:val="-22"/>
              </w:rPr>
              <w:t> </w:t>
            </w:r>
            <w:r>
              <w:rPr/>
              <w:t>诉讼时效</w:t>
              <w:tab/>
            </w:r>
            <w:r>
              <w:rPr>
                <w:rFonts w:ascii="Times New Roman" w:eastAsia="Times New Roman"/>
              </w:rPr>
              <w:t>7</w:t>
            </w:r>
          </w:hyperlink>
        </w:p>
        <w:p>
          <w:pPr>
            <w:pStyle w:val="TOC2"/>
            <w:tabs>
              <w:tab w:pos="8415" w:val="right" w:leader="dot"/>
            </w:tabs>
            <w:rPr>
              <w:rFonts w:ascii="Times New Roman" w:eastAsia="Times New Roman"/>
            </w:rPr>
          </w:pPr>
          <w:hyperlink w:history="true" w:anchor="_TOC_250010">
            <w:r>
              <w:rPr/>
              <w:t>13.保险金的申请</w:t>
              <w:tab/>
            </w:r>
            <w:r>
              <w:rPr>
                <w:rFonts w:ascii="Times New Roman" w:eastAsia="Times New Roman"/>
              </w:rPr>
              <w:t>7</w:t>
            </w:r>
          </w:hyperlink>
        </w:p>
        <w:p>
          <w:pPr>
            <w:pStyle w:val="TOC2"/>
            <w:tabs>
              <w:tab w:pos="8415" w:val="right" w:leader="dot"/>
            </w:tabs>
            <w:rPr>
              <w:rFonts w:ascii="Times New Roman" w:eastAsia="Times New Roman"/>
            </w:rPr>
          </w:pPr>
          <w:hyperlink w:history="true" w:anchor="_TOC_250009">
            <w:r>
              <w:rPr/>
              <w:t>14.</w:t>
            </w:r>
            <w:r>
              <w:rPr>
                <w:spacing w:val="-21"/>
              </w:rPr>
              <w:t> </w:t>
            </w:r>
            <w:r>
              <w:rPr/>
              <w:t>保险金给付</w:t>
              <w:tab/>
            </w:r>
            <w:r>
              <w:rPr>
                <w:rFonts w:ascii="Times New Roman" w:eastAsia="Times New Roman"/>
              </w:rPr>
              <w:t>7</w:t>
            </w:r>
          </w:hyperlink>
        </w:p>
        <w:p>
          <w:pPr>
            <w:pStyle w:val="TOC1"/>
            <w:tabs>
              <w:tab w:pos="8415" w:val="right" w:leader="dot"/>
            </w:tabs>
            <w:rPr>
              <w:rFonts w:ascii="Times New Roman" w:eastAsia="Times New Roman"/>
            </w:rPr>
          </w:pPr>
          <w:hyperlink w:history="true" w:anchor="_TOC_250008">
            <w:r>
              <w:rPr/>
              <w:t>三、其他</w:t>
              <w:tab/>
            </w:r>
            <w:r>
              <w:rPr>
                <w:rFonts w:ascii="Times New Roman" w:eastAsia="Times New Roman"/>
              </w:rPr>
              <w:t>8</w:t>
            </w:r>
          </w:hyperlink>
        </w:p>
        <w:p>
          <w:pPr>
            <w:pStyle w:val="TOC2"/>
            <w:tabs>
              <w:tab w:pos="8415" w:val="right" w:leader="dot"/>
            </w:tabs>
            <w:spacing w:before="147"/>
            <w:rPr>
              <w:rFonts w:ascii="Times New Roman" w:eastAsia="Times New Roman"/>
            </w:rPr>
          </w:pPr>
          <w:hyperlink w:history="true" w:anchor="_TOC_250007">
            <w:r>
              <w:rPr/>
              <w:t>15.续保</w:t>
              <w:tab/>
            </w:r>
            <w:r>
              <w:rPr>
                <w:rFonts w:ascii="Times New Roman" w:eastAsia="Times New Roman"/>
              </w:rPr>
              <w:t>8</w:t>
            </w:r>
          </w:hyperlink>
        </w:p>
        <w:p>
          <w:pPr>
            <w:pStyle w:val="TOC2"/>
            <w:tabs>
              <w:tab w:pos="8415" w:val="right" w:leader="dot"/>
            </w:tabs>
            <w:rPr>
              <w:rFonts w:ascii="Times New Roman" w:eastAsia="Times New Roman"/>
            </w:rPr>
          </w:pPr>
          <w:hyperlink w:history="true" w:anchor="_TOC_250006">
            <w:r>
              <w:rPr/>
              <w:t>16.年龄确定与错误的处理</w:t>
              <w:tab/>
            </w:r>
            <w:r>
              <w:rPr>
                <w:rFonts w:ascii="Times New Roman" w:eastAsia="Times New Roman"/>
              </w:rPr>
              <w:t>8</w:t>
            </w:r>
          </w:hyperlink>
        </w:p>
        <w:p>
          <w:pPr>
            <w:pStyle w:val="TOC2"/>
            <w:tabs>
              <w:tab w:pos="8415" w:val="right" w:leader="dot"/>
            </w:tabs>
            <w:rPr>
              <w:rFonts w:ascii="Times New Roman" w:eastAsia="Times New Roman"/>
            </w:rPr>
          </w:pPr>
          <w:hyperlink w:history="true" w:anchor="_TOC_250005">
            <w:r>
              <w:rPr/>
              <w:t>17.宽限期</w:t>
              <w:tab/>
            </w:r>
            <w:r>
              <w:rPr>
                <w:rFonts w:ascii="Times New Roman" w:eastAsia="Times New Roman"/>
              </w:rPr>
              <w:t>9</w:t>
            </w:r>
          </w:hyperlink>
        </w:p>
        <w:p>
          <w:pPr>
            <w:pStyle w:val="TOC2"/>
            <w:tabs>
              <w:tab w:pos="8415" w:val="right" w:leader="dot"/>
            </w:tabs>
            <w:rPr>
              <w:rFonts w:ascii="Times New Roman" w:eastAsia="Times New Roman"/>
            </w:rPr>
          </w:pPr>
          <w:hyperlink w:history="true" w:anchor="_TOC_250004">
            <w:r>
              <w:rPr/>
              <w:t>18.增加或减少保险金额</w:t>
              <w:tab/>
            </w:r>
            <w:r>
              <w:rPr>
                <w:rFonts w:ascii="Times New Roman" w:eastAsia="Times New Roman"/>
              </w:rPr>
              <w:t>9</w:t>
            </w:r>
          </w:hyperlink>
        </w:p>
        <w:p>
          <w:pPr>
            <w:pStyle w:val="TOC2"/>
            <w:tabs>
              <w:tab w:pos="8419" w:val="right" w:leader="dot"/>
            </w:tabs>
            <w:rPr>
              <w:rFonts w:ascii="Times New Roman" w:eastAsia="Times New Roman"/>
            </w:rPr>
          </w:pPr>
          <w:hyperlink w:history="true" w:anchor="_TOC_250003">
            <w:r>
              <w:rPr/>
              <w:t>19.明确说明与如实告知</w:t>
              <w:tab/>
            </w:r>
            <w:r>
              <w:rPr>
                <w:rFonts w:ascii="Times New Roman" w:eastAsia="Times New Roman"/>
              </w:rPr>
              <w:t>10</w:t>
            </w:r>
          </w:hyperlink>
        </w:p>
        <w:p>
          <w:pPr>
            <w:pStyle w:val="TOC2"/>
            <w:numPr>
              <w:ilvl w:val="0"/>
              <w:numId w:val="3"/>
            </w:numPr>
            <w:tabs>
              <w:tab w:pos="713" w:val="left" w:leader="none"/>
              <w:tab w:pos="8419" w:val="right" w:leader="dot"/>
            </w:tabs>
            <w:spacing w:line="240" w:lineRule="auto" w:before="35" w:after="0"/>
            <w:ind w:left="712" w:right="0" w:hanging="381"/>
            <w:jc w:val="left"/>
            <w:rPr>
              <w:rFonts w:ascii="Times New Roman" w:eastAsia="Times New Roman"/>
            </w:rPr>
          </w:pPr>
          <w:hyperlink w:history="true" w:anchor="_TOC_250002">
            <w:r>
              <w:rPr/>
              <w:t>我们行使本附加合同解除权的限制</w:t>
              <w:tab/>
            </w:r>
            <w:r>
              <w:rPr>
                <w:rFonts w:ascii="Times New Roman" w:eastAsia="Times New Roman"/>
              </w:rPr>
              <w:t>10</w:t>
            </w:r>
          </w:hyperlink>
        </w:p>
        <w:p>
          <w:pPr>
            <w:pStyle w:val="TOC2"/>
            <w:numPr>
              <w:ilvl w:val="0"/>
              <w:numId w:val="3"/>
            </w:numPr>
            <w:tabs>
              <w:tab w:pos="713" w:val="left" w:leader="none"/>
              <w:tab w:pos="8411" w:val="right" w:leader="dot"/>
            </w:tabs>
            <w:spacing w:line="240" w:lineRule="auto" w:before="35" w:after="0"/>
            <w:ind w:left="712" w:right="0" w:hanging="381"/>
            <w:jc w:val="left"/>
            <w:rPr>
              <w:rFonts w:ascii="Times New Roman" w:eastAsia="Times New Roman"/>
            </w:rPr>
          </w:pPr>
          <w:hyperlink w:history="true" w:anchor="_TOC_250001">
            <w:r>
              <w:rPr/>
              <w:t>本附加合同的解除及终止</w:t>
              <w:tab/>
            </w:r>
            <w:r>
              <w:rPr>
                <w:rFonts w:ascii="Times New Roman" w:eastAsia="Times New Roman"/>
                <w:spacing w:val="-6"/>
              </w:rPr>
              <w:t>11</w:t>
            </w:r>
          </w:hyperlink>
        </w:p>
        <w:p>
          <w:pPr>
            <w:pStyle w:val="TOC1"/>
            <w:tabs>
              <w:tab w:pos="8404" w:val="right" w:leader="dot"/>
            </w:tabs>
            <w:rPr>
              <w:rFonts w:ascii="Times New Roman" w:eastAsia="Times New Roman"/>
            </w:rPr>
          </w:pPr>
          <w:hyperlink w:history="true" w:anchor="_TOC_250000">
            <w:r>
              <w:rPr/>
              <w:t>四、释义</w:t>
              <w:tab/>
            </w:r>
            <w:r>
              <w:rPr>
                <w:rFonts w:ascii="Times New Roman" w:eastAsia="Times New Roman"/>
                <w:spacing w:val="-11"/>
              </w:rPr>
              <w:t>11</w:t>
            </w:r>
          </w:hyperlink>
        </w:p>
        <w:p>
          <w:pPr/>
          <w:r>
            <w:fldChar w:fldCharType="end"/>
          </w:r>
        </w:p>
      </w:sdtContent>
    </w:sdt>
    <w:p>
      <w:pPr>
        <w:spacing w:after="0"/>
        <w:sectPr>
          <w:pgSz w:w="11900" w:h="16840"/>
          <w:pgMar w:header="0" w:footer="1007" w:top="1460" w:bottom="1200" w:left="1680" w:right="1680"/>
        </w:sectPr>
      </w:pPr>
    </w:p>
    <w:p>
      <w:pPr>
        <w:pStyle w:val="Heading3"/>
        <w:spacing w:line="386" w:lineRule="exact"/>
        <w:ind w:left="1742"/>
        <w:jc w:val="left"/>
      </w:pPr>
      <w:r>
        <w:rPr/>
        <w:t>瑞泰附加瑞丽女性重大疾病保险合同条款</w:t>
      </w:r>
    </w:p>
    <w:p>
      <w:pPr>
        <w:spacing w:before="127"/>
        <w:ind w:left="1279" w:right="0" w:firstLine="0"/>
        <w:jc w:val="left"/>
        <w:rPr>
          <w:sz w:val="21"/>
        </w:rPr>
      </w:pPr>
      <w:r>
        <w:rPr>
          <w:sz w:val="21"/>
        </w:rPr>
        <w:t>（本附加合同条款 2009 年 9 月经中国保险监督管理委员会备案）</w:t>
      </w:r>
    </w:p>
    <w:p>
      <w:pPr>
        <w:pStyle w:val="BodyText"/>
        <w:ind w:left="0"/>
        <w:rPr>
          <w:sz w:val="20"/>
        </w:rPr>
      </w:pPr>
    </w:p>
    <w:p>
      <w:pPr>
        <w:pStyle w:val="BodyText"/>
        <w:ind w:left="0"/>
        <w:rPr>
          <w:sz w:val="20"/>
        </w:rPr>
      </w:pPr>
    </w:p>
    <w:p>
      <w:pPr>
        <w:pStyle w:val="BodyText"/>
        <w:spacing w:before="6"/>
        <w:ind w:left="0"/>
        <w:rPr>
          <w:sz w:val="14"/>
        </w:rPr>
      </w:pPr>
    </w:p>
    <w:p>
      <w:pPr>
        <w:pStyle w:val="Heading1"/>
        <w:spacing w:before="1"/>
      </w:pPr>
      <w:bookmarkStart w:name="_TOC_250024" w:id="1"/>
      <w:bookmarkEnd w:id="1"/>
      <w:r>
        <w:rPr/>
        <w:t>一、总则</w:t>
      </w:r>
    </w:p>
    <w:p>
      <w:pPr>
        <w:pStyle w:val="BodyText"/>
        <w:spacing w:before="13"/>
        <w:ind w:left="0"/>
        <w:rPr>
          <w:rFonts w:ascii="Microsoft JhengHei"/>
          <w:b/>
          <w:sz w:val="27"/>
        </w:rPr>
      </w:pPr>
    </w:p>
    <w:p>
      <w:pPr>
        <w:pStyle w:val="Heading2"/>
        <w:numPr>
          <w:ilvl w:val="0"/>
          <w:numId w:val="4"/>
        </w:numPr>
        <w:tabs>
          <w:tab w:pos="500" w:val="left" w:leader="none"/>
        </w:tabs>
        <w:spacing w:line="288" w:lineRule="auto" w:before="0" w:after="0"/>
        <w:ind w:left="120" w:right="224" w:firstLine="0"/>
        <w:jc w:val="left"/>
        <w:rPr>
          <w:rFonts w:ascii="Times New Roman" w:hAnsi="Times New Roman" w:eastAsia="Times New Roman"/>
        </w:rPr>
      </w:pPr>
      <w:bookmarkStart w:name="_TOC_250023" w:id="2"/>
      <w:r>
        <w:rPr>
          <w:spacing w:val="5"/>
        </w:rPr>
        <w:t>关于瑞泰附加</w:t>
      </w:r>
      <w:r>
        <w:rPr>
          <w:spacing w:val="3"/>
          <w:sz w:val="28"/>
        </w:rPr>
        <w:t>瑞丽</w:t>
      </w:r>
      <w:r>
        <w:rPr>
          <w:spacing w:val="3"/>
        </w:rPr>
        <w:t>女性重大疾病保险合同</w:t>
      </w:r>
      <w:r>
        <w:rPr>
          <w:spacing w:val="2"/>
        </w:rPr>
        <w:t>（</w:t>
      </w:r>
      <w:r>
        <w:rPr>
          <w:spacing w:val="3"/>
        </w:rPr>
        <w:t>以下简称“本附</w:t>
      </w:r>
      <w:r>
        <w:rPr/>
        <w:t>加合同</w:t>
      </w:r>
      <w:bookmarkEnd w:id="2"/>
      <w:r>
        <w:rPr>
          <w:spacing w:val="-149"/>
        </w:rPr>
        <w:t>”）</w:t>
      </w:r>
    </w:p>
    <w:p>
      <w:pPr>
        <w:pStyle w:val="BodyText"/>
        <w:spacing w:line="357" w:lineRule="auto" w:before="89"/>
        <w:ind w:right="231" w:firstLine="480"/>
        <w:jc w:val="both"/>
      </w:pPr>
      <w:r>
        <w:rPr>
          <w:spacing w:val="-5"/>
        </w:rPr>
        <w:t>瑞泰附加瑞丽女性重大疾病保险合同可附加在我们</w:t>
      </w:r>
      <w:r>
        <w:rPr/>
        <w:t>（指瑞泰人寿保险有限公司）规定的主保险合同（</w:t>
      </w:r>
      <w:r>
        <w:rPr>
          <w:spacing w:val="-14"/>
        </w:rPr>
        <w:t>以下简称“主合同”</w:t>
      </w:r>
      <w:r>
        <w:rPr/>
        <w:t>）上，是您（指投保人）和我们之</w:t>
      </w:r>
      <w:r>
        <w:rPr>
          <w:spacing w:val="-5"/>
        </w:rPr>
        <w:t>间签订的约定保险权利义务关系的附加协议。本附加合同提供的是女性重大疾病保险保障。</w:t>
      </w:r>
    </w:p>
    <w:p>
      <w:pPr>
        <w:pStyle w:val="BodyText"/>
        <w:spacing w:line="357" w:lineRule="auto" w:before="36"/>
        <w:ind w:right="235" w:firstLine="480"/>
      </w:pPr>
      <w:r>
        <w:rPr>
          <w:spacing w:val="-7"/>
        </w:rPr>
        <w:t>本附加合同中有约定的，以本附加合同的约定为准；本附加合同中没有约定的，主合同的条款适用于本附加合同，但主合同中的投资相关条款除外。</w:t>
      </w:r>
    </w:p>
    <w:p>
      <w:pPr>
        <w:pStyle w:val="Heading2"/>
        <w:numPr>
          <w:ilvl w:val="0"/>
          <w:numId w:val="4"/>
        </w:numPr>
        <w:tabs>
          <w:tab w:pos="574" w:val="left" w:leader="none"/>
        </w:tabs>
        <w:spacing w:line="491" w:lineRule="exact" w:before="0" w:after="0"/>
        <w:ind w:left="573" w:right="0" w:hanging="453"/>
        <w:jc w:val="left"/>
      </w:pPr>
      <w:bookmarkStart w:name="_TOC_250022" w:id="3"/>
      <w:bookmarkEnd w:id="3"/>
      <w:r>
        <w:rPr/>
        <w:t>本附加合同的构成</w:t>
      </w:r>
    </w:p>
    <w:p>
      <w:pPr>
        <w:pStyle w:val="BodyText"/>
        <w:spacing w:line="357" w:lineRule="auto" w:before="169"/>
        <w:ind w:right="139" w:firstLine="480"/>
      </w:pPr>
      <w:r>
        <w:rPr/>
        <w:t>本附加合同由保险单（指本附加合同的保险单，以下同）或其他保险凭证、</w:t>
      </w:r>
      <w:r>
        <w:rPr>
          <w:spacing w:val="-8"/>
        </w:rPr>
        <w:t>附加保险合同条款、投保单、与本附加合同有关的其他投保文件、合法有效的声明、通知、批单、批注和其他书面协议构成。</w:t>
      </w:r>
    </w:p>
    <w:p>
      <w:pPr>
        <w:pStyle w:val="Heading2"/>
        <w:numPr>
          <w:ilvl w:val="0"/>
          <w:numId w:val="4"/>
        </w:numPr>
        <w:tabs>
          <w:tab w:pos="574" w:val="left" w:leader="none"/>
        </w:tabs>
        <w:spacing w:line="491" w:lineRule="exact" w:before="0" w:after="0"/>
        <w:ind w:left="573" w:right="0" w:hanging="453"/>
        <w:jc w:val="left"/>
      </w:pPr>
      <w:bookmarkStart w:name="_TOC_250021" w:id="4"/>
      <w:bookmarkEnd w:id="4"/>
      <w:r>
        <w:rPr/>
        <w:t>投保条件</w:t>
      </w:r>
    </w:p>
    <w:p>
      <w:pPr>
        <w:pStyle w:val="Heading4"/>
        <w:numPr>
          <w:ilvl w:val="1"/>
          <w:numId w:val="4"/>
        </w:numPr>
        <w:tabs>
          <w:tab w:pos="545" w:val="left" w:leader="none"/>
        </w:tabs>
        <w:spacing w:line="240" w:lineRule="auto" w:before="93" w:after="0"/>
        <w:ind w:left="544" w:right="0" w:hanging="424"/>
        <w:jc w:val="left"/>
      </w:pPr>
      <w:r>
        <w:rPr/>
        <w:t>投保人</w:t>
      </w:r>
    </w:p>
    <w:p>
      <w:pPr>
        <w:pStyle w:val="BodyText"/>
        <w:spacing w:before="126"/>
        <w:ind w:left="600"/>
      </w:pPr>
      <w:r>
        <w:rPr/>
        <w:t>本附加合同的投保人与主合同的投保人为同一人。</w:t>
      </w:r>
    </w:p>
    <w:p>
      <w:pPr>
        <w:pStyle w:val="Heading4"/>
        <w:numPr>
          <w:ilvl w:val="1"/>
          <w:numId w:val="4"/>
        </w:numPr>
        <w:tabs>
          <w:tab w:pos="545" w:val="left" w:leader="none"/>
        </w:tabs>
        <w:spacing w:line="240" w:lineRule="auto" w:before="77" w:after="0"/>
        <w:ind w:left="544" w:right="0" w:hanging="424"/>
        <w:jc w:val="left"/>
      </w:pPr>
      <w:r>
        <w:rPr/>
        <w:t>被保险人</w:t>
      </w:r>
    </w:p>
    <w:p>
      <w:pPr>
        <w:pStyle w:val="BodyText"/>
        <w:spacing w:line="357" w:lineRule="auto" w:before="126"/>
        <w:ind w:right="111" w:firstLine="480"/>
      </w:pPr>
      <w:r>
        <w:rPr>
          <w:spacing w:val="1"/>
        </w:rPr>
        <w:t>本附加合同的被保险人与主合同的被保险人为同一人, 且在本附加合同生</w:t>
      </w:r>
      <w:r>
        <w:rPr>
          <w:spacing w:val="-27"/>
        </w:rPr>
        <w:t>效日</w:t>
      </w:r>
      <w:r>
        <w:rPr/>
        <w:t>（含续保生效日</w:t>
      </w:r>
      <w:r>
        <w:rPr>
          <w:spacing w:val="-56"/>
        </w:rPr>
        <w:t>）</w:t>
      </w:r>
      <w:r>
        <w:rPr>
          <w:spacing w:val="-6"/>
        </w:rPr>
        <w:t>被保险人的年龄应该在 </w:t>
      </w:r>
      <w:r>
        <w:rPr/>
        <w:t>18</w:t>
      </w:r>
      <w:r>
        <w:rPr>
          <w:spacing w:val="-16"/>
        </w:rPr>
        <w:t> 周岁(含)至 </w:t>
      </w:r>
      <w:r>
        <w:rPr/>
        <w:t>60</w:t>
      </w:r>
      <w:r>
        <w:rPr>
          <w:spacing w:val="-38"/>
        </w:rPr>
        <w:t> 周岁</w:t>
      </w:r>
      <w:r>
        <w:rPr/>
        <w:t>（含</w:t>
      </w:r>
      <w:r>
        <w:rPr>
          <w:spacing w:val="-53"/>
        </w:rPr>
        <w:t>）</w:t>
      </w:r>
      <w:r>
        <w:rPr/>
        <w:t>之间。</w:t>
      </w:r>
    </w:p>
    <w:p>
      <w:pPr>
        <w:pStyle w:val="BodyText"/>
        <w:spacing w:line="357" w:lineRule="auto" w:before="35"/>
        <w:ind w:right="231" w:firstLine="480"/>
      </w:pPr>
      <w:r>
        <w:rPr>
          <w:spacing w:val="-10"/>
        </w:rPr>
        <w:t>本附加合同所指周岁，均以法定身份证明文件中记载的被保险人出生日期为计算基础。</w:t>
      </w:r>
    </w:p>
    <w:p>
      <w:pPr>
        <w:pStyle w:val="Heading2"/>
        <w:numPr>
          <w:ilvl w:val="0"/>
          <w:numId w:val="4"/>
        </w:numPr>
        <w:tabs>
          <w:tab w:pos="574" w:val="left" w:leader="none"/>
        </w:tabs>
        <w:spacing w:line="491" w:lineRule="exact" w:before="0" w:after="0"/>
        <w:ind w:left="573" w:right="0" w:hanging="453"/>
        <w:jc w:val="left"/>
      </w:pPr>
      <w:bookmarkStart w:name="_TOC_250020" w:id="5"/>
      <w:bookmarkEnd w:id="5"/>
      <w:r>
        <w:rPr/>
        <w:t>本附加合同的生效及保险期间</w:t>
      </w:r>
    </w:p>
    <w:p>
      <w:pPr>
        <w:pStyle w:val="Heading4"/>
        <w:numPr>
          <w:ilvl w:val="1"/>
          <w:numId w:val="4"/>
        </w:numPr>
        <w:tabs>
          <w:tab w:pos="545" w:val="left" w:leader="none"/>
        </w:tabs>
        <w:spacing w:line="240" w:lineRule="auto" w:before="93" w:after="0"/>
        <w:ind w:left="544" w:right="0" w:hanging="424"/>
        <w:jc w:val="left"/>
      </w:pPr>
      <w:r>
        <w:rPr/>
        <w:t>本附加合同的生效</w:t>
      </w:r>
    </w:p>
    <w:p>
      <w:pPr>
        <w:spacing w:after="0" w:line="240" w:lineRule="auto"/>
        <w:jc w:val="left"/>
        <w:sectPr>
          <w:pgSz w:w="11900" w:h="16840"/>
          <w:pgMar w:header="0" w:footer="1007" w:top="1540" w:bottom="1200" w:left="1680" w:right="1560"/>
        </w:sectPr>
      </w:pPr>
    </w:p>
    <w:p>
      <w:pPr>
        <w:pStyle w:val="BodyText"/>
        <w:spacing w:line="357" w:lineRule="auto"/>
        <w:ind w:right="231" w:firstLine="480"/>
        <w:jc w:val="both"/>
      </w:pPr>
      <w:r>
        <w:rPr>
          <w:spacing w:val="-4"/>
        </w:rPr>
        <w:t>您向我们完整提交本附加合同的投保单等相关投保文件后，我们需要对您的</w:t>
      </w:r>
      <w:r>
        <w:rPr>
          <w:spacing w:val="-11"/>
        </w:rPr>
        <w:t>投保申请进行核保。在我们同意承保并收取您应该交纳的保险费时，被保险人生</w:t>
      </w:r>
      <w:r>
        <w:rPr>
          <w:spacing w:val="-12"/>
        </w:rPr>
        <w:t>存的，本附加合同生效，该生效日期在保险单中载明。我们将及时签发保险单作为保险凭证。</w:t>
      </w:r>
    </w:p>
    <w:p>
      <w:pPr>
        <w:pStyle w:val="BodyText"/>
        <w:spacing w:line="357" w:lineRule="auto" w:before="36"/>
        <w:ind w:right="235" w:firstLine="480"/>
        <w:jc w:val="both"/>
      </w:pPr>
      <w:r>
        <w:rPr>
          <w:spacing w:val="-11"/>
        </w:rPr>
        <w:t>保险单周年日、保险单年度、保险单月度和保险单期满日均以本附加合同保险单中载明的生效日期为准计算。</w:t>
      </w:r>
    </w:p>
    <w:p>
      <w:pPr>
        <w:pStyle w:val="Heading4"/>
        <w:numPr>
          <w:ilvl w:val="1"/>
          <w:numId w:val="4"/>
        </w:numPr>
        <w:tabs>
          <w:tab w:pos="545" w:val="left" w:leader="none"/>
        </w:tabs>
        <w:spacing w:line="378" w:lineRule="exact" w:before="0" w:after="0"/>
        <w:ind w:left="544" w:right="0" w:hanging="424"/>
        <w:jc w:val="left"/>
      </w:pPr>
      <w:r>
        <w:rPr/>
        <w:t>保险期间</w:t>
      </w:r>
    </w:p>
    <w:p>
      <w:pPr>
        <w:pStyle w:val="BodyText"/>
        <w:spacing w:line="357" w:lineRule="auto" w:before="126"/>
        <w:ind w:right="231" w:firstLine="480"/>
        <w:jc w:val="both"/>
      </w:pPr>
      <w:r>
        <w:rPr>
          <w:spacing w:val="-5"/>
        </w:rPr>
        <w:t>本附加合同的保险期间为 </w:t>
      </w:r>
      <w:r>
        <w:rPr/>
        <w:t>5</w:t>
      </w:r>
      <w:r>
        <w:rPr>
          <w:spacing w:val="-14"/>
        </w:rPr>
        <w:t> 年，且本附加合同的保险单期满日应该不晚于主合同的保险单期满日。</w:t>
      </w:r>
    </w:p>
    <w:p>
      <w:pPr>
        <w:pStyle w:val="BodyText"/>
        <w:spacing w:line="357" w:lineRule="auto" w:before="36"/>
        <w:ind w:right="231" w:firstLine="480"/>
        <w:jc w:val="both"/>
      </w:pPr>
      <w:r>
        <w:rPr>
          <w:spacing w:val="-4"/>
        </w:rPr>
        <w:t>保险期间自本附加合同保险单中载明的生效日期的零时起开始计算。保险期间会在保险单中载明。</w:t>
      </w:r>
    </w:p>
    <w:p>
      <w:pPr>
        <w:pStyle w:val="Heading2"/>
        <w:spacing w:line="491" w:lineRule="exact"/>
      </w:pPr>
      <w:bookmarkStart w:name="_TOC_250019" w:id="6"/>
      <w:bookmarkEnd w:id="6"/>
      <w:r>
        <w:rPr/>
        <w:t>5． 犹豫期</w:t>
      </w:r>
    </w:p>
    <w:p>
      <w:pPr>
        <w:pStyle w:val="ListParagraph"/>
        <w:numPr>
          <w:ilvl w:val="1"/>
          <w:numId w:val="5"/>
        </w:numPr>
        <w:tabs>
          <w:tab w:pos="1020" w:val="left" w:leader="none"/>
        </w:tabs>
        <w:spacing w:line="357" w:lineRule="auto" w:before="169" w:after="0"/>
        <w:ind w:left="120" w:right="231" w:firstLine="480"/>
        <w:jc w:val="both"/>
        <w:rPr>
          <w:sz w:val="24"/>
        </w:rPr>
      </w:pPr>
      <w:r>
        <w:rPr>
          <w:spacing w:val="-4"/>
          <w:sz w:val="24"/>
        </w:rPr>
        <w:t>为了确保您的利益、确保您已经全面理解并选择了适合您需求的人身保险产品，本附加合同设置了犹豫期条款。</w:t>
      </w:r>
    </w:p>
    <w:p>
      <w:pPr>
        <w:pStyle w:val="ListParagraph"/>
        <w:numPr>
          <w:ilvl w:val="1"/>
          <w:numId w:val="5"/>
        </w:numPr>
        <w:tabs>
          <w:tab w:pos="1080" w:val="left" w:leader="none"/>
        </w:tabs>
        <w:spacing w:line="357" w:lineRule="auto" w:before="36" w:after="0"/>
        <w:ind w:left="120" w:right="231" w:firstLine="480"/>
        <w:jc w:val="both"/>
        <w:rPr>
          <w:sz w:val="24"/>
        </w:rPr>
      </w:pPr>
      <w:r>
        <w:rPr>
          <w:spacing w:val="-3"/>
          <w:sz w:val="24"/>
        </w:rPr>
        <w:t>犹豫期是从您收到本附加合同并书面签收日起 </w:t>
      </w:r>
      <w:r>
        <w:rPr>
          <w:sz w:val="24"/>
        </w:rPr>
        <w:t>10</w:t>
      </w:r>
      <w:r>
        <w:rPr>
          <w:spacing w:val="-7"/>
          <w:sz w:val="24"/>
        </w:rPr>
        <w:t> 日内的一段时期，书面签收日以附加保险合同签收回执上载明的签收日期为准。</w:t>
      </w:r>
    </w:p>
    <w:p>
      <w:pPr>
        <w:pStyle w:val="ListParagraph"/>
        <w:numPr>
          <w:ilvl w:val="1"/>
          <w:numId w:val="5"/>
        </w:numPr>
        <w:tabs>
          <w:tab w:pos="1020" w:val="left" w:leader="none"/>
        </w:tabs>
        <w:spacing w:line="357" w:lineRule="auto" w:before="36" w:after="0"/>
        <w:ind w:left="120" w:right="231" w:firstLine="480"/>
        <w:jc w:val="both"/>
        <w:rPr>
          <w:sz w:val="24"/>
        </w:rPr>
      </w:pPr>
      <w:r>
        <w:rPr>
          <w:spacing w:val="-4"/>
          <w:sz w:val="24"/>
        </w:rPr>
        <w:t>在犹豫期内，您可向我们书面提出撤销本附加合同，并将本附加合同相</w:t>
      </w:r>
      <w:r>
        <w:rPr>
          <w:spacing w:val="-11"/>
          <w:sz w:val="24"/>
        </w:rPr>
        <w:t>关文件退还我们。本附加合同在我们收到您的书面撤销通知时撤销，我们自始不</w:t>
      </w:r>
      <w:r>
        <w:rPr>
          <w:spacing w:val="-16"/>
          <w:sz w:val="24"/>
        </w:rPr>
        <w:t>承担本附加合同约定的保险责任。我们将在收到您退还的本附加合同相关文件日</w:t>
      </w:r>
      <w:r>
        <w:rPr>
          <w:spacing w:val="-27"/>
          <w:sz w:val="24"/>
        </w:rPr>
        <w:t>起的 </w:t>
      </w:r>
      <w:r>
        <w:rPr>
          <w:sz w:val="24"/>
        </w:rPr>
        <w:t>10</w:t>
      </w:r>
      <w:r>
        <w:rPr>
          <w:spacing w:val="-7"/>
          <w:sz w:val="24"/>
        </w:rPr>
        <w:t> 个工作日内向您全额无息退还已交纳的本附加合同的保险费至您的主合同投资账户中。</w:t>
      </w:r>
    </w:p>
    <w:p>
      <w:pPr>
        <w:pStyle w:val="Heading4"/>
        <w:spacing w:line="378" w:lineRule="exact" w:before="0"/>
        <w:ind w:left="602" w:firstLine="0"/>
      </w:pPr>
      <w:r>
        <w:rPr/>
        <w:t>若您的主合同为投资连结保险产品，我们按收到本附加合同撤销通知时的</w:t>
      </w:r>
    </w:p>
    <w:p>
      <w:pPr>
        <w:pStyle w:val="Heading4"/>
        <w:spacing w:line="268" w:lineRule="auto"/>
        <w:ind w:left="120" w:right="111" w:firstLine="0"/>
      </w:pPr>
      <w:r>
        <w:rPr/>
        <w:t>下一个工作日的投资单位价格或投资单位卖出价计算出应退还的投资单位数， </w:t>
      </w:r>
      <w:r>
        <w:rPr>
          <w:spacing w:val="-1"/>
        </w:rPr>
        <w:t>退还至您主合同的投资账户。本附加合同中所有提及投资单位的扣除或退还的， </w:t>
      </w:r>
      <w:r>
        <w:rPr/>
        <w:t>均为按照投保人主合同当时的各投资账户实际价值占其投资账户实际价值总和的比例分别从投保人各投资账户中扣除或返还至投保人各投资账户。</w:t>
      </w:r>
    </w:p>
    <w:p>
      <w:pPr>
        <w:spacing w:after="0" w:line="268" w:lineRule="auto"/>
        <w:sectPr>
          <w:pgSz w:w="11900" w:h="16840"/>
          <w:pgMar w:header="0" w:footer="1007" w:top="1480" w:bottom="1200" w:left="1680" w:right="1560"/>
        </w:sectPr>
      </w:pPr>
    </w:p>
    <w:p>
      <w:pPr>
        <w:pStyle w:val="Heading1"/>
        <w:spacing w:line="430" w:lineRule="exact"/>
      </w:pPr>
      <w:bookmarkStart w:name="_TOC_250018" w:id="7"/>
      <w:bookmarkEnd w:id="7"/>
      <w:r>
        <w:rPr/>
        <w:t>二、保障条款</w:t>
      </w:r>
    </w:p>
    <w:p>
      <w:pPr>
        <w:pStyle w:val="BodyText"/>
        <w:spacing w:before="15"/>
        <w:ind w:left="0"/>
        <w:rPr>
          <w:rFonts w:ascii="Microsoft JhengHei"/>
          <w:b/>
          <w:sz w:val="27"/>
        </w:rPr>
      </w:pPr>
    </w:p>
    <w:p>
      <w:pPr>
        <w:pStyle w:val="Heading2"/>
        <w:numPr>
          <w:ilvl w:val="0"/>
          <w:numId w:val="6"/>
        </w:numPr>
        <w:tabs>
          <w:tab w:pos="574" w:val="left" w:leader="none"/>
        </w:tabs>
        <w:spacing w:line="240" w:lineRule="auto" w:before="0" w:after="0"/>
        <w:ind w:left="573" w:right="0" w:hanging="453"/>
        <w:jc w:val="left"/>
      </w:pPr>
      <w:bookmarkStart w:name="_TOC_250017" w:id="8"/>
      <w:bookmarkEnd w:id="8"/>
      <w:r>
        <w:rPr/>
        <w:t>保险金额</w:t>
      </w:r>
    </w:p>
    <w:p>
      <w:pPr>
        <w:pStyle w:val="BodyText"/>
        <w:spacing w:before="168"/>
        <w:ind w:left="600"/>
      </w:pPr>
      <w:r>
        <w:rPr/>
        <w:t>本附加合同的保险金额由您和我们约定并于保险单上载明。</w:t>
      </w:r>
    </w:p>
    <w:p>
      <w:pPr>
        <w:pStyle w:val="BodyText"/>
        <w:spacing w:line="357" w:lineRule="auto" w:before="153"/>
        <w:ind w:right="235" w:firstLine="480"/>
      </w:pPr>
      <w:r>
        <w:rPr>
          <w:spacing w:val="-8"/>
        </w:rPr>
        <w:t>本附加合同生效后，如果该保险金额经您和我们同意有所变更，则以变更后的保险金额为准。</w:t>
      </w:r>
    </w:p>
    <w:p>
      <w:pPr>
        <w:pStyle w:val="Heading2"/>
        <w:numPr>
          <w:ilvl w:val="0"/>
          <w:numId w:val="6"/>
        </w:numPr>
        <w:tabs>
          <w:tab w:pos="574" w:val="left" w:leader="none"/>
        </w:tabs>
        <w:spacing w:line="491" w:lineRule="exact" w:before="0" w:after="0"/>
        <w:ind w:left="573" w:right="0" w:hanging="453"/>
        <w:jc w:val="left"/>
      </w:pPr>
      <w:bookmarkStart w:name="_TOC_250016" w:id="9"/>
      <w:bookmarkEnd w:id="9"/>
      <w:r>
        <w:rPr/>
        <w:t>保险费</w:t>
      </w:r>
    </w:p>
    <w:p>
      <w:pPr>
        <w:pStyle w:val="BodyText"/>
        <w:spacing w:line="297" w:lineRule="auto" w:before="131"/>
        <w:ind w:right="229" w:firstLine="480"/>
        <w:jc w:val="both"/>
      </w:pPr>
      <w:r>
        <w:rPr>
          <w:spacing w:val="1"/>
        </w:rPr>
        <w:t>本附加合同的保险费按照保险金额和按被保险人的年龄约定的费率标准确</w:t>
      </w:r>
      <w:r>
        <w:rPr>
          <w:spacing w:val="-10"/>
        </w:rPr>
        <w:t>定，以保险单月度为计算基础，详见附件“瑞泰附加瑞丽女性重大疾病保险产品</w:t>
      </w:r>
      <w:r>
        <w:rPr>
          <w:spacing w:val="-14"/>
        </w:rPr>
        <w:t>费率表”，该费率在每个保险单年度初根据被保险人当时的年龄变化而调整。</w:t>
      </w:r>
    </w:p>
    <w:p>
      <w:pPr>
        <w:pStyle w:val="BodyText"/>
        <w:spacing w:line="357" w:lineRule="auto" w:before="55"/>
        <w:ind w:right="139" w:firstLine="480"/>
      </w:pPr>
      <w:r>
        <w:rPr/>
        <w:t>本附加合同的保险费将按月通过扣取主合同投保人账户价值的方式收取。在本附加合同生效日及以后的每个月度对应日，从您主合同的投保人账户中扣除。若您的主合同为投资连结保险产品，我们按照投资单位价格或投资单位卖出价计算出当月应收取的投资单位数，从您主合同的投资账户中扣除。</w:t>
      </w:r>
    </w:p>
    <w:p>
      <w:pPr>
        <w:pStyle w:val="BodyText"/>
        <w:spacing w:before="36"/>
        <w:ind w:left="600"/>
      </w:pPr>
      <w:r>
        <w:rPr/>
        <w:t>本附加合同无现金价值。</w:t>
      </w:r>
    </w:p>
    <w:p>
      <w:pPr>
        <w:pStyle w:val="BodyText"/>
        <w:ind w:left="0"/>
      </w:pPr>
    </w:p>
    <w:p>
      <w:pPr>
        <w:pStyle w:val="BodyText"/>
        <w:spacing w:before="5"/>
        <w:ind w:left="0"/>
        <w:rPr>
          <w:sz w:val="18"/>
        </w:rPr>
      </w:pPr>
    </w:p>
    <w:p>
      <w:pPr>
        <w:pStyle w:val="Heading2"/>
        <w:numPr>
          <w:ilvl w:val="0"/>
          <w:numId w:val="6"/>
        </w:numPr>
        <w:tabs>
          <w:tab w:pos="574" w:val="left" w:leader="none"/>
        </w:tabs>
        <w:spacing w:line="240" w:lineRule="auto" w:before="0" w:after="0"/>
        <w:ind w:left="573" w:right="0" w:hanging="453"/>
        <w:jc w:val="left"/>
      </w:pPr>
      <w:bookmarkStart w:name="_TOC_250015" w:id="10"/>
      <w:bookmarkEnd w:id="10"/>
      <w:r>
        <w:rPr/>
        <w:t>保险责任</w:t>
      </w:r>
    </w:p>
    <w:p>
      <w:pPr>
        <w:pStyle w:val="BodyText"/>
        <w:spacing w:before="168"/>
        <w:ind w:left="600"/>
      </w:pPr>
      <w:r>
        <w:rPr/>
        <w:t>在本附加合同保险期间内，我们承担下列保险责任：</w:t>
      </w:r>
    </w:p>
    <w:p>
      <w:pPr>
        <w:pStyle w:val="ListParagraph"/>
        <w:numPr>
          <w:ilvl w:val="1"/>
          <w:numId w:val="6"/>
        </w:numPr>
        <w:tabs>
          <w:tab w:pos="1080" w:val="left" w:leader="none"/>
        </w:tabs>
        <w:spacing w:line="240" w:lineRule="auto" w:before="153" w:after="0"/>
        <w:ind w:left="1080" w:right="0" w:hanging="480"/>
        <w:jc w:val="left"/>
        <w:rPr>
          <w:sz w:val="24"/>
        </w:rPr>
      </w:pPr>
      <w:r>
        <w:rPr>
          <w:sz w:val="24"/>
        </w:rPr>
        <w:t>重大疾病保险金</w:t>
      </w:r>
    </w:p>
    <w:p>
      <w:pPr>
        <w:pStyle w:val="BodyText"/>
        <w:spacing w:line="357" w:lineRule="auto" w:before="153"/>
        <w:ind w:right="231" w:firstLine="480"/>
        <w:jc w:val="both"/>
      </w:pPr>
      <w:r>
        <w:rPr>
          <w:spacing w:val="-5"/>
        </w:rPr>
        <w:t>自本附加合同生效日起 </w:t>
      </w:r>
      <w:r>
        <w:rPr/>
        <w:t>90</w:t>
      </w:r>
      <w:r>
        <w:rPr>
          <w:spacing w:val="-7"/>
        </w:rPr>
        <w:t> 天后，若被保险人经诊断初次患有本附加合同所</w:t>
      </w:r>
      <w:r>
        <w:rPr>
          <w:spacing w:val="-11"/>
        </w:rPr>
        <w:t>约定的一项或多项重大疾病</w:t>
      </w:r>
      <w:r>
        <w:rPr/>
        <w:t>（即发生本附加合同约定的保险事故</w:t>
      </w:r>
      <w:r>
        <w:rPr>
          <w:spacing w:val="-48"/>
        </w:rPr>
        <w:t>）</w:t>
      </w:r>
      <w:r>
        <w:rPr/>
        <w:t>并且自确诊之</w:t>
      </w:r>
      <w:r>
        <w:rPr>
          <w:spacing w:val="-10"/>
        </w:rPr>
        <w:t>日起生存 </w:t>
      </w:r>
      <w:r>
        <w:rPr/>
        <w:t>30</w:t>
      </w:r>
      <w:r>
        <w:rPr>
          <w:spacing w:val="-7"/>
        </w:rPr>
        <w:t> 天以上的，我们按照保险单上载明的保险金额向被保险人给付重大疾病保险金(给付金额以保险单上载明的保险金额为限)，本附加合同终止。</w:t>
      </w:r>
    </w:p>
    <w:p>
      <w:pPr>
        <w:pStyle w:val="BodyText"/>
        <w:spacing w:line="357" w:lineRule="auto" w:before="35"/>
        <w:ind w:right="115" w:firstLine="480"/>
      </w:pPr>
      <w:r>
        <w:rPr>
          <w:spacing w:val="2"/>
        </w:rPr>
        <w:t>被保险人因遭受意外伤害事故导致患有本附加合同约定的一项或多项重大</w:t>
      </w:r>
      <w:r>
        <w:rPr>
          <w:spacing w:val="-10"/>
        </w:rPr>
        <w:t>疾病的，不受上述本附加合同生效日起 </w:t>
      </w:r>
      <w:r>
        <w:rPr/>
        <w:t>90</w:t>
      </w:r>
      <w:r>
        <w:rPr>
          <w:spacing w:val="-18"/>
        </w:rPr>
        <w:t> 天后的限制</w:t>
      </w:r>
      <w:r>
        <w:rPr/>
        <w:t>（意外伤害指遭受外来的、突发的、非本意的、非疾病的使身体受到伤害的客观事件</w:t>
      </w:r>
      <w:r>
        <w:rPr>
          <w:spacing w:val="-120"/>
        </w:rPr>
        <w:t>）</w:t>
      </w:r>
      <w:r>
        <w:rPr/>
        <w:t>。</w:t>
      </w:r>
    </w:p>
    <w:p>
      <w:pPr>
        <w:pStyle w:val="BodyText"/>
        <w:spacing w:line="357" w:lineRule="auto" w:before="35"/>
        <w:ind w:right="231" w:firstLine="480"/>
        <w:jc w:val="both"/>
      </w:pPr>
      <w:r>
        <w:rPr>
          <w:spacing w:val="-5"/>
        </w:rPr>
        <w:t>自本附加合同生效日起 </w:t>
      </w:r>
      <w:r>
        <w:rPr/>
        <w:t>90</w:t>
      </w:r>
      <w:r>
        <w:rPr>
          <w:spacing w:val="-24"/>
        </w:rPr>
        <w:t> 天</w:t>
      </w:r>
      <w:r>
        <w:rPr/>
        <w:t>（含）内，若被保险人经诊断初次患有本附加</w:t>
      </w:r>
      <w:r>
        <w:rPr>
          <w:spacing w:val="-6"/>
        </w:rPr>
        <w:t>合同所约定的一项或多项重大疾病，我们在接到通知后将已收取的保险费返还至</w:t>
      </w:r>
      <w:r>
        <w:rPr>
          <w:spacing w:val="-12"/>
        </w:rPr>
        <w:t>主合同投保人账户。若主合同为投资连结保险产品，我们按接到通知后下一个工</w:t>
      </w:r>
    </w:p>
    <w:p>
      <w:pPr>
        <w:spacing w:after="0" w:line="357" w:lineRule="auto"/>
        <w:jc w:val="both"/>
        <w:sectPr>
          <w:pgSz w:w="11900" w:h="16840"/>
          <w:pgMar w:header="0" w:footer="1007" w:top="1580" w:bottom="1200" w:left="1680" w:right="1560"/>
        </w:sectPr>
      </w:pPr>
    </w:p>
    <w:p>
      <w:pPr>
        <w:pStyle w:val="BodyText"/>
        <w:jc w:val="both"/>
      </w:pPr>
      <w:r>
        <w:rPr/>
        <w:t>作日的投资单位价格或投资单位卖出价将已收取的保险费以投资单位形式返还</w:t>
      </w:r>
    </w:p>
    <w:p>
      <w:pPr>
        <w:pStyle w:val="BodyText"/>
        <w:spacing w:before="153"/>
        <w:jc w:val="both"/>
      </w:pPr>
      <w:r>
        <w:rPr/>
        <w:t>至主合同投保人投资账户，本附加合同终止。</w:t>
      </w:r>
    </w:p>
    <w:p>
      <w:pPr>
        <w:pStyle w:val="ListParagraph"/>
        <w:numPr>
          <w:ilvl w:val="1"/>
          <w:numId w:val="6"/>
        </w:numPr>
        <w:tabs>
          <w:tab w:pos="1080" w:val="left" w:leader="none"/>
        </w:tabs>
        <w:spacing w:line="240" w:lineRule="auto" w:before="153" w:after="0"/>
        <w:ind w:left="1080" w:right="0" w:hanging="480"/>
        <w:jc w:val="left"/>
        <w:rPr>
          <w:sz w:val="24"/>
        </w:rPr>
      </w:pPr>
      <w:r>
        <w:rPr>
          <w:sz w:val="24"/>
        </w:rPr>
        <w:t>特定重大疾病保险金</w:t>
      </w:r>
    </w:p>
    <w:p>
      <w:pPr>
        <w:pStyle w:val="BodyText"/>
        <w:spacing w:before="153"/>
        <w:ind w:left="600"/>
      </w:pPr>
      <w:r>
        <w:rPr/>
        <w:t>自本附加合同生效日起 90 天后，若被保险人经诊断初次患有本附加合同所</w:t>
      </w:r>
    </w:p>
    <w:p>
      <w:pPr>
        <w:pStyle w:val="BodyText"/>
        <w:spacing w:line="357" w:lineRule="auto" w:before="153"/>
        <w:ind w:right="211"/>
        <w:jc w:val="both"/>
      </w:pPr>
      <w:r>
        <w:rPr/>
        <w:drawing>
          <wp:anchor distT="0" distB="0" distL="0" distR="0" allowOverlap="1" layoutInCell="1" locked="0" behindDoc="1" simplePos="0" relativeHeight="268412231">
            <wp:simplePos x="0" y="0"/>
            <wp:positionH relativeFrom="page">
              <wp:posOffset>2860675</wp:posOffset>
            </wp:positionH>
            <wp:positionV relativeFrom="paragraph">
              <wp:posOffset>755213</wp:posOffset>
            </wp:positionV>
            <wp:extent cx="66675" cy="1174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6675" cy="117475"/>
                    </a:xfrm>
                    <a:prstGeom prst="rect">
                      <a:avLst/>
                    </a:prstGeom>
                  </pic:spPr>
                </pic:pic>
              </a:graphicData>
            </a:graphic>
          </wp:anchor>
        </w:drawing>
      </w:r>
      <w:r>
        <w:rPr>
          <w:spacing w:val="-2"/>
        </w:rPr>
        <w:t>约定的一项或多项特定重大疾病并且自确诊之日起生存 </w:t>
      </w:r>
      <w:r>
        <w:rPr/>
        <w:t>30</w:t>
      </w:r>
      <w:r>
        <w:rPr>
          <w:spacing w:val="-7"/>
        </w:rPr>
        <w:t> 天以上的，我们除按</w:t>
      </w:r>
      <w:r>
        <w:rPr>
          <w:spacing w:val="-11"/>
        </w:rPr>
        <w:t>照保险单上载明的保险金额向被保险人给付重大疾病保险金外，一并额外给付保</w:t>
      </w:r>
      <w:r>
        <w:rPr>
          <w:spacing w:val="-16"/>
        </w:rPr>
        <w:t>险单上载明保险金额的 </w:t>
      </w:r>
      <w:r>
        <w:rPr/>
        <w:t>50作为特定重大疾病保险金，本附加合同终止。</w:t>
      </w:r>
    </w:p>
    <w:p>
      <w:pPr>
        <w:pStyle w:val="BodyText"/>
        <w:spacing w:line="357" w:lineRule="auto" w:before="36"/>
        <w:ind w:right="119" w:firstLine="480"/>
      </w:pPr>
      <w:r>
        <w:rPr/>
        <w:t>特定重大疾病指：严重糖尿病及病发症，符合恶性肿瘤定义的女性乳房癌、</w:t>
      </w:r>
      <w:r>
        <w:rPr>
          <w:spacing w:val="-8"/>
        </w:rPr>
        <w:t>女性子宫颈癌、女性子宫癌、女性阴道癌、女性卵巢癌、女性输卵管癌、女性外阴癌。</w:t>
      </w:r>
    </w:p>
    <w:p>
      <w:pPr>
        <w:pStyle w:val="BodyText"/>
        <w:spacing w:before="5"/>
        <w:ind w:left="0"/>
        <w:rPr>
          <w:sz w:val="33"/>
        </w:rPr>
      </w:pPr>
    </w:p>
    <w:p>
      <w:pPr>
        <w:pStyle w:val="Heading2"/>
        <w:numPr>
          <w:ilvl w:val="0"/>
          <w:numId w:val="6"/>
        </w:numPr>
        <w:tabs>
          <w:tab w:pos="574" w:val="left" w:leader="none"/>
        </w:tabs>
        <w:spacing w:line="240" w:lineRule="auto" w:before="0" w:after="0"/>
        <w:ind w:left="573" w:right="0" w:hanging="453"/>
        <w:jc w:val="left"/>
      </w:pPr>
      <w:bookmarkStart w:name="_TOC_250014" w:id="11"/>
      <w:bookmarkEnd w:id="11"/>
      <w:r>
        <w:rPr/>
        <w:t>责任免除</w:t>
      </w:r>
    </w:p>
    <w:p>
      <w:pPr>
        <w:pStyle w:val="Heading4"/>
        <w:spacing w:line="268" w:lineRule="auto" w:before="92"/>
        <w:ind w:left="120" w:right="323" w:firstLine="482"/>
      </w:pPr>
      <w:r>
        <w:rPr/>
        <w:t>因下列情形之一，导致被保险人发生疾病、达到疾病状态或进行手术的， 我们不承担保险责任,本附加合同终止:</w:t>
      </w:r>
    </w:p>
    <w:p>
      <w:pPr>
        <w:pStyle w:val="Heading4"/>
        <w:numPr>
          <w:ilvl w:val="0"/>
          <w:numId w:val="7"/>
        </w:numPr>
        <w:tabs>
          <w:tab w:pos="363" w:val="left" w:leader="none"/>
        </w:tabs>
        <w:spacing w:line="240" w:lineRule="auto" w:before="12" w:after="0"/>
        <w:ind w:left="362" w:right="0" w:hanging="242"/>
        <w:jc w:val="both"/>
      </w:pPr>
      <w:r>
        <w:rPr/>
        <w:t>投保人对被保险人的故意杀害、故意伤害；</w:t>
      </w:r>
    </w:p>
    <w:p>
      <w:pPr>
        <w:pStyle w:val="Heading4"/>
        <w:numPr>
          <w:ilvl w:val="0"/>
          <w:numId w:val="7"/>
        </w:numPr>
        <w:tabs>
          <w:tab w:pos="363" w:val="left" w:leader="none"/>
        </w:tabs>
        <w:spacing w:line="240" w:lineRule="auto" w:before="50" w:after="0"/>
        <w:ind w:left="362" w:right="0" w:hanging="242"/>
        <w:jc w:val="both"/>
      </w:pPr>
      <w:r>
        <w:rPr/>
        <w:t>被保险人故意自伤、故意犯罪或拒捕；</w:t>
      </w:r>
    </w:p>
    <w:p>
      <w:pPr>
        <w:pStyle w:val="Heading4"/>
        <w:numPr>
          <w:ilvl w:val="0"/>
          <w:numId w:val="7"/>
        </w:numPr>
        <w:tabs>
          <w:tab w:pos="363" w:val="left" w:leader="none"/>
        </w:tabs>
        <w:spacing w:line="240" w:lineRule="auto" w:before="50" w:after="0"/>
        <w:ind w:left="362" w:right="0" w:hanging="242"/>
        <w:jc w:val="both"/>
      </w:pPr>
      <w:r>
        <w:rPr/>
        <w:t>被保险人服用、吸食或注射毒品①；</w:t>
      </w:r>
    </w:p>
    <w:p>
      <w:pPr>
        <w:pStyle w:val="Heading4"/>
        <w:numPr>
          <w:ilvl w:val="0"/>
          <w:numId w:val="7"/>
        </w:numPr>
        <w:tabs>
          <w:tab w:pos="363" w:val="left" w:leader="none"/>
        </w:tabs>
        <w:spacing w:line="240" w:lineRule="auto" w:before="50" w:after="0"/>
        <w:ind w:left="362" w:right="0" w:hanging="242"/>
        <w:jc w:val="both"/>
      </w:pPr>
      <w:r>
        <w:rPr/>
        <w:t>被保险人酒后驾驶②、无合法有效驾驶证驾驶③，或驾驶无有效行驶证④的</w:t>
      </w:r>
    </w:p>
    <w:p>
      <w:pPr>
        <w:pStyle w:val="Heading4"/>
        <w:ind w:left="120" w:firstLine="0"/>
        <w:jc w:val="both"/>
      </w:pPr>
      <w:r>
        <w:rPr/>
        <w:t>机动车；</w:t>
      </w:r>
    </w:p>
    <w:p>
      <w:pPr>
        <w:pStyle w:val="Heading4"/>
        <w:numPr>
          <w:ilvl w:val="0"/>
          <w:numId w:val="7"/>
        </w:numPr>
        <w:tabs>
          <w:tab w:pos="363" w:val="left" w:leader="none"/>
        </w:tabs>
        <w:spacing w:line="240" w:lineRule="auto" w:before="50" w:after="0"/>
        <w:ind w:left="362" w:right="0" w:hanging="242"/>
        <w:jc w:val="both"/>
      </w:pPr>
      <w:r>
        <w:rPr/>
        <w:t>被保险人感染艾滋病病毒或患艾滋病；</w:t>
      </w:r>
    </w:p>
    <w:p>
      <w:pPr>
        <w:pStyle w:val="Heading4"/>
        <w:numPr>
          <w:ilvl w:val="0"/>
          <w:numId w:val="7"/>
        </w:numPr>
        <w:tabs>
          <w:tab w:pos="363" w:val="left" w:leader="none"/>
        </w:tabs>
        <w:spacing w:line="240" w:lineRule="auto" w:before="50" w:after="0"/>
        <w:ind w:left="362" w:right="0" w:hanging="242"/>
        <w:jc w:val="both"/>
      </w:pPr>
      <w:r>
        <w:rPr/>
        <w:t>战争、军事冲突、暴乱或武装叛乱；</w:t>
      </w:r>
    </w:p>
    <w:p>
      <w:pPr>
        <w:pStyle w:val="Heading4"/>
        <w:numPr>
          <w:ilvl w:val="0"/>
          <w:numId w:val="7"/>
        </w:numPr>
        <w:tabs>
          <w:tab w:pos="363" w:val="left" w:leader="none"/>
        </w:tabs>
        <w:spacing w:line="240" w:lineRule="auto" w:before="50" w:after="0"/>
        <w:ind w:left="362" w:right="0" w:hanging="242"/>
        <w:jc w:val="both"/>
      </w:pPr>
      <w:r>
        <w:rPr/>
        <w:t>核爆炸、核辐射或核污染；</w:t>
      </w:r>
    </w:p>
    <w:p>
      <w:pPr>
        <w:pStyle w:val="Heading4"/>
        <w:numPr>
          <w:ilvl w:val="0"/>
          <w:numId w:val="7"/>
        </w:numPr>
        <w:tabs>
          <w:tab w:pos="363" w:val="left" w:leader="none"/>
        </w:tabs>
        <w:spacing w:line="240" w:lineRule="auto" w:before="50" w:after="0"/>
        <w:ind w:left="362" w:right="0" w:hanging="242"/>
        <w:jc w:val="both"/>
      </w:pPr>
      <w:r>
        <w:rPr/>
        <w:t>遗传性疾病，先天性畸形、变形或染色体异常。</w:t>
      </w:r>
    </w:p>
    <w:p>
      <w:pPr>
        <w:pStyle w:val="BodyText"/>
        <w:spacing w:before="5"/>
        <w:ind w:left="0"/>
        <w:rPr>
          <w:rFonts w:ascii="Microsoft JhengHei"/>
          <w:b/>
          <w:sz w:val="30"/>
        </w:rPr>
      </w:pPr>
    </w:p>
    <w:p>
      <w:pPr>
        <w:pStyle w:val="Heading2"/>
        <w:jc w:val="both"/>
      </w:pPr>
      <w:bookmarkStart w:name="_TOC_250013" w:id="12"/>
      <w:bookmarkEnd w:id="12"/>
      <w:r>
        <w:rPr/>
        <w:t>10.受益人的指定和变更</w:t>
      </w:r>
    </w:p>
    <w:p>
      <w:pPr>
        <w:pStyle w:val="BodyText"/>
        <w:spacing w:before="168"/>
        <w:ind w:left="600"/>
      </w:pPr>
      <w:r>
        <w:rPr/>
        <w:t>本附加合同的重大疾病保险金受益人为被保险人本人，除非另行约定，我们</w:t>
      </w:r>
    </w:p>
    <w:p>
      <w:pPr>
        <w:pStyle w:val="BodyText"/>
        <w:spacing w:before="153"/>
        <w:jc w:val="both"/>
      </w:pPr>
      <w:r>
        <w:rPr/>
        <w:t>不受理其他指定或变更。</w:t>
      </w:r>
    </w:p>
    <w:p>
      <w:pPr>
        <w:spacing w:after="0"/>
        <w:jc w:val="both"/>
        <w:sectPr>
          <w:pgSz w:w="11900" w:h="16840"/>
          <w:pgMar w:header="0" w:footer="1007" w:top="1480" w:bottom="1200" w:left="1680" w:right="1580"/>
        </w:sectPr>
      </w:pPr>
    </w:p>
    <w:p>
      <w:pPr>
        <w:pStyle w:val="Heading2"/>
        <w:spacing w:line="416" w:lineRule="exact"/>
      </w:pPr>
      <w:bookmarkStart w:name="_TOC_250012" w:id="13"/>
      <w:bookmarkEnd w:id="13"/>
      <w:r>
        <w:rPr/>
        <w:t>11.保险事故通知及保险金的申请时间</w:t>
      </w:r>
    </w:p>
    <w:p>
      <w:pPr>
        <w:pStyle w:val="BodyText"/>
        <w:spacing w:line="357" w:lineRule="auto" w:before="169"/>
        <w:ind w:right="119" w:firstLine="480"/>
      </w:pPr>
      <w:r>
        <w:rPr>
          <w:spacing w:val="-3"/>
        </w:rPr>
        <w:t>您或被保险人应于知道保险事故发生之日起 </w:t>
      </w:r>
      <w:r>
        <w:rPr/>
        <w:t>10</w:t>
      </w:r>
      <w:r>
        <w:rPr>
          <w:spacing w:val="-7"/>
        </w:rPr>
        <w:t> 日内通知我们。如因故意或者重大过失未及时通知，致使保险事故的性质、原因、损失程度等难以确定的，</w:t>
      </w:r>
      <w:r>
        <w:rPr>
          <w:spacing w:val="-13"/>
        </w:rPr>
        <w:t>我们对无法确定的部分，不承担给付保险金的责任，但我们通过其他途径已经及</w:t>
      </w:r>
      <w:r>
        <w:rPr/>
        <w:t>时知道或者应当及时知道保险事故发生的除外。被保险人可以委托他人代为通知。</w:t>
      </w:r>
    </w:p>
    <w:p>
      <w:pPr>
        <w:pStyle w:val="Heading2"/>
        <w:spacing w:line="491" w:lineRule="exact"/>
      </w:pPr>
      <w:bookmarkStart w:name="_TOC_250011" w:id="14"/>
      <w:bookmarkEnd w:id="14"/>
      <w:r>
        <w:rPr/>
        <w:t>12． 诉讼时效</w:t>
      </w:r>
    </w:p>
    <w:p>
      <w:pPr>
        <w:pStyle w:val="BodyText"/>
        <w:spacing w:line="357" w:lineRule="auto" w:before="169"/>
        <w:ind w:right="211" w:firstLine="480"/>
      </w:pPr>
      <w:r>
        <w:rPr>
          <w:spacing w:val="-5"/>
        </w:rPr>
        <w:t>向我们请求给付保险金的诉讼时效期间为二年，自知道或者应当知道保险事故发生之日起计算。</w:t>
      </w:r>
    </w:p>
    <w:p>
      <w:pPr>
        <w:pStyle w:val="BodyText"/>
        <w:spacing w:before="5"/>
        <w:ind w:left="0"/>
        <w:rPr>
          <w:sz w:val="33"/>
        </w:rPr>
      </w:pPr>
    </w:p>
    <w:p>
      <w:pPr>
        <w:pStyle w:val="Heading2"/>
      </w:pPr>
      <w:bookmarkStart w:name="_TOC_250010" w:id="15"/>
      <w:bookmarkEnd w:id="15"/>
      <w:r>
        <w:rPr/>
        <w:t>13.保险金的申请</w:t>
      </w:r>
    </w:p>
    <w:p>
      <w:pPr>
        <w:pStyle w:val="BodyText"/>
        <w:spacing w:line="357" w:lineRule="auto" w:before="168"/>
        <w:ind w:right="215" w:firstLine="480"/>
      </w:pPr>
      <w:r>
        <w:rPr>
          <w:spacing w:val="-8"/>
        </w:rPr>
        <w:t>在申请保险金时，由被保险人作为申请人填写保险金给付申请书，并提供以下证明和资料：</w:t>
      </w:r>
    </w:p>
    <w:p>
      <w:pPr>
        <w:pStyle w:val="BodyText"/>
        <w:spacing w:before="36"/>
        <w:ind w:left="480"/>
      </w:pPr>
      <w:r>
        <w:rPr/>
        <w:t>（1）保险合同；</w:t>
      </w:r>
    </w:p>
    <w:p>
      <w:pPr>
        <w:pStyle w:val="BodyText"/>
        <w:spacing w:before="154"/>
        <w:ind w:left="480"/>
      </w:pPr>
      <w:r>
        <w:rPr/>
        <w:t>（2）被保险人的合法有效的身份证明；</w:t>
      </w:r>
    </w:p>
    <w:p>
      <w:pPr>
        <w:pStyle w:val="BodyText"/>
        <w:spacing w:line="357" w:lineRule="auto" w:before="154"/>
        <w:ind w:right="211" w:firstLine="360"/>
        <w:jc w:val="both"/>
      </w:pPr>
      <w:r>
        <w:rPr>
          <w:spacing w:val="-11"/>
        </w:rPr>
        <w:t>（3）</w:t>
      </w:r>
      <w:r>
        <w:rPr>
          <w:spacing w:val="-4"/>
        </w:rPr>
        <w:t>由我们指定或认可的医疗机构出具的附有病历、病理显微镜检查、必需的血液检验及其他科学方法检验报告的被保险人疾病诊断证明,关于重大疾病的释义中所提及的索赔时需要提供的有关证明。</w:t>
      </w:r>
    </w:p>
    <w:p>
      <w:pPr>
        <w:pStyle w:val="BodyText"/>
        <w:spacing w:line="357" w:lineRule="auto" w:before="36"/>
        <w:ind w:right="215" w:firstLine="240"/>
      </w:pPr>
      <w:r>
        <w:rPr>
          <w:spacing w:val="-6"/>
        </w:rPr>
        <w:t>若被保险人委托他人代为办理，还应提供授权委托书、受托人身份证明等相关证明文件。</w:t>
      </w:r>
    </w:p>
    <w:p>
      <w:pPr>
        <w:pStyle w:val="BodyText"/>
        <w:spacing w:before="36"/>
        <w:ind w:left="360"/>
      </w:pPr>
      <w:r>
        <w:rPr/>
        <w:t>以上证明和资料不完整的，我们将及时一次性通知申请人补充提供有关证明和</w:t>
      </w:r>
    </w:p>
    <w:p>
      <w:pPr>
        <w:pStyle w:val="BodyText"/>
        <w:spacing w:before="154"/>
      </w:pPr>
      <w:r>
        <w:rPr/>
        <w:t>资料。</w:t>
      </w:r>
    </w:p>
    <w:p>
      <w:pPr>
        <w:pStyle w:val="BodyText"/>
        <w:ind w:left="0"/>
      </w:pPr>
    </w:p>
    <w:p>
      <w:pPr>
        <w:pStyle w:val="BodyText"/>
        <w:spacing w:before="5"/>
        <w:ind w:left="0"/>
        <w:rPr>
          <w:sz w:val="18"/>
        </w:rPr>
      </w:pPr>
    </w:p>
    <w:p>
      <w:pPr>
        <w:pStyle w:val="Heading2"/>
      </w:pPr>
      <w:bookmarkStart w:name="_TOC_250009" w:id="16"/>
      <w:bookmarkEnd w:id="16"/>
      <w:r>
        <w:rPr/>
        <w:t>14.  保险金给付</w:t>
      </w:r>
    </w:p>
    <w:p>
      <w:pPr>
        <w:pStyle w:val="BodyText"/>
        <w:spacing w:before="169"/>
        <w:ind w:left="600"/>
      </w:pPr>
      <w:r>
        <w:rPr/>
        <w:t>我们在收到保险金给付申请书及本附加合同约定的证明和资料后，将及时作</w:t>
      </w:r>
    </w:p>
    <w:p>
      <w:pPr>
        <w:pStyle w:val="BodyText"/>
        <w:spacing w:before="154"/>
      </w:pPr>
      <w:r>
        <w:rPr/>
        <w:t>出核定；情形复杂的，应当在 30 日内作出核定。</w:t>
      </w:r>
    </w:p>
    <w:p>
      <w:pPr>
        <w:pStyle w:val="BodyText"/>
        <w:spacing w:before="154"/>
        <w:ind w:left="600"/>
      </w:pPr>
      <w:r>
        <w:rPr/>
        <w:t>对确定属于保险责任的，在与申请人达成有关给付保险金数额的协议后 10</w:t>
      </w:r>
    </w:p>
    <w:p>
      <w:pPr>
        <w:pStyle w:val="BodyText"/>
        <w:spacing w:before="154"/>
      </w:pPr>
      <w:r>
        <w:rPr/>
        <w:t>日内，履行给付保险金义务。</w:t>
      </w:r>
    </w:p>
    <w:p>
      <w:pPr>
        <w:spacing w:after="0"/>
        <w:sectPr>
          <w:pgSz w:w="11900" w:h="16840"/>
          <w:pgMar w:header="0" w:footer="1007" w:top="1520" w:bottom="1200" w:left="1680" w:right="1580"/>
        </w:sectPr>
      </w:pPr>
    </w:p>
    <w:p>
      <w:pPr>
        <w:pStyle w:val="BodyText"/>
        <w:spacing w:line="357" w:lineRule="auto"/>
        <w:ind w:right="111" w:firstLine="480"/>
        <w:jc w:val="both"/>
      </w:pPr>
      <w:r>
        <w:rPr>
          <w:spacing w:val="-13"/>
        </w:rPr>
        <w:t>对不属于保险责任的，我们自作出核定之日起 </w:t>
      </w:r>
      <w:r>
        <w:rPr/>
        <w:t>3</w:t>
      </w:r>
      <w:r>
        <w:rPr>
          <w:spacing w:val="-8"/>
        </w:rPr>
        <w:t> 日内向申请人发出拒绝给付保险金通知书，并说明理由。</w:t>
      </w:r>
    </w:p>
    <w:p>
      <w:pPr>
        <w:pStyle w:val="BodyText"/>
        <w:spacing w:line="357" w:lineRule="auto" w:before="36"/>
        <w:ind w:right="111" w:firstLine="480"/>
        <w:jc w:val="both"/>
      </w:pPr>
      <w:r>
        <w:rPr>
          <w:spacing w:val="-2"/>
        </w:rPr>
        <w:t>我们在收到保险金给付申请书及有关证明和资料之日起 </w:t>
      </w:r>
      <w:r>
        <w:rPr/>
        <w:t>60</w:t>
      </w:r>
      <w:r>
        <w:rPr>
          <w:spacing w:val="-7"/>
        </w:rPr>
        <w:t> 日内，对给付保</w:t>
      </w:r>
      <w:r>
        <w:rPr>
          <w:spacing w:val="-13"/>
        </w:rPr>
        <w:t>险金的数额不能确定的，根据已有证明和资料可以确定的数额先予支付；我们最终确定给付保险金的数额后，将支付相应的差额。</w:t>
      </w:r>
    </w:p>
    <w:p>
      <w:pPr>
        <w:pStyle w:val="BodyText"/>
        <w:ind w:left="0"/>
      </w:pPr>
    </w:p>
    <w:p>
      <w:pPr>
        <w:pStyle w:val="BodyText"/>
        <w:ind w:left="0"/>
      </w:pPr>
    </w:p>
    <w:p>
      <w:pPr>
        <w:pStyle w:val="Heading1"/>
        <w:spacing w:before="190"/>
      </w:pPr>
      <w:bookmarkStart w:name="_TOC_250008" w:id="17"/>
      <w:bookmarkEnd w:id="17"/>
      <w:r>
        <w:rPr/>
        <w:t>三、其他</w:t>
      </w:r>
    </w:p>
    <w:p>
      <w:pPr>
        <w:pStyle w:val="BodyText"/>
        <w:spacing w:before="13"/>
        <w:ind w:left="0"/>
        <w:rPr>
          <w:rFonts w:ascii="Microsoft JhengHei"/>
          <w:b/>
          <w:sz w:val="27"/>
        </w:rPr>
      </w:pPr>
    </w:p>
    <w:p>
      <w:pPr>
        <w:pStyle w:val="Heading2"/>
      </w:pPr>
      <w:bookmarkStart w:name="_TOC_250007" w:id="18"/>
      <w:bookmarkEnd w:id="18"/>
      <w:r>
        <w:rPr/>
        <w:t>15.续保</w:t>
      </w:r>
    </w:p>
    <w:p>
      <w:pPr>
        <w:pStyle w:val="ListParagraph"/>
        <w:numPr>
          <w:ilvl w:val="1"/>
          <w:numId w:val="8"/>
        </w:numPr>
        <w:tabs>
          <w:tab w:pos="1140" w:val="left" w:leader="none"/>
        </w:tabs>
        <w:spacing w:line="357" w:lineRule="auto" w:before="168" w:after="0"/>
        <w:ind w:left="120" w:right="111" w:firstLine="480"/>
        <w:jc w:val="both"/>
        <w:rPr>
          <w:sz w:val="24"/>
        </w:rPr>
      </w:pPr>
      <w:r>
        <w:rPr>
          <w:spacing w:val="-5"/>
          <w:sz w:val="24"/>
        </w:rPr>
        <w:t>在本附加合同保险期间届满前 </w:t>
      </w:r>
      <w:r>
        <w:rPr>
          <w:sz w:val="24"/>
        </w:rPr>
        <w:t>30</w:t>
      </w:r>
      <w:r>
        <w:rPr>
          <w:spacing w:val="-11"/>
          <w:sz w:val="24"/>
        </w:rPr>
        <w:t> 日内，如果我们未收到您不再继续投</w:t>
      </w:r>
      <w:r>
        <w:rPr>
          <w:spacing w:val="-14"/>
          <w:sz w:val="24"/>
        </w:rPr>
        <w:t>保的书面通知，则视为您申请续保，且经我们审核同意并收取续保保险费后本附</w:t>
      </w:r>
      <w:r>
        <w:rPr>
          <w:spacing w:val="-20"/>
          <w:sz w:val="24"/>
        </w:rPr>
        <w:t>加合同将继续有效 </w:t>
      </w:r>
      <w:r>
        <w:rPr>
          <w:sz w:val="24"/>
        </w:rPr>
        <w:t>5</w:t>
      </w:r>
      <w:r>
        <w:rPr>
          <w:spacing w:val="-8"/>
          <w:sz w:val="24"/>
        </w:rPr>
        <w:t> 年，我们应在保险单上批注。</w:t>
      </w:r>
    </w:p>
    <w:p>
      <w:pPr>
        <w:pStyle w:val="ListParagraph"/>
        <w:numPr>
          <w:ilvl w:val="1"/>
          <w:numId w:val="8"/>
        </w:numPr>
        <w:tabs>
          <w:tab w:pos="1169" w:val="left" w:leader="none"/>
        </w:tabs>
        <w:spacing w:line="357" w:lineRule="auto" w:before="35" w:after="0"/>
        <w:ind w:left="120" w:right="111" w:firstLine="480"/>
        <w:jc w:val="both"/>
        <w:rPr>
          <w:sz w:val="24"/>
        </w:rPr>
      </w:pPr>
      <w:r>
        <w:rPr>
          <w:spacing w:val="-2"/>
          <w:sz w:val="24"/>
        </w:rPr>
        <w:t>每次续保生效日被保险人年龄仍应符合本附加合同 </w:t>
      </w:r>
      <w:r>
        <w:rPr>
          <w:sz w:val="24"/>
        </w:rPr>
        <w:t>3.2</w:t>
      </w:r>
      <w:r>
        <w:rPr>
          <w:spacing w:val="-6"/>
          <w:sz w:val="24"/>
        </w:rPr>
        <w:t> 的约定，且在续保后本附加合同的保险单期满日应不晚于主合同的保单期满日。</w:t>
      </w:r>
    </w:p>
    <w:p>
      <w:pPr>
        <w:pStyle w:val="ListParagraph"/>
        <w:numPr>
          <w:ilvl w:val="1"/>
          <w:numId w:val="8"/>
        </w:numPr>
        <w:tabs>
          <w:tab w:pos="1169" w:val="left" w:leader="none"/>
        </w:tabs>
        <w:spacing w:line="357" w:lineRule="auto" w:before="35" w:after="0"/>
        <w:ind w:left="120" w:right="111" w:firstLine="480"/>
        <w:jc w:val="both"/>
        <w:rPr>
          <w:sz w:val="24"/>
        </w:rPr>
      </w:pPr>
      <w:r>
        <w:rPr>
          <w:spacing w:val="-3"/>
          <w:sz w:val="24"/>
        </w:rPr>
        <w:t>续保保险费与本附加合同第 </w:t>
      </w:r>
      <w:r>
        <w:rPr>
          <w:sz w:val="24"/>
        </w:rPr>
        <w:t>7</w:t>
      </w:r>
      <w:r>
        <w:rPr>
          <w:spacing w:val="-6"/>
          <w:sz w:val="24"/>
        </w:rPr>
        <w:t> 条的有关规定相同。但我们保留调整续保保险费的权利。若我们调整了续保保险费，将及时通知您。</w:t>
      </w:r>
    </w:p>
    <w:p>
      <w:pPr>
        <w:pStyle w:val="BodyText"/>
        <w:spacing w:before="4"/>
        <w:ind w:left="0"/>
        <w:rPr>
          <w:sz w:val="33"/>
        </w:rPr>
      </w:pPr>
    </w:p>
    <w:p>
      <w:pPr>
        <w:pStyle w:val="Heading2"/>
      </w:pPr>
      <w:bookmarkStart w:name="_TOC_250006" w:id="19"/>
      <w:bookmarkEnd w:id="19"/>
      <w:r>
        <w:rPr/>
        <w:t>16.年龄确定与错误的处理</w:t>
      </w:r>
    </w:p>
    <w:p>
      <w:pPr>
        <w:pStyle w:val="BodyText"/>
        <w:spacing w:before="168"/>
        <w:ind w:left="540"/>
      </w:pPr>
      <w:r>
        <w:rPr/>
        <w:t>投保人、被保险人的年龄，以其法定身份证件记载的出生日期为准。</w:t>
      </w:r>
    </w:p>
    <w:p>
      <w:pPr>
        <w:pStyle w:val="BodyText"/>
        <w:spacing w:before="11"/>
        <w:ind w:left="0"/>
        <w:rPr>
          <w:sz w:val="20"/>
        </w:rPr>
      </w:pPr>
    </w:p>
    <w:p>
      <w:pPr>
        <w:pStyle w:val="BodyText"/>
        <w:spacing w:line="357" w:lineRule="auto" w:before="1"/>
        <w:ind w:right="111" w:firstLine="480"/>
        <w:jc w:val="both"/>
      </w:pPr>
      <w:r>
        <w:rPr>
          <w:spacing w:val="-10"/>
        </w:rPr>
        <w:t>您在申请投保时，应将与有效身份证件相符的被保险人的出生日期在投保单上填明，如果发生错误，按照下列规定处理：</w:t>
      </w:r>
    </w:p>
    <w:p>
      <w:pPr>
        <w:pStyle w:val="Heading4"/>
        <w:spacing w:line="268" w:lineRule="auto" w:before="80"/>
        <w:ind w:left="120" w:right="109" w:firstLine="480"/>
        <w:jc w:val="both"/>
      </w:pPr>
      <w:r>
        <w:rPr/>
        <w:drawing>
          <wp:anchor distT="0" distB="0" distL="0" distR="0" allowOverlap="1" layoutInCell="1" locked="0" behindDoc="1" simplePos="0" relativeHeight="268412255">
            <wp:simplePos x="0" y="0"/>
            <wp:positionH relativeFrom="page">
              <wp:posOffset>4552619</wp:posOffset>
            </wp:positionH>
            <wp:positionV relativeFrom="paragraph">
              <wp:posOffset>1054527</wp:posOffset>
            </wp:positionV>
            <wp:extent cx="66675" cy="117475"/>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66675" cy="117475"/>
                    </a:xfrm>
                    <a:prstGeom prst="rect">
                      <a:avLst/>
                    </a:prstGeom>
                  </pic:spPr>
                </pic:pic>
              </a:graphicData>
            </a:graphic>
          </wp:anchor>
        </w:drawing>
      </w:r>
      <w:r>
        <w:rPr/>
        <w:t>1）</w:t>
      </w:r>
      <w:r>
        <w:rPr>
          <w:spacing w:val="-1"/>
        </w:rPr>
        <w:t>若您申报的被保险人年龄不真实，并且其真实年龄不符合本附加合同规</w:t>
      </w:r>
      <w:r>
        <w:rPr/>
        <w:t>定的投保年龄限制的，在保险事故发生之前我们有权解除本附加合同，并将已收取的保险费在扣除手续费</w:t>
      </w:r>
      <w:r>
        <w:rPr>
          <w:spacing w:val="2"/>
        </w:rPr>
        <w:t>（</w:t>
      </w:r>
      <w:r>
        <w:rPr/>
        <w:t>手续费指我们的管理费用与佣金之和，比例为不</w:t>
      </w:r>
      <w:r>
        <w:rPr>
          <w:spacing w:val="0"/>
          <w:w w:val="95"/>
        </w:rPr>
        <w:t>超过我们已经收取的本附加合同的保险费之和的   </w:t>
      </w:r>
      <w:r>
        <w:rPr>
          <w:spacing w:val="-9"/>
          <w:w w:val="95"/>
        </w:rPr>
        <w:t>35）</w:t>
      </w:r>
      <w:r>
        <w:rPr>
          <w:spacing w:val="-13"/>
          <w:w w:val="95"/>
        </w:rPr>
        <w:t>后，退还至主合同投保人</w:t>
      </w:r>
      <w:r>
        <w:rPr/>
        <w:t>账户中。若主合同为投资连结保险产品，我们以投资单位形式退还至主合同投保人的投资账户中，退还的投资单位数按照本附加合同解除之日的下一个工作</w:t>
      </w:r>
    </w:p>
    <w:p>
      <w:pPr>
        <w:spacing w:after="0" w:line="268" w:lineRule="auto"/>
        <w:jc w:val="both"/>
        <w:sectPr>
          <w:pgSz w:w="11900" w:h="16840"/>
          <w:pgMar w:header="0" w:footer="1007" w:top="1480" w:bottom="1200" w:left="1680" w:right="1680"/>
        </w:sectPr>
      </w:pPr>
    </w:p>
    <w:p>
      <w:pPr>
        <w:pStyle w:val="Heading4"/>
        <w:spacing w:line="342" w:lineRule="exact" w:before="0"/>
        <w:ind w:left="120" w:firstLine="0"/>
      </w:pPr>
      <w:r>
        <w:rPr/>
        <w:t>日的投资单位价格或投资单位卖出价计算。我们行使合同解除权适用本附加合</w:t>
      </w:r>
    </w:p>
    <w:p>
      <w:pPr>
        <w:pStyle w:val="Heading4"/>
        <w:ind w:left="120" w:firstLine="0"/>
      </w:pPr>
      <w:r>
        <w:rPr/>
        <w:t>同第 20 条的规定。</w:t>
      </w:r>
    </w:p>
    <w:p>
      <w:pPr>
        <w:pStyle w:val="BodyText"/>
        <w:spacing w:line="357" w:lineRule="auto" w:before="126"/>
        <w:ind w:right="111" w:firstLine="480"/>
        <w:jc w:val="both"/>
      </w:pPr>
      <w:r>
        <w:rPr/>
        <w:t>2）若您申报的被保险人年龄不真实，致使您实付的保险费多于应付的保险</w:t>
      </w:r>
      <w:r>
        <w:rPr>
          <w:spacing w:val="-9"/>
        </w:rPr>
        <w:t>费，我们将已多收的保险费，退还至主合同投保人账户中。若主合同为投资连结</w:t>
      </w:r>
      <w:r>
        <w:rPr>
          <w:spacing w:val="-12"/>
        </w:rPr>
        <w:t>保险产品，我们按照主合同投资单位价格或投资单位卖出价以投资单位的形式退还至主合同投保人投资账户中。</w:t>
      </w:r>
    </w:p>
    <w:p>
      <w:pPr>
        <w:pStyle w:val="BodyText"/>
        <w:spacing w:line="357" w:lineRule="auto" w:before="36"/>
        <w:ind w:right="111" w:firstLine="480"/>
        <w:jc w:val="both"/>
      </w:pPr>
      <w:r>
        <w:rPr/>
        <w:t>3）若您申报的被保险人年龄不真实，致使您实付的保险费少于应付的保险</w:t>
      </w:r>
      <w:r>
        <w:rPr>
          <w:spacing w:val="-9"/>
        </w:rPr>
        <w:t>费，我们有权从主合同投保人账户中收取少收的保险费。若主合同为投资连结保</w:t>
      </w:r>
      <w:r>
        <w:rPr>
          <w:spacing w:val="-12"/>
        </w:rPr>
        <w:t>险产品，我们有权从主合同投保人的投资账户中按照投资单位价格或投资单位卖</w:t>
      </w:r>
      <w:r>
        <w:rPr>
          <w:spacing w:val="-15"/>
        </w:rPr>
        <w:t>出价以扣除投资单位的形式，收取少收的保险费。若已经发生保险事故，在给付</w:t>
      </w:r>
      <w:r>
        <w:rPr>
          <w:spacing w:val="-19"/>
        </w:rPr>
        <w:t>保险金时按实付保险费与应付保险费的比例支付，但最高不超过本附加合同保险单上载明的保险金额。</w:t>
      </w:r>
    </w:p>
    <w:p>
      <w:pPr>
        <w:pStyle w:val="BodyText"/>
        <w:spacing w:before="5"/>
        <w:ind w:left="0"/>
        <w:rPr>
          <w:sz w:val="33"/>
        </w:rPr>
      </w:pPr>
    </w:p>
    <w:p>
      <w:pPr>
        <w:pStyle w:val="Heading2"/>
      </w:pPr>
      <w:bookmarkStart w:name="_TOC_250005" w:id="20"/>
      <w:bookmarkEnd w:id="20"/>
      <w:r>
        <w:rPr/>
        <w:t>17.宽限期</w:t>
      </w:r>
    </w:p>
    <w:p>
      <w:pPr>
        <w:pStyle w:val="BodyText"/>
        <w:spacing w:line="357" w:lineRule="auto" w:before="168"/>
        <w:ind w:right="104" w:firstLine="480"/>
        <w:jc w:val="both"/>
      </w:pPr>
      <w:r>
        <w:rPr>
          <w:spacing w:val="2"/>
        </w:rPr>
        <w:t>本附加合同的保险费为按月在每个保险单月度初在主合同投保人账户价值</w:t>
      </w:r>
      <w:r>
        <w:rPr>
          <w:spacing w:val="-9"/>
        </w:rPr>
        <w:t>中扣取，当投保人账户价值不足以支付当月应交保险费时，自当月保险费到期日</w:t>
      </w:r>
      <w:r>
        <w:rPr>
          <w:spacing w:val="-29"/>
        </w:rPr>
        <w:t>起 </w:t>
      </w:r>
      <w:r>
        <w:rPr/>
        <w:t>60</w:t>
      </w:r>
      <w:r>
        <w:rPr>
          <w:spacing w:val="-7"/>
        </w:rPr>
        <w:t> 日内为本附加合同的宽限期。宽限期内发生保险事故，我们仍应承担保险责任，但给付保险金时需扣除欠交的保险费。</w:t>
      </w:r>
    </w:p>
    <w:p>
      <w:pPr>
        <w:pStyle w:val="BodyText"/>
        <w:spacing w:line="357" w:lineRule="auto" w:before="35"/>
        <w:ind w:right="111" w:firstLine="480"/>
        <w:jc w:val="both"/>
      </w:pPr>
      <w:r>
        <w:rPr>
          <w:spacing w:val="-4"/>
        </w:rPr>
        <w:t>我们会在投保人账户价值不足以支付当月应交保险费时，及时向您发出交纳</w:t>
      </w:r>
      <w:r>
        <w:rPr>
          <w:spacing w:val="-11"/>
        </w:rPr>
        <w:t>保险费的通知，您应该在宽限期内及时补交主合同的保险费，补交保险费的有关规定按照主合同中额外／追加保险费的相应规定执行。</w:t>
      </w:r>
    </w:p>
    <w:p>
      <w:pPr>
        <w:pStyle w:val="BodyText"/>
        <w:spacing w:before="35"/>
        <w:ind w:left="600"/>
      </w:pPr>
      <w:r>
        <w:rPr/>
        <w:t>您逾本附加合同的宽限期仍未交纳保险费的，本附加合同的效力终止，我们</w:t>
      </w:r>
    </w:p>
    <w:p>
      <w:pPr>
        <w:pStyle w:val="BodyText"/>
        <w:spacing w:before="153"/>
      </w:pPr>
      <w:r>
        <w:rPr/>
        <w:t>不再承担本附加合同的保险责任。</w:t>
      </w:r>
    </w:p>
    <w:p>
      <w:pPr>
        <w:pStyle w:val="BodyText"/>
        <w:ind w:left="0"/>
      </w:pPr>
    </w:p>
    <w:p>
      <w:pPr>
        <w:pStyle w:val="BodyText"/>
        <w:spacing w:before="4"/>
        <w:ind w:left="0"/>
        <w:rPr>
          <w:sz w:val="18"/>
        </w:rPr>
      </w:pPr>
    </w:p>
    <w:p>
      <w:pPr>
        <w:pStyle w:val="Heading2"/>
        <w:spacing w:before="1"/>
      </w:pPr>
      <w:bookmarkStart w:name="_TOC_250004" w:id="21"/>
      <w:bookmarkEnd w:id="21"/>
      <w:r>
        <w:rPr/>
        <w:t>18.增加或减少保险金额</w:t>
      </w:r>
    </w:p>
    <w:p>
      <w:pPr>
        <w:pStyle w:val="BodyText"/>
        <w:spacing w:line="357" w:lineRule="auto" w:before="169"/>
        <w:ind w:right="115" w:firstLine="360"/>
        <w:jc w:val="both"/>
      </w:pPr>
      <w:r>
        <w:rPr/>
        <w:t>在本附加合同有效期内，您可以向我们申请增加或减少本附加合同的保险金</w:t>
      </w:r>
      <w:r>
        <w:rPr>
          <w:spacing w:val="-9"/>
        </w:rPr>
        <w:t>额，经我们审核后在本附加合同生效日的相应的月度对应日生效，我们应在保险单上批注。</w:t>
      </w:r>
    </w:p>
    <w:p>
      <w:pPr>
        <w:pStyle w:val="BodyText"/>
        <w:spacing w:before="36"/>
        <w:ind w:left="361"/>
        <w:jc w:val="center"/>
      </w:pPr>
      <w:r>
        <w:rPr/>
        <w:t>自增加或减少保险金额生效之日起，我们按照增加或减少后的保险金额收取</w:t>
      </w:r>
    </w:p>
    <w:p>
      <w:pPr>
        <w:spacing w:after="0"/>
        <w:jc w:val="center"/>
        <w:sectPr>
          <w:pgSz w:w="11900" w:h="16840"/>
          <w:pgMar w:header="0" w:footer="1007" w:top="1480" w:bottom="1200" w:left="1680" w:right="1680"/>
        </w:sectPr>
      </w:pPr>
    </w:p>
    <w:p>
      <w:pPr>
        <w:pStyle w:val="BodyText"/>
      </w:pPr>
      <w:r>
        <w:rPr/>
        <w:t>相应的保险费。</w:t>
      </w:r>
    </w:p>
    <w:p>
      <w:pPr>
        <w:pStyle w:val="BodyText"/>
        <w:ind w:left="0"/>
      </w:pPr>
    </w:p>
    <w:p>
      <w:pPr>
        <w:pStyle w:val="BodyText"/>
        <w:spacing w:before="4"/>
        <w:ind w:left="0"/>
        <w:rPr>
          <w:sz w:val="18"/>
        </w:rPr>
      </w:pPr>
    </w:p>
    <w:p>
      <w:pPr>
        <w:pStyle w:val="Heading2"/>
      </w:pPr>
      <w:bookmarkStart w:name="_TOC_250003" w:id="22"/>
      <w:bookmarkEnd w:id="22"/>
      <w:r>
        <w:rPr/>
        <w:t>19.明确说明与如实告知</w:t>
      </w:r>
    </w:p>
    <w:p>
      <w:pPr>
        <w:pStyle w:val="BodyText"/>
        <w:spacing w:before="168"/>
        <w:ind w:left="480"/>
      </w:pPr>
      <w:r>
        <w:rPr/>
        <w:t>订立本附加合同时，我们应向您说明本附加合同的内容。</w:t>
      </w:r>
    </w:p>
    <w:p>
      <w:pPr>
        <w:pStyle w:val="BodyText"/>
        <w:spacing w:line="357" w:lineRule="auto" w:before="153"/>
        <w:ind w:right="115" w:firstLine="360"/>
        <w:jc w:val="both"/>
      </w:pPr>
      <w:r>
        <w:rPr/>
        <w:t>对本附加合同中免除我们责任的条款，我们在订立本附加合同时应当在投保</w:t>
      </w:r>
      <w:r>
        <w:rPr>
          <w:spacing w:val="-9"/>
        </w:rPr>
        <w:t>单、保险单或者其他保险凭证上作出足以引起投保人注意的提示，并对该条款的</w:t>
      </w:r>
      <w:r>
        <w:rPr>
          <w:spacing w:val="-13"/>
        </w:rPr>
        <w:t>内容以书面或口头形式向投保人作出明确说明，未作提示或者明确说明的，该条款不产生效力。</w:t>
      </w:r>
    </w:p>
    <w:p>
      <w:pPr>
        <w:pStyle w:val="BodyText"/>
        <w:spacing w:before="35"/>
        <w:ind w:left="480"/>
      </w:pPr>
      <w:r>
        <w:rPr/>
        <w:t>我们就投保人和被保险人的有关情况提出书面询问，投保人应当如实告知。</w:t>
      </w:r>
    </w:p>
    <w:p>
      <w:pPr>
        <w:pStyle w:val="Heading4"/>
        <w:spacing w:before="77"/>
        <w:ind w:left="480" w:firstLine="0"/>
      </w:pPr>
      <w:r>
        <w:rPr/>
        <w:t>如果投保人故意或者因重大过失未履行前款规定的如实告知义务，足以影响</w:t>
      </w:r>
    </w:p>
    <w:p>
      <w:pPr>
        <w:pStyle w:val="Heading4"/>
        <w:ind w:left="120" w:firstLine="0"/>
      </w:pPr>
      <w:r>
        <w:rPr/>
        <w:t>我们决定是否同意承保或者提高保险费率的，我们有权解除本附加合同。</w:t>
      </w:r>
    </w:p>
    <w:p>
      <w:pPr>
        <w:pStyle w:val="Heading4"/>
        <w:ind w:left="480" w:firstLine="0"/>
      </w:pPr>
      <w:r>
        <w:rPr/>
        <w:t>投保人故意不履行如实告知义务的，我们对于本附加合同解除前发生的保险</w:t>
      </w:r>
    </w:p>
    <w:p>
      <w:pPr>
        <w:pStyle w:val="Heading4"/>
        <w:ind w:left="120" w:firstLine="0"/>
      </w:pPr>
      <w:r>
        <w:rPr/>
        <w:t>事故，不承担给付保险金的责任，并不退还保险费。</w:t>
      </w:r>
    </w:p>
    <w:p>
      <w:pPr>
        <w:pStyle w:val="Heading4"/>
        <w:spacing w:line="268" w:lineRule="auto"/>
        <w:ind w:left="120" w:right="106" w:firstLine="360"/>
        <w:jc w:val="both"/>
      </w:pPr>
      <w:r>
        <w:rPr/>
        <w:t>投保人因重大过失未履行如实告知义务，对保险事故的发生有严重影响的， 我们对于本附加合同解除前发生的保险事故，不承担给付保险金的责任，但应当将已经收取的保险费退还至主合同投保人账户中。若主合同为投资连结保险产品，我们以投资单位形式退还至主合同投保人的投资账户中，退还的投资单位数按照本附加合同解除之日的下一个工作日的投资单位价格或投资单位卖出价计算。</w:t>
      </w:r>
    </w:p>
    <w:p>
      <w:pPr>
        <w:pStyle w:val="BodyText"/>
        <w:spacing w:line="357" w:lineRule="auto" w:before="88"/>
        <w:ind w:right="111" w:firstLine="480"/>
      </w:pPr>
      <w:r>
        <w:rPr>
          <w:spacing w:val="-4"/>
        </w:rPr>
        <w:t>我们在本附加合同订立时已经知道投保人未如实告知的情况的，我们不得解除合同；发生保险事故的，我们承担给付保险金的责任。</w:t>
      </w:r>
    </w:p>
    <w:p>
      <w:pPr>
        <w:pStyle w:val="BodyText"/>
        <w:spacing w:before="4"/>
        <w:ind w:left="0"/>
        <w:rPr>
          <w:sz w:val="33"/>
        </w:rPr>
      </w:pPr>
    </w:p>
    <w:p>
      <w:pPr>
        <w:pStyle w:val="Heading2"/>
        <w:numPr>
          <w:ilvl w:val="0"/>
          <w:numId w:val="9"/>
        </w:numPr>
        <w:tabs>
          <w:tab w:pos="725" w:val="left" w:leader="none"/>
        </w:tabs>
        <w:spacing w:line="240" w:lineRule="auto" w:before="1" w:after="0"/>
        <w:ind w:left="724" w:right="0" w:hanging="604"/>
        <w:jc w:val="left"/>
      </w:pPr>
      <w:bookmarkStart w:name="_TOC_250002" w:id="23"/>
      <w:bookmarkEnd w:id="23"/>
      <w:r>
        <w:rPr/>
        <w:t>我们行使本附加合同解除权的限制</w:t>
      </w:r>
    </w:p>
    <w:p>
      <w:pPr>
        <w:pStyle w:val="BodyText"/>
        <w:spacing w:line="357" w:lineRule="auto" w:before="169"/>
        <w:ind w:right="111" w:firstLine="600"/>
        <w:jc w:val="both"/>
      </w:pPr>
      <w:r>
        <w:rPr>
          <w:spacing w:val="-9"/>
        </w:rPr>
        <w:t>前条规定的合同解除权，自我们知道有解除事由之日起，超过 </w:t>
      </w:r>
      <w:r>
        <w:rPr/>
        <w:t>30</w:t>
      </w:r>
      <w:r>
        <w:rPr>
          <w:spacing w:val="-12"/>
        </w:rPr>
        <w:t> 日不行使而消灭。自本附加合同生效之日起超过二年的，我们不得解除本附加合同；发生保险事故的，我们承担给付保险金的责任。</w:t>
      </w:r>
    </w:p>
    <w:p>
      <w:pPr>
        <w:spacing w:after="0" w:line="357" w:lineRule="auto"/>
        <w:jc w:val="both"/>
        <w:sectPr>
          <w:footerReference w:type="default" r:id="rId8"/>
          <w:pgSz w:w="11900" w:h="16840"/>
          <w:pgMar w:footer="1007" w:header="0" w:top="1480" w:bottom="1200" w:left="1680" w:right="1680"/>
          <w:pgNumType w:start="10"/>
        </w:sectPr>
      </w:pPr>
    </w:p>
    <w:p>
      <w:pPr>
        <w:pStyle w:val="Heading2"/>
        <w:numPr>
          <w:ilvl w:val="0"/>
          <w:numId w:val="9"/>
        </w:numPr>
        <w:tabs>
          <w:tab w:pos="725" w:val="left" w:leader="none"/>
        </w:tabs>
        <w:spacing w:line="416" w:lineRule="exact" w:before="0" w:after="0"/>
        <w:ind w:left="724" w:right="0" w:hanging="604"/>
        <w:jc w:val="left"/>
      </w:pPr>
      <w:bookmarkStart w:name="_TOC_250001" w:id="24"/>
      <w:bookmarkEnd w:id="24"/>
      <w:r>
        <w:rPr/>
        <w:t>本附加合同的解除及终止</w:t>
      </w:r>
    </w:p>
    <w:p>
      <w:pPr>
        <w:pStyle w:val="Heading4"/>
        <w:numPr>
          <w:ilvl w:val="1"/>
          <w:numId w:val="9"/>
        </w:numPr>
        <w:tabs>
          <w:tab w:pos="665" w:val="left" w:leader="none"/>
        </w:tabs>
        <w:spacing w:line="240" w:lineRule="auto" w:before="92" w:after="0"/>
        <w:ind w:left="664" w:right="0" w:hanging="544"/>
        <w:jc w:val="left"/>
      </w:pPr>
      <w:r>
        <w:rPr/>
        <w:t>本附加合同的解除</w:t>
      </w:r>
    </w:p>
    <w:p>
      <w:pPr>
        <w:pStyle w:val="ListParagraph"/>
        <w:numPr>
          <w:ilvl w:val="2"/>
          <w:numId w:val="9"/>
        </w:numPr>
        <w:tabs>
          <w:tab w:pos="970" w:val="left" w:leader="none"/>
        </w:tabs>
        <w:spacing w:line="240" w:lineRule="auto" w:before="49" w:after="0"/>
        <w:ind w:left="969" w:right="0" w:hanging="849"/>
        <w:jc w:val="left"/>
        <w:rPr>
          <w:sz w:val="24"/>
        </w:rPr>
      </w:pPr>
      <w:r>
        <w:rPr>
          <w:sz w:val="24"/>
        </w:rPr>
        <w:t>本附加合同生效后，您可以书面形式通知我们要求解除本附加合同。我</w:t>
      </w:r>
    </w:p>
    <w:p>
      <w:pPr>
        <w:pStyle w:val="BodyText"/>
        <w:spacing w:before="126"/>
      </w:pPr>
      <w:r>
        <w:rPr/>
        <w:t>们收到您解除合同的书面通知当日，本附加合同解除。</w:t>
      </w:r>
    </w:p>
    <w:p>
      <w:pPr>
        <w:pStyle w:val="ListParagraph"/>
        <w:numPr>
          <w:ilvl w:val="2"/>
          <w:numId w:val="9"/>
        </w:numPr>
        <w:tabs>
          <w:tab w:pos="970" w:val="left" w:leader="none"/>
        </w:tabs>
        <w:spacing w:line="240" w:lineRule="auto" w:before="77" w:after="0"/>
        <w:ind w:left="969" w:right="0" w:hanging="849"/>
        <w:jc w:val="left"/>
        <w:rPr>
          <w:sz w:val="24"/>
        </w:rPr>
      </w:pPr>
      <w:r>
        <w:rPr>
          <w:sz w:val="24"/>
        </w:rPr>
        <w:t>出现本附加合同其他条款约定或保险相关法律规定可以解除合同的情形</w:t>
      </w:r>
    </w:p>
    <w:p>
      <w:pPr>
        <w:pStyle w:val="BodyText"/>
        <w:spacing w:before="126"/>
      </w:pPr>
      <w:r>
        <w:rPr/>
        <w:t>时，本附加合同可以解除。</w:t>
      </w:r>
    </w:p>
    <w:p>
      <w:pPr>
        <w:pStyle w:val="Heading4"/>
        <w:numPr>
          <w:ilvl w:val="1"/>
          <w:numId w:val="10"/>
        </w:numPr>
        <w:tabs>
          <w:tab w:pos="607" w:val="left" w:leader="none"/>
        </w:tabs>
        <w:spacing w:line="240" w:lineRule="auto" w:before="77" w:after="0"/>
        <w:ind w:left="606" w:right="0" w:hanging="486"/>
        <w:jc w:val="left"/>
      </w:pPr>
      <w:r>
        <w:rPr/>
        <w:t>．本附加合同的终止</w:t>
      </w:r>
    </w:p>
    <w:p>
      <w:pPr>
        <w:pStyle w:val="ListParagraph"/>
        <w:numPr>
          <w:ilvl w:val="2"/>
          <w:numId w:val="10"/>
        </w:numPr>
        <w:tabs>
          <w:tab w:pos="908" w:val="left" w:leader="none"/>
        </w:tabs>
        <w:spacing w:line="240" w:lineRule="auto" w:before="49" w:after="0"/>
        <w:ind w:left="907" w:right="0" w:hanging="787"/>
        <w:jc w:val="left"/>
        <w:rPr>
          <w:sz w:val="24"/>
        </w:rPr>
      </w:pPr>
      <w:r>
        <w:rPr>
          <w:sz w:val="24"/>
        </w:rPr>
        <w:t>主合同终止，本附加合同的效力即行终止；</w:t>
      </w:r>
    </w:p>
    <w:p>
      <w:pPr>
        <w:pStyle w:val="ListParagraph"/>
        <w:numPr>
          <w:ilvl w:val="2"/>
          <w:numId w:val="10"/>
        </w:numPr>
        <w:tabs>
          <w:tab w:pos="908" w:val="left" w:leader="none"/>
        </w:tabs>
        <w:spacing w:line="240" w:lineRule="auto" w:before="49" w:after="0"/>
        <w:ind w:left="907" w:right="0" w:hanging="787"/>
        <w:jc w:val="left"/>
        <w:rPr>
          <w:sz w:val="24"/>
        </w:rPr>
      </w:pPr>
      <w:r>
        <w:rPr>
          <w:spacing w:val="-3"/>
          <w:sz w:val="24"/>
        </w:rPr>
        <w:t>本附加合同在其保险期间届满时终止，但按照本附加合同的约定续保的，</w:t>
      </w:r>
    </w:p>
    <w:p>
      <w:pPr>
        <w:pStyle w:val="BodyText"/>
        <w:spacing w:before="126"/>
      </w:pPr>
      <w:r>
        <w:rPr/>
        <w:t>则在续保后的保险期间届满时终止；</w:t>
      </w:r>
    </w:p>
    <w:p>
      <w:pPr>
        <w:pStyle w:val="ListParagraph"/>
        <w:numPr>
          <w:ilvl w:val="2"/>
          <w:numId w:val="10"/>
        </w:numPr>
        <w:tabs>
          <w:tab w:pos="970" w:val="left" w:leader="none"/>
        </w:tabs>
        <w:spacing w:line="240" w:lineRule="auto" w:before="77" w:after="0"/>
        <w:ind w:left="969" w:right="0" w:hanging="849"/>
        <w:jc w:val="left"/>
        <w:rPr>
          <w:sz w:val="24"/>
        </w:rPr>
      </w:pPr>
      <w:r>
        <w:rPr>
          <w:sz w:val="24"/>
        </w:rPr>
        <w:t>出现本附加合同其他条款约定或保险相关法律规定合同终止的情形时，</w:t>
      </w:r>
    </w:p>
    <w:p>
      <w:pPr>
        <w:pStyle w:val="BodyText"/>
        <w:spacing w:before="126"/>
      </w:pPr>
      <w:r>
        <w:rPr/>
        <w:t>本附加合同终止。</w:t>
      </w:r>
    </w:p>
    <w:p>
      <w:pPr>
        <w:pStyle w:val="BodyText"/>
        <w:spacing w:line="357" w:lineRule="auto" w:before="154"/>
        <w:ind w:right="235" w:firstLine="480"/>
      </w:pPr>
      <w:r>
        <w:rPr>
          <w:spacing w:val="-6"/>
        </w:rPr>
        <w:t>本附加合同解除或终止时，我们不向投保人退还保险费，但本附加合同另有约定的除外。</w:t>
      </w:r>
    </w:p>
    <w:p>
      <w:pPr>
        <w:pStyle w:val="BodyText"/>
        <w:spacing w:line="357" w:lineRule="auto" w:before="36"/>
        <w:ind w:right="235" w:firstLine="480"/>
      </w:pPr>
      <w:r>
        <w:rPr>
          <w:spacing w:val="-6"/>
        </w:rPr>
        <w:t>本附加合同解除或终止后，其规定的保险责任终止，您应该将本附加合同相关文件退还给我们。</w:t>
      </w:r>
    </w:p>
    <w:p>
      <w:pPr>
        <w:pStyle w:val="BodyText"/>
        <w:ind w:left="0"/>
      </w:pPr>
    </w:p>
    <w:p>
      <w:pPr>
        <w:pStyle w:val="BodyText"/>
        <w:ind w:left="0"/>
      </w:pPr>
    </w:p>
    <w:p>
      <w:pPr>
        <w:pStyle w:val="Heading1"/>
        <w:spacing w:before="189"/>
      </w:pPr>
      <w:bookmarkStart w:name="_TOC_250000" w:id="25"/>
      <w:bookmarkEnd w:id="25"/>
      <w:r>
        <w:rPr/>
        <w:t>四、释义</w:t>
      </w:r>
    </w:p>
    <w:p>
      <w:pPr>
        <w:pStyle w:val="BodyText"/>
        <w:spacing w:before="11"/>
        <w:ind w:left="0"/>
        <w:rPr>
          <w:rFonts w:ascii="Microsoft JhengHei"/>
          <w:b/>
          <w:sz w:val="25"/>
        </w:rPr>
      </w:pPr>
    </w:p>
    <w:p>
      <w:pPr>
        <w:spacing w:line="468" w:lineRule="exact" w:before="0"/>
        <w:ind w:left="480" w:right="193" w:hanging="360"/>
        <w:jc w:val="both"/>
        <w:rPr>
          <w:sz w:val="21"/>
        </w:rPr>
      </w:pPr>
      <w:r>
        <w:rPr>
          <w:spacing w:val="33"/>
          <w:sz w:val="21"/>
        </w:rPr>
        <w:t>① </w:t>
      </w:r>
      <w:r>
        <w:rPr>
          <w:rFonts w:ascii="Microsoft JhengHei" w:hAnsi="Microsoft JhengHei" w:eastAsia="Microsoft JhengHei" w:hint="eastAsia"/>
          <w:b/>
          <w:spacing w:val="5"/>
          <w:sz w:val="21"/>
        </w:rPr>
        <w:t>毒品 </w:t>
      </w: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w:t>
      </w:r>
      <w:r>
        <w:rPr>
          <w:spacing w:val="-4"/>
          <w:sz w:val="21"/>
        </w:rPr>
        <w:t>可卡因以及国家规定管制的其他能够使人形成瘾癖的麻醉药品和精神药品，但不包括由</w:t>
      </w:r>
      <w:r>
        <w:rPr>
          <w:spacing w:val="-3"/>
          <w:sz w:val="21"/>
        </w:rPr>
        <w:t>医生开具并遵医嘱使用的用于治疗疾病但含有毒品成分的处方药品。</w:t>
      </w:r>
    </w:p>
    <w:p>
      <w:pPr>
        <w:spacing w:line="468" w:lineRule="exact" w:before="0"/>
        <w:ind w:left="480" w:right="226" w:hanging="360"/>
        <w:jc w:val="both"/>
        <w:rPr>
          <w:sz w:val="21"/>
        </w:rPr>
      </w:pPr>
      <w:r>
        <w:rPr>
          <w:rFonts w:ascii="Microsoft JhengHei" w:hAnsi="Microsoft JhengHei" w:eastAsia="Microsoft JhengHei" w:hint="eastAsia"/>
          <w:b/>
          <w:spacing w:val="5"/>
          <w:sz w:val="21"/>
        </w:rPr>
        <w:t>② 酒后驾驶 </w:t>
      </w:r>
      <w:r>
        <w:rPr>
          <w:sz w:val="21"/>
        </w:rPr>
        <w:t>指经检测或鉴定，发生事故时车辆驾驶人员每百毫升血液中的酒精含量达到</w:t>
      </w:r>
      <w:r>
        <w:rPr>
          <w:spacing w:val="-7"/>
          <w:sz w:val="21"/>
        </w:rPr>
        <w:t>或超过一定的标准，公安机关交通管理部门依据《道路交通安全法》的规定认定为饮酒</w:t>
      </w:r>
      <w:r>
        <w:rPr>
          <w:spacing w:val="-5"/>
          <w:sz w:val="21"/>
        </w:rPr>
        <w:t>后驾驶或醉酒后驾驶。</w:t>
      </w:r>
    </w:p>
    <w:p>
      <w:pPr>
        <w:spacing w:before="62"/>
        <w:ind w:left="120" w:right="0" w:firstLine="0"/>
        <w:jc w:val="left"/>
        <w:rPr>
          <w:sz w:val="21"/>
        </w:rPr>
      </w:pPr>
      <w:r>
        <w:rPr>
          <w:rFonts w:ascii="Microsoft JhengHei" w:hAnsi="Microsoft JhengHei" w:eastAsia="Microsoft JhengHei" w:hint="eastAsia"/>
          <w:b/>
          <w:sz w:val="21"/>
        </w:rPr>
        <w:t>③   无合法有效驾驶证驾驶  </w:t>
      </w:r>
      <w:r>
        <w:rPr>
          <w:sz w:val="21"/>
        </w:rPr>
        <w:t>指下列情形之一：</w:t>
      </w:r>
    </w:p>
    <w:p>
      <w:pPr>
        <w:spacing w:before="168"/>
        <w:ind w:left="540" w:right="0" w:firstLine="0"/>
        <w:jc w:val="left"/>
        <w:rPr>
          <w:sz w:val="21"/>
        </w:rPr>
      </w:pPr>
      <w:r>
        <w:rPr>
          <w:sz w:val="21"/>
        </w:rPr>
        <w:t>（1） 没有取得驾驶资格；</w:t>
      </w:r>
    </w:p>
    <w:p>
      <w:pPr>
        <w:pStyle w:val="BodyText"/>
        <w:spacing w:before="9"/>
        <w:ind w:left="0"/>
        <w:rPr>
          <w:sz w:val="14"/>
        </w:rPr>
      </w:pPr>
    </w:p>
    <w:p>
      <w:pPr>
        <w:spacing w:before="0"/>
        <w:ind w:left="540" w:right="0" w:firstLine="0"/>
        <w:jc w:val="left"/>
        <w:rPr>
          <w:sz w:val="21"/>
        </w:rPr>
      </w:pPr>
      <w:r>
        <w:rPr>
          <w:sz w:val="21"/>
        </w:rPr>
        <w:t>（2）  驾驶与驾驶证准驾车型不相符合的车辆；</w:t>
      </w:r>
    </w:p>
    <w:p>
      <w:pPr>
        <w:spacing w:after="0"/>
        <w:jc w:val="left"/>
        <w:rPr>
          <w:sz w:val="21"/>
        </w:rPr>
        <w:sectPr>
          <w:pgSz w:w="11900" w:h="16840"/>
          <w:pgMar w:header="0" w:footer="1007" w:top="1520" w:bottom="1200" w:left="1680" w:right="1560"/>
        </w:sectPr>
      </w:pPr>
    </w:p>
    <w:p>
      <w:pPr>
        <w:spacing w:before="26"/>
        <w:ind w:left="540" w:right="0" w:firstLine="0"/>
        <w:jc w:val="left"/>
        <w:rPr>
          <w:sz w:val="21"/>
        </w:rPr>
      </w:pPr>
      <w:r>
        <w:rPr>
          <w:sz w:val="21"/>
        </w:rPr>
        <w:t>（3） 持审验不合格的驾驶证驾驶；</w:t>
      </w:r>
    </w:p>
    <w:p>
      <w:pPr>
        <w:pStyle w:val="BodyText"/>
        <w:spacing w:before="10"/>
        <w:ind w:left="0"/>
        <w:rPr>
          <w:sz w:val="14"/>
        </w:rPr>
      </w:pPr>
    </w:p>
    <w:p>
      <w:pPr>
        <w:spacing w:line="408" w:lineRule="auto" w:before="0"/>
        <w:ind w:left="1260" w:right="115" w:hanging="720"/>
        <w:jc w:val="left"/>
        <w:rPr>
          <w:sz w:val="21"/>
        </w:rPr>
      </w:pPr>
      <w:r>
        <w:rPr>
          <w:sz w:val="21"/>
        </w:rPr>
        <w:t>（4）</w:t>
      </w:r>
      <w:r>
        <w:rPr>
          <w:spacing w:val="-3"/>
          <w:sz w:val="21"/>
        </w:rPr>
        <w:t> 持学习驾驶证学习驾车时，无教练员随车指导，或不按指定时间、路线学习驾</w:t>
      </w:r>
      <w:r>
        <w:rPr>
          <w:sz w:val="21"/>
        </w:rPr>
        <w:t>车；</w:t>
      </w:r>
    </w:p>
    <w:p>
      <w:pPr>
        <w:spacing w:line="345" w:lineRule="exact" w:before="0"/>
        <w:ind w:left="120" w:right="0" w:firstLine="0"/>
        <w:jc w:val="left"/>
        <w:rPr>
          <w:sz w:val="21"/>
        </w:rPr>
      </w:pPr>
      <w:r>
        <w:rPr>
          <w:rFonts w:ascii="Microsoft JhengHei" w:hAnsi="Microsoft JhengHei" w:eastAsia="Microsoft JhengHei" w:hint="eastAsia"/>
          <w:b/>
          <w:sz w:val="21"/>
        </w:rPr>
        <w:t>④   无有效行驶证  </w:t>
      </w:r>
      <w:r>
        <w:rPr>
          <w:sz w:val="21"/>
        </w:rPr>
        <w:t>指下列情形之一：</w:t>
      </w:r>
    </w:p>
    <w:p>
      <w:pPr>
        <w:spacing w:before="169"/>
        <w:ind w:left="540" w:right="0" w:firstLine="0"/>
        <w:jc w:val="left"/>
        <w:rPr>
          <w:sz w:val="21"/>
        </w:rPr>
      </w:pPr>
      <w:r>
        <w:rPr>
          <w:sz w:val="21"/>
        </w:rPr>
        <w:t>（1） 机动车被依法注销登记的；</w:t>
      </w:r>
    </w:p>
    <w:p>
      <w:pPr>
        <w:pStyle w:val="BodyText"/>
        <w:spacing w:before="9"/>
        <w:ind w:left="0"/>
        <w:rPr>
          <w:sz w:val="14"/>
        </w:rPr>
      </w:pPr>
    </w:p>
    <w:p>
      <w:pPr>
        <w:spacing w:before="0"/>
        <w:ind w:left="540" w:right="0" w:firstLine="0"/>
        <w:jc w:val="left"/>
        <w:rPr>
          <w:sz w:val="21"/>
        </w:rPr>
      </w:pPr>
      <w:r>
        <w:rPr>
          <w:sz w:val="21"/>
        </w:rPr>
        <w:t>（2）  未依法按时进行或通过机动车安全技术检验。</w:t>
      </w:r>
    </w:p>
    <w:p>
      <w:pPr>
        <w:pStyle w:val="BodyText"/>
        <w:spacing w:before="90"/>
      </w:pPr>
      <w:r>
        <w:rPr>
          <w:rFonts w:ascii="Microsoft JhengHei" w:hAnsi="Microsoft JhengHei" w:eastAsia="Microsoft JhengHei" w:hint="eastAsia"/>
          <w:b/>
        </w:rPr>
        <w:t>⑤</w:t>
      </w:r>
      <w:r>
        <w:rPr/>
        <w:t>本附加合同所称重大疾病，仅指下列疾病之一：</w:t>
      </w:r>
    </w:p>
    <w:p>
      <w:pPr>
        <w:pStyle w:val="Heading4"/>
        <w:numPr>
          <w:ilvl w:val="0"/>
          <w:numId w:val="11"/>
        </w:numPr>
        <w:tabs>
          <w:tab w:pos="363" w:val="left" w:leader="none"/>
        </w:tabs>
        <w:spacing w:line="240" w:lineRule="auto" w:before="49" w:after="0"/>
        <w:ind w:left="362" w:right="0" w:hanging="242"/>
        <w:jc w:val="left"/>
      </w:pPr>
      <w:r>
        <w:rPr/>
        <w:t>恶性肿瘤</w:t>
      </w:r>
    </w:p>
    <w:p>
      <w:pPr>
        <w:pStyle w:val="BodyText"/>
        <w:spacing w:before="126"/>
      </w:pPr>
      <w:r>
        <w:rPr/>
        <w:t>指恶性细胞不受控制的进行性增长和扩散，浸润和破坏周围正常组织，可以经血</w:t>
      </w:r>
    </w:p>
    <w:p>
      <w:pPr>
        <w:pStyle w:val="BodyText"/>
        <w:spacing w:before="154"/>
      </w:pPr>
      <w:r>
        <w:rPr/>
        <w:t>管、淋巴管和体腔扩散转移到身体其它部位的疾病。</w:t>
      </w:r>
    </w:p>
    <w:p>
      <w:pPr>
        <w:pStyle w:val="BodyText"/>
        <w:spacing w:before="154"/>
      </w:pPr>
      <w:r>
        <w:rPr/>
        <w:t>经病理学检查结果明确诊断，临床诊断属于世界卫生组织《疾病和有关健康问题</w:t>
      </w:r>
    </w:p>
    <w:p>
      <w:pPr>
        <w:pStyle w:val="BodyText"/>
        <w:spacing w:line="357" w:lineRule="auto" w:before="154"/>
        <w:ind w:right="3379"/>
      </w:pPr>
      <w:r>
        <w:rPr/>
        <w:t>的国际统计分类》（ICD-10）的恶性肿瘤范畴。下列疾病不在保障范围内：</w:t>
      </w:r>
    </w:p>
    <w:p>
      <w:pPr>
        <w:pStyle w:val="BodyText"/>
        <w:spacing w:before="36"/>
      </w:pPr>
      <w:r>
        <w:rPr/>
        <w:t>（1）原位癌；</w:t>
      </w:r>
    </w:p>
    <w:p>
      <w:pPr>
        <w:pStyle w:val="BodyText"/>
        <w:spacing w:before="153"/>
      </w:pPr>
      <w:r>
        <w:rPr/>
        <w:t>（2）相当于Binet 分期方案A 期程度的慢性淋巴细胞白血病；</w:t>
      </w:r>
    </w:p>
    <w:p>
      <w:pPr>
        <w:pStyle w:val="BodyText"/>
        <w:spacing w:before="153"/>
      </w:pPr>
      <w:r>
        <w:rPr/>
        <w:t>（3）相当于Ann Arbor 分期方案I 期程度的何杰金氏病；</w:t>
      </w:r>
    </w:p>
    <w:p>
      <w:pPr>
        <w:pStyle w:val="BodyText"/>
        <w:spacing w:before="153"/>
      </w:pPr>
      <w:r>
        <w:rPr/>
        <w:t>（4）皮肤癌（不包括恶性黑色素瘤及已发生转移的皮肤癌）；</w:t>
      </w:r>
    </w:p>
    <w:p>
      <w:pPr>
        <w:pStyle w:val="BodyText"/>
        <w:spacing w:before="153"/>
      </w:pPr>
      <w:r>
        <w:rPr/>
        <w:t>（5）感染艾滋病病毒或患艾滋病期间所患恶性肿瘤。</w:t>
      </w:r>
    </w:p>
    <w:p>
      <w:pPr>
        <w:pStyle w:val="BodyText"/>
        <w:ind w:left="0"/>
      </w:pPr>
    </w:p>
    <w:p>
      <w:pPr>
        <w:pStyle w:val="BodyText"/>
        <w:spacing w:before="8"/>
        <w:ind w:left="0"/>
        <w:rPr>
          <w:sz w:val="17"/>
        </w:rPr>
      </w:pPr>
    </w:p>
    <w:p>
      <w:pPr>
        <w:pStyle w:val="Heading4"/>
        <w:numPr>
          <w:ilvl w:val="0"/>
          <w:numId w:val="11"/>
        </w:numPr>
        <w:tabs>
          <w:tab w:pos="363" w:val="left" w:leader="none"/>
        </w:tabs>
        <w:spacing w:line="240" w:lineRule="auto" w:before="0" w:after="0"/>
        <w:ind w:left="362" w:right="0" w:hanging="242"/>
        <w:jc w:val="left"/>
      </w:pPr>
      <w:r>
        <w:rPr/>
        <w:t>急性心肌梗塞</w:t>
      </w:r>
    </w:p>
    <w:p>
      <w:pPr>
        <w:pStyle w:val="BodyText"/>
        <w:spacing w:before="126"/>
      </w:pPr>
      <w:r>
        <w:rPr/>
        <w:t>指因冠状动脉阻塞导致的相应区域供血不足造成部分心肌坏死。</w:t>
      </w:r>
    </w:p>
    <w:p>
      <w:pPr>
        <w:pStyle w:val="BodyText"/>
        <w:spacing w:before="154"/>
      </w:pPr>
      <w:r>
        <w:rPr/>
        <w:t>须满足下列至少三项条件：</w:t>
      </w:r>
    </w:p>
    <w:p>
      <w:pPr>
        <w:pStyle w:val="BodyText"/>
        <w:spacing w:before="154"/>
      </w:pPr>
      <w:r>
        <w:rPr/>
        <w:t>（1）典型临床表现，例如急性胸痛等；</w:t>
      </w:r>
    </w:p>
    <w:p>
      <w:pPr>
        <w:pStyle w:val="BodyText"/>
        <w:spacing w:before="154"/>
      </w:pPr>
      <w:r>
        <w:rPr/>
        <w:t>（2）新近的心电图改变提示急性心肌梗塞；</w:t>
      </w:r>
    </w:p>
    <w:p>
      <w:pPr>
        <w:pStyle w:val="BodyText"/>
        <w:spacing w:before="154"/>
      </w:pPr>
      <w:r>
        <w:rPr/>
        <w:t>（3）心肌酶或肌钙蛋白有诊断意义的升高，或呈符合急性心肌梗塞的动态性变</w:t>
      </w:r>
    </w:p>
    <w:p>
      <w:pPr>
        <w:pStyle w:val="BodyText"/>
        <w:spacing w:before="154"/>
      </w:pPr>
      <w:r>
        <w:rPr/>
        <w:t>化；</w:t>
      </w:r>
    </w:p>
    <w:p>
      <w:pPr>
        <w:pStyle w:val="BodyText"/>
        <w:spacing w:before="154"/>
      </w:pPr>
      <w:r>
        <w:rPr/>
        <w:drawing>
          <wp:anchor distT="0" distB="0" distL="0" distR="0" allowOverlap="1" layoutInCell="1" locked="0" behindDoc="1" simplePos="0" relativeHeight="268412279">
            <wp:simplePos x="0" y="0"/>
            <wp:positionH relativeFrom="page">
              <wp:posOffset>6175375</wp:posOffset>
            </wp:positionH>
            <wp:positionV relativeFrom="paragraph">
              <wp:posOffset>161488</wp:posOffset>
            </wp:positionV>
            <wp:extent cx="66675" cy="117475"/>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66675" cy="117475"/>
                    </a:xfrm>
                    <a:prstGeom prst="rect">
                      <a:avLst/>
                    </a:prstGeom>
                  </pic:spPr>
                </pic:pic>
              </a:graphicData>
            </a:graphic>
          </wp:anchor>
        </w:drawing>
      </w:r>
      <w:r>
        <w:rPr/>
        <w:t>（4）发病90 天后，经检查证实左心室功能降低，如左心室射血分数低于50。</w:t>
      </w:r>
    </w:p>
    <w:p>
      <w:pPr>
        <w:pStyle w:val="BodyText"/>
        <w:ind w:left="0"/>
      </w:pPr>
    </w:p>
    <w:p>
      <w:pPr>
        <w:pStyle w:val="BodyText"/>
        <w:spacing w:before="8"/>
        <w:ind w:left="0"/>
        <w:rPr>
          <w:sz w:val="17"/>
        </w:rPr>
      </w:pPr>
    </w:p>
    <w:p>
      <w:pPr>
        <w:pStyle w:val="Heading4"/>
        <w:numPr>
          <w:ilvl w:val="0"/>
          <w:numId w:val="11"/>
        </w:numPr>
        <w:tabs>
          <w:tab w:pos="363" w:val="left" w:leader="none"/>
        </w:tabs>
        <w:spacing w:line="240" w:lineRule="auto" w:before="1" w:after="0"/>
        <w:ind w:left="362" w:right="0" w:hanging="242"/>
        <w:jc w:val="left"/>
      </w:pPr>
      <w:r>
        <w:rPr/>
        <w:t>脑中风后遗症</w:t>
      </w:r>
    </w:p>
    <w:p>
      <w:pPr>
        <w:spacing w:after="0" w:line="240" w:lineRule="auto"/>
        <w:jc w:val="left"/>
        <w:sectPr>
          <w:pgSz w:w="11900" w:h="16840"/>
          <w:pgMar w:header="0" w:footer="1007" w:top="1480" w:bottom="1200" w:left="1680" w:right="1680"/>
        </w:sectPr>
      </w:pPr>
    </w:p>
    <w:p>
      <w:pPr>
        <w:pStyle w:val="BodyText"/>
        <w:spacing w:line="357" w:lineRule="auto"/>
        <w:ind w:right="211"/>
        <w:jc w:val="both"/>
      </w:pPr>
      <w:r>
        <w:rPr>
          <w:spacing w:val="-5"/>
        </w:rPr>
        <w:t>指因脑血管的突发病变引起脑血管出血、栓塞或梗塞，并导致神经系统永久性的</w:t>
      </w:r>
      <w:r>
        <w:rPr>
          <w:spacing w:val="-10"/>
        </w:rPr>
        <w:t>功能障碍。神经系统永久性的功能障碍，指疾病确诊</w:t>
      </w:r>
      <w:r>
        <w:rPr/>
        <w:t>180</w:t>
      </w:r>
      <w:r>
        <w:rPr>
          <w:spacing w:val="-6"/>
        </w:rPr>
        <w:t> 天后，仍遗留下列一种或一种以上障碍：</w:t>
      </w:r>
    </w:p>
    <w:p>
      <w:pPr>
        <w:pStyle w:val="BodyText"/>
        <w:spacing w:before="36"/>
        <w:jc w:val="both"/>
      </w:pPr>
      <w:r>
        <w:rPr/>
        <w:t>（1）一肢或一肢以上肢体机能完全丧失；</w:t>
      </w:r>
    </w:p>
    <w:p>
      <w:pPr>
        <w:pStyle w:val="BodyText"/>
        <w:spacing w:before="154"/>
        <w:jc w:val="both"/>
      </w:pPr>
      <w:r>
        <w:rPr/>
        <w:t>（2）语言能力或咀嚼吞咽能力完全丧失；</w:t>
      </w:r>
    </w:p>
    <w:p>
      <w:pPr>
        <w:pStyle w:val="BodyText"/>
        <w:spacing w:before="154"/>
        <w:jc w:val="both"/>
      </w:pPr>
      <w:r>
        <w:rPr/>
        <w:t>（3）自主生活能力完全丧失，无法独立完成六项基本日常生活活动中的三项或</w:t>
      </w:r>
    </w:p>
    <w:p>
      <w:pPr>
        <w:pStyle w:val="BodyText"/>
        <w:spacing w:before="154"/>
        <w:jc w:val="both"/>
      </w:pPr>
      <w:r>
        <w:rPr/>
        <w:t>三项以上。</w:t>
      </w:r>
    </w:p>
    <w:p>
      <w:pPr>
        <w:pStyle w:val="BodyText"/>
        <w:ind w:left="0"/>
      </w:pPr>
    </w:p>
    <w:p>
      <w:pPr>
        <w:pStyle w:val="BodyText"/>
        <w:spacing w:before="8"/>
        <w:ind w:left="0"/>
        <w:rPr>
          <w:sz w:val="17"/>
        </w:rPr>
      </w:pPr>
    </w:p>
    <w:p>
      <w:pPr>
        <w:pStyle w:val="Heading4"/>
        <w:numPr>
          <w:ilvl w:val="0"/>
          <w:numId w:val="11"/>
        </w:numPr>
        <w:tabs>
          <w:tab w:pos="363" w:val="left" w:leader="none"/>
        </w:tabs>
        <w:spacing w:line="240" w:lineRule="auto" w:before="1" w:after="0"/>
        <w:ind w:left="362" w:right="0" w:hanging="242"/>
        <w:jc w:val="both"/>
      </w:pPr>
      <w:r>
        <w:rPr/>
        <w:t>重大器官移植术或造血干细胞移植术</w:t>
      </w:r>
    </w:p>
    <w:p>
      <w:pPr>
        <w:pStyle w:val="BodyText"/>
        <w:spacing w:line="357" w:lineRule="auto" w:before="126"/>
        <w:ind w:right="215"/>
      </w:pPr>
      <w:r>
        <w:rPr>
          <w:spacing w:val="-7"/>
        </w:rPr>
        <w:t>重大器官移植术，指因相应器官功能衰竭，已经实施了肾脏、肝脏、心脏或肺脏的异体移植手术。</w:t>
      </w:r>
    </w:p>
    <w:p>
      <w:pPr>
        <w:pStyle w:val="BodyText"/>
        <w:spacing w:line="357" w:lineRule="auto" w:before="35"/>
        <w:ind w:right="211"/>
        <w:jc w:val="both"/>
      </w:pPr>
      <w:r>
        <w:rPr>
          <w:spacing w:val="-8"/>
        </w:rPr>
        <w:t>造血干细胞移植术，指因造血功能损害或造血系统恶性肿瘤，已经实施了造血干</w:t>
      </w:r>
      <w:r>
        <w:rPr>
          <w:spacing w:val="-20"/>
        </w:rPr>
        <w:t>细胞</w:t>
      </w:r>
      <w:r>
        <w:rPr/>
        <w:t>（</w:t>
      </w:r>
      <w:r>
        <w:rPr>
          <w:spacing w:val="-4"/>
        </w:rPr>
        <w:t>包括骨髓造血干细胞、外周血造血干细胞和脐血造血干细胞</w:t>
      </w:r>
      <w:r>
        <w:rPr>
          <w:spacing w:val="-32"/>
        </w:rPr>
        <w:t>）</w:t>
      </w:r>
      <w:r>
        <w:rPr/>
        <w:t>的异体移植手术。</w:t>
      </w:r>
    </w:p>
    <w:p>
      <w:pPr>
        <w:pStyle w:val="BodyText"/>
        <w:spacing w:before="8"/>
        <w:ind w:left="0"/>
        <w:rPr>
          <w:sz w:val="32"/>
        </w:rPr>
      </w:pPr>
    </w:p>
    <w:p>
      <w:pPr>
        <w:pStyle w:val="Heading4"/>
        <w:numPr>
          <w:ilvl w:val="0"/>
          <w:numId w:val="11"/>
        </w:numPr>
        <w:tabs>
          <w:tab w:pos="363" w:val="left" w:leader="none"/>
        </w:tabs>
        <w:spacing w:line="240" w:lineRule="auto" w:before="0" w:after="0"/>
        <w:ind w:left="362" w:right="0" w:hanging="242"/>
        <w:jc w:val="left"/>
      </w:pPr>
      <w:r>
        <w:rPr/>
        <w:t>冠状动脉搭桥术（或称冠状动脉旁路移植术）</w:t>
      </w:r>
    </w:p>
    <w:p>
      <w:pPr>
        <w:pStyle w:val="BodyText"/>
        <w:spacing w:line="357" w:lineRule="auto" w:before="126"/>
        <w:ind w:right="119"/>
      </w:pPr>
      <w:r>
        <w:rPr/>
        <w:t>指为治疗严重的冠心病，实际实施了开胸进行的冠状动脉血管旁路移植的手术。</w:t>
      </w:r>
      <w:r>
        <w:rPr>
          <w:spacing w:val="-8"/>
        </w:rPr>
        <w:t>冠状动脉支架植入术、心导管球囊扩张术、激光射频技术及其它非开胸的介入手术、腔镜手术不在保障范围内。</w:t>
      </w:r>
    </w:p>
    <w:p>
      <w:pPr>
        <w:pStyle w:val="BodyText"/>
        <w:spacing w:before="9"/>
        <w:ind w:left="0"/>
        <w:rPr>
          <w:sz w:val="32"/>
        </w:rPr>
      </w:pPr>
    </w:p>
    <w:p>
      <w:pPr>
        <w:pStyle w:val="Heading4"/>
        <w:numPr>
          <w:ilvl w:val="0"/>
          <w:numId w:val="11"/>
        </w:numPr>
        <w:tabs>
          <w:tab w:pos="363" w:val="left" w:leader="none"/>
        </w:tabs>
        <w:spacing w:line="240" w:lineRule="auto" w:before="0" w:after="0"/>
        <w:ind w:left="362" w:right="0" w:hanging="242"/>
        <w:jc w:val="both"/>
      </w:pPr>
      <w:r>
        <w:rPr/>
        <w:t>终末期肾病（或称慢性肾功能衰竭尿毒症期）</w:t>
      </w:r>
    </w:p>
    <w:p>
      <w:pPr>
        <w:pStyle w:val="BodyText"/>
        <w:spacing w:before="126"/>
        <w:jc w:val="both"/>
      </w:pPr>
      <w:r>
        <w:rPr/>
        <w:t>指双肾功能慢性不可逆性衰竭，达到尿毒症期，经诊断后已经进行了至少90 天</w:t>
      </w:r>
    </w:p>
    <w:p>
      <w:pPr>
        <w:pStyle w:val="BodyText"/>
        <w:spacing w:before="153"/>
        <w:jc w:val="both"/>
      </w:pPr>
      <w:r>
        <w:rPr/>
        <w:t>的规律性透析治疗或实施了肾脏移植手术。</w:t>
      </w:r>
    </w:p>
    <w:p>
      <w:pPr>
        <w:pStyle w:val="BodyText"/>
        <w:ind w:left="0"/>
      </w:pPr>
    </w:p>
    <w:p>
      <w:pPr>
        <w:pStyle w:val="BodyText"/>
        <w:spacing w:before="8"/>
        <w:ind w:left="0"/>
        <w:rPr>
          <w:sz w:val="17"/>
        </w:rPr>
      </w:pPr>
    </w:p>
    <w:p>
      <w:pPr>
        <w:pStyle w:val="Heading4"/>
        <w:numPr>
          <w:ilvl w:val="0"/>
          <w:numId w:val="11"/>
        </w:numPr>
        <w:tabs>
          <w:tab w:pos="363" w:val="left" w:leader="none"/>
        </w:tabs>
        <w:spacing w:line="240" w:lineRule="auto" w:before="0" w:after="0"/>
        <w:ind w:left="362" w:right="0" w:hanging="242"/>
        <w:jc w:val="both"/>
      </w:pPr>
      <w:r>
        <w:rPr/>
        <w:t>严重Ⅲ度烧伤</w:t>
      </w:r>
    </w:p>
    <w:p>
      <w:pPr>
        <w:pStyle w:val="BodyText"/>
        <w:spacing w:before="126"/>
        <w:jc w:val="both"/>
      </w:pPr>
      <w:r>
        <w:rPr/>
        <w:t>指烧伤程度为Ⅲ度，且Ⅲ度烧伤的面积达到全身体表面积的20％或20％以上。体</w:t>
      </w:r>
    </w:p>
    <w:p>
      <w:pPr>
        <w:pStyle w:val="BodyText"/>
        <w:spacing w:before="154"/>
        <w:jc w:val="both"/>
      </w:pPr>
      <w:r>
        <w:rPr/>
        <w:t>表面积根据《中国新九分法》计算。</w:t>
      </w:r>
    </w:p>
    <w:p>
      <w:pPr>
        <w:pStyle w:val="BodyText"/>
        <w:ind w:left="0"/>
      </w:pPr>
    </w:p>
    <w:p>
      <w:pPr>
        <w:pStyle w:val="BodyText"/>
        <w:spacing w:before="9"/>
        <w:ind w:left="0"/>
        <w:rPr>
          <w:sz w:val="17"/>
        </w:rPr>
      </w:pPr>
    </w:p>
    <w:p>
      <w:pPr>
        <w:pStyle w:val="Heading4"/>
        <w:numPr>
          <w:ilvl w:val="0"/>
          <w:numId w:val="11"/>
        </w:numPr>
        <w:tabs>
          <w:tab w:pos="363" w:val="left" w:leader="none"/>
        </w:tabs>
        <w:spacing w:line="240" w:lineRule="auto" w:before="0" w:after="0"/>
        <w:ind w:left="362" w:right="0" w:hanging="242"/>
        <w:jc w:val="both"/>
      </w:pPr>
      <w:r>
        <w:rPr/>
        <w:t>严重糖尿病及病发症</w:t>
      </w:r>
    </w:p>
    <w:p>
      <w:pPr>
        <w:spacing w:after="0" w:line="240" w:lineRule="auto"/>
        <w:jc w:val="both"/>
        <w:sectPr>
          <w:pgSz w:w="11900" w:h="16840"/>
          <w:pgMar w:header="0" w:footer="1007" w:top="1480" w:bottom="1200" w:left="1680" w:right="1580"/>
        </w:sectPr>
      </w:pPr>
    </w:p>
    <w:p>
      <w:pPr>
        <w:pStyle w:val="BodyText"/>
      </w:pPr>
      <w:r>
        <w:rPr/>
        <w:t>经本公司认可的内分泌专科医生证实，被保险人确诊为糖尿病并符合以下下列全</w:t>
      </w:r>
    </w:p>
    <w:p>
      <w:pPr>
        <w:pStyle w:val="BodyText"/>
        <w:spacing w:before="153"/>
      </w:pPr>
      <w:r>
        <w:rPr/>
        <w:t>部情形：</w:t>
      </w:r>
    </w:p>
    <w:p>
      <w:pPr>
        <w:pStyle w:val="BodyText"/>
        <w:spacing w:before="153"/>
      </w:pPr>
      <w:r>
        <w:rPr/>
        <w:t>（1）合并有糖尿病肾病，表现为持续蛋白尿，尿蛋白定量大于0.5克/24小时;</w:t>
      </w:r>
    </w:p>
    <w:p>
      <w:pPr>
        <w:pStyle w:val="BodyText"/>
        <w:spacing w:before="153"/>
      </w:pPr>
      <w:r>
        <w:rPr/>
        <w:t>（2）导致肢端坏疽，确实实施了一只或以上脚趾的切除手术。</w:t>
      </w:r>
    </w:p>
    <w:p>
      <w:pPr>
        <w:pStyle w:val="BodyText"/>
        <w:ind w:left="0"/>
      </w:pPr>
    </w:p>
    <w:p>
      <w:pPr>
        <w:pStyle w:val="BodyText"/>
        <w:spacing w:before="8"/>
        <w:ind w:left="0"/>
        <w:rPr>
          <w:sz w:val="17"/>
        </w:rPr>
      </w:pPr>
    </w:p>
    <w:p>
      <w:pPr>
        <w:pStyle w:val="Heading4"/>
        <w:numPr>
          <w:ilvl w:val="0"/>
          <w:numId w:val="11"/>
        </w:numPr>
        <w:tabs>
          <w:tab w:pos="363" w:val="left" w:leader="none"/>
        </w:tabs>
        <w:spacing w:line="240" w:lineRule="auto" w:before="0" w:after="0"/>
        <w:ind w:left="362" w:right="0" w:hanging="242"/>
        <w:jc w:val="left"/>
      </w:pPr>
      <w:r>
        <w:rPr/>
        <w:t>严重的类风湿性关节炎</w:t>
      </w:r>
    </w:p>
    <w:p>
      <w:pPr>
        <w:pStyle w:val="BodyText"/>
        <w:spacing w:line="357" w:lineRule="auto" w:before="126"/>
        <w:ind w:right="111"/>
        <w:jc w:val="both"/>
      </w:pPr>
      <w:r>
        <w:rPr>
          <w:spacing w:val="-5"/>
        </w:rPr>
        <w:t>是指广泛的慢性渐进性的关节损害，伴有明显的关节畸形，至少累及三个或三个</w:t>
      </w:r>
      <w:r>
        <w:rPr>
          <w:spacing w:val="-7"/>
        </w:rPr>
        <w:t>以上关节</w:t>
      </w:r>
      <w:r>
        <w:rPr/>
        <w:t>（</w:t>
      </w:r>
      <w:r>
        <w:rPr>
          <w:spacing w:val="-9"/>
        </w:rPr>
        <w:t>如：手，腕，肘，髋，膝，踝关节</w:t>
      </w:r>
      <w:r>
        <w:rPr>
          <w:spacing w:val="-10"/>
        </w:rPr>
        <w:t>）</w:t>
      </w:r>
      <w:r>
        <w:rPr>
          <w:spacing w:val="-3"/>
        </w:rPr>
        <w:t>。此疾病必须已经导致了自主生</w:t>
      </w:r>
      <w:r>
        <w:rPr>
          <w:spacing w:val="-11"/>
        </w:rPr>
        <w:t>活能力完全丧失，不能独立完成六项基本日常生活活动中的三项或三项以上的情形。</w:t>
      </w:r>
    </w:p>
    <w:p>
      <w:pPr>
        <w:pStyle w:val="BodyText"/>
        <w:spacing w:before="36"/>
      </w:pPr>
      <w:r>
        <w:rPr/>
        <w:t>上述疾病需由专科医生确诊，并提供相应医疗记录以证实上述病情已经存在至少</w:t>
      </w:r>
    </w:p>
    <w:p>
      <w:pPr>
        <w:pStyle w:val="BodyText"/>
        <w:spacing w:before="153"/>
      </w:pPr>
      <w:r>
        <w:rPr/>
        <w:t>3个月。</w:t>
      </w:r>
    </w:p>
    <w:p>
      <w:pPr>
        <w:pStyle w:val="BodyText"/>
        <w:ind w:left="0"/>
      </w:pPr>
    </w:p>
    <w:p>
      <w:pPr>
        <w:pStyle w:val="BodyText"/>
        <w:spacing w:before="8"/>
        <w:ind w:left="0"/>
        <w:rPr>
          <w:sz w:val="17"/>
        </w:rPr>
      </w:pPr>
    </w:p>
    <w:p>
      <w:pPr>
        <w:pStyle w:val="Heading4"/>
        <w:numPr>
          <w:ilvl w:val="0"/>
          <w:numId w:val="11"/>
        </w:numPr>
        <w:tabs>
          <w:tab w:pos="483" w:val="left" w:leader="none"/>
        </w:tabs>
        <w:spacing w:line="240" w:lineRule="auto" w:before="0" w:after="0"/>
        <w:ind w:left="482" w:right="0" w:hanging="362"/>
        <w:jc w:val="left"/>
      </w:pPr>
      <w:r>
        <w:rPr/>
        <w:t>系统性红斑狼疮</w:t>
      </w:r>
    </w:p>
    <w:p>
      <w:pPr>
        <w:pStyle w:val="BodyText"/>
        <w:spacing w:line="357" w:lineRule="auto" w:before="126"/>
        <w:ind w:right="111"/>
      </w:pPr>
      <w:r>
        <w:rPr/>
        <w:t>红斑狼疮是指由于自身抗体和免疫复合物的沉积破坏了血管和细胞而导致的累</w:t>
      </w:r>
      <w:r>
        <w:rPr>
          <w:spacing w:val="-6"/>
        </w:rPr>
        <w:t>及多系统损害的一种自体免疫性疾病。本保障仅限于被保险人因系统性红斑狼疮</w:t>
      </w:r>
      <w:r>
        <w:rPr>
          <w:spacing w:val="-12"/>
        </w:rPr>
        <w:t>并发狼疮性肾炎并引起肾功能损害，且肾脏病理诊断符合以下列明的世界卫生组织（WHO）对狼疮性肾炎所分类中的第III、IV、V、VI型。诊断须由有资格的风湿和免疫病专科医生确认。</w:t>
      </w:r>
    </w:p>
    <w:p>
      <w:pPr>
        <w:pStyle w:val="BodyText"/>
        <w:spacing w:line="357" w:lineRule="auto" w:before="36"/>
        <w:ind w:right="3259"/>
      </w:pPr>
      <w:r>
        <w:rPr/>
        <w:t>世界卫生组织（WHO）对狼疮性肾炎的分类标准：世界卫生组织（WHO）对狼疮性肾炎的分类标准：</w:t>
      </w:r>
    </w:p>
    <w:p>
      <w:pPr>
        <w:pStyle w:val="BodyText"/>
        <w:tabs>
          <w:tab w:pos="959" w:val="left" w:leader="none"/>
        </w:tabs>
        <w:spacing w:before="36"/>
      </w:pPr>
      <w:r>
        <w:rPr/>
        <w:t>I 型</w:t>
        <w:tab/>
        <w:t>正常肾小球型；</w:t>
      </w:r>
    </w:p>
    <w:p>
      <w:pPr>
        <w:pStyle w:val="BodyText"/>
        <w:tabs>
          <w:tab w:pos="959" w:val="left" w:leader="none"/>
        </w:tabs>
        <w:spacing w:before="153"/>
      </w:pPr>
      <w:r>
        <w:rPr/>
        <w:t>II型</w:t>
        <w:tab/>
        <w:t>系膜增生型；</w:t>
      </w:r>
    </w:p>
    <w:p>
      <w:pPr>
        <w:pStyle w:val="BodyText"/>
        <w:tabs>
          <w:tab w:pos="959" w:val="left" w:leader="none"/>
        </w:tabs>
        <w:spacing w:before="153"/>
      </w:pPr>
      <w:r>
        <w:rPr/>
        <w:t>III型</w:t>
        <w:tab/>
        <w:t>局灶及节段增生型；</w:t>
      </w:r>
    </w:p>
    <w:p>
      <w:pPr>
        <w:pStyle w:val="BodyText"/>
        <w:tabs>
          <w:tab w:pos="959" w:val="left" w:leader="none"/>
        </w:tabs>
        <w:spacing w:before="153"/>
      </w:pPr>
      <w:r>
        <w:rPr/>
        <w:t>IV型</w:t>
        <w:tab/>
        <w:t>弥漫增生型；</w:t>
      </w:r>
    </w:p>
    <w:p>
      <w:pPr>
        <w:pStyle w:val="BodyText"/>
        <w:tabs>
          <w:tab w:pos="959" w:val="left" w:leader="none"/>
        </w:tabs>
        <w:spacing w:before="153"/>
      </w:pPr>
      <w:r>
        <w:rPr/>
        <w:t>V型</w:t>
        <w:tab/>
        <w:t>膜型；</w:t>
      </w:r>
    </w:p>
    <w:p>
      <w:pPr>
        <w:pStyle w:val="BodyText"/>
        <w:tabs>
          <w:tab w:pos="959" w:val="left" w:leader="none"/>
        </w:tabs>
        <w:spacing w:before="153"/>
      </w:pPr>
      <w:r>
        <w:rPr/>
        <w:t>VI型</w:t>
        <w:tab/>
        <w:t>肾小球硬化型。</w:t>
      </w:r>
    </w:p>
    <w:p>
      <w:pPr>
        <w:spacing w:after="0"/>
        <w:sectPr>
          <w:pgSz w:w="11900" w:h="16840"/>
          <w:pgMar w:header="0" w:footer="1007" w:top="1480" w:bottom="1200" w:left="1680" w:right="1680"/>
        </w:sectPr>
      </w:pPr>
    </w:p>
    <w:p>
      <w:pPr>
        <w:pStyle w:val="Heading4"/>
        <w:spacing w:line="342" w:lineRule="exact" w:before="0"/>
        <w:ind w:left="602" w:firstLine="0"/>
      </w:pPr>
      <w:r>
        <w:rPr/>
        <w:t>被保险人发生符合以上疾病定义所述条件的疾病，应当由专科医生明确诊</w:t>
      </w:r>
    </w:p>
    <w:p>
      <w:pPr>
        <w:pStyle w:val="Heading4"/>
        <w:spacing w:line="268" w:lineRule="auto"/>
        <w:ind w:left="120" w:right="343" w:firstLine="0"/>
      </w:pPr>
      <w:r>
        <w:rPr>
          <w:w w:val="95"/>
        </w:rPr>
        <w:t>断。第1至第7项为中国保险行业协会与中国医师协会共同制定的重大疾病保险    的疾病定义，第8至第10项为我公司增加的疾病种类并自行制定的疾病定义。</w:t>
      </w:r>
    </w:p>
    <w:p>
      <w:pPr>
        <w:pStyle w:val="BodyText"/>
        <w:ind w:left="0"/>
        <w:rPr>
          <w:rFonts w:ascii="Microsoft JhengHei"/>
          <w:b/>
        </w:rPr>
      </w:pPr>
    </w:p>
    <w:p>
      <w:pPr>
        <w:pStyle w:val="BodyText"/>
        <w:spacing w:before="9"/>
        <w:ind w:left="0"/>
        <w:rPr>
          <w:rFonts w:ascii="Microsoft JhengHei"/>
          <w:b/>
          <w:sz w:val="12"/>
        </w:rPr>
      </w:pPr>
    </w:p>
    <w:p>
      <w:pPr>
        <w:pStyle w:val="Heading4"/>
        <w:spacing w:before="0"/>
        <w:ind w:left="120" w:firstLine="0"/>
      </w:pPr>
      <w:r>
        <w:rPr>
          <w:rFonts w:ascii="宋体" w:hAnsi="宋体" w:eastAsia="宋体" w:hint="eastAsia"/>
          <w:b w:val="0"/>
        </w:rPr>
        <w:t>※ </w:t>
      </w:r>
      <w:r>
        <w:rPr/>
        <w:t>本重大疾病释义中所提及的术语，其解释如下：</w:t>
      </w:r>
    </w:p>
    <w:p>
      <w:pPr>
        <w:pStyle w:val="BodyText"/>
        <w:spacing w:before="4"/>
        <w:ind w:left="0"/>
        <w:rPr>
          <w:rFonts w:ascii="Microsoft JhengHei"/>
          <w:b/>
          <w:sz w:val="16"/>
        </w:rPr>
      </w:pPr>
    </w:p>
    <w:p>
      <w:pPr>
        <w:pStyle w:val="ListParagraph"/>
        <w:numPr>
          <w:ilvl w:val="0"/>
          <w:numId w:val="12"/>
        </w:numPr>
        <w:tabs>
          <w:tab w:pos="360" w:val="left" w:leader="none"/>
        </w:tabs>
        <w:spacing w:line="240" w:lineRule="auto" w:before="0" w:after="0"/>
        <w:ind w:left="360" w:right="0" w:hanging="240"/>
        <w:jc w:val="left"/>
        <w:rPr>
          <w:sz w:val="24"/>
        </w:rPr>
      </w:pPr>
      <w:r>
        <w:rPr>
          <w:sz w:val="24"/>
        </w:rPr>
        <w:t>.六项基本日常生活活动</w:t>
      </w:r>
    </w:p>
    <w:p>
      <w:pPr>
        <w:pStyle w:val="BodyText"/>
        <w:spacing w:line="357" w:lineRule="auto" w:before="154"/>
        <w:ind w:right="111"/>
      </w:pPr>
      <w:r>
        <w:rPr>
          <w:spacing w:val="-1"/>
        </w:rPr>
        <w:t>六项基本日常生活活动是指：</w:t>
      </w:r>
      <w:r>
        <w:rPr>
          <w:spacing w:val="-9"/>
        </w:rPr>
        <w:t>（1）</w:t>
      </w:r>
      <w:r>
        <w:rPr>
          <w:spacing w:val="-4"/>
        </w:rPr>
        <w:t>穿衣：自己能够穿衣及脱衣；</w:t>
      </w:r>
      <w:r>
        <w:rPr>
          <w:spacing w:val="-9"/>
        </w:rPr>
        <w:t>（2）</w:t>
      </w:r>
      <w:r>
        <w:rPr>
          <w:spacing w:val="-6"/>
        </w:rPr>
        <w:t>移动：自</w:t>
      </w:r>
      <w:r>
        <w:rPr/>
        <w:t>己从一个房间到另一个房间；（3）行动：自己上下床或上下轮椅；（4）如厕： </w:t>
      </w:r>
      <w:r>
        <w:rPr>
          <w:spacing w:val="-2"/>
        </w:rPr>
        <w:t>自己控制进行大小便；</w:t>
      </w:r>
      <w:r>
        <w:rPr>
          <w:spacing w:val="-18"/>
        </w:rPr>
        <w:t>（5）</w:t>
      </w:r>
      <w:r>
        <w:rPr>
          <w:spacing w:val="-5"/>
        </w:rPr>
        <w:t>进食：自己从已准备好的碗或碟中取食物放入口中；</w:t>
      </w:r>
    </w:p>
    <w:p>
      <w:pPr>
        <w:pStyle w:val="BodyText"/>
        <w:spacing w:before="36"/>
      </w:pPr>
      <w:r>
        <w:rPr/>
        <w:t>（6）洗澡：自己进行淋浴或盆浴。</w:t>
      </w:r>
    </w:p>
    <w:p>
      <w:pPr>
        <w:pStyle w:val="ListParagraph"/>
        <w:numPr>
          <w:ilvl w:val="0"/>
          <w:numId w:val="12"/>
        </w:numPr>
        <w:tabs>
          <w:tab w:pos="360" w:val="left" w:leader="none"/>
        </w:tabs>
        <w:spacing w:line="240" w:lineRule="auto" w:before="153" w:after="0"/>
        <w:ind w:left="360" w:right="0" w:hanging="240"/>
        <w:jc w:val="left"/>
        <w:rPr>
          <w:sz w:val="24"/>
        </w:rPr>
      </w:pPr>
      <w:r>
        <w:rPr>
          <w:sz w:val="24"/>
        </w:rPr>
        <w:t>.肢体机能完全丧失</w:t>
      </w:r>
    </w:p>
    <w:p>
      <w:pPr>
        <w:pStyle w:val="BodyText"/>
        <w:spacing w:line="357" w:lineRule="auto" w:before="153"/>
        <w:ind w:right="235"/>
      </w:pPr>
      <w:r>
        <w:rPr>
          <w:spacing w:val="-5"/>
        </w:rPr>
        <w:t>指肢体的三大关节中的两大关节僵硬，或不能随意识活动。肢体是指包括肩关节的整个上肢或包括髋关节的整个下肢。</w:t>
      </w:r>
    </w:p>
    <w:p>
      <w:pPr>
        <w:pStyle w:val="ListParagraph"/>
        <w:numPr>
          <w:ilvl w:val="0"/>
          <w:numId w:val="13"/>
        </w:numPr>
        <w:tabs>
          <w:tab w:pos="480" w:val="left" w:leader="none"/>
        </w:tabs>
        <w:spacing w:line="240" w:lineRule="auto" w:before="36" w:after="0"/>
        <w:ind w:left="480" w:right="0" w:hanging="360"/>
        <w:jc w:val="left"/>
        <w:rPr>
          <w:sz w:val="24"/>
        </w:rPr>
      </w:pPr>
      <w:r>
        <w:rPr>
          <w:sz w:val="24"/>
        </w:rPr>
        <w:t>语言能力或咀嚼吞咽能力完全丧失</w:t>
      </w:r>
    </w:p>
    <w:p>
      <w:pPr>
        <w:pStyle w:val="BodyText"/>
        <w:spacing w:line="357" w:lineRule="auto" w:before="154"/>
        <w:ind w:right="235"/>
      </w:pPr>
      <w:r>
        <w:rPr>
          <w:spacing w:val="-5"/>
        </w:rPr>
        <w:t>语言能力完全丧失，指无法发出四种语音</w:t>
      </w:r>
      <w:r>
        <w:rPr/>
        <w:t>（</w:t>
      </w:r>
      <w:r>
        <w:rPr>
          <w:spacing w:val="-6"/>
        </w:rPr>
        <w:t>包括口唇音、齿舌音、口盖音和喉头音）中的任何三种、或声带全部切除，或因大脑语言中枢受伤害而患失语症。</w:t>
      </w:r>
      <w:r>
        <w:rPr>
          <w:spacing w:val="-12"/>
        </w:rPr>
        <w:t>咀嚼吞咽能力完全丧失，指因牙齿以外的原因导致器质障碍或机能障碍，以致不能作咀嚼吞咽运动，除流质食物外不能摄取或吞咽的状态。</w:t>
      </w:r>
    </w:p>
    <w:p>
      <w:pPr>
        <w:pStyle w:val="ListParagraph"/>
        <w:numPr>
          <w:ilvl w:val="0"/>
          <w:numId w:val="13"/>
        </w:numPr>
        <w:tabs>
          <w:tab w:pos="480" w:val="left" w:leader="none"/>
        </w:tabs>
        <w:spacing w:line="240" w:lineRule="auto" w:before="36" w:after="0"/>
        <w:ind w:left="480" w:right="0" w:hanging="360"/>
        <w:jc w:val="left"/>
        <w:rPr>
          <w:sz w:val="24"/>
        </w:rPr>
      </w:pPr>
      <w:r>
        <w:rPr>
          <w:sz w:val="24"/>
        </w:rPr>
        <w:t>永久不可逆</w:t>
      </w:r>
    </w:p>
    <w:p>
      <w:pPr>
        <w:pStyle w:val="BodyText"/>
        <w:spacing w:before="153"/>
      </w:pPr>
      <w:r>
        <w:rPr/>
        <w:t>指自疾病确诊或意外伤害发生之日起，经过积极治疗180 天后，仍无法通过现有</w:t>
      </w:r>
    </w:p>
    <w:p>
      <w:pPr>
        <w:pStyle w:val="BodyText"/>
        <w:spacing w:before="153"/>
      </w:pPr>
      <w:r>
        <w:rPr/>
        <w:t>医疗手段恢复。</w:t>
      </w:r>
    </w:p>
    <w:p>
      <w:pPr>
        <w:pStyle w:val="BodyText"/>
        <w:spacing w:before="153"/>
      </w:pPr>
      <w:r>
        <w:rPr/>
        <w:t>5.专科医生</w:t>
      </w:r>
    </w:p>
    <w:p>
      <w:pPr>
        <w:pStyle w:val="BodyText"/>
        <w:spacing w:line="357" w:lineRule="auto" w:before="153"/>
        <w:ind w:right="231"/>
        <w:jc w:val="both"/>
      </w:pPr>
      <w:r>
        <w:rPr>
          <w:spacing w:val="-6"/>
        </w:rPr>
        <w:t>专科医生应当同时满足以下四项资格条件：</w:t>
      </w:r>
      <w:r>
        <w:rPr/>
        <w:t>（</w:t>
      </w:r>
      <w:r>
        <w:rPr>
          <w:spacing w:val="-3"/>
        </w:rPr>
        <w:t>1</w:t>
      </w:r>
      <w:r>
        <w:rPr>
          <w:spacing w:val="-53"/>
        </w:rPr>
        <w:t>）</w:t>
      </w:r>
      <w:r>
        <w:rPr>
          <w:spacing w:val="-5"/>
        </w:rPr>
        <w:t>具有有效的中华人民共和国《医师资格证书》；（2）具有有效的中华人民共和国《医师执业证书》，并按期到相关部门登记注册；（3）具有有效的中华人民共和国主治医师或主治医师以上职称的《医师职称证书》；（4）在二级或二级以上医院的相应科室从事临床工作三年以上。</w:t>
      </w:r>
    </w:p>
    <w:p>
      <w:pPr>
        <w:pStyle w:val="ListParagraph"/>
        <w:numPr>
          <w:ilvl w:val="0"/>
          <w:numId w:val="14"/>
        </w:numPr>
        <w:tabs>
          <w:tab w:pos="480" w:val="left" w:leader="none"/>
        </w:tabs>
        <w:spacing w:line="240" w:lineRule="auto" w:before="36" w:after="0"/>
        <w:ind w:left="480" w:right="0" w:hanging="360"/>
        <w:jc w:val="left"/>
        <w:rPr>
          <w:sz w:val="24"/>
        </w:rPr>
      </w:pPr>
      <w:r>
        <w:rPr>
          <w:sz w:val="24"/>
        </w:rPr>
        <w:t>感染艾滋病病毒或患艾滋病</w:t>
      </w:r>
    </w:p>
    <w:p>
      <w:pPr>
        <w:pStyle w:val="BodyText"/>
        <w:spacing w:before="154"/>
      </w:pPr>
      <w:r>
        <w:rPr/>
        <w:t>艾滋病病毒指人类免疫缺陷病毒，英文缩写为HIV。艾滋病指人类免疫缺陷病毒</w:t>
      </w:r>
    </w:p>
    <w:p>
      <w:pPr>
        <w:spacing w:after="0"/>
        <w:sectPr>
          <w:pgSz w:w="11900" w:h="16840"/>
          <w:pgMar w:header="0" w:footer="1007" w:top="1480" w:bottom="1200" w:left="1680" w:right="1560"/>
        </w:sectPr>
      </w:pPr>
    </w:p>
    <w:p>
      <w:pPr>
        <w:pStyle w:val="BodyText"/>
        <w:spacing w:line="357" w:lineRule="auto"/>
        <w:ind w:right="115"/>
      </w:pPr>
      <w:r>
        <w:rPr>
          <w:spacing w:val="-4"/>
        </w:rPr>
        <w:t>引起的获得性免疫缺陷综合征，英文缩写为</w:t>
      </w:r>
      <w:r>
        <w:rPr/>
        <w:t>AIDS</w:t>
      </w:r>
      <w:r>
        <w:rPr>
          <w:spacing w:val="-7"/>
        </w:rPr>
        <w:t>。在人体血液或其它样本中检测</w:t>
      </w:r>
      <w:r>
        <w:rPr>
          <w:spacing w:val="-18"/>
        </w:rPr>
        <w:t>到艾滋病病毒或其抗体呈阳性，没有出现临床症状或体征的，为感染艾滋病病毒；如果同时出现了明显临床症状或体征的，为患艾滋病。</w:t>
      </w:r>
    </w:p>
    <w:p>
      <w:pPr>
        <w:pStyle w:val="ListParagraph"/>
        <w:numPr>
          <w:ilvl w:val="0"/>
          <w:numId w:val="14"/>
        </w:numPr>
        <w:tabs>
          <w:tab w:pos="480" w:val="left" w:leader="none"/>
        </w:tabs>
        <w:spacing w:line="240" w:lineRule="auto" w:before="36" w:after="0"/>
        <w:ind w:left="480" w:right="0" w:hanging="360"/>
        <w:jc w:val="left"/>
        <w:rPr>
          <w:sz w:val="24"/>
        </w:rPr>
      </w:pPr>
      <w:r>
        <w:rPr>
          <w:sz w:val="24"/>
        </w:rPr>
        <w:t>遗传性疾病</w:t>
      </w:r>
    </w:p>
    <w:p>
      <w:pPr>
        <w:pStyle w:val="BodyText"/>
        <w:spacing w:line="357" w:lineRule="auto" w:before="154"/>
        <w:ind w:right="115"/>
      </w:pPr>
      <w:r>
        <w:rPr>
          <w:spacing w:val="-8"/>
        </w:rPr>
        <w:t>指生殖细胞或受精卵的遗传物质</w:t>
      </w:r>
      <w:r>
        <w:rPr/>
        <w:t>（染色体和基因</w:t>
      </w:r>
      <w:r>
        <w:rPr>
          <w:spacing w:val="-108"/>
        </w:rPr>
        <w:t>）</w:t>
      </w:r>
      <w:r>
        <w:rPr/>
        <w:t>发生突变或畸变所引起的疾病，通常具有由亲代传至后代的垂直传递的特征。</w:t>
      </w:r>
    </w:p>
    <w:p>
      <w:pPr>
        <w:pStyle w:val="ListParagraph"/>
        <w:numPr>
          <w:ilvl w:val="0"/>
          <w:numId w:val="14"/>
        </w:numPr>
        <w:tabs>
          <w:tab w:pos="480" w:val="left" w:leader="none"/>
        </w:tabs>
        <w:spacing w:line="240" w:lineRule="auto" w:before="36" w:after="0"/>
        <w:ind w:left="480" w:right="0" w:hanging="360"/>
        <w:jc w:val="left"/>
        <w:rPr>
          <w:sz w:val="24"/>
        </w:rPr>
      </w:pPr>
      <w:r>
        <w:rPr>
          <w:sz w:val="24"/>
        </w:rPr>
        <w:t>先天性畸形、变形或染色体异常</w:t>
      </w:r>
    </w:p>
    <w:p>
      <w:pPr>
        <w:pStyle w:val="BodyText"/>
        <w:spacing w:line="357" w:lineRule="auto" w:before="153"/>
        <w:ind w:right="231"/>
        <w:jc w:val="both"/>
      </w:pPr>
      <w:r>
        <w:rPr>
          <w:spacing w:val="-6"/>
        </w:rPr>
        <w:t>指被保险人出生时就具有的畸形、变形或染色体异常。先天性畸形、变形和染色</w:t>
      </w:r>
      <w:r>
        <w:rPr>
          <w:spacing w:val="-10"/>
        </w:rPr>
        <w:t>体异常依照世界卫生组织《疾病和有关健康问题的国际统计分类》</w:t>
      </w:r>
      <w:r>
        <w:rPr>
          <w:spacing w:val="-3"/>
        </w:rPr>
        <w:t>（ICD-10）</w:t>
      </w:r>
      <w:r>
        <w:rPr>
          <w:spacing w:val="-24"/>
        </w:rPr>
        <w:t>确</w:t>
      </w:r>
      <w:r>
        <w:rPr/>
        <w:t>定。</w:t>
      </w:r>
    </w:p>
    <w:p>
      <w:pPr>
        <w:spacing w:after="0" w:line="357" w:lineRule="auto"/>
        <w:jc w:val="both"/>
        <w:sectPr>
          <w:pgSz w:w="11900" w:h="16840"/>
          <w:pgMar w:header="0" w:footer="1007" w:top="1480" w:bottom="1200" w:left="1680" w:right="1560"/>
        </w:sectPr>
      </w:pPr>
    </w:p>
    <w:p>
      <w:pPr>
        <w:spacing w:line="416" w:lineRule="exact" w:before="0"/>
        <w:ind w:left="120" w:right="0" w:firstLine="0"/>
        <w:jc w:val="left"/>
        <w:rPr>
          <w:rFonts w:ascii="Microsoft JhengHei" w:eastAsia="Microsoft JhengHei" w:hint="eastAsia"/>
          <w:b/>
          <w:sz w:val="30"/>
        </w:rPr>
      </w:pPr>
      <w:r>
        <w:rPr>
          <w:rFonts w:ascii="Microsoft JhengHei" w:eastAsia="Microsoft JhengHei" w:hint="eastAsia"/>
          <w:b/>
          <w:sz w:val="30"/>
        </w:rPr>
        <w:t>附件</w:t>
      </w:r>
    </w:p>
    <w:p>
      <w:pPr>
        <w:pStyle w:val="BodyText"/>
        <w:spacing w:before="15"/>
        <w:ind w:left="0"/>
        <w:rPr>
          <w:rFonts w:ascii="Microsoft JhengHei"/>
          <w:b/>
          <w:sz w:val="10"/>
        </w:rPr>
      </w:pPr>
    </w:p>
    <w:p>
      <w:pPr>
        <w:spacing w:line="435" w:lineRule="exact" w:before="0"/>
        <w:ind w:left="1411" w:right="0" w:firstLine="0"/>
        <w:jc w:val="left"/>
        <w:rPr>
          <w:rFonts w:ascii="Microsoft JhengHei" w:eastAsia="Microsoft JhengHei" w:hint="eastAsia"/>
          <w:b/>
          <w:sz w:val="30"/>
        </w:rPr>
      </w:pPr>
      <w:r>
        <w:rPr>
          <w:rFonts w:ascii="Microsoft JhengHei" w:eastAsia="Microsoft JhengHei" w:hint="eastAsia"/>
          <w:b/>
          <w:sz w:val="30"/>
        </w:rPr>
        <w:t>瑞泰附加瑞丽女性重大疾病保险产品费率表</w:t>
      </w:r>
    </w:p>
    <w:p>
      <w:pPr>
        <w:pStyle w:val="BodyText"/>
        <w:spacing w:before="8"/>
        <w:ind w:left="0"/>
        <w:rPr>
          <w:rFonts w:ascii="Microsoft JhengHei"/>
          <w:b/>
          <w:sz w:val="7"/>
        </w:rPr>
      </w:pPr>
    </w:p>
    <w:tbl>
      <w:tblPr>
        <w:tblW w:w="0" w:type="auto"/>
        <w:jc w:val="left"/>
        <w:tblInd w:w="13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18"/>
        <w:gridCol w:w="996"/>
        <w:gridCol w:w="238"/>
        <w:gridCol w:w="819"/>
        <w:gridCol w:w="973"/>
        <w:gridCol w:w="239"/>
        <w:gridCol w:w="820"/>
        <w:gridCol w:w="974"/>
      </w:tblGrid>
      <w:tr>
        <w:trPr>
          <w:trHeight w:val="315" w:hRule="atLeast"/>
        </w:trPr>
        <w:tc>
          <w:tcPr>
            <w:tcW w:w="5877" w:type="dxa"/>
            <w:gridSpan w:val="8"/>
          </w:tcPr>
          <w:p>
            <w:pPr>
              <w:pStyle w:val="TableParagraph"/>
              <w:spacing w:line="291" w:lineRule="exact" w:before="0"/>
              <w:ind w:left="2389" w:right="2377"/>
              <w:rPr>
                <w:rFonts w:ascii="Microsoft JhengHei" w:eastAsia="Microsoft JhengHei" w:hint="eastAsia"/>
                <w:b/>
                <w:sz w:val="21"/>
              </w:rPr>
            </w:pPr>
            <w:r>
              <w:rPr>
                <w:rFonts w:ascii="Microsoft JhengHei" w:eastAsia="Microsoft JhengHei" w:hint="eastAsia"/>
                <w:b/>
                <w:sz w:val="21"/>
              </w:rPr>
              <w:t>月度保险费</w:t>
            </w:r>
          </w:p>
        </w:tc>
      </w:tr>
      <w:tr>
        <w:trPr>
          <w:trHeight w:val="313" w:hRule="atLeast"/>
        </w:trPr>
        <w:tc>
          <w:tcPr>
            <w:tcW w:w="5877" w:type="dxa"/>
            <w:gridSpan w:val="8"/>
          </w:tcPr>
          <w:p>
            <w:pPr>
              <w:pStyle w:val="TableParagraph"/>
              <w:tabs>
                <w:tab w:pos="3865" w:val="left" w:leader="none"/>
              </w:tabs>
              <w:spacing w:line="288" w:lineRule="exact" w:before="0"/>
              <w:ind w:left="107" w:right="0"/>
              <w:jc w:val="left"/>
              <w:rPr>
                <w:rFonts w:ascii="Microsoft JhengHei" w:eastAsia="Microsoft JhengHei" w:hint="eastAsia"/>
                <w:b/>
                <w:sz w:val="21"/>
              </w:rPr>
            </w:pPr>
            <w:r>
              <w:rPr>
                <w:rFonts w:ascii="Microsoft JhengHei" w:eastAsia="Microsoft JhengHei" w:hint="eastAsia"/>
                <w:b/>
                <w:sz w:val="21"/>
              </w:rPr>
              <w:t>（单位</w:t>
            </w:r>
            <w:r>
              <w:rPr>
                <w:rFonts w:ascii="Microsoft JhengHei" w:eastAsia="Microsoft JhengHei" w:hint="eastAsia"/>
                <w:b/>
                <w:w w:val="170"/>
                <w:sz w:val="21"/>
              </w:rPr>
              <w:t>:</w:t>
            </w:r>
            <w:r>
              <w:rPr>
                <w:rFonts w:ascii="Microsoft JhengHei" w:eastAsia="Microsoft JhengHei" w:hint="eastAsia"/>
                <w:b/>
                <w:spacing w:val="23"/>
                <w:w w:val="170"/>
                <w:sz w:val="21"/>
              </w:rPr>
              <w:t> </w:t>
            </w:r>
            <w:r>
              <w:rPr>
                <w:rFonts w:ascii="Microsoft JhengHei" w:eastAsia="Microsoft JhengHei" w:hint="eastAsia"/>
                <w:b/>
                <w:sz w:val="21"/>
              </w:rPr>
              <w:t>人民币）</w:t>
              <w:tab/>
              <w:t>每</w:t>
            </w:r>
            <w:r>
              <w:rPr>
                <w:rFonts w:ascii="Microsoft JhengHei" w:eastAsia="Microsoft JhengHei" w:hint="eastAsia"/>
                <w:b/>
                <w:spacing w:val="-10"/>
                <w:sz w:val="21"/>
              </w:rPr>
              <w:t> </w:t>
            </w:r>
            <w:r>
              <w:rPr>
                <w:rFonts w:ascii="Microsoft JhengHei" w:eastAsia="Microsoft JhengHei" w:hint="eastAsia"/>
                <w:b/>
                <w:sz w:val="21"/>
              </w:rPr>
              <w:t>1,000</w:t>
            </w:r>
            <w:r>
              <w:rPr>
                <w:rFonts w:ascii="Microsoft JhengHei" w:eastAsia="Microsoft JhengHei" w:hint="eastAsia"/>
                <w:b/>
                <w:spacing w:val="-11"/>
                <w:sz w:val="21"/>
              </w:rPr>
              <w:t> </w:t>
            </w:r>
            <w:r>
              <w:rPr>
                <w:rFonts w:ascii="Microsoft JhengHei" w:eastAsia="Microsoft JhengHei" w:hint="eastAsia"/>
                <w:b/>
                <w:spacing w:val="-3"/>
                <w:sz w:val="21"/>
              </w:rPr>
              <w:t>元</w:t>
            </w:r>
            <w:r>
              <w:rPr>
                <w:rFonts w:ascii="Microsoft JhengHei" w:eastAsia="Microsoft JhengHei" w:hint="eastAsia"/>
                <w:b/>
                <w:sz w:val="21"/>
              </w:rPr>
              <w:t>保险金额</w:t>
            </w:r>
          </w:p>
        </w:tc>
      </w:tr>
      <w:tr>
        <w:trPr>
          <w:trHeight w:val="316" w:hRule="atLeast"/>
        </w:trPr>
        <w:tc>
          <w:tcPr>
            <w:tcW w:w="818" w:type="dxa"/>
          </w:tcPr>
          <w:p>
            <w:pPr>
              <w:pStyle w:val="TableParagraph"/>
              <w:spacing w:line="291" w:lineRule="exact" w:before="0"/>
              <w:ind w:left="177" w:right="160"/>
              <w:rPr>
                <w:rFonts w:ascii="Microsoft JhengHei" w:eastAsia="Microsoft JhengHei" w:hint="eastAsia"/>
                <w:b/>
                <w:sz w:val="21"/>
              </w:rPr>
            </w:pPr>
            <w:r>
              <w:rPr>
                <w:rFonts w:ascii="Microsoft JhengHei" w:eastAsia="Microsoft JhengHei" w:hint="eastAsia"/>
                <w:b/>
                <w:sz w:val="21"/>
              </w:rPr>
              <w:t>年龄</w:t>
            </w:r>
          </w:p>
        </w:tc>
        <w:tc>
          <w:tcPr>
            <w:tcW w:w="996" w:type="dxa"/>
          </w:tcPr>
          <w:p>
            <w:pPr>
              <w:pStyle w:val="TableParagraph"/>
              <w:spacing w:before="0"/>
              <w:ind w:right="0"/>
              <w:jc w:val="left"/>
              <w:rPr>
                <w:rFonts w:ascii="Times New Roman"/>
                <w:sz w:val="20"/>
              </w:rPr>
            </w:pPr>
          </w:p>
        </w:tc>
        <w:tc>
          <w:tcPr>
            <w:tcW w:w="238" w:type="dxa"/>
          </w:tcPr>
          <w:p>
            <w:pPr>
              <w:pStyle w:val="TableParagraph"/>
              <w:spacing w:before="0"/>
              <w:ind w:right="0"/>
              <w:jc w:val="left"/>
              <w:rPr>
                <w:rFonts w:ascii="Times New Roman"/>
                <w:sz w:val="20"/>
              </w:rPr>
            </w:pPr>
          </w:p>
        </w:tc>
        <w:tc>
          <w:tcPr>
            <w:tcW w:w="819" w:type="dxa"/>
          </w:tcPr>
          <w:p>
            <w:pPr>
              <w:pStyle w:val="TableParagraph"/>
              <w:spacing w:line="291" w:lineRule="exact" w:before="0"/>
              <w:ind w:left="177" w:right="161"/>
              <w:rPr>
                <w:rFonts w:ascii="Microsoft JhengHei" w:eastAsia="Microsoft JhengHei" w:hint="eastAsia"/>
                <w:b/>
                <w:sz w:val="21"/>
              </w:rPr>
            </w:pPr>
            <w:r>
              <w:rPr>
                <w:rFonts w:ascii="Microsoft JhengHei" w:eastAsia="Microsoft JhengHei" w:hint="eastAsia"/>
                <w:b/>
                <w:sz w:val="21"/>
              </w:rPr>
              <w:t>年龄</w:t>
            </w:r>
          </w:p>
        </w:tc>
        <w:tc>
          <w:tcPr>
            <w:tcW w:w="973" w:type="dxa"/>
          </w:tcPr>
          <w:p>
            <w:pPr>
              <w:pStyle w:val="TableParagraph"/>
              <w:spacing w:before="0"/>
              <w:ind w:right="0"/>
              <w:jc w:val="left"/>
              <w:rPr>
                <w:rFonts w:ascii="Times New Roman"/>
                <w:sz w:val="20"/>
              </w:rPr>
            </w:pPr>
          </w:p>
        </w:tc>
        <w:tc>
          <w:tcPr>
            <w:tcW w:w="239" w:type="dxa"/>
          </w:tcPr>
          <w:p>
            <w:pPr>
              <w:pStyle w:val="TableParagraph"/>
              <w:spacing w:before="0"/>
              <w:ind w:right="0"/>
              <w:jc w:val="left"/>
              <w:rPr>
                <w:rFonts w:ascii="Times New Roman"/>
                <w:sz w:val="20"/>
              </w:rPr>
            </w:pPr>
          </w:p>
        </w:tc>
        <w:tc>
          <w:tcPr>
            <w:tcW w:w="820" w:type="dxa"/>
          </w:tcPr>
          <w:p>
            <w:pPr>
              <w:pStyle w:val="TableParagraph"/>
              <w:spacing w:line="291" w:lineRule="exact" w:before="0"/>
              <w:ind w:left="174" w:right="165"/>
              <w:rPr>
                <w:rFonts w:ascii="Microsoft JhengHei" w:eastAsia="Microsoft JhengHei" w:hint="eastAsia"/>
                <w:b/>
                <w:sz w:val="21"/>
              </w:rPr>
            </w:pPr>
            <w:r>
              <w:rPr>
                <w:rFonts w:ascii="Microsoft JhengHei" w:eastAsia="Microsoft JhengHei" w:hint="eastAsia"/>
                <w:b/>
                <w:sz w:val="21"/>
              </w:rPr>
              <w:t>年龄</w:t>
            </w:r>
          </w:p>
        </w:tc>
        <w:tc>
          <w:tcPr>
            <w:tcW w:w="974" w:type="dxa"/>
          </w:tcPr>
          <w:p>
            <w:pPr>
              <w:pStyle w:val="TableParagraph"/>
              <w:spacing w:before="0"/>
              <w:ind w:right="0"/>
              <w:jc w:val="left"/>
              <w:rPr>
                <w:rFonts w:ascii="Times New Roman"/>
                <w:sz w:val="20"/>
              </w:rPr>
            </w:pPr>
          </w:p>
        </w:tc>
      </w:tr>
      <w:tr>
        <w:trPr>
          <w:trHeight w:val="313" w:hRule="atLeast"/>
        </w:trPr>
        <w:tc>
          <w:tcPr>
            <w:tcW w:w="818" w:type="dxa"/>
          </w:tcPr>
          <w:p>
            <w:pPr>
              <w:pStyle w:val="TableParagraph"/>
              <w:spacing w:before="35"/>
              <w:ind w:left="177" w:right="156"/>
              <w:rPr>
                <w:sz w:val="21"/>
              </w:rPr>
            </w:pPr>
            <w:r>
              <w:rPr>
                <w:sz w:val="21"/>
              </w:rPr>
              <w:t>18</w:t>
            </w:r>
          </w:p>
        </w:tc>
        <w:tc>
          <w:tcPr>
            <w:tcW w:w="996" w:type="dxa"/>
          </w:tcPr>
          <w:p>
            <w:pPr>
              <w:pStyle w:val="TableParagraph"/>
              <w:spacing w:before="40"/>
              <w:ind w:left="227" w:right="207"/>
              <w:rPr>
                <w:sz w:val="20"/>
              </w:rPr>
            </w:pPr>
            <w:r>
              <w:rPr>
                <w:sz w:val="20"/>
              </w:rPr>
              <w:t>0.047</w:t>
            </w:r>
          </w:p>
        </w:tc>
        <w:tc>
          <w:tcPr>
            <w:tcW w:w="238" w:type="dxa"/>
          </w:tcPr>
          <w:p>
            <w:pPr>
              <w:pStyle w:val="TableParagraph"/>
              <w:spacing w:line="264" w:lineRule="exact" w:before="0"/>
              <w:jc w:val="right"/>
              <w:rPr>
                <w:rFonts w:ascii="宋体"/>
                <w:sz w:val="21"/>
              </w:rPr>
            </w:pPr>
            <w:r>
              <w:rPr>
                <w:rFonts w:ascii="宋体"/>
                <w:w w:val="100"/>
                <w:sz w:val="21"/>
              </w:rPr>
              <w:t> </w:t>
            </w:r>
          </w:p>
        </w:tc>
        <w:tc>
          <w:tcPr>
            <w:tcW w:w="819" w:type="dxa"/>
          </w:tcPr>
          <w:p>
            <w:pPr>
              <w:pStyle w:val="TableParagraph"/>
              <w:spacing w:before="35"/>
              <w:ind w:left="177" w:right="157"/>
              <w:rPr>
                <w:sz w:val="21"/>
              </w:rPr>
            </w:pPr>
            <w:r>
              <w:rPr>
                <w:sz w:val="21"/>
              </w:rPr>
              <w:t>34</w:t>
            </w:r>
          </w:p>
        </w:tc>
        <w:tc>
          <w:tcPr>
            <w:tcW w:w="973" w:type="dxa"/>
          </w:tcPr>
          <w:p>
            <w:pPr>
              <w:pStyle w:val="TableParagraph"/>
              <w:spacing w:before="35"/>
              <w:ind w:right="203"/>
              <w:jc w:val="right"/>
              <w:rPr>
                <w:sz w:val="21"/>
              </w:rPr>
            </w:pPr>
            <w:r>
              <w:rPr>
                <w:sz w:val="21"/>
              </w:rPr>
              <w:t>0.209</w:t>
            </w:r>
          </w:p>
        </w:tc>
        <w:tc>
          <w:tcPr>
            <w:tcW w:w="239" w:type="dxa"/>
          </w:tcPr>
          <w:p>
            <w:pPr>
              <w:pStyle w:val="TableParagraph"/>
              <w:spacing w:line="264" w:lineRule="exact" w:before="0"/>
              <w:jc w:val="right"/>
              <w:rPr>
                <w:rFonts w:ascii="宋体"/>
                <w:sz w:val="21"/>
              </w:rPr>
            </w:pPr>
            <w:r>
              <w:rPr>
                <w:rFonts w:ascii="宋体"/>
                <w:w w:val="100"/>
                <w:sz w:val="21"/>
              </w:rPr>
              <w:t> </w:t>
            </w:r>
          </w:p>
        </w:tc>
        <w:tc>
          <w:tcPr>
            <w:tcW w:w="820" w:type="dxa"/>
          </w:tcPr>
          <w:p>
            <w:pPr>
              <w:pStyle w:val="TableParagraph"/>
              <w:spacing w:before="35"/>
              <w:ind w:left="174" w:right="161"/>
              <w:rPr>
                <w:sz w:val="21"/>
              </w:rPr>
            </w:pPr>
            <w:r>
              <w:rPr>
                <w:sz w:val="21"/>
              </w:rPr>
              <w:t>50</w:t>
            </w:r>
          </w:p>
        </w:tc>
        <w:tc>
          <w:tcPr>
            <w:tcW w:w="974" w:type="dxa"/>
          </w:tcPr>
          <w:p>
            <w:pPr>
              <w:pStyle w:val="TableParagraph"/>
              <w:spacing w:before="35"/>
              <w:ind w:left="196" w:right="192"/>
              <w:rPr>
                <w:sz w:val="21"/>
              </w:rPr>
            </w:pPr>
            <w:r>
              <w:rPr>
                <w:sz w:val="21"/>
              </w:rPr>
              <w:t>0.765</w:t>
            </w:r>
          </w:p>
        </w:tc>
      </w:tr>
      <w:tr>
        <w:trPr>
          <w:trHeight w:val="316" w:hRule="atLeast"/>
        </w:trPr>
        <w:tc>
          <w:tcPr>
            <w:tcW w:w="818" w:type="dxa"/>
          </w:tcPr>
          <w:p>
            <w:pPr>
              <w:pStyle w:val="TableParagraph"/>
              <w:ind w:left="177" w:right="156"/>
              <w:rPr>
                <w:sz w:val="21"/>
              </w:rPr>
            </w:pPr>
            <w:r>
              <w:rPr>
                <w:sz w:val="21"/>
              </w:rPr>
              <w:t>19</w:t>
            </w:r>
          </w:p>
        </w:tc>
        <w:tc>
          <w:tcPr>
            <w:tcW w:w="996" w:type="dxa"/>
          </w:tcPr>
          <w:p>
            <w:pPr>
              <w:pStyle w:val="TableParagraph"/>
              <w:spacing w:before="42"/>
              <w:ind w:left="227" w:right="207"/>
              <w:rPr>
                <w:sz w:val="20"/>
              </w:rPr>
            </w:pPr>
            <w:r>
              <w:rPr>
                <w:sz w:val="20"/>
              </w:rPr>
              <w:t>0.049</w:t>
            </w:r>
          </w:p>
        </w:tc>
        <w:tc>
          <w:tcPr>
            <w:tcW w:w="238" w:type="dxa"/>
          </w:tcPr>
          <w:p>
            <w:pPr>
              <w:pStyle w:val="TableParagraph"/>
              <w:spacing w:line="267" w:lineRule="exact" w:before="0"/>
              <w:jc w:val="right"/>
              <w:rPr>
                <w:rFonts w:ascii="宋体"/>
                <w:sz w:val="21"/>
              </w:rPr>
            </w:pPr>
            <w:r>
              <w:rPr>
                <w:rFonts w:ascii="宋体"/>
                <w:w w:val="100"/>
                <w:sz w:val="21"/>
              </w:rPr>
              <w:t> </w:t>
            </w:r>
          </w:p>
        </w:tc>
        <w:tc>
          <w:tcPr>
            <w:tcW w:w="819" w:type="dxa"/>
          </w:tcPr>
          <w:p>
            <w:pPr>
              <w:pStyle w:val="TableParagraph"/>
              <w:ind w:left="177" w:right="157"/>
              <w:rPr>
                <w:sz w:val="21"/>
              </w:rPr>
            </w:pPr>
            <w:r>
              <w:rPr>
                <w:sz w:val="21"/>
              </w:rPr>
              <w:t>35</w:t>
            </w:r>
          </w:p>
        </w:tc>
        <w:tc>
          <w:tcPr>
            <w:tcW w:w="973" w:type="dxa"/>
          </w:tcPr>
          <w:p>
            <w:pPr>
              <w:pStyle w:val="TableParagraph"/>
              <w:ind w:right="203"/>
              <w:jc w:val="right"/>
              <w:rPr>
                <w:sz w:val="21"/>
              </w:rPr>
            </w:pPr>
            <w:r>
              <w:rPr>
                <w:sz w:val="21"/>
              </w:rPr>
              <w:t>0.259</w:t>
            </w:r>
          </w:p>
        </w:tc>
        <w:tc>
          <w:tcPr>
            <w:tcW w:w="239" w:type="dxa"/>
          </w:tcPr>
          <w:p>
            <w:pPr>
              <w:pStyle w:val="TableParagraph"/>
              <w:spacing w:line="267" w:lineRule="exact" w:before="0"/>
              <w:jc w:val="right"/>
              <w:rPr>
                <w:rFonts w:ascii="宋体"/>
                <w:sz w:val="21"/>
              </w:rPr>
            </w:pPr>
            <w:r>
              <w:rPr>
                <w:rFonts w:ascii="宋体"/>
                <w:w w:val="100"/>
                <w:sz w:val="21"/>
              </w:rPr>
              <w:t> </w:t>
            </w:r>
          </w:p>
        </w:tc>
        <w:tc>
          <w:tcPr>
            <w:tcW w:w="820" w:type="dxa"/>
          </w:tcPr>
          <w:p>
            <w:pPr>
              <w:pStyle w:val="TableParagraph"/>
              <w:ind w:left="174" w:right="161"/>
              <w:rPr>
                <w:sz w:val="21"/>
              </w:rPr>
            </w:pPr>
            <w:r>
              <w:rPr>
                <w:sz w:val="21"/>
              </w:rPr>
              <w:t>51</w:t>
            </w:r>
          </w:p>
        </w:tc>
        <w:tc>
          <w:tcPr>
            <w:tcW w:w="974" w:type="dxa"/>
          </w:tcPr>
          <w:p>
            <w:pPr>
              <w:pStyle w:val="TableParagraph"/>
              <w:ind w:left="196" w:right="192"/>
              <w:rPr>
                <w:sz w:val="21"/>
              </w:rPr>
            </w:pPr>
            <w:r>
              <w:rPr>
                <w:sz w:val="21"/>
              </w:rPr>
              <w:t>0.807</w:t>
            </w:r>
          </w:p>
        </w:tc>
      </w:tr>
      <w:tr>
        <w:trPr>
          <w:trHeight w:val="313" w:hRule="atLeast"/>
        </w:trPr>
        <w:tc>
          <w:tcPr>
            <w:tcW w:w="818" w:type="dxa"/>
          </w:tcPr>
          <w:p>
            <w:pPr>
              <w:pStyle w:val="TableParagraph"/>
              <w:spacing w:before="35"/>
              <w:ind w:left="177" w:right="156"/>
              <w:rPr>
                <w:sz w:val="21"/>
              </w:rPr>
            </w:pPr>
            <w:r>
              <w:rPr>
                <w:sz w:val="21"/>
              </w:rPr>
              <w:t>20</w:t>
            </w:r>
          </w:p>
        </w:tc>
        <w:tc>
          <w:tcPr>
            <w:tcW w:w="996" w:type="dxa"/>
          </w:tcPr>
          <w:p>
            <w:pPr>
              <w:pStyle w:val="TableParagraph"/>
              <w:spacing w:before="40"/>
              <w:ind w:left="227" w:right="207"/>
              <w:rPr>
                <w:sz w:val="20"/>
              </w:rPr>
            </w:pPr>
            <w:r>
              <w:rPr>
                <w:sz w:val="20"/>
              </w:rPr>
              <w:t>0.053</w:t>
            </w:r>
          </w:p>
        </w:tc>
        <w:tc>
          <w:tcPr>
            <w:tcW w:w="238" w:type="dxa"/>
          </w:tcPr>
          <w:p>
            <w:pPr>
              <w:pStyle w:val="TableParagraph"/>
              <w:spacing w:line="264" w:lineRule="exact" w:before="0"/>
              <w:jc w:val="right"/>
              <w:rPr>
                <w:rFonts w:ascii="宋体"/>
                <w:sz w:val="21"/>
              </w:rPr>
            </w:pPr>
            <w:r>
              <w:rPr>
                <w:rFonts w:ascii="宋体"/>
                <w:w w:val="100"/>
                <w:sz w:val="21"/>
              </w:rPr>
              <w:t> </w:t>
            </w:r>
          </w:p>
        </w:tc>
        <w:tc>
          <w:tcPr>
            <w:tcW w:w="819" w:type="dxa"/>
          </w:tcPr>
          <w:p>
            <w:pPr>
              <w:pStyle w:val="TableParagraph"/>
              <w:spacing w:before="35"/>
              <w:ind w:left="177" w:right="157"/>
              <w:rPr>
                <w:sz w:val="21"/>
              </w:rPr>
            </w:pPr>
            <w:r>
              <w:rPr>
                <w:sz w:val="21"/>
              </w:rPr>
              <w:t>36</w:t>
            </w:r>
          </w:p>
        </w:tc>
        <w:tc>
          <w:tcPr>
            <w:tcW w:w="973" w:type="dxa"/>
          </w:tcPr>
          <w:p>
            <w:pPr>
              <w:pStyle w:val="TableParagraph"/>
              <w:spacing w:before="35"/>
              <w:ind w:right="203"/>
              <w:jc w:val="right"/>
              <w:rPr>
                <w:sz w:val="21"/>
              </w:rPr>
            </w:pPr>
            <w:r>
              <w:rPr>
                <w:sz w:val="21"/>
              </w:rPr>
              <w:t>0.282</w:t>
            </w:r>
          </w:p>
        </w:tc>
        <w:tc>
          <w:tcPr>
            <w:tcW w:w="239" w:type="dxa"/>
          </w:tcPr>
          <w:p>
            <w:pPr>
              <w:pStyle w:val="TableParagraph"/>
              <w:spacing w:line="264" w:lineRule="exact" w:before="0"/>
              <w:jc w:val="right"/>
              <w:rPr>
                <w:rFonts w:ascii="宋体"/>
                <w:sz w:val="21"/>
              </w:rPr>
            </w:pPr>
            <w:r>
              <w:rPr>
                <w:rFonts w:ascii="宋体"/>
                <w:w w:val="100"/>
                <w:sz w:val="21"/>
              </w:rPr>
              <w:t> </w:t>
            </w:r>
          </w:p>
        </w:tc>
        <w:tc>
          <w:tcPr>
            <w:tcW w:w="820" w:type="dxa"/>
          </w:tcPr>
          <w:p>
            <w:pPr>
              <w:pStyle w:val="TableParagraph"/>
              <w:spacing w:before="35"/>
              <w:ind w:left="174" w:right="161"/>
              <w:rPr>
                <w:sz w:val="21"/>
              </w:rPr>
            </w:pPr>
            <w:r>
              <w:rPr>
                <w:sz w:val="21"/>
              </w:rPr>
              <w:t>52</w:t>
            </w:r>
          </w:p>
        </w:tc>
        <w:tc>
          <w:tcPr>
            <w:tcW w:w="974" w:type="dxa"/>
          </w:tcPr>
          <w:p>
            <w:pPr>
              <w:pStyle w:val="TableParagraph"/>
              <w:spacing w:before="35"/>
              <w:ind w:left="196" w:right="192"/>
              <w:rPr>
                <w:sz w:val="21"/>
              </w:rPr>
            </w:pPr>
            <w:r>
              <w:rPr>
                <w:sz w:val="21"/>
              </w:rPr>
              <w:t>0.854</w:t>
            </w:r>
          </w:p>
        </w:tc>
      </w:tr>
      <w:tr>
        <w:trPr>
          <w:trHeight w:val="315" w:hRule="atLeast"/>
        </w:trPr>
        <w:tc>
          <w:tcPr>
            <w:tcW w:w="818" w:type="dxa"/>
          </w:tcPr>
          <w:p>
            <w:pPr>
              <w:pStyle w:val="TableParagraph"/>
              <w:ind w:left="177" w:right="156"/>
              <w:rPr>
                <w:sz w:val="21"/>
              </w:rPr>
            </w:pPr>
            <w:r>
              <w:rPr>
                <w:sz w:val="21"/>
              </w:rPr>
              <w:t>21</w:t>
            </w:r>
          </w:p>
        </w:tc>
        <w:tc>
          <w:tcPr>
            <w:tcW w:w="996" w:type="dxa"/>
          </w:tcPr>
          <w:p>
            <w:pPr>
              <w:pStyle w:val="TableParagraph"/>
              <w:spacing w:before="42"/>
              <w:ind w:left="227" w:right="207"/>
              <w:rPr>
                <w:sz w:val="20"/>
              </w:rPr>
            </w:pPr>
            <w:r>
              <w:rPr>
                <w:sz w:val="20"/>
              </w:rPr>
              <w:t>0.054</w:t>
            </w:r>
          </w:p>
        </w:tc>
        <w:tc>
          <w:tcPr>
            <w:tcW w:w="238" w:type="dxa"/>
          </w:tcPr>
          <w:p>
            <w:pPr>
              <w:pStyle w:val="TableParagraph"/>
              <w:spacing w:line="267" w:lineRule="exact" w:before="0"/>
              <w:jc w:val="right"/>
              <w:rPr>
                <w:rFonts w:ascii="宋体"/>
                <w:sz w:val="21"/>
              </w:rPr>
            </w:pPr>
            <w:r>
              <w:rPr>
                <w:rFonts w:ascii="宋体"/>
                <w:w w:val="100"/>
                <w:sz w:val="21"/>
              </w:rPr>
              <w:t> </w:t>
            </w:r>
          </w:p>
        </w:tc>
        <w:tc>
          <w:tcPr>
            <w:tcW w:w="819" w:type="dxa"/>
          </w:tcPr>
          <w:p>
            <w:pPr>
              <w:pStyle w:val="TableParagraph"/>
              <w:ind w:left="177" w:right="157"/>
              <w:rPr>
                <w:sz w:val="21"/>
              </w:rPr>
            </w:pPr>
            <w:r>
              <w:rPr>
                <w:sz w:val="21"/>
              </w:rPr>
              <w:t>37</w:t>
            </w:r>
          </w:p>
        </w:tc>
        <w:tc>
          <w:tcPr>
            <w:tcW w:w="973" w:type="dxa"/>
          </w:tcPr>
          <w:p>
            <w:pPr>
              <w:pStyle w:val="TableParagraph"/>
              <w:ind w:right="203"/>
              <w:jc w:val="right"/>
              <w:rPr>
                <w:sz w:val="21"/>
              </w:rPr>
            </w:pPr>
            <w:r>
              <w:rPr>
                <w:sz w:val="21"/>
              </w:rPr>
              <w:t>0.293</w:t>
            </w:r>
          </w:p>
        </w:tc>
        <w:tc>
          <w:tcPr>
            <w:tcW w:w="239" w:type="dxa"/>
          </w:tcPr>
          <w:p>
            <w:pPr>
              <w:pStyle w:val="TableParagraph"/>
              <w:spacing w:line="267" w:lineRule="exact" w:before="0"/>
              <w:jc w:val="right"/>
              <w:rPr>
                <w:rFonts w:ascii="宋体"/>
                <w:sz w:val="21"/>
              </w:rPr>
            </w:pPr>
            <w:r>
              <w:rPr>
                <w:rFonts w:ascii="宋体"/>
                <w:w w:val="100"/>
                <w:sz w:val="21"/>
              </w:rPr>
              <w:t> </w:t>
            </w:r>
          </w:p>
        </w:tc>
        <w:tc>
          <w:tcPr>
            <w:tcW w:w="820" w:type="dxa"/>
          </w:tcPr>
          <w:p>
            <w:pPr>
              <w:pStyle w:val="TableParagraph"/>
              <w:ind w:left="174" w:right="161"/>
              <w:rPr>
                <w:sz w:val="21"/>
              </w:rPr>
            </w:pPr>
            <w:r>
              <w:rPr>
                <w:sz w:val="21"/>
              </w:rPr>
              <w:t>53</w:t>
            </w:r>
          </w:p>
        </w:tc>
        <w:tc>
          <w:tcPr>
            <w:tcW w:w="974" w:type="dxa"/>
          </w:tcPr>
          <w:p>
            <w:pPr>
              <w:pStyle w:val="TableParagraph"/>
              <w:ind w:left="196" w:right="192"/>
              <w:rPr>
                <w:sz w:val="21"/>
              </w:rPr>
            </w:pPr>
            <w:r>
              <w:rPr>
                <w:sz w:val="21"/>
              </w:rPr>
              <w:t>0.899</w:t>
            </w:r>
          </w:p>
        </w:tc>
      </w:tr>
      <w:tr>
        <w:trPr>
          <w:trHeight w:val="316" w:hRule="atLeast"/>
        </w:trPr>
        <w:tc>
          <w:tcPr>
            <w:tcW w:w="818" w:type="dxa"/>
          </w:tcPr>
          <w:p>
            <w:pPr>
              <w:pStyle w:val="TableParagraph"/>
              <w:ind w:left="177" w:right="156"/>
              <w:rPr>
                <w:sz w:val="21"/>
              </w:rPr>
            </w:pPr>
            <w:r>
              <w:rPr>
                <w:sz w:val="21"/>
              </w:rPr>
              <w:t>22</w:t>
            </w:r>
          </w:p>
        </w:tc>
        <w:tc>
          <w:tcPr>
            <w:tcW w:w="996" w:type="dxa"/>
          </w:tcPr>
          <w:p>
            <w:pPr>
              <w:pStyle w:val="TableParagraph"/>
              <w:spacing w:before="42"/>
              <w:ind w:left="227" w:right="207"/>
              <w:rPr>
                <w:sz w:val="20"/>
              </w:rPr>
            </w:pPr>
            <w:r>
              <w:rPr>
                <w:sz w:val="20"/>
              </w:rPr>
              <w:t>0.055</w:t>
            </w:r>
          </w:p>
        </w:tc>
        <w:tc>
          <w:tcPr>
            <w:tcW w:w="238" w:type="dxa"/>
          </w:tcPr>
          <w:p>
            <w:pPr>
              <w:pStyle w:val="TableParagraph"/>
              <w:spacing w:line="267" w:lineRule="exact" w:before="0"/>
              <w:jc w:val="right"/>
              <w:rPr>
                <w:rFonts w:ascii="宋体"/>
                <w:sz w:val="21"/>
              </w:rPr>
            </w:pPr>
            <w:r>
              <w:rPr>
                <w:rFonts w:ascii="宋体"/>
                <w:w w:val="100"/>
                <w:sz w:val="21"/>
              </w:rPr>
              <w:t> </w:t>
            </w:r>
          </w:p>
        </w:tc>
        <w:tc>
          <w:tcPr>
            <w:tcW w:w="819" w:type="dxa"/>
          </w:tcPr>
          <w:p>
            <w:pPr>
              <w:pStyle w:val="TableParagraph"/>
              <w:ind w:left="177" w:right="157"/>
              <w:rPr>
                <w:sz w:val="21"/>
              </w:rPr>
            </w:pPr>
            <w:r>
              <w:rPr>
                <w:sz w:val="21"/>
              </w:rPr>
              <w:t>38</w:t>
            </w:r>
          </w:p>
        </w:tc>
        <w:tc>
          <w:tcPr>
            <w:tcW w:w="973" w:type="dxa"/>
          </w:tcPr>
          <w:p>
            <w:pPr>
              <w:pStyle w:val="TableParagraph"/>
              <w:ind w:right="203"/>
              <w:jc w:val="right"/>
              <w:rPr>
                <w:sz w:val="21"/>
              </w:rPr>
            </w:pPr>
            <w:r>
              <w:rPr>
                <w:sz w:val="21"/>
              </w:rPr>
              <w:t>0.305</w:t>
            </w:r>
          </w:p>
        </w:tc>
        <w:tc>
          <w:tcPr>
            <w:tcW w:w="239" w:type="dxa"/>
          </w:tcPr>
          <w:p>
            <w:pPr>
              <w:pStyle w:val="TableParagraph"/>
              <w:spacing w:line="267" w:lineRule="exact" w:before="0"/>
              <w:jc w:val="right"/>
              <w:rPr>
                <w:rFonts w:ascii="宋体"/>
                <w:sz w:val="21"/>
              </w:rPr>
            </w:pPr>
            <w:r>
              <w:rPr>
                <w:rFonts w:ascii="宋体"/>
                <w:w w:val="100"/>
                <w:sz w:val="21"/>
              </w:rPr>
              <w:t> </w:t>
            </w:r>
          </w:p>
        </w:tc>
        <w:tc>
          <w:tcPr>
            <w:tcW w:w="820" w:type="dxa"/>
          </w:tcPr>
          <w:p>
            <w:pPr>
              <w:pStyle w:val="TableParagraph"/>
              <w:ind w:left="174" w:right="161"/>
              <w:rPr>
                <w:sz w:val="21"/>
              </w:rPr>
            </w:pPr>
            <w:r>
              <w:rPr>
                <w:sz w:val="21"/>
              </w:rPr>
              <w:t>54</w:t>
            </w:r>
          </w:p>
        </w:tc>
        <w:tc>
          <w:tcPr>
            <w:tcW w:w="974" w:type="dxa"/>
          </w:tcPr>
          <w:p>
            <w:pPr>
              <w:pStyle w:val="TableParagraph"/>
              <w:ind w:left="196" w:right="192"/>
              <w:rPr>
                <w:sz w:val="21"/>
              </w:rPr>
            </w:pPr>
            <w:r>
              <w:rPr>
                <w:sz w:val="21"/>
              </w:rPr>
              <w:t>0.945</w:t>
            </w:r>
          </w:p>
        </w:tc>
      </w:tr>
      <w:tr>
        <w:trPr>
          <w:trHeight w:val="313" w:hRule="atLeast"/>
        </w:trPr>
        <w:tc>
          <w:tcPr>
            <w:tcW w:w="818" w:type="dxa"/>
          </w:tcPr>
          <w:p>
            <w:pPr>
              <w:pStyle w:val="TableParagraph"/>
              <w:spacing w:before="35"/>
              <w:ind w:left="177" w:right="156"/>
              <w:rPr>
                <w:sz w:val="21"/>
              </w:rPr>
            </w:pPr>
            <w:r>
              <w:rPr>
                <w:sz w:val="21"/>
              </w:rPr>
              <w:t>23</w:t>
            </w:r>
          </w:p>
        </w:tc>
        <w:tc>
          <w:tcPr>
            <w:tcW w:w="996" w:type="dxa"/>
          </w:tcPr>
          <w:p>
            <w:pPr>
              <w:pStyle w:val="TableParagraph"/>
              <w:spacing w:before="40"/>
              <w:ind w:left="227" w:right="207"/>
              <w:rPr>
                <w:sz w:val="20"/>
              </w:rPr>
            </w:pPr>
            <w:r>
              <w:rPr>
                <w:sz w:val="20"/>
              </w:rPr>
              <w:t>0.058</w:t>
            </w:r>
          </w:p>
        </w:tc>
        <w:tc>
          <w:tcPr>
            <w:tcW w:w="238" w:type="dxa"/>
          </w:tcPr>
          <w:p>
            <w:pPr>
              <w:pStyle w:val="TableParagraph"/>
              <w:spacing w:line="264" w:lineRule="exact" w:before="0"/>
              <w:jc w:val="right"/>
              <w:rPr>
                <w:rFonts w:ascii="宋体"/>
                <w:sz w:val="21"/>
              </w:rPr>
            </w:pPr>
            <w:r>
              <w:rPr>
                <w:rFonts w:ascii="宋体"/>
                <w:w w:val="100"/>
                <w:sz w:val="21"/>
              </w:rPr>
              <w:t> </w:t>
            </w:r>
          </w:p>
        </w:tc>
        <w:tc>
          <w:tcPr>
            <w:tcW w:w="819" w:type="dxa"/>
          </w:tcPr>
          <w:p>
            <w:pPr>
              <w:pStyle w:val="TableParagraph"/>
              <w:spacing w:before="35"/>
              <w:ind w:left="177" w:right="157"/>
              <w:rPr>
                <w:sz w:val="21"/>
              </w:rPr>
            </w:pPr>
            <w:r>
              <w:rPr>
                <w:sz w:val="21"/>
              </w:rPr>
              <w:t>39</w:t>
            </w:r>
          </w:p>
        </w:tc>
        <w:tc>
          <w:tcPr>
            <w:tcW w:w="973" w:type="dxa"/>
          </w:tcPr>
          <w:p>
            <w:pPr>
              <w:pStyle w:val="TableParagraph"/>
              <w:spacing w:before="35"/>
              <w:ind w:right="203"/>
              <w:jc w:val="right"/>
              <w:rPr>
                <w:sz w:val="21"/>
              </w:rPr>
            </w:pPr>
            <w:r>
              <w:rPr>
                <w:sz w:val="21"/>
              </w:rPr>
              <w:t>0.318</w:t>
            </w:r>
          </w:p>
        </w:tc>
        <w:tc>
          <w:tcPr>
            <w:tcW w:w="239" w:type="dxa"/>
          </w:tcPr>
          <w:p>
            <w:pPr>
              <w:pStyle w:val="TableParagraph"/>
              <w:spacing w:line="264" w:lineRule="exact" w:before="0"/>
              <w:jc w:val="right"/>
              <w:rPr>
                <w:rFonts w:ascii="宋体"/>
                <w:sz w:val="21"/>
              </w:rPr>
            </w:pPr>
            <w:r>
              <w:rPr>
                <w:rFonts w:ascii="宋体"/>
                <w:w w:val="100"/>
                <w:sz w:val="21"/>
              </w:rPr>
              <w:t> </w:t>
            </w:r>
          </w:p>
        </w:tc>
        <w:tc>
          <w:tcPr>
            <w:tcW w:w="820" w:type="dxa"/>
          </w:tcPr>
          <w:p>
            <w:pPr>
              <w:pStyle w:val="TableParagraph"/>
              <w:spacing w:before="35"/>
              <w:ind w:left="174" w:right="161"/>
              <w:rPr>
                <w:sz w:val="21"/>
              </w:rPr>
            </w:pPr>
            <w:r>
              <w:rPr>
                <w:sz w:val="21"/>
              </w:rPr>
              <w:t>55</w:t>
            </w:r>
          </w:p>
        </w:tc>
        <w:tc>
          <w:tcPr>
            <w:tcW w:w="974" w:type="dxa"/>
          </w:tcPr>
          <w:p>
            <w:pPr>
              <w:pStyle w:val="TableParagraph"/>
              <w:spacing w:before="35"/>
              <w:ind w:left="196" w:right="192"/>
              <w:rPr>
                <w:sz w:val="21"/>
              </w:rPr>
            </w:pPr>
            <w:r>
              <w:rPr>
                <w:sz w:val="21"/>
              </w:rPr>
              <w:t>0.994</w:t>
            </w:r>
          </w:p>
        </w:tc>
      </w:tr>
      <w:tr>
        <w:trPr>
          <w:trHeight w:val="316" w:hRule="atLeast"/>
        </w:trPr>
        <w:tc>
          <w:tcPr>
            <w:tcW w:w="818" w:type="dxa"/>
          </w:tcPr>
          <w:p>
            <w:pPr>
              <w:pStyle w:val="TableParagraph"/>
              <w:ind w:left="177" w:right="156"/>
              <w:rPr>
                <w:sz w:val="21"/>
              </w:rPr>
            </w:pPr>
            <w:r>
              <w:rPr>
                <w:sz w:val="21"/>
              </w:rPr>
              <w:t>24</w:t>
            </w:r>
          </w:p>
        </w:tc>
        <w:tc>
          <w:tcPr>
            <w:tcW w:w="996" w:type="dxa"/>
          </w:tcPr>
          <w:p>
            <w:pPr>
              <w:pStyle w:val="TableParagraph"/>
              <w:spacing w:before="42"/>
              <w:ind w:left="227" w:right="207"/>
              <w:rPr>
                <w:sz w:val="20"/>
              </w:rPr>
            </w:pPr>
            <w:r>
              <w:rPr>
                <w:sz w:val="20"/>
              </w:rPr>
              <w:t>0.064</w:t>
            </w:r>
          </w:p>
        </w:tc>
        <w:tc>
          <w:tcPr>
            <w:tcW w:w="238" w:type="dxa"/>
          </w:tcPr>
          <w:p>
            <w:pPr>
              <w:pStyle w:val="TableParagraph"/>
              <w:spacing w:line="267" w:lineRule="exact" w:before="0"/>
              <w:jc w:val="right"/>
              <w:rPr>
                <w:rFonts w:ascii="宋体"/>
                <w:sz w:val="21"/>
              </w:rPr>
            </w:pPr>
            <w:r>
              <w:rPr>
                <w:rFonts w:ascii="宋体"/>
                <w:w w:val="100"/>
                <w:sz w:val="21"/>
              </w:rPr>
              <w:t> </w:t>
            </w:r>
          </w:p>
        </w:tc>
        <w:tc>
          <w:tcPr>
            <w:tcW w:w="819" w:type="dxa"/>
          </w:tcPr>
          <w:p>
            <w:pPr>
              <w:pStyle w:val="TableParagraph"/>
              <w:ind w:left="177" w:right="157"/>
              <w:rPr>
                <w:sz w:val="21"/>
              </w:rPr>
            </w:pPr>
            <w:r>
              <w:rPr>
                <w:sz w:val="21"/>
              </w:rPr>
              <w:t>40</w:t>
            </w:r>
          </w:p>
        </w:tc>
        <w:tc>
          <w:tcPr>
            <w:tcW w:w="973" w:type="dxa"/>
          </w:tcPr>
          <w:p>
            <w:pPr>
              <w:pStyle w:val="TableParagraph"/>
              <w:ind w:right="261"/>
              <w:jc w:val="right"/>
              <w:rPr>
                <w:sz w:val="21"/>
              </w:rPr>
            </w:pPr>
            <w:r>
              <w:rPr>
                <w:sz w:val="21"/>
              </w:rPr>
              <w:t>0.36</w:t>
            </w:r>
          </w:p>
        </w:tc>
        <w:tc>
          <w:tcPr>
            <w:tcW w:w="239" w:type="dxa"/>
          </w:tcPr>
          <w:p>
            <w:pPr>
              <w:pStyle w:val="TableParagraph"/>
              <w:spacing w:line="267" w:lineRule="exact" w:before="0"/>
              <w:jc w:val="right"/>
              <w:rPr>
                <w:rFonts w:ascii="宋体"/>
                <w:sz w:val="21"/>
              </w:rPr>
            </w:pPr>
            <w:r>
              <w:rPr>
                <w:rFonts w:ascii="宋体"/>
                <w:w w:val="100"/>
                <w:sz w:val="21"/>
              </w:rPr>
              <w:t> </w:t>
            </w:r>
          </w:p>
        </w:tc>
        <w:tc>
          <w:tcPr>
            <w:tcW w:w="820" w:type="dxa"/>
          </w:tcPr>
          <w:p>
            <w:pPr>
              <w:pStyle w:val="TableParagraph"/>
              <w:ind w:left="174" w:right="161"/>
              <w:rPr>
                <w:sz w:val="21"/>
              </w:rPr>
            </w:pPr>
            <w:r>
              <w:rPr>
                <w:sz w:val="21"/>
              </w:rPr>
              <w:t>56</w:t>
            </w:r>
          </w:p>
        </w:tc>
        <w:tc>
          <w:tcPr>
            <w:tcW w:w="974" w:type="dxa"/>
          </w:tcPr>
          <w:p>
            <w:pPr>
              <w:pStyle w:val="TableParagraph"/>
              <w:ind w:left="196" w:right="192"/>
              <w:rPr>
                <w:sz w:val="21"/>
              </w:rPr>
            </w:pPr>
            <w:r>
              <w:rPr>
                <w:sz w:val="21"/>
              </w:rPr>
              <w:t>1.047</w:t>
            </w:r>
          </w:p>
        </w:tc>
      </w:tr>
      <w:tr>
        <w:trPr>
          <w:trHeight w:val="313" w:hRule="atLeast"/>
        </w:trPr>
        <w:tc>
          <w:tcPr>
            <w:tcW w:w="818" w:type="dxa"/>
          </w:tcPr>
          <w:p>
            <w:pPr>
              <w:pStyle w:val="TableParagraph"/>
              <w:spacing w:before="35"/>
              <w:ind w:left="177" w:right="156"/>
              <w:rPr>
                <w:sz w:val="21"/>
              </w:rPr>
            </w:pPr>
            <w:r>
              <w:rPr>
                <w:sz w:val="21"/>
              </w:rPr>
              <w:t>25</w:t>
            </w:r>
          </w:p>
        </w:tc>
        <w:tc>
          <w:tcPr>
            <w:tcW w:w="996" w:type="dxa"/>
          </w:tcPr>
          <w:p>
            <w:pPr>
              <w:pStyle w:val="TableParagraph"/>
              <w:spacing w:before="40"/>
              <w:ind w:left="227" w:right="207"/>
              <w:rPr>
                <w:sz w:val="20"/>
              </w:rPr>
            </w:pPr>
            <w:r>
              <w:rPr>
                <w:sz w:val="20"/>
              </w:rPr>
              <w:t>0.073</w:t>
            </w:r>
          </w:p>
        </w:tc>
        <w:tc>
          <w:tcPr>
            <w:tcW w:w="238" w:type="dxa"/>
          </w:tcPr>
          <w:p>
            <w:pPr>
              <w:pStyle w:val="TableParagraph"/>
              <w:spacing w:line="264" w:lineRule="exact" w:before="0"/>
              <w:jc w:val="right"/>
              <w:rPr>
                <w:rFonts w:ascii="宋体"/>
                <w:sz w:val="21"/>
              </w:rPr>
            </w:pPr>
            <w:r>
              <w:rPr>
                <w:rFonts w:ascii="宋体"/>
                <w:w w:val="100"/>
                <w:sz w:val="21"/>
              </w:rPr>
              <w:t> </w:t>
            </w:r>
          </w:p>
        </w:tc>
        <w:tc>
          <w:tcPr>
            <w:tcW w:w="819" w:type="dxa"/>
          </w:tcPr>
          <w:p>
            <w:pPr>
              <w:pStyle w:val="TableParagraph"/>
              <w:spacing w:before="35"/>
              <w:ind w:left="177" w:right="157"/>
              <w:rPr>
                <w:sz w:val="21"/>
              </w:rPr>
            </w:pPr>
            <w:r>
              <w:rPr>
                <w:sz w:val="21"/>
              </w:rPr>
              <w:t>41</w:t>
            </w:r>
          </w:p>
        </w:tc>
        <w:tc>
          <w:tcPr>
            <w:tcW w:w="973" w:type="dxa"/>
          </w:tcPr>
          <w:p>
            <w:pPr>
              <w:pStyle w:val="TableParagraph"/>
              <w:spacing w:before="35"/>
              <w:ind w:right="203"/>
              <w:jc w:val="right"/>
              <w:rPr>
                <w:sz w:val="21"/>
              </w:rPr>
            </w:pPr>
            <w:r>
              <w:rPr>
                <w:sz w:val="21"/>
              </w:rPr>
              <w:t>0.392</w:t>
            </w:r>
          </w:p>
        </w:tc>
        <w:tc>
          <w:tcPr>
            <w:tcW w:w="239" w:type="dxa"/>
          </w:tcPr>
          <w:p>
            <w:pPr>
              <w:pStyle w:val="TableParagraph"/>
              <w:spacing w:line="264" w:lineRule="exact" w:before="0"/>
              <w:jc w:val="right"/>
              <w:rPr>
                <w:rFonts w:ascii="宋体"/>
                <w:sz w:val="21"/>
              </w:rPr>
            </w:pPr>
            <w:r>
              <w:rPr>
                <w:rFonts w:ascii="宋体"/>
                <w:w w:val="100"/>
                <w:sz w:val="21"/>
              </w:rPr>
              <w:t> </w:t>
            </w:r>
          </w:p>
        </w:tc>
        <w:tc>
          <w:tcPr>
            <w:tcW w:w="820" w:type="dxa"/>
          </w:tcPr>
          <w:p>
            <w:pPr>
              <w:pStyle w:val="TableParagraph"/>
              <w:spacing w:before="35"/>
              <w:ind w:left="174" w:right="161"/>
              <w:rPr>
                <w:sz w:val="21"/>
              </w:rPr>
            </w:pPr>
            <w:r>
              <w:rPr>
                <w:sz w:val="21"/>
              </w:rPr>
              <w:t>57</w:t>
            </w:r>
          </w:p>
        </w:tc>
        <w:tc>
          <w:tcPr>
            <w:tcW w:w="974" w:type="dxa"/>
          </w:tcPr>
          <w:p>
            <w:pPr>
              <w:pStyle w:val="TableParagraph"/>
              <w:spacing w:before="35"/>
              <w:ind w:left="196" w:right="192"/>
              <w:rPr>
                <w:sz w:val="21"/>
              </w:rPr>
            </w:pPr>
            <w:r>
              <w:rPr>
                <w:sz w:val="21"/>
              </w:rPr>
              <w:t>1.113</w:t>
            </w:r>
          </w:p>
        </w:tc>
      </w:tr>
      <w:tr>
        <w:trPr>
          <w:trHeight w:val="316" w:hRule="atLeast"/>
        </w:trPr>
        <w:tc>
          <w:tcPr>
            <w:tcW w:w="818" w:type="dxa"/>
          </w:tcPr>
          <w:p>
            <w:pPr>
              <w:pStyle w:val="TableParagraph"/>
              <w:ind w:left="177" w:right="156"/>
              <w:rPr>
                <w:sz w:val="21"/>
              </w:rPr>
            </w:pPr>
            <w:r>
              <w:rPr>
                <w:sz w:val="21"/>
              </w:rPr>
              <w:t>26</w:t>
            </w:r>
          </w:p>
        </w:tc>
        <w:tc>
          <w:tcPr>
            <w:tcW w:w="996" w:type="dxa"/>
          </w:tcPr>
          <w:p>
            <w:pPr>
              <w:pStyle w:val="TableParagraph"/>
              <w:spacing w:before="42"/>
              <w:ind w:left="227" w:right="207"/>
              <w:rPr>
                <w:sz w:val="20"/>
              </w:rPr>
            </w:pPr>
            <w:r>
              <w:rPr>
                <w:sz w:val="20"/>
              </w:rPr>
              <w:t>0.082</w:t>
            </w:r>
          </w:p>
        </w:tc>
        <w:tc>
          <w:tcPr>
            <w:tcW w:w="238" w:type="dxa"/>
          </w:tcPr>
          <w:p>
            <w:pPr>
              <w:pStyle w:val="TableParagraph"/>
              <w:spacing w:line="267" w:lineRule="exact" w:before="0"/>
              <w:jc w:val="right"/>
              <w:rPr>
                <w:rFonts w:ascii="宋体"/>
                <w:sz w:val="21"/>
              </w:rPr>
            </w:pPr>
            <w:r>
              <w:rPr>
                <w:rFonts w:ascii="宋体"/>
                <w:w w:val="100"/>
                <w:sz w:val="21"/>
              </w:rPr>
              <w:t> </w:t>
            </w:r>
          </w:p>
        </w:tc>
        <w:tc>
          <w:tcPr>
            <w:tcW w:w="819" w:type="dxa"/>
          </w:tcPr>
          <w:p>
            <w:pPr>
              <w:pStyle w:val="TableParagraph"/>
              <w:ind w:left="177" w:right="157"/>
              <w:rPr>
                <w:sz w:val="21"/>
              </w:rPr>
            </w:pPr>
            <w:r>
              <w:rPr>
                <w:sz w:val="21"/>
              </w:rPr>
              <w:t>42</w:t>
            </w:r>
          </w:p>
        </w:tc>
        <w:tc>
          <w:tcPr>
            <w:tcW w:w="973" w:type="dxa"/>
          </w:tcPr>
          <w:p>
            <w:pPr>
              <w:pStyle w:val="TableParagraph"/>
              <w:ind w:right="203"/>
              <w:jc w:val="right"/>
              <w:rPr>
                <w:sz w:val="21"/>
              </w:rPr>
            </w:pPr>
            <w:r>
              <w:rPr>
                <w:sz w:val="21"/>
              </w:rPr>
              <w:t>0.425</w:t>
            </w:r>
          </w:p>
        </w:tc>
        <w:tc>
          <w:tcPr>
            <w:tcW w:w="239" w:type="dxa"/>
          </w:tcPr>
          <w:p>
            <w:pPr>
              <w:pStyle w:val="TableParagraph"/>
              <w:spacing w:line="267" w:lineRule="exact" w:before="0"/>
              <w:jc w:val="right"/>
              <w:rPr>
                <w:rFonts w:ascii="宋体"/>
                <w:sz w:val="21"/>
              </w:rPr>
            </w:pPr>
            <w:r>
              <w:rPr>
                <w:rFonts w:ascii="宋体"/>
                <w:w w:val="100"/>
                <w:sz w:val="21"/>
              </w:rPr>
              <w:t> </w:t>
            </w:r>
          </w:p>
        </w:tc>
        <w:tc>
          <w:tcPr>
            <w:tcW w:w="820" w:type="dxa"/>
          </w:tcPr>
          <w:p>
            <w:pPr>
              <w:pStyle w:val="TableParagraph"/>
              <w:ind w:left="174" w:right="161"/>
              <w:rPr>
                <w:sz w:val="21"/>
              </w:rPr>
            </w:pPr>
            <w:r>
              <w:rPr>
                <w:sz w:val="21"/>
              </w:rPr>
              <w:t>58</w:t>
            </w:r>
          </w:p>
        </w:tc>
        <w:tc>
          <w:tcPr>
            <w:tcW w:w="974" w:type="dxa"/>
          </w:tcPr>
          <w:p>
            <w:pPr>
              <w:pStyle w:val="TableParagraph"/>
              <w:ind w:left="196" w:right="192"/>
              <w:rPr>
                <w:sz w:val="21"/>
              </w:rPr>
            </w:pPr>
            <w:r>
              <w:rPr>
                <w:sz w:val="21"/>
              </w:rPr>
              <w:t>1.193</w:t>
            </w:r>
          </w:p>
        </w:tc>
      </w:tr>
      <w:tr>
        <w:trPr>
          <w:trHeight w:val="315" w:hRule="atLeast"/>
        </w:trPr>
        <w:tc>
          <w:tcPr>
            <w:tcW w:w="818" w:type="dxa"/>
          </w:tcPr>
          <w:p>
            <w:pPr>
              <w:pStyle w:val="TableParagraph"/>
              <w:ind w:left="177" w:right="156"/>
              <w:rPr>
                <w:sz w:val="21"/>
              </w:rPr>
            </w:pPr>
            <w:r>
              <w:rPr>
                <w:sz w:val="21"/>
              </w:rPr>
              <w:t>27</w:t>
            </w:r>
          </w:p>
        </w:tc>
        <w:tc>
          <w:tcPr>
            <w:tcW w:w="996" w:type="dxa"/>
          </w:tcPr>
          <w:p>
            <w:pPr>
              <w:pStyle w:val="TableParagraph"/>
              <w:spacing w:before="42"/>
              <w:ind w:left="227" w:right="207"/>
              <w:rPr>
                <w:sz w:val="20"/>
              </w:rPr>
            </w:pPr>
            <w:r>
              <w:rPr>
                <w:sz w:val="20"/>
              </w:rPr>
              <w:t>0.089</w:t>
            </w:r>
          </w:p>
        </w:tc>
        <w:tc>
          <w:tcPr>
            <w:tcW w:w="238" w:type="dxa"/>
          </w:tcPr>
          <w:p>
            <w:pPr>
              <w:pStyle w:val="TableParagraph"/>
              <w:spacing w:line="267" w:lineRule="exact" w:before="0"/>
              <w:jc w:val="right"/>
              <w:rPr>
                <w:rFonts w:ascii="宋体"/>
                <w:sz w:val="21"/>
              </w:rPr>
            </w:pPr>
            <w:r>
              <w:rPr>
                <w:rFonts w:ascii="宋体"/>
                <w:w w:val="100"/>
                <w:sz w:val="21"/>
              </w:rPr>
              <w:t> </w:t>
            </w:r>
          </w:p>
        </w:tc>
        <w:tc>
          <w:tcPr>
            <w:tcW w:w="819" w:type="dxa"/>
          </w:tcPr>
          <w:p>
            <w:pPr>
              <w:pStyle w:val="TableParagraph"/>
              <w:ind w:left="177" w:right="157"/>
              <w:rPr>
                <w:sz w:val="21"/>
              </w:rPr>
            </w:pPr>
            <w:r>
              <w:rPr>
                <w:sz w:val="21"/>
              </w:rPr>
              <w:t>43</w:t>
            </w:r>
          </w:p>
        </w:tc>
        <w:tc>
          <w:tcPr>
            <w:tcW w:w="973" w:type="dxa"/>
          </w:tcPr>
          <w:p>
            <w:pPr>
              <w:pStyle w:val="TableParagraph"/>
              <w:ind w:right="261"/>
              <w:jc w:val="right"/>
              <w:rPr>
                <w:sz w:val="21"/>
              </w:rPr>
            </w:pPr>
            <w:r>
              <w:rPr>
                <w:sz w:val="21"/>
              </w:rPr>
              <w:t>0.46</w:t>
            </w:r>
          </w:p>
        </w:tc>
        <w:tc>
          <w:tcPr>
            <w:tcW w:w="239" w:type="dxa"/>
          </w:tcPr>
          <w:p>
            <w:pPr>
              <w:pStyle w:val="TableParagraph"/>
              <w:spacing w:line="267" w:lineRule="exact" w:before="0"/>
              <w:jc w:val="right"/>
              <w:rPr>
                <w:rFonts w:ascii="宋体"/>
                <w:sz w:val="21"/>
              </w:rPr>
            </w:pPr>
            <w:r>
              <w:rPr>
                <w:rFonts w:ascii="宋体"/>
                <w:w w:val="100"/>
                <w:sz w:val="21"/>
              </w:rPr>
              <w:t> </w:t>
            </w:r>
          </w:p>
        </w:tc>
        <w:tc>
          <w:tcPr>
            <w:tcW w:w="820" w:type="dxa"/>
          </w:tcPr>
          <w:p>
            <w:pPr>
              <w:pStyle w:val="TableParagraph"/>
              <w:ind w:left="174" w:right="161"/>
              <w:rPr>
                <w:sz w:val="21"/>
              </w:rPr>
            </w:pPr>
            <w:r>
              <w:rPr>
                <w:sz w:val="21"/>
              </w:rPr>
              <w:t>59</w:t>
            </w:r>
          </w:p>
        </w:tc>
        <w:tc>
          <w:tcPr>
            <w:tcW w:w="974" w:type="dxa"/>
          </w:tcPr>
          <w:p>
            <w:pPr>
              <w:pStyle w:val="TableParagraph"/>
              <w:ind w:left="196" w:right="192"/>
              <w:rPr>
                <w:sz w:val="21"/>
              </w:rPr>
            </w:pPr>
            <w:r>
              <w:rPr>
                <w:sz w:val="21"/>
              </w:rPr>
              <w:t>1.279</w:t>
            </w:r>
          </w:p>
        </w:tc>
      </w:tr>
      <w:tr>
        <w:trPr>
          <w:trHeight w:val="313" w:hRule="atLeast"/>
        </w:trPr>
        <w:tc>
          <w:tcPr>
            <w:tcW w:w="818" w:type="dxa"/>
          </w:tcPr>
          <w:p>
            <w:pPr>
              <w:pStyle w:val="TableParagraph"/>
              <w:spacing w:before="35"/>
              <w:ind w:left="177" w:right="156"/>
              <w:rPr>
                <w:sz w:val="21"/>
              </w:rPr>
            </w:pPr>
            <w:r>
              <w:rPr>
                <w:sz w:val="21"/>
              </w:rPr>
              <w:t>28</w:t>
            </w:r>
          </w:p>
        </w:tc>
        <w:tc>
          <w:tcPr>
            <w:tcW w:w="996" w:type="dxa"/>
          </w:tcPr>
          <w:p>
            <w:pPr>
              <w:pStyle w:val="TableParagraph"/>
              <w:spacing w:before="40"/>
              <w:ind w:left="227" w:right="207"/>
              <w:rPr>
                <w:sz w:val="20"/>
              </w:rPr>
            </w:pPr>
            <w:r>
              <w:rPr>
                <w:sz w:val="20"/>
              </w:rPr>
              <w:t>0.102</w:t>
            </w:r>
          </w:p>
        </w:tc>
        <w:tc>
          <w:tcPr>
            <w:tcW w:w="238" w:type="dxa"/>
          </w:tcPr>
          <w:p>
            <w:pPr>
              <w:pStyle w:val="TableParagraph"/>
              <w:spacing w:line="264" w:lineRule="exact" w:before="0"/>
              <w:jc w:val="right"/>
              <w:rPr>
                <w:rFonts w:ascii="宋体"/>
                <w:sz w:val="21"/>
              </w:rPr>
            </w:pPr>
            <w:r>
              <w:rPr>
                <w:rFonts w:ascii="宋体"/>
                <w:w w:val="100"/>
                <w:sz w:val="21"/>
              </w:rPr>
              <w:t> </w:t>
            </w:r>
          </w:p>
        </w:tc>
        <w:tc>
          <w:tcPr>
            <w:tcW w:w="819" w:type="dxa"/>
          </w:tcPr>
          <w:p>
            <w:pPr>
              <w:pStyle w:val="TableParagraph"/>
              <w:spacing w:before="35"/>
              <w:ind w:left="177" w:right="157"/>
              <w:rPr>
                <w:sz w:val="21"/>
              </w:rPr>
            </w:pPr>
            <w:r>
              <w:rPr>
                <w:sz w:val="21"/>
              </w:rPr>
              <w:t>44</w:t>
            </w:r>
          </w:p>
        </w:tc>
        <w:tc>
          <w:tcPr>
            <w:tcW w:w="973" w:type="dxa"/>
          </w:tcPr>
          <w:p>
            <w:pPr>
              <w:pStyle w:val="TableParagraph"/>
              <w:spacing w:before="35"/>
              <w:ind w:right="203"/>
              <w:jc w:val="right"/>
              <w:rPr>
                <w:sz w:val="21"/>
              </w:rPr>
            </w:pPr>
            <w:r>
              <w:rPr>
                <w:sz w:val="21"/>
              </w:rPr>
              <w:t>0.495</w:t>
            </w:r>
          </w:p>
        </w:tc>
        <w:tc>
          <w:tcPr>
            <w:tcW w:w="239" w:type="dxa"/>
          </w:tcPr>
          <w:p>
            <w:pPr>
              <w:pStyle w:val="TableParagraph"/>
              <w:spacing w:line="264" w:lineRule="exact" w:before="0"/>
              <w:jc w:val="right"/>
              <w:rPr>
                <w:rFonts w:ascii="宋体"/>
                <w:sz w:val="21"/>
              </w:rPr>
            </w:pPr>
            <w:r>
              <w:rPr>
                <w:rFonts w:ascii="宋体"/>
                <w:w w:val="100"/>
                <w:sz w:val="21"/>
              </w:rPr>
              <w:t> </w:t>
            </w:r>
          </w:p>
        </w:tc>
        <w:tc>
          <w:tcPr>
            <w:tcW w:w="820" w:type="dxa"/>
          </w:tcPr>
          <w:p>
            <w:pPr>
              <w:pStyle w:val="TableParagraph"/>
              <w:spacing w:before="35"/>
              <w:ind w:left="174" w:right="161"/>
              <w:rPr>
                <w:sz w:val="21"/>
              </w:rPr>
            </w:pPr>
            <w:r>
              <w:rPr>
                <w:sz w:val="21"/>
              </w:rPr>
              <w:t>60</w:t>
            </w:r>
          </w:p>
        </w:tc>
        <w:tc>
          <w:tcPr>
            <w:tcW w:w="974" w:type="dxa"/>
          </w:tcPr>
          <w:p>
            <w:pPr>
              <w:pStyle w:val="TableParagraph"/>
              <w:spacing w:before="35"/>
              <w:ind w:left="196" w:right="192"/>
              <w:rPr>
                <w:sz w:val="21"/>
              </w:rPr>
            </w:pPr>
            <w:r>
              <w:rPr>
                <w:sz w:val="21"/>
              </w:rPr>
              <w:t>1.373</w:t>
            </w:r>
          </w:p>
        </w:tc>
      </w:tr>
      <w:tr>
        <w:trPr>
          <w:trHeight w:val="315" w:hRule="atLeast"/>
        </w:trPr>
        <w:tc>
          <w:tcPr>
            <w:tcW w:w="818" w:type="dxa"/>
          </w:tcPr>
          <w:p>
            <w:pPr>
              <w:pStyle w:val="TableParagraph"/>
              <w:ind w:left="177" w:right="156"/>
              <w:rPr>
                <w:sz w:val="21"/>
              </w:rPr>
            </w:pPr>
            <w:r>
              <w:rPr>
                <w:sz w:val="21"/>
              </w:rPr>
              <w:t>29</w:t>
            </w:r>
          </w:p>
        </w:tc>
        <w:tc>
          <w:tcPr>
            <w:tcW w:w="996" w:type="dxa"/>
          </w:tcPr>
          <w:p>
            <w:pPr>
              <w:pStyle w:val="TableParagraph"/>
              <w:spacing w:before="42"/>
              <w:ind w:left="227" w:right="207"/>
              <w:rPr>
                <w:sz w:val="20"/>
              </w:rPr>
            </w:pPr>
            <w:r>
              <w:rPr>
                <w:sz w:val="20"/>
              </w:rPr>
              <w:t>0.113</w:t>
            </w:r>
          </w:p>
        </w:tc>
        <w:tc>
          <w:tcPr>
            <w:tcW w:w="238" w:type="dxa"/>
          </w:tcPr>
          <w:p>
            <w:pPr>
              <w:pStyle w:val="TableParagraph"/>
              <w:spacing w:line="267" w:lineRule="exact" w:before="0"/>
              <w:jc w:val="right"/>
              <w:rPr>
                <w:rFonts w:ascii="宋体"/>
                <w:sz w:val="21"/>
              </w:rPr>
            </w:pPr>
            <w:r>
              <w:rPr>
                <w:rFonts w:ascii="宋体"/>
                <w:w w:val="100"/>
                <w:sz w:val="21"/>
              </w:rPr>
              <w:t> </w:t>
            </w:r>
          </w:p>
        </w:tc>
        <w:tc>
          <w:tcPr>
            <w:tcW w:w="819" w:type="dxa"/>
          </w:tcPr>
          <w:p>
            <w:pPr>
              <w:pStyle w:val="TableParagraph"/>
              <w:ind w:left="177" w:right="157"/>
              <w:rPr>
                <w:sz w:val="21"/>
              </w:rPr>
            </w:pPr>
            <w:r>
              <w:rPr>
                <w:sz w:val="21"/>
              </w:rPr>
              <w:t>45</w:t>
            </w:r>
          </w:p>
        </w:tc>
        <w:tc>
          <w:tcPr>
            <w:tcW w:w="973" w:type="dxa"/>
          </w:tcPr>
          <w:p>
            <w:pPr>
              <w:pStyle w:val="TableParagraph"/>
              <w:ind w:right="203"/>
              <w:jc w:val="right"/>
              <w:rPr>
                <w:sz w:val="21"/>
              </w:rPr>
            </w:pPr>
            <w:r>
              <w:rPr>
                <w:sz w:val="21"/>
              </w:rPr>
              <w:t>0.564</w:t>
            </w:r>
          </w:p>
        </w:tc>
        <w:tc>
          <w:tcPr>
            <w:tcW w:w="239" w:type="dxa"/>
          </w:tcPr>
          <w:p>
            <w:pPr>
              <w:pStyle w:val="TableParagraph"/>
              <w:spacing w:line="267" w:lineRule="exact" w:before="0"/>
              <w:jc w:val="right"/>
              <w:rPr>
                <w:rFonts w:ascii="宋体"/>
                <w:sz w:val="21"/>
              </w:rPr>
            </w:pPr>
            <w:r>
              <w:rPr>
                <w:rFonts w:ascii="宋体"/>
                <w:w w:val="100"/>
                <w:sz w:val="21"/>
              </w:rPr>
              <w:t> </w:t>
            </w:r>
          </w:p>
        </w:tc>
        <w:tc>
          <w:tcPr>
            <w:tcW w:w="820" w:type="dxa"/>
          </w:tcPr>
          <w:p>
            <w:pPr>
              <w:pStyle w:val="TableParagraph"/>
              <w:ind w:left="174" w:right="161"/>
              <w:rPr>
                <w:sz w:val="21"/>
              </w:rPr>
            </w:pPr>
            <w:r>
              <w:rPr>
                <w:sz w:val="21"/>
              </w:rPr>
              <w:t>61</w:t>
            </w:r>
          </w:p>
        </w:tc>
        <w:tc>
          <w:tcPr>
            <w:tcW w:w="974" w:type="dxa"/>
          </w:tcPr>
          <w:p>
            <w:pPr>
              <w:pStyle w:val="TableParagraph"/>
              <w:ind w:left="196" w:right="192"/>
              <w:rPr>
                <w:sz w:val="21"/>
              </w:rPr>
            </w:pPr>
            <w:r>
              <w:rPr>
                <w:sz w:val="21"/>
              </w:rPr>
              <w:t>1.489</w:t>
            </w:r>
          </w:p>
        </w:tc>
      </w:tr>
      <w:tr>
        <w:trPr>
          <w:trHeight w:val="313" w:hRule="atLeast"/>
        </w:trPr>
        <w:tc>
          <w:tcPr>
            <w:tcW w:w="818" w:type="dxa"/>
          </w:tcPr>
          <w:p>
            <w:pPr>
              <w:pStyle w:val="TableParagraph"/>
              <w:spacing w:before="35"/>
              <w:ind w:left="177" w:right="156"/>
              <w:rPr>
                <w:sz w:val="21"/>
              </w:rPr>
            </w:pPr>
            <w:r>
              <w:rPr>
                <w:sz w:val="21"/>
              </w:rPr>
              <w:t>30</w:t>
            </w:r>
          </w:p>
        </w:tc>
        <w:tc>
          <w:tcPr>
            <w:tcW w:w="996" w:type="dxa"/>
          </w:tcPr>
          <w:p>
            <w:pPr>
              <w:pStyle w:val="TableParagraph"/>
              <w:spacing w:before="40"/>
              <w:ind w:left="223" w:right="207"/>
              <w:rPr>
                <w:sz w:val="20"/>
              </w:rPr>
            </w:pPr>
            <w:r>
              <w:rPr>
                <w:sz w:val="20"/>
              </w:rPr>
              <w:t>0.14</w:t>
            </w:r>
          </w:p>
        </w:tc>
        <w:tc>
          <w:tcPr>
            <w:tcW w:w="238" w:type="dxa"/>
          </w:tcPr>
          <w:p>
            <w:pPr>
              <w:pStyle w:val="TableParagraph"/>
              <w:spacing w:line="264" w:lineRule="exact" w:before="0"/>
              <w:jc w:val="right"/>
              <w:rPr>
                <w:rFonts w:ascii="宋体"/>
                <w:sz w:val="21"/>
              </w:rPr>
            </w:pPr>
            <w:r>
              <w:rPr>
                <w:rFonts w:ascii="宋体"/>
                <w:w w:val="100"/>
                <w:sz w:val="21"/>
              </w:rPr>
              <w:t> </w:t>
            </w:r>
          </w:p>
        </w:tc>
        <w:tc>
          <w:tcPr>
            <w:tcW w:w="819" w:type="dxa"/>
          </w:tcPr>
          <w:p>
            <w:pPr>
              <w:pStyle w:val="TableParagraph"/>
              <w:spacing w:before="35"/>
              <w:ind w:left="177" w:right="157"/>
              <w:rPr>
                <w:sz w:val="21"/>
              </w:rPr>
            </w:pPr>
            <w:r>
              <w:rPr>
                <w:sz w:val="21"/>
              </w:rPr>
              <w:t>46</w:t>
            </w:r>
          </w:p>
        </w:tc>
        <w:tc>
          <w:tcPr>
            <w:tcW w:w="973" w:type="dxa"/>
          </w:tcPr>
          <w:p>
            <w:pPr>
              <w:pStyle w:val="TableParagraph"/>
              <w:spacing w:before="35"/>
              <w:ind w:right="203"/>
              <w:jc w:val="right"/>
              <w:rPr>
                <w:sz w:val="21"/>
              </w:rPr>
            </w:pPr>
            <w:r>
              <w:rPr>
                <w:sz w:val="21"/>
              </w:rPr>
              <w:t>0.614</w:t>
            </w:r>
          </w:p>
        </w:tc>
        <w:tc>
          <w:tcPr>
            <w:tcW w:w="239" w:type="dxa"/>
          </w:tcPr>
          <w:p>
            <w:pPr>
              <w:pStyle w:val="TableParagraph"/>
              <w:spacing w:line="264" w:lineRule="exact" w:before="0"/>
              <w:jc w:val="right"/>
              <w:rPr>
                <w:rFonts w:ascii="宋体"/>
                <w:sz w:val="21"/>
              </w:rPr>
            </w:pPr>
            <w:r>
              <w:rPr>
                <w:rFonts w:ascii="宋体"/>
                <w:w w:val="100"/>
                <w:sz w:val="21"/>
              </w:rPr>
              <w:t> </w:t>
            </w:r>
          </w:p>
        </w:tc>
        <w:tc>
          <w:tcPr>
            <w:tcW w:w="820" w:type="dxa"/>
          </w:tcPr>
          <w:p>
            <w:pPr>
              <w:pStyle w:val="TableParagraph"/>
              <w:spacing w:before="35"/>
              <w:ind w:left="174" w:right="161"/>
              <w:rPr>
                <w:sz w:val="21"/>
              </w:rPr>
            </w:pPr>
            <w:r>
              <w:rPr>
                <w:sz w:val="21"/>
              </w:rPr>
              <w:t>62</w:t>
            </w:r>
          </w:p>
        </w:tc>
        <w:tc>
          <w:tcPr>
            <w:tcW w:w="974" w:type="dxa"/>
          </w:tcPr>
          <w:p>
            <w:pPr>
              <w:pStyle w:val="TableParagraph"/>
              <w:spacing w:before="35"/>
              <w:ind w:left="196" w:right="192"/>
              <w:rPr>
                <w:sz w:val="21"/>
              </w:rPr>
            </w:pPr>
            <w:r>
              <w:rPr>
                <w:sz w:val="21"/>
              </w:rPr>
              <w:t>1.607</w:t>
            </w:r>
          </w:p>
        </w:tc>
      </w:tr>
      <w:tr>
        <w:trPr>
          <w:trHeight w:val="316" w:hRule="atLeast"/>
        </w:trPr>
        <w:tc>
          <w:tcPr>
            <w:tcW w:w="818" w:type="dxa"/>
          </w:tcPr>
          <w:p>
            <w:pPr>
              <w:pStyle w:val="TableParagraph"/>
              <w:ind w:left="177" w:right="156"/>
              <w:rPr>
                <w:sz w:val="21"/>
              </w:rPr>
            </w:pPr>
            <w:r>
              <w:rPr>
                <w:sz w:val="21"/>
              </w:rPr>
              <w:t>31</w:t>
            </w:r>
          </w:p>
        </w:tc>
        <w:tc>
          <w:tcPr>
            <w:tcW w:w="996" w:type="dxa"/>
          </w:tcPr>
          <w:p>
            <w:pPr>
              <w:pStyle w:val="TableParagraph"/>
              <w:spacing w:before="42"/>
              <w:ind w:left="227" w:right="207"/>
              <w:rPr>
                <w:sz w:val="20"/>
              </w:rPr>
            </w:pPr>
            <w:r>
              <w:rPr>
                <w:sz w:val="20"/>
              </w:rPr>
              <w:t>0.155</w:t>
            </w:r>
          </w:p>
        </w:tc>
        <w:tc>
          <w:tcPr>
            <w:tcW w:w="238" w:type="dxa"/>
          </w:tcPr>
          <w:p>
            <w:pPr>
              <w:pStyle w:val="TableParagraph"/>
              <w:spacing w:line="267" w:lineRule="exact" w:before="0"/>
              <w:jc w:val="right"/>
              <w:rPr>
                <w:rFonts w:ascii="宋体"/>
                <w:sz w:val="21"/>
              </w:rPr>
            </w:pPr>
            <w:r>
              <w:rPr>
                <w:rFonts w:ascii="宋体"/>
                <w:w w:val="100"/>
                <w:sz w:val="21"/>
              </w:rPr>
              <w:t> </w:t>
            </w:r>
          </w:p>
        </w:tc>
        <w:tc>
          <w:tcPr>
            <w:tcW w:w="819" w:type="dxa"/>
          </w:tcPr>
          <w:p>
            <w:pPr>
              <w:pStyle w:val="TableParagraph"/>
              <w:ind w:left="177" w:right="157"/>
              <w:rPr>
                <w:sz w:val="21"/>
              </w:rPr>
            </w:pPr>
            <w:r>
              <w:rPr>
                <w:sz w:val="21"/>
              </w:rPr>
              <w:t>47</w:t>
            </w:r>
          </w:p>
        </w:tc>
        <w:tc>
          <w:tcPr>
            <w:tcW w:w="973" w:type="dxa"/>
          </w:tcPr>
          <w:p>
            <w:pPr>
              <w:pStyle w:val="TableParagraph"/>
              <w:ind w:right="203"/>
              <w:jc w:val="right"/>
              <w:rPr>
                <w:sz w:val="21"/>
              </w:rPr>
            </w:pPr>
            <w:r>
              <w:rPr>
                <w:sz w:val="21"/>
              </w:rPr>
              <w:t>0.655</w:t>
            </w:r>
          </w:p>
        </w:tc>
        <w:tc>
          <w:tcPr>
            <w:tcW w:w="239" w:type="dxa"/>
          </w:tcPr>
          <w:p>
            <w:pPr>
              <w:pStyle w:val="TableParagraph"/>
              <w:spacing w:line="267" w:lineRule="exact" w:before="0"/>
              <w:jc w:val="right"/>
              <w:rPr>
                <w:rFonts w:ascii="宋体"/>
                <w:sz w:val="21"/>
              </w:rPr>
            </w:pPr>
            <w:r>
              <w:rPr>
                <w:rFonts w:ascii="宋体"/>
                <w:w w:val="100"/>
                <w:sz w:val="21"/>
              </w:rPr>
              <w:t> </w:t>
            </w:r>
          </w:p>
        </w:tc>
        <w:tc>
          <w:tcPr>
            <w:tcW w:w="820" w:type="dxa"/>
          </w:tcPr>
          <w:p>
            <w:pPr>
              <w:pStyle w:val="TableParagraph"/>
              <w:ind w:left="174" w:right="161"/>
              <w:rPr>
                <w:sz w:val="21"/>
              </w:rPr>
            </w:pPr>
            <w:r>
              <w:rPr>
                <w:sz w:val="21"/>
              </w:rPr>
              <w:t>63</w:t>
            </w:r>
          </w:p>
        </w:tc>
        <w:tc>
          <w:tcPr>
            <w:tcW w:w="974" w:type="dxa"/>
          </w:tcPr>
          <w:p>
            <w:pPr>
              <w:pStyle w:val="TableParagraph"/>
              <w:ind w:left="196" w:right="192"/>
              <w:rPr>
                <w:sz w:val="21"/>
              </w:rPr>
            </w:pPr>
            <w:r>
              <w:rPr>
                <w:sz w:val="21"/>
              </w:rPr>
              <w:t>1.737</w:t>
            </w:r>
          </w:p>
        </w:tc>
      </w:tr>
      <w:tr>
        <w:trPr>
          <w:trHeight w:val="313" w:hRule="atLeast"/>
        </w:trPr>
        <w:tc>
          <w:tcPr>
            <w:tcW w:w="818" w:type="dxa"/>
          </w:tcPr>
          <w:p>
            <w:pPr>
              <w:pStyle w:val="TableParagraph"/>
              <w:spacing w:before="35"/>
              <w:ind w:left="177" w:right="156"/>
              <w:rPr>
                <w:sz w:val="21"/>
              </w:rPr>
            </w:pPr>
            <w:r>
              <w:rPr>
                <w:sz w:val="21"/>
              </w:rPr>
              <w:t>32</w:t>
            </w:r>
          </w:p>
        </w:tc>
        <w:tc>
          <w:tcPr>
            <w:tcW w:w="996" w:type="dxa"/>
          </w:tcPr>
          <w:p>
            <w:pPr>
              <w:pStyle w:val="TableParagraph"/>
              <w:spacing w:before="40"/>
              <w:ind w:left="227" w:right="207"/>
              <w:rPr>
                <w:sz w:val="20"/>
              </w:rPr>
            </w:pPr>
            <w:r>
              <w:rPr>
                <w:sz w:val="20"/>
              </w:rPr>
              <w:t>0.172</w:t>
            </w:r>
          </w:p>
        </w:tc>
        <w:tc>
          <w:tcPr>
            <w:tcW w:w="238" w:type="dxa"/>
          </w:tcPr>
          <w:p>
            <w:pPr>
              <w:pStyle w:val="TableParagraph"/>
              <w:spacing w:line="264" w:lineRule="exact" w:before="0"/>
              <w:jc w:val="right"/>
              <w:rPr>
                <w:rFonts w:ascii="宋体"/>
                <w:sz w:val="21"/>
              </w:rPr>
            </w:pPr>
            <w:r>
              <w:rPr>
                <w:rFonts w:ascii="宋体"/>
                <w:w w:val="100"/>
                <w:sz w:val="21"/>
              </w:rPr>
              <w:t> </w:t>
            </w:r>
          </w:p>
        </w:tc>
        <w:tc>
          <w:tcPr>
            <w:tcW w:w="819" w:type="dxa"/>
          </w:tcPr>
          <w:p>
            <w:pPr>
              <w:pStyle w:val="TableParagraph"/>
              <w:spacing w:before="35"/>
              <w:ind w:left="177" w:right="157"/>
              <w:rPr>
                <w:sz w:val="21"/>
              </w:rPr>
            </w:pPr>
            <w:r>
              <w:rPr>
                <w:sz w:val="21"/>
              </w:rPr>
              <w:t>48</w:t>
            </w:r>
          </w:p>
        </w:tc>
        <w:tc>
          <w:tcPr>
            <w:tcW w:w="973" w:type="dxa"/>
          </w:tcPr>
          <w:p>
            <w:pPr>
              <w:pStyle w:val="TableParagraph"/>
              <w:spacing w:before="35"/>
              <w:ind w:right="203"/>
              <w:jc w:val="right"/>
              <w:rPr>
                <w:sz w:val="21"/>
              </w:rPr>
            </w:pPr>
            <w:r>
              <w:rPr>
                <w:sz w:val="21"/>
              </w:rPr>
              <w:t>0.683</w:t>
            </w:r>
          </w:p>
        </w:tc>
        <w:tc>
          <w:tcPr>
            <w:tcW w:w="239" w:type="dxa"/>
          </w:tcPr>
          <w:p>
            <w:pPr>
              <w:pStyle w:val="TableParagraph"/>
              <w:spacing w:line="264" w:lineRule="exact" w:before="0"/>
              <w:jc w:val="right"/>
              <w:rPr>
                <w:rFonts w:ascii="宋体"/>
                <w:sz w:val="21"/>
              </w:rPr>
            </w:pPr>
            <w:r>
              <w:rPr>
                <w:rFonts w:ascii="宋体"/>
                <w:w w:val="100"/>
                <w:sz w:val="21"/>
              </w:rPr>
              <w:t> </w:t>
            </w:r>
          </w:p>
        </w:tc>
        <w:tc>
          <w:tcPr>
            <w:tcW w:w="820" w:type="dxa"/>
          </w:tcPr>
          <w:p>
            <w:pPr>
              <w:pStyle w:val="TableParagraph"/>
              <w:spacing w:before="35"/>
              <w:ind w:left="174" w:right="161"/>
              <w:rPr>
                <w:sz w:val="21"/>
              </w:rPr>
            </w:pPr>
            <w:r>
              <w:rPr>
                <w:sz w:val="21"/>
              </w:rPr>
              <w:t>64</w:t>
            </w:r>
          </w:p>
        </w:tc>
        <w:tc>
          <w:tcPr>
            <w:tcW w:w="974" w:type="dxa"/>
          </w:tcPr>
          <w:p>
            <w:pPr>
              <w:pStyle w:val="TableParagraph"/>
              <w:spacing w:before="35"/>
              <w:ind w:left="196" w:right="192"/>
              <w:rPr>
                <w:sz w:val="21"/>
              </w:rPr>
            </w:pPr>
            <w:r>
              <w:rPr>
                <w:sz w:val="21"/>
              </w:rPr>
              <w:t>1.879</w:t>
            </w:r>
          </w:p>
        </w:tc>
      </w:tr>
      <w:tr>
        <w:trPr>
          <w:trHeight w:val="316" w:hRule="atLeast"/>
        </w:trPr>
        <w:tc>
          <w:tcPr>
            <w:tcW w:w="818" w:type="dxa"/>
          </w:tcPr>
          <w:p>
            <w:pPr>
              <w:pStyle w:val="TableParagraph"/>
              <w:ind w:left="177" w:right="156"/>
              <w:rPr>
                <w:sz w:val="21"/>
              </w:rPr>
            </w:pPr>
            <w:r>
              <w:rPr>
                <w:sz w:val="21"/>
              </w:rPr>
              <w:t>33</w:t>
            </w:r>
          </w:p>
        </w:tc>
        <w:tc>
          <w:tcPr>
            <w:tcW w:w="996" w:type="dxa"/>
          </w:tcPr>
          <w:p>
            <w:pPr>
              <w:pStyle w:val="TableParagraph"/>
              <w:spacing w:before="42"/>
              <w:ind w:left="227" w:right="207"/>
              <w:rPr>
                <w:sz w:val="20"/>
              </w:rPr>
            </w:pPr>
            <w:r>
              <w:rPr>
                <w:sz w:val="20"/>
              </w:rPr>
              <w:t>0.189</w:t>
            </w:r>
          </w:p>
        </w:tc>
        <w:tc>
          <w:tcPr>
            <w:tcW w:w="238" w:type="dxa"/>
          </w:tcPr>
          <w:p>
            <w:pPr>
              <w:pStyle w:val="TableParagraph"/>
              <w:spacing w:line="267" w:lineRule="exact" w:before="0"/>
              <w:jc w:val="right"/>
              <w:rPr>
                <w:rFonts w:ascii="宋体"/>
                <w:sz w:val="21"/>
              </w:rPr>
            </w:pPr>
            <w:r>
              <w:rPr>
                <w:rFonts w:ascii="宋体"/>
                <w:w w:val="100"/>
                <w:sz w:val="21"/>
              </w:rPr>
              <w:t> </w:t>
            </w:r>
          </w:p>
        </w:tc>
        <w:tc>
          <w:tcPr>
            <w:tcW w:w="819" w:type="dxa"/>
          </w:tcPr>
          <w:p>
            <w:pPr>
              <w:pStyle w:val="TableParagraph"/>
              <w:ind w:left="177" w:right="157"/>
              <w:rPr>
                <w:sz w:val="21"/>
              </w:rPr>
            </w:pPr>
            <w:r>
              <w:rPr>
                <w:sz w:val="21"/>
              </w:rPr>
              <w:t>49</w:t>
            </w:r>
          </w:p>
        </w:tc>
        <w:tc>
          <w:tcPr>
            <w:tcW w:w="973" w:type="dxa"/>
          </w:tcPr>
          <w:p>
            <w:pPr>
              <w:pStyle w:val="TableParagraph"/>
              <w:ind w:right="203"/>
              <w:jc w:val="right"/>
              <w:rPr>
                <w:sz w:val="21"/>
              </w:rPr>
            </w:pPr>
            <w:r>
              <w:rPr>
                <w:sz w:val="21"/>
              </w:rPr>
              <w:t>0.702</w:t>
            </w:r>
          </w:p>
        </w:tc>
        <w:tc>
          <w:tcPr>
            <w:tcW w:w="239" w:type="dxa"/>
          </w:tcPr>
          <w:p>
            <w:pPr>
              <w:pStyle w:val="TableParagraph"/>
              <w:spacing w:line="267" w:lineRule="exact" w:before="0"/>
              <w:jc w:val="right"/>
              <w:rPr>
                <w:rFonts w:ascii="宋体"/>
                <w:sz w:val="21"/>
              </w:rPr>
            </w:pPr>
            <w:r>
              <w:rPr>
                <w:rFonts w:ascii="宋体"/>
                <w:w w:val="100"/>
                <w:sz w:val="21"/>
              </w:rPr>
              <w:t> </w:t>
            </w:r>
          </w:p>
        </w:tc>
        <w:tc>
          <w:tcPr>
            <w:tcW w:w="820" w:type="dxa"/>
          </w:tcPr>
          <w:p>
            <w:pPr>
              <w:pStyle w:val="TableParagraph"/>
              <w:ind w:left="174" w:right="161"/>
              <w:rPr>
                <w:sz w:val="21"/>
              </w:rPr>
            </w:pPr>
            <w:r>
              <w:rPr>
                <w:sz w:val="21"/>
              </w:rPr>
              <w:t>65</w:t>
            </w:r>
          </w:p>
        </w:tc>
        <w:tc>
          <w:tcPr>
            <w:tcW w:w="974" w:type="dxa"/>
          </w:tcPr>
          <w:p>
            <w:pPr>
              <w:pStyle w:val="TableParagraph"/>
              <w:ind w:left="196" w:right="192"/>
              <w:rPr>
                <w:sz w:val="21"/>
              </w:rPr>
            </w:pPr>
            <w:r>
              <w:rPr>
                <w:sz w:val="21"/>
              </w:rPr>
              <w:t>2.042</w:t>
            </w:r>
          </w:p>
        </w:tc>
      </w:tr>
    </w:tbl>
    <w:sectPr>
      <w:pgSz w:w="11900" w:h="16840"/>
      <w:pgMar w:header="0" w:footer="1007" w:top="152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0.600006pt;margin-top:780.659973pt;width:74.150pt;height:12pt;mso-position-horizontal-relative:page;mso-position-vertical-relative:page;z-index:-2324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w:t>
                </w:r>
                <w:r>
                  <w:rPr/>
                  <w:fldChar w:fldCharType="end"/>
                </w:r>
                <w:r>
                  <w:rPr>
                    <w:rFonts w:ascii="Times New Roman" w:eastAsia="Times New Roman"/>
                    <w:sz w:val="18"/>
                  </w:rPr>
                  <w:t>  </w:t>
                </w:r>
                <w:r>
                  <w:rPr>
                    <w:sz w:val="18"/>
                  </w:rPr>
                  <w:t>页 共 </w:t>
                </w:r>
                <w:r>
                  <w:rPr>
                    <w:rFonts w:ascii="Times New Roman" w:eastAsia="Times New Roman"/>
                    <w:sz w:val="18"/>
                  </w:rPr>
                  <w:t>17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320007pt;margin-top:780.659973pt;width:78.7pt;height:12pt;mso-position-horizontal-relative:page;mso-position-vertical-relative:page;z-index:-2322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17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360" w:hanging="240"/>
        <w:jc w:val="left"/>
      </w:pPr>
      <w:rPr>
        <w:rFonts w:hint="default" w:ascii="宋体" w:hAnsi="宋体" w:eastAsia="宋体" w:cs="宋体"/>
        <w:w w:val="100"/>
        <w:sz w:val="24"/>
        <w:szCs w:val="24"/>
      </w:rPr>
    </w:lvl>
    <w:lvl w:ilvl="1">
      <w:start w:val="0"/>
      <w:numFmt w:val="bullet"/>
      <w:lvlText w:val="•"/>
      <w:lvlJc w:val="left"/>
      <w:pPr>
        <w:ind w:left="1190" w:hanging="240"/>
      </w:pPr>
      <w:rPr>
        <w:rFonts w:hint="default"/>
      </w:rPr>
    </w:lvl>
    <w:lvl w:ilvl="2">
      <w:start w:val="0"/>
      <w:numFmt w:val="bullet"/>
      <w:lvlText w:val="•"/>
      <w:lvlJc w:val="left"/>
      <w:pPr>
        <w:ind w:left="2020" w:hanging="240"/>
      </w:pPr>
      <w:rPr>
        <w:rFonts w:hint="default"/>
      </w:rPr>
    </w:lvl>
    <w:lvl w:ilvl="3">
      <w:start w:val="0"/>
      <w:numFmt w:val="bullet"/>
      <w:lvlText w:val="•"/>
      <w:lvlJc w:val="left"/>
      <w:pPr>
        <w:ind w:left="2850" w:hanging="240"/>
      </w:pPr>
      <w:rPr>
        <w:rFonts w:hint="default"/>
      </w:rPr>
    </w:lvl>
    <w:lvl w:ilvl="4">
      <w:start w:val="0"/>
      <w:numFmt w:val="bullet"/>
      <w:lvlText w:val="•"/>
      <w:lvlJc w:val="left"/>
      <w:pPr>
        <w:ind w:left="3680" w:hanging="240"/>
      </w:pPr>
      <w:rPr>
        <w:rFonts w:hint="default"/>
      </w:rPr>
    </w:lvl>
    <w:lvl w:ilvl="5">
      <w:start w:val="0"/>
      <w:numFmt w:val="bullet"/>
      <w:lvlText w:val="•"/>
      <w:lvlJc w:val="left"/>
      <w:pPr>
        <w:ind w:left="4510" w:hanging="240"/>
      </w:pPr>
      <w:rPr>
        <w:rFonts w:hint="default"/>
      </w:rPr>
    </w:lvl>
    <w:lvl w:ilvl="6">
      <w:start w:val="0"/>
      <w:numFmt w:val="bullet"/>
      <w:lvlText w:val="•"/>
      <w:lvlJc w:val="left"/>
      <w:pPr>
        <w:ind w:left="5340" w:hanging="240"/>
      </w:pPr>
      <w:rPr>
        <w:rFonts w:hint="default"/>
      </w:rPr>
    </w:lvl>
    <w:lvl w:ilvl="7">
      <w:start w:val="0"/>
      <w:numFmt w:val="bullet"/>
      <w:lvlText w:val="•"/>
      <w:lvlJc w:val="left"/>
      <w:pPr>
        <w:ind w:left="6170" w:hanging="240"/>
      </w:pPr>
      <w:rPr>
        <w:rFonts w:hint="default"/>
      </w:rPr>
    </w:lvl>
    <w:lvl w:ilvl="8">
      <w:start w:val="0"/>
      <w:numFmt w:val="bullet"/>
      <w:lvlText w:val="•"/>
      <w:lvlJc w:val="left"/>
      <w:pPr>
        <w:ind w:left="7000" w:hanging="240"/>
      </w:pPr>
      <w:rPr>
        <w:rFonts w:hint="default"/>
      </w:rPr>
    </w:lvl>
  </w:abstractNum>
  <w:abstractNum w:abstractNumId="13">
    <w:multiLevelType w:val="hybridMultilevel"/>
    <w:lvl w:ilvl="0">
      <w:start w:val="6"/>
      <w:numFmt w:val="decimal"/>
      <w:lvlText w:val="%1."/>
      <w:lvlJc w:val="left"/>
      <w:pPr>
        <w:ind w:left="480" w:hanging="360"/>
        <w:jc w:val="left"/>
      </w:pPr>
      <w:rPr>
        <w:rFonts w:hint="default" w:ascii="宋体" w:hAnsi="宋体" w:eastAsia="宋体" w:cs="宋体"/>
        <w:w w:val="100"/>
        <w:sz w:val="24"/>
        <w:szCs w:val="24"/>
      </w:rPr>
    </w:lvl>
    <w:lvl w:ilvl="1">
      <w:start w:val="0"/>
      <w:numFmt w:val="bullet"/>
      <w:lvlText w:val="•"/>
      <w:lvlJc w:val="left"/>
      <w:pPr>
        <w:ind w:left="1298" w:hanging="360"/>
      </w:pPr>
      <w:rPr>
        <w:rFonts w:hint="default"/>
      </w:rPr>
    </w:lvl>
    <w:lvl w:ilvl="2">
      <w:start w:val="0"/>
      <w:numFmt w:val="bullet"/>
      <w:lvlText w:val="•"/>
      <w:lvlJc w:val="left"/>
      <w:pPr>
        <w:ind w:left="2116" w:hanging="360"/>
      </w:pPr>
      <w:rPr>
        <w:rFonts w:hint="default"/>
      </w:rPr>
    </w:lvl>
    <w:lvl w:ilvl="3">
      <w:start w:val="0"/>
      <w:numFmt w:val="bullet"/>
      <w:lvlText w:val="•"/>
      <w:lvlJc w:val="left"/>
      <w:pPr>
        <w:ind w:left="2934" w:hanging="360"/>
      </w:pPr>
      <w:rPr>
        <w:rFonts w:hint="default"/>
      </w:rPr>
    </w:lvl>
    <w:lvl w:ilvl="4">
      <w:start w:val="0"/>
      <w:numFmt w:val="bullet"/>
      <w:lvlText w:val="•"/>
      <w:lvlJc w:val="left"/>
      <w:pPr>
        <w:ind w:left="3752" w:hanging="360"/>
      </w:pPr>
      <w:rPr>
        <w:rFonts w:hint="default"/>
      </w:rPr>
    </w:lvl>
    <w:lvl w:ilvl="5">
      <w:start w:val="0"/>
      <w:numFmt w:val="bullet"/>
      <w:lvlText w:val="•"/>
      <w:lvlJc w:val="left"/>
      <w:pPr>
        <w:ind w:left="4570" w:hanging="360"/>
      </w:pPr>
      <w:rPr>
        <w:rFonts w:hint="default"/>
      </w:rPr>
    </w:lvl>
    <w:lvl w:ilvl="6">
      <w:start w:val="0"/>
      <w:numFmt w:val="bullet"/>
      <w:lvlText w:val="•"/>
      <w:lvlJc w:val="left"/>
      <w:pPr>
        <w:ind w:left="5388" w:hanging="360"/>
      </w:pPr>
      <w:rPr>
        <w:rFonts w:hint="default"/>
      </w:rPr>
    </w:lvl>
    <w:lvl w:ilvl="7">
      <w:start w:val="0"/>
      <w:numFmt w:val="bullet"/>
      <w:lvlText w:val="•"/>
      <w:lvlJc w:val="left"/>
      <w:pPr>
        <w:ind w:left="6206" w:hanging="360"/>
      </w:pPr>
      <w:rPr>
        <w:rFonts w:hint="default"/>
      </w:rPr>
    </w:lvl>
    <w:lvl w:ilvl="8">
      <w:start w:val="0"/>
      <w:numFmt w:val="bullet"/>
      <w:lvlText w:val="•"/>
      <w:lvlJc w:val="left"/>
      <w:pPr>
        <w:ind w:left="7024" w:hanging="360"/>
      </w:pPr>
      <w:rPr>
        <w:rFonts w:hint="default"/>
      </w:rPr>
    </w:lvl>
  </w:abstractNum>
  <w:abstractNum w:abstractNumId="12">
    <w:multiLevelType w:val="hybridMultilevel"/>
    <w:lvl w:ilvl="0">
      <w:start w:val="3"/>
      <w:numFmt w:val="decimal"/>
      <w:lvlText w:val="%1."/>
      <w:lvlJc w:val="left"/>
      <w:pPr>
        <w:ind w:left="480" w:hanging="360"/>
        <w:jc w:val="left"/>
      </w:pPr>
      <w:rPr>
        <w:rFonts w:hint="default" w:ascii="宋体" w:hAnsi="宋体" w:eastAsia="宋体" w:cs="宋体"/>
        <w:w w:val="100"/>
        <w:sz w:val="24"/>
        <w:szCs w:val="24"/>
      </w:rPr>
    </w:lvl>
    <w:lvl w:ilvl="1">
      <w:start w:val="0"/>
      <w:numFmt w:val="bullet"/>
      <w:lvlText w:val="•"/>
      <w:lvlJc w:val="left"/>
      <w:pPr>
        <w:ind w:left="1298" w:hanging="360"/>
      </w:pPr>
      <w:rPr>
        <w:rFonts w:hint="default"/>
      </w:rPr>
    </w:lvl>
    <w:lvl w:ilvl="2">
      <w:start w:val="0"/>
      <w:numFmt w:val="bullet"/>
      <w:lvlText w:val="•"/>
      <w:lvlJc w:val="left"/>
      <w:pPr>
        <w:ind w:left="2116" w:hanging="360"/>
      </w:pPr>
      <w:rPr>
        <w:rFonts w:hint="default"/>
      </w:rPr>
    </w:lvl>
    <w:lvl w:ilvl="3">
      <w:start w:val="0"/>
      <w:numFmt w:val="bullet"/>
      <w:lvlText w:val="•"/>
      <w:lvlJc w:val="left"/>
      <w:pPr>
        <w:ind w:left="2934" w:hanging="360"/>
      </w:pPr>
      <w:rPr>
        <w:rFonts w:hint="default"/>
      </w:rPr>
    </w:lvl>
    <w:lvl w:ilvl="4">
      <w:start w:val="0"/>
      <w:numFmt w:val="bullet"/>
      <w:lvlText w:val="•"/>
      <w:lvlJc w:val="left"/>
      <w:pPr>
        <w:ind w:left="3752" w:hanging="360"/>
      </w:pPr>
      <w:rPr>
        <w:rFonts w:hint="default"/>
      </w:rPr>
    </w:lvl>
    <w:lvl w:ilvl="5">
      <w:start w:val="0"/>
      <w:numFmt w:val="bullet"/>
      <w:lvlText w:val="•"/>
      <w:lvlJc w:val="left"/>
      <w:pPr>
        <w:ind w:left="4570" w:hanging="360"/>
      </w:pPr>
      <w:rPr>
        <w:rFonts w:hint="default"/>
      </w:rPr>
    </w:lvl>
    <w:lvl w:ilvl="6">
      <w:start w:val="0"/>
      <w:numFmt w:val="bullet"/>
      <w:lvlText w:val="•"/>
      <w:lvlJc w:val="left"/>
      <w:pPr>
        <w:ind w:left="5388" w:hanging="360"/>
      </w:pPr>
      <w:rPr>
        <w:rFonts w:hint="default"/>
      </w:rPr>
    </w:lvl>
    <w:lvl w:ilvl="7">
      <w:start w:val="0"/>
      <w:numFmt w:val="bullet"/>
      <w:lvlText w:val="•"/>
      <w:lvlJc w:val="left"/>
      <w:pPr>
        <w:ind w:left="6206" w:hanging="360"/>
      </w:pPr>
      <w:rPr>
        <w:rFonts w:hint="default"/>
      </w:rPr>
    </w:lvl>
    <w:lvl w:ilvl="8">
      <w:start w:val="0"/>
      <w:numFmt w:val="bullet"/>
      <w:lvlText w:val="•"/>
      <w:lvlJc w:val="left"/>
      <w:pPr>
        <w:ind w:left="7024" w:hanging="360"/>
      </w:pPr>
      <w:rPr>
        <w:rFonts w:hint="default"/>
      </w:rPr>
    </w:lvl>
  </w:abstractNum>
  <w:abstractNum w:abstractNumId="10">
    <w:multiLevelType w:val="hybridMultilevel"/>
    <w:lvl w:ilvl="0">
      <w:start w:val="1"/>
      <w:numFmt w:val="decimal"/>
      <w:lvlText w:val="%1"/>
      <w:lvlJc w:val="left"/>
      <w:pPr>
        <w:ind w:left="362" w:hanging="243"/>
        <w:jc w:val="left"/>
      </w:pPr>
      <w:rPr>
        <w:rFonts w:hint="default" w:ascii="Microsoft JhengHei" w:hAnsi="Microsoft JhengHei" w:eastAsia="Microsoft JhengHei" w:cs="Microsoft JhengHei"/>
        <w:b/>
        <w:bCs/>
        <w:w w:val="83"/>
        <w:sz w:val="24"/>
        <w:szCs w:val="24"/>
      </w:rPr>
    </w:lvl>
    <w:lvl w:ilvl="1">
      <w:start w:val="0"/>
      <w:numFmt w:val="bullet"/>
      <w:lvlText w:val="•"/>
      <w:lvlJc w:val="left"/>
      <w:pPr>
        <w:ind w:left="1178" w:hanging="243"/>
      </w:pPr>
      <w:rPr>
        <w:rFonts w:hint="default"/>
      </w:rPr>
    </w:lvl>
    <w:lvl w:ilvl="2">
      <w:start w:val="0"/>
      <w:numFmt w:val="bullet"/>
      <w:lvlText w:val="•"/>
      <w:lvlJc w:val="left"/>
      <w:pPr>
        <w:ind w:left="1996" w:hanging="243"/>
      </w:pPr>
      <w:rPr>
        <w:rFonts w:hint="default"/>
      </w:rPr>
    </w:lvl>
    <w:lvl w:ilvl="3">
      <w:start w:val="0"/>
      <w:numFmt w:val="bullet"/>
      <w:lvlText w:val="•"/>
      <w:lvlJc w:val="left"/>
      <w:pPr>
        <w:ind w:left="2814" w:hanging="243"/>
      </w:pPr>
      <w:rPr>
        <w:rFonts w:hint="default"/>
      </w:rPr>
    </w:lvl>
    <w:lvl w:ilvl="4">
      <w:start w:val="0"/>
      <w:numFmt w:val="bullet"/>
      <w:lvlText w:val="•"/>
      <w:lvlJc w:val="left"/>
      <w:pPr>
        <w:ind w:left="3632" w:hanging="243"/>
      </w:pPr>
      <w:rPr>
        <w:rFonts w:hint="default"/>
      </w:rPr>
    </w:lvl>
    <w:lvl w:ilvl="5">
      <w:start w:val="0"/>
      <w:numFmt w:val="bullet"/>
      <w:lvlText w:val="•"/>
      <w:lvlJc w:val="left"/>
      <w:pPr>
        <w:ind w:left="4450" w:hanging="243"/>
      </w:pPr>
      <w:rPr>
        <w:rFonts w:hint="default"/>
      </w:rPr>
    </w:lvl>
    <w:lvl w:ilvl="6">
      <w:start w:val="0"/>
      <w:numFmt w:val="bullet"/>
      <w:lvlText w:val="•"/>
      <w:lvlJc w:val="left"/>
      <w:pPr>
        <w:ind w:left="5268" w:hanging="243"/>
      </w:pPr>
      <w:rPr>
        <w:rFonts w:hint="default"/>
      </w:rPr>
    </w:lvl>
    <w:lvl w:ilvl="7">
      <w:start w:val="0"/>
      <w:numFmt w:val="bullet"/>
      <w:lvlText w:val="•"/>
      <w:lvlJc w:val="left"/>
      <w:pPr>
        <w:ind w:left="6086" w:hanging="243"/>
      </w:pPr>
      <w:rPr>
        <w:rFonts w:hint="default"/>
      </w:rPr>
    </w:lvl>
    <w:lvl w:ilvl="8">
      <w:start w:val="0"/>
      <w:numFmt w:val="bullet"/>
      <w:lvlText w:val="•"/>
      <w:lvlJc w:val="left"/>
      <w:pPr>
        <w:ind w:left="6904" w:hanging="243"/>
      </w:pPr>
      <w:rPr>
        <w:rFonts w:hint="default"/>
      </w:rPr>
    </w:lvl>
  </w:abstractNum>
  <w:abstractNum w:abstractNumId="9">
    <w:multiLevelType w:val="hybridMultilevel"/>
    <w:lvl w:ilvl="0">
      <w:start w:val="21"/>
      <w:numFmt w:val="decimal"/>
      <w:lvlText w:val="%1"/>
      <w:lvlJc w:val="left"/>
      <w:pPr>
        <w:ind w:left="606" w:hanging="487"/>
        <w:jc w:val="left"/>
      </w:pPr>
      <w:rPr>
        <w:rFonts w:hint="default"/>
      </w:rPr>
    </w:lvl>
    <w:lvl w:ilvl="1">
      <w:start w:val="2"/>
      <w:numFmt w:val="decimal"/>
      <w:lvlText w:val="%1.%2"/>
      <w:lvlJc w:val="left"/>
      <w:pPr>
        <w:ind w:left="606" w:hanging="487"/>
        <w:jc w:val="left"/>
      </w:pPr>
      <w:rPr>
        <w:rFonts w:hint="default" w:ascii="Microsoft JhengHei" w:hAnsi="Microsoft JhengHei" w:eastAsia="Microsoft JhengHei" w:cs="Microsoft JhengHei"/>
        <w:b/>
        <w:bCs/>
        <w:spacing w:val="-1"/>
        <w:w w:val="83"/>
        <w:sz w:val="22"/>
        <w:szCs w:val="22"/>
      </w:rPr>
    </w:lvl>
    <w:lvl w:ilvl="2">
      <w:start w:val="1"/>
      <w:numFmt w:val="decimal"/>
      <w:lvlText w:val="%1.%2.%3"/>
      <w:lvlJc w:val="left"/>
      <w:pPr>
        <w:ind w:left="907" w:hanging="788"/>
        <w:jc w:val="left"/>
      </w:pPr>
      <w:rPr>
        <w:rFonts w:hint="default" w:ascii="Microsoft JhengHei" w:hAnsi="Microsoft JhengHei" w:eastAsia="Microsoft JhengHei" w:cs="Microsoft JhengHei"/>
        <w:b/>
        <w:bCs/>
        <w:spacing w:val="0"/>
        <w:w w:val="83"/>
        <w:sz w:val="24"/>
        <w:szCs w:val="24"/>
      </w:rPr>
    </w:lvl>
    <w:lvl w:ilvl="3">
      <w:start w:val="0"/>
      <w:numFmt w:val="bullet"/>
      <w:lvlText w:val="•"/>
      <w:lvlJc w:val="left"/>
      <w:pPr>
        <w:ind w:left="2624" w:hanging="788"/>
      </w:pPr>
      <w:rPr>
        <w:rFonts w:hint="default"/>
      </w:rPr>
    </w:lvl>
    <w:lvl w:ilvl="4">
      <w:start w:val="0"/>
      <w:numFmt w:val="bullet"/>
      <w:lvlText w:val="•"/>
      <w:lvlJc w:val="left"/>
      <w:pPr>
        <w:ind w:left="3486" w:hanging="788"/>
      </w:pPr>
      <w:rPr>
        <w:rFonts w:hint="default"/>
      </w:rPr>
    </w:lvl>
    <w:lvl w:ilvl="5">
      <w:start w:val="0"/>
      <w:numFmt w:val="bullet"/>
      <w:lvlText w:val="•"/>
      <w:lvlJc w:val="left"/>
      <w:pPr>
        <w:ind w:left="4348" w:hanging="788"/>
      </w:pPr>
      <w:rPr>
        <w:rFonts w:hint="default"/>
      </w:rPr>
    </w:lvl>
    <w:lvl w:ilvl="6">
      <w:start w:val="0"/>
      <w:numFmt w:val="bullet"/>
      <w:lvlText w:val="•"/>
      <w:lvlJc w:val="left"/>
      <w:pPr>
        <w:ind w:left="5211" w:hanging="788"/>
      </w:pPr>
      <w:rPr>
        <w:rFonts w:hint="default"/>
      </w:rPr>
    </w:lvl>
    <w:lvl w:ilvl="7">
      <w:start w:val="0"/>
      <w:numFmt w:val="bullet"/>
      <w:lvlText w:val="•"/>
      <w:lvlJc w:val="left"/>
      <w:pPr>
        <w:ind w:left="6073" w:hanging="788"/>
      </w:pPr>
      <w:rPr>
        <w:rFonts w:hint="default"/>
      </w:rPr>
    </w:lvl>
    <w:lvl w:ilvl="8">
      <w:start w:val="0"/>
      <w:numFmt w:val="bullet"/>
      <w:lvlText w:val="•"/>
      <w:lvlJc w:val="left"/>
      <w:pPr>
        <w:ind w:left="6935" w:hanging="788"/>
      </w:pPr>
      <w:rPr>
        <w:rFonts w:hint="default"/>
      </w:rPr>
    </w:lvl>
  </w:abstractNum>
  <w:abstractNum w:abstractNumId="8">
    <w:multiLevelType w:val="hybridMultilevel"/>
    <w:lvl w:ilvl="0">
      <w:start w:val="20"/>
      <w:numFmt w:val="decimal"/>
      <w:lvlText w:val="%1."/>
      <w:lvlJc w:val="left"/>
      <w:pPr>
        <w:ind w:left="724" w:hanging="605"/>
        <w:jc w:val="left"/>
      </w:pPr>
      <w:rPr>
        <w:rFonts w:hint="default" w:ascii="Microsoft JhengHei" w:hAnsi="Microsoft JhengHei" w:eastAsia="Microsoft JhengHei" w:cs="Microsoft JhengHei"/>
        <w:b/>
        <w:bCs/>
        <w:spacing w:val="0"/>
        <w:w w:val="103"/>
        <w:sz w:val="30"/>
        <w:szCs w:val="30"/>
      </w:rPr>
    </w:lvl>
    <w:lvl w:ilvl="1">
      <w:start w:val="1"/>
      <w:numFmt w:val="decimal"/>
      <w:lvlText w:val="%1.%2"/>
      <w:lvlJc w:val="left"/>
      <w:pPr>
        <w:ind w:left="664" w:hanging="545"/>
        <w:jc w:val="left"/>
      </w:pPr>
      <w:rPr>
        <w:rFonts w:hint="default" w:ascii="Microsoft JhengHei" w:hAnsi="Microsoft JhengHei" w:eastAsia="Microsoft JhengHei" w:cs="Microsoft JhengHei"/>
        <w:b/>
        <w:bCs/>
        <w:spacing w:val="0"/>
        <w:w w:val="83"/>
        <w:sz w:val="24"/>
        <w:szCs w:val="24"/>
      </w:rPr>
    </w:lvl>
    <w:lvl w:ilvl="2">
      <w:start w:val="1"/>
      <w:numFmt w:val="decimal"/>
      <w:lvlText w:val="%1.%2.%3"/>
      <w:lvlJc w:val="left"/>
      <w:pPr>
        <w:ind w:left="969" w:hanging="850"/>
        <w:jc w:val="left"/>
      </w:pPr>
      <w:rPr>
        <w:rFonts w:hint="default" w:ascii="Microsoft JhengHei" w:hAnsi="Microsoft JhengHei" w:eastAsia="Microsoft JhengHei" w:cs="Microsoft JhengHei"/>
        <w:b/>
        <w:bCs/>
        <w:spacing w:val="0"/>
        <w:w w:val="83"/>
        <w:sz w:val="24"/>
        <w:szCs w:val="24"/>
      </w:rPr>
    </w:lvl>
    <w:lvl w:ilvl="3">
      <w:start w:val="0"/>
      <w:numFmt w:val="bullet"/>
      <w:lvlText w:val="•"/>
      <w:lvlJc w:val="left"/>
      <w:pPr>
        <w:ind w:left="1907" w:hanging="850"/>
      </w:pPr>
      <w:rPr>
        <w:rFonts w:hint="default"/>
      </w:rPr>
    </w:lvl>
    <w:lvl w:ilvl="4">
      <w:start w:val="0"/>
      <w:numFmt w:val="bullet"/>
      <w:lvlText w:val="•"/>
      <w:lvlJc w:val="left"/>
      <w:pPr>
        <w:ind w:left="2855" w:hanging="850"/>
      </w:pPr>
      <w:rPr>
        <w:rFonts w:hint="default"/>
      </w:rPr>
    </w:lvl>
    <w:lvl w:ilvl="5">
      <w:start w:val="0"/>
      <w:numFmt w:val="bullet"/>
      <w:lvlText w:val="•"/>
      <w:lvlJc w:val="left"/>
      <w:pPr>
        <w:ind w:left="3802" w:hanging="850"/>
      </w:pPr>
      <w:rPr>
        <w:rFonts w:hint="default"/>
      </w:rPr>
    </w:lvl>
    <w:lvl w:ilvl="6">
      <w:start w:val="0"/>
      <w:numFmt w:val="bullet"/>
      <w:lvlText w:val="•"/>
      <w:lvlJc w:val="left"/>
      <w:pPr>
        <w:ind w:left="4750" w:hanging="850"/>
      </w:pPr>
      <w:rPr>
        <w:rFonts w:hint="default"/>
      </w:rPr>
    </w:lvl>
    <w:lvl w:ilvl="7">
      <w:start w:val="0"/>
      <w:numFmt w:val="bullet"/>
      <w:lvlText w:val="•"/>
      <w:lvlJc w:val="left"/>
      <w:pPr>
        <w:ind w:left="5697" w:hanging="850"/>
      </w:pPr>
      <w:rPr>
        <w:rFonts w:hint="default"/>
      </w:rPr>
    </w:lvl>
    <w:lvl w:ilvl="8">
      <w:start w:val="0"/>
      <w:numFmt w:val="bullet"/>
      <w:lvlText w:val="•"/>
      <w:lvlJc w:val="left"/>
      <w:pPr>
        <w:ind w:left="6645" w:hanging="850"/>
      </w:pPr>
      <w:rPr>
        <w:rFonts w:hint="default"/>
      </w:rPr>
    </w:lvl>
  </w:abstractNum>
  <w:abstractNum w:abstractNumId="7">
    <w:multiLevelType w:val="hybridMultilevel"/>
    <w:lvl w:ilvl="0">
      <w:start w:val="15"/>
      <w:numFmt w:val="decimal"/>
      <w:lvlText w:val="%1"/>
      <w:lvlJc w:val="left"/>
      <w:pPr>
        <w:ind w:left="120" w:hanging="540"/>
        <w:jc w:val="left"/>
      </w:pPr>
      <w:rPr>
        <w:rFonts w:hint="default"/>
      </w:rPr>
    </w:lvl>
    <w:lvl w:ilvl="1">
      <w:start w:val="1"/>
      <w:numFmt w:val="decimal"/>
      <w:lvlText w:val="%1.%2"/>
      <w:lvlJc w:val="left"/>
      <w:pPr>
        <w:ind w:left="120" w:hanging="540"/>
        <w:jc w:val="left"/>
      </w:pPr>
      <w:rPr>
        <w:rFonts w:hint="default" w:ascii="宋体" w:hAnsi="宋体" w:eastAsia="宋体" w:cs="宋体"/>
        <w:w w:val="100"/>
        <w:sz w:val="24"/>
        <w:szCs w:val="24"/>
      </w:rPr>
    </w:lvl>
    <w:lvl w:ilvl="2">
      <w:start w:val="0"/>
      <w:numFmt w:val="bullet"/>
      <w:lvlText w:val="•"/>
      <w:lvlJc w:val="left"/>
      <w:pPr>
        <w:ind w:left="1804" w:hanging="540"/>
      </w:pPr>
      <w:rPr>
        <w:rFonts w:hint="default"/>
      </w:rPr>
    </w:lvl>
    <w:lvl w:ilvl="3">
      <w:start w:val="0"/>
      <w:numFmt w:val="bullet"/>
      <w:lvlText w:val="•"/>
      <w:lvlJc w:val="left"/>
      <w:pPr>
        <w:ind w:left="2646" w:hanging="540"/>
      </w:pPr>
      <w:rPr>
        <w:rFonts w:hint="default"/>
      </w:rPr>
    </w:lvl>
    <w:lvl w:ilvl="4">
      <w:start w:val="0"/>
      <w:numFmt w:val="bullet"/>
      <w:lvlText w:val="•"/>
      <w:lvlJc w:val="left"/>
      <w:pPr>
        <w:ind w:left="3488" w:hanging="540"/>
      </w:pPr>
      <w:rPr>
        <w:rFonts w:hint="default"/>
      </w:rPr>
    </w:lvl>
    <w:lvl w:ilvl="5">
      <w:start w:val="0"/>
      <w:numFmt w:val="bullet"/>
      <w:lvlText w:val="•"/>
      <w:lvlJc w:val="left"/>
      <w:pPr>
        <w:ind w:left="4330" w:hanging="540"/>
      </w:pPr>
      <w:rPr>
        <w:rFonts w:hint="default"/>
      </w:rPr>
    </w:lvl>
    <w:lvl w:ilvl="6">
      <w:start w:val="0"/>
      <w:numFmt w:val="bullet"/>
      <w:lvlText w:val="•"/>
      <w:lvlJc w:val="left"/>
      <w:pPr>
        <w:ind w:left="5172" w:hanging="540"/>
      </w:pPr>
      <w:rPr>
        <w:rFonts w:hint="default"/>
      </w:rPr>
    </w:lvl>
    <w:lvl w:ilvl="7">
      <w:start w:val="0"/>
      <w:numFmt w:val="bullet"/>
      <w:lvlText w:val="•"/>
      <w:lvlJc w:val="left"/>
      <w:pPr>
        <w:ind w:left="6014" w:hanging="540"/>
      </w:pPr>
      <w:rPr>
        <w:rFonts w:hint="default"/>
      </w:rPr>
    </w:lvl>
    <w:lvl w:ilvl="8">
      <w:start w:val="0"/>
      <w:numFmt w:val="bullet"/>
      <w:lvlText w:val="•"/>
      <w:lvlJc w:val="left"/>
      <w:pPr>
        <w:ind w:left="6856" w:hanging="540"/>
      </w:pPr>
      <w:rPr>
        <w:rFonts w:hint="default"/>
      </w:rPr>
    </w:lvl>
  </w:abstractNum>
  <w:abstractNum w:abstractNumId="6">
    <w:multiLevelType w:val="hybridMultilevel"/>
    <w:lvl w:ilvl="0">
      <w:start w:val="1"/>
      <w:numFmt w:val="decimal"/>
      <w:lvlText w:val="%1"/>
      <w:lvlJc w:val="left"/>
      <w:pPr>
        <w:ind w:left="362" w:hanging="243"/>
        <w:jc w:val="left"/>
      </w:pPr>
      <w:rPr>
        <w:rFonts w:hint="default" w:ascii="Microsoft JhengHei" w:hAnsi="Microsoft JhengHei" w:eastAsia="Microsoft JhengHei" w:cs="Microsoft JhengHei"/>
        <w:b/>
        <w:bCs/>
        <w:w w:val="83"/>
        <w:sz w:val="24"/>
        <w:szCs w:val="24"/>
      </w:rPr>
    </w:lvl>
    <w:lvl w:ilvl="1">
      <w:start w:val="0"/>
      <w:numFmt w:val="bullet"/>
      <w:lvlText w:val="•"/>
      <w:lvlJc w:val="left"/>
      <w:pPr>
        <w:ind w:left="1188" w:hanging="243"/>
      </w:pPr>
      <w:rPr>
        <w:rFonts w:hint="default"/>
      </w:rPr>
    </w:lvl>
    <w:lvl w:ilvl="2">
      <w:start w:val="0"/>
      <w:numFmt w:val="bullet"/>
      <w:lvlText w:val="•"/>
      <w:lvlJc w:val="left"/>
      <w:pPr>
        <w:ind w:left="2016" w:hanging="243"/>
      </w:pPr>
      <w:rPr>
        <w:rFonts w:hint="default"/>
      </w:rPr>
    </w:lvl>
    <w:lvl w:ilvl="3">
      <w:start w:val="0"/>
      <w:numFmt w:val="bullet"/>
      <w:lvlText w:val="•"/>
      <w:lvlJc w:val="left"/>
      <w:pPr>
        <w:ind w:left="2844" w:hanging="243"/>
      </w:pPr>
      <w:rPr>
        <w:rFonts w:hint="default"/>
      </w:rPr>
    </w:lvl>
    <w:lvl w:ilvl="4">
      <w:start w:val="0"/>
      <w:numFmt w:val="bullet"/>
      <w:lvlText w:val="•"/>
      <w:lvlJc w:val="left"/>
      <w:pPr>
        <w:ind w:left="3672" w:hanging="243"/>
      </w:pPr>
      <w:rPr>
        <w:rFonts w:hint="default"/>
      </w:rPr>
    </w:lvl>
    <w:lvl w:ilvl="5">
      <w:start w:val="0"/>
      <w:numFmt w:val="bullet"/>
      <w:lvlText w:val="•"/>
      <w:lvlJc w:val="left"/>
      <w:pPr>
        <w:ind w:left="4500" w:hanging="243"/>
      </w:pPr>
      <w:rPr>
        <w:rFonts w:hint="default"/>
      </w:rPr>
    </w:lvl>
    <w:lvl w:ilvl="6">
      <w:start w:val="0"/>
      <w:numFmt w:val="bullet"/>
      <w:lvlText w:val="•"/>
      <w:lvlJc w:val="left"/>
      <w:pPr>
        <w:ind w:left="5328" w:hanging="243"/>
      </w:pPr>
      <w:rPr>
        <w:rFonts w:hint="default"/>
      </w:rPr>
    </w:lvl>
    <w:lvl w:ilvl="7">
      <w:start w:val="0"/>
      <w:numFmt w:val="bullet"/>
      <w:lvlText w:val="•"/>
      <w:lvlJc w:val="left"/>
      <w:pPr>
        <w:ind w:left="6156" w:hanging="243"/>
      </w:pPr>
      <w:rPr>
        <w:rFonts w:hint="default"/>
      </w:rPr>
    </w:lvl>
    <w:lvl w:ilvl="8">
      <w:start w:val="0"/>
      <w:numFmt w:val="bullet"/>
      <w:lvlText w:val="•"/>
      <w:lvlJc w:val="left"/>
      <w:pPr>
        <w:ind w:left="6984" w:hanging="243"/>
      </w:pPr>
      <w:rPr>
        <w:rFonts w:hint="default"/>
      </w:rPr>
    </w:lvl>
  </w:abstractNum>
  <w:abstractNum w:abstractNumId="5">
    <w:multiLevelType w:val="hybridMultilevel"/>
    <w:lvl w:ilvl="0">
      <w:start w:val="6"/>
      <w:numFmt w:val="decimal"/>
      <w:lvlText w:val="%1."/>
      <w:lvlJc w:val="left"/>
      <w:pPr>
        <w:ind w:left="573" w:hanging="454"/>
        <w:jc w:val="left"/>
      </w:pPr>
      <w:rPr>
        <w:rFonts w:hint="default" w:ascii="Microsoft JhengHei" w:hAnsi="Microsoft JhengHei" w:eastAsia="Microsoft JhengHei" w:cs="Microsoft JhengHei"/>
        <w:b/>
        <w:bCs/>
        <w:spacing w:val="0"/>
        <w:w w:val="117"/>
        <w:sz w:val="30"/>
        <w:szCs w:val="30"/>
      </w:rPr>
    </w:lvl>
    <w:lvl w:ilvl="1">
      <w:start w:val="1"/>
      <w:numFmt w:val="decimal"/>
      <w:lvlText w:val="%1.%2"/>
      <w:lvlJc w:val="left"/>
      <w:pPr>
        <w:ind w:left="1080" w:hanging="480"/>
        <w:jc w:val="left"/>
      </w:pPr>
      <w:rPr>
        <w:rFonts w:hint="default" w:ascii="宋体" w:hAnsi="宋体" w:eastAsia="宋体" w:cs="宋体"/>
        <w:w w:val="100"/>
        <w:sz w:val="24"/>
        <w:szCs w:val="24"/>
      </w:rPr>
    </w:lvl>
    <w:lvl w:ilvl="2">
      <w:start w:val="0"/>
      <w:numFmt w:val="bullet"/>
      <w:lvlText w:val="•"/>
      <w:lvlJc w:val="left"/>
      <w:pPr>
        <w:ind w:left="1922" w:hanging="480"/>
      </w:pPr>
      <w:rPr>
        <w:rFonts w:hint="default"/>
      </w:rPr>
    </w:lvl>
    <w:lvl w:ilvl="3">
      <w:start w:val="0"/>
      <w:numFmt w:val="bullet"/>
      <w:lvlText w:val="•"/>
      <w:lvlJc w:val="left"/>
      <w:pPr>
        <w:ind w:left="2764" w:hanging="480"/>
      </w:pPr>
      <w:rPr>
        <w:rFonts w:hint="default"/>
      </w:rPr>
    </w:lvl>
    <w:lvl w:ilvl="4">
      <w:start w:val="0"/>
      <w:numFmt w:val="bullet"/>
      <w:lvlText w:val="•"/>
      <w:lvlJc w:val="left"/>
      <w:pPr>
        <w:ind w:left="3606" w:hanging="480"/>
      </w:pPr>
      <w:rPr>
        <w:rFonts w:hint="default"/>
      </w:rPr>
    </w:lvl>
    <w:lvl w:ilvl="5">
      <w:start w:val="0"/>
      <w:numFmt w:val="bullet"/>
      <w:lvlText w:val="•"/>
      <w:lvlJc w:val="left"/>
      <w:pPr>
        <w:ind w:left="4448" w:hanging="480"/>
      </w:pPr>
      <w:rPr>
        <w:rFonts w:hint="default"/>
      </w:rPr>
    </w:lvl>
    <w:lvl w:ilvl="6">
      <w:start w:val="0"/>
      <w:numFmt w:val="bullet"/>
      <w:lvlText w:val="•"/>
      <w:lvlJc w:val="left"/>
      <w:pPr>
        <w:ind w:left="5291" w:hanging="480"/>
      </w:pPr>
      <w:rPr>
        <w:rFonts w:hint="default"/>
      </w:rPr>
    </w:lvl>
    <w:lvl w:ilvl="7">
      <w:start w:val="0"/>
      <w:numFmt w:val="bullet"/>
      <w:lvlText w:val="•"/>
      <w:lvlJc w:val="left"/>
      <w:pPr>
        <w:ind w:left="6133" w:hanging="480"/>
      </w:pPr>
      <w:rPr>
        <w:rFonts w:hint="default"/>
      </w:rPr>
    </w:lvl>
    <w:lvl w:ilvl="8">
      <w:start w:val="0"/>
      <w:numFmt w:val="bullet"/>
      <w:lvlText w:val="•"/>
      <w:lvlJc w:val="left"/>
      <w:pPr>
        <w:ind w:left="6975" w:hanging="480"/>
      </w:pPr>
      <w:rPr>
        <w:rFonts w:hint="default"/>
      </w:rPr>
    </w:lvl>
  </w:abstractNum>
  <w:abstractNum w:abstractNumId="4">
    <w:multiLevelType w:val="hybridMultilevel"/>
    <w:lvl w:ilvl="0">
      <w:start w:val="5"/>
      <w:numFmt w:val="decimal"/>
      <w:lvlText w:val="%1"/>
      <w:lvlJc w:val="left"/>
      <w:pPr>
        <w:ind w:left="120" w:hanging="420"/>
        <w:jc w:val="left"/>
      </w:pPr>
      <w:rPr>
        <w:rFonts w:hint="default"/>
      </w:rPr>
    </w:lvl>
    <w:lvl w:ilvl="1">
      <w:start w:val="1"/>
      <w:numFmt w:val="decimal"/>
      <w:lvlText w:val="%1.%2"/>
      <w:lvlJc w:val="left"/>
      <w:pPr>
        <w:ind w:left="120" w:hanging="420"/>
        <w:jc w:val="left"/>
      </w:pPr>
      <w:rPr>
        <w:rFonts w:hint="default" w:ascii="宋体" w:hAnsi="宋体" w:eastAsia="宋体" w:cs="宋体"/>
        <w:w w:val="100"/>
        <w:sz w:val="24"/>
        <w:szCs w:val="24"/>
      </w:rPr>
    </w:lvl>
    <w:lvl w:ilvl="2">
      <w:start w:val="0"/>
      <w:numFmt w:val="bullet"/>
      <w:lvlText w:val="•"/>
      <w:lvlJc w:val="left"/>
      <w:pPr>
        <w:ind w:left="1828" w:hanging="420"/>
      </w:pPr>
      <w:rPr>
        <w:rFonts w:hint="default"/>
      </w:rPr>
    </w:lvl>
    <w:lvl w:ilvl="3">
      <w:start w:val="0"/>
      <w:numFmt w:val="bullet"/>
      <w:lvlText w:val="•"/>
      <w:lvlJc w:val="left"/>
      <w:pPr>
        <w:ind w:left="2682" w:hanging="420"/>
      </w:pPr>
      <w:rPr>
        <w:rFonts w:hint="default"/>
      </w:rPr>
    </w:lvl>
    <w:lvl w:ilvl="4">
      <w:start w:val="0"/>
      <w:numFmt w:val="bullet"/>
      <w:lvlText w:val="•"/>
      <w:lvlJc w:val="left"/>
      <w:pPr>
        <w:ind w:left="3536" w:hanging="420"/>
      </w:pPr>
      <w:rPr>
        <w:rFonts w:hint="default"/>
      </w:rPr>
    </w:lvl>
    <w:lvl w:ilvl="5">
      <w:start w:val="0"/>
      <w:numFmt w:val="bullet"/>
      <w:lvlText w:val="•"/>
      <w:lvlJc w:val="left"/>
      <w:pPr>
        <w:ind w:left="4390" w:hanging="420"/>
      </w:pPr>
      <w:rPr>
        <w:rFonts w:hint="default"/>
      </w:rPr>
    </w:lvl>
    <w:lvl w:ilvl="6">
      <w:start w:val="0"/>
      <w:numFmt w:val="bullet"/>
      <w:lvlText w:val="•"/>
      <w:lvlJc w:val="left"/>
      <w:pPr>
        <w:ind w:left="5244" w:hanging="420"/>
      </w:pPr>
      <w:rPr>
        <w:rFonts w:hint="default"/>
      </w:rPr>
    </w:lvl>
    <w:lvl w:ilvl="7">
      <w:start w:val="0"/>
      <w:numFmt w:val="bullet"/>
      <w:lvlText w:val="•"/>
      <w:lvlJc w:val="left"/>
      <w:pPr>
        <w:ind w:left="6098" w:hanging="420"/>
      </w:pPr>
      <w:rPr>
        <w:rFonts w:hint="default"/>
      </w:rPr>
    </w:lvl>
    <w:lvl w:ilvl="8">
      <w:start w:val="0"/>
      <w:numFmt w:val="bullet"/>
      <w:lvlText w:val="•"/>
      <w:lvlJc w:val="left"/>
      <w:pPr>
        <w:ind w:left="6952" w:hanging="420"/>
      </w:pPr>
      <w:rPr>
        <w:rFonts w:hint="default"/>
      </w:rPr>
    </w:lvl>
  </w:abstractNum>
  <w:abstractNum w:abstractNumId="3">
    <w:multiLevelType w:val="hybridMultilevel"/>
    <w:lvl w:ilvl="0">
      <w:start w:val="1"/>
      <w:numFmt w:val="decimal"/>
      <w:lvlText w:val="%1."/>
      <w:lvlJc w:val="left"/>
      <w:pPr>
        <w:ind w:left="120" w:hanging="380"/>
        <w:jc w:val="left"/>
      </w:pPr>
      <w:rPr>
        <w:rFonts w:hint="default"/>
        <w:b/>
        <w:bCs/>
        <w:spacing w:val="-149"/>
        <w:w w:val="100"/>
      </w:rPr>
    </w:lvl>
    <w:lvl w:ilvl="1">
      <w:start w:val="1"/>
      <w:numFmt w:val="decimal"/>
      <w:lvlText w:val="%1.%2"/>
      <w:lvlJc w:val="left"/>
      <w:pPr>
        <w:ind w:left="544" w:hanging="425"/>
        <w:jc w:val="left"/>
      </w:pPr>
      <w:rPr>
        <w:rFonts w:hint="default" w:ascii="Microsoft JhengHei" w:hAnsi="Microsoft JhengHei" w:eastAsia="Microsoft JhengHei" w:cs="Microsoft JhengHei"/>
        <w:b/>
        <w:bCs/>
        <w:spacing w:val="0"/>
        <w:w w:val="83"/>
        <w:sz w:val="24"/>
        <w:szCs w:val="24"/>
      </w:rPr>
    </w:lvl>
    <w:lvl w:ilvl="2">
      <w:start w:val="0"/>
      <w:numFmt w:val="bullet"/>
      <w:lvlText w:val="•"/>
      <w:lvlJc w:val="left"/>
      <w:pPr>
        <w:ind w:left="1442" w:hanging="425"/>
      </w:pPr>
      <w:rPr>
        <w:rFonts w:hint="default"/>
      </w:rPr>
    </w:lvl>
    <w:lvl w:ilvl="3">
      <w:start w:val="0"/>
      <w:numFmt w:val="bullet"/>
      <w:lvlText w:val="•"/>
      <w:lvlJc w:val="left"/>
      <w:pPr>
        <w:ind w:left="2344" w:hanging="425"/>
      </w:pPr>
      <w:rPr>
        <w:rFonts w:hint="default"/>
      </w:rPr>
    </w:lvl>
    <w:lvl w:ilvl="4">
      <w:start w:val="0"/>
      <w:numFmt w:val="bullet"/>
      <w:lvlText w:val="•"/>
      <w:lvlJc w:val="left"/>
      <w:pPr>
        <w:ind w:left="3246" w:hanging="425"/>
      </w:pPr>
      <w:rPr>
        <w:rFonts w:hint="default"/>
      </w:rPr>
    </w:lvl>
    <w:lvl w:ilvl="5">
      <w:start w:val="0"/>
      <w:numFmt w:val="bullet"/>
      <w:lvlText w:val="•"/>
      <w:lvlJc w:val="left"/>
      <w:pPr>
        <w:ind w:left="4148" w:hanging="425"/>
      </w:pPr>
      <w:rPr>
        <w:rFonts w:hint="default"/>
      </w:rPr>
    </w:lvl>
    <w:lvl w:ilvl="6">
      <w:start w:val="0"/>
      <w:numFmt w:val="bullet"/>
      <w:lvlText w:val="•"/>
      <w:lvlJc w:val="left"/>
      <w:pPr>
        <w:ind w:left="5051" w:hanging="425"/>
      </w:pPr>
      <w:rPr>
        <w:rFonts w:hint="default"/>
      </w:rPr>
    </w:lvl>
    <w:lvl w:ilvl="7">
      <w:start w:val="0"/>
      <w:numFmt w:val="bullet"/>
      <w:lvlText w:val="•"/>
      <w:lvlJc w:val="left"/>
      <w:pPr>
        <w:ind w:left="5953" w:hanging="425"/>
      </w:pPr>
      <w:rPr>
        <w:rFonts w:hint="default"/>
      </w:rPr>
    </w:lvl>
    <w:lvl w:ilvl="8">
      <w:start w:val="0"/>
      <w:numFmt w:val="bullet"/>
      <w:lvlText w:val="•"/>
      <w:lvlJc w:val="left"/>
      <w:pPr>
        <w:ind w:left="6855" w:hanging="425"/>
      </w:pPr>
      <w:rPr>
        <w:rFonts w:hint="default"/>
      </w:rPr>
    </w:lvl>
  </w:abstractNum>
  <w:abstractNum w:abstractNumId="2">
    <w:multiLevelType w:val="hybridMultilevel"/>
    <w:lvl w:ilvl="0">
      <w:start w:val="20"/>
      <w:numFmt w:val="decimal"/>
      <w:lvlText w:val="%1."/>
      <w:lvlJc w:val="left"/>
      <w:pPr>
        <w:ind w:left="712" w:hanging="382"/>
        <w:jc w:val="left"/>
      </w:pPr>
      <w:rPr>
        <w:rFonts w:hint="default" w:ascii="宋体" w:hAnsi="宋体" w:eastAsia="宋体" w:cs="宋体"/>
        <w:spacing w:val="0"/>
        <w:w w:val="99"/>
        <w:sz w:val="20"/>
        <w:szCs w:val="20"/>
      </w:rPr>
    </w:lvl>
    <w:lvl w:ilvl="1">
      <w:start w:val="0"/>
      <w:numFmt w:val="bullet"/>
      <w:lvlText w:val="•"/>
      <w:lvlJc w:val="left"/>
      <w:pPr>
        <w:ind w:left="1502" w:hanging="382"/>
      </w:pPr>
      <w:rPr>
        <w:rFonts w:hint="default"/>
      </w:rPr>
    </w:lvl>
    <w:lvl w:ilvl="2">
      <w:start w:val="0"/>
      <w:numFmt w:val="bullet"/>
      <w:lvlText w:val="•"/>
      <w:lvlJc w:val="left"/>
      <w:pPr>
        <w:ind w:left="2284" w:hanging="382"/>
      </w:pPr>
      <w:rPr>
        <w:rFonts w:hint="default"/>
      </w:rPr>
    </w:lvl>
    <w:lvl w:ilvl="3">
      <w:start w:val="0"/>
      <w:numFmt w:val="bullet"/>
      <w:lvlText w:val="•"/>
      <w:lvlJc w:val="left"/>
      <w:pPr>
        <w:ind w:left="3066" w:hanging="382"/>
      </w:pPr>
      <w:rPr>
        <w:rFonts w:hint="default"/>
      </w:rPr>
    </w:lvl>
    <w:lvl w:ilvl="4">
      <w:start w:val="0"/>
      <w:numFmt w:val="bullet"/>
      <w:lvlText w:val="•"/>
      <w:lvlJc w:val="left"/>
      <w:pPr>
        <w:ind w:left="3848" w:hanging="382"/>
      </w:pPr>
      <w:rPr>
        <w:rFonts w:hint="default"/>
      </w:rPr>
    </w:lvl>
    <w:lvl w:ilvl="5">
      <w:start w:val="0"/>
      <w:numFmt w:val="bullet"/>
      <w:lvlText w:val="•"/>
      <w:lvlJc w:val="left"/>
      <w:pPr>
        <w:ind w:left="4630" w:hanging="382"/>
      </w:pPr>
      <w:rPr>
        <w:rFonts w:hint="default"/>
      </w:rPr>
    </w:lvl>
    <w:lvl w:ilvl="6">
      <w:start w:val="0"/>
      <w:numFmt w:val="bullet"/>
      <w:lvlText w:val="•"/>
      <w:lvlJc w:val="left"/>
      <w:pPr>
        <w:ind w:left="5412" w:hanging="382"/>
      </w:pPr>
      <w:rPr>
        <w:rFonts w:hint="default"/>
      </w:rPr>
    </w:lvl>
    <w:lvl w:ilvl="7">
      <w:start w:val="0"/>
      <w:numFmt w:val="bullet"/>
      <w:lvlText w:val="•"/>
      <w:lvlJc w:val="left"/>
      <w:pPr>
        <w:ind w:left="6194" w:hanging="382"/>
      </w:pPr>
      <w:rPr>
        <w:rFonts w:hint="default"/>
      </w:rPr>
    </w:lvl>
    <w:lvl w:ilvl="8">
      <w:start w:val="0"/>
      <w:numFmt w:val="bullet"/>
      <w:lvlText w:val="•"/>
      <w:lvlJc w:val="left"/>
      <w:pPr>
        <w:ind w:left="6976" w:hanging="382"/>
      </w:pPr>
      <w:rPr>
        <w:rFonts w:hint="default"/>
      </w:rPr>
    </w:lvl>
  </w:abstractNum>
  <w:abstractNum w:abstractNumId="1">
    <w:multiLevelType w:val="hybridMultilevel"/>
    <w:lvl w:ilvl="0">
      <w:start w:val="6"/>
      <w:numFmt w:val="decimal"/>
      <w:lvlText w:val="%1."/>
      <w:lvlJc w:val="left"/>
      <w:pPr>
        <w:ind w:left="612" w:hanging="281"/>
        <w:jc w:val="left"/>
      </w:pPr>
      <w:rPr>
        <w:rFonts w:hint="default" w:ascii="宋体" w:hAnsi="宋体" w:eastAsia="宋体" w:cs="宋体"/>
        <w:spacing w:val="0"/>
        <w:w w:val="99"/>
        <w:sz w:val="20"/>
        <w:szCs w:val="20"/>
      </w:rPr>
    </w:lvl>
    <w:lvl w:ilvl="1">
      <w:start w:val="0"/>
      <w:numFmt w:val="bullet"/>
      <w:lvlText w:val="•"/>
      <w:lvlJc w:val="left"/>
      <w:pPr>
        <w:ind w:left="1412" w:hanging="281"/>
      </w:pPr>
      <w:rPr>
        <w:rFonts w:hint="default"/>
      </w:rPr>
    </w:lvl>
    <w:lvl w:ilvl="2">
      <w:start w:val="0"/>
      <w:numFmt w:val="bullet"/>
      <w:lvlText w:val="•"/>
      <w:lvlJc w:val="left"/>
      <w:pPr>
        <w:ind w:left="2204" w:hanging="281"/>
      </w:pPr>
      <w:rPr>
        <w:rFonts w:hint="default"/>
      </w:rPr>
    </w:lvl>
    <w:lvl w:ilvl="3">
      <w:start w:val="0"/>
      <w:numFmt w:val="bullet"/>
      <w:lvlText w:val="•"/>
      <w:lvlJc w:val="left"/>
      <w:pPr>
        <w:ind w:left="2996" w:hanging="281"/>
      </w:pPr>
      <w:rPr>
        <w:rFonts w:hint="default"/>
      </w:rPr>
    </w:lvl>
    <w:lvl w:ilvl="4">
      <w:start w:val="0"/>
      <w:numFmt w:val="bullet"/>
      <w:lvlText w:val="•"/>
      <w:lvlJc w:val="left"/>
      <w:pPr>
        <w:ind w:left="3788" w:hanging="281"/>
      </w:pPr>
      <w:rPr>
        <w:rFonts w:hint="default"/>
      </w:rPr>
    </w:lvl>
    <w:lvl w:ilvl="5">
      <w:start w:val="0"/>
      <w:numFmt w:val="bullet"/>
      <w:lvlText w:val="•"/>
      <w:lvlJc w:val="left"/>
      <w:pPr>
        <w:ind w:left="4580" w:hanging="281"/>
      </w:pPr>
      <w:rPr>
        <w:rFonts w:hint="default"/>
      </w:rPr>
    </w:lvl>
    <w:lvl w:ilvl="6">
      <w:start w:val="0"/>
      <w:numFmt w:val="bullet"/>
      <w:lvlText w:val="•"/>
      <w:lvlJc w:val="left"/>
      <w:pPr>
        <w:ind w:left="5372" w:hanging="281"/>
      </w:pPr>
      <w:rPr>
        <w:rFonts w:hint="default"/>
      </w:rPr>
    </w:lvl>
    <w:lvl w:ilvl="7">
      <w:start w:val="0"/>
      <w:numFmt w:val="bullet"/>
      <w:lvlText w:val="•"/>
      <w:lvlJc w:val="left"/>
      <w:pPr>
        <w:ind w:left="6164" w:hanging="281"/>
      </w:pPr>
      <w:rPr>
        <w:rFonts w:hint="default"/>
      </w:rPr>
    </w:lvl>
    <w:lvl w:ilvl="8">
      <w:start w:val="0"/>
      <w:numFmt w:val="bullet"/>
      <w:lvlText w:val="•"/>
      <w:lvlJc w:val="left"/>
      <w:pPr>
        <w:ind w:left="6956" w:hanging="281"/>
      </w:pPr>
      <w:rPr>
        <w:rFonts w:hint="default"/>
      </w:rPr>
    </w:lvl>
  </w:abstractNum>
  <w:abstractNum w:abstractNumId="0">
    <w:multiLevelType w:val="hybridMultilevel"/>
    <w:lvl w:ilvl="0">
      <w:start w:val="1"/>
      <w:numFmt w:val="decimal"/>
      <w:lvlText w:val="%1."/>
      <w:lvlJc w:val="left"/>
      <w:pPr>
        <w:ind w:left="561" w:hanging="231"/>
        <w:jc w:val="left"/>
      </w:pPr>
      <w:rPr>
        <w:rFonts w:hint="default"/>
        <w:spacing w:val="0"/>
        <w:w w:val="99"/>
      </w:rPr>
    </w:lvl>
    <w:lvl w:ilvl="1">
      <w:start w:val="0"/>
      <w:numFmt w:val="bullet"/>
      <w:lvlText w:val="•"/>
      <w:lvlJc w:val="left"/>
      <w:pPr>
        <w:ind w:left="1358" w:hanging="231"/>
      </w:pPr>
      <w:rPr>
        <w:rFonts w:hint="default"/>
      </w:rPr>
    </w:lvl>
    <w:lvl w:ilvl="2">
      <w:start w:val="0"/>
      <w:numFmt w:val="bullet"/>
      <w:lvlText w:val="•"/>
      <w:lvlJc w:val="left"/>
      <w:pPr>
        <w:ind w:left="2156" w:hanging="231"/>
      </w:pPr>
      <w:rPr>
        <w:rFonts w:hint="default"/>
      </w:rPr>
    </w:lvl>
    <w:lvl w:ilvl="3">
      <w:start w:val="0"/>
      <w:numFmt w:val="bullet"/>
      <w:lvlText w:val="•"/>
      <w:lvlJc w:val="left"/>
      <w:pPr>
        <w:ind w:left="2954" w:hanging="231"/>
      </w:pPr>
      <w:rPr>
        <w:rFonts w:hint="default"/>
      </w:rPr>
    </w:lvl>
    <w:lvl w:ilvl="4">
      <w:start w:val="0"/>
      <w:numFmt w:val="bullet"/>
      <w:lvlText w:val="•"/>
      <w:lvlJc w:val="left"/>
      <w:pPr>
        <w:ind w:left="3752" w:hanging="231"/>
      </w:pPr>
      <w:rPr>
        <w:rFonts w:hint="default"/>
      </w:rPr>
    </w:lvl>
    <w:lvl w:ilvl="5">
      <w:start w:val="0"/>
      <w:numFmt w:val="bullet"/>
      <w:lvlText w:val="•"/>
      <w:lvlJc w:val="left"/>
      <w:pPr>
        <w:ind w:left="4550" w:hanging="231"/>
      </w:pPr>
      <w:rPr>
        <w:rFonts w:hint="default"/>
      </w:rPr>
    </w:lvl>
    <w:lvl w:ilvl="6">
      <w:start w:val="0"/>
      <w:numFmt w:val="bullet"/>
      <w:lvlText w:val="•"/>
      <w:lvlJc w:val="left"/>
      <w:pPr>
        <w:ind w:left="5348" w:hanging="231"/>
      </w:pPr>
      <w:rPr>
        <w:rFonts w:hint="default"/>
      </w:rPr>
    </w:lvl>
    <w:lvl w:ilvl="7">
      <w:start w:val="0"/>
      <w:numFmt w:val="bullet"/>
      <w:lvlText w:val="•"/>
      <w:lvlJc w:val="left"/>
      <w:pPr>
        <w:ind w:left="6146" w:hanging="231"/>
      </w:pPr>
      <w:rPr>
        <w:rFonts w:hint="default"/>
      </w:rPr>
    </w:lvl>
    <w:lvl w:ilvl="8">
      <w:start w:val="0"/>
      <w:numFmt w:val="bullet"/>
      <w:lvlText w:val="•"/>
      <w:lvlJc w:val="left"/>
      <w:pPr>
        <w:ind w:left="6944" w:hanging="231"/>
      </w:pPr>
      <w:rPr>
        <w:rFonts w:hint="default"/>
      </w:rPr>
    </w:lvl>
  </w:abstractNum>
  <w:num w:numId="12">
    <w:abstractNumId w:val="11"/>
  </w:num>
  <w:num w:numId="14">
    <w:abstractNumId w:val="13"/>
  </w:num>
  <w:num w:numId="13">
    <w:abstractNumId w:val="12"/>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91"/>
      <w:ind w:left="120"/>
    </w:pPr>
    <w:rPr>
      <w:rFonts w:ascii="Microsoft JhengHei" w:hAnsi="Microsoft JhengHei" w:eastAsia="Microsoft JhengHei" w:cs="Microsoft JhengHei"/>
      <w:b/>
      <w:bCs/>
      <w:sz w:val="20"/>
      <w:szCs w:val="20"/>
    </w:rPr>
  </w:style>
  <w:style w:styleId="TOC2" w:type="paragraph">
    <w:name w:val="TOC 2"/>
    <w:basedOn w:val="Normal"/>
    <w:uiPriority w:val="1"/>
    <w:qFormat/>
    <w:pPr>
      <w:spacing w:before="35"/>
      <w:ind w:left="331"/>
    </w:pPr>
    <w:rPr>
      <w:rFonts w:ascii="宋体" w:hAnsi="宋体" w:eastAsia="宋体" w:cs="宋体"/>
      <w:sz w:val="20"/>
      <w:szCs w:val="20"/>
    </w:rPr>
  </w:style>
  <w:style w:styleId="BodyText" w:type="paragraph">
    <w:name w:val="Body Text"/>
    <w:basedOn w:val="Normal"/>
    <w:uiPriority w:val="1"/>
    <w:qFormat/>
    <w:pPr>
      <w:ind w:left="120"/>
    </w:pPr>
    <w:rPr>
      <w:rFonts w:ascii="宋体" w:hAnsi="宋体" w:eastAsia="宋体" w:cs="宋体"/>
      <w:sz w:val="24"/>
      <w:szCs w:val="24"/>
    </w:rPr>
  </w:style>
  <w:style w:styleId="Heading1" w:type="paragraph">
    <w:name w:val="Heading 1"/>
    <w:basedOn w:val="Normal"/>
    <w:uiPriority w:val="1"/>
    <w:qFormat/>
    <w:pPr>
      <w:ind w:left="120"/>
      <w:outlineLvl w:val="1"/>
    </w:pPr>
    <w:rPr>
      <w:rFonts w:ascii="Microsoft JhengHei" w:hAnsi="Microsoft JhengHei" w:eastAsia="Microsoft JhengHei" w:cs="Microsoft JhengHei"/>
      <w:b/>
      <w:bCs/>
      <w:sz w:val="32"/>
      <w:szCs w:val="32"/>
    </w:rPr>
  </w:style>
  <w:style w:styleId="Heading2" w:type="paragraph">
    <w:name w:val="Heading 2"/>
    <w:basedOn w:val="Normal"/>
    <w:uiPriority w:val="1"/>
    <w:qFormat/>
    <w:pPr>
      <w:ind w:left="120"/>
      <w:outlineLvl w:val="2"/>
    </w:pPr>
    <w:rPr>
      <w:rFonts w:ascii="Microsoft JhengHei" w:hAnsi="Microsoft JhengHei" w:eastAsia="Microsoft JhengHei" w:cs="Microsoft JhengHei"/>
      <w:b/>
      <w:bCs/>
      <w:sz w:val="30"/>
      <w:szCs w:val="30"/>
    </w:rPr>
  </w:style>
  <w:style w:styleId="Heading3" w:type="paragraph">
    <w:name w:val="Heading 3"/>
    <w:basedOn w:val="Normal"/>
    <w:uiPriority w:val="1"/>
    <w:qFormat/>
    <w:pPr>
      <w:ind w:left="4"/>
      <w:jc w:val="center"/>
      <w:outlineLvl w:val="3"/>
    </w:pPr>
    <w:rPr>
      <w:rFonts w:ascii="Microsoft JhengHei" w:hAnsi="Microsoft JhengHei" w:eastAsia="Microsoft JhengHei" w:cs="Microsoft JhengHei"/>
      <w:b/>
      <w:bCs/>
      <w:sz w:val="28"/>
      <w:szCs w:val="28"/>
    </w:rPr>
  </w:style>
  <w:style w:styleId="Heading4" w:type="paragraph">
    <w:name w:val="Heading 4"/>
    <w:basedOn w:val="Normal"/>
    <w:uiPriority w:val="1"/>
    <w:qFormat/>
    <w:pPr>
      <w:spacing w:before="50"/>
      <w:ind w:left="362" w:hanging="242"/>
      <w:outlineLvl w:val="4"/>
    </w:pPr>
    <w:rPr>
      <w:rFonts w:ascii="Microsoft JhengHei" w:hAnsi="Microsoft JhengHei" w:eastAsia="Microsoft JhengHei" w:cs="Microsoft JhengHei"/>
      <w:b/>
      <w:bCs/>
      <w:sz w:val="24"/>
      <w:szCs w:val="24"/>
    </w:rPr>
  </w:style>
  <w:style w:styleId="ListParagraph" w:type="paragraph">
    <w:name w:val="List Paragraph"/>
    <w:basedOn w:val="Normal"/>
    <w:uiPriority w:val="1"/>
    <w:qFormat/>
    <w:pPr>
      <w:ind w:left="362" w:hanging="242"/>
    </w:pPr>
    <w:rPr>
      <w:rFonts w:ascii="宋体" w:hAnsi="宋体" w:eastAsia="宋体" w:cs="宋体"/>
    </w:rPr>
  </w:style>
  <w:style w:styleId="TableParagraph" w:type="paragraph">
    <w:name w:val="Table Paragraph"/>
    <w:basedOn w:val="Normal"/>
    <w:uiPriority w:val="1"/>
    <w:qFormat/>
    <w:pPr>
      <w:spacing w:before="38"/>
      <w:ind w:right="-15"/>
      <w:jc w:val="center"/>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Jia.Song</dc:creator>
  <dc:title>瑞泰附加瑞丽女性重大疾病保险合同条款</dc:title>
  <dcterms:created xsi:type="dcterms:W3CDTF">2018-10-19T23:44:59Z</dcterms:created>
  <dcterms:modified xsi:type="dcterms:W3CDTF">2018-10-19T23:44:59Z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2014-05-17T00:00:00Z</vt:filetime>
  </property>
  <property fmtid="{D5CDD505-2E9C-101B-9397-08002B2CF9AE}" pid="3" name="Creator">
    <vt:lpwstr>pdfFactory Pro www.fineprint.cn</vt:lpwstr>
  </property>
  <property fmtid="{D5CDD505-2E9C-101B-9397-08002B2CF9AE}" pid="4" name="LastSaved">
    <vt:filetime>2014-05-17T00:00:00Z</vt:filetime>
  </property>
</Properties>
</file>