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14" w:firstLine="0"/>
        <w:jc w:val="right"/>
        <w:rPr>
          <w:sz w:val="21"/>
        </w:rPr>
      </w:pPr>
      <w:r>
        <w:rPr/>
        <w:drawing>
          <wp:anchor distT="0" distB="0" distL="0" distR="0" allowOverlap="1" layoutInCell="1" locked="0" behindDoc="0" simplePos="0" relativeHeight="0">
            <wp:simplePos x="0" y="0"/>
            <wp:positionH relativeFrom="page">
              <wp:posOffset>5428488</wp:posOffset>
            </wp:positionH>
            <wp:positionV relativeFrom="paragraph">
              <wp:posOffset>253796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华泰人寿[2009]疾病保险 071 号</w:t>
      </w:r>
    </w:p>
    <w:p>
      <w:pPr>
        <w:spacing w:before="10"/>
        <w:ind w:left="0" w:right="428" w:firstLine="0"/>
        <w:jc w:val="right"/>
        <w:rPr>
          <w:sz w:val="21"/>
        </w:rPr>
      </w:pPr>
      <w:r>
        <w:rPr>
          <w:sz w:val="21"/>
        </w:rPr>
        <w:t>请扫描以查询验证条款</w:t>
      </w:r>
    </w:p>
    <w:p>
      <w:pPr>
        <w:spacing w:before="32"/>
        <w:ind w:left="2836" w:right="2834" w:firstLine="0"/>
        <w:jc w:val="center"/>
        <w:rPr>
          <w:rFonts w:ascii="微软雅黑" w:eastAsia="微软雅黑" w:hint="eastAsia"/>
          <w:b/>
          <w:sz w:val="30"/>
        </w:rPr>
      </w:pPr>
      <w:r>
        <w:rPr>
          <w:rFonts w:ascii="微软雅黑" w:eastAsia="微软雅黑" w:hint="eastAsia"/>
          <w:b/>
          <w:sz w:val="30"/>
        </w:rPr>
        <w:t>华泰人寿保险股份有限公司</w:t>
      </w:r>
    </w:p>
    <w:p>
      <w:pPr>
        <w:spacing w:before="126"/>
        <w:ind w:left="2834" w:right="2834" w:firstLine="0"/>
        <w:jc w:val="center"/>
        <w:rPr>
          <w:rFonts w:ascii="微软雅黑" w:eastAsia="微软雅黑" w:hint="eastAsia"/>
          <w:b/>
          <w:sz w:val="28"/>
        </w:rPr>
      </w:pPr>
      <w:r>
        <w:rPr>
          <w:rFonts w:ascii="微软雅黑" w:eastAsia="微软雅黑" w:hint="eastAsia"/>
          <w:b/>
          <w:sz w:val="28"/>
        </w:rPr>
        <w:t>华泰人寿团体重大疾病保险</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5"/>
        <w:rPr>
          <w:rFonts w:ascii="微软雅黑"/>
          <w:b/>
          <w:sz w:val="16"/>
        </w:rPr>
      </w:pPr>
    </w:p>
    <w:p>
      <w:pPr>
        <w:pStyle w:val="Heading1"/>
        <w:spacing w:line="369" w:lineRule="exact"/>
      </w:pPr>
      <w:r>
        <w:rPr/>
        <w:t>第一条：保险合同的构成</w:t>
      </w:r>
    </w:p>
    <w:p>
      <w:pPr>
        <w:pStyle w:val="BodyText"/>
        <w:spacing w:before="5"/>
        <w:rPr>
          <w:rFonts w:ascii="微软雅黑"/>
          <w:b/>
          <w:sz w:val="25"/>
        </w:rPr>
      </w:pPr>
    </w:p>
    <w:p>
      <w:pPr>
        <w:pStyle w:val="BodyText"/>
        <w:spacing w:line="297" w:lineRule="auto"/>
        <w:ind w:left="118" w:right="112"/>
        <w:jc w:val="both"/>
      </w:pPr>
      <w:r>
        <w:rPr>
          <w:spacing w:val="-2"/>
        </w:rPr>
        <w:t>华泰人寿保险股份有限公司</w:t>
      </w:r>
      <w:r>
        <w:rPr/>
        <w:t>（以下简称本公司</w:t>
      </w:r>
      <w:r>
        <w:rPr>
          <w:spacing w:val="-17"/>
        </w:rPr>
        <w:t>）</w:t>
      </w:r>
      <w:r>
        <w:rPr>
          <w:spacing w:val="-2"/>
        </w:rPr>
        <w:t>之华泰人寿团体重大疾病保险合同</w:t>
      </w:r>
      <w:r>
        <w:rPr/>
        <w:t>（以</w:t>
      </w:r>
      <w:r>
        <w:rPr>
          <w:spacing w:val="-1"/>
        </w:rPr>
        <w:t>下简称本合同</w:t>
      </w:r>
      <w:r>
        <w:rPr>
          <w:spacing w:val="-12"/>
        </w:rPr>
        <w:t>）</w:t>
      </w:r>
      <w:r>
        <w:rPr>
          <w:spacing w:val="-3"/>
        </w:rPr>
        <w:t>由保险单或其他保险凭证、本保险条款、所附的投保书、与本合同有关的投保文件、合法有效的声明、批注、附贴批单、变更申请书及其他书面协议构成。</w:t>
      </w:r>
    </w:p>
    <w:p>
      <w:pPr>
        <w:pStyle w:val="BodyText"/>
      </w:pPr>
    </w:p>
    <w:p>
      <w:pPr>
        <w:pStyle w:val="BodyText"/>
        <w:spacing w:before="7"/>
        <w:rPr>
          <w:sz w:val="31"/>
        </w:rPr>
      </w:pPr>
    </w:p>
    <w:p>
      <w:pPr>
        <w:pStyle w:val="Heading1"/>
      </w:pPr>
      <w:r>
        <w:rPr/>
        <w:t>第二条：投保范围</w:t>
      </w:r>
    </w:p>
    <w:p>
      <w:pPr>
        <w:pStyle w:val="BodyText"/>
        <w:spacing w:before="4"/>
        <w:rPr>
          <w:rFonts w:ascii="微软雅黑"/>
          <w:b/>
          <w:sz w:val="25"/>
        </w:rPr>
      </w:pPr>
    </w:p>
    <w:p>
      <w:pPr>
        <w:pStyle w:val="ListParagraph"/>
        <w:numPr>
          <w:ilvl w:val="0"/>
          <w:numId w:val="1"/>
        </w:numPr>
        <w:tabs>
          <w:tab w:pos="539" w:val="left" w:leader="none"/>
        </w:tabs>
        <w:spacing w:line="240" w:lineRule="auto" w:before="1" w:after="0"/>
        <w:ind w:left="538" w:right="0" w:hanging="420"/>
        <w:jc w:val="left"/>
        <w:rPr>
          <w:sz w:val="24"/>
        </w:rPr>
      </w:pPr>
      <w:r>
        <w:rPr>
          <w:sz w:val="24"/>
        </w:rPr>
        <w:t>被保险人</w:t>
      </w:r>
    </w:p>
    <w:p>
      <w:pPr>
        <w:pStyle w:val="BodyText"/>
        <w:spacing w:line="266" w:lineRule="auto" w:before="4"/>
        <w:ind w:left="118" w:right="114"/>
      </w:pPr>
      <w:r>
        <w:rPr>
          <w:spacing w:val="-22"/>
        </w:rPr>
        <w:t>年满 </w:t>
      </w:r>
      <w:r>
        <w:rPr/>
        <w:t>16</w:t>
      </w:r>
      <w:r>
        <w:rPr>
          <w:spacing w:val="-64"/>
        </w:rPr>
        <w:t> </w:t>
      </w:r>
      <w:r>
        <w:rPr>
          <w:rFonts w:ascii="微软雅黑" w:eastAsia="微软雅黑" w:hint="eastAsia"/>
          <w:b/>
        </w:rPr>
        <w:t>周岁</w:t>
      </w:r>
      <w:r>
        <w:rPr>
          <w:sz w:val="21"/>
        </w:rPr>
        <w:t>（</w:t>
      </w:r>
      <w:r>
        <w:rPr>
          <w:spacing w:val="-10"/>
          <w:sz w:val="21"/>
        </w:rPr>
        <w:t>见名词释义 </w:t>
      </w:r>
      <w:r>
        <w:rPr>
          <w:sz w:val="21"/>
        </w:rPr>
        <w:t>1）</w:t>
      </w:r>
      <w:r>
        <w:rPr>
          <w:spacing w:val="-32"/>
        </w:rPr>
        <w:t>至 </w:t>
      </w:r>
      <w:r>
        <w:rPr/>
        <w:t>65</w:t>
      </w:r>
      <w:r>
        <w:rPr>
          <w:spacing w:val="-9"/>
        </w:rPr>
        <w:t> 周岁、身体健康、能正常工作或劳动的本合同投保人的团体成员，经本公司审核同意，可作为被保险人参加本保险。</w:t>
      </w:r>
    </w:p>
    <w:p>
      <w:pPr>
        <w:pStyle w:val="BodyText"/>
        <w:spacing w:before="7"/>
        <w:rPr>
          <w:sz w:val="33"/>
        </w:rPr>
      </w:pPr>
    </w:p>
    <w:p>
      <w:pPr>
        <w:pStyle w:val="ListParagraph"/>
        <w:numPr>
          <w:ilvl w:val="0"/>
          <w:numId w:val="1"/>
        </w:numPr>
        <w:tabs>
          <w:tab w:pos="539" w:val="left" w:leader="none"/>
        </w:tabs>
        <w:spacing w:line="240" w:lineRule="auto" w:before="0" w:after="0"/>
        <w:ind w:left="538" w:right="0" w:hanging="420"/>
        <w:jc w:val="left"/>
        <w:rPr>
          <w:sz w:val="24"/>
        </w:rPr>
      </w:pPr>
      <w:r>
        <w:rPr>
          <w:sz w:val="24"/>
        </w:rPr>
        <w:t>投保人</w:t>
      </w:r>
    </w:p>
    <w:p>
      <w:pPr>
        <w:pStyle w:val="BodyText"/>
        <w:spacing w:line="297" w:lineRule="auto" w:before="76"/>
        <w:ind w:left="118" w:right="52"/>
      </w:pPr>
      <w:r>
        <w:rPr/>
        <w:t>对被保险人有保险利益的机关、企业、事业单位和社会团体均可作为投保人，但以购买本保险为目的而临时组织起来的团体除外。投保人参加本保险的被保险人人数不得低于</w:t>
      </w:r>
    </w:p>
    <w:p>
      <w:pPr>
        <w:pStyle w:val="BodyText"/>
        <w:spacing w:before="13"/>
        <w:ind w:left="118"/>
      </w:pPr>
      <w:r>
        <w:rPr>
          <w:position w:val="1"/>
        </w:rPr>
        <w:t>5</w:t>
      </w:r>
      <w:r>
        <w:rPr>
          <w:spacing w:val="-60"/>
          <w:position w:val="1"/>
        </w:rPr>
        <w:t> </w:t>
      </w:r>
      <w:r>
        <w:rPr>
          <w:position w:val="1"/>
        </w:rPr>
        <w:t>人且必须占其符合参保条件成员总数的</w:t>
      </w:r>
      <w:r>
        <w:rPr>
          <w:spacing w:val="-60"/>
          <w:position w:val="1"/>
        </w:rPr>
        <w:t> </w:t>
      </w:r>
      <w:r>
        <w:rPr>
          <w:spacing w:val="5"/>
        </w:rPr>
        <w:drawing>
          <wp:inline distT="0" distB="0" distL="0" distR="0">
            <wp:extent cx="66675" cy="1174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position w:val="1"/>
        </w:rPr>
        <w:t>以上（含</w:t>
      </w:r>
      <w:r>
        <w:rPr>
          <w:spacing w:val="-60"/>
          <w:position w:val="1"/>
        </w:rPr>
        <w:t> </w:t>
      </w:r>
      <w:r>
        <w:rPr>
          <w:spacing w:val="5"/>
        </w:rPr>
        <w:drawing>
          <wp:inline distT="0" distB="0" distL="0" distR="0">
            <wp:extent cx="66675" cy="1174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spacing w:val="-120"/>
          <w:position w:val="1"/>
        </w:rPr>
        <w:t>）</w:t>
      </w:r>
      <w:r>
        <w:rPr>
          <w:position w:val="1"/>
        </w:rPr>
        <w:t>。</w:t>
      </w:r>
    </w:p>
    <w:p>
      <w:pPr>
        <w:pStyle w:val="BodyText"/>
      </w:pPr>
    </w:p>
    <w:p>
      <w:pPr>
        <w:pStyle w:val="BodyText"/>
      </w:pPr>
    </w:p>
    <w:p>
      <w:pPr>
        <w:pStyle w:val="Heading1"/>
        <w:spacing w:before="161"/>
      </w:pPr>
      <w:r>
        <w:rPr/>
        <w:t>第三条：保险责任</w:t>
      </w:r>
    </w:p>
    <w:p>
      <w:pPr>
        <w:pStyle w:val="BodyText"/>
        <w:spacing w:before="5"/>
        <w:rPr>
          <w:rFonts w:ascii="微软雅黑"/>
          <w:b/>
          <w:sz w:val="25"/>
        </w:rPr>
      </w:pPr>
    </w:p>
    <w:p>
      <w:pPr>
        <w:pStyle w:val="BodyText"/>
        <w:ind w:left="118"/>
      </w:pPr>
      <w:r>
        <w:rPr/>
        <w:t>本保险提供计划一、计划二，供投保人选择。</w:t>
      </w:r>
    </w:p>
    <w:p>
      <w:pPr>
        <w:pStyle w:val="BodyText"/>
        <w:spacing w:line="297" w:lineRule="auto" w:before="75"/>
        <w:ind w:left="118" w:right="965"/>
      </w:pPr>
      <w:r>
        <w:rPr>
          <w:spacing w:val="-3"/>
        </w:rPr>
        <w:t>保险计划一：保险责任范围为本合同第二十四条第 </w:t>
      </w:r>
      <w:r>
        <w:rPr/>
        <w:t>4</w:t>
      </w:r>
      <w:r>
        <w:rPr>
          <w:spacing w:val="-30"/>
        </w:rPr>
        <w:t> 款之 </w:t>
      </w:r>
      <w:r>
        <w:rPr/>
        <w:t>1)-6)项重大疾病。</w:t>
      </w:r>
      <w:r>
        <w:rPr>
          <w:spacing w:val="-3"/>
        </w:rPr>
        <w:t>保险计划二：保险责任范围为本合同第二十四条第 </w:t>
      </w:r>
      <w:r>
        <w:rPr/>
        <w:t>4</w:t>
      </w:r>
      <w:r>
        <w:rPr>
          <w:spacing w:val="-30"/>
        </w:rPr>
        <w:t> 款之 </w:t>
      </w:r>
      <w:r>
        <w:rPr/>
        <w:t>1)-25)项重大疾病。</w:t>
      </w:r>
    </w:p>
    <w:p>
      <w:pPr>
        <w:spacing w:after="0" w:line="297" w:lineRule="auto"/>
        <w:sectPr>
          <w:footerReference w:type="default" r:id="rId5"/>
          <w:type w:val="continuous"/>
          <w:pgSz w:w="11910" w:h="16840"/>
          <w:pgMar w:footer="915" w:top="1500" w:bottom="1100" w:left="1300" w:right="1300"/>
          <w:pgNumType w:start="1"/>
        </w:sectPr>
      </w:pPr>
    </w:p>
    <w:p>
      <w:pPr>
        <w:pStyle w:val="BodyText"/>
        <w:spacing w:before="4"/>
        <w:ind w:left="118"/>
      </w:pPr>
      <w:r>
        <w:rPr/>
        <w:t>在本合同有效期间内，本公司根据投保人选择的保险计划，承担以下保险责任：</w:t>
      </w:r>
    </w:p>
    <w:p>
      <w:pPr>
        <w:pStyle w:val="BodyText"/>
        <w:spacing w:before="1"/>
        <w:rPr>
          <w:sz w:val="33"/>
        </w:rPr>
      </w:pPr>
    </w:p>
    <w:p>
      <w:pPr>
        <w:spacing w:line="390" w:lineRule="exact" w:before="1"/>
        <w:ind w:left="118" w:right="111" w:firstLine="0"/>
        <w:jc w:val="both"/>
        <w:rPr>
          <w:sz w:val="24"/>
        </w:rPr>
      </w:pPr>
      <w:r>
        <w:rPr>
          <w:rFonts w:ascii="微软雅黑" w:eastAsia="微软雅黑" w:hint="eastAsia"/>
          <w:b/>
          <w:sz w:val="24"/>
        </w:rPr>
        <w:t>若被保险人于合同生效之日起 </w:t>
      </w:r>
      <w:r>
        <w:rPr>
          <w:rFonts w:ascii="微软雅黑" w:eastAsia="微软雅黑" w:hint="eastAsia"/>
          <w:b/>
          <w:w w:val="81"/>
          <w:sz w:val="24"/>
        </w:rPr>
        <w:t>30</w:t>
      </w:r>
      <w:r>
        <w:rPr>
          <w:rFonts w:ascii="微软雅黑" w:eastAsia="微软雅黑" w:hint="eastAsia"/>
          <w:b/>
          <w:spacing w:val="-1"/>
          <w:sz w:val="24"/>
        </w:rPr>
        <w:t> 天内</w:t>
      </w:r>
      <w:r>
        <w:rPr>
          <w:rFonts w:ascii="微软雅黑" w:eastAsia="微软雅黑" w:hint="eastAsia"/>
          <w:b/>
          <w:sz w:val="24"/>
        </w:rPr>
        <w:t>（此 </w:t>
      </w:r>
      <w:r>
        <w:rPr>
          <w:rFonts w:ascii="微软雅黑" w:eastAsia="微软雅黑" w:hint="eastAsia"/>
          <w:b/>
          <w:w w:val="81"/>
          <w:sz w:val="24"/>
        </w:rPr>
        <w:t>30</w:t>
      </w:r>
      <w:r>
        <w:rPr>
          <w:rFonts w:ascii="微软雅黑" w:eastAsia="微软雅黑" w:hint="eastAsia"/>
          <w:b/>
          <w:sz w:val="24"/>
        </w:rPr>
        <w:t> 天称为等待期</w:t>
      </w:r>
      <w:r>
        <w:rPr>
          <w:rFonts w:ascii="微软雅黑" w:eastAsia="微软雅黑" w:hint="eastAsia"/>
          <w:b/>
          <w:spacing w:val="-119"/>
          <w:sz w:val="24"/>
        </w:rPr>
        <w:t>）</w:t>
      </w:r>
      <w:r>
        <w:rPr>
          <w:spacing w:val="-1"/>
          <w:sz w:val="24"/>
        </w:rPr>
        <w:t>，首次发生并在本公司认</w:t>
      </w:r>
      <w:r>
        <w:rPr>
          <w:sz w:val="24"/>
        </w:rPr>
        <w:t>可的</w:t>
      </w:r>
      <w:r>
        <w:rPr>
          <w:rFonts w:ascii="微软雅黑" w:eastAsia="微软雅黑" w:hint="eastAsia"/>
          <w:b/>
          <w:sz w:val="24"/>
        </w:rPr>
        <w:t>医院</w:t>
      </w:r>
      <w:r>
        <w:rPr>
          <w:sz w:val="21"/>
        </w:rPr>
        <w:t>（</w:t>
      </w:r>
      <w:r>
        <w:rPr>
          <w:spacing w:val="-6"/>
          <w:sz w:val="21"/>
        </w:rPr>
        <w:t>见名词释义 </w:t>
      </w:r>
      <w:r>
        <w:rPr>
          <w:sz w:val="21"/>
        </w:rPr>
        <w:t>2）</w:t>
      </w:r>
      <w:r>
        <w:rPr>
          <w:sz w:val="24"/>
        </w:rPr>
        <w:t>由</w:t>
      </w:r>
      <w:r>
        <w:rPr>
          <w:rFonts w:ascii="微软雅黑" w:eastAsia="微软雅黑" w:hint="eastAsia"/>
          <w:b/>
          <w:sz w:val="24"/>
        </w:rPr>
        <w:t>专科医生</w:t>
      </w:r>
      <w:r>
        <w:rPr>
          <w:sz w:val="21"/>
        </w:rPr>
        <w:t>（</w:t>
      </w:r>
      <w:r>
        <w:rPr>
          <w:spacing w:val="-6"/>
          <w:sz w:val="21"/>
        </w:rPr>
        <w:t>见名词释义 </w:t>
      </w:r>
      <w:r>
        <w:rPr>
          <w:sz w:val="21"/>
        </w:rPr>
        <w:t>3）</w:t>
      </w:r>
      <w:r>
        <w:rPr>
          <w:sz w:val="24"/>
        </w:rPr>
        <w:t>确诊患本合同约定的任何一种或多</w:t>
      </w:r>
      <w:r>
        <w:rPr>
          <w:spacing w:val="0"/>
          <w:sz w:val="24"/>
        </w:rPr>
        <w:t>种</w:t>
      </w:r>
      <w:r>
        <w:rPr>
          <w:rFonts w:ascii="微软雅黑" w:eastAsia="微软雅黑" w:hint="eastAsia"/>
          <w:b/>
          <w:spacing w:val="1"/>
          <w:sz w:val="24"/>
        </w:rPr>
        <w:t>重大疾病</w:t>
      </w:r>
      <w:r>
        <w:rPr>
          <w:spacing w:val="0"/>
          <w:sz w:val="21"/>
        </w:rPr>
        <w:t>（</w:t>
      </w:r>
      <w:r>
        <w:rPr>
          <w:sz w:val="21"/>
        </w:rPr>
        <w:t>见名词释义 </w:t>
      </w:r>
      <w:r>
        <w:rPr>
          <w:spacing w:val="0"/>
          <w:sz w:val="21"/>
        </w:rPr>
        <w:t>4</w:t>
      </w:r>
      <w:r>
        <w:rPr>
          <w:spacing w:val="-102"/>
          <w:sz w:val="21"/>
        </w:rPr>
        <w:t>）</w:t>
      </w:r>
      <w:r>
        <w:rPr>
          <w:spacing w:val="0"/>
          <w:sz w:val="24"/>
        </w:rPr>
        <w:t>，本公司无息返还该被保险人的保险费，同时本合同对该被</w:t>
      </w:r>
      <w:r>
        <w:rPr>
          <w:sz w:val="24"/>
        </w:rPr>
        <w:t>保险人的保险责任终止。续保或因</w:t>
      </w:r>
      <w:r>
        <w:rPr>
          <w:rFonts w:ascii="微软雅黑" w:eastAsia="微软雅黑" w:hint="eastAsia"/>
          <w:b/>
          <w:sz w:val="24"/>
        </w:rPr>
        <w:t>意外伤害事故</w:t>
      </w:r>
      <w:r>
        <w:rPr>
          <w:sz w:val="21"/>
        </w:rPr>
        <w:t>（</w:t>
      </w:r>
      <w:r>
        <w:rPr>
          <w:spacing w:val="2"/>
          <w:sz w:val="21"/>
        </w:rPr>
        <w:t>见名词释义 </w:t>
      </w:r>
      <w:r>
        <w:rPr>
          <w:sz w:val="21"/>
        </w:rPr>
        <w:t>5）</w:t>
      </w:r>
      <w:r>
        <w:rPr>
          <w:spacing w:val="1"/>
          <w:sz w:val="24"/>
        </w:rPr>
        <w:t>所致的重大疾病无 </w:t>
      </w:r>
      <w:r>
        <w:rPr>
          <w:sz w:val="24"/>
        </w:rPr>
        <w:t>30 天等待期的限制。</w:t>
      </w:r>
    </w:p>
    <w:p>
      <w:pPr>
        <w:pStyle w:val="BodyText"/>
        <w:spacing w:before="3"/>
        <w:rPr>
          <w:sz w:val="32"/>
        </w:rPr>
      </w:pPr>
    </w:p>
    <w:p>
      <w:pPr>
        <w:pStyle w:val="BodyText"/>
        <w:ind w:left="118"/>
      </w:pPr>
      <w:r>
        <w:rPr/>
        <w:t>若被保险人于合同生效之日起 30 天后，首次发生并在本公司认可的医院由专科医生确</w:t>
      </w:r>
    </w:p>
    <w:p>
      <w:pPr>
        <w:pStyle w:val="BodyText"/>
        <w:spacing w:line="297" w:lineRule="auto" w:before="76"/>
        <w:ind w:left="118" w:right="114"/>
        <w:jc w:val="both"/>
      </w:pPr>
      <w:r>
        <w:rPr>
          <w:spacing w:val="-1"/>
        </w:rPr>
        <w:t>诊患本合同约定的任何一种或多种重大疾病，并且自确诊之日起 </w:t>
      </w:r>
      <w:r>
        <w:rPr/>
        <w:t>30</w:t>
      </w:r>
      <w:r>
        <w:rPr>
          <w:spacing w:val="-5"/>
        </w:rPr>
        <w:t> 天后仍生存，本公</w:t>
      </w:r>
      <w:r>
        <w:rPr>
          <w:spacing w:val="-7"/>
        </w:rPr>
        <w:t>司按保险单或其他保险凭证中所载的基本保险金额给付重大疾病保险金，同时本合同对该被保险人的保险责任终止。</w:t>
      </w:r>
    </w:p>
    <w:p>
      <w:pPr>
        <w:pStyle w:val="BodyText"/>
      </w:pPr>
    </w:p>
    <w:p>
      <w:pPr>
        <w:pStyle w:val="BodyText"/>
        <w:spacing w:before="4"/>
        <w:rPr>
          <w:sz w:val="31"/>
        </w:rPr>
      </w:pPr>
    </w:p>
    <w:p>
      <w:pPr>
        <w:pStyle w:val="Heading1"/>
        <w:spacing w:before="1"/>
      </w:pPr>
      <w:r>
        <w:rPr/>
        <w:t>第四条：责任免除</w:t>
      </w:r>
    </w:p>
    <w:p>
      <w:pPr>
        <w:pStyle w:val="BodyText"/>
        <w:spacing w:before="10"/>
        <w:rPr>
          <w:rFonts w:ascii="微软雅黑"/>
          <w:b/>
          <w:sz w:val="22"/>
        </w:rPr>
      </w:pPr>
    </w:p>
    <w:p>
      <w:pPr>
        <w:spacing w:line="225" w:lineRule="auto" w:before="0"/>
        <w:ind w:left="118" w:right="112" w:firstLine="0"/>
        <w:jc w:val="left"/>
        <w:rPr>
          <w:rFonts w:ascii="微软雅黑" w:eastAsia="微软雅黑" w:hint="eastAsia"/>
          <w:b/>
          <w:sz w:val="24"/>
        </w:rPr>
      </w:pPr>
      <w:r>
        <w:rPr>
          <w:rFonts w:ascii="微软雅黑" w:eastAsia="微软雅黑" w:hint="eastAsia"/>
          <w:b/>
          <w:spacing w:val="-7"/>
          <w:sz w:val="24"/>
        </w:rPr>
        <w:t>因下列情形之一，导致被保险人发生疾病、达到疾病状态或进行手术的，保险公司不承担保险责任：</w:t>
      </w:r>
    </w:p>
    <w:p>
      <w:pPr>
        <w:pStyle w:val="BodyText"/>
        <w:spacing w:before="2"/>
        <w:rPr>
          <w:rFonts w:ascii="微软雅黑"/>
          <w:b/>
          <w:sz w:val="21"/>
        </w:rPr>
      </w:pPr>
    </w:p>
    <w:p>
      <w:pPr>
        <w:pStyle w:val="ListParagraph"/>
        <w:numPr>
          <w:ilvl w:val="0"/>
          <w:numId w:val="2"/>
        </w:numPr>
        <w:tabs>
          <w:tab w:pos="479" w:val="left" w:leader="none"/>
        </w:tabs>
        <w:spacing w:line="402" w:lineRule="exact" w:before="0" w:after="0"/>
        <w:ind w:left="478" w:right="0" w:hanging="360"/>
        <w:jc w:val="left"/>
        <w:rPr>
          <w:rFonts w:ascii="微软雅黑" w:eastAsia="微软雅黑" w:hint="eastAsia"/>
          <w:b/>
          <w:sz w:val="24"/>
        </w:rPr>
      </w:pPr>
      <w:r>
        <w:rPr>
          <w:rFonts w:ascii="微软雅黑" w:eastAsia="微软雅黑" w:hint="eastAsia"/>
          <w:b/>
          <w:sz w:val="24"/>
        </w:rPr>
        <w:t>投保人的故意行为；</w:t>
      </w:r>
    </w:p>
    <w:p>
      <w:pPr>
        <w:pStyle w:val="ListParagraph"/>
        <w:numPr>
          <w:ilvl w:val="0"/>
          <w:numId w:val="2"/>
        </w:numPr>
        <w:tabs>
          <w:tab w:pos="479" w:val="left" w:leader="none"/>
        </w:tabs>
        <w:spacing w:line="390" w:lineRule="exact" w:before="0" w:after="0"/>
        <w:ind w:left="478" w:right="0" w:hanging="360"/>
        <w:jc w:val="left"/>
        <w:rPr>
          <w:rFonts w:ascii="微软雅黑" w:eastAsia="微软雅黑" w:hint="eastAsia"/>
          <w:b/>
          <w:sz w:val="24"/>
        </w:rPr>
      </w:pPr>
      <w:r>
        <w:rPr>
          <w:rFonts w:ascii="微软雅黑" w:eastAsia="微软雅黑" w:hint="eastAsia"/>
          <w:b/>
          <w:sz w:val="24"/>
        </w:rPr>
        <w:t>被保险人故意自伤、故意犯罪或者抗拒依法采取的刑事强制措施；</w:t>
      </w:r>
    </w:p>
    <w:p>
      <w:pPr>
        <w:pStyle w:val="ListParagraph"/>
        <w:numPr>
          <w:ilvl w:val="0"/>
          <w:numId w:val="2"/>
        </w:numPr>
        <w:tabs>
          <w:tab w:pos="479" w:val="left" w:leader="none"/>
        </w:tabs>
        <w:spacing w:line="390" w:lineRule="exact" w:before="0" w:after="0"/>
        <w:ind w:left="478" w:right="0" w:hanging="360"/>
        <w:jc w:val="left"/>
        <w:rPr>
          <w:rFonts w:ascii="微软雅黑" w:eastAsia="微软雅黑" w:hint="eastAsia"/>
          <w:b/>
          <w:sz w:val="24"/>
        </w:rPr>
      </w:pPr>
      <w:r>
        <w:rPr>
          <w:rFonts w:ascii="微软雅黑" w:eastAsia="微软雅黑" w:hint="eastAsia"/>
          <w:b/>
          <w:sz w:val="24"/>
        </w:rPr>
        <w:t>被保险人服用、吸食或注射毒品</w:t>
      </w:r>
      <w:r>
        <w:rPr>
          <w:rFonts w:ascii="微软雅黑" w:eastAsia="微软雅黑" w:hint="eastAsia"/>
          <w:b/>
          <w:spacing w:val="0"/>
          <w:sz w:val="21"/>
        </w:rPr>
        <w:t>（</w:t>
      </w:r>
      <w:r>
        <w:rPr>
          <w:rFonts w:ascii="微软雅黑" w:eastAsia="微软雅黑" w:hint="eastAsia"/>
          <w:b/>
          <w:spacing w:val="-2"/>
          <w:sz w:val="21"/>
        </w:rPr>
        <w:t>见名词释义 </w:t>
      </w:r>
      <w:r>
        <w:rPr>
          <w:rFonts w:ascii="微软雅黑" w:eastAsia="微软雅黑" w:hint="eastAsia"/>
          <w:b/>
          <w:spacing w:val="-1"/>
          <w:w w:val="81"/>
          <w:sz w:val="21"/>
        </w:rPr>
        <w:t>6</w:t>
      </w:r>
      <w:r>
        <w:rPr>
          <w:rFonts w:ascii="微软雅黑" w:eastAsia="微软雅黑" w:hint="eastAsia"/>
          <w:b/>
          <w:spacing w:val="-104"/>
          <w:sz w:val="21"/>
        </w:rPr>
        <w:t>）</w:t>
      </w:r>
      <w:r>
        <w:rPr>
          <w:rFonts w:ascii="微软雅黑" w:eastAsia="微软雅黑" w:hint="eastAsia"/>
          <w:b/>
          <w:sz w:val="24"/>
        </w:rPr>
        <w:t>；</w:t>
      </w:r>
    </w:p>
    <w:p>
      <w:pPr>
        <w:pStyle w:val="ListParagraph"/>
        <w:numPr>
          <w:ilvl w:val="0"/>
          <w:numId w:val="2"/>
        </w:numPr>
        <w:tabs>
          <w:tab w:pos="479" w:val="left" w:leader="none"/>
        </w:tabs>
        <w:spacing w:line="225" w:lineRule="auto" w:before="12" w:after="0"/>
        <w:ind w:left="478" w:right="116" w:hanging="360"/>
        <w:jc w:val="left"/>
        <w:rPr>
          <w:rFonts w:ascii="微软雅黑" w:eastAsia="微软雅黑" w:hint="eastAsia"/>
          <w:b/>
          <w:sz w:val="24"/>
        </w:rPr>
      </w:pPr>
      <w:r>
        <w:rPr>
          <w:rFonts w:ascii="微软雅黑" w:eastAsia="微软雅黑" w:hint="eastAsia"/>
          <w:b/>
          <w:sz w:val="24"/>
        </w:rPr>
        <w:t>被保险人酒后驾驶</w:t>
      </w:r>
      <w:r>
        <w:rPr>
          <w:rFonts w:ascii="微软雅黑" w:eastAsia="微软雅黑" w:hint="eastAsia"/>
          <w:b/>
          <w:spacing w:val="0"/>
          <w:sz w:val="21"/>
        </w:rPr>
        <w:t>（</w:t>
      </w:r>
      <w:r>
        <w:rPr>
          <w:rFonts w:ascii="微软雅黑" w:eastAsia="微软雅黑" w:hint="eastAsia"/>
          <w:b/>
          <w:spacing w:val="-3"/>
          <w:sz w:val="21"/>
        </w:rPr>
        <w:t>见名词释义  </w:t>
      </w:r>
      <w:r>
        <w:rPr>
          <w:rFonts w:ascii="微软雅黑" w:eastAsia="微软雅黑" w:hint="eastAsia"/>
          <w:b/>
          <w:spacing w:val="0"/>
          <w:w w:val="81"/>
          <w:sz w:val="21"/>
        </w:rPr>
        <w:t>7</w:t>
      </w:r>
      <w:r>
        <w:rPr>
          <w:rFonts w:ascii="微软雅黑" w:eastAsia="微软雅黑" w:hint="eastAsia"/>
          <w:b/>
          <w:spacing w:val="-106"/>
          <w:sz w:val="21"/>
        </w:rPr>
        <w:t>）</w:t>
      </w:r>
      <w:r>
        <w:rPr>
          <w:rFonts w:ascii="微软雅黑" w:eastAsia="微软雅黑" w:hint="eastAsia"/>
          <w:b/>
          <w:sz w:val="24"/>
        </w:rPr>
        <w:t>，无合法有效驾驶证驾驶</w:t>
      </w:r>
      <w:r>
        <w:rPr>
          <w:rFonts w:ascii="微软雅黑" w:eastAsia="微软雅黑" w:hint="eastAsia"/>
          <w:b/>
          <w:spacing w:val="0"/>
          <w:sz w:val="21"/>
        </w:rPr>
        <w:t>（</w:t>
      </w:r>
      <w:r>
        <w:rPr>
          <w:rFonts w:ascii="微软雅黑" w:eastAsia="微软雅黑" w:hint="eastAsia"/>
          <w:b/>
          <w:spacing w:val="-3"/>
          <w:sz w:val="21"/>
        </w:rPr>
        <w:t>见名词释义  </w:t>
      </w:r>
      <w:r>
        <w:rPr>
          <w:rFonts w:ascii="微软雅黑" w:eastAsia="微软雅黑" w:hint="eastAsia"/>
          <w:b/>
          <w:spacing w:val="0"/>
          <w:w w:val="81"/>
          <w:sz w:val="21"/>
        </w:rPr>
        <w:t>8</w:t>
      </w:r>
      <w:r>
        <w:rPr>
          <w:rFonts w:ascii="微软雅黑" w:eastAsia="微软雅黑" w:hint="eastAsia"/>
          <w:b/>
          <w:spacing w:val="-104"/>
          <w:sz w:val="21"/>
        </w:rPr>
        <w:t>）</w:t>
      </w:r>
      <w:r>
        <w:rPr>
          <w:rFonts w:ascii="微软雅黑" w:eastAsia="微软雅黑" w:hint="eastAsia"/>
          <w:b/>
          <w:sz w:val="24"/>
        </w:rPr>
        <w:t>，或驾驶无有效行驶证</w:t>
      </w:r>
      <w:r>
        <w:rPr>
          <w:rFonts w:ascii="微软雅黑" w:eastAsia="微软雅黑" w:hint="eastAsia"/>
          <w:b/>
          <w:spacing w:val="0"/>
          <w:sz w:val="21"/>
        </w:rPr>
        <w:t>（</w:t>
      </w:r>
      <w:r>
        <w:rPr>
          <w:rFonts w:ascii="微软雅黑" w:eastAsia="微软雅黑" w:hint="eastAsia"/>
          <w:b/>
          <w:spacing w:val="-2"/>
          <w:sz w:val="21"/>
        </w:rPr>
        <w:t>见名词释义 </w:t>
      </w:r>
      <w:r>
        <w:rPr>
          <w:rFonts w:ascii="微软雅黑" w:eastAsia="微软雅黑" w:hint="eastAsia"/>
          <w:b/>
          <w:spacing w:val="0"/>
          <w:w w:val="92"/>
          <w:sz w:val="21"/>
        </w:rPr>
        <w:t>9）</w:t>
      </w:r>
      <w:r>
        <w:rPr>
          <w:rFonts w:ascii="微软雅黑" w:eastAsia="微软雅黑" w:hint="eastAsia"/>
          <w:b/>
          <w:spacing w:val="-1"/>
          <w:sz w:val="24"/>
        </w:rPr>
        <w:t>的机动车</w:t>
      </w:r>
      <w:r>
        <w:rPr>
          <w:rFonts w:ascii="微软雅黑" w:eastAsia="微软雅黑" w:hint="eastAsia"/>
          <w:b/>
          <w:spacing w:val="0"/>
          <w:sz w:val="21"/>
        </w:rPr>
        <w:t>（</w:t>
      </w:r>
      <w:r>
        <w:rPr>
          <w:rFonts w:ascii="微软雅黑" w:eastAsia="微软雅黑" w:hint="eastAsia"/>
          <w:b/>
          <w:spacing w:val="-2"/>
          <w:sz w:val="21"/>
        </w:rPr>
        <w:t>见名词释义 </w:t>
      </w:r>
      <w:r>
        <w:rPr>
          <w:rFonts w:ascii="微软雅黑" w:eastAsia="微软雅黑" w:hint="eastAsia"/>
          <w:b/>
          <w:spacing w:val="0"/>
          <w:w w:val="81"/>
          <w:sz w:val="21"/>
        </w:rPr>
        <w:t>10</w:t>
      </w:r>
      <w:r>
        <w:rPr>
          <w:rFonts w:ascii="微软雅黑" w:eastAsia="微软雅黑" w:hint="eastAsia"/>
          <w:b/>
          <w:spacing w:val="-106"/>
          <w:sz w:val="21"/>
        </w:rPr>
        <w:t>）</w:t>
      </w:r>
      <w:r>
        <w:rPr>
          <w:rFonts w:ascii="微软雅黑" w:eastAsia="微软雅黑" w:hint="eastAsia"/>
          <w:b/>
          <w:sz w:val="24"/>
        </w:rPr>
        <w:t>；</w:t>
      </w:r>
    </w:p>
    <w:p>
      <w:pPr>
        <w:pStyle w:val="ListParagraph"/>
        <w:numPr>
          <w:ilvl w:val="0"/>
          <w:numId w:val="2"/>
        </w:numPr>
        <w:tabs>
          <w:tab w:pos="479" w:val="left" w:leader="none"/>
        </w:tabs>
        <w:spacing w:line="378" w:lineRule="exact" w:before="0" w:after="0"/>
        <w:ind w:left="478" w:right="0" w:hanging="360"/>
        <w:jc w:val="left"/>
        <w:rPr>
          <w:rFonts w:ascii="微软雅黑" w:eastAsia="微软雅黑" w:hint="eastAsia"/>
          <w:b/>
          <w:sz w:val="24"/>
        </w:rPr>
      </w:pPr>
      <w:r>
        <w:rPr>
          <w:rFonts w:ascii="微软雅黑" w:eastAsia="微软雅黑" w:hint="eastAsia"/>
          <w:b/>
          <w:sz w:val="24"/>
        </w:rPr>
        <w:t>被保险人感染艾滋病病毒或患艾滋病</w:t>
      </w:r>
      <w:r>
        <w:rPr>
          <w:rFonts w:ascii="微软雅黑" w:eastAsia="微软雅黑" w:hint="eastAsia"/>
          <w:b/>
          <w:spacing w:val="0"/>
          <w:sz w:val="21"/>
        </w:rPr>
        <w:t>（</w:t>
      </w:r>
      <w:r>
        <w:rPr>
          <w:rFonts w:ascii="微软雅黑" w:eastAsia="微软雅黑" w:hint="eastAsia"/>
          <w:b/>
          <w:spacing w:val="-2"/>
          <w:sz w:val="21"/>
        </w:rPr>
        <w:t>见名词释义 </w:t>
      </w:r>
      <w:r>
        <w:rPr>
          <w:rFonts w:ascii="微软雅黑" w:eastAsia="微软雅黑" w:hint="eastAsia"/>
          <w:b/>
          <w:spacing w:val="0"/>
          <w:w w:val="81"/>
          <w:sz w:val="21"/>
        </w:rPr>
        <w:t>11</w:t>
      </w:r>
      <w:r>
        <w:rPr>
          <w:rFonts w:ascii="微软雅黑" w:eastAsia="微软雅黑" w:hint="eastAsia"/>
          <w:b/>
          <w:spacing w:val="-105"/>
          <w:sz w:val="21"/>
        </w:rPr>
        <w:t>）</w:t>
      </w:r>
      <w:r>
        <w:rPr>
          <w:rFonts w:ascii="微软雅黑" w:eastAsia="微软雅黑" w:hint="eastAsia"/>
          <w:b/>
          <w:sz w:val="24"/>
        </w:rPr>
        <w:t>；</w:t>
      </w:r>
    </w:p>
    <w:p>
      <w:pPr>
        <w:pStyle w:val="Heading1"/>
        <w:numPr>
          <w:ilvl w:val="0"/>
          <w:numId w:val="2"/>
        </w:numPr>
        <w:tabs>
          <w:tab w:pos="479" w:val="left" w:leader="none"/>
        </w:tabs>
        <w:spacing w:line="390" w:lineRule="exact" w:before="0" w:after="0"/>
        <w:ind w:left="478" w:right="0" w:hanging="360"/>
        <w:jc w:val="left"/>
      </w:pPr>
      <w:r>
        <w:rPr/>
        <w:t>战争、军事冲突、暴乱或武装叛乱；</w:t>
      </w:r>
    </w:p>
    <w:p>
      <w:pPr>
        <w:pStyle w:val="ListParagraph"/>
        <w:numPr>
          <w:ilvl w:val="0"/>
          <w:numId w:val="2"/>
        </w:numPr>
        <w:tabs>
          <w:tab w:pos="479" w:val="left" w:leader="none"/>
        </w:tabs>
        <w:spacing w:line="390" w:lineRule="exact" w:before="0" w:after="0"/>
        <w:ind w:left="478" w:right="0" w:hanging="360"/>
        <w:jc w:val="left"/>
        <w:rPr>
          <w:rFonts w:ascii="微软雅黑" w:eastAsia="微软雅黑" w:hint="eastAsia"/>
          <w:b/>
          <w:sz w:val="24"/>
        </w:rPr>
      </w:pPr>
      <w:r>
        <w:rPr>
          <w:rFonts w:ascii="微软雅黑" w:eastAsia="微软雅黑" w:hint="eastAsia"/>
          <w:b/>
          <w:sz w:val="24"/>
        </w:rPr>
        <w:t>核爆炸、核辐射或核污染；</w:t>
      </w:r>
    </w:p>
    <w:p>
      <w:pPr>
        <w:pStyle w:val="ListParagraph"/>
        <w:numPr>
          <w:ilvl w:val="0"/>
          <w:numId w:val="2"/>
        </w:numPr>
        <w:tabs>
          <w:tab w:pos="479" w:val="left" w:leader="none"/>
        </w:tabs>
        <w:spacing w:line="402" w:lineRule="exact" w:before="0" w:after="0"/>
        <w:ind w:left="478" w:right="0" w:hanging="360"/>
        <w:jc w:val="left"/>
        <w:rPr>
          <w:rFonts w:ascii="微软雅黑" w:eastAsia="微软雅黑" w:hint="eastAsia"/>
          <w:b/>
          <w:sz w:val="24"/>
        </w:rPr>
      </w:pPr>
      <w:r>
        <w:rPr>
          <w:rFonts w:ascii="微软雅黑" w:eastAsia="微软雅黑" w:hint="eastAsia"/>
          <w:b/>
          <w:sz w:val="24"/>
        </w:rPr>
        <w:t>遗传性疾病</w:t>
      </w:r>
      <w:r>
        <w:rPr>
          <w:rFonts w:ascii="微软雅黑" w:eastAsia="微软雅黑" w:hint="eastAsia"/>
          <w:b/>
          <w:sz w:val="21"/>
        </w:rPr>
        <w:t>（</w:t>
      </w:r>
      <w:r>
        <w:rPr>
          <w:rFonts w:ascii="微软雅黑" w:eastAsia="微软雅黑" w:hint="eastAsia"/>
          <w:b/>
          <w:spacing w:val="-2"/>
          <w:sz w:val="21"/>
        </w:rPr>
        <w:t>见名词释义 </w:t>
      </w:r>
      <w:r>
        <w:rPr>
          <w:rFonts w:ascii="微软雅黑" w:eastAsia="微软雅黑" w:hint="eastAsia"/>
          <w:b/>
          <w:w w:val="81"/>
          <w:sz w:val="21"/>
        </w:rPr>
        <w:t>12</w:t>
      </w:r>
      <w:r>
        <w:rPr>
          <w:rFonts w:ascii="微软雅黑" w:eastAsia="微软雅黑" w:hint="eastAsia"/>
          <w:b/>
          <w:spacing w:val="-103"/>
          <w:sz w:val="21"/>
        </w:rPr>
        <w:t>）</w:t>
      </w:r>
      <w:r>
        <w:rPr>
          <w:rFonts w:ascii="微软雅黑" w:eastAsia="微软雅黑" w:hint="eastAsia"/>
          <w:b/>
          <w:spacing w:val="-1"/>
          <w:sz w:val="24"/>
        </w:rPr>
        <w:t>、先天性畸形、变形或染色体异常</w:t>
      </w:r>
      <w:r>
        <w:rPr>
          <w:rFonts w:ascii="微软雅黑" w:eastAsia="微软雅黑" w:hint="eastAsia"/>
          <w:b/>
          <w:spacing w:val="0"/>
          <w:sz w:val="21"/>
        </w:rPr>
        <w:t>（</w:t>
      </w:r>
      <w:r>
        <w:rPr>
          <w:rFonts w:ascii="微软雅黑" w:eastAsia="微软雅黑" w:hint="eastAsia"/>
          <w:b/>
          <w:spacing w:val="-2"/>
          <w:sz w:val="21"/>
        </w:rPr>
        <w:t>见名词释义 </w:t>
      </w:r>
      <w:r>
        <w:rPr>
          <w:rFonts w:ascii="微软雅黑" w:eastAsia="微软雅黑" w:hint="eastAsia"/>
          <w:b/>
          <w:spacing w:val="0"/>
          <w:w w:val="81"/>
          <w:sz w:val="21"/>
        </w:rPr>
        <w:t>13</w:t>
      </w:r>
      <w:r>
        <w:rPr>
          <w:rFonts w:ascii="微软雅黑" w:eastAsia="微软雅黑" w:hint="eastAsia"/>
          <w:b/>
          <w:spacing w:val="-106"/>
          <w:sz w:val="21"/>
        </w:rPr>
        <w:t>）</w:t>
      </w:r>
      <w:r>
        <w:rPr>
          <w:rFonts w:ascii="微软雅黑" w:eastAsia="微软雅黑" w:hint="eastAsia"/>
          <w:b/>
          <w:sz w:val="24"/>
        </w:rPr>
        <w:t>。</w:t>
      </w:r>
    </w:p>
    <w:p>
      <w:pPr>
        <w:pStyle w:val="BodyText"/>
        <w:spacing w:before="10"/>
        <w:rPr>
          <w:rFonts w:ascii="微软雅黑"/>
          <w:b/>
          <w:sz w:val="22"/>
        </w:rPr>
      </w:pPr>
    </w:p>
    <w:p>
      <w:pPr>
        <w:pStyle w:val="Heading1"/>
        <w:spacing w:line="225" w:lineRule="auto"/>
        <w:ind w:right="112"/>
      </w:pPr>
      <w:r>
        <w:rPr>
          <w:spacing w:val="-5"/>
        </w:rPr>
        <w:t>发生上述第１项情形导致被保险人身故的，本合同对该被保险人的保险责任自其身故时终止，本公司向其他权利人退还该被保险人对应的现金价值</w:t>
      </w:r>
      <w:r>
        <w:rPr>
          <w:spacing w:val="0"/>
          <w:sz w:val="21"/>
        </w:rPr>
        <w:t>（</w:t>
      </w:r>
      <w:r>
        <w:rPr>
          <w:spacing w:val="-2"/>
          <w:sz w:val="21"/>
        </w:rPr>
        <w:t>见名词释义 </w:t>
      </w:r>
      <w:r>
        <w:rPr>
          <w:spacing w:val="0"/>
          <w:w w:val="81"/>
          <w:sz w:val="21"/>
        </w:rPr>
        <w:t>14</w:t>
      </w:r>
      <w:r>
        <w:rPr>
          <w:spacing w:val="-105"/>
          <w:sz w:val="21"/>
        </w:rPr>
        <w:t>）</w:t>
      </w:r>
      <w:r>
        <w:rPr/>
        <w:t>。</w:t>
      </w:r>
    </w:p>
    <w:p>
      <w:pPr>
        <w:pStyle w:val="BodyText"/>
        <w:spacing w:before="10"/>
        <w:rPr>
          <w:rFonts w:ascii="微软雅黑"/>
          <w:b/>
          <w:sz w:val="22"/>
        </w:rPr>
      </w:pPr>
    </w:p>
    <w:p>
      <w:pPr>
        <w:spacing w:line="225" w:lineRule="auto" w:before="0"/>
        <w:ind w:left="118" w:right="52" w:firstLine="0"/>
        <w:jc w:val="left"/>
        <w:rPr>
          <w:rFonts w:ascii="微软雅黑" w:eastAsia="微软雅黑" w:hint="eastAsia"/>
          <w:b/>
          <w:sz w:val="24"/>
        </w:rPr>
      </w:pPr>
      <w:r>
        <w:rPr>
          <w:rFonts w:ascii="微软雅黑" w:eastAsia="微软雅黑" w:hint="eastAsia"/>
          <w:b/>
          <w:sz w:val="24"/>
        </w:rPr>
        <w:t>发生上述其他情形导致被保险人身故的，本合同对该被保险人的保险责任自其身故时终止，本公司向投保人退还该被保险人对应的现金价值。</w:t>
      </w:r>
    </w:p>
    <w:p>
      <w:pPr>
        <w:spacing w:after="0" w:line="225" w:lineRule="auto"/>
        <w:jc w:val="left"/>
        <w:rPr>
          <w:rFonts w:ascii="微软雅黑" w:eastAsia="微软雅黑" w:hint="eastAsia"/>
          <w:sz w:val="24"/>
        </w:rPr>
        <w:sectPr>
          <w:pgSz w:w="11910" w:h="16840"/>
          <w:pgMar w:header="0" w:footer="915" w:top="1520" w:bottom="1120" w:left="1300" w:right="1300"/>
        </w:sectPr>
      </w:pPr>
    </w:p>
    <w:p>
      <w:pPr>
        <w:spacing w:line="358" w:lineRule="exact" w:before="0"/>
        <w:ind w:left="118" w:right="0" w:firstLine="0"/>
        <w:jc w:val="left"/>
        <w:rPr>
          <w:rFonts w:ascii="微软雅黑" w:eastAsia="微软雅黑" w:hint="eastAsia"/>
          <w:b/>
          <w:sz w:val="24"/>
        </w:rPr>
      </w:pPr>
      <w:r>
        <w:rPr>
          <w:rFonts w:ascii="微软雅黑" w:eastAsia="微软雅黑" w:hint="eastAsia"/>
          <w:b/>
          <w:sz w:val="24"/>
        </w:rPr>
        <w:t>第五条：保险责任的开始</w:t>
      </w:r>
    </w:p>
    <w:p>
      <w:pPr>
        <w:pStyle w:val="BodyText"/>
        <w:spacing w:before="5"/>
        <w:rPr>
          <w:rFonts w:ascii="微软雅黑"/>
          <w:b/>
          <w:sz w:val="25"/>
        </w:rPr>
      </w:pPr>
    </w:p>
    <w:p>
      <w:pPr>
        <w:pStyle w:val="BodyText"/>
        <w:spacing w:line="297" w:lineRule="auto"/>
        <w:ind w:left="118" w:right="114"/>
        <w:jc w:val="both"/>
      </w:pPr>
      <w:r>
        <w:rPr>
          <w:spacing w:val="-3"/>
        </w:rPr>
        <w:t>本合同的生效日于保险单或其他保险凭证中载明。自本合同的生效日零时起本公司开始</w:t>
      </w:r>
      <w:r>
        <w:rPr>
          <w:spacing w:val="-7"/>
        </w:rPr>
        <w:t>承担本合同约定的保险责任；但对于本合同的生效日或开始承担保险责任的时间另有约</w:t>
      </w:r>
      <w:r>
        <w:rPr>
          <w:spacing w:val="-8"/>
        </w:rPr>
        <w:t>定的，须以保险单特别约定栏或批注中载明的内容为准。保险单年度、保险费约定交纳日、保险单满期日均以该日期计算。</w:t>
      </w:r>
    </w:p>
    <w:p>
      <w:pPr>
        <w:pStyle w:val="BodyText"/>
      </w:pPr>
    </w:p>
    <w:p>
      <w:pPr>
        <w:pStyle w:val="BodyText"/>
        <w:spacing w:before="7"/>
        <w:rPr>
          <w:sz w:val="31"/>
        </w:rPr>
      </w:pPr>
    </w:p>
    <w:p>
      <w:pPr>
        <w:pStyle w:val="Heading1"/>
      </w:pPr>
      <w:r>
        <w:rPr/>
        <w:t>第六条：保险期间</w:t>
      </w:r>
    </w:p>
    <w:p>
      <w:pPr>
        <w:pStyle w:val="BodyText"/>
        <w:spacing w:before="4"/>
        <w:rPr>
          <w:rFonts w:ascii="微软雅黑"/>
          <w:b/>
          <w:sz w:val="25"/>
        </w:rPr>
      </w:pPr>
    </w:p>
    <w:p>
      <w:pPr>
        <w:pStyle w:val="BodyText"/>
        <w:spacing w:line="297" w:lineRule="auto" w:before="1"/>
        <w:ind w:left="118" w:right="113"/>
      </w:pPr>
      <w:r>
        <w:rPr>
          <w:spacing w:val="-5"/>
        </w:rPr>
        <w:t>本合同的保险期间最长为 </w:t>
      </w:r>
      <w:r>
        <w:rPr/>
        <w:t>1</w:t>
      </w:r>
      <w:r>
        <w:rPr>
          <w:spacing w:val="-10"/>
        </w:rPr>
        <w:t> 年，自本合同的生效日零时起至本合同届满日 </w:t>
      </w:r>
      <w:r>
        <w:rPr/>
        <w:t>24</w:t>
      </w:r>
      <w:r>
        <w:rPr>
          <w:spacing w:val="-12"/>
        </w:rPr>
        <w:t> 时止，并于保险单或其他保险凭证中载明，本合同另有约定的除外。</w:t>
      </w:r>
    </w:p>
    <w:p>
      <w:pPr>
        <w:pStyle w:val="BodyText"/>
      </w:pPr>
    </w:p>
    <w:p>
      <w:pPr>
        <w:pStyle w:val="BodyText"/>
        <w:spacing w:before="7"/>
        <w:rPr>
          <w:sz w:val="31"/>
        </w:rPr>
      </w:pPr>
    </w:p>
    <w:p>
      <w:pPr>
        <w:pStyle w:val="Heading1"/>
      </w:pPr>
      <w:r>
        <w:rPr/>
        <w:t>第七条：基本保险金额</w:t>
      </w:r>
    </w:p>
    <w:p>
      <w:pPr>
        <w:pStyle w:val="BodyText"/>
        <w:spacing w:before="4"/>
        <w:rPr>
          <w:rFonts w:ascii="微软雅黑"/>
          <w:b/>
          <w:sz w:val="25"/>
        </w:rPr>
      </w:pPr>
    </w:p>
    <w:p>
      <w:pPr>
        <w:pStyle w:val="BodyText"/>
        <w:spacing w:before="1"/>
        <w:ind w:left="118"/>
      </w:pPr>
      <w:r>
        <w:rPr/>
        <w:t>本合同的基本保险金额由投保人与本公司约定并于保险单或其他保险凭证中载明。</w:t>
      </w:r>
    </w:p>
    <w:p>
      <w:pPr>
        <w:pStyle w:val="BodyText"/>
      </w:pPr>
    </w:p>
    <w:p>
      <w:pPr>
        <w:pStyle w:val="BodyText"/>
        <w:spacing w:before="12"/>
        <w:rPr>
          <w:sz w:val="35"/>
        </w:rPr>
      </w:pPr>
    </w:p>
    <w:p>
      <w:pPr>
        <w:pStyle w:val="Heading1"/>
      </w:pPr>
      <w:r>
        <w:rPr/>
        <w:t>第八条：保险费</w:t>
      </w:r>
    </w:p>
    <w:p>
      <w:pPr>
        <w:pStyle w:val="BodyText"/>
        <w:spacing w:before="4"/>
        <w:rPr>
          <w:rFonts w:ascii="微软雅黑"/>
          <w:b/>
          <w:sz w:val="25"/>
        </w:rPr>
      </w:pPr>
    </w:p>
    <w:p>
      <w:pPr>
        <w:pStyle w:val="BodyText"/>
        <w:spacing w:line="297" w:lineRule="auto"/>
        <w:ind w:left="118" w:right="52"/>
      </w:pPr>
      <w:r>
        <w:rPr/>
        <w:t>本合同的保险费以投保人选择的保险计划为基础，按本公司核定的保险费率计算，并于保险单或其他保险凭证中载明。本合同的保险费的交付方式为一次性交清。</w:t>
      </w:r>
    </w:p>
    <w:p>
      <w:pPr>
        <w:pStyle w:val="BodyText"/>
      </w:pPr>
    </w:p>
    <w:p>
      <w:pPr>
        <w:pStyle w:val="BodyText"/>
        <w:spacing w:before="6"/>
        <w:rPr>
          <w:sz w:val="31"/>
        </w:rPr>
      </w:pPr>
    </w:p>
    <w:p>
      <w:pPr>
        <w:pStyle w:val="Heading1"/>
      </w:pPr>
      <w:r>
        <w:rPr/>
        <w:t>第九条：续保</w:t>
      </w:r>
    </w:p>
    <w:p>
      <w:pPr>
        <w:pStyle w:val="BodyText"/>
        <w:spacing w:before="4"/>
        <w:rPr>
          <w:rFonts w:ascii="微软雅黑"/>
          <w:b/>
          <w:sz w:val="25"/>
        </w:rPr>
      </w:pPr>
    </w:p>
    <w:p>
      <w:pPr>
        <w:pStyle w:val="ListParagraph"/>
        <w:numPr>
          <w:ilvl w:val="0"/>
          <w:numId w:val="3"/>
        </w:numPr>
        <w:tabs>
          <w:tab w:pos="479" w:val="left" w:leader="none"/>
        </w:tabs>
        <w:spacing w:line="297" w:lineRule="auto" w:before="0" w:after="0"/>
        <w:ind w:left="478" w:right="114" w:hanging="360"/>
        <w:jc w:val="left"/>
        <w:rPr>
          <w:sz w:val="24"/>
        </w:rPr>
      </w:pPr>
      <w:r>
        <w:rPr>
          <w:spacing w:val="-8"/>
          <w:sz w:val="24"/>
        </w:rPr>
        <w:t>保险期间届满前 </w:t>
      </w:r>
      <w:r>
        <w:rPr>
          <w:sz w:val="24"/>
        </w:rPr>
        <w:t>30</w:t>
      </w:r>
      <w:r>
        <w:rPr>
          <w:spacing w:val="-11"/>
          <w:sz w:val="24"/>
        </w:rPr>
        <w:t> 天内，投保人提出申请，经本公司同意后可续保本保险，本公司将按照续保当时被保险人的年龄收取保险费。</w:t>
      </w:r>
    </w:p>
    <w:p>
      <w:pPr>
        <w:pStyle w:val="BodyText"/>
        <w:spacing w:before="2"/>
        <w:rPr>
          <w:sz w:val="31"/>
        </w:rPr>
      </w:pPr>
    </w:p>
    <w:p>
      <w:pPr>
        <w:pStyle w:val="ListParagraph"/>
        <w:numPr>
          <w:ilvl w:val="0"/>
          <w:numId w:val="3"/>
        </w:numPr>
        <w:tabs>
          <w:tab w:pos="479" w:val="left" w:leader="none"/>
        </w:tabs>
        <w:spacing w:line="297" w:lineRule="auto" w:before="0" w:after="0"/>
        <w:ind w:left="478" w:right="113" w:hanging="360"/>
        <w:jc w:val="left"/>
        <w:rPr>
          <w:sz w:val="24"/>
        </w:rPr>
      </w:pPr>
      <w:r>
        <w:rPr>
          <w:sz w:val="24"/>
        </w:rPr>
        <w:t>本公司有权调整本保险的保险费率，调整后的保险费率将通知投保人，自续保起适用。</w:t>
      </w:r>
    </w:p>
    <w:p>
      <w:pPr>
        <w:pStyle w:val="BodyText"/>
      </w:pPr>
    </w:p>
    <w:p>
      <w:pPr>
        <w:pStyle w:val="BodyText"/>
        <w:spacing w:before="6"/>
        <w:rPr>
          <w:sz w:val="31"/>
        </w:rPr>
      </w:pPr>
    </w:p>
    <w:p>
      <w:pPr>
        <w:pStyle w:val="Heading1"/>
        <w:spacing w:before="1"/>
      </w:pPr>
      <w:r>
        <w:rPr/>
        <w:t>第十条：合同的解除</w:t>
      </w:r>
    </w:p>
    <w:p>
      <w:pPr>
        <w:pStyle w:val="BodyText"/>
        <w:spacing w:before="5"/>
        <w:rPr>
          <w:rFonts w:ascii="微软雅黑"/>
          <w:b/>
          <w:sz w:val="25"/>
        </w:rPr>
      </w:pPr>
    </w:p>
    <w:p>
      <w:pPr>
        <w:pStyle w:val="BodyText"/>
        <w:ind w:left="118"/>
      </w:pPr>
      <w:r>
        <w:rPr/>
        <w:t>在本合同有效期间内，投保人可以书面要求解除本合同，本公司按照合同约定退还保险</w:t>
      </w:r>
    </w:p>
    <w:p>
      <w:pPr>
        <w:spacing w:after="0"/>
        <w:sectPr>
          <w:pgSz w:w="11910" w:h="16840"/>
          <w:pgMar w:header="0" w:footer="915" w:top="1120" w:bottom="1120" w:left="1300" w:right="1300"/>
        </w:sectPr>
      </w:pPr>
    </w:p>
    <w:p>
      <w:pPr>
        <w:pStyle w:val="BodyText"/>
        <w:spacing w:line="595" w:lineRule="auto" w:before="14"/>
        <w:ind w:left="118" w:right="305"/>
      </w:pPr>
      <w:r>
        <w:rPr/>
        <w:t>单的现金价值予投保人。如本合同已发生保险金给付，投保人不得要求解除本合同。投保人要求解除本合同时，应填写合同解除申请书并提交下列文件和资料：</w:t>
      </w:r>
    </w:p>
    <w:p>
      <w:pPr>
        <w:pStyle w:val="ListParagraph"/>
        <w:numPr>
          <w:ilvl w:val="0"/>
          <w:numId w:val="4"/>
        </w:numPr>
        <w:tabs>
          <w:tab w:pos="539" w:val="left" w:leader="none"/>
        </w:tabs>
        <w:spacing w:line="240" w:lineRule="auto" w:before="110" w:after="0"/>
        <w:ind w:left="538" w:right="0" w:hanging="420"/>
        <w:jc w:val="left"/>
        <w:rPr>
          <w:sz w:val="24"/>
        </w:rPr>
      </w:pPr>
      <w:r>
        <w:rPr>
          <w:sz w:val="24"/>
        </w:rPr>
        <w:t>保险单或其他保险凭证；</w:t>
      </w:r>
    </w:p>
    <w:p>
      <w:pPr>
        <w:pStyle w:val="ListParagraph"/>
        <w:numPr>
          <w:ilvl w:val="0"/>
          <w:numId w:val="4"/>
        </w:numPr>
        <w:tabs>
          <w:tab w:pos="539" w:val="left" w:leader="none"/>
        </w:tabs>
        <w:spacing w:line="240" w:lineRule="auto" w:before="75" w:after="0"/>
        <w:ind w:left="538" w:right="0" w:hanging="420"/>
        <w:jc w:val="left"/>
        <w:rPr>
          <w:sz w:val="24"/>
        </w:rPr>
      </w:pPr>
      <w:r>
        <w:rPr>
          <w:sz w:val="24"/>
        </w:rPr>
        <w:t>保险费收据；</w:t>
      </w:r>
    </w:p>
    <w:p>
      <w:pPr>
        <w:pStyle w:val="ListParagraph"/>
        <w:numPr>
          <w:ilvl w:val="0"/>
          <w:numId w:val="4"/>
        </w:numPr>
        <w:tabs>
          <w:tab w:pos="539" w:val="left" w:leader="none"/>
        </w:tabs>
        <w:spacing w:line="240" w:lineRule="auto" w:before="75" w:after="0"/>
        <w:ind w:left="538" w:right="0" w:hanging="420"/>
        <w:jc w:val="left"/>
        <w:rPr>
          <w:sz w:val="24"/>
        </w:rPr>
      </w:pPr>
      <w:r>
        <w:rPr>
          <w:sz w:val="24"/>
        </w:rPr>
        <w:t>投保单位证明。</w:t>
      </w:r>
    </w:p>
    <w:p>
      <w:pPr>
        <w:pStyle w:val="BodyText"/>
        <w:spacing w:before="7"/>
        <w:rPr>
          <w:sz w:val="35"/>
        </w:rPr>
      </w:pPr>
    </w:p>
    <w:p>
      <w:pPr>
        <w:pStyle w:val="BodyText"/>
        <w:ind w:left="118"/>
      </w:pPr>
      <w:r>
        <w:rPr/>
        <w:t>自本公司接到合同解除申请书及上述全部文件和资料之日起，本合同效力终止。</w:t>
      </w:r>
    </w:p>
    <w:p>
      <w:pPr>
        <w:pStyle w:val="BodyText"/>
      </w:pPr>
    </w:p>
    <w:p>
      <w:pPr>
        <w:pStyle w:val="BodyText"/>
        <w:spacing w:before="11"/>
        <w:rPr>
          <w:sz w:val="35"/>
        </w:rPr>
      </w:pPr>
    </w:p>
    <w:p>
      <w:pPr>
        <w:pStyle w:val="Heading1"/>
        <w:spacing w:before="1"/>
      </w:pPr>
      <w:r>
        <w:rPr/>
        <w:t>第十一条：合同效力的终止</w:t>
      </w:r>
    </w:p>
    <w:p>
      <w:pPr>
        <w:pStyle w:val="BodyText"/>
        <w:spacing w:before="5"/>
        <w:rPr>
          <w:rFonts w:ascii="微软雅黑"/>
          <w:b/>
          <w:sz w:val="25"/>
        </w:rPr>
      </w:pPr>
    </w:p>
    <w:p>
      <w:pPr>
        <w:pStyle w:val="BodyText"/>
        <w:ind w:left="118"/>
      </w:pPr>
      <w:r>
        <w:rPr/>
        <w:t>本合同于下列情况之一者将会自动终止效力：</w:t>
      </w:r>
    </w:p>
    <w:p>
      <w:pPr>
        <w:pStyle w:val="BodyText"/>
        <w:spacing w:before="7"/>
        <w:rPr>
          <w:sz w:val="35"/>
        </w:rPr>
      </w:pPr>
    </w:p>
    <w:p>
      <w:pPr>
        <w:pStyle w:val="ListParagraph"/>
        <w:numPr>
          <w:ilvl w:val="0"/>
          <w:numId w:val="5"/>
        </w:numPr>
        <w:tabs>
          <w:tab w:pos="539" w:val="left" w:leader="none"/>
        </w:tabs>
        <w:spacing w:line="240" w:lineRule="auto" w:before="0" w:after="0"/>
        <w:ind w:left="538" w:right="0" w:hanging="420"/>
        <w:jc w:val="left"/>
        <w:rPr>
          <w:sz w:val="24"/>
        </w:rPr>
      </w:pPr>
      <w:r>
        <w:rPr>
          <w:sz w:val="24"/>
        </w:rPr>
        <w:t>投保人在本合同有效期间内已按照本合同第十条解除本合同的；</w:t>
      </w:r>
    </w:p>
    <w:p>
      <w:pPr>
        <w:pStyle w:val="ListParagraph"/>
        <w:numPr>
          <w:ilvl w:val="0"/>
          <w:numId w:val="5"/>
        </w:numPr>
        <w:tabs>
          <w:tab w:pos="539" w:val="left" w:leader="none"/>
        </w:tabs>
        <w:spacing w:line="240" w:lineRule="auto" w:before="75" w:after="0"/>
        <w:ind w:left="538" w:right="0" w:hanging="420"/>
        <w:jc w:val="left"/>
        <w:rPr>
          <w:sz w:val="24"/>
        </w:rPr>
      </w:pPr>
      <w:r>
        <w:rPr>
          <w:sz w:val="24"/>
        </w:rPr>
        <w:t>保险期间届满；</w:t>
      </w:r>
    </w:p>
    <w:p>
      <w:pPr>
        <w:pStyle w:val="ListParagraph"/>
        <w:numPr>
          <w:ilvl w:val="0"/>
          <w:numId w:val="5"/>
        </w:numPr>
        <w:tabs>
          <w:tab w:pos="539" w:val="left" w:leader="none"/>
        </w:tabs>
        <w:spacing w:line="240" w:lineRule="auto" w:before="75" w:after="0"/>
        <w:ind w:left="538" w:right="0" w:hanging="420"/>
        <w:jc w:val="left"/>
        <w:rPr>
          <w:sz w:val="24"/>
        </w:rPr>
      </w:pPr>
      <w:r>
        <w:rPr>
          <w:sz w:val="24"/>
        </w:rPr>
        <w:t>因本合同内的其他条款所列情况而终止效力。</w:t>
      </w:r>
    </w:p>
    <w:p>
      <w:pPr>
        <w:pStyle w:val="BodyText"/>
      </w:pPr>
    </w:p>
    <w:p>
      <w:pPr>
        <w:pStyle w:val="BodyText"/>
        <w:spacing w:before="11"/>
        <w:rPr>
          <w:sz w:val="35"/>
        </w:rPr>
      </w:pPr>
    </w:p>
    <w:p>
      <w:pPr>
        <w:pStyle w:val="Heading1"/>
        <w:spacing w:before="1"/>
      </w:pPr>
      <w:r>
        <w:rPr/>
        <w:t>第十二条：明确说明与如实告知义务</w:t>
      </w:r>
    </w:p>
    <w:p>
      <w:pPr>
        <w:pStyle w:val="BodyText"/>
        <w:spacing w:before="5"/>
        <w:rPr>
          <w:rFonts w:ascii="微软雅黑"/>
          <w:b/>
          <w:sz w:val="25"/>
        </w:rPr>
      </w:pPr>
    </w:p>
    <w:p>
      <w:pPr>
        <w:pStyle w:val="BodyText"/>
        <w:spacing w:line="297" w:lineRule="auto"/>
        <w:ind w:left="118" w:right="53"/>
      </w:pPr>
      <w:r>
        <w:rPr/>
        <w:t>本合同订立时，本公司应当向投保人说明本合同的条款内容，并可以就投保人或者被保险人的有关情况提出书面询问，投保人、被保险人应当如实告知。</w:t>
      </w:r>
    </w:p>
    <w:p>
      <w:pPr>
        <w:pStyle w:val="BodyText"/>
        <w:spacing w:before="8"/>
        <w:rPr>
          <w:sz w:val="27"/>
        </w:rPr>
      </w:pPr>
    </w:p>
    <w:p>
      <w:pPr>
        <w:pStyle w:val="Heading1"/>
        <w:spacing w:line="225" w:lineRule="auto"/>
        <w:ind w:right="51"/>
      </w:pPr>
      <w:r>
        <w:rPr/>
        <w:t>如果投保人故意或者因重大过失未履行前款规定的如实告知义务，足以影响本公司决定是否同意承保或者提高保险费率的，本公司有权解除本合同。</w:t>
      </w:r>
    </w:p>
    <w:p>
      <w:pPr>
        <w:pStyle w:val="BodyText"/>
        <w:spacing w:before="10"/>
        <w:rPr>
          <w:rFonts w:ascii="微软雅黑"/>
          <w:b/>
          <w:sz w:val="22"/>
        </w:rPr>
      </w:pPr>
    </w:p>
    <w:p>
      <w:pPr>
        <w:spacing w:line="225" w:lineRule="auto" w:before="0"/>
        <w:ind w:left="118" w:right="52" w:firstLine="0"/>
        <w:jc w:val="left"/>
        <w:rPr>
          <w:rFonts w:ascii="微软雅黑" w:eastAsia="微软雅黑" w:hint="eastAsia"/>
          <w:b/>
          <w:sz w:val="24"/>
        </w:rPr>
      </w:pPr>
      <w:r>
        <w:rPr>
          <w:rFonts w:ascii="微软雅黑" w:eastAsia="微软雅黑" w:hint="eastAsia"/>
          <w:b/>
          <w:sz w:val="24"/>
        </w:rPr>
        <w:t>如果投保人故意不履行如实告知义务，对于本合同解除前发生的保险事故，本公司不承担给付保险金的责任，并不退还保险费。</w:t>
      </w:r>
    </w:p>
    <w:p>
      <w:pPr>
        <w:pStyle w:val="BodyText"/>
        <w:spacing w:before="10"/>
        <w:rPr>
          <w:rFonts w:ascii="微软雅黑"/>
          <w:b/>
          <w:sz w:val="22"/>
        </w:rPr>
      </w:pPr>
    </w:p>
    <w:p>
      <w:pPr>
        <w:spacing w:line="225" w:lineRule="auto" w:before="0"/>
        <w:ind w:left="118" w:right="52" w:firstLine="0"/>
        <w:jc w:val="left"/>
        <w:rPr>
          <w:rFonts w:ascii="微软雅黑" w:eastAsia="微软雅黑" w:hint="eastAsia"/>
          <w:b/>
          <w:sz w:val="24"/>
        </w:rPr>
      </w:pPr>
      <w:r>
        <w:rPr>
          <w:rFonts w:ascii="微软雅黑" w:eastAsia="微软雅黑" w:hint="eastAsia"/>
          <w:b/>
          <w:sz w:val="24"/>
        </w:rPr>
        <w:t>如果投保人因重大过失未履行如实告知义务，对保险事故的发生有严重影响的，对于本合同解除前发生的保险事故，本公司不承担给付保险金的责任，但应当退还保险费。</w:t>
      </w:r>
    </w:p>
    <w:p>
      <w:pPr>
        <w:pStyle w:val="BodyText"/>
        <w:spacing w:before="4"/>
        <w:rPr>
          <w:rFonts w:ascii="微软雅黑"/>
          <w:b/>
          <w:sz w:val="25"/>
        </w:rPr>
      </w:pPr>
    </w:p>
    <w:p>
      <w:pPr>
        <w:pStyle w:val="BodyText"/>
        <w:spacing w:line="297" w:lineRule="auto" w:before="1"/>
        <w:ind w:left="118" w:right="52"/>
      </w:pPr>
      <w:r>
        <w:rPr/>
        <w:t>本公司在合同订立时已经知道投保人未如实告知的情况的，本公司不得解除合同；发生保险事故的，本公司承担给付保险金的责任。</w:t>
      </w:r>
    </w:p>
    <w:p>
      <w:pPr>
        <w:spacing w:after="0" w:line="297" w:lineRule="auto"/>
        <w:sectPr>
          <w:pgSz w:w="11910" w:h="16840"/>
          <w:pgMar w:header="0" w:footer="915" w:top="1120" w:bottom="1120" w:left="1300" w:right="1300"/>
        </w:sectPr>
      </w:pPr>
    </w:p>
    <w:p>
      <w:pPr>
        <w:pStyle w:val="Heading1"/>
        <w:spacing w:line="348" w:lineRule="exact"/>
      </w:pPr>
      <w:r>
        <w:rPr/>
        <w:t>第十三条：本公司合同解除权的限制</w:t>
      </w:r>
    </w:p>
    <w:p>
      <w:pPr>
        <w:pStyle w:val="BodyText"/>
        <w:spacing w:before="13"/>
        <w:rPr>
          <w:rFonts w:ascii="微软雅黑"/>
          <w:b/>
          <w:sz w:val="20"/>
        </w:rPr>
      </w:pPr>
    </w:p>
    <w:p>
      <w:pPr>
        <w:pStyle w:val="BodyText"/>
        <w:ind w:left="118"/>
      </w:pPr>
      <w:r>
        <w:rPr/>
        <w:t>本合同第十二条规定的合同解除权，自本公司知道有解除事由之日起，超过 30 日不行</w:t>
      </w:r>
    </w:p>
    <w:p>
      <w:pPr>
        <w:pStyle w:val="BodyText"/>
        <w:spacing w:line="297" w:lineRule="auto" w:before="75"/>
        <w:ind w:left="118" w:right="105"/>
      </w:pPr>
      <w:r>
        <w:rPr>
          <w:spacing w:val="-4"/>
        </w:rPr>
        <w:t>使而消灭。自本合同成立之日起超过 </w:t>
      </w:r>
      <w:r>
        <w:rPr/>
        <w:t>2</w:t>
      </w:r>
      <w:r>
        <w:rPr>
          <w:spacing w:val="-8"/>
        </w:rPr>
        <w:t> 年的，本公司不得解除合同；发生保险事故的， 本公司承担给付保险金的责任。</w:t>
      </w:r>
    </w:p>
    <w:p>
      <w:pPr>
        <w:pStyle w:val="BodyText"/>
      </w:pPr>
    </w:p>
    <w:p>
      <w:pPr>
        <w:pStyle w:val="BodyText"/>
        <w:spacing w:before="6"/>
        <w:rPr>
          <w:sz w:val="31"/>
        </w:rPr>
      </w:pPr>
    </w:p>
    <w:p>
      <w:pPr>
        <w:pStyle w:val="Heading1"/>
        <w:jc w:val="both"/>
      </w:pPr>
      <w:r>
        <w:rPr/>
        <w:t>第十四条：受益人的指定与变更</w:t>
      </w:r>
    </w:p>
    <w:p>
      <w:pPr>
        <w:pStyle w:val="BodyText"/>
        <w:spacing w:before="4"/>
        <w:rPr>
          <w:rFonts w:ascii="微软雅黑"/>
          <w:b/>
          <w:sz w:val="25"/>
        </w:rPr>
      </w:pPr>
    </w:p>
    <w:p>
      <w:pPr>
        <w:pStyle w:val="BodyText"/>
        <w:ind w:left="118"/>
        <w:jc w:val="both"/>
      </w:pPr>
      <w:r>
        <w:rPr/>
        <w:t>重大疾病保险金的受益人为被保险人本人。</w:t>
      </w:r>
    </w:p>
    <w:p>
      <w:pPr>
        <w:pStyle w:val="BodyText"/>
      </w:pPr>
    </w:p>
    <w:p>
      <w:pPr>
        <w:pStyle w:val="BodyText"/>
        <w:spacing w:before="12"/>
        <w:rPr>
          <w:sz w:val="35"/>
        </w:rPr>
      </w:pPr>
    </w:p>
    <w:p>
      <w:pPr>
        <w:pStyle w:val="Heading1"/>
        <w:jc w:val="both"/>
      </w:pPr>
      <w:r>
        <w:rPr/>
        <w:t>第十五条：保险事故的通知</w:t>
      </w:r>
    </w:p>
    <w:p>
      <w:pPr>
        <w:pStyle w:val="BodyText"/>
        <w:spacing w:before="4"/>
        <w:rPr>
          <w:rFonts w:ascii="微软雅黑"/>
          <w:b/>
          <w:sz w:val="25"/>
        </w:rPr>
      </w:pPr>
    </w:p>
    <w:p>
      <w:pPr>
        <w:pStyle w:val="BodyText"/>
        <w:spacing w:before="1"/>
        <w:ind w:left="118"/>
        <w:jc w:val="both"/>
      </w:pPr>
      <w:r>
        <w:rPr/>
        <w:t>投保人、被保险人或者受益人知道保险事故后应当在 10 日内通知本公司。</w:t>
      </w:r>
    </w:p>
    <w:p>
      <w:pPr>
        <w:pStyle w:val="BodyText"/>
        <w:spacing w:before="2"/>
        <w:rPr>
          <w:sz w:val="33"/>
        </w:rPr>
      </w:pPr>
    </w:p>
    <w:p>
      <w:pPr>
        <w:spacing w:line="390" w:lineRule="exact" w:before="0"/>
        <w:ind w:left="118" w:right="152" w:firstLine="0"/>
        <w:jc w:val="both"/>
        <w:rPr>
          <w:sz w:val="24"/>
        </w:rPr>
      </w:pPr>
      <w:r>
        <w:rPr>
          <w:rFonts w:ascii="微软雅黑" w:eastAsia="微软雅黑" w:hint="eastAsia"/>
          <w:b/>
          <w:spacing w:val="-8"/>
          <w:sz w:val="24"/>
        </w:rPr>
        <w:t>如果投保人、被保险人或者受益人故意或者因重大过失未及时通知，致使保险事故的性</w:t>
      </w:r>
      <w:r>
        <w:rPr>
          <w:rFonts w:ascii="微软雅黑" w:eastAsia="微软雅黑" w:hint="eastAsia"/>
          <w:b/>
          <w:spacing w:val="-10"/>
          <w:sz w:val="24"/>
        </w:rPr>
        <w:t>质、原因、损失程度等难以确定的，本公司对无法确定的部分，不承担给付保险金的责</w:t>
      </w:r>
      <w:r>
        <w:rPr>
          <w:rFonts w:ascii="微软雅黑" w:eastAsia="微软雅黑" w:hint="eastAsia"/>
          <w:b/>
          <w:spacing w:val="-1"/>
          <w:sz w:val="24"/>
        </w:rPr>
        <w:t>任</w:t>
      </w:r>
      <w:r>
        <w:rPr>
          <w:spacing w:val="-8"/>
          <w:sz w:val="24"/>
        </w:rPr>
        <w:t>，但本公司通过其他途径已经及时知道或者应当及时知道保险事故发生或者虽未及时通知但不影响本公司确定保险事故的性质、原因、损失程度的除外。</w:t>
      </w:r>
    </w:p>
    <w:p>
      <w:pPr>
        <w:pStyle w:val="BodyText"/>
      </w:pPr>
    </w:p>
    <w:p>
      <w:pPr>
        <w:pStyle w:val="BodyText"/>
        <w:spacing w:before="7"/>
        <w:rPr>
          <w:sz w:val="32"/>
        </w:rPr>
      </w:pPr>
    </w:p>
    <w:p>
      <w:pPr>
        <w:pStyle w:val="Heading1"/>
        <w:jc w:val="both"/>
      </w:pPr>
      <w:r>
        <w:rPr/>
        <w:t>第十六条：保险金的申请</w:t>
      </w:r>
    </w:p>
    <w:p>
      <w:pPr>
        <w:pStyle w:val="BodyText"/>
        <w:spacing w:before="5"/>
        <w:rPr>
          <w:rFonts w:ascii="微软雅黑"/>
          <w:b/>
          <w:sz w:val="25"/>
        </w:rPr>
      </w:pPr>
    </w:p>
    <w:p>
      <w:pPr>
        <w:pStyle w:val="BodyText"/>
        <w:ind w:left="118"/>
        <w:jc w:val="both"/>
      </w:pPr>
      <w:r>
        <w:rPr/>
        <w:t>申请重大疾病保险金时，被保险人应提供下列文件：</w:t>
      </w:r>
    </w:p>
    <w:p>
      <w:pPr>
        <w:pStyle w:val="BodyText"/>
        <w:spacing w:before="7"/>
        <w:rPr>
          <w:sz w:val="35"/>
        </w:rPr>
      </w:pPr>
    </w:p>
    <w:p>
      <w:pPr>
        <w:pStyle w:val="ListParagraph"/>
        <w:numPr>
          <w:ilvl w:val="1"/>
          <w:numId w:val="5"/>
        </w:numPr>
        <w:tabs>
          <w:tab w:pos="1259" w:val="left" w:leader="none"/>
        </w:tabs>
        <w:spacing w:line="240" w:lineRule="auto" w:before="1" w:after="0"/>
        <w:ind w:left="1258" w:right="0" w:hanging="720"/>
        <w:jc w:val="left"/>
        <w:rPr>
          <w:sz w:val="24"/>
        </w:rPr>
      </w:pPr>
      <w:r>
        <w:rPr>
          <w:sz w:val="24"/>
        </w:rPr>
        <w:t>理赔申请书；</w:t>
      </w:r>
    </w:p>
    <w:p>
      <w:pPr>
        <w:pStyle w:val="ListParagraph"/>
        <w:numPr>
          <w:ilvl w:val="1"/>
          <w:numId w:val="5"/>
        </w:numPr>
        <w:tabs>
          <w:tab w:pos="1259" w:val="left" w:leader="none"/>
        </w:tabs>
        <w:spacing w:line="240" w:lineRule="auto" w:before="76" w:after="0"/>
        <w:ind w:left="1258" w:right="0" w:hanging="720"/>
        <w:jc w:val="left"/>
        <w:rPr>
          <w:sz w:val="24"/>
        </w:rPr>
      </w:pPr>
      <w:r>
        <w:rPr>
          <w:sz w:val="24"/>
        </w:rPr>
        <w:t>投保单位证明及保险单或其他保险凭证；</w:t>
      </w:r>
    </w:p>
    <w:p>
      <w:pPr>
        <w:pStyle w:val="ListParagraph"/>
        <w:numPr>
          <w:ilvl w:val="1"/>
          <w:numId w:val="5"/>
        </w:numPr>
        <w:tabs>
          <w:tab w:pos="1259" w:val="left" w:leader="none"/>
        </w:tabs>
        <w:spacing w:line="240" w:lineRule="auto" w:before="76" w:after="0"/>
        <w:ind w:left="1258" w:right="0" w:hanging="720"/>
        <w:jc w:val="left"/>
        <w:rPr>
          <w:sz w:val="24"/>
        </w:rPr>
      </w:pPr>
      <w:r>
        <w:rPr>
          <w:sz w:val="24"/>
        </w:rPr>
        <w:t>被保险人户籍证明及身份证件；</w:t>
      </w:r>
    </w:p>
    <w:p>
      <w:pPr>
        <w:pStyle w:val="ListParagraph"/>
        <w:numPr>
          <w:ilvl w:val="1"/>
          <w:numId w:val="5"/>
        </w:numPr>
        <w:tabs>
          <w:tab w:pos="1259" w:val="left" w:leader="none"/>
        </w:tabs>
        <w:spacing w:line="297" w:lineRule="auto" w:before="76" w:after="0"/>
        <w:ind w:left="1258" w:right="213" w:hanging="720"/>
        <w:jc w:val="both"/>
        <w:rPr>
          <w:sz w:val="24"/>
        </w:rPr>
      </w:pPr>
      <w:r>
        <w:rPr>
          <w:spacing w:val="-3"/>
          <w:sz w:val="24"/>
        </w:rPr>
        <w:t>本公司认可的医院出具的疾病诊断证明及相关医疗文件</w:t>
      </w:r>
      <w:r>
        <w:rPr>
          <w:sz w:val="24"/>
        </w:rPr>
        <w:t>（包括完整的门诊及</w:t>
      </w:r>
      <w:r>
        <w:rPr>
          <w:spacing w:val="-6"/>
          <w:sz w:val="24"/>
        </w:rPr>
        <w:t>住院病例记录、出院小结、影像学、病理检查、试验室检查及其他相关检查报告</w:t>
      </w:r>
      <w:r>
        <w:rPr>
          <w:spacing w:val="-120"/>
          <w:sz w:val="24"/>
        </w:rPr>
        <w:t>）</w:t>
      </w:r>
      <w:r>
        <w:rPr>
          <w:sz w:val="24"/>
        </w:rPr>
        <w:t>；</w:t>
      </w:r>
    </w:p>
    <w:p>
      <w:pPr>
        <w:pStyle w:val="ListParagraph"/>
        <w:numPr>
          <w:ilvl w:val="1"/>
          <w:numId w:val="5"/>
        </w:numPr>
        <w:tabs>
          <w:tab w:pos="1259" w:val="left" w:leader="none"/>
        </w:tabs>
        <w:spacing w:line="297" w:lineRule="auto" w:before="18" w:after="0"/>
        <w:ind w:left="1258" w:right="405" w:hanging="720"/>
        <w:jc w:val="left"/>
        <w:rPr>
          <w:sz w:val="24"/>
        </w:rPr>
      </w:pPr>
      <w:r>
        <w:rPr>
          <w:sz w:val="24"/>
        </w:rPr>
        <w:t>被保险人所能提供的与确认保险事故的性质、原因等有关的其他证明和资料。</w:t>
      </w:r>
    </w:p>
    <w:p>
      <w:pPr>
        <w:pStyle w:val="BodyText"/>
        <w:spacing w:before="2"/>
        <w:rPr>
          <w:sz w:val="31"/>
        </w:rPr>
      </w:pPr>
    </w:p>
    <w:p>
      <w:pPr>
        <w:pStyle w:val="BodyText"/>
        <w:ind w:left="118"/>
        <w:jc w:val="both"/>
      </w:pPr>
      <w:r>
        <w:rPr/>
        <w:t>如委托他人办理申请保险金，还须提供授权委托书及受托人身份证件。</w:t>
      </w:r>
    </w:p>
    <w:p>
      <w:pPr>
        <w:spacing w:after="0"/>
        <w:jc w:val="both"/>
        <w:sectPr>
          <w:pgSz w:w="11910" w:h="16840"/>
          <w:pgMar w:header="0" w:footer="915" w:top="1520" w:bottom="1120" w:left="1300" w:right="1260"/>
        </w:sectPr>
      </w:pPr>
    </w:p>
    <w:p>
      <w:pPr>
        <w:pStyle w:val="BodyText"/>
        <w:rPr>
          <w:sz w:val="22"/>
        </w:rPr>
      </w:pPr>
    </w:p>
    <w:p>
      <w:pPr>
        <w:pStyle w:val="Heading1"/>
        <w:spacing w:line="370" w:lineRule="exact"/>
      </w:pPr>
      <w:r>
        <w:rPr/>
        <w:t>第十七条：诉讼时效</w:t>
      </w:r>
    </w:p>
    <w:p>
      <w:pPr>
        <w:pStyle w:val="BodyText"/>
        <w:spacing w:before="5"/>
        <w:rPr>
          <w:rFonts w:ascii="微软雅黑"/>
          <w:b/>
          <w:sz w:val="25"/>
        </w:rPr>
      </w:pPr>
    </w:p>
    <w:p>
      <w:pPr>
        <w:pStyle w:val="BodyText"/>
        <w:spacing w:line="297" w:lineRule="auto"/>
        <w:ind w:left="118" w:right="154"/>
        <w:jc w:val="both"/>
      </w:pPr>
      <w:r>
        <w:rPr>
          <w:spacing w:val="-3"/>
        </w:rPr>
        <w:t>被保险人或受益人向本公司请求给付保险金的诉讼时效期间为 </w:t>
      </w:r>
      <w:r>
        <w:rPr/>
        <w:t>2</w:t>
      </w:r>
      <w:r>
        <w:rPr>
          <w:spacing w:val="-13"/>
        </w:rPr>
        <w:t> 年，自其知道或者应当知道保险事故发生之日起计算。</w:t>
      </w:r>
    </w:p>
    <w:p>
      <w:pPr>
        <w:pStyle w:val="BodyText"/>
      </w:pPr>
    </w:p>
    <w:p>
      <w:pPr>
        <w:pStyle w:val="BodyText"/>
        <w:spacing w:before="7"/>
        <w:rPr>
          <w:sz w:val="31"/>
        </w:rPr>
      </w:pPr>
    </w:p>
    <w:p>
      <w:pPr>
        <w:pStyle w:val="Heading1"/>
      </w:pPr>
      <w:r>
        <w:rPr/>
        <w:t>第十八条：身体检查与司法鉴定</w:t>
      </w:r>
    </w:p>
    <w:p>
      <w:pPr>
        <w:pStyle w:val="BodyText"/>
        <w:spacing w:before="4"/>
        <w:rPr>
          <w:rFonts w:ascii="微软雅黑"/>
          <w:b/>
          <w:sz w:val="25"/>
        </w:rPr>
      </w:pPr>
    </w:p>
    <w:p>
      <w:pPr>
        <w:pStyle w:val="BodyText"/>
        <w:spacing w:line="297" w:lineRule="auto" w:before="1"/>
        <w:ind w:left="118" w:right="105"/>
        <w:jc w:val="both"/>
      </w:pPr>
      <w:r>
        <w:rPr/>
        <w:t>申请本合同保险金时，本公司有权要求被保险人进行身体检查或提供有关的检验报告。如被保险人身故，本公司有权要求司法机构对保险事故进行鉴定。</w:t>
      </w:r>
    </w:p>
    <w:p>
      <w:pPr>
        <w:pStyle w:val="BodyText"/>
      </w:pPr>
    </w:p>
    <w:p>
      <w:pPr>
        <w:pStyle w:val="BodyText"/>
        <w:spacing w:before="7"/>
        <w:rPr>
          <w:sz w:val="31"/>
        </w:rPr>
      </w:pPr>
    </w:p>
    <w:p>
      <w:pPr>
        <w:pStyle w:val="Heading1"/>
      </w:pPr>
      <w:r>
        <w:rPr/>
        <w:t>第十九条：被保险人的变动</w:t>
      </w:r>
    </w:p>
    <w:p>
      <w:pPr>
        <w:pStyle w:val="BodyText"/>
        <w:spacing w:before="4"/>
        <w:rPr>
          <w:rFonts w:ascii="微软雅黑"/>
          <w:b/>
          <w:sz w:val="25"/>
        </w:rPr>
      </w:pPr>
    </w:p>
    <w:p>
      <w:pPr>
        <w:pStyle w:val="BodyText"/>
        <w:spacing w:line="297" w:lineRule="auto" w:before="1"/>
        <w:ind w:left="118" w:right="154"/>
        <w:jc w:val="both"/>
      </w:pPr>
      <w:r>
        <w:rPr>
          <w:spacing w:val="-3"/>
        </w:rPr>
        <w:t>投保人投保时应向本公司提供被保险人名单，并提供确认被保险人同意投保本保险的相关书面证明文件。</w:t>
      </w:r>
    </w:p>
    <w:p>
      <w:pPr>
        <w:pStyle w:val="BodyText"/>
        <w:spacing w:before="2"/>
        <w:rPr>
          <w:sz w:val="31"/>
        </w:rPr>
      </w:pPr>
    </w:p>
    <w:p>
      <w:pPr>
        <w:pStyle w:val="BodyText"/>
        <w:spacing w:line="297" w:lineRule="auto" w:before="1"/>
        <w:ind w:left="118" w:right="154"/>
        <w:jc w:val="both"/>
      </w:pPr>
      <w:r>
        <w:rPr>
          <w:spacing w:val="-4"/>
        </w:rPr>
        <w:t>在本合同有效期间内，投保人因在职人员变动需要增加被保险人的，应以书面形式通知</w:t>
      </w:r>
      <w:r>
        <w:rPr>
          <w:spacing w:val="-7"/>
        </w:rPr>
        <w:t>本公司，经本公司审核同意并收取相应保险费后开始承担保险责任。本公司对新增加被保险人开始承担保险责任的具体时间在本合同的批注或批单中载明。</w:t>
      </w:r>
    </w:p>
    <w:p>
      <w:pPr>
        <w:pStyle w:val="BodyText"/>
        <w:spacing w:before="2"/>
        <w:rPr>
          <w:sz w:val="31"/>
        </w:rPr>
      </w:pPr>
    </w:p>
    <w:p>
      <w:pPr>
        <w:pStyle w:val="BodyText"/>
        <w:spacing w:line="297" w:lineRule="auto" w:before="1"/>
        <w:ind w:left="118" w:right="154"/>
        <w:jc w:val="both"/>
      </w:pPr>
      <w:r>
        <w:rPr>
          <w:spacing w:val="-4"/>
        </w:rPr>
        <w:t>在本合同有效期间内，投保人因被保险人离职或其他原因需要减少被保险人的，应以书</w:t>
      </w:r>
      <w:r>
        <w:rPr>
          <w:spacing w:val="-7"/>
        </w:rPr>
        <w:t>面形式通知本公司并列明该被保险人的离职日期，本合同对该被保险人承担的保险责任</w:t>
      </w:r>
      <w:r>
        <w:rPr>
          <w:spacing w:val="-9"/>
        </w:rPr>
        <w:t>自投保人书面通知中列明的离职日期或批单中约定的日期终止，本公司退还该被保险人对应的现金价值。</w:t>
      </w:r>
    </w:p>
    <w:p>
      <w:pPr>
        <w:pStyle w:val="BodyText"/>
        <w:spacing w:before="2"/>
        <w:rPr>
          <w:sz w:val="31"/>
        </w:rPr>
      </w:pPr>
    </w:p>
    <w:p>
      <w:pPr>
        <w:pStyle w:val="BodyText"/>
        <w:spacing w:before="1"/>
        <w:ind w:left="118"/>
      </w:pPr>
      <w:r>
        <w:rPr>
          <w:spacing w:val="-9"/>
        </w:rPr>
        <w:t>在本合同有效期间内，若本合同被保险人人数不足 </w:t>
      </w:r>
      <w:r>
        <w:rPr/>
        <w:t>5</w:t>
      </w:r>
      <w:r>
        <w:rPr>
          <w:spacing w:val="-8"/>
        </w:rPr>
        <w:t> 人或低于投保人当时符合参保条件</w:t>
      </w:r>
    </w:p>
    <w:p>
      <w:pPr>
        <w:pStyle w:val="BodyText"/>
        <w:spacing w:line="295" w:lineRule="auto" w:before="81"/>
        <w:ind w:left="118" w:right="154"/>
        <w:jc w:val="both"/>
      </w:pPr>
      <w:r>
        <w:rPr/>
        <w:t>成员总数的</w:t>
      </w:r>
      <w:r>
        <w:rPr>
          <w:spacing w:val="-60"/>
        </w:rPr>
        <w:t> </w:t>
      </w:r>
      <w:r>
        <w:rPr>
          <w:spacing w:val="5"/>
        </w:rPr>
        <w:drawing>
          <wp:inline distT="0" distB="0" distL="0" distR="0">
            <wp:extent cx="66675" cy="1174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t>时</w:t>
      </w:r>
      <w:r>
        <w:rPr>
          <w:spacing w:val="-56"/>
        </w:rPr>
        <w:t>，</w:t>
      </w:r>
      <w:r>
        <w:rPr/>
        <w:t>本公司在提前</w:t>
      </w:r>
      <w:r>
        <w:rPr>
          <w:spacing w:val="-48"/>
        </w:rPr>
        <w:t> </w:t>
      </w:r>
      <w:r>
        <w:rPr/>
        <w:t>30</w:t>
      </w:r>
      <w:r>
        <w:rPr>
          <w:spacing w:val="-48"/>
        </w:rPr>
        <w:t> </w:t>
      </w:r>
      <w:r>
        <w:rPr/>
        <w:t>天书面通知投保人后有权解除本合同</w:t>
      </w:r>
      <w:r>
        <w:rPr>
          <w:spacing w:val="-56"/>
        </w:rPr>
        <w:t>，</w:t>
      </w:r>
      <w:r>
        <w:rPr/>
        <w:t>并退还保险单的现金价值。</w:t>
      </w:r>
    </w:p>
    <w:p>
      <w:pPr>
        <w:pStyle w:val="BodyText"/>
        <w:spacing w:before="4"/>
        <w:rPr>
          <w:sz w:val="31"/>
        </w:rPr>
      </w:pPr>
    </w:p>
    <w:p>
      <w:pPr>
        <w:pStyle w:val="BodyText"/>
        <w:spacing w:line="297" w:lineRule="auto" w:before="1"/>
        <w:ind w:left="118" w:right="154"/>
        <w:jc w:val="both"/>
      </w:pPr>
      <w:r>
        <w:rPr>
          <w:spacing w:val="-6"/>
        </w:rPr>
        <w:t>在本合同有效期间内，投保人因在职人员变动需要增加或者减少被保险人或者应被保险</w:t>
      </w:r>
      <w:r>
        <w:rPr>
          <w:spacing w:val="-9"/>
        </w:rPr>
        <w:t>人要求变更身故保险金受益人的，应向本公司提供书面申请文件，本公司根据书面申请文件向投保人签发批单，作为保险单的附件。</w:t>
      </w:r>
    </w:p>
    <w:p>
      <w:pPr>
        <w:spacing w:after="0" w:line="297" w:lineRule="auto"/>
        <w:jc w:val="both"/>
        <w:sectPr>
          <w:pgSz w:w="11910" w:h="16840"/>
          <w:pgMar w:header="0" w:footer="915" w:top="1600" w:bottom="1120" w:left="1300" w:right="1260"/>
        </w:sectPr>
      </w:pPr>
    </w:p>
    <w:p>
      <w:pPr>
        <w:pStyle w:val="Heading1"/>
        <w:spacing w:line="358" w:lineRule="exact"/>
      </w:pPr>
      <w:r>
        <w:rPr/>
        <w:t>第二十条：年龄的计算与错误的处理</w:t>
      </w:r>
    </w:p>
    <w:p>
      <w:pPr>
        <w:pStyle w:val="BodyText"/>
        <w:spacing w:before="5"/>
        <w:rPr>
          <w:rFonts w:ascii="微软雅黑"/>
          <w:b/>
          <w:sz w:val="25"/>
        </w:rPr>
      </w:pPr>
    </w:p>
    <w:p>
      <w:pPr>
        <w:pStyle w:val="BodyText"/>
        <w:ind w:left="118"/>
      </w:pPr>
      <w:r>
        <w:rPr/>
        <w:t>被保险人的年龄以周岁年龄计算。</w:t>
      </w:r>
    </w:p>
    <w:p>
      <w:pPr>
        <w:pStyle w:val="BodyText"/>
        <w:spacing w:before="7"/>
        <w:rPr>
          <w:sz w:val="35"/>
        </w:rPr>
      </w:pPr>
    </w:p>
    <w:p>
      <w:pPr>
        <w:pStyle w:val="BodyText"/>
        <w:spacing w:line="297" w:lineRule="auto" w:before="1"/>
        <w:ind w:left="118" w:right="52"/>
      </w:pPr>
      <w:r>
        <w:rPr/>
        <w:t>投保人在申请投保时，应将被保险人的真实年龄在被保险人名单上列明。如发生错误应按照下列规定办理：</w:t>
      </w:r>
    </w:p>
    <w:p>
      <w:pPr>
        <w:pStyle w:val="BodyText"/>
        <w:spacing w:before="2"/>
        <w:rPr>
          <w:sz w:val="31"/>
        </w:rPr>
      </w:pPr>
    </w:p>
    <w:p>
      <w:pPr>
        <w:pStyle w:val="ListParagraph"/>
        <w:numPr>
          <w:ilvl w:val="0"/>
          <w:numId w:val="6"/>
        </w:numPr>
        <w:tabs>
          <w:tab w:pos="479" w:val="left" w:leader="none"/>
        </w:tabs>
        <w:spacing w:line="297" w:lineRule="auto" w:before="1" w:after="0"/>
        <w:ind w:left="478" w:right="113" w:hanging="360"/>
        <w:jc w:val="both"/>
        <w:rPr>
          <w:sz w:val="24"/>
        </w:rPr>
      </w:pPr>
      <w:r>
        <w:rPr>
          <w:sz w:val="24"/>
        </w:rPr>
        <w:t>投保人申报的被保险人年龄不真实，并且其真实年龄不符合本合同约定的年龄限制的，本公司不承担该被保险人的保险责任。本公司有权解除该被保险人的被保险人资格，并退还该被保险人对应的现金价值。</w:t>
      </w:r>
    </w:p>
    <w:p>
      <w:pPr>
        <w:pStyle w:val="BodyText"/>
        <w:spacing w:before="2"/>
        <w:rPr>
          <w:sz w:val="31"/>
        </w:rPr>
      </w:pPr>
    </w:p>
    <w:p>
      <w:pPr>
        <w:pStyle w:val="ListParagraph"/>
        <w:numPr>
          <w:ilvl w:val="0"/>
          <w:numId w:val="6"/>
        </w:numPr>
        <w:tabs>
          <w:tab w:pos="479" w:val="left" w:leader="none"/>
        </w:tabs>
        <w:spacing w:line="297" w:lineRule="auto" w:before="1" w:after="0"/>
        <w:ind w:left="478" w:right="113" w:hanging="360"/>
        <w:jc w:val="both"/>
        <w:rPr>
          <w:sz w:val="24"/>
        </w:rPr>
      </w:pPr>
      <w:r>
        <w:rPr>
          <w:sz w:val="24"/>
        </w:rPr>
        <w:t>投保人申报的被保险人年龄不真实，导致本公司实收的保险费少于应收的保险费， 本公司有权作相应的更正并要求投保人补交保险费。若已发生保险事故，本公司将按照实收的保险费和应收的保险费比例折算给付保险金。</w:t>
      </w:r>
    </w:p>
    <w:p>
      <w:pPr>
        <w:pStyle w:val="BodyText"/>
        <w:spacing w:before="2"/>
        <w:rPr>
          <w:sz w:val="31"/>
        </w:rPr>
      </w:pPr>
    </w:p>
    <w:p>
      <w:pPr>
        <w:pStyle w:val="ListParagraph"/>
        <w:numPr>
          <w:ilvl w:val="0"/>
          <w:numId w:val="6"/>
        </w:numPr>
        <w:tabs>
          <w:tab w:pos="479" w:val="left" w:leader="none"/>
        </w:tabs>
        <w:spacing w:line="297" w:lineRule="auto" w:before="1" w:after="0"/>
        <w:ind w:left="478" w:right="113" w:hanging="360"/>
        <w:jc w:val="left"/>
        <w:rPr>
          <w:sz w:val="24"/>
        </w:rPr>
      </w:pPr>
      <w:r>
        <w:rPr>
          <w:sz w:val="24"/>
        </w:rPr>
        <w:t>投保人申报的被保险人年龄不真实，导致本公司实收的保险费多于应收的保险费， 本公司无息退还多收的保险费。</w:t>
      </w:r>
    </w:p>
    <w:p>
      <w:pPr>
        <w:pStyle w:val="BodyText"/>
      </w:pPr>
    </w:p>
    <w:p>
      <w:pPr>
        <w:pStyle w:val="BodyText"/>
        <w:spacing w:before="7"/>
        <w:rPr>
          <w:sz w:val="31"/>
        </w:rPr>
      </w:pPr>
    </w:p>
    <w:p>
      <w:pPr>
        <w:pStyle w:val="Heading1"/>
      </w:pPr>
      <w:r>
        <w:rPr/>
        <w:t>第二十一条：合同内容的变更</w:t>
      </w:r>
    </w:p>
    <w:p>
      <w:pPr>
        <w:pStyle w:val="BodyText"/>
        <w:spacing w:before="4"/>
        <w:rPr>
          <w:rFonts w:ascii="微软雅黑"/>
          <w:b/>
          <w:sz w:val="25"/>
        </w:rPr>
      </w:pPr>
    </w:p>
    <w:p>
      <w:pPr>
        <w:pStyle w:val="BodyText"/>
        <w:spacing w:line="297" w:lineRule="auto"/>
        <w:ind w:left="118" w:right="114"/>
        <w:jc w:val="both"/>
      </w:pPr>
      <w:r>
        <w:rPr>
          <w:spacing w:val="-5"/>
        </w:rPr>
        <w:t>在本合同有效期间内，除本合同另有约定外，投保人与本公司协商一致可变更本合同的</w:t>
      </w:r>
      <w:r>
        <w:rPr>
          <w:spacing w:val="-9"/>
        </w:rPr>
        <w:t>有关内容。变更本合同的，应当经本公司在本合同上批注或出具批单或与投保人订立书面变更协议后生效。</w:t>
      </w:r>
    </w:p>
    <w:p>
      <w:pPr>
        <w:pStyle w:val="BodyText"/>
      </w:pPr>
    </w:p>
    <w:p>
      <w:pPr>
        <w:pStyle w:val="BodyText"/>
        <w:spacing w:before="6"/>
        <w:rPr>
          <w:sz w:val="31"/>
        </w:rPr>
      </w:pPr>
    </w:p>
    <w:p>
      <w:pPr>
        <w:pStyle w:val="Heading1"/>
      </w:pPr>
      <w:r>
        <w:rPr/>
        <w:t>第二十二条：通讯地址的变更</w:t>
      </w:r>
    </w:p>
    <w:p>
      <w:pPr>
        <w:pStyle w:val="BodyText"/>
        <w:spacing w:before="4"/>
        <w:rPr>
          <w:rFonts w:ascii="微软雅黑"/>
          <w:b/>
          <w:sz w:val="25"/>
        </w:rPr>
      </w:pPr>
    </w:p>
    <w:p>
      <w:pPr>
        <w:pStyle w:val="BodyText"/>
        <w:ind w:left="118"/>
      </w:pPr>
      <w:r>
        <w:rPr/>
        <w:t>投保人的通讯地址变更时，投保人应及时书面通知本公司。</w:t>
      </w:r>
    </w:p>
    <w:p>
      <w:pPr>
        <w:pStyle w:val="BodyText"/>
        <w:spacing w:before="7"/>
        <w:rPr>
          <w:sz w:val="35"/>
        </w:rPr>
      </w:pPr>
    </w:p>
    <w:p>
      <w:pPr>
        <w:pStyle w:val="BodyText"/>
        <w:spacing w:line="297" w:lineRule="auto"/>
        <w:ind w:left="118" w:right="52"/>
      </w:pPr>
      <w:r>
        <w:rPr/>
        <w:t>投保人不作前项通知时，本公司按本合同所载的最后通讯地址所发送的通知，均视为已送达投保人。</w:t>
      </w:r>
    </w:p>
    <w:p>
      <w:pPr>
        <w:pStyle w:val="BodyText"/>
      </w:pPr>
    </w:p>
    <w:p>
      <w:pPr>
        <w:pStyle w:val="BodyText"/>
        <w:spacing w:before="6"/>
        <w:rPr>
          <w:sz w:val="31"/>
        </w:rPr>
      </w:pPr>
    </w:p>
    <w:p>
      <w:pPr>
        <w:pStyle w:val="Heading1"/>
        <w:spacing w:before="1"/>
      </w:pPr>
      <w:r>
        <w:rPr/>
        <w:t>第二十三条：争议的处理</w:t>
      </w:r>
    </w:p>
    <w:p>
      <w:pPr>
        <w:pStyle w:val="BodyText"/>
        <w:spacing w:before="5"/>
        <w:rPr>
          <w:rFonts w:ascii="微软雅黑"/>
          <w:b/>
          <w:sz w:val="25"/>
        </w:rPr>
      </w:pPr>
    </w:p>
    <w:p>
      <w:pPr>
        <w:pStyle w:val="BodyText"/>
        <w:tabs>
          <w:tab w:pos="5878" w:val="left" w:leader="none"/>
        </w:tabs>
        <w:ind w:left="118"/>
      </w:pPr>
      <w:r>
        <w:rPr/>
        <w:t>本合同履行过程中，双方发生争议时，选择以下第</w:t>
      </w:r>
      <w:r>
        <w:rPr>
          <w:u w:val="single"/>
        </w:rPr>
        <w:t> </w:t>
        <w:tab/>
      </w:r>
      <w:r>
        <w:rPr/>
        <w:t>种争议处理方式：</w:t>
      </w:r>
    </w:p>
    <w:p>
      <w:pPr>
        <w:spacing w:after="0"/>
        <w:sectPr>
          <w:pgSz w:w="11910" w:h="16840"/>
          <w:pgMar w:header="0" w:footer="915" w:top="1120" w:bottom="1120" w:left="1300" w:right="1300"/>
        </w:sectPr>
      </w:pPr>
    </w:p>
    <w:p>
      <w:pPr>
        <w:pStyle w:val="BodyText"/>
        <w:tabs>
          <w:tab w:pos="8943" w:val="left" w:leader="none"/>
        </w:tabs>
        <w:spacing w:line="297" w:lineRule="auto" w:before="4"/>
        <w:ind w:left="118" w:right="235"/>
      </w:pPr>
      <w:r>
        <w:rPr/>
        <w:t>1.因履行本合同发生的争议，由当事人协商解决，协商不成的，提交</w:t>
      </w:r>
      <w:r>
        <w:rPr>
          <w:u w:val="single"/>
        </w:rPr>
        <w:t> </w:t>
        <w:tab/>
      </w:r>
      <w:r>
        <w:rPr/>
        <w:t>仲裁委员会仲裁；</w:t>
      </w:r>
    </w:p>
    <w:p>
      <w:pPr>
        <w:pStyle w:val="BodyText"/>
        <w:spacing w:before="2"/>
        <w:rPr>
          <w:sz w:val="31"/>
        </w:rPr>
      </w:pPr>
    </w:p>
    <w:p>
      <w:pPr>
        <w:pStyle w:val="BodyText"/>
        <w:ind w:left="118"/>
      </w:pPr>
      <w:r>
        <w:rPr/>
        <w:t>2.因履行本合同发生的争议，由当事人协商解决，协商不成的，依法向人民法院起诉。</w:t>
      </w:r>
    </w:p>
    <w:p>
      <w:pPr>
        <w:pStyle w:val="BodyText"/>
      </w:pPr>
    </w:p>
    <w:p>
      <w:pPr>
        <w:pStyle w:val="BodyText"/>
        <w:spacing w:before="12"/>
        <w:rPr>
          <w:sz w:val="35"/>
        </w:rPr>
      </w:pPr>
    </w:p>
    <w:p>
      <w:pPr>
        <w:pStyle w:val="Heading1"/>
      </w:pPr>
      <w:r>
        <w:rPr/>
        <w:t>第二十四条：名词释义</w:t>
      </w:r>
    </w:p>
    <w:p>
      <w:pPr>
        <w:pStyle w:val="BodyText"/>
        <w:spacing w:before="4"/>
        <w:rPr>
          <w:rFonts w:ascii="微软雅黑"/>
          <w:b/>
          <w:sz w:val="25"/>
        </w:rPr>
      </w:pPr>
    </w:p>
    <w:p>
      <w:pPr>
        <w:pStyle w:val="ListParagraph"/>
        <w:numPr>
          <w:ilvl w:val="0"/>
          <w:numId w:val="7"/>
        </w:numPr>
        <w:tabs>
          <w:tab w:pos="539" w:val="left" w:leader="none"/>
        </w:tabs>
        <w:spacing w:line="297" w:lineRule="auto" w:before="1" w:after="0"/>
        <w:ind w:left="538" w:right="235" w:hanging="420"/>
        <w:jc w:val="left"/>
        <w:rPr>
          <w:sz w:val="24"/>
        </w:rPr>
      </w:pPr>
      <w:r>
        <w:rPr>
          <w:sz w:val="24"/>
        </w:rPr>
        <w:t>周岁：以户籍证明或其他法定的身份证件中记载的出生日期为标准计算年龄（不足一年不计</w:t>
      </w:r>
      <w:r>
        <w:rPr>
          <w:spacing w:val="-120"/>
          <w:sz w:val="24"/>
        </w:rPr>
        <w:t>）</w:t>
      </w:r>
      <w:r>
        <w:rPr>
          <w:sz w:val="24"/>
        </w:rPr>
        <w:t>。</w:t>
      </w:r>
    </w:p>
    <w:p>
      <w:pPr>
        <w:pStyle w:val="BodyText"/>
        <w:spacing w:before="2"/>
        <w:rPr>
          <w:sz w:val="31"/>
        </w:rPr>
      </w:pPr>
    </w:p>
    <w:p>
      <w:pPr>
        <w:pStyle w:val="ListParagraph"/>
        <w:numPr>
          <w:ilvl w:val="0"/>
          <w:numId w:val="7"/>
        </w:numPr>
        <w:tabs>
          <w:tab w:pos="539" w:val="left" w:leader="none"/>
        </w:tabs>
        <w:spacing w:line="297" w:lineRule="auto" w:before="1" w:after="0"/>
        <w:ind w:left="538" w:right="112" w:hanging="420"/>
        <w:jc w:val="left"/>
        <w:rPr>
          <w:sz w:val="24"/>
        </w:rPr>
      </w:pPr>
      <w:r>
        <w:rPr>
          <w:sz w:val="24"/>
        </w:rPr>
        <w:t>医院：本合同所称医院指本公司指定医院或经中华人民共和国卫生部门评审确定的</w:t>
      </w:r>
      <w:r>
        <w:rPr>
          <w:spacing w:val="-7"/>
          <w:sz w:val="24"/>
        </w:rPr>
        <w:t>二级或以上之公立医院，但不包括精神病院及专供康复、护理、疗养、戒酒、戒毒、养老等非以直接诊治病人为目的之医疗机构。该医院必须具有符合国家有关医院管</w:t>
      </w:r>
      <w:r>
        <w:rPr>
          <w:spacing w:val="-17"/>
          <w:sz w:val="24"/>
        </w:rPr>
        <w:t>理规则设置标准的医疗设备，且全天 </w:t>
      </w:r>
      <w:r>
        <w:rPr>
          <w:sz w:val="24"/>
        </w:rPr>
        <w:t>24</w:t>
      </w:r>
      <w:r>
        <w:rPr>
          <w:spacing w:val="-8"/>
          <w:sz w:val="24"/>
        </w:rPr>
        <w:t> 小时有合格的医生和护士驻院提供医疗和护理服务。当被保险人因遭受意外伤害事故须急救时不受此限，但经急救处理伤情稳定后，必须转入本合同所指医院治疗。</w:t>
      </w:r>
    </w:p>
    <w:p>
      <w:pPr>
        <w:pStyle w:val="BodyText"/>
        <w:spacing w:before="2"/>
        <w:rPr>
          <w:sz w:val="31"/>
        </w:rPr>
      </w:pPr>
    </w:p>
    <w:p>
      <w:pPr>
        <w:pStyle w:val="ListParagraph"/>
        <w:numPr>
          <w:ilvl w:val="0"/>
          <w:numId w:val="7"/>
        </w:numPr>
        <w:tabs>
          <w:tab w:pos="539" w:val="left" w:leader="none"/>
        </w:tabs>
        <w:spacing w:line="297" w:lineRule="auto" w:before="1" w:after="0"/>
        <w:ind w:left="538" w:right="234" w:hanging="420"/>
        <w:jc w:val="both"/>
        <w:rPr>
          <w:sz w:val="24"/>
        </w:rPr>
      </w:pPr>
      <w:r>
        <w:rPr>
          <w:spacing w:val="-5"/>
          <w:sz w:val="24"/>
        </w:rPr>
        <w:t>专科医生：专科医生应当同时满足以下四项资格条件：</w:t>
      </w:r>
      <w:r>
        <w:rPr>
          <w:sz w:val="24"/>
        </w:rPr>
        <w:t>（1）具有有效的中华人民共</w:t>
      </w:r>
      <w:r>
        <w:rPr>
          <w:spacing w:val="-22"/>
          <w:sz w:val="24"/>
        </w:rPr>
        <w:t>和国《医师资格证书》；</w:t>
      </w:r>
      <w:r>
        <w:rPr>
          <w:sz w:val="24"/>
        </w:rPr>
        <w:t>（2）</w:t>
      </w:r>
      <w:r>
        <w:rPr>
          <w:spacing w:val="-6"/>
          <w:sz w:val="24"/>
        </w:rPr>
        <w:t>具有有效的中华人民共和国《医师执业证书》，并按期</w:t>
      </w:r>
      <w:r>
        <w:rPr>
          <w:spacing w:val="-18"/>
          <w:sz w:val="24"/>
        </w:rPr>
        <w:t>到相关部门登记注册；</w:t>
      </w:r>
      <w:r>
        <w:rPr>
          <w:sz w:val="24"/>
        </w:rPr>
        <w:t>（3）具有有效的中华人民共和国主治医师或主治医师以上职</w:t>
      </w:r>
      <w:r>
        <w:rPr>
          <w:spacing w:val="-18"/>
          <w:sz w:val="24"/>
        </w:rPr>
        <w:t>称的《医师职称证书》</w:t>
      </w:r>
      <w:r>
        <w:rPr>
          <w:spacing w:val="-158"/>
          <w:sz w:val="24"/>
        </w:rPr>
        <w:t>；</w:t>
      </w:r>
      <w:r>
        <w:rPr>
          <w:sz w:val="24"/>
        </w:rPr>
        <w:t>（4</w:t>
      </w:r>
      <w:r>
        <w:rPr>
          <w:spacing w:val="-38"/>
          <w:sz w:val="24"/>
        </w:rPr>
        <w:t>）</w:t>
      </w:r>
      <w:r>
        <w:rPr>
          <w:sz w:val="24"/>
        </w:rPr>
        <w:t>在二级或二级以上医院的相应科室从事临床工作三年以上。</w:t>
      </w:r>
    </w:p>
    <w:p>
      <w:pPr>
        <w:pStyle w:val="BodyText"/>
        <w:spacing w:before="2"/>
        <w:rPr>
          <w:sz w:val="31"/>
        </w:rPr>
      </w:pPr>
    </w:p>
    <w:p>
      <w:pPr>
        <w:pStyle w:val="ListParagraph"/>
        <w:numPr>
          <w:ilvl w:val="0"/>
          <w:numId w:val="7"/>
        </w:numPr>
        <w:tabs>
          <w:tab w:pos="539" w:val="left" w:leader="none"/>
        </w:tabs>
        <w:spacing w:line="297" w:lineRule="auto" w:before="1" w:after="0"/>
        <w:ind w:left="538" w:right="125" w:hanging="420"/>
        <w:jc w:val="left"/>
        <w:rPr>
          <w:sz w:val="24"/>
        </w:rPr>
      </w:pPr>
      <w:r>
        <w:rPr>
          <w:sz w:val="24"/>
        </w:rPr>
        <w:t>重大疾病：本合同所称重大疾病指被保险人在本公司认可的医院由专科医生明确诊</w:t>
      </w:r>
      <w:r>
        <w:rPr>
          <w:spacing w:val="-7"/>
          <w:sz w:val="24"/>
        </w:rPr>
        <w:t>断患本合同约定的任何一种或多种疾病。“疾病”指约定的疾病、疾病状态或手术。</w:t>
      </w:r>
    </w:p>
    <w:p>
      <w:pPr>
        <w:pStyle w:val="BodyText"/>
        <w:spacing w:before="2"/>
        <w:rPr>
          <w:sz w:val="31"/>
        </w:rPr>
      </w:pPr>
    </w:p>
    <w:p>
      <w:pPr>
        <w:pStyle w:val="BodyText"/>
        <w:spacing w:line="297" w:lineRule="auto" w:before="1"/>
        <w:ind w:left="597" w:right="173"/>
      </w:pPr>
      <w:r>
        <w:rPr/>
        <w:t>本合同重大疾病定义采用中国保险行业协会颁布的《重大疾病保险的疾病定义使用规范》中的疾病定义。</w:t>
      </w:r>
    </w:p>
    <w:p>
      <w:pPr>
        <w:pStyle w:val="BodyText"/>
        <w:spacing w:before="2"/>
        <w:rPr>
          <w:sz w:val="31"/>
        </w:rPr>
      </w:pPr>
    </w:p>
    <w:p>
      <w:pPr>
        <w:pStyle w:val="ListParagraph"/>
        <w:numPr>
          <w:ilvl w:val="1"/>
          <w:numId w:val="7"/>
        </w:numPr>
        <w:tabs>
          <w:tab w:pos="898" w:val="left" w:leader="none"/>
        </w:tabs>
        <w:spacing w:line="240" w:lineRule="auto" w:before="1" w:after="0"/>
        <w:ind w:left="897" w:right="0" w:hanging="420"/>
        <w:jc w:val="left"/>
        <w:rPr>
          <w:sz w:val="24"/>
        </w:rPr>
      </w:pPr>
      <w:r>
        <w:rPr>
          <w:sz w:val="24"/>
        </w:rPr>
        <w:t>恶性肿瘤：</w:t>
      </w:r>
    </w:p>
    <w:p>
      <w:pPr>
        <w:pStyle w:val="BodyText"/>
        <w:spacing w:line="297" w:lineRule="auto" w:before="76"/>
        <w:ind w:left="836" w:right="114"/>
      </w:pPr>
      <w:r>
        <w:rPr>
          <w:spacing w:val="-3"/>
        </w:rPr>
        <w:t>指恶性细胞不受控制的进行性增长和扩散，浸润和破坏周围正常组织，可以经血</w:t>
      </w:r>
      <w:r>
        <w:rPr>
          <w:spacing w:val="-14"/>
        </w:rPr>
        <w:t>管、淋巴管和体腔扩散转移到身体其它部位的疾病。经病理学检查结果明确诊断， </w:t>
      </w:r>
      <w:r>
        <w:rPr>
          <w:spacing w:val="-18"/>
        </w:rPr>
        <w:t>临床诊断属于世界卫生组织《疾病和有关健康问题的国际统计分类》</w:t>
      </w:r>
      <w:r>
        <w:rPr/>
        <w:t>（ICD-10） 的恶性肿瘤范畴。</w:t>
      </w:r>
    </w:p>
    <w:p>
      <w:pPr>
        <w:pStyle w:val="BodyText"/>
        <w:spacing w:before="18"/>
        <w:ind w:left="957"/>
      </w:pPr>
      <w:r>
        <w:rPr/>
        <w:t>下列疾病不在保障范围内：</w:t>
      </w:r>
    </w:p>
    <w:p>
      <w:pPr>
        <w:spacing w:after="0"/>
        <w:sectPr>
          <w:pgSz w:w="11910" w:h="16840"/>
          <w:pgMar w:header="0" w:footer="915" w:top="1520" w:bottom="1120" w:left="1300" w:right="1180"/>
        </w:sectPr>
      </w:pPr>
    </w:p>
    <w:p>
      <w:pPr>
        <w:pStyle w:val="ListParagraph"/>
        <w:numPr>
          <w:ilvl w:val="2"/>
          <w:numId w:val="7"/>
        </w:numPr>
        <w:tabs>
          <w:tab w:pos="959" w:val="left" w:leader="none"/>
        </w:tabs>
        <w:spacing w:line="240" w:lineRule="auto" w:before="14" w:after="0"/>
        <w:ind w:left="958" w:right="0" w:hanging="420"/>
        <w:jc w:val="left"/>
        <w:rPr>
          <w:sz w:val="24"/>
        </w:rPr>
      </w:pPr>
      <w:r>
        <w:rPr>
          <w:sz w:val="24"/>
        </w:rPr>
        <w:t>原位癌；</w:t>
      </w:r>
    </w:p>
    <w:p>
      <w:pPr>
        <w:pStyle w:val="ListParagraph"/>
        <w:numPr>
          <w:ilvl w:val="2"/>
          <w:numId w:val="7"/>
        </w:numPr>
        <w:tabs>
          <w:tab w:pos="959" w:val="left" w:leader="none"/>
        </w:tabs>
        <w:spacing w:line="240" w:lineRule="auto" w:before="75" w:after="0"/>
        <w:ind w:left="958" w:right="0" w:hanging="420"/>
        <w:jc w:val="left"/>
        <w:rPr>
          <w:sz w:val="24"/>
        </w:rPr>
      </w:pPr>
      <w:r>
        <w:rPr>
          <w:sz w:val="24"/>
        </w:rPr>
        <w:t>相当于Binet分期方案A期程度的慢性淋巴细胞白血病；</w:t>
      </w:r>
    </w:p>
    <w:p>
      <w:pPr>
        <w:pStyle w:val="ListParagraph"/>
        <w:numPr>
          <w:ilvl w:val="2"/>
          <w:numId w:val="7"/>
        </w:numPr>
        <w:tabs>
          <w:tab w:pos="959" w:val="left" w:leader="none"/>
        </w:tabs>
        <w:spacing w:line="240" w:lineRule="auto" w:before="75" w:after="0"/>
        <w:ind w:left="958" w:right="0" w:hanging="420"/>
        <w:jc w:val="left"/>
        <w:rPr>
          <w:sz w:val="24"/>
        </w:rPr>
      </w:pPr>
      <w:r>
        <w:rPr>
          <w:sz w:val="24"/>
        </w:rPr>
        <w:t>相当于Ann Arbor分期方案I期程度的何杰金氏病；</w:t>
      </w:r>
    </w:p>
    <w:p>
      <w:pPr>
        <w:pStyle w:val="ListParagraph"/>
        <w:numPr>
          <w:ilvl w:val="2"/>
          <w:numId w:val="7"/>
        </w:numPr>
        <w:tabs>
          <w:tab w:pos="959" w:val="left" w:leader="none"/>
        </w:tabs>
        <w:spacing w:line="240" w:lineRule="auto" w:before="75" w:after="0"/>
        <w:ind w:left="958" w:right="0" w:hanging="420"/>
        <w:jc w:val="left"/>
        <w:rPr>
          <w:sz w:val="24"/>
        </w:rPr>
      </w:pPr>
      <w:r>
        <w:rPr>
          <w:sz w:val="24"/>
        </w:rPr>
        <w:t>皮肤癌（不包括恶性黑色素瘤及已发生转移的皮肤癌</w:t>
      </w:r>
      <w:r>
        <w:rPr>
          <w:spacing w:val="-120"/>
          <w:sz w:val="24"/>
        </w:rPr>
        <w:t>）</w:t>
      </w:r>
      <w:r>
        <w:rPr>
          <w:sz w:val="24"/>
        </w:rPr>
        <w:t>；</w:t>
      </w:r>
    </w:p>
    <w:p>
      <w:pPr>
        <w:pStyle w:val="ListParagraph"/>
        <w:numPr>
          <w:ilvl w:val="2"/>
          <w:numId w:val="7"/>
        </w:numPr>
        <w:tabs>
          <w:tab w:pos="959" w:val="left" w:leader="none"/>
        </w:tabs>
        <w:spacing w:line="240" w:lineRule="auto" w:before="75" w:after="0"/>
        <w:ind w:left="958" w:right="0" w:hanging="420"/>
        <w:jc w:val="left"/>
        <w:rPr>
          <w:sz w:val="24"/>
        </w:rPr>
      </w:pPr>
      <w:r>
        <w:rPr>
          <w:sz w:val="24"/>
        </w:rPr>
        <w:t>TNM分期为T</w:t>
      </w:r>
      <w:r>
        <w:rPr>
          <w:position w:val="-1"/>
          <w:sz w:val="12"/>
        </w:rPr>
        <w:t>1</w:t>
      </w:r>
      <w:r>
        <w:rPr>
          <w:sz w:val="24"/>
        </w:rPr>
        <w:t>N</w:t>
      </w:r>
      <w:r>
        <w:rPr>
          <w:position w:val="-1"/>
          <w:sz w:val="12"/>
        </w:rPr>
        <w:t>0</w:t>
      </w:r>
      <w:r>
        <w:rPr>
          <w:sz w:val="24"/>
        </w:rPr>
        <w:t>M</w:t>
      </w:r>
      <w:r>
        <w:rPr>
          <w:position w:val="-1"/>
          <w:sz w:val="12"/>
        </w:rPr>
        <w:t>0</w:t>
      </w:r>
      <w:r>
        <w:rPr>
          <w:sz w:val="24"/>
        </w:rPr>
        <w:t>期或更轻分期的前列腺癌；</w:t>
      </w:r>
    </w:p>
    <w:p>
      <w:pPr>
        <w:pStyle w:val="ListParagraph"/>
        <w:numPr>
          <w:ilvl w:val="2"/>
          <w:numId w:val="7"/>
        </w:numPr>
        <w:tabs>
          <w:tab w:pos="959" w:val="left" w:leader="none"/>
        </w:tabs>
        <w:spacing w:line="240" w:lineRule="auto" w:before="72" w:after="0"/>
        <w:ind w:left="958" w:right="0" w:hanging="420"/>
        <w:jc w:val="left"/>
        <w:rPr>
          <w:sz w:val="24"/>
        </w:rPr>
      </w:pPr>
      <w:r>
        <w:rPr>
          <w:sz w:val="24"/>
        </w:rPr>
        <w:t>感染艾滋病病毒或患艾滋病期间所患恶性肿瘤。</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急性心肌梗塞:</w:t>
      </w:r>
    </w:p>
    <w:p>
      <w:pPr>
        <w:pStyle w:val="BodyText"/>
        <w:spacing w:line="297" w:lineRule="auto" w:before="75"/>
        <w:ind w:left="659" w:right="215"/>
        <w:jc w:val="both"/>
      </w:pPr>
      <w:r>
        <w:rPr/>
        <w:t>指因冠状动脉阻塞导致的相应区域供血不足造成部分心肌坏死。须满足下列至少三项条件：</w:t>
      </w:r>
    </w:p>
    <w:p>
      <w:pPr>
        <w:pStyle w:val="ListParagraph"/>
        <w:numPr>
          <w:ilvl w:val="2"/>
          <w:numId w:val="7"/>
        </w:numPr>
        <w:tabs>
          <w:tab w:pos="959" w:val="left" w:leader="none"/>
        </w:tabs>
        <w:spacing w:line="240" w:lineRule="auto" w:before="18" w:after="0"/>
        <w:ind w:left="958" w:right="0" w:hanging="420"/>
        <w:jc w:val="left"/>
        <w:rPr>
          <w:sz w:val="24"/>
        </w:rPr>
      </w:pPr>
      <w:r>
        <w:rPr>
          <w:sz w:val="24"/>
        </w:rPr>
        <w:t>典型临床表现，例如急性胸痛等；</w:t>
      </w:r>
    </w:p>
    <w:p>
      <w:pPr>
        <w:pStyle w:val="ListParagraph"/>
        <w:numPr>
          <w:ilvl w:val="2"/>
          <w:numId w:val="7"/>
        </w:numPr>
        <w:tabs>
          <w:tab w:pos="959" w:val="left" w:leader="none"/>
        </w:tabs>
        <w:spacing w:line="240" w:lineRule="auto" w:before="76" w:after="0"/>
        <w:ind w:left="958" w:right="0" w:hanging="420"/>
        <w:jc w:val="left"/>
        <w:rPr>
          <w:sz w:val="24"/>
        </w:rPr>
      </w:pPr>
      <w:r>
        <w:rPr>
          <w:sz w:val="24"/>
        </w:rPr>
        <w:t>新近的心电图改变提示急性心肌梗塞；</w:t>
      </w:r>
    </w:p>
    <w:p>
      <w:pPr>
        <w:pStyle w:val="ListParagraph"/>
        <w:numPr>
          <w:ilvl w:val="2"/>
          <w:numId w:val="7"/>
        </w:numPr>
        <w:tabs>
          <w:tab w:pos="959" w:val="left" w:leader="none"/>
        </w:tabs>
        <w:spacing w:line="297" w:lineRule="auto" w:before="76" w:after="0"/>
        <w:ind w:left="958" w:right="208" w:hanging="420"/>
        <w:jc w:val="left"/>
        <w:rPr>
          <w:sz w:val="24"/>
        </w:rPr>
      </w:pPr>
      <w:r>
        <w:rPr>
          <w:spacing w:val="5"/>
          <w:sz w:val="24"/>
        </w:rPr>
        <w:t>心肌酶或肌钙蛋白有诊断意义的升高，或呈符合急性心肌梗塞的动态性变</w:t>
      </w:r>
      <w:r>
        <w:rPr>
          <w:sz w:val="24"/>
        </w:rPr>
        <w:t>化；</w:t>
      </w:r>
    </w:p>
    <w:p>
      <w:pPr>
        <w:pStyle w:val="ListParagraph"/>
        <w:numPr>
          <w:ilvl w:val="2"/>
          <w:numId w:val="7"/>
        </w:numPr>
        <w:tabs>
          <w:tab w:pos="959" w:val="left" w:leader="none"/>
        </w:tabs>
        <w:spacing w:line="240" w:lineRule="auto" w:before="13" w:after="0"/>
        <w:ind w:left="958" w:right="0" w:hanging="420"/>
        <w:jc w:val="left"/>
        <w:rPr>
          <w:sz w:val="24"/>
        </w:rPr>
      </w:pPr>
      <w:r>
        <w:rPr>
          <w:position w:val="1"/>
          <w:sz w:val="24"/>
        </w:rPr>
        <w:t>发病90天后，经检查证实左心室功能降低，如左心室射血分数低于</w:t>
      </w:r>
      <w:r>
        <w:rPr>
          <w:spacing w:val="5"/>
          <w:sz w:val="24"/>
        </w:rPr>
        <w:drawing>
          <wp:inline distT="0" distB="0" distL="0" distR="0">
            <wp:extent cx="66675" cy="1174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sz w:val="24"/>
        </w:rPr>
      </w:r>
      <w:r>
        <w:rPr>
          <w:position w:val="1"/>
          <w:sz w:val="24"/>
        </w:rPr>
        <w:t>。</w:t>
      </w:r>
    </w:p>
    <w:p>
      <w:pPr>
        <w:pStyle w:val="BodyText"/>
        <w:spacing w:before="12"/>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脑中风后遗症：</w:t>
      </w:r>
    </w:p>
    <w:p>
      <w:pPr>
        <w:pStyle w:val="BodyText"/>
        <w:spacing w:line="297" w:lineRule="auto" w:before="75"/>
        <w:ind w:left="598" w:right="209"/>
        <w:jc w:val="both"/>
      </w:pPr>
      <w:r>
        <w:rPr/>
        <w:t>指因脑血管的突发病变引起脑血管出血、栓塞或梗塞，并导致神经系统永久性</w:t>
      </w:r>
      <w:r>
        <w:rPr>
          <w:spacing w:val="-4"/>
        </w:rPr>
        <w:t>的功能障碍。神经系统永久性的功能障碍，指疾病确诊</w:t>
      </w:r>
      <w:r>
        <w:rPr/>
        <w:t>180</w:t>
      </w:r>
      <w:r>
        <w:rPr>
          <w:spacing w:val="-4"/>
        </w:rPr>
        <w:t>天后，仍遗留下列一种或一种以上障碍：</w:t>
      </w:r>
    </w:p>
    <w:p>
      <w:pPr>
        <w:pStyle w:val="ListParagraph"/>
        <w:numPr>
          <w:ilvl w:val="2"/>
          <w:numId w:val="7"/>
        </w:numPr>
        <w:tabs>
          <w:tab w:pos="959" w:val="left" w:leader="none"/>
        </w:tabs>
        <w:spacing w:line="240" w:lineRule="auto" w:before="18" w:after="0"/>
        <w:ind w:left="958" w:right="0" w:hanging="420"/>
        <w:jc w:val="left"/>
        <w:rPr>
          <w:sz w:val="24"/>
        </w:rPr>
      </w:pPr>
      <w:r>
        <w:rPr>
          <w:sz w:val="24"/>
        </w:rPr>
        <w:t>一肢或一肢以上肢体机能完全丧失；</w:t>
      </w:r>
    </w:p>
    <w:p>
      <w:pPr>
        <w:pStyle w:val="ListParagraph"/>
        <w:numPr>
          <w:ilvl w:val="2"/>
          <w:numId w:val="7"/>
        </w:numPr>
        <w:tabs>
          <w:tab w:pos="959" w:val="left" w:leader="none"/>
        </w:tabs>
        <w:spacing w:line="240" w:lineRule="auto" w:before="76" w:after="0"/>
        <w:ind w:left="958" w:right="0" w:hanging="420"/>
        <w:jc w:val="left"/>
        <w:rPr>
          <w:sz w:val="24"/>
        </w:rPr>
      </w:pPr>
      <w:r>
        <w:rPr>
          <w:sz w:val="24"/>
        </w:rPr>
        <w:t>语言能力或咀嚼吞咽能力完全丧失；</w:t>
      </w:r>
    </w:p>
    <w:p>
      <w:pPr>
        <w:pStyle w:val="ListParagraph"/>
        <w:numPr>
          <w:ilvl w:val="2"/>
          <w:numId w:val="7"/>
        </w:numPr>
        <w:tabs>
          <w:tab w:pos="959" w:val="left" w:leader="none"/>
        </w:tabs>
        <w:spacing w:line="266" w:lineRule="auto" w:before="4" w:after="0"/>
        <w:ind w:left="958" w:right="109" w:hanging="420"/>
        <w:jc w:val="left"/>
        <w:rPr>
          <w:sz w:val="24"/>
        </w:rPr>
      </w:pPr>
      <w:r>
        <w:rPr>
          <w:spacing w:val="-10"/>
          <w:sz w:val="24"/>
        </w:rPr>
        <w:t>自主生活能力完全丧失，无法独立完成</w:t>
      </w:r>
      <w:r>
        <w:rPr>
          <w:rFonts w:ascii="微软雅黑" w:eastAsia="微软雅黑" w:hint="eastAsia"/>
          <w:b/>
          <w:spacing w:val="-9"/>
          <w:sz w:val="24"/>
        </w:rPr>
        <w:t>六项基本日常生活活动</w:t>
      </w:r>
      <w:r>
        <w:rPr>
          <w:sz w:val="21"/>
        </w:rPr>
        <w:t>（见名词释义15） </w:t>
      </w:r>
      <w:r>
        <w:rPr>
          <w:sz w:val="24"/>
        </w:rPr>
        <w:t>中的三项或三项以上。</w:t>
      </w:r>
    </w:p>
    <w:p>
      <w:pPr>
        <w:pStyle w:val="BodyText"/>
        <w:spacing w:before="7"/>
        <w:rPr>
          <w:sz w:val="33"/>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重大器官移植手术或造血干细胞移植手术：</w:t>
      </w:r>
    </w:p>
    <w:p>
      <w:pPr>
        <w:pStyle w:val="BodyText"/>
        <w:spacing w:line="297" w:lineRule="auto" w:before="76"/>
        <w:ind w:left="659" w:right="215"/>
        <w:jc w:val="both"/>
      </w:pPr>
      <w:r>
        <w:rPr/>
        <w:t>重大器官移植术，指因相应器官功能衰竭，已经实施了肾脏、肝脏、心脏或肺脏的异体移植手术。</w:t>
      </w:r>
    </w:p>
    <w:p>
      <w:pPr>
        <w:pStyle w:val="BodyText"/>
        <w:spacing w:line="297" w:lineRule="auto" w:before="18"/>
        <w:ind w:left="538" w:right="214"/>
        <w:jc w:val="both"/>
      </w:pPr>
      <w:r>
        <w:rPr>
          <w:spacing w:val="-9"/>
        </w:rPr>
        <w:t>造血干细胞移植术，指因造血功能损害或造血系统恶性肿瘤，已经实施了造血干</w:t>
      </w:r>
      <w:r>
        <w:rPr>
          <w:spacing w:val="-24"/>
        </w:rPr>
        <w:t>细胞</w:t>
      </w:r>
      <w:r>
        <w:rPr/>
        <w:t>（</w:t>
      </w:r>
      <w:r>
        <w:rPr>
          <w:spacing w:val="-4"/>
        </w:rPr>
        <w:t>包括骨髓造血干细胞、外周血造血干细胞和脐血造血干细胞</w:t>
      </w:r>
      <w:r>
        <w:rPr>
          <w:spacing w:val="-38"/>
        </w:rPr>
        <w:t>）</w:t>
      </w:r>
      <w:r>
        <w:rPr/>
        <w:t>的异体移植手术。</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冠状动脉搭桥术（或称冠状动脉旁路移植术）</w:t>
      </w:r>
    </w:p>
    <w:p>
      <w:pPr>
        <w:pStyle w:val="BodyText"/>
        <w:spacing w:line="297" w:lineRule="auto" w:before="75"/>
        <w:ind w:left="598" w:right="105" w:hanging="60"/>
      </w:pPr>
      <w:r>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97" w:lineRule="auto"/>
        <w:sectPr>
          <w:pgSz w:w="11910" w:h="16840"/>
          <w:pgMar w:header="0" w:footer="915" w:top="1120" w:bottom="1120" w:left="1660" w:right="1200"/>
        </w:sectPr>
      </w:pPr>
    </w:p>
    <w:p>
      <w:pPr>
        <w:pStyle w:val="ListParagraph"/>
        <w:numPr>
          <w:ilvl w:val="1"/>
          <w:numId w:val="7"/>
        </w:numPr>
        <w:tabs>
          <w:tab w:pos="538" w:val="left" w:leader="none"/>
        </w:tabs>
        <w:spacing w:line="240" w:lineRule="auto" w:before="14" w:after="0"/>
        <w:ind w:left="537" w:right="0" w:hanging="420"/>
        <w:jc w:val="left"/>
        <w:rPr>
          <w:sz w:val="24"/>
        </w:rPr>
      </w:pPr>
      <w:r>
        <w:rPr>
          <w:sz w:val="24"/>
        </w:rPr>
        <w:t>终末期肾病（或称慢性肾功能衰竭尿毒症期</w:t>
      </w:r>
      <w:r>
        <w:rPr>
          <w:spacing w:val="-120"/>
          <w:sz w:val="24"/>
        </w:rPr>
        <w:t>）</w:t>
      </w:r>
      <w:r>
        <w:rPr>
          <w:sz w:val="24"/>
        </w:rPr>
        <w:t>：</w:t>
      </w:r>
    </w:p>
    <w:p>
      <w:pPr>
        <w:pStyle w:val="BodyText"/>
        <w:spacing w:line="297" w:lineRule="auto" w:before="75"/>
        <w:ind w:left="478" w:right="172"/>
      </w:pPr>
      <w:r>
        <w:rPr/>
        <w:t>指双肾功能慢性不可逆性衰竭，达到尿毒症期，经诊断后已经进行了至少90天的规律性透析治疗或实施了肾脏移植手术。</w:t>
      </w:r>
    </w:p>
    <w:p>
      <w:pPr>
        <w:pStyle w:val="BodyText"/>
        <w:spacing w:before="2"/>
        <w:rPr>
          <w:sz w:val="25"/>
        </w:rPr>
      </w:pPr>
    </w:p>
    <w:p>
      <w:pPr>
        <w:pStyle w:val="ListParagraph"/>
        <w:numPr>
          <w:ilvl w:val="1"/>
          <w:numId w:val="7"/>
        </w:numPr>
        <w:tabs>
          <w:tab w:pos="479" w:val="left" w:leader="none"/>
        </w:tabs>
        <w:spacing w:line="240" w:lineRule="auto" w:before="0" w:after="0"/>
        <w:ind w:left="478" w:right="0" w:hanging="360"/>
        <w:jc w:val="left"/>
        <w:rPr>
          <w:sz w:val="24"/>
        </w:rPr>
      </w:pPr>
      <w:r>
        <w:rPr>
          <w:sz w:val="24"/>
        </w:rPr>
        <w:t>多个肢体缺失：</w:t>
      </w:r>
    </w:p>
    <w:p>
      <w:pPr>
        <w:pStyle w:val="BodyText"/>
        <w:spacing w:line="297" w:lineRule="auto" w:before="75"/>
        <w:ind w:left="476" w:right="174" w:hanging="2"/>
      </w:pPr>
      <w:r>
        <w:rPr/>
        <w:t>指因疾病或意外伤害导致两个或两个以上肢体自腕关节或踝关节近端（靠近躯干端）以上完全性断离。</w:t>
      </w:r>
    </w:p>
    <w:p>
      <w:pPr>
        <w:pStyle w:val="BodyText"/>
        <w:spacing w:before="2"/>
        <w:rPr>
          <w:sz w:val="25"/>
        </w:rPr>
      </w:pPr>
    </w:p>
    <w:p>
      <w:pPr>
        <w:pStyle w:val="ListParagraph"/>
        <w:numPr>
          <w:ilvl w:val="1"/>
          <w:numId w:val="7"/>
        </w:numPr>
        <w:tabs>
          <w:tab w:pos="479" w:val="left" w:leader="none"/>
        </w:tabs>
        <w:spacing w:line="240" w:lineRule="auto" w:before="1" w:after="0"/>
        <w:ind w:left="478" w:right="0" w:hanging="360"/>
        <w:jc w:val="left"/>
        <w:rPr>
          <w:sz w:val="24"/>
        </w:rPr>
      </w:pPr>
      <w:r>
        <w:rPr>
          <w:sz w:val="24"/>
        </w:rPr>
        <w:t>急性或亚急性重症肝炎：</w:t>
      </w:r>
    </w:p>
    <w:p>
      <w:pPr>
        <w:pStyle w:val="BodyText"/>
        <w:spacing w:line="297" w:lineRule="auto" w:before="76"/>
        <w:ind w:left="476" w:right="174" w:hanging="2"/>
      </w:pPr>
      <w:r>
        <w:rPr/>
        <w:t>指因肝炎病毒感染引起肝脏组织弥漫性坏死，导致急性肝功能衰竭，且经血清学或病毒学检查证实，并须满足下列全部条件：</w:t>
      </w:r>
    </w:p>
    <w:p>
      <w:pPr>
        <w:pStyle w:val="ListParagraph"/>
        <w:numPr>
          <w:ilvl w:val="2"/>
          <w:numId w:val="7"/>
        </w:numPr>
        <w:tabs>
          <w:tab w:pos="959" w:val="left" w:leader="none"/>
        </w:tabs>
        <w:spacing w:line="240" w:lineRule="auto" w:before="18" w:after="0"/>
        <w:ind w:left="958" w:right="0" w:hanging="420"/>
        <w:jc w:val="left"/>
        <w:rPr>
          <w:sz w:val="24"/>
        </w:rPr>
      </w:pPr>
      <w:r>
        <w:rPr>
          <w:sz w:val="24"/>
        </w:rPr>
        <w:t>重度黄疸或黄疸迅速加重；</w:t>
      </w:r>
    </w:p>
    <w:p>
      <w:pPr>
        <w:pStyle w:val="ListParagraph"/>
        <w:numPr>
          <w:ilvl w:val="2"/>
          <w:numId w:val="7"/>
        </w:numPr>
        <w:tabs>
          <w:tab w:pos="959" w:val="left" w:leader="none"/>
        </w:tabs>
        <w:spacing w:line="240" w:lineRule="auto" w:before="75" w:after="0"/>
        <w:ind w:left="958" w:right="0" w:hanging="420"/>
        <w:jc w:val="left"/>
        <w:rPr>
          <w:sz w:val="24"/>
        </w:rPr>
      </w:pPr>
      <w:r>
        <w:rPr>
          <w:sz w:val="24"/>
        </w:rPr>
        <w:t>肝性脑病；</w:t>
      </w:r>
    </w:p>
    <w:p>
      <w:pPr>
        <w:pStyle w:val="ListParagraph"/>
        <w:numPr>
          <w:ilvl w:val="2"/>
          <w:numId w:val="7"/>
        </w:numPr>
        <w:tabs>
          <w:tab w:pos="959" w:val="left" w:leader="none"/>
        </w:tabs>
        <w:spacing w:line="240" w:lineRule="auto" w:before="75" w:after="0"/>
        <w:ind w:left="958" w:right="0" w:hanging="420"/>
        <w:jc w:val="left"/>
        <w:rPr>
          <w:sz w:val="24"/>
        </w:rPr>
      </w:pPr>
      <w:r>
        <w:rPr>
          <w:sz w:val="24"/>
        </w:rPr>
        <w:t>B超或其它影像学检查显示肝脏体积急速萎缩；</w:t>
      </w:r>
    </w:p>
    <w:p>
      <w:pPr>
        <w:pStyle w:val="ListParagraph"/>
        <w:numPr>
          <w:ilvl w:val="2"/>
          <w:numId w:val="7"/>
        </w:numPr>
        <w:tabs>
          <w:tab w:pos="959" w:val="left" w:leader="none"/>
        </w:tabs>
        <w:spacing w:line="240" w:lineRule="auto" w:before="75" w:after="0"/>
        <w:ind w:left="958" w:right="0" w:hanging="420"/>
        <w:jc w:val="left"/>
        <w:rPr>
          <w:sz w:val="24"/>
        </w:rPr>
      </w:pPr>
      <w:r>
        <w:rPr>
          <w:sz w:val="24"/>
        </w:rPr>
        <w:t>肝功能指标进行性恶化。</w:t>
      </w:r>
    </w:p>
    <w:p>
      <w:pPr>
        <w:pStyle w:val="BodyText"/>
        <w:spacing w:before="7"/>
        <w:rPr>
          <w:sz w:val="35"/>
        </w:rPr>
      </w:pPr>
    </w:p>
    <w:p>
      <w:pPr>
        <w:pStyle w:val="ListParagraph"/>
        <w:numPr>
          <w:ilvl w:val="1"/>
          <w:numId w:val="7"/>
        </w:numPr>
        <w:tabs>
          <w:tab w:pos="479" w:val="left" w:leader="none"/>
        </w:tabs>
        <w:spacing w:line="240" w:lineRule="auto" w:before="0" w:after="0"/>
        <w:ind w:left="478" w:right="0" w:hanging="360"/>
        <w:jc w:val="left"/>
        <w:rPr>
          <w:sz w:val="24"/>
        </w:rPr>
      </w:pPr>
      <w:r>
        <w:rPr>
          <w:sz w:val="24"/>
        </w:rPr>
        <w:t>良性脑肿瘤：</w:t>
      </w:r>
    </w:p>
    <w:p>
      <w:pPr>
        <w:pStyle w:val="BodyText"/>
        <w:spacing w:line="297" w:lineRule="auto" w:before="75"/>
        <w:ind w:left="476" w:right="113" w:hanging="2"/>
      </w:pPr>
      <w:r>
        <w:rPr>
          <w:spacing w:val="-12"/>
        </w:rPr>
        <w:t>指脑的良性肿瘤，已经引起颅内压增高，临床表现为视神经乳头水肿、精神症状、</w:t>
      </w:r>
      <w:r>
        <w:rPr/>
        <w:t>癫痫及运动感觉障碍等，并危及生命。须由头颅断层扫描</w:t>
      </w:r>
      <w:r>
        <w:rPr>
          <w:spacing w:val="1"/>
        </w:rPr>
        <w:t>（</w:t>
      </w:r>
      <w:r>
        <w:rPr>
          <w:spacing w:val="-1"/>
        </w:rPr>
        <w:t>C</w:t>
      </w:r>
      <w:r>
        <w:rPr>
          <w:spacing w:val="1"/>
        </w:rPr>
        <w:t>T</w:t>
      </w:r>
      <w:r>
        <w:rPr>
          <w:spacing w:val="-118"/>
        </w:rPr>
        <w:t>）</w:t>
      </w:r>
      <w:r>
        <w:rPr/>
        <w:t>、核磁共振检查</w:t>
      </w:r>
    </w:p>
    <w:p>
      <w:pPr>
        <w:pStyle w:val="BodyText"/>
        <w:spacing w:line="297" w:lineRule="auto" w:before="17"/>
        <w:ind w:left="476" w:right="173"/>
      </w:pPr>
      <w:r>
        <w:rPr/>
        <w:t>（MRI）或正电子发射断层扫描（PET）等影像学检查证实，并须满足下列至少一项条件：</w:t>
      </w:r>
    </w:p>
    <w:p>
      <w:pPr>
        <w:pStyle w:val="BodyText"/>
        <w:spacing w:before="2"/>
        <w:rPr>
          <w:sz w:val="25"/>
        </w:rPr>
      </w:pPr>
    </w:p>
    <w:p>
      <w:pPr>
        <w:pStyle w:val="ListParagraph"/>
        <w:numPr>
          <w:ilvl w:val="2"/>
          <w:numId w:val="7"/>
        </w:numPr>
        <w:tabs>
          <w:tab w:pos="959" w:val="left" w:leader="none"/>
        </w:tabs>
        <w:spacing w:line="240" w:lineRule="auto" w:before="0" w:after="0"/>
        <w:ind w:left="958" w:right="0" w:hanging="420"/>
        <w:jc w:val="left"/>
        <w:rPr>
          <w:sz w:val="24"/>
        </w:rPr>
      </w:pPr>
      <w:r>
        <w:rPr>
          <w:sz w:val="24"/>
        </w:rPr>
        <w:t>实际实施了开颅进行的脑肿瘤完全切除或部分切除的手术；</w:t>
      </w:r>
    </w:p>
    <w:p>
      <w:pPr>
        <w:pStyle w:val="ListParagraph"/>
        <w:numPr>
          <w:ilvl w:val="2"/>
          <w:numId w:val="7"/>
        </w:numPr>
        <w:tabs>
          <w:tab w:pos="959" w:val="left" w:leader="none"/>
        </w:tabs>
        <w:spacing w:line="240" w:lineRule="auto" w:before="75" w:after="0"/>
        <w:ind w:left="958" w:right="0" w:hanging="420"/>
        <w:jc w:val="left"/>
        <w:rPr>
          <w:sz w:val="24"/>
        </w:rPr>
      </w:pPr>
      <w:r>
        <w:rPr>
          <w:sz w:val="24"/>
        </w:rPr>
        <w:t>实际实施了对脑肿瘤进行的放射治疗。</w:t>
      </w:r>
    </w:p>
    <w:p>
      <w:pPr>
        <w:pStyle w:val="BodyText"/>
        <w:spacing w:before="75"/>
        <w:ind w:left="598"/>
      </w:pPr>
      <w:r>
        <w:rPr/>
        <w:t>脑垂体瘤、脑囊肿、脑血管性疾病不在保障范围。</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慢性肝功能衰竭失代偿期：</w:t>
      </w:r>
    </w:p>
    <w:p>
      <w:pPr>
        <w:pStyle w:val="BodyText"/>
        <w:spacing w:before="75"/>
        <w:ind w:left="117"/>
      </w:pPr>
      <w:r>
        <w:rPr/>
        <w:t>指因慢性肝脏疾病导致肝功能衰竭。须满足下列全部条件：</w:t>
      </w:r>
    </w:p>
    <w:p>
      <w:pPr>
        <w:pStyle w:val="ListParagraph"/>
        <w:numPr>
          <w:ilvl w:val="2"/>
          <w:numId w:val="7"/>
        </w:numPr>
        <w:tabs>
          <w:tab w:pos="959" w:val="left" w:leader="none"/>
        </w:tabs>
        <w:spacing w:line="240" w:lineRule="auto" w:before="75" w:after="0"/>
        <w:ind w:left="598" w:right="0" w:firstLine="0"/>
        <w:jc w:val="left"/>
        <w:rPr>
          <w:sz w:val="24"/>
        </w:rPr>
      </w:pPr>
      <w:r>
        <w:rPr>
          <w:sz w:val="24"/>
        </w:rPr>
        <w:t>持续性黄疸；</w:t>
      </w:r>
    </w:p>
    <w:p>
      <w:pPr>
        <w:pStyle w:val="ListParagraph"/>
        <w:numPr>
          <w:ilvl w:val="2"/>
          <w:numId w:val="7"/>
        </w:numPr>
        <w:tabs>
          <w:tab w:pos="959" w:val="left" w:leader="none"/>
        </w:tabs>
        <w:spacing w:line="240" w:lineRule="auto" w:before="75" w:after="0"/>
        <w:ind w:left="598" w:right="0" w:firstLine="0"/>
        <w:jc w:val="left"/>
        <w:rPr>
          <w:sz w:val="24"/>
        </w:rPr>
      </w:pPr>
      <w:r>
        <w:rPr>
          <w:sz w:val="24"/>
        </w:rPr>
        <w:t>腹水；</w:t>
      </w:r>
    </w:p>
    <w:p>
      <w:pPr>
        <w:pStyle w:val="ListParagraph"/>
        <w:numPr>
          <w:ilvl w:val="2"/>
          <w:numId w:val="7"/>
        </w:numPr>
        <w:tabs>
          <w:tab w:pos="959" w:val="left" w:leader="none"/>
        </w:tabs>
        <w:spacing w:line="240" w:lineRule="auto" w:before="75" w:after="0"/>
        <w:ind w:left="598" w:right="0" w:firstLine="0"/>
        <w:jc w:val="left"/>
        <w:rPr>
          <w:sz w:val="24"/>
        </w:rPr>
      </w:pPr>
      <w:r>
        <w:rPr>
          <w:sz w:val="24"/>
        </w:rPr>
        <w:t>肝性脑病；</w:t>
      </w:r>
    </w:p>
    <w:p>
      <w:pPr>
        <w:pStyle w:val="ListParagraph"/>
        <w:numPr>
          <w:ilvl w:val="2"/>
          <w:numId w:val="7"/>
        </w:numPr>
        <w:tabs>
          <w:tab w:pos="959" w:val="left" w:leader="none"/>
        </w:tabs>
        <w:spacing w:line="297" w:lineRule="auto" w:before="75" w:after="0"/>
        <w:ind w:left="598" w:right="2705" w:firstLine="0"/>
        <w:jc w:val="left"/>
        <w:rPr>
          <w:sz w:val="24"/>
        </w:rPr>
      </w:pPr>
      <w:r>
        <w:rPr>
          <w:sz w:val="24"/>
        </w:rPr>
        <w:t>充血性脾肿大伴脾功能亢进或食管胃底静脉曲张。因酗酒或药物滥用导致的肝功能衰竭不在保障范围内。</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脑炎后遗症或脑膜炎后遗症：</w:t>
      </w:r>
    </w:p>
    <w:p>
      <w:pPr>
        <w:pStyle w:val="BodyText"/>
        <w:spacing w:line="297" w:lineRule="auto" w:before="75"/>
        <w:ind w:left="476" w:right="173"/>
      </w:pPr>
      <w:r>
        <w:rPr/>
        <w:t>指因患脑炎或脑膜炎导致的神经系统永久性的功能障碍。神经系统永久性的功能障碍，指疾病确诊180天后，仍遗留下列一种或一种以上障碍：</w:t>
      </w:r>
    </w:p>
    <w:p>
      <w:pPr>
        <w:pStyle w:val="ListParagraph"/>
        <w:numPr>
          <w:ilvl w:val="2"/>
          <w:numId w:val="7"/>
        </w:numPr>
        <w:tabs>
          <w:tab w:pos="1019" w:val="left" w:leader="none"/>
        </w:tabs>
        <w:spacing w:line="361" w:lineRule="exact" w:before="0" w:after="0"/>
        <w:ind w:left="609" w:right="0" w:firstLine="0"/>
        <w:jc w:val="left"/>
        <w:rPr>
          <w:sz w:val="24"/>
        </w:rPr>
      </w:pPr>
      <w:r>
        <w:rPr>
          <w:sz w:val="24"/>
        </w:rPr>
        <w:t>一肢或一肢以上</w:t>
      </w:r>
      <w:r>
        <w:rPr>
          <w:rFonts w:ascii="微软雅黑" w:eastAsia="微软雅黑" w:hint="eastAsia"/>
          <w:b/>
          <w:sz w:val="24"/>
        </w:rPr>
        <w:t>肢体机能完全丧失</w:t>
      </w:r>
      <w:r>
        <w:rPr>
          <w:spacing w:val="-1"/>
          <w:sz w:val="21"/>
        </w:rPr>
        <w:t>（见名词释义16</w:t>
      </w:r>
      <w:r>
        <w:rPr>
          <w:spacing w:val="-104"/>
          <w:sz w:val="21"/>
        </w:rPr>
        <w:t>）</w:t>
      </w:r>
      <w:r>
        <w:rPr>
          <w:sz w:val="24"/>
        </w:rPr>
        <w:t>；</w:t>
      </w:r>
    </w:p>
    <w:p>
      <w:pPr>
        <w:spacing w:after="0" w:line="361" w:lineRule="exact"/>
        <w:jc w:val="left"/>
        <w:rPr>
          <w:sz w:val="24"/>
        </w:rPr>
        <w:sectPr>
          <w:pgSz w:w="11910" w:h="16840"/>
          <w:pgMar w:header="0" w:footer="915" w:top="1120" w:bottom="1100" w:left="1660" w:right="1180"/>
        </w:sectPr>
      </w:pPr>
    </w:p>
    <w:p>
      <w:pPr>
        <w:pStyle w:val="ListParagraph"/>
        <w:numPr>
          <w:ilvl w:val="2"/>
          <w:numId w:val="7"/>
        </w:numPr>
        <w:tabs>
          <w:tab w:pos="1019" w:val="left" w:leader="none"/>
        </w:tabs>
        <w:spacing w:line="358" w:lineRule="exact" w:before="0" w:after="0"/>
        <w:ind w:left="609" w:right="0" w:firstLine="0"/>
        <w:jc w:val="left"/>
        <w:rPr>
          <w:sz w:val="24"/>
        </w:rPr>
      </w:pPr>
      <w:r>
        <w:rPr>
          <w:rFonts w:ascii="微软雅黑" w:eastAsia="微软雅黑" w:hint="eastAsia"/>
          <w:b/>
          <w:sz w:val="24"/>
        </w:rPr>
        <w:t>语言能力或咀嚼吞咽能力完全丧失</w:t>
      </w:r>
      <w:r>
        <w:rPr>
          <w:spacing w:val="-1"/>
          <w:sz w:val="21"/>
        </w:rPr>
        <w:t>（见名词释义17</w:t>
      </w:r>
      <w:r>
        <w:rPr>
          <w:spacing w:val="-104"/>
          <w:sz w:val="21"/>
        </w:rPr>
        <w:t>）</w:t>
      </w:r>
      <w:r>
        <w:rPr>
          <w:sz w:val="24"/>
        </w:rPr>
        <w:t>；</w:t>
      </w:r>
    </w:p>
    <w:p>
      <w:pPr>
        <w:pStyle w:val="ListParagraph"/>
        <w:numPr>
          <w:ilvl w:val="2"/>
          <w:numId w:val="7"/>
        </w:numPr>
        <w:tabs>
          <w:tab w:pos="1019" w:val="left" w:leader="none"/>
        </w:tabs>
        <w:spacing w:line="297" w:lineRule="auto" w:before="47" w:after="0"/>
        <w:ind w:left="609" w:right="234"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深度昏迷：</w:t>
      </w:r>
    </w:p>
    <w:p>
      <w:pPr>
        <w:pStyle w:val="BodyText"/>
        <w:spacing w:line="297" w:lineRule="auto" w:before="75"/>
        <w:ind w:left="476" w:right="234" w:hanging="2"/>
      </w:pPr>
      <w:r>
        <w:rPr/>
        <w:t>指因疾病或意外伤害导致意识丧失,对外界刺激和体内需求均无反应,昏迷程度按照格拉斯哥昏迷分级（Glasgow</w:t>
      </w:r>
      <w:r>
        <w:rPr>
          <w:spacing w:val="-24"/>
        </w:rPr>
        <w:t> </w:t>
      </w:r>
      <w:r>
        <w:rPr/>
        <w:t>coma</w:t>
      </w:r>
      <w:r>
        <w:rPr>
          <w:spacing w:val="-24"/>
        </w:rPr>
        <w:t> </w:t>
      </w:r>
      <w:r>
        <w:rPr/>
        <w:t>scale）结果为5分或5分以下，且已经持续使用呼吸机及其它生命维持系统96小时以上。</w:t>
      </w:r>
    </w:p>
    <w:p>
      <w:pPr>
        <w:pStyle w:val="BodyText"/>
        <w:spacing w:before="18"/>
        <w:ind w:left="474"/>
      </w:pPr>
      <w:r>
        <w:rPr/>
        <w:t>因酗酒或药物滥用导致的深度昏迷不在保障范围内。</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双耳失聪：</w:t>
      </w:r>
    </w:p>
    <w:p>
      <w:pPr>
        <w:pStyle w:val="BodyText"/>
        <w:spacing w:line="280" w:lineRule="auto" w:before="4"/>
        <w:ind w:left="476" w:right="112" w:hanging="2"/>
      </w:pPr>
      <w:r>
        <w:rPr/>
        <w:t>指因疾病或意外伤害导致双耳听力</w:t>
      </w:r>
      <w:r>
        <w:rPr>
          <w:rFonts w:ascii="微软雅黑" w:eastAsia="微软雅黑" w:hint="eastAsia"/>
          <w:b/>
        </w:rPr>
        <w:t>永久不可逆</w:t>
      </w:r>
      <w:r>
        <w:rPr>
          <w:sz w:val="21"/>
        </w:rPr>
        <w:t>（见名词释义18）</w:t>
      </w:r>
      <w:r>
        <w:rPr/>
        <w:t>性丧失，在500赫</w:t>
      </w:r>
      <w:r>
        <w:rPr>
          <w:spacing w:val="-29"/>
        </w:rPr>
        <w:t>兹、</w:t>
      </w:r>
      <w:r>
        <w:rPr>
          <w:spacing w:val="-1"/>
        </w:rPr>
        <w:t>1000赫兹和</w:t>
      </w:r>
      <w:r>
        <w:rPr/>
        <w:t>2000</w:t>
      </w:r>
      <w:r>
        <w:rPr>
          <w:spacing w:val="-7"/>
        </w:rPr>
        <w:t>赫兹语音频率下，平均听阈大于</w:t>
      </w:r>
      <w:r>
        <w:rPr/>
        <w:t>90</w:t>
      </w:r>
      <w:r>
        <w:rPr>
          <w:spacing w:val="-8"/>
        </w:rPr>
        <w:t>分贝，且经纯音听力测试、声导抗检测或听觉诱发电位检测等证实。</w:t>
      </w:r>
    </w:p>
    <w:p>
      <w:pPr>
        <w:pStyle w:val="BodyText"/>
        <w:spacing w:before="6"/>
        <w:rPr>
          <w:sz w:val="32"/>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双眼失明：</w:t>
      </w:r>
    </w:p>
    <w:p>
      <w:pPr>
        <w:pStyle w:val="BodyText"/>
        <w:spacing w:line="297" w:lineRule="auto" w:before="75"/>
        <w:ind w:left="476" w:right="174" w:hanging="2"/>
      </w:pPr>
      <w:r>
        <w:rPr/>
        <w:t>指因疾病或意外伤害导致双眼视力永久不可逆性丧失，双眼中较好眼须满足下列至少一项条件：</w:t>
      </w:r>
    </w:p>
    <w:p>
      <w:pPr>
        <w:pStyle w:val="ListParagraph"/>
        <w:numPr>
          <w:ilvl w:val="2"/>
          <w:numId w:val="7"/>
        </w:numPr>
        <w:tabs>
          <w:tab w:pos="1019" w:val="left" w:leader="none"/>
        </w:tabs>
        <w:spacing w:line="240" w:lineRule="auto" w:before="18" w:after="0"/>
        <w:ind w:left="609" w:right="0" w:hanging="11"/>
        <w:jc w:val="left"/>
        <w:rPr>
          <w:sz w:val="24"/>
        </w:rPr>
      </w:pPr>
      <w:r>
        <w:rPr>
          <w:sz w:val="24"/>
        </w:rPr>
        <w:t>眼球缺失或摘除；</w:t>
      </w:r>
    </w:p>
    <w:p>
      <w:pPr>
        <w:pStyle w:val="ListParagraph"/>
        <w:numPr>
          <w:ilvl w:val="2"/>
          <w:numId w:val="7"/>
        </w:numPr>
        <w:tabs>
          <w:tab w:pos="1019" w:val="left" w:leader="none"/>
        </w:tabs>
        <w:spacing w:line="297" w:lineRule="auto" w:before="76" w:after="0"/>
        <w:ind w:left="609" w:right="365" w:firstLine="0"/>
        <w:jc w:val="left"/>
        <w:rPr>
          <w:sz w:val="24"/>
        </w:rPr>
      </w:pPr>
      <w:r>
        <w:rPr>
          <w:sz w:val="24"/>
        </w:rPr>
        <w:t>矫正视力低于0.02（采用国际标准视力表，如果使用其它视力表应进行换算</w:t>
      </w:r>
      <w:r>
        <w:rPr>
          <w:spacing w:val="-120"/>
          <w:sz w:val="24"/>
        </w:rPr>
        <w:t>）</w:t>
      </w:r>
      <w:r>
        <w:rPr>
          <w:sz w:val="24"/>
        </w:rPr>
        <w:t>；</w:t>
      </w:r>
    </w:p>
    <w:p>
      <w:pPr>
        <w:pStyle w:val="ListParagraph"/>
        <w:numPr>
          <w:ilvl w:val="2"/>
          <w:numId w:val="7"/>
        </w:numPr>
        <w:tabs>
          <w:tab w:pos="1019" w:val="left" w:leader="none"/>
        </w:tabs>
        <w:spacing w:line="240" w:lineRule="auto" w:before="18" w:after="0"/>
        <w:ind w:left="1018" w:right="0" w:hanging="409"/>
        <w:jc w:val="left"/>
        <w:rPr>
          <w:sz w:val="24"/>
        </w:rPr>
      </w:pPr>
      <w:r>
        <w:rPr>
          <w:sz w:val="24"/>
        </w:rPr>
        <w:t>视野半径小于5度。</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瘫痪：</w:t>
      </w:r>
    </w:p>
    <w:p>
      <w:pPr>
        <w:pStyle w:val="BodyText"/>
        <w:spacing w:line="297" w:lineRule="auto" w:before="75"/>
        <w:ind w:left="476" w:right="233" w:hanging="2"/>
        <w:jc w:val="both"/>
      </w:pPr>
      <w:r>
        <w:rPr>
          <w:spacing w:val="-2"/>
        </w:rPr>
        <w:t>指因疾病或意外伤害导致两肢或两肢以上肢体机能永久完全丧失。肢体机能永久</w:t>
      </w:r>
      <w:r>
        <w:rPr>
          <w:spacing w:val="-6"/>
        </w:rPr>
        <w:t>完全丧失，指疾病确诊</w:t>
      </w:r>
      <w:r>
        <w:rPr/>
        <w:t>180天后或意外伤害发生180</w:t>
      </w:r>
      <w:r>
        <w:rPr>
          <w:spacing w:val="-5"/>
        </w:rPr>
        <w:t>天后，每肢三大关节中的两大关节仍然完全僵硬，或不能随意识活动。</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心脏瓣膜手术：</w:t>
      </w:r>
    </w:p>
    <w:p>
      <w:pPr>
        <w:pStyle w:val="BodyText"/>
        <w:spacing w:before="75"/>
        <w:ind w:left="477"/>
      </w:pPr>
      <w:r>
        <w:rPr/>
        <w:t>指为治疗心脏瓣膜疾病，实际实施了开胸进行的心脏瓣膜置换或修复的手术。</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严重阿尔茨海默病：</w:t>
      </w:r>
    </w:p>
    <w:p>
      <w:pPr>
        <w:pStyle w:val="BodyText"/>
        <w:spacing w:line="297" w:lineRule="auto" w:before="75"/>
        <w:ind w:left="475" w:right="233"/>
        <w:jc w:val="both"/>
      </w:pPr>
      <w:r>
        <w:rPr>
          <w:spacing w:val="-4"/>
        </w:rPr>
        <w:t>指因大脑进行性、不可逆性改变导致智能严重衰退或丧失，临床表现为明显的认</w:t>
      </w:r>
      <w:r>
        <w:rPr>
          <w:spacing w:val="-8"/>
        </w:rPr>
        <w:t>知能力障碍、行为异常和社交能力减退，其日常生活必须持续受到他人监护。须</w:t>
      </w:r>
      <w:r>
        <w:rPr>
          <w:spacing w:val="1"/>
        </w:rPr>
        <w:t>由头颅断层扫描（</w:t>
      </w:r>
      <w:r>
        <w:rPr/>
        <w:t>C</w:t>
      </w:r>
      <w:r>
        <w:rPr>
          <w:spacing w:val="1"/>
        </w:rPr>
        <w:t>T</w:t>
      </w:r>
      <w:r>
        <w:rPr>
          <w:spacing w:val="-119"/>
        </w:rPr>
        <w:t>）</w:t>
      </w:r>
      <w:r>
        <w:rPr/>
        <w:t>、核磁共振检查</w:t>
      </w:r>
      <w:r>
        <w:rPr>
          <w:spacing w:val="1"/>
        </w:rPr>
        <w:t>（</w:t>
      </w:r>
      <w:r>
        <w:rPr/>
        <w:t>MR</w:t>
      </w:r>
      <w:r>
        <w:rPr>
          <w:spacing w:val="0"/>
        </w:rPr>
        <w:t>I</w:t>
      </w:r>
      <w:r>
        <w:rPr>
          <w:spacing w:val="1"/>
        </w:rPr>
        <w:t>）或正电子发射断层扫描（</w:t>
      </w:r>
      <w:r>
        <w:rPr/>
        <w:t>PE</w:t>
      </w:r>
      <w:r>
        <w:rPr>
          <w:spacing w:val="1"/>
        </w:rPr>
        <w:t>T）等</w:t>
      </w:r>
      <w:r>
        <w:rPr>
          <w:spacing w:val="-5"/>
        </w:rPr>
        <w:t>影像学检查证实，且自主生活能力完全丧失，无法独立完成六项基本日常生活活动中的三项或三项以上。</w:t>
      </w:r>
    </w:p>
    <w:p>
      <w:pPr>
        <w:spacing w:after="0" w:line="297" w:lineRule="auto"/>
        <w:jc w:val="both"/>
        <w:sectPr>
          <w:pgSz w:w="11910" w:h="16840"/>
          <w:pgMar w:header="0" w:footer="915" w:top="1120" w:bottom="1120" w:left="1660" w:right="1180"/>
        </w:sectPr>
      </w:pPr>
    </w:p>
    <w:p>
      <w:pPr>
        <w:pStyle w:val="BodyText"/>
        <w:spacing w:before="14"/>
        <w:ind w:left="477"/>
      </w:pPr>
      <w:r>
        <w:rPr/>
        <w:t>神经官能症和精神疾病不在保障范围内。</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严重脑损伤：</w:t>
      </w:r>
    </w:p>
    <w:p>
      <w:pPr>
        <w:pStyle w:val="BodyText"/>
        <w:spacing w:line="297" w:lineRule="auto" w:before="75"/>
        <w:ind w:left="475" w:right="114" w:hanging="2"/>
      </w:pPr>
      <w:r>
        <w:rPr>
          <w:spacing w:val="-3"/>
        </w:rPr>
        <w:t>指因头部遭受机械性外力，引起脑重要部位损伤，导致神经系统永久性的功能障</w:t>
      </w:r>
      <w:r>
        <w:rPr>
          <w:spacing w:val="-12"/>
        </w:rPr>
        <w:t>碍。须由头颅断层扫描</w:t>
      </w:r>
      <w:r>
        <w:rPr/>
        <w:t>（CT</w:t>
      </w:r>
      <w:r>
        <w:rPr>
          <w:spacing w:val="-120"/>
        </w:rPr>
        <w:t>）</w:t>
      </w:r>
      <w:r>
        <w:rPr>
          <w:spacing w:val="-15"/>
        </w:rPr>
        <w:t>、核磁共振检查</w:t>
      </w:r>
      <w:r>
        <w:rPr/>
        <w:t>（MRI</w:t>
      </w:r>
      <w:r>
        <w:rPr>
          <w:spacing w:val="-48"/>
        </w:rPr>
        <w:t>）</w:t>
      </w:r>
      <w:r>
        <w:rPr>
          <w:spacing w:val="-5"/>
        </w:rPr>
        <w:t>或正电子发射断层扫描</w:t>
      </w:r>
      <w:r>
        <w:rPr/>
        <w:t>（PET）等影像学检查证实。神经系统永久性的功能障碍，指脑损伤180天后，仍遗留下列一种或一种以上障碍：</w:t>
      </w:r>
    </w:p>
    <w:p>
      <w:pPr>
        <w:pStyle w:val="ListParagraph"/>
        <w:numPr>
          <w:ilvl w:val="2"/>
          <w:numId w:val="7"/>
        </w:numPr>
        <w:tabs>
          <w:tab w:pos="1019" w:val="left" w:leader="none"/>
        </w:tabs>
        <w:spacing w:line="240" w:lineRule="auto" w:before="18" w:after="0"/>
        <w:ind w:left="609" w:right="0" w:hanging="11"/>
        <w:jc w:val="left"/>
        <w:rPr>
          <w:sz w:val="24"/>
        </w:rPr>
      </w:pPr>
      <w:r>
        <w:rPr>
          <w:sz w:val="24"/>
        </w:rPr>
        <w:t>一肢或一肢以上肢体机能完全丧失；</w:t>
      </w:r>
    </w:p>
    <w:p>
      <w:pPr>
        <w:pStyle w:val="ListParagraph"/>
        <w:numPr>
          <w:ilvl w:val="2"/>
          <w:numId w:val="7"/>
        </w:numPr>
        <w:tabs>
          <w:tab w:pos="1019" w:val="left" w:leader="none"/>
        </w:tabs>
        <w:spacing w:line="240" w:lineRule="auto" w:before="76" w:after="0"/>
        <w:ind w:left="1018" w:right="0" w:hanging="409"/>
        <w:jc w:val="left"/>
        <w:rPr>
          <w:sz w:val="24"/>
        </w:rPr>
      </w:pPr>
      <w:r>
        <w:rPr>
          <w:sz w:val="24"/>
        </w:rPr>
        <w:t>语言能力或咀嚼吞咽能力完全丧失；</w:t>
      </w:r>
    </w:p>
    <w:p>
      <w:pPr>
        <w:pStyle w:val="ListParagraph"/>
        <w:numPr>
          <w:ilvl w:val="2"/>
          <w:numId w:val="7"/>
        </w:numPr>
        <w:tabs>
          <w:tab w:pos="1019" w:val="left" w:leader="none"/>
        </w:tabs>
        <w:spacing w:line="297" w:lineRule="auto" w:before="76" w:after="0"/>
        <w:ind w:left="609" w:right="234"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1"/>
          <w:numId w:val="7"/>
        </w:numPr>
        <w:tabs>
          <w:tab w:pos="538" w:val="left" w:leader="none"/>
        </w:tabs>
        <w:spacing w:line="240" w:lineRule="auto" w:before="1" w:after="0"/>
        <w:ind w:left="537" w:right="0" w:hanging="420"/>
        <w:jc w:val="left"/>
        <w:rPr>
          <w:sz w:val="24"/>
        </w:rPr>
      </w:pPr>
      <w:r>
        <w:rPr>
          <w:sz w:val="24"/>
        </w:rPr>
        <w:t>严重帕金森病：</w:t>
      </w:r>
    </w:p>
    <w:p>
      <w:pPr>
        <w:pStyle w:val="BodyText"/>
        <w:spacing w:line="297" w:lineRule="auto" w:before="76"/>
        <w:ind w:left="475" w:right="175" w:hanging="2"/>
      </w:pPr>
      <w:r>
        <w:rPr/>
        <w:t>是一种中枢神经系统的退行性疾病，临床表现为震颤麻痹、共济失调等。须满足下列全部条件：</w:t>
      </w:r>
    </w:p>
    <w:p>
      <w:pPr>
        <w:pStyle w:val="ListParagraph"/>
        <w:numPr>
          <w:ilvl w:val="2"/>
          <w:numId w:val="7"/>
        </w:numPr>
        <w:tabs>
          <w:tab w:pos="1019" w:val="left" w:leader="none"/>
        </w:tabs>
        <w:spacing w:line="240" w:lineRule="auto" w:before="18" w:after="0"/>
        <w:ind w:left="609" w:right="0" w:hanging="11"/>
        <w:jc w:val="left"/>
        <w:rPr>
          <w:sz w:val="24"/>
        </w:rPr>
      </w:pPr>
      <w:r>
        <w:rPr>
          <w:sz w:val="24"/>
        </w:rPr>
        <w:t>药物治疗无法控制病情；</w:t>
      </w:r>
    </w:p>
    <w:p>
      <w:pPr>
        <w:pStyle w:val="ListParagraph"/>
        <w:numPr>
          <w:ilvl w:val="2"/>
          <w:numId w:val="7"/>
        </w:numPr>
        <w:tabs>
          <w:tab w:pos="1019" w:val="left" w:leader="none"/>
        </w:tabs>
        <w:spacing w:line="297" w:lineRule="auto" w:before="75" w:after="0"/>
        <w:ind w:left="609" w:right="234" w:firstLine="0"/>
        <w:jc w:val="left"/>
        <w:rPr>
          <w:sz w:val="24"/>
        </w:rPr>
      </w:pPr>
      <w:r>
        <w:rPr>
          <w:spacing w:val="-11"/>
          <w:sz w:val="24"/>
        </w:rPr>
        <w:t>自主生活能力完全丧失，无法独立完成六项基本日常生活活动中的三项或三项以上。</w:t>
      </w:r>
    </w:p>
    <w:p>
      <w:pPr>
        <w:pStyle w:val="BodyText"/>
        <w:spacing w:before="17"/>
        <w:ind w:left="477"/>
      </w:pPr>
      <w:r>
        <w:rPr/>
        <w:t>继发性帕金森综合征不在保障范围内。</w:t>
      </w:r>
    </w:p>
    <w:p>
      <w:pPr>
        <w:pStyle w:val="BodyText"/>
        <w:spacing w:before="7"/>
        <w:rPr>
          <w:sz w:val="35"/>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严重Ⅲ度烧伤：</w:t>
      </w:r>
    </w:p>
    <w:p>
      <w:pPr>
        <w:pStyle w:val="BodyText"/>
        <w:spacing w:line="297" w:lineRule="auto" w:before="75"/>
        <w:ind w:left="475" w:right="173" w:firstLine="2"/>
      </w:pPr>
      <w:r>
        <w:rPr/>
        <w:t>指烧伤程度为Ⅲ度，且Ⅲ度烧伤的面积达到全身体表面积的20％或20％以上。体表面积根据《中国新九分法》计算。</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严重原发性肺动脉高压：</w:t>
      </w:r>
    </w:p>
    <w:p>
      <w:pPr>
        <w:pStyle w:val="BodyText"/>
        <w:spacing w:line="297" w:lineRule="auto" w:before="76"/>
        <w:ind w:left="475" w:right="233" w:hanging="2"/>
        <w:jc w:val="both"/>
      </w:pPr>
      <w:r>
        <w:rPr>
          <w:spacing w:val="-3"/>
        </w:rPr>
        <w:t>指不明原因的肺动脉压力持续性增高，进行性发展而导致的慢性疾病，已经造成</w:t>
      </w:r>
      <w:r>
        <w:rPr>
          <w:spacing w:val="-6"/>
        </w:rPr>
        <w:t>永久不可逆性的体力活动能力受限，达到美国纽约心脏病学会心功能状态分级</w:t>
      </w:r>
      <w:r>
        <w:rPr/>
        <w:t>IV 级，且静息状态下肺动脉平均压超过30mmHg。</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严重运动神经元病：</w:t>
      </w:r>
    </w:p>
    <w:p>
      <w:pPr>
        <w:pStyle w:val="BodyText"/>
        <w:spacing w:line="297" w:lineRule="auto" w:before="75"/>
        <w:ind w:left="475" w:right="186" w:hanging="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31"/>
        </w:rPr>
      </w:pPr>
    </w:p>
    <w:p>
      <w:pPr>
        <w:pStyle w:val="ListParagraph"/>
        <w:numPr>
          <w:ilvl w:val="1"/>
          <w:numId w:val="7"/>
        </w:numPr>
        <w:tabs>
          <w:tab w:pos="538" w:val="left" w:leader="none"/>
        </w:tabs>
        <w:spacing w:line="240" w:lineRule="auto" w:before="0" w:after="0"/>
        <w:ind w:left="537" w:right="0" w:hanging="420"/>
        <w:jc w:val="left"/>
        <w:rPr>
          <w:sz w:val="24"/>
        </w:rPr>
      </w:pPr>
      <w:r>
        <w:rPr>
          <w:sz w:val="24"/>
        </w:rPr>
        <w:t>语言能力丧失：</w:t>
      </w:r>
    </w:p>
    <w:p>
      <w:pPr>
        <w:pStyle w:val="BodyText"/>
        <w:spacing w:line="297" w:lineRule="auto" w:before="75"/>
        <w:ind w:left="475" w:right="234"/>
      </w:pPr>
      <w:r>
        <w:rPr>
          <w:spacing w:val="-2"/>
        </w:rPr>
        <w:t>指因疾病或意外伤害导致完全丧失语言能力，经过积极治疗至少</w:t>
      </w:r>
      <w:r>
        <w:rPr/>
        <w:t>12</w:t>
      </w:r>
      <w:r>
        <w:rPr>
          <w:spacing w:val="-12"/>
        </w:rPr>
        <w:t>个月</w:t>
      </w:r>
      <w:r>
        <w:rPr/>
        <w:t>（声带完全切除不受此时间限制</w:t>
      </w:r>
      <w:r>
        <w:rPr>
          <w:spacing w:val="-120"/>
        </w:rPr>
        <w:t>）</w:t>
      </w:r>
      <w:r>
        <w:rPr/>
        <w:t>，仍无法通过现有医疗手段恢复。</w:t>
      </w:r>
    </w:p>
    <w:p>
      <w:pPr>
        <w:spacing w:after="0" w:line="297" w:lineRule="auto"/>
        <w:sectPr>
          <w:pgSz w:w="11910" w:h="16840"/>
          <w:pgMar w:header="0" w:footer="915" w:top="1120" w:bottom="1120" w:left="1660" w:right="1180"/>
        </w:sectPr>
      </w:pPr>
    </w:p>
    <w:p>
      <w:pPr>
        <w:pStyle w:val="BodyText"/>
        <w:spacing w:before="14"/>
        <w:ind w:left="898"/>
      </w:pPr>
      <w:r>
        <w:rPr/>
        <w:t>精神心理因素所致的语言能力丧失不在保障范围内。</w:t>
      </w:r>
    </w:p>
    <w:p>
      <w:pPr>
        <w:pStyle w:val="BodyText"/>
        <w:spacing w:before="7"/>
        <w:rPr>
          <w:sz w:val="35"/>
        </w:rPr>
      </w:pPr>
    </w:p>
    <w:p>
      <w:pPr>
        <w:pStyle w:val="ListParagraph"/>
        <w:numPr>
          <w:ilvl w:val="1"/>
          <w:numId w:val="7"/>
        </w:numPr>
        <w:tabs>
          <w:tab w:pos="898" w:val="left" w:leader="none"/>
        </w:tabs>
        <w:spacing w:line="240" w:lineRule="auto" w:before="0" w:after="0"/>
        <w:ind w:left="897" w:right="0" w:hanging="420"/>
        <w:jc w:val="left"/>
        <w:rPr>
          <w:sz w:val="24"/>
        </w:rPr>
      </w:pPr>
      <w:r>
        <w:rPr>
          <w:sz w:val="24"/>
        </w:rPr>
        <w:t>重型再生障碍性贫血：</w:t>
      </w:r>
    </w:p>
    <w:p>
      <w:pPr>
        <w:pStyle w:val="BodyText"/>
        <w:spacing w:line="297" w:lineRule="auto" w:before="75"/>
        <w:ind w:left="836" w:right="185" w:firstLine="2"/>
      </w:pPr>
      <w:r>
        <w:rPr/>
        <w:t>指因骨髓造血功能慢性持续性衰竭导致的贫血、中性粒细胞减少及血小板减少。须满足下列全部条件：</w:t>
      </w:r>
    </w:p>
    <w:p>
      <w:pPr>
        <w:pStyle w:val="ListParagraph"/>
        <w:numPr>
          <w:ilvl w:val="2"/>
          <w:numId w:val="7"/>
        </w:numPr>
        <w:tabs>
          <w:tab w:pos="1379" w:val="left" w:leader="none"/>
        </w:tabs>
        <w:spacing w:line="240" w:lineRule="auto" w:before="18" w:after="0"/>
        <w:ind w:left="1378" w:right="0" w:hanging="420"/>
        <w:jc w:val="left"/>
        <w:rPr>
          <w:sz w:val="24"/>
        </w:rPr>
      </w:pPr>
      <w:r>
        <w:rPr>
          <w:sz w:val="24"/>
        </w:rPr>
        <w:t>骨髓穿刺检查或骨髓活检结果支持诊断；</w:t>
      </w:r>
    </w:p>
    <w:p>
      <w:pPr>
        <w:pStyle w:val="ListParagraph"/>
        <w:numPr>
          <w:ilvl w:val="2"/>
          <w:numId w:val="7"/>
        </w:numPr>
        <w:tabs>
          <w:tab w:pos="1379" w:val="left" w:leader="none"/>
        </w:tabs>
        <w:spacing w:line="240" w:lineRule="auto" w:before="76" w:after="0"/>
        <w:ind w:left="1378" w:right="0" w:hanging="409"/>
        <w:jc w:val="left"/>
        <w:rPr>
          <w:sz w:val="24"/>
        </w:rPr>
      </w:pPr>
      <w:r>
        <w:rPr>
          <w:sz w:val="24"/>
        </w:rPr>
        <w:t>外周血象须具备以下三项条件：</w:t>
      </w:r>
    </w:p>
    <w:p>
      <w:pPr>
        <w:spacing w:line="138" w:lineRule="exact" w:before="155"/>
        <w:ind w:left="132" w:right="0" w:firstLine="0"/>
        <w:jc w:val="center"/>
        <w:rPr>
          <w:sz w:val="16"/>
        </w:rPr>
      </w:pPr>
      <w:r>
        <w:rPr>
          <w:w w:val="99"/>
          <w:sz w:val="16"/>
        </w:rPr>
        <w:t>9</w:t>
      </w:r>
    </w:p>
    <w:p>
      <w:pPr>
        <w:pStyle w:val="BodyText"/>
        <w:spacing w:line="242" w:lineRule="exact"/>
        <w:ind w:left="1378"/>
      </w:pPr>
      <w:r>
        <w:rPr/>
        <w:t>① 中性粒细胞绝对值≤0.5×10 /L ；</w:t>
      </w:r>
    </w:p>
    <w:p>
      <w:pPr>
        <w:pStyle w:val="BodyText"/>
        <w:spacing w:before="159"/>
        <w:ind w:left="1378"/>
      </w:pPr>
      <w:r>
        <w:rPr>
          <w:position w:val="1"/>
        </w:rPr>
        <w:t>② 网织红细胞</w:t>
      </w:r>
      <w:r>
        <w:rPr>
          <w:spacing w:val="5"/>
        </w:rPr>
        <w:drawing>
          <wp:inline distT="0" distB="0" distL="0" distR="0">
            <wp:extent cx="66675" cy="1174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position w:val="1"/>
        </w:rPr>
        <w:t>；</w:t>
      </w:r>
    </w:p>
    <w:p>
      <w:pPr>
        <w:spacing w:line="138" w:lineRule="exact" w:before="159"/>
        <w:ind w:left="0" w:right="1065" w:firstLine="0"/>
        <w:jc w:val="center"/>
        <w:rPr>
          <w:sz w:val="16"/>
        </w:rPr>
      </w:pPr>
      <w:r>
        <w:rPr>
          <w:w w:val="99"/>
          <w:sz w:val="16"/>
        </w:rPr>
        <w:t>9</w:t>
      </w:r>
    </w:p>
    <w:p>
      <w:pPr>
        <w:pStyle w:val="BodyText"/>
        <w:spacing w:line="242" w:lineRule="exact"/>
        <w:ind w:left="1378"/>
      </w:pPr>
      <w:r>
        <w:rPr/>
        <w:t>③ 血小板绝对值≤20×10 /L。</w:t>
      </w:r>
    </w:p>
    <w:p>
      <w:pPr>
        <w:pStyle w:val="BodyText"/>
      </w:pPr>
    </w:p>
    <w:p>
      <w:pPr>
        <w:pStyle w:val="BodyText"/>
        <w:spacing w:before="5"/>
        <w:rPr>
          <w:sz w:val="18"/>
        </w:rPr>
      </w:pPr>
    </w:p>
    <w:p>
      <w:pPr>
        <w:pStyle w:val="ListParagraph"/>
        <w:numPr>
          <w:ilvl w:val="1"/>
          <w:numId w:val="7"/>
        </w:numPr>
        <w:tabs>
          <w:tab w:pos="898" w:val="left" w:leader="none"/>
        </w:tabs>
        <w:spacing w:line="240" w:lineRule="auto" w:before="0" w:after="0"/>
        <w:ind w:left="897" w:right="0" w:hanging="420"/>
        <w:jc w:val="left"/>
        <w:rPr>
          <w:sz w:val="24"/>
        </w:rPr>
      </w:pPr>
      <w:r>
        <w:rPr>
          <w:sz w:val="24"/>
        </w:rPr>
        <w:t>主动脉手术：</w:t>
      </w:r>
    </w:p>
    <w:p>
      <w:pPr>
        <w:pStyle w:val="BodyText"/>
        <w:spacing w:line="297" w:lineRule="auto" w:before="75"/>
        <w:ind w:left="836" w:right="233"/>
        <w:jc w:val="both"/>
      </w:pPr>
      <w:r>
        <w:rPr>
          <w:spacing w:val="-5"/>
        </w:rPr>
        <w:t>指为治疗主动脉疾病，实际实施了开胸或开腹进行的切除、置换、修补病损主动</w:t>
      </w:r>
      <w:r>
        <w:rPr>
          <w:spacing w:val="-8"/>
        </w:rPr>
        <w:t>脉血管的手术。主动脉指胸主动脉和腹主动脉，不包括胸主动脉和腹主动脉的分支血管。</w:t>
      </w:r>
    </w:p>
    <w:p>
      <w:pPr>
        <w:pStyle w:val="BodyText"/>
        <w:spacing w:before="18"/>
        <w:ind w:left="836"/>
      </w:pPr>
      <w:r>
        <w:rPr/>
        <w:t>动脉内血管成形术不在保障范围内。</w:t>
      </w:r>
    </w:p>
    <w:p>
      <w:pPr>
        <w:pStyle w:val="BodyText"/>
        <w:spacing w:before="8"/>
        <w:rPr>
          <w:sz w:val="35"/>
        </w:rPr>
      </w:pPr>
    </w:p>
    <w:p>
      <w:pPr>
        <w:pStyle w:val="ListParagraph"/>
        <w:numPr>
          <w:ilvl w:val="0"/>
          <w:numId w:val="7"/>
        </w:numPr>
        <w:tabs>
          <w:tab w:pos="539" w:val="left" w:leader="none"/>
        </w:tabs>
        <w:spacing w:line="297" w:lineRule="auto" w:before="0" w:after="0"/>
        <w:ind w:left="538" w:right="235" w:hanging="420"/>
        <w:jc w:val="both"/>
        <w:rPr>
          <w:sz w:val="24"/>
        </w:rPr>
      </w:pPr>
      <w:r>
        <w:rPr>
          <w:sz w:val="24"/>
        </w:rPr>
        <w:t>意外伤害事故：指遭受外来的、突发的、非本意的、非由疾病引起的使身体受到伤害的客观事件。</w:t>
      </w:r>
    </w:p>
    <w:p>
      <w:pPr>
        <w:pStyle w:val="BodyText"/>
        <w:spacing w:before="2"/>
        <w:rPr>
          <w:sz w:val="31"/>
        </w:rPr>
      </w:pPr>
    </w:p>
    <w:p>
      <w:pPr>
        <w:pStyle w:val="ListParagraph"/>
        <w:numPr>
          <w:ilvl w:val="0"/>
          <w:numId w:val="7"/>
        </w:numPr>
        <w:tabs>
          <w:tab w:pos="539" w:val="left" w:leader="none"/>
        </w:tabs>
        <w:spacing w:line="297" w:lineRule="auto" w:before="0" w:after="0"/>
        <w:ind w:left="538" w:right="233" w:hanging="420"/>
        <w:jc w:val="both"/>
        <w:rPr>
          <w:sz w:val="24"/>
        </w:rPr>
      </w:pPr>
      <w:r>
        <w:rPr>
          <w:spacing w:val="-7"/>
          <w:sz w:val="24"/>
        </w:rPr>
        <w:t>毒品：指中华人民共和国刑法规定的鸦片、海洛因、甲基苯丙胺</w:t>
      </w:r>
      <w:r>
        <w:rPr>
          <w:sz w:val="24"/>
        </w:rPr>
        <w:t>（冰毒</w:t>
      </w:r>
      <w:r>
        <w:rPr>
          <w:spacing w:val="-120"/>
          <w:sz w:val="24"/>
        </w:rPr>
        <w:t>）</w:t>
      </w:r>
      <w:r>
        <w:rPr>
          <w:spacing w:val="-8"/>
          <w:sz w:val="24"/>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31"/>
        </w:rPr>
      </w:pPr>
    </w:p>
    <w:p>
      <w:pPr>
        <w:pStyle w:val="ListParagraph"/>
        <w:numPr>
          <w:ilvl w:val="0"/>
          <w:numId w:val="7"/>
        </w:numPr>
        <w:tabs>
          <w:tab w:pos="539" w:val="left" w:leader="none"/>
        </w:tabs>
        <w:spacing w:line="297" w:lineRule="auto" w:before="0" w:after="0"/>
        <w:ind w:left="538" w:right="235" w:hanging="420"/>
        <w:jc w:val="both"/>
        <w:rPr>
          <w:sz w:val="24"/>
        </w:rPr>
      </w:pPr>
      <w:r>
        <w:rPr>
          <w:sz w:val="24"/>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31"/>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无合法有效驾驶证驾驶：指下列情形之一：</w:t>
      </w:r>
    </w:p>
    <w:p>
      <w:pPr>
        <w:pStyle w:val="ListParagraph"/>
        <w:numPr>
          <w:ilvl w:val="1"/>
          <w:numId w:val="7"/>
        </w:numPr>
        <w:tabs>
          <w:tab w:pos="898" w:val="left" w:leader="none"/>
        </w:tabs>
        <w:spacing w:line="240" w:lineRule="auto" w:before="75" w:after="0"/>
        <w:ind w:left="897" w:right="0" w:hanging="420"/>
        <w:jc w:val="left"/>
        <w:rPr>
          <w:sz w:val="24"/>
        </w:rPr>
      </w:pPr>
      <w:r>
        <w:rPr>
          <w:sz w:val="24"/>
        </w:rPr>
        <w:t>没有取得驾驶资格；</w:t>
      </w:r>
    </w:p>
    <w:p>
      <w:pPr>
        <w:pStyle w:val="ListParagraph"/>
        <w:numPr>
          <w:ilvl w:val="1"/>
          <w:numId w:val="7"/>
        </w:numPr>
        <w:tabs>
          <w:tab w:pos="898" w:val="left" w:leader="none"/>
        </w:tabs>
        <w:spacing w:line="240" w:lineRule="auto" w:before="75" w:after="0"/>
        <w:ind w:left="897" w:right="0" w:hanging="420"/>
        <w:jc w:val="left"/>
        <w:rPr>
          <w:sz w:val="24"/>
        </w:rPr>
      </w:pPr>
      <w:r>
        <w:rPr>
          <w:sz w:val="24"/>
        </w:rPr>
        <w:t>驾驶与驾驶证准驾车型不相符合的车辆；</w:t>
      </w:r>
    </w:p>
    <w:p>
      <w:pPr>
        <w:pStyle w:val="ListParagraph"/>
        <w:numPr>
          <w:ilvl w:val="1"/>
          <w:numId w:val="7"/>
        </w:numPr>
        <w:tabs>
          <w:tab w:pos="898" w:val="left" w:leader="none"/>
        </w:tabs>
        <w:spacing w:line="240" w:lineRule="auto" w:before="75" w:after="0"/>
        <w:ind w:left="897" w:right="0" w:hanging="420"/>
        <w:jc w:val="left"/>
        <w:rPr>
          <w:sz w:val="24"/>
        </w:rPr>
      </w:pPr>
      <w:r>
        <w:rPr>
          <w:sz w:val="24"/>
        </w:rPr>
        <w:t>持审验不合格的驾驶证驾驶；</w:t>
      </w:r>
    </w:p>
    <w:p>
      <w:pPr>
        <w:pStyle w:val="ListParagraph"/>
        <w:numPr>
          <w:ilvl w:val="1"/>
          <w:numId w:val="7"/>
        </w:numPr>
        <w:tabs>
          <w:tab w:pos="898" w:val="left" w:leader="none"/>
        </w:tabs>
        <w:spacing w:line="240" w:lineRule="auto" w:before="75" w:after="0"/>
        <w:ind w:left="897" w:right="0" w:hanging="420"/>
        <w:jc w:val="left"/>
        <w:rPr>
          <w:sz w:val="24"/>
        </w:rPr>
      </w:pPr>
      <w:r>
        <w:rPr>
          <w:spacing w:val="-14"/>
          <w:sz w:val="24"/>
        </w:rPr>
        <w:t>持学习驾驶证学习驾车时，无教练员随车指导，或不按指定时间、路线学习驾车。</w:t>
      </w:r>
    </w:p>
    <w:p>
      <w:pPr>
        <w:pStyle w:val="BodyText"/>
        <w:spacing w:before="7"/>
        <w:rPr>
          <w:sz w:val="35"/>
        </w:rPr>
      </w:pPr>
    </w:p>
    <w:p>
      <w:pPr>
        <w:pStyle w:val="ListParagraph"/>
        <w:numPr>
          <w:ilvl w:val="0"/>
          <w:numId w:val="7"/>
        </w:numPr>
        <w:tabs>
          <w:tab w:pos="539" w:val="left" w:leader="none"/>
        </w:tabs>
        <w:spacing w:line="240" w:lineRule="auto" w:before="0" w:after="0"/>
        <w:ind w:left="538" w:right="0" w:hanging="420"/>
        <w:jc w:val="left"/>
        <w:rPr>
          <w:sz w:val="24"/>
        </w:rPr>
      </w:pPr>
      <w:r>
        <w:rPr>
          <w:sz w:val="24"/>
        </w:rPr>
        <w:t>无有效行驶证: 指下列情形之一：</w:t>
      </w:r>
    </w:p>
    <w:p>
      <w:pPr>
        <w:pStyle w:val="ListParagraph"/>
        <w:numPr>
          <w:ilvl w:val="1"/>
          <w:numId w:val="7"/>
        </w:numPr>
        <w:tabs>
          <w:tab w:pos="898" w:val="left" w:leader="none"/>
        </w:tabs>
        <w:spacing w:line="240" w:lineRule="auto" w:before="75" w:after="0"/>
        <w:ind w:left="897" w:right="0" w:hanging="420"/>
        <w:jc w:val="left"/>
        <w:rPr>
          <w:sz w:val="24"/>
        </w:rPr>
      </w:pPr>
      <w:r>
        <w:rPr>
          <w:sz w:val="24"/>
        </w:rPr>
        <w:t>机动车被依法注销登记的；</w:t>
      </w:r>
    </w:p>
    <w:p>
      <w:pPr>
        <w:spacing w:after="0" w:line="240" w:lineRule="auto"/>
        <w:jc w:val="left"/>
        <w:rPr>
          <w:sz w:val="24"/>
        </w:rPr>
        <w:sectPr>
          <w:pgSz w:w="11910" w:h="16840"/>
          <w:pgMar w:header="0" w:footer="915" w:top="1120" w:bottom="1120" w:left="1300" w:right="1180"/>
        </w:sectPr>
      </w:pPr>
    </w:p>
    <w:p>
      <w:pPr>
        <w:pStyle w:val="ListParagraph"/>
        <w:numPr>
          <w:ilvl w:val="1"/>
          <w:numId w:val="7"/>
        </w:numPr>
        <w:tabs>
          <w:tab w:pos="898" w:val="left" w:leader="none"/>
        </w:tabs>
        <w:spacing w:line="240" w:lineRule="auto" w:before="14" w:after="0"/>
        <w:ind w:left="897" w:right="0" w:hanging="420"/>
        <w:jc w:val="left"/>
        <w:rPr>
          <w:sz w:val="24"/>
        </w:rPr>
      </w:pPr>
      <w:r>
        <w:rPr>
          <w:sz w:val="24"/>
        </w:rPr>
        <w:t>未依法按时进行或通过机动车安全技术检验。</w:t>
      </w:r>
    </w:p>
    <w:p>
      <w:pPr>
        <w:pStyle w:val="BodyText"/>
        <w:spacing w:before="7"/>
        <w:rPr>
          <w:sz w:val="35"/>
        </w:rPr>
      </w:pPr>
    </w:p>
    <w:p>
      <w:pPr>
        <w:pStyle w:val="ListParagraph"/>
        <w:numPr>
          <w:ilvl w:val="0"/>
          <w:numId w:val="7"/>
        </w:numPr>
        <w:tabs>
          <w:tab w:pos="539" w:val="left" w:leader="none"/>
        </w:tabs>
        <w:spacing w:line="297" w:lineRule="auto" w:before="0" w:after="0"/>
        <w:ind w:left="538" w:right="235" w:hanging="420"/>
        <w:jc w:val="both"/>
        <w:rPr>
          <w:sz w:val="24"/>
        </w:rPr>
      </w:pPr>
      <w:r>
        <w:rPr>
          <w:sz w:val="24"/>
        </w:rPr>
        <w:t>机动车：指以动力装置驱动或者牵引，上道路行驶的供人员乘用或者用于运送物品以及进行工程专项作业的轮式车辆。</w:t>
      </w:r>
    </w:p>
    <w:p>
      <w:pPr>
        <w:pStyle w:val="BodyText"/>
        <w:spacing w:before="2"/>
        <w:rPr>
          <w:sz w:val="31"/>
        </w:rPr>
      </w:pPr>
    </w:p>
    <w:p>
      <w:pPr>
        <w:pStyle w:val="ListParagraph"/>
        <w:numPr>
          <w:ilvl w:val="0"/>
          <w:numId w:val="7"/>
        </w:numPr>
        <w:tabs>
          <w:tab w:pos="539" w:val="left" w:leader="none"/>
        </w:tabs>
        <w:spacing w:line="297" w:lineRule="auto" w:before="0" w:after="0"/>
        <w:ind w:left="538" w:right="234" w:hanging="420"/>
        <w:jc w:val="both"/>
        <w:rPr>
          <w:sz w:val="24"/>
        </w:rPr>
      </w:pPr>
      <w:r>
        <w:rPr>
          <w:sz w:val="24"/>
        </w:rPr>
        <w:t>感染艾滋病病毒或患艾滋病：艾滋病病毒指人类免疫缺陷病毒，英文缩写为 HIV。</w:t>
      </w:r>
      <w:r>
        <w:rPr>
          <w:spacing w:val="-3"/>
          <w:sz w:val="24"/>
        </w:rPr>
        <w:t>艾滋病指人类免疫缺陷病毒引起的获得性免疫缺陷综合征，英文缩写为 </w:t>
      </w:r>
      <w:r>
        <w:rPr>
          <w:sz w:val="24"/>
        </w:rPr>
        <w:t>AIDS</w:t>
      </w:r>
      <w:r>
        <w:rPr>
          <w:spacing w:val="-9"/>
          <w:sz w:val="24"/>
        </w:rPr>
        <w:t>。在人体血液或其他样本中检测到艾滋病病毒或其抗体呈阳性，没有出现临床症状或体征的，为感染艾滋病病毒；如果同时出现了明显临床症状或体征的，为患艾滋病。</w:t>
      </w:r>
    </w:p>
    <w:p>
      <w:pPr>
        <w:pStyle w:val="BodyText"/>
        <w:spacing w:before="2"/>
        <w:rPr>
          <w:sz w:val="31"/>
        </w:rPr>
      </w:pPr>
    </w:p>
    <w:p>
      <w:pPr>
        <w:pStyle w:val="ListParagraph"/>
        <w:numPr>
          <w:ilvl w:val="0"/>
          <w:numId w:val="7"/>
        </w:numPr>
        <w:tabs>
          <w:tab w:pos="539" w:val="left" w:leader="none"/>
        </w:tabs>
        <w:spacing w:line="297" w:lineRule="auto" w:before="0" w:after="0"/>
        <w:ind w:left="538" w:right="234" w:hanging="420"/>
        <w:jc w:val="both"/>
        <w:rPr>
          <w:sz w:val="24"/>
        </w:rPr>
      </w:pPr>
      <w:r>
        <w:rPr>
          <w:spacing w:val="-3"/>
          <w:sz w:val="24"/>
        </w:rPr>
        <w:t>遗传性疾病:指生殖细胞或受精卵的遗传物质</w:t>
      </w:r>
      <w:r>
        <w:rPr>
          <w:sz w:val="24"/>
        </w:rPr>
        <w:t>（染色体和基因</w:t>
      </w:r>
      <w:r>
        <w:rPr>
          <w:spacing w:val="-56"/>
          <w:sz w:val="24"/>
        </w:rPr>
        <w:t>）</w:t>
      </w:r>
      <w:r>
        <w:rPr>
          <w:sz w:val="24"/>
        </w:rPr>
        <w:t>发生突变或畸变所引起的疾病，通常具有由亲代传至后代的垂直传递的特征。</w:t>
      </w:r>
    </w:p>
    <w:p>
      <w:pPr>
        <w:pStyle w:val="BodyText"/>
        <w:spacing w:before="2"/>
        <w:rPr>
          <w:sz w:val="31"/>
        </w:rPr>
      </w:pPr>
    </w:p>
    <w:p>
      <w:pPr>
        <w:pStyle w:val="ListParagraph"/>
        <w:numPr>
          <w:ilvl w:val="0"/>
          <w:numId w:val="7"/>
        </w:numPr>
        <w:tabs>
          <w:tab w:pos="539" w:val="left" w:leader="none"/>
        </w:tabs>
        <w:spacing w:line="297" w:lineRule="auto" w:before="0" w:after="0"/>
        <w:ind w:left="538" w:right="234" w:hanging="420"/>
        <w:jc w:val="both"/>
        <w:rPr>
          <w:sz w:val="24"/>
        </w:rPr>
      </w:pPr>
      <w:r>
        <w:rPr>
          <w:spacing w:val="-10"/>
          <w:sz w:val="24"/>
        </w:rPr>
        <w:t>先天性畸形、变形或染色体异常:指被保险人出生时就具有的畸形、变形或染色体异常。先天性畸形、变形和染色体异常依照世界卫生组织《疾病和有关健康问题的国</w:t>
      </w:r>
      <w:r>
        <w:rPr>
          <w:spacing w:val="-29"/>
          <w:sz w:val="24"/>
        </w:rPr>
        <w:t>际统计分类》</w:t>
      </w:r>
      <w:r>
        <w:rPr>
          <w:sz w:val="24"/>
        </w:rPr>
        <w:t>（ICD-10）确定。</w:t>
      </w:r>
    </w:p>
    <w:p>
      <w:pPr>
        <w:pStyle w:val="BodyText"/>
        <w:spacing w:before="2"/>
        <w:rPr>
          <w:sz w:val="31"/>
        </w:rPr>
      </w:pPr>
    </w:p>
    <w:p>
      <w:pPr>
        <w:pStyle w:val="ListParagraph"/>
        <w:numPr>
          <w:ilvl w:val="0"/>
          <w:numId w:val="7"/>
        </w:numPr>
        <w:tabs>
          <w:tab w:pos="539" w:val="left" w:leader="none"/>
        </w:tabs>
        <w:spacing w:line="256" w:lineRule="auto" w:before="0" w:after="0"/>
        <w:ind w:left="538" w:right="115" w:hanging="420"/>
        <w:jc w:val="left"/>
        <w:rPr>
          <w:sz w:val="24"/>
        </w:rPr>
      </w:pPr>
      <w:r>
        <w:rPr>
          <w:spacing w:val="-10"/>
          <w:sz w:val="24"/>
        </w:rPr>
        <w:t>现金价值：指保险单所具有的价值，通常体现为解除合同时，根据精算原理计算的， </w:t>
      </w:r>
      <w:r>
        <w:rPr>
          <w:spacing w:val="-16"/>
          <w:sz w:val="24"/>
        </w:rPr>
        <w:t>由本公司退还的那部分金额。本合同的现金价值为扣除手续费后的</w:t>
      </w:r>
      <w:r>
        <w:rPr>
          <w:rFonts w:ascii="微软雅黑" w:hAnsi="微软雅黑" w:eastAsia="微软雅黑" w:hint="eastAsia"/>
          <w:b/>
          <w:spacing w:val="-20"/>
          <w:sz w:val="24"/>
        </w:rPr>
        <w:t>未到期保险费</w:t>
      </w:r>
      <w:r>
        <w:rPr>
          <w:sz w:val="24"/>
        </w:rPr>
        <w:t>（见</w:t>
      </w:r>
      <w:r>
        <w:rPr>
          <w:spacing w:val="-12"/>
          <w:sz w:val="24"/>
        </w:rPr>
        <w:t>名词释义 </w:t>
      </w:r>
      <w:r>
        <w:rPr>
          <w:sz w:val="24"/>
        </w:rPr>
        <w:t>19</w:t>
      </w:r>
      <w:r>
        <w:rPr>
          <w:spacing w:val="-120"/>
          <w:sz w:val="24"/>
        </w:rPr>
        <w:t>）</w:t>
      </w:r>
      <w:r>
        <w:rPr>
          <w:sz w:val="24"/>
        </w:rPr>
        <w:t>。其中手续费=25％×未到期保险费。</w:t>
      </w:r>
    </w:p>
    <w:p>
      <w:pPr>
        <w:pStyle w:val="BodyText"/>
        <w:spacing w:before="3"/>
        <w:rPr>
          <w:sz w:val="34"/>
        </w:rPr>
      </w:pPr>
    </w:p>
    <w:p>
      <w:pPr>
        <w:pStyle w:val="ListParagraph"/>
        <w:numPr>
          <w:ilvl w:val="0"/>
          <w:numId w:val="7"/>
        </w:numPr>
        <w:tabs>
          <w:tab w:pos="539" w:val="left" w:leader="none"/>
        </w:tabs>
        <w:spacing w:line="297" w:lineRule="auto" w:before="0" w:after="0"/>
        <w:ind w:left="538" w:right="235" w:hanging="420"/>
        <w:jc w:val="both"/>
        <w:rPr>
          <w:sz w:val="24"/>
        </w:rPr>
      </w:pPr>
      <w:r>
        <w:rPr>
          <w:spacing w:val="-11"/>
          <w:sz w:val="24"/>
        </w:rPr>
        <w:t>六项基本日常生活活动：</w:t>
      </w:r>
      <w:r>
        <w:rPr>
          <w:sz w:val="24"/>
        </w:rPr>
        <w:t>（1）</w:t>
      </w:r>
      <w:r>
        <w:rPr>
          <w:spacing w:val="-10"/>
          <w:sz w:val="24"/>
        </w:rPr>
        <w:t>穿衣：自己能够穿衣及脱衣；</w:t>
      </w:r>
      <w:r>
        <w:rPr>
          <w:sz w:val="24"/>
        </w:rPr>
        <w:t>（2）移动：自己从一个</w:t>
      </w:r>
      <w:r>
        <w:rPr>
          <w:spacing w:val="-14"/>
          <w:sz w:val="24"/>
        </w:rPr>
        <w:t>房间到另一个房间；</w:t>
      </w:r>
      <w:r>
        <w:rPr>
          <w:sz w:val="24"/>
        </w:rPr>
        <w:t>（3）</w:t>
      </w:r>
      <w:r>
        <w:rPr>
          <w:spacing w:val="-9"/>
          <w:sz w:val="24"/>
        </w:rPr>
        <w:t>行动：自己上下床或上下轮椅；</w:t>
      </w:r>
      <w:r>
        <w:rPr>
          <w:sz w:val="24"/>
        </w:rPr>
        <w:t>（4）如厕：自己控制进行</w:t>
      </w:r>
      <w:r>
        <w:rPr>
          <w:spacing w:val="-30"/>
          <w:sz w:val="24"/>
        </w:rPr>
        <w:t>大小便；</w:t>
      </w:r>
      <w:r>
        <w:rPr>
          <w:sz w:val="24"/>
        </w:rPr>
        <w:t>（5）</w:t>
      </w:r>
      <w:r>
        <w:rPr>
          <w:spacing w:val="-6"/>
          <w:sz w:val="24"/>
        </w:rPr>
        <w:t>进食：自己从已准备好的碗或碟中取食物放入口中；</w:t>
      </w:r>
      <w:r>
        <w:rPr>
          <w:sz w:val="24"/>
        </w:rPr>
        <w:t>（6）洗澡：自己进行淋浴或盆浴。</w:t>
      </w:r>
    </w:p>
    <w:p>
      <w:pPr>
        <w:pStyle w:val="BodyText"/>
        <w:spacing w:before="1"/>
        <w:rPr>
          <w:sz w:val="31"/>
        </w:rPr>
      </w:pPr>
    </w:p>
    <w:p>
      <w:pPr>
        <w:pStyle w:val="ListParagraph"/>
        <w:numPr>
          <w:ilvl w:val="0"/>
          <w:numId w:val="7"/>
        </w:numPr>
        <w:tabs>
          <w:tab w:pos="539" w:val="left" w:leader="none"/>
        </w:tabs>
        <w:spacing w:line="297" w:lineRule="auto" w:before="1" w:after="0"/>
        <w:ind w:left="538" w:right="234" w:hanging="420"/>
        <w:jc w:val="both"/>
        <w:rPr>
          <w:sz w:val="24"/>
        </w:rPr>
      </w:pPr>
      <w:r>
        <w:rPr>
          <w:spacing w:val="-5"/>
          <w:sz w:val="24"/>
        </w:rPr>
        <w:t>肢体机能完全丧失:指肢体的三大关节中的两大关节僵硬，或不能随意识活动。肢体是指包括肩关节的整个上肢或包括髋关节的整个下肢。</w:t>
      </w:r>
    </w:p>
    <w:p>
      <w:pPr>
        <w:pStyle w:val="BodyText"/>
        <w:spacing w:before="2"/>
        <w:rPr>
          <w:sz w:val="31"/>
        </w:rPr>
      </w:pPr>
    </w:p>
    <w:p>
      <w:pPr>
        <w:pStyle w:val="ListParagraph"/>
        <w:numPr>
          <w:ilvl w:val="0"/>
          <w:numId w:val="7"/>
        </w:numPr>
        <w:tabs>
          <w:tab w:pos="539" w:val="left" w:leader="none"/>
        </w:tabs>
        <w:spacing w:line="297" w:lineRule="auto" w:before="0" w:after="0"/>
        <w:ind w:left="538" w:right="114" w:hanging="420"/>
        <w:jc w:val="both"/>
        <w:rPr>
          <w:sz w:val="24"/>
        </w:rPr>
      </w:pPr>
      <w:r>
        <w:rPr>
          <w:spacing w:val="-5"/>
          <w:sz w:val="24"/>
        </w:rPr>
        <w:t>语言能力或咀嚼吞咽能力完全丧失:语言能力完全丧失，指无法发出四种语音</w:t>
      </w:r>
      <w:r>
        <w:rPr>
          <w:sz w:val="24"/>
        </w:rPr>
        <w:t>（包括口唇音、齿舌音、口盖音和喉头音）中的任何三种、或声带全部切除，或因大脑语言中枢受伤害而患失语症。咀嚼吞咽能力完全丧失，指因牙齿以外的原因导致器质</w:t>
      </w:r>
      <w:r>
        <w:rPr>
          <w:spacing w:val="-10"/>
          <w:sz w:val="24"/>
        </w:rPr>
        <w:t>障碍或机能障碍，以致不能作咀嚼吞咽运动，除流质食物外不能摄取或吞咽的状态。</w:t>
      </w:r>
    </w:p>
    <w:p>
      <w:pPr>
        <w:pStyle w:val="BodyText"/>
        <w:spacing w:before="1"/>
        <w:rPr>
          <w:sz w:val="31"/>
        </w:rPr>
      </w:pPr>
    </w:p>
    <w:p>
      <w:pPr>
        <w:pStyle w:val="ListParagraph"/>
        <w:numPr>
          <w:ilvl w:val="0"/>
          <w:numId w:val="7"/>
        </w:numPr>
        <w:tabs>
          <w:tab w:pos="539" w:val="left" w:leader="none"/>
        </w:tabs>
        <w:spacing w:line="297" w:lineRule="auto" w:before="1" w:after="0"/>
        <w:ind w:left="538" w:right="234" w:hanging="420"/>
        <w:jc w:val="both"/>
        <w:rPr>
          <w:sz w:val="24"/>
        </w:rPr>
      </w:pPr>
      <w:r>
        <w:rPr>
          <w:spacing w:val="-2"/>
          <w:sz w:val="24"/>
        </w:rPr>
        <w:t>永久不可逆：指自疾病确诊或意外伤害发生之日起，经过积极治疗 </w:t>
      </w:r>
      <w:r>
        <w:rPr>
          <w:sz w:val="24"/>
        </w:rPr>
        <w:t>180</w:t>
      </w:r>
      <w:r>
        <w:rPr>
          <w:spacing w:val="-10"/>
          <w:sz w:val="24"/>
        </w:rPr>
        <w:t> 天后，仍无法通过现有医疗手段恢复。</w:t>
      </w:r>
    </w:p>
    <w:p>
      <w:pPr>
        <w:spacing w:after="0" w:line="297" w:lineRule="auto"/>
        <w:jc w:val="both"/>
        <w:rPr>
          <w:sz w:val="24"/>
        </w:rPr>
        <w:sectPr>
          <w:pgSz w:w="11910" w:h="16840"/>
          <w:pgMar w:header="0" w:footer="915" w:top="1120" w:bottom="1120" w:left="1300" w:right="1180"/>
        </w:sectPr>
      </w:pPr>
    </w:p>
    <w:p>
      <w:pPr>
        <w:pStyle w:val="ListParagraph"/>
        <w:numPr>
          <w:ilvl w:val="0"/>
          <w:numId w:val="7"/>
        </w:numPr>
        <w:tabs>
          <w:tab w:pos="539" w:val="left" w:leader="none"/>
        </w:tabs>
        <w:spacing w:line="240" w:lineRule="auto" w:before="14" w:after="0"/>
        <w:ind w:left="538" w:right="0" w:hanging="420"/>
        <w:jc w:val="left"/>
        <w:rPr>
          <w:sz w:val="24"/>
        </w:rPr>
      </w:pPr>
      <w:r>
        <w:rPr>
          <w:sz w:val="24"/>
        </w:rPr>
        <w:t>未到期保险费：保险费×（未经过天数/保险期间的天数</w:t>
      </w:r>
      <w:r>
        <w:rPr>
          <w:spacing w:val="-120"/>
          <w:sz w:val="24"/>
        </w:rPr>
        <w:t>）</w:t>
      </w:r>
      <w:r>
        <w:rPr>
          <w:sz w:val="24"/>
        </w:rPr>
        <w:t>。</w:t>
      </w:r>
    </w:p>
    <w:p>
      <w:pPr>
        <w:pStyle w:val="BodyText"/>
      </w:pPr>
    </w:p>
    <w:p>
      <w:pPr>
        <w:pStyle w:val="BodyText"/>
      </w:pPr>
    </w:p>
    <w:p>
      <w:pPr>
        <w:pStyle w:val="BodyText"/>
        <w:spacing w:before="4"/>
        <w:rPr>
          <w:sz w:val="17"/>
        </w:rPr>
      </w:pPr>
    </w:p>
    <w:p>
      <w:pPr>
        <w:pStyle w:val="BodyText"/>
        <w:spacing w:before="1"/>
        <w:ind w:left="3436" w:right="3054"/>
        <w:jc w:val="center"/>
      </w:pPr>
      <w:r>
        <w:rPr/>
        <w:t>（保险条款内容结束）</w:t>
      </w:r>
    </w:p>
    <w:sectPr>
      <w:pgSz w:w="11910" w:h="16840"/>
      <w:pgMar w:header="0" w:footer="915" w:top="1120" w:bottom="11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62.880005pt;margin-top:784.360291pt;width:69.55pt;height:12pt;mso-position-horizontal-relative:page;mso-position-vertical-relative:page;z-index:-1201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2"/>
                    <w:sz w:val="18"/>
                  </w:rPr>
                  <w:t>页 共 </w:t>
                </w:r>
                <w:r>
                  <w:rPr>
                    <w:rFonts w:ascii="Times New Roman" w:eastAsia="Times New Roman"/>
                    <w:sz w:val="18"/>
                  </w:rPr>
                  <w:t>15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897" w:hanging="420"/>
        <w:jc w:val="right"/>
      </w:pPr>
      <w:rPr>
        <w:rFonts w:hint="default" w:ascii="宋体" w:hAnsi="宋体" w:eastAsia="宋体" w:cs="宋体"/>
        <w:w w:val="100"/>
        <w:sz w:val="24"/>
        <w:szCs w:val="24"/>
      </w:rPr>
    </w:lvl>
    <w:lvl w:ilvl="2">
      <w:start w:val="1"/>
      <w:numFmt w:val="lowerLetter"/>
      <w:lvlText w:val="%3)"/>
      <w:lvlJc w:val="left"/>
      <w:pPr>
        <w:ind w:left="958" w:hanging="420"/>
        <w:jc w:val="left"/>
      </w:pPr>
      <w:rPr>
        <w:rFonts w:hint="default" w:ascii="宋体" w:hAnsi="宋体" w:eastAsia="宋体" w:cs="宋体"/>
        <w:w w:val="100"/>
        <w:sz w:val="24"/>
        <w:szCs w:val="24"/>
      </w:rPr>
    </w:lvl>
    <w:lvl w:ilvl="3">
      <w:start w:val="0"/>
      <w:numFmt w:val="bullet"/>
      <w:lvlText w:val="•"/>
      <w:lvlJc w:val="left"/>
      <w:pPr>
        <w:ind w:left="960" w:hanging="420"/>
      </w:pPr>
      <w:rPr>
        <w:rFonts w:hint="default"/>
      </w:rPr>
    </w:lvl>
    <w:lvl w:ilvl="4">
      <w:start w:val="0"/>
      <w:numFmt w:val="bullet"/>
      <w:lvlText w:val="•"/>
      <w:lvlJc w:val="left"/>
      <w:pPr>
        <w:ind w:left="1380" w:hanging="420"/>
      </w:pPr>
      <w:rPr>
        <w:rFonts w:hint="default"/>
      </w:rPr>
    </w:lvl>
    <w:lvl w:ilvl="5">
      <w:start w:val="0"/>
      <w:numFmt w:val="bullet"/>
      <w:lvlText w:val="•"/>
      <w:lvlJc w:val="left"/>
      <w:pPr>
        <w:ind w:left="2657" w:hanging="420"/>
      </w:pPr>
      <w:rPr>
        <w:rFonts w:hint="default"/>
      </w:rPr>
    </w:lvl>
    <w:lvl w:ilvl="6">
      <w:start w:val="0"/>
      <w:numFmt w:val="bullet"/>
      <w:lvlText w:val="•"/>
      <w:lvlJc w:val="left"/>
      <w:pPr>
        <w:ind w:left="3934" w:hanging="420"/>
      </w:pPr>
      <w:rPr>
        <w:rFonts w:hint="default"/>
      </w:rPr>
    </w:lvl>
    <w:lvl w:ilvl="7">
      <w:start w:val="0"/>
      <w:numFmt w:val="bullet"/>
      <w:lvlText w:val="•"/>
      <w:lvlJc w:val="left"/>
      <w:pPr>
        <w:ind w:left="5212" w:hanging="420"/>
      </w:pPr>
      <w:rPr>
        <w:rFonts w:hint="default"/>
      </w:rPr>
    </w:lvl>
    <w:lvl w:ilvl="8">
      <w:start w:val="0"/>
      <w:numFmt w:val="bullet"/>
      <w:lvlText w:val="•"/>
      <w:lvlJc w:val="left"/>
      <w:pPr>
        <w:ind w:left="6489" w:hanging="420"/>
      </w:pPr>
      <w:rPr>
        <w:rFonts w:hint="default"/>
      </w:rPr>
    </w:lvl>
  </w:abstractNum>
  <w:abstractNum w:abstractNumId="5">
    <w:multiLevelType w:val="hybridMultilevel"/>
    <w:lvl w:ilvl="0">
      <w:start w:val="1"/>
      <w:numFmt w:val="decimal"/>
      <w:lvlText w:val="%1."/>
      <w:lvlJc w:val="left"/>
      <w:pPr>
        <w:ind w:left="478" w:hanging="360"/>
        <w:jc w:val="left"/>
      </w:pPr>
      <w:rPr>
        <w:rFonts w:hint="default" w:ascii="宋体" w:hAnsi="宋体" w:eastAsia="宋体" w:cs="宋体"/>
        <w:w w:val="100"/>
        <w:sz w:val="24"/>
        <w:szCs w:val="24"/>
      </w:rPr>
    </w:lvl>
    <w:lvl w:ilvl="1">
      <w:start w:val="0"/>
      <w:numFmt w:val="bullet"/>
      <w:lvlText w:val="•"/>
      <w:lvlJc w:val="left"/>
      <w:pPr>
        <w:ind w:left="1362" w:hanging="360"/>
      </w:pPr>
      <w:rPr>
        <w:rFonts w:hint="default"/>
      </w:rPr>
    </w:lvl>
    <w:lvl w:ilvl="2">
      <w:start w:val="0"/>
      <w:numFmt w:val="bullet"/>
      <w:lvlText w:val="•"/>
      <w:lvlJc w:val="left"/>
      <w:pPr>
        <w:ind w:left="2244"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09" w:hanging="360"/>
      </w:pPr>
      <w:rPr>
        <w:rFonts w:hint="default"/>
      </w:rPr>
    </w:lvl>
    <w:lvl w:ilvl="5">
      <w:start w:val="0"/>
      <w:numFmt w:val="bullet"/>
      <w:lvlText w:val="•"/>
      <w:lvlJc w:val="left"/>
      <w:pPr>
        <w:ind w:left="4892" w:hanging="360"/>
      </w:pPr>
      <w:rPr>
        <w:rFonts w:hint="default"/>
      </w:rPr>
    </w:lvl>
    <w:lvl w:ilvl="6">
      <w:start w:val="0"/>
      <w:numFmt w:val="bullet"/>
      <w:lvlText w:val="•"/>
      <w:lvlJc w:val="left"/>
      <w:pPr>
        <w:ind w:left="5774" w:hanging="360"/>
      </w:pPr>
      <w:rPr>
        <w:rFonts w:hint="default"/>
      </w:rPr>
    </w:lvl>
    <w:lvl w:ilvl="7">
      <w:start w:val="0"/>
      <w:numFmt w:val="bullet"/>
      <w:lvlText w:val="•"/>
      <w:lvlJc w:val="left"/>
      <w:pPr>
        <w:ind w:left="6657" w:hanging="360"/>
      </w:pPr>
      <w:rPr>
        <w:rFonts w:hint="default"/>
      </w:rPr>
    </w:lvl>
    <w:lvl w:ilvl="8">
      <w:start w:val="0"/>
      <w:numFmt w:val="bullet"/>
      <w:lvlText w:val="•"/>
      <w:lvlJc w:val="left"/>
      <w:pPr>
        <w:ind w:left="7539" w:hanging="360"/>
      </w:pPr>
      <w:rPr>
        <w:rFonts w:hint="default"/>
      </w:rPr>
    </w:lvl>
  </w:abstractNum>
  <w:abstractNum w:abstractNumId="4">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1258" w:hanging="720"/>
        <w:jc w:val="left"/>
      </w:pPr>
      <w:rPr>
        <w:rFonts w:hint="default" w:ascii="宋体" w:hAnsi="宋体" w:eastAsia="宋体" w:cs="宋体"/>
        <w:w w:val="100"/>
        <w:sz w:val="24"/>
        <w:szCs w:val="24"/>
      </w:rPr>
    </w:lvl>
    <w:lvl w:ilvl="2">
      <w:start w:val="0"/>
      <w:numFmt w:val="bullet"/>
      <w:lvlText w:val="•"/>
      <w:lvlJc w:val="left"/>
      <w:pPr>
        <w:ind w:left="2153" w:hanging="720"/>
      </w:pPr>
      <w:rPr>
        <w:rFonts w:hint="default"/>
      </w:rPr>
    </w:lvl>
    <w:lvl w:ilvl="3">
      <w:start w:val="0"/>
      <w:numFmt w:val="bullet"/>
      <w:lvlText w:val="•"/>
      <w:lvlJc w:val="left"/>
      <w:pPr>
        <w:ind w:left="3047" w:hanging="720"/>
      </w:pPr>
      <w:rPr>
        <w:rFonts w:hint="default"/>
      </w:rPr>
    </w:lvl>
    <w:lvl w:ilvl="4">
      <w:start w:val="0"/>
      <w:numFmt w:val="bullet"/>
      <w:lvlText w:val="•"/>
      <w:lvlJc w:val="left"/>
      <w:pPr>
        <w:ind w:left="3941" w:hanging="720"/>
      </w:pPr>
      <w:rPr>
        <w:rFonts w:hint="default"/>
      </w:rPr>
    </w:lvl>
    <w:lvl w:ilvl="5">
      <w:start w:val="0"/>
      <w:numFmt w:val="bullet"/>
      <w:lvlText w:val="•"/>
      <w:lvlJc w:val="left"/>
      <w:pPr>
        <w:ind w:left="4835" w:hanging="720"/>
      </w:pPr>
      <w:rPr>
        <w:rFonts w:hint="default"/>
      </w:rPr>
    </w:lvl>
    <w:lvl w:ilvl="6">
      <w:start w:val="0"/>
      <w:numFmt w:val="bullet"/>
      <w:lvlText w:val="•"/>
      <w:lvlJc w:val="left"/>
      <w:pPr>
        <w:ind w:left="5729" w:hanging="720"/>
      </w:pPr>
      <w:rPr>
        <w:rFonts w:hint="default"/>
      </w:rPr>
    </w:lvl>
    <w:lvl w:ilvl="7">
      <w:start w:val="0"/>
      <w:numFmt w:val="bullet"/>
      <w:lvlText w:val="•"/>
      <w:lvlJc w:val="left"/>
      <w:pPr>
        <w:ind w:left="6622" w:hanging="720"/>
      </w:pPr>
      <w:rPr>
        <w:rFonts w:hint="default"/>
      </w:rPr>
    </w:lvl>
    <w:lvl w:ilvl="8">
      <w:start w:val="0"/>
      <w:numFmt w:val="bullet"/>
      <w:lvlText w:val="•"/>
      <w:lvlJc w:val="left"/>
      <w:pPr>
        <w:ind w:left="7516" w:hanging="720"/>
      </w:pPr>
      <w:rPr>
        <w:rFonts w:hint="default"/>
      </w:rPr>
    </w:lvl>
  </w:abstractNum>
  <w:abstractNum w:abstractNumId="3">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2"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5" w:hanging="420"/>
      </w:pPr>
      <w:rPr>
        <w:rFonts w:hint="default"/>
      </w:rPr>
    </w:lvl>
    <w:lvl w:ilvl="5">
      <w:start w:val="0"/>
      <w:numFmt w:val="bullet"/>
      <w:lvlText w:val="•"/>
      <w:lvlJc w:val="left"/>
      <w:pPr>
        <w:ind w:left="4922" w:hanging="420"/>
      </w:pPr>
      <w:rPr>
        <w:rFonts w:hint="default"/>
      </w:rPr>
    </w:lvl>
    <w:lvl w:ilvl="6">
      <w:start w:val="0"/>
      <w:numFmt w:val="bullet"/>
      <w:lvlText w:val="•"/>
      <w:lvlJc w:val="left"/>
      <w:pPr>
        <w:ind w:left="5798" w:hanging="420"/>
      </w:pPr>
      <w:rPr>
        <w:rFonts w:hint="default"/>
      </w:rPr>
    </w:lvl>
    <w:lvl w:ilvl="7">
      <w:start w:val="0"/>
      <w:numFmt w:val="bullet"/>
      <w:lvlText w:val="•"/>
      <w:lvlJc w:val="left"/>
      <w:pPr>
        <w:ind w:left="6675" w:hanging="420"/>
      </w:pPr>
      <w:rPr>
        <w:rFonts w:hint="default"/>
      </w:rPr>
    </w:lvl>
    <w:lvl w:ilvl="8">
      <w:start w:val="0"/>
      <w:numFmt w:val="bullet"/>
      <w:lvlText w:val="•"/>
      <w:lvlJc w:val="left"/>
      <w:pPr>
        <w:ind w:left="7551" w:hanging="420"/>
      </w:pPr>
      <w:rPr>
        <w:rFonts w:hint="default"/>
      </w:rPr>
    </w:lvl>
  </w:abstractNum>
  <w:abstractNum w:abstractNumId="2">
    <w:multiLevelType w:val="hybridMultilevel"/>
    <w:lvl w:ilvl="0">
      <w:start w:val="1"/>
      <w:numFmt w:val="decimal"/>
      <w:lvlText w:val="%1."/>
      <w:lvlJc w:val="left"/>
      <w:pPr>
        <w:ind w:left="478" w:hanging="360"/>
        <w:jc w:val="left"/>
      </w:pPr>
      <w:rPr>
        <w:rFonts w:hint="default" w:ascii="宋体" w:hAnsi="宋体" w:eastAsia="宋体" w:cs="宋体"/>
        <w:spacing w:val="-60"/>
        <w:w w:val="100"/>
        <w:sz w:val="24"/>
        <w:szCs w:val="24"/>
      </w:rPr>
    </w:lvl>
    <w:lvl w:ilvl="1">
      <w:start w:val="0"/>
      <w:numFmt w:val="bullet"/>
      <w:lvlText w:val="•"/>
      <w:lvlJc w:val="left"/>
      <w:pPr>
        <w:ind w:left="1362" w:hanging="360"/>
      </w:pPr>
      <w:rPr>
        <w:rFonts w:hint="default"/>
      </w:rPr>
    </w:lvl>
    <w:lvl w:ilvl="2">
      <w:start w:val="0"/>
      <w:numFmt w:val="bullet"/>
      <w:lvlText w:val="•"/>
      <w:lvlJc w:val="left"/>
      <w:pPr>
        <w:ind w:left="2244"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09" w:hanging="360"/>
      </w:pPr>
      <w:rPr>
        <w:rFonts w:hint="default"/>
      </w:rPr>
    </w:lvl>
    <w:lvl w:ilvl="5">
      <w:start w:val="0"/>
      <w:numFmt w:val="bullet"/>
      <w:lvlText w:val="•"/>
      <w:lvlJc w:val="left"/>
      <w:pPr>
        <w:ind w:left="4892" w:hanging="360"/>
      </w:pPr>
      <w:rPr>
        <w:rFonts w:hint="default"/>
      </w:rPr>
    </w:lvl>
    <w:lvl w:ilvl="6">
      <w:start w:val="0"/>
      <w:numFmt w:val="bullet"/>
      <w:lvlText w:val="•"/>
      <w:lvlJc w:val="left"/>
      <w:pPr>
        <w:ind w:left="5774" w:hanging="360"/>
      </w:pPr>
      <w:rPr>
        <w:rFonts w:hint="default"/>
      </w:rPr>
    </w:lvl>
    <w:lvl w:ilvl="7">
      <w:start w:val="0"/>
      <w:numFmt w:val="bullet"/>
      <w:lvlText w:val="•"/>
      <w:lvlJc w:val="left"/>
      <w:pPr>
        <w:ind w:left="6657" w:hanging="360"/>
      </w:pPr>
      <w:rPr>
        <w:rFonts w:hint="default"/>
      </w:rPr>
    </w:lvl>
    <w:lvl w:ilvl="8">
      <w:start w:val="0"/>
      <w:numFmt w:val="bullet"/>
      <w:lvlText w:val="•"/>
      <w:lvlJc w:val="left"/>
      <w:pPr>
        <w:ind w:left="7539" w:hanging="360"/>
      </w:pPr>
      <w:rPr>
        <w:rFonts w:hint="default"/>
      </w:rPr>
    </w:lvl>
  </w:abstractNum>
  <w:abstractNum w:abstractNumId="1">
    <w:multiLevelType w:val="hybridMultilevel"/>
    <w:lvl w:ilvl="0">
      <w:start w:val="1"/>
      <w:numFmt w:val="decimal"/>
      <w:lvlText w:val="%1."/>
      <w:lvlJc w:val="left"/>
      <w:pPr>
        <w:ind w:left="478" w:hanging="360"/>
        <w:jc w:val="left"/>
      </w:pPr>
      <w:rPr>
        <w:rFonts w:hint="default" w:ascii="微软雅黑" w:hAnsi="微软雅黑" w:eastAsia="微软雅黑" w:cs="微软雅黑"/>
        <w:b/>
        <w:bCs/>
        <w:spacing w:val="0"/>
        <w:w w:val="110"/>
        <w:sz w:val="24"/>
        <w:szCs w:val="24"/>
      </w:rPr>
    </w:lvl>
    <w:lvl w:ilvl="1">
      <w:start w:val="0"/>
      <w:numFmt w:val="bullet"/>
      <w:lvlText w:val="•"/>
      <w:lvlJc w:val="left"/>
      <w:pPr>
        <w:ind w:left="1362" w:hanging="360"/>
      </w:pPr>
      <w:rPr>
        <w:rFonts w:hint="default"/>
      </w:rPr>
    </w:lvl>
    <w:lvl w:ilvl="2">
      <w:start w:val="0"/>
      <w:numFmt w:val="bullet"/>
      <w:lvlText w:val="•"/>
      <w:lvlJc w:val="left"/>
      <w:pPr>
        <w:ind w:left="2244"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09" w:hanging="360"/>
      </w:pPr>
      <w:rPr>
        <w:rFonts w:hint="default"/>
      </w:rPr>
    </w:lvl>
    <w:lvl w:ilvl="5">
      <w:start w:val="0"/>
      <w:numFmt w:val="bullet"/>
      <w:lvlText w:val="•"/>
      <w:lvlJc w:val="left"/>
      <w:pPr>
        <w:ind w:left="4892" w:hanging="360"/>
      </w:pPr>
      <w:rPr>
        <w:rFonts w:hint="default"/>
      </w:rPr>
    </w:lvl>
    <w:lvl w:ilvl="6">
      <w:start w:val="0"/>
      <w:numFmt w:val="bullet"/>
      <w:lvlText w:val="•"/>
      <w:lvlJc w:val="left"/>
      <w:pPr>
        <w:ind w:left="5774" w:hanging="360"/>
      </w:pPr>
      <w:rPr>
        <w:rFonts w:hint="default"/>
      </w:rPr>
    </w:lvl>
    <w:lvl w:ilvl="7">
      <w:start w:val="0"/>
      <w:numFmt w:val="bullet"/>
      <w:lvlText w:val="•"/>
      <w:lvlJc w:val="left"/>
      <w:pPr>
        <w:ind w:left="6657" w:hanging="360"/>
      </w:pPr>
      <w:rPr>
        <w:rFonts w:hint="default"/>
      </w:rPr>
    </w:lvl>
    <w:lvl w:ilvl="8">
      <w:start w:val="0"/>
      <w:numFmt w:val="bullet"/>
      <w:lvlText w:val="•"/>
      <w:lvlJc w:val="left"/>
      <w:pPr>
        <w:ind w:left="7539" w:hanging="360"/>
      </w:pPr>
      <w:rPr>
        <w:rFonts w:hint="default"/>
      </w:rPr>
    </w:lvl>
  </w:abstractNum>
  <w:abstractNum w:abstractNumId="0">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2"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5" w:hanging="420"/>
      </w:pPr>
      <w:rPr>
        <w:rFonts w:hint="default"/>
      </w:rPr>
    </w:lvl>
    <w:lvl w:ilvl="5">
      <w:start w:val="0"/>
      <w:numFmt w:val="bullet"/>
      <w:lvlText w:val="•"/>
      <w:lvlJc w:val="left"/>
      <w:pPr>
        <w:ind w:left="4922" w:hanging="420"/>
      </w:pPr>
      <w:rPr>
        <w:rFonts w:hint="default"/>
      </w:rPr>
    </w:lvl>
    <w:lvl w:ilvl="6">
      <w:start w:val="0"/>
      <w:numFmt w:val="bullet"/>
      <w:lvlText w:val="•"/>
      <w:lvlJc w:val="left"/>
      <w:pPr>
        <w:ind w:left="5798" w:hanging="420"/>
      </w:pPr>
      <w:rPr>
        <w:rFonts w:hint="default"/>
      </w:rPr>
    </w:lvl>
    <w:lvl w:ilvl="7">
      <w:start w:val="0"/>
      <w:numFmt w:val="bullet"/>
      <w:lvlText w:val="•"/>
      <w:lvlJc w:val="left"/>
      <w:pPr>
        <w:ind w:left="6675" w:hanging="420"/>
      </w:pPr>
      <w:rPr>
        <w:rFonts w:hint="default"/>
      </w:rPr>
    </w:lvl>
    <w:lvl w:ilvl="8">
      <w:start w:val="0"/>
      <w:numFmt w:val="bullet"/>
      <w:lvlText w:val="•"/>
      <w:lvlJc w:val="left"/>
      <w:pPr>
        <w:ind w:left="755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18"/>
      <w:outlineLvl w:val="1"/>
    </w:pPr>
    <w:rPr>
      <w:rFonts w:ascii="微软雅黑" w:hAnsi="微软雅黑" w:eastAsia="微软雅黑" w:cs="微软雅黑"/>
      <w:b/>
      <w:bCs/>
      <w:sz w:val="24"/>
      <w:szCs w:val="24"/>
    </w:rPr>
  </w:style>
  <w:style w:styleId="ListParagraph" w:type="paragraph">
    <w:name w:val="List Paragraph"/>
    <w:basedOn w:val="Normal"/>
    <w:uiPriority w:val="1"/>
    <w:qFormat/>
    <w:pPr>
      <w:ind w:left="53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&lt;4D6963726F736F667420576F7264202D20BBAACCA9C8CBCAD9CDC5CCE5D6D8B4F3BCB2B2A1B1A3CFD5CCF5BFEE2DB6FECEACC2EB2E646F63&gt;</dc:title>
  <dcterms:created xsi:type="dcterms:W3CDTF">2018-10-20T00:52:30Z</dcterms:created>
  <dcterms:modified xsi:type="dcterms:W3CDTF">2018-10-20T00:52:30Z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