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047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1904" w:right="1721" w:firstLine="0"/>
        <w:jc w:val="center"/>
        <w:rPr>
          <w:b/>
          <w:sz w:val="32"/>
        </w:rPr>
      </w:pPr>
      <w:r>
        <w:rPr>
          <w:b/>
          <w:w w:val="95"/>
          <w:sz w:val="32"/>
        </w:rPr>
        <w:t>工银安盛人寿保险有限公司</w:t>
      </w:r>
    </w:p>
    <w:p>
      <w:pPr>
        <w:spacing w:before="205"/>
        <w:ind w:left="1904" w:right="1721" w:firstLine="0"/>
        <w:jc w:val="center"/>
        <w:rPr>
          <w:b/>
          <w:sz w:val="32"/>
        </w:rPr>
      </w:pPr>
      <w:r>
        <w:rPr>
          <w:b/>
          <w:w w:val="95"/>
          <w:sz w:val="32"/>
        </w:rPr>
        <w:t>工银安盛人寿附加盛世安康重大疾病保险条款</w:t>
      </w:r>
    </w:p>
    <w:p>
      <w:pPr>
        <w:pStyle w:val="BodyText"/>
        <w:rPr>
          <w:b/>
          <w:sz w:val="32"/>
        </w:rPr>
      </w:pPr>
    </w:p>
    <w:p>
      <w:pPr>
        <w:pStyle w:val="BodyText"/>
        <w:spacing w:before="10"/>
        <w:rPr>
          <w:b/>
          <w:sz w:val="24"/>
        </w:rPr>
      </w:pPr>
    </w:p>
    <w:p>
      <w:pPr>
        <w:pStyle w:val="BodyText"/>
        <w:spacing w:before="1"/>
        <w:ind w:left="3608" w:right="3422" w:firstLine="210"/>
      </w:pPr>
      <w:r>
        <w:rPr/>
        <w:t>[2012</w:t>
      </w:r>
      <w:r>
        <w:rPr>
          <w:spacing w:val="-13"/>
        </w:rPr>
        <w:t>]字第 </w:t>
      </w:r>
      <w:r>
        <w:rPr/>
        <w:t>1-1</w:t>
      </w:r>
      <w:r>
        <w:rPr>
          <w:spacing w:val="-10"/>
        </w:rPr>
        <w:t> 号文呈报中</w:t>
      </w:r>
      <w:r>
        <w:rPr>
          <w:spacing w:val="-4"/>
        </w:rPr>
        <w:t>国保险监督管理委员会备案</w:t>
      </w:r>
    </w:p>
    <w:p>
      <w:pPr>
        <w:pStyle w:val="BodyText"/>
        <w:rPr>
          <w:sz w:val="20"/>
        </w:rPr>
      </w:pPr>
    </w:p>
    <w:p>
      <w:pPr>
        <w:pStyle w:val="Heading1"/>
        <w:spacing w:before="169"/>
        <w:ind w:left="1901" w:right="1721"/>
      </w:pPr>
      <w:r>
        <w:rPr>
          <w:w w:val="95"/>
        </w:rPr>
        <w:t>目录</w:t>
      </w:r>
    </w:p>
    <w:p>
      <w:pPr>
        <w:pStyle w:val="BodyText"/>
        <w:rPr>
          <w:b/>
          <w:sz w:val="36"/>
        </w:rPr>
      </w:pPr>
    </w:p>
    <w:p>
      <w:pPr>
        <w:pStyle w:val="BodyText"/>
        <w:ind w:left="298"/>
      </w:pPr>
      <w:r>
        <w:rPr/>
        <w:t>感谢您</w:t>
      </w:r>
      <w:r>
        <w:rPr>
          <w:position w:val="11"/>
          <w:sz w:val="11"/>
        </w:rPr>
        <w:t>（1）</w:t>
      </w:r>
      <w:r>
        <w:rPr/>
        <w:t>选择了我们-工银安盛人寿保险有限公司。</w:t>
      </w:r>
    </w:p>
    <w:p>
      <w:pPr>
        <w:pStyle w:val="BodyText"/>
        <w:spacing w:before="37"/>
        <w:ind w:left="298"/>
      </w:pPr>
      <w:r>
        <w:rPr/>
        <w:t>在您阅读本条款之前，请浏览一下目录，对条款结构有一个大致的了解。</w:t>
      </w:r>
    </w:p>
    <w:p>
      <w:pPr>
        <w:pStyle w:val="BodyText"/>
        <w:spacing w:before="10"/>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rPr>
                <w:sz w:val="21"/>
              </w:rPr>
            </w:pPr>
            <w:r>
              <w:rPr>
                <w:sz w:val="21"/>
              </w:rPr>
              <w:t>保险金额</w:t>
            </w:r>
          </w:p>
        </w:tc>
      </w:tr>
      <w:tr>
        <w:trPr>
          <w:trHeight w:val="363"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rPr>
                <w:sz w:val="21"/>
              </w:rPr>
            </w:pPr>
            <w:r>
              <w:rPr>
                <w:sz w:val="21"/>
              </w:rPr>
              <w:t>保险责任</w:t>
            </w:r>
          </w:p>
        </w:tc>
      </w:tr>
      <w:tr>
        <w:trPr>
          <w:trHeight w:val="369" w:hRule="atLeast"/>
        </w:trPr>
        <w:tc>
          <w:tcPr>
            <w:tcW w:w="2278" w:type="dxa"/>
          </w:tcPr>
          <w:p>
            <w:pPr>
              <w:pStyle w:val="TableParagraph"/>
              <w:spacing w:before="13"/>
              <w:ind w:left="934"/>
              <w:rPr>
                <w:sz w:val="21"/>
              </w:rPr>
            </w:pPr>
            <w:r>
              <w:rPr>
                <w:sz w:val="21"/>
              </w:rPr>
              <w:t>第七条</w:t>
            </w:r>
          </w:p>
        </w:tc>
        <w:tc>
          <w:tcPr>
            <w:tcW w:w="6766" w:type="dxa"/>
          </w:tcPr>
          <w:p>
            <w:pPr>
              <w:pStyle w:val="TableParagraph"/>
              <w:spacing w:before="13"/>
              <w:rPr>
                <w:sz w:val="21"/>
              </w:rPr>
            </w:pPr>
            <w:r>
              <w:rPr>
                <w:sz w:val="21"/>
              </w:rPr>
              <w:t>责任免除</w:t>
            </w:r>
          </w:p>
        </w:tc>
      </w:tr>
      <w:tr>
        <w:trPr>
          <w:trHeight w:val="676" w:hRule="atLeast"/>
        </w:trPr>
        <w:tc>
          <w:tcPr>
            <w:tcW w:w="9044" w:type="dxa"/>
            <w:gridSpan w:val="2"/>
          </w:tcPr>
          <w:p>
            <w:pPr>
              <w:pStyle w:val="TableParagraph"/>
              <w:tabs>
                <w:tab w:pos="1162" w:val="left" w:leader="none"/>
              </w:tabs>
              <w:spacing w:line="244"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9" w:hRule="atLeast"/>
        </w:trPr>
        <w:tc>
          <w:tcPr>
            <w:tcW w:w="2278" w:type="dxa"/>
          </w:tcPr>
          <w:p>
            <w:pPr>
              <w:pStyle w:val="TableParagraph"/>
              <w:spacing w:line="242" w:lineRule="exact"/>
              <w:ind w:left="934"/>
              <w:rPr>
                <w:sz w:val="21"/>
              </w:rPr>
            </w:pPr>
            <w:r>
              <w:rPr>
                <w:sz w:val="21"/>
              </w:rPr>
              <w:t>第八条</w:t>
            </w:r>
          </w:p>
        </w:tc>
        <w:tc>
          <w:tcPr>
            <w:tcW w:w="6766" w:type="dxa"/>
          </w:tcPr>
          <w:p>
            <w:pPr>
              <w:pStyle w:val="TableParagraph"/>
              <w:spacing w:line="242" w:lineRule="exact"/>
              <w:rPr>
                <w:sz w:val="21"/>
              </w:rPr>
            </w:pPr>
            <w:r>
              <w:rPr>
                <w:sz w:val="21"/>
              </w:rPr>
              <w:t>保险费的交付及宽限期</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rPr>
                <w:sz w:val="21"/>
              </w:rPr>
            </w:pPr>
            <w:r>
              <w:rPr>
                <w:sz w:val="21"/>
              </w:rPr>
              <w:t>保险费率的调整</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rPr>
                <w:sz w:val="21"/>
              </w:rPr>
            </w:pPr>
            <w:r>
              <w:rPr>
                <w:sz w:val="21"/>
              </w:rPr>
              <w:t>合同效力的中止</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rPr>
                <w:sz w:val="21"/>
              </w:rPr>
            </w:pPr>
            <w:r>
              <w:rPr>
                <w:sz w:val="21"/>
              </w:rPr>
              <w:t>合同效力的恢复</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rPr>
                <w:sz w:val="21"/>
              </w:rPr>
            </w:pPr>
            <w:r>
              <w:rPr>
                <w:sz w:val="21"/>
              </w:rPr>
              <w:t>合同的解除</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rPr>
                <w:sz w:val="21"/>
              </w:rPr>
            </w:pPr>
            <w:r>
              <w:rPr>
                <w:sz w:val="21"/>
              </w:rPr>
              <w:t>合同效力的终止</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rPr>
                <w:sz w:val="21"/>
              </w:rPr>
            </w:pPr>
            <w:r>
              <w:rPr>
                <w:sz w:val="21"/>
              </w:rPr>
              <w:t>受益人的指定和变更</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rPr>
                <w:sz w:val="21"/>
              </w:rPr>
            </w:pPr>
            <w:r>
              <w:rPr>
                <w:sz w:val="21"/>
              </w:rPr>
              <w:t>保险事故的通知</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rPr>
                <w:sz w:val="21"/>
              </w:rPr>
            </w:pPr>
            <w:r>
              <w:rPr>
                <w:sz w:val="21"/>
              </w:rPr>
              <w:t>保险金的申请</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rPr>
                <w:sz w:val="21"/>
              </w:rPr>
            </w:pPr>
            <w:r>
              <w:rPr>
                <w:sz w:val="21"/>
              </w:rPr>
              <w:t>未还款项的扣除</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rPr>
                <w:sz w:val="21"/>
              </w:rPr>
            </w:pPr>
            <w:r>
              <w:rPr>
                <w:sz w:val="21"/>
              </w:rPr>
              <w:t>如实告知</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rPr>
                <w:sz w:val="21"/>
              </w:rPr>
            </w:pPr>
            <w:r>
              <w:rPr>
                <w:sz w:val="21"/>
              </w:rPr>
              <w:t>合同解除权的限制</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rPr>
                <w:sz w:val="21"/>
              </w:rPr>
            </w:pPr>
            <w:r>
              <w:rPr>
                <w:sz w:val="21"/>
              </w:rPr>
              <w:t>年龄及性别的确定与错误处理</w:t>
            </w:r>
          </w:p>
        </w:tc>
      </w:tr>
      <w:tr>
        <w:trPr>
          <w:trHeight w:val="288" w:hRule="atLeast"/>
        </w:trPr>
        <w:tc>
          <w:tcPr>
            <w:tcW w:w="2278" w:type="dxa"/>
          </w:tcPr>
          <w:p>
            <w:pPr>
              <w:pStyle w:val="TableParagraph"/>
              <w:spacing w:line="255" w:lineRule="exact" w:before="13"/>
              <w:ind w:left="934"/>
              <w:rPr>
                <w:sz w:val="21"/>
              </w:rPr>
            </w:pPr>
            <w:r>
              <w:rPr>
                <w:sz w:val="21"/>
              </w:rPr>
              <w:t>第二十一条</w:t>
            </w:r>
          </w:p>
        </w:tc>
        <w:tc>
          <w:tcPr>
            <w:tcW w:w="6766" w:type="dxa"/>
          </w:tcPr>
          <w:p>
            <w:pPr>
              <w:pStyle w:val="TableParagraph"/>
              <w:spacing w:line="255" w:lineRule="exact" w:before="13"/>
              <w:rPr>
                <w:sz w:val="21"/>
              </w:rPr>
            </w:pPr>
            <w:r>
              <w:rPr>
                <w:sz w:val="21"/>
              </w:rPr>
              <w:t>合同内容的变更</w:t>
            </w:r>
          </w:p>
        </w:tc>
      </w:tr>
    </w:tbl>
    <w:p>
      <w:pPr>
        <w:spacing w:after="0" w:line="255" w:lineRule="exact"/>
        <w:rPr>
          <w:sz w:val="21"/>
        </w:rPr>
        <w:sectPr>
          <w:type w:val="continuous"/>
          <w:pgSz w:w="11910" w:h="16840"/>
          <w:pgMar w:top="780" w:bottom="280" w:left="11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5"/>
      </w:tblGrid>
      <w:tr>
        <w:trPr>
          <w:trHeight w:val="286" w:hRule="atLeast"/>
        </w:trPr>
        <w:tc>
          <w:tcPr>
            <w:tcW w:w="2278" w:type="dxa"/>
          </w:tcPr>
          <w:p>
            <w:pPr>
              <w:pStyle w:val="TableParagraph"/>
              <w:spacing w:line="211" w:lineRule="exact"/>
              <w:ind w:left="0" w:right="287"/>
              <w:jc w:val="right"/>
              <w:rPr>
                <w:sz w:val="21"/>
              </w:rPr>
            </w:pPr>
            <w:r>
              <w:rPr>
                <w:sz w:val="21"/>
              </w:rPr>
              <w:t>第二十二条</w:t>
            </w:r>
          </w:p>
        </w:tc>
        <w:tc>
          <w:tcPr>
            <w:tcW w:w="6765" w:type="dxa"/>
          </w:tcPr>
          <w:p>
            <w:pPr>
              <w:pStyle w:val="TableParagraph"/>
              <w:spacing w:line="211" w:lineRule="exact"/>
              <w:rPr>
                <w:sz w:val="21"/>
              </w:rPr>
            </w:pPr>
            <w:r>
              <w:rPr>
                <w:sz w:val="21"/>
              </w:rPr>
              <w:t>地址的变更</w:t>
            </w:r>
          </w:p>
        </w:tc>
      </w:tr>
      <w:tr>
        <w:trPr>
          <w:trHeight w:val="365" w:hRule="atLeast"/>
        </w:trPr>
        <w:tc>
          <w:tcPr>
            <w:tcW w:w="2278" w:type="dxa"/>
          </w:tcPr>
          <w:p>
            <w:pPr>
              <w:pStyle w:val="TableParagraph"/>
              <w:spacing w:before="12"/>
              <w:ind w:left="0" w:right="287"/>
              <w:jc w:val="right"/>
              <w:rPr>
                <w:sz w:val="21"/>
              </w:rPr>
            </w:pPr>
            <w:r>
              <w:rPr>
                <w:sz w:val="21"/>
              </w:rPr>
              <w:t>第二十三条</w:t>
            </w:r>
          </w:p>
        </w:tc>
        <w:tc>
          <w:tcPr>
            <w:tcW w:w="6765" w:type="dxa"/>
          </w:tcPr>
          <w:p>
            <w:pPr>
              <w:pStyle w:val="TableParagraph"/>
              <w:spacing w:before="12"/>
              <w:rPr>
                <w:sz w:val="21"/>
              </w:rPr>
            </w:pPr>
            <w:r>
              <w:rPr>
                <w:sz w:val="21"/>
              </w:rPr>
              <w:t>争议处理</w:t>
            </w:r>
          </w:p>
        </w:tc>
      </w:tr>
      <w:tr>
        <w:trPr>
          <w:trHeight w:val="597" w:hRule="atLeast"/>
        </w:trPr>
        <w:tc>
          <w:tcPr>
            <w:tcW w:w="9043" w:type="dxa"/>
            <w:gridSpan w:val="2"/>
          </w:tcPr>
          <w:p>
            <w:pPr>
              <w:pStyle w:val="TableParagraph"/>
              <w:tabs>
                <w:tab w:pos="1162" w:val="left" w:leader="none"/>
              </w:tabs>
              <w:spacing w:line="280" w:lineRule="atLeast" w:before="4"/>
              <w:ind w:left="2362" w:right="197"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p>
        </w:tc>
      </w:tr>
    </w:tbl>
    <w:p>
      <w:pPr>
        <w:pStyle w:val="BodyText"/>
        <w:rPr>
          <w:sz w:val="20"/>
        </w:rPr>
      </w:pPr>
    </w:p>
    <w:p>
      <w:pPr>
        <w:pStyle w:val="BodyText"/>
        <w:rPr>
          <w:sz w:val="20"/>
        </w:rPr>
      </w:pPr>
    </w:p>
    <w:p>
      <w:pPr>
        <w:pStyle w:val="BodyText"/>
        <w:spacing w:before="5"/>
        <w:rPr>
          <w:sz w:val="16"/>
        </w:rPr>
      </w:pPr>
    </w:p>
    <w:p>
      <w:pPr>
        <w:pStyle w:val="Heading1"/>
        <w:tabs>
          <w:tab w:pos="1307" w:val="left" w:leader="none"/>
        </w:tabs>
        <w:ind w:left="71"/>
      </w:pPr>
      <w:r>
        <w:rPr/>
        <w:t>第一章</w:t>
        <w:tab/>
      </w:r>
      <w:r>
        <w:rPr>
          <w:w w:val="95"/>
        </w:rPr>
        <w:t>保险责任条款</w:t>
      </w:r>
    </w:p>
    <w:p>
      <w:pPr>
        <w:pStyle w:val="BodyText"/>
        <w:rPr>
          <w:b/>
          <w:sz w:val="20"/>
        </w:rPr>
      </w:pPr>
    </w:p>
    <w:p>
      <w:pPr>
        <w:pStyle w:val="Heading2"/>
        <w:tabs>
          <w:tab w:pos="1425" w:val="left" w:leader="none"/>
        </w:tabs>
        <w:spacing w:before="181"/>
        <w:ind w:left="292"/>
      </w:pPr>
      <w:r>
        <w:rPr/>
        <w:t>第一条</w:t>
        <w:tab/>
      </w:r>
      <w:r>
        <w:rPr>
          <w:w w:val="95"/>
        </w:rPr>
        <w:t>合同的构成</w:t>
      </w:r>
    </w:p>
    <w:p>
      <w:pPr>
        <w:pStyle w:val="BodyText"/>
        <w:spacing w:before="2"/>
        <w:rPr>
          <w:b/>
        </w:rPr>
      </w:pPr>
    </w:p>
    <w:p>
      <w:pPr>
        <w:pStyle w:val="BodyText"/>
        <w:spacing w:line="273" w:lineRule="exact"/>
        <w:ind w:left="717"/>
      </w:pPr>
      <w:r>
        <w:rPr>
          <w:spacing w:val="-8"/>
        </w:rPr>
        <w:t>《工银安盛人寿附加盛世安康重大疾病保险合同》</w:t>
      </w:r>
      <w:r>
        <w:rPr>
          <w:spacing w:val="-3"/>
        </w:rPr>
        <w:t>（</w:t>
      </w:r>
      <w:r>
        <w:rPr>
          <w:spacing w:val="-13"/>
        </w:rPr>
        <w:t>以下简称“本附加合同”</w:t>
      </w:r>
      <w:r>
        <w:rPr>
          <w:spacing w:val="-72"/>
        </w:rPr>
        <w:t>）</w:t>
      </w:r>
      <w:r>
        <w:rPr>
          <w:spacing w:val="-7"/>
        </w:rPr>
        <w:t>依您的申请，附加于</w:t>
      </w:r>
    </w:p>
    <w:p>
      <w:pPr>
        <w:pStyle w:val="BodyText"/>
        <w:spacing w:line="273" w:lineRule="exact"/>
        <w:ind w:left="292"/>
      </w:pPr>
      <w:r>
        <w:rPr>
          <w:spacing w:val="-9"/>
          <w:w w:val="100"/>
        </w:rPr>
        <w:t>《工银安盛人寿盛世安康两全保险合同》</w:t>
      </w:r>
      <w:r>
        <w:rPr>
          <w:w w:val="100"/>
        </w:rPr>
        <w:t>（</w:t>
      </w:r>
      <w:r>
        <w:rPr>
          <w:spacing w:val="-15"/>
          <w:w w:val="100"/>
        </w:rPr>
        <w:t>以下简称“主合同”</w:t>
      </w:r>
      <w:r>
        <w:rPr>
          <w:spacing w:val="-108"/>
          <w:w w:val="100"/>
        </w:rPr>
        <w:t>）</w:t>
      </w:r>
      <w:r>
        <w:rPr>
          <w:spacing w:val="-3"/>
          <w:w w:val="100"/>
        </w:rPr>
        <w:t>，并成为其不可分割的组成部分。</w:t>
      </w:r>
    </w:p>
    <w:p>
      <w:pPr>
        <w:pStyle w:val="BodyText"/>
        <w:spacing w:before="10"/>
        <w:rPr>
          <w:sz w:val="20"/>
        </w:rPr>
      </w:pPr>
    </w:p>
    <w:p>
      <w:pPr>
        <w:pStyle w:val="BodyText"/>
        <w:spacing w:before="1"/>
        <w:ind w:left="293" w:right="111"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2"/>
        <w:rPr>
          <w:sz w:val="25"/>
        </w:rPr>
      </w:pPr>
    </w:p>
    <w:p>
      <w:pPr>
        <w:pStyle w:val="BodyText"/>
        <w:spacing w:before="1"/>
        <w:ind w:left="718"/>
      </w:pPr>
      <w:r>
        <w:rPr/>
        <w:t>本附加合同的英文简称LGCI5R。</w:t>
      </w:r>
    </w:p>
    <w:p>
      <w:pPr>
        <w:pStyle w:val="BodyText"/>
        <w:spacing w:before="8"/>
        <w:rPr>
          <w:sz w:val="24"/>
        </w:rPr>
      </w:pPr>
    </w:p>
    <w:p>
      <w:pPr>
        <w:pStyle w:val="Heading2"/>
        <w:tabs>
          <w:tab w:pos="1425" w:val="left" w:leader="none"/>
        </w:tabs>
        <w:ind w:left="292"/>
      </w:pPr>
      <w:r>
        <w:rPr/>
        <w:t>第二条</w:t>
        <w:tab/>
      </w:r>
      <w:r>
        <w:rPr>
          <w:w w:val="95"/>
        </w:rPr>
        <w:t>投保范围</w:t>
      </w:r>
    </w:p>
    <w:p>
      <w:pPr>
        <w:pStyle w:val="BodyText"/>
        <w:spacing w:before="2"/>
        <w:rPr>
          <w:b/>
          <w:sz w:val="24"/>
        </w:rPr>
      </w:pPr>
    </w:p>
    <w:p>
      <w:pPr>
        <w:pStyle w:val="BodyText"/>
        <w:ind w:left="712"/>
      </w:pPr>
      <w:r>
        <w:rPr/>
        <w:t>凡出生满 30 天至 55 周岁</w:t>
      </w:r>
      <w:r>
        <w:rPr>
          <w:position w:val="11"/>
          <w:sz w:val="11"/>
        </w:rPr>
        <w:t>（2）</w:t>
      </w:r>
      <w:r>
        <w:rPr/>
        <w:t>且身体健康的人，可作为被保险人参加本保险。</w:t>
      </w:r>
    </w:p>
    <w:p>
      <w:pPr>
        <w:pStyle w:val="BodyText"/>
        <w:spacing w:before="10"/>
        <w:rPr>
          <w:sz w:val="20"/>
        </w:rPr>
      </w:pPr>
    </w:p>
    <w:p>
      <w:pPr>
        <w:pStyle w:val="BodyText"/>
        <w:spacing w:line="274" w:lineRule="exact"/>
        <w:ind w:left="712"/>
      </w:pPr>
      <w:r>
        <w:rPr/>
        <w:t>对于未满 18 周岁的被保险人，应由其父母作为投保人向我们投保本保险。对于 18 周岁以上（含</w:t>
      </w:r>
    </w:p>
    <w:p>
      <w:pPr>
        <w:pStyle w:val="BodyText"/>
        <w:spacing w:line="274" w:lineRule="exact"/>
        <w:ind w:left="292"/>
      </w:pPr>
      <w:r>
        <w:rPr/>
        <w:t>18 周岁）的被保险人，可由其本人或对其有保险利益的人向我们投保。</w:t>
      </w:r>
    </w:p>
    <w:p>
      <w:pPr>
        <w:pStyle w:val="BodyText"/>
        <w:spacing w:before="1"/>
        <w:rPr>
          <w:sz w:val="23"/>
        </w:rPr>
      </w:pPr>
    </w:p>
    <w:p>
      <w:pPr>
        <w:pStyle w:val="Heading2"/>
        <w:tabs>
          <w:tab w:pos="1425" w:val="left" w:leader="none"/>
        </w:tabs>
        <w:spacing w:before="1"/>
        <w:ind w:left="292"/>
      </w:pPr>
      <w:r>
        <w:rPr/>
        <w:t>第三条</w:t>
        <w:tab/>
      </w:r>
      <w:r>
        <w:rPr>
          <w:w w:val="95"/>
        </w:rPr>
        <w:t>保险期间</w:t>
      </w:r>
    </w:p>
    <w:p>
      <w:pPr>
        <w:pStyle w:val="BodyText"/>
        <w:spacing w:before="5"/>
        <w:rPr>
          <w:b/>
        </w:rPr>
      </w:pPr>
    </w:p>
    <w:p>
      <w:pPr>
        <w:pStyle w:val="BodyText"/>
        <w:ind w:left="717"/>
      </w:pPr>
      <w:r>
        <w:rPr/>
        <w:t>本附加合同的保险期间同主合同，我们自您交付了保险费并经我们同意承保的当日 24 时起承担保</w:t>
      </w:r>
    </w:p>
    <w:p>
      <w:pPr>
        <w:pStyle w:val="BodyText"/>
        <w:spacing w:before="65"/>
        <w:ind w:left="292"/>
      </w:pPr>
      <w:r>
        <w:rPr/>
        <w:t>险责任至本附加合同约定的任一种终止情况发生之日 24 时为止。</w:t>
      </w:r>
    </w:p>
    <w:p>
      <w:pPr>
        <w:pStyle w:val="BodyText"/>
        <w:spacing w:before="4"/>
        <w:rPr>
          <w:sz w:val="23"/>
        </w:rPr>
      </w:pPr>
    </w:p>
    <w:p>
      <w:pPr>
        <w:pStyle w:val="BodyText"/>
        <w:spacing w:line="282" w:lineRule="exact"/>
        <w:ind w:left="712"/>
      </w:pPr>
      <w:r>
        <w:rPr/>
        <w:t>除非有另外的约定，本附加合同的保险期间自主合同保险单所载的生效日当日 </w:t>
      </w:r>
      <w:r>
        <w:rPr>
          <w:rFonts w:ascii="Times New Roman" w:eastAsia="Times New Roman"/>
        </w:rPr>
        <w:t>24 </w:t>
      </w:r>
      <w:r>
        <w:rPr/>
        <w:t>时起至本附加合</w:t>
      </w:r>
    </w:p>
    <w:p>
      <w:pPr>
        <w:pStyle w:val="BodyText"/>
        <w:spacing w:line="282" w:lineRule="exact"/>
        <w:ind w:left="292"/>
      </w:pPr>
      <w:r>
        <w:rPr/>
        <w:t>同约定的任一种终止情况发生之日 </w:t>
      </w:r>
      <w:r>
        <w:rPr>
          <w:rFonts w:ascii="Times New Roman" w:eastAsia="Times New Roman"/>
        </w:rPr>
        <w:t>24 </w:t>
      </w:r>
      <w:r>
        <w:rPr/>
        <w:t>时为止。</w:t>
      </w:r>
    </w:p>
    <w:p>
      <w:pPr>
        <w:pStyle w:val="BodyText"/>
        <w:spacing w:before="7"/>
        <w:rPr>
          <w:sz w:val="16"/>
        </w:rPr>
      </w:pPr>
    </w:p>
    <w:p>
      <w:pPr>
        <w:pStyle w:val="Heading2"/>
        <w:tabs>
          <w:tab w:pos="1425" w:val="left" w:leader="none"/>
        </w:tabs>
        <w:ind w:left="292"/>
      </w:pPr>
      <w:r>
        <w:rPr/>
        <w:t>第四条</w:t>
        <w:tab/>
      </w:r>
      <w:r>
        <w:rPr>
          <w:w w:val="95"/>
        </w:rPr>
        <w:t>犹豫期</w:t>
      </w:r>
    </w:p>
    <w:p>
      <w:pPr>
        <w:pStyle w:val="BodyText"/>
        <w:spacing w:before="1"/>
        <w:rPr>
          <w:b/>
          <w:sz w:val="24"/>
        </w:rPr>
      </w:pPr>
    </w:p>
    <w:p>
      <w:pPr>
        <w:pStyle w:val="BodyText"/>
        <w:ind w:left="712"/>
      </w:pPr>
      <w:r>
        <w:rPr/>
        <w:t>您收到本附加合同后，我们给予您 10 日的犹豫期。</w:t>
      </w:r>
    </w:p>
    <w:p>
      <w:pPr>
        <w:pStyle w:val="BodyText"/>
        <w:spacing w:before="5"/>
        <w:rPr>
          <w:sz w:val="22"/>
        </w:rPr>
      </w:pPr>
    </w:p>
    <w:p>
      <w:pPr>
        <w:pStyle w:val="BodyText"/>
        <w:spacing w:line="273" w:lineRule="auto"/>
        <w:ind w:left="293" w:right="214" w:firstLine="420"/>
        <w:jc w:val="both"/>
      </w:pPr>
      <w:r>
        <w:rPr>
          <w:spacing w:val="-7"/>
        </w:rPr>
        <w:t>在此期间如果您确定此保险合同与您的需求不相符，可向我们书面提出解除合同的申请，并将本附</w:t>
      </w:r>
      <w:r>
        <w:rPr>
          <w:spacing w:val="-9"/>
        </w:rPr>
        <w:t>加合同退还我们。本附加合同自我们收到书面申请当日起正式解除，我们自始不承担保险责任，并无息</w:t>
      </w:r>
      <w:r>
        <w:rPr>
          <w:spacing w:val="-3"/>
        </w:rPr>
        <w:t>退还已收本附加合同全部保险费。</w:t>
      </w:r>
    </w:p>
    <w:p>
      <w:pPr>
        <w:pStyle w:val="BodyText"/>
        <w:spacing w:before="4"/>
        <w:rPr>
          <w:sz w:val="24"/>
        </w:rPr>
      </w:pPr>
    </w:p>
    <w:p>
      <w:pPr>
        <w:pStyle w:val="BodyText"/>
        <w:spacing w:line="273" w:lineRule="auto" w:before="1"/>
        <w:ind w:left="292" w:right="212" w:firstLine="420"/>
      </w:pPr>
      <w:r>
        <w:rPr>
          <w:spacing w:val="-10"/>
        </w:rPr>
        <w:t>但如果您、被保险人或受益人曾向我们提出理赔申请，则不得在上述规定的犹豫期内行使合同解除权。</w:t>
      </w:r>
    </w:p>
    <w:p>
      <w:pPr>
        <w:pStyle w:val="BodyText"/>
        <w:spacing w:before="10"/>
        <w:rPr>
          <w:sz w:val="22"/>
        </w:rPr>
      </w:pPr>
    </w:p>
    <w:p>
      <w:pPr>
        <w:pStyle w:val="BodyText"/>
        <w:spacing w:line="273" w:lineRule="exact"/>
        <w:ind w:left="712"/>
      </w:pPr>
      <w:r>
        <w:rPr/>
        <w:t>您要求解除合同时，应提供下列证明、资料：</w:t>
      </w:r>
    </w:p>
    <w:p>
      <w:pPr>
        <w:pStyle w:val="ListParagraph"/>
        <w:numPr>
          <w:ilvl w:val="0"/>
          <w:numId w:val="1"/>
        </w:numPr>
        <w:tabs>
          <w:tab w:pos="1132" w:val="left" w:leader="none"/>
          <w:tab w:pos="1133" w:val="left" w:leader="none"/>
        </w:tabs>
        <w:spacing w:line="272" w:lineRule="exact" w:before="0" w:after="0"/>
        <w:ind w:left="1132" w:right="0" w:hanging="420"/>
        <w:jc w:val="left"/>
        <w:rPr>
          <w:sz w:val="21"/>
        </w:rPr>
      </w:pPr>
      <w:r>
        <w:rPr>
          <w:spacing w:val="-2"/>
          <w:sz w:val="21"/>
        </w:rPr>
        <w:t>保险合同原件；</w:t>
      </w:r>
    </w:p>
    <w:p>
      <w:pPr>
        <w:pStyle w:val="ListParagraph"/>
        <w:numPr>
          <w:ilvl w:val="0"/>
          <w:numId w:val="1"/>
        </w:numPr>
        <w:tabs>
          <w:tab w:pos="1132" w:val="left" w:leader="none"/>
          <w:tab w:pos="1133" w:val="left" w:leader="none"/>
        </w:tabs>
        <w:spacing w:line="274" w:lineRule="exact" w:before="0" w:after="0"/>
        <w:ind w:left="1132" w:right="0" w:hanging="420"/>
        <w:jc w:val="left"/>
        <w:rPr>
          <w:sz w:val="21"/>
        </w:rPr>
      </w:pPr>
      <w:r>
        <w:rPr>
          <w:spacing w:val="-3"/>
          <w:sz w:val="21"/>
        </w:rPr>
        <w:t>解除合同申请书；</w:t>
      </w:r>
    </w:p>
    <w:p>
      <w:pPr>
        <w:pStyle w:val="ListParagraph"/>
        <w:numPr>
          <w:ilvl w:val="0"/>
          <w:numId w:val="1"/>
        </w:numPr>
        <w:tabs>
          <w:tab w:pos="1132" w:val="left" w:leader="none"/>
          <w:tab w:pos="1133" w:val="left" w:leader="none"/>
        </w:tabs>
        <w:spacing w:line="290" w:lineRule="exact" w:before="0" w:after="0"/>
        <w:ind w:left="1132" w:right="0" w:hanging="420"/>
        <w:jc w:val="left"/>
        <w:rPr>
          <w:rFonts w:ascii="Times New Roman" w:eastAsia="Times New Roman"/>
          <w:sz w:val="21"/>
        </w:rPr>
      </w:pPr>
      <w:r>
        <w:rPr>
          <w:spacing w:val="-3"/>
          <w:sz w:val="21"/>
        </w:rPr>
        <w:t>您的有效身份证件。</w:t>
      </w:r>
    </w:p>
    <w:p>
      <w:pPr>
        <w:spacing w:after="0" w:line="290" w:lineRule="exact"/>
        <w:jc w:val="left"/>
        <w:rPr>
          <w:rFonts w:ascii="Times New Roman" w:eastAsia="Times New Roman"/>
          <w:sz w:val="21"/>
        </w:rPr>
        <w:sectPr>
          <w:footerReference w:type="default" r:id="rId6"/>
          <w:pgSz w:w="11910" w:h="16840"/>
          <w:pgMar w:footer="546" w:header="0" w:top="1420" w:bottom="740" w:left="840" w:right="1200"/>
        </w:sectPr>
      </w:pPr>
    </w:p>
    <w:p>
      <w:pPr>
        <w:pStyle w:val="Heading3"/>
        <w:spacing w:line="346" w:lineRule="exact"/>
        <w:ind w:left="538"/>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spacing w:before="1"/>
        <w:rPr>
          <w:rFonts w:ascii="Microsoft JhengHei"/>
          <w:b/>
          <w:sz w:val="17"/>
        </w:rPr>
      </w:pPr>
    </w:p>
    <w:p>
      <w:pPr>
        <w:tabs>
          <w:tab w:pos="1132" w:val="left" w:leader="none"/>
        </w:tabs>
        <w:spacing w:before="0"/>
        <w:ind w:left="0" w:right="7254" w:firstLine="0"/>
        <w:jc w:val="center"/>
        <w:rPr>
          <w:b/>
          <w:sz w:val="24"/>
        </w:rPr>
      </w:pPr>
      <w:r>
        <w:rPr>
          <w:b/>
          <w:sz w:val="24"/>
        </w:rPr>
        <w:t>第五条</w:t>
        <w:tab/>
      </w:r>
      <w:r>
        <w:rPr>
          <w:b/>
          <w:w w:val="95"/>
          <w:sz w:val="24"/>
        </w:rPr>
        <w:t>保险金额</w:t>
      </w:r>
    </w:p>
    <w:p>
      <w:pPr>
        <w:pStyle w:val="BodyText"/>
        <w:spacing w:before="9"/>
        <w:rPr>
          <w:b/>
          <w:sz w:val="25"/>
        </w:rPr>
      </w:pPr>
    </w:p>
    <w:p>
      <w:pPr>
        <w:pStyle w:val="BodyText"/>
        <w:spacing w:before="1"/>
        <w:ind w:left="538"/>
      </w:pPr>
      <w:r>
        <w:rPr/>
        <w:t>本附加合同保险金额与主合同保险金额相同，并随您申请主合同保险金额的变更而变更。</w:t>
      </w:r>
    </w:p>
    <w:p>
      <w:pPr>
        <w:pStyle w:val="BodyText"/>
        <w:spacing w:before="7"/>
        <w:rPr>
          <w:sz w:val="24"/>
        </w:rPr>
      </w:pPr>
    </w:p>
    <w:p>
      <w:pPr>
        <w:pStyle w:val="Heading2"/>
        <w:tabs>
          <w:tab w:pos="1132" w:val="left" w:leader="none"/>
        </w:tabs>
        <w:ind w:left="0" w:right="7254"/>
        <w:jc w:val="center"/>
      </w:pPr>
      <w:r>
        <w:rPr/>
        <w:t>第六条</w:t>
        <w:tab/>
      </w:r>
      <w:r>
        <w:rPr>
          <w:w w:val="95"/>
        </w:rPr>
        <w:t>保险责任</w:t>
      </w:r>
    </w:p>
    <w:p>
      <w:pPr>
        <w:pStyle w:val="BodyText"/>
        <w:spacing w:before="1"/>
        <w:rPr>
          <w:b/>
          <w:sz w:val="24"/>
        </w:rPr>
      </w:pPr>
    </w:p>
    <w:p>
      <w:pPr>
        <w:pStyle w:val="BodyText"/>
        <w:ind w:left="538" w:right="108" w:hanging="420"/>
        <w:jc w:val="both"/>
      </w:pPr>
      <w:r>
        <w:rPr>
          <w:spacing w:val="-3"/>
        </w:rPr>
        <w:t>一、被保险人于本附加合同生效日或复效日（以较迟者为准）</w:t>
      </w:r>
      <w:r>
        <w:rPr>
          <w:spacing w:val="-16"/>
        </w:rPr>
        <w:t>起 </w:t>
      </w:r>
      <w:r>
        <w:rPr/>
        <w:t>90</w:t>
      </w:r>
      <w:r>
        <w:rPr>
          <w:spacing w:val="-7"/>
        </w:rPr>
        <w:t> 天后，按下列十八种重大疾病的定</w:t>
      </w:r>
      <w:r>
        <w:rPr>
          <w:spacing w:val="-11"/>
        </w:rPr>
        <w:t>义和诊断标准，被专科医生</w:t>
      </w:r>
      <w:r>
        <w:rPr>
          <w:spacing w:val="-4"/>
          <w:position w:val="11"/>
          <w:sz w:val="11"/>
        </w:rPr>
        <w:t>（3）</w:t>
      </w:r>
      <w:r>
        <w:rPr>
          <w:spacing w:val="-4"/>
        </w:rPr>
        <w:t>或符合条件的医疗机构</w:t>
      </w:r>
      <w:r>
        <w:rPr>
          <w:spacing w:val="-4"/>
          <w:position w:val="11"/>
          <w:sz w:val="11"/>
        </w:rPr>
        <w:t>（4）</w:t>
      </w:r>
      <w:r>
        <w:rPr>
          <w:spacing w:val="-3"/>
        </w:rPr>
        <w:t>首次诊断为患有下列</w:t>
      </w:r>
      <w:r>
        <w:rPr/>
        <w:t>A</w:t>
      </w:r>
      <w:r>
        <w:rPr>
          <w:spacing w:val="-5"/>
        </w:rPr>
        <w:t>类重大疾病</w:t>
      </w:r>
      <w:r>
        <w:rPr>
          <w:spacing w:val="-3"/>
          <w:position w:val="11"/>
          <w:sz w:val="11"/>
        </w:rPr>
        <w:t>（5）</w:t>
      </w:r>
      <w:r>
        <w:rPr>
          <w:spacing w:val="-60"/>
        </w:rPr>
        <w:t>的</w:t>
      </w:r>
      <w:r>
        <w:rPr>
          <w:spacing w:val="-3"/>
        </w:rPr>
        <w:t>（</w:t>
      </w:r>
      <w:r>
        <w:rPr/>
        <w:t>无</w:t>
      </w:r>
      <w:r>
        <w:rPr>
          <w:spacing w:val="-2"/>
          <w:w w:val="100"/>
        </w:rPr>
        <w:t>论一种或多种</w:t>
      </w:r>
      <w:r>
        <w:rPr>
          <w:spacing w:val="-106"/>
          <w:w w:val="100"/>
        </w:rPr>
        <w:t>）</w:t>
      </w:r>
      <w:r>
        <w:rPr>
          <w:spacing w:val="-3"/>
          <w:w w:val="100"/>
        </w:rPr>
        <w:t>，且自首次诊断日起存活</w:t>
      </w:r>
      <w:r>
        <w:rPr>
          <w:spacing w:val="-3"/>
        </w:rPr>
        <w:t> </w:t>
      </w:r>
      <w:r>
        <w:rPr>
          <w:w w:val="100"/>
        </w:rPr>
        <w:t>28</w:t>
      </w:r>
      <w:r>
        <w:rPr/>
        <w:t> </w:t>
      </w:r>
      <w:r>
        <w:rPr>
          <w:spacing w:val="-3"/>
          <w:w w:val="100"/>
        </w:rPr>
        <w:t>天或以上的，我们将按本附加合同约定的保险金额的</w:t>
      </w:r>
    </w:p>
    <w:p>
      <w:pPr>
        <w:pStyle w:val="BodyText"/>
        <w:spacing w:line="274" w:lineRule="exact"/>
        <w:ind w:left="538"/>
      </w:pPr>
      <w:r>
        <w:rPr/>
        <w:t>100％给付“重大疾病保险金”予被保险人，本附加合同保险责任终止。</w:t>
      </w:r>
    </w:p>
    <w:p>
      <w:pPr>
        <w:pStyle w:val="BodyText"/>
        <w:spacing w:before="10"/>
        <w:rPr>
          <w:sz w:val="23"/>
        </w:rPr>
      </w:pPr>
    </w:p>
    <w:p>
      <w:pPr>
        <w:pStyle w:val="BodyText"/>
        <w:ind w:left="528"/>
      </w:pPr>
      <w:r>
        <w:rPr/>
        <w:t>1、 急性心肌梗塞</w:t>
      </w:r>
    </w:p>
    <w:p>
      <w:pPr>
        <w:pStyle w:val="BodyText"/>
        <w:spacing w:before="87"/>
        <w:ind w:left="528"/>
      </w:pPr>
      <w:r>
        <w:rPr/>
        <w:t>2、 重大器官移植术或造血干细胞移植术</w:t>
      </w:r>
    </w:p>
    <w:p>
      <w:pPr>
        <w:pStyle w:val="BodyText"/>
        <w:spacing w:before="87"/>
        <w:ind w:left="528"/>
      </w:pPr>
      <w:r>
        <w:rPr/>
        <w:t>3、 冠状动脉搭桥术</w:t>
      </w:r>
    </w:p>
    <w:p>
      <w:pPr>
        <w:pStyle w:val="BodyText"/>
        <w:spacing w:before="84"/>
        <w:ind w:left="528"/>
      </w:pPr>
      <w:r>
        <w:rPr/>
        <w:t>4、 终末期肾病</w:t>
      </w:r>
    </w:p>
    <w:p>
      <w:pPr>
        <w:pStyle w:val="BodyText"/>
        <w:spacing w:before="87"/>
        <w:ind w:left="528"/>
      </w:pPr>
      <w:r>
        <w:rPr/>
        <w:t>5、 多个肢体缺失</w:t>
      </w:r>
    </w:p>
    <w:p>
      <w:pPr>
        <w:pStyle w:val="BodyText"/>
        <w:spacing w:before="87"/>
        <w:ind w:left="528"/>
      </w:pPr>
      <w:r>
        <w:rPr/>
        <w:t>6、 急性或亚急性重症肝炎</w:t>
      </w:r>
    </w:p>
    <w:p>
      <w:pPr>
        <w:pStyle w:val="BodyText"/>
        <w:spacing w:before="87"/>
        <w:ind w:left="528"/>
      </w:pPr>
      <w:r>
        <w:rPr/>
        <w:t>7、 良性脑肿瘤</w:t>
      </w:r>
    </w:p>
    <w:p>
      <w:pPr>
        <w:pStyle w:val="BodyText"/>
        <w:spacing w:before="87"/>
        <w:ind w:left="528"/>
      </w:pPr>
      <w:r>
        <w:rPr/>
        <w:t>8、 慢性肝功能衰竭失代偿期</w:t>
      </w:r>
    </w:p>
    <w:p>
      <w:pPr>
        <w:pStyle w:val="BodyText"/>
        <w:spacing w:before="87"/>
        <w:ind w:left="528"/>
      </w:pPr>
      <w:r>
        <w:rPr/>
        <w:t>9、 双耳失聪</w:t>
      </w:r>
    </w:p>
    <w:p>
      <w:pPr>
        <w:pStyle w:val="BodyText"/>
        <w:spacing w:before="85"/>
        <w:ind w:left="528"/>
      </w:pPr>
      <w:r>
        <w:rPr/>
        <w:t>10、双目失明</w:t>
      </w:r>
    </w:p>
    <w:p>
      <w:pPr>
        <w:pStyle w:val="BodyText"/>
        <w:spacing w:before="87"/>
        <w:ind w:left="528"/>
      </w:pPr>
      <w:r>
        <w:rPr/>
        <w:t>11、瘫痪</w:t>
      </w:r>
    </w:p>
    <w:p>
      <w:pPr>
        <w:pStyle w:val="BodyText"/>
        <w:spacing w:before="87"/>
        <w:ind w:left="529"/>
      </w:pPr>
      <w:r>
        <w:rPr/>
        <w:t>12、心脏瓣膜手术</w:t>
      </w:r>
    </w:p>
    <w:p>
      <w:pPr>
        <w:pStyle w:val="BodyText"/>
        <w:spacing w:before="87"/>
        <w:ind w:left="529"/>
      </w:pPr>
      <w:r>
        <w:rPr/>
        <w:t>13、严重阿尔茨海默病</w:t>
      </w:r>
    </w:p>
    <w:p>
      <w:pPr>
        <w:pStyle w:val="BodyText"/>
        <w:spacing w:before="87"/>
        <w:ind w:left="529"/>
      </w:pPr>
      <w:r>
        <w:rPr/>
        <w:t>14、严重Ⅲ度烧伤</w:t>
      </w:r>
    </w:p>
    <w:p>
      <w:pPr>
        <w:pStyle w:val="BodyText"/>
        <w:spacing w:before="87"/>
        <w:ind w:left="529"/>
      </w:pPr>
      <w:r>
        <w:rPr/>
        <w:t>15、严重原发性肺动脉高压</w:t>
      </w:r>
    </w:p>
    <w:p>
      <w:pPr>
        <w:pStyle w:val="BodyText"/>
        <w:spacing w:before="85"/>
        <w:ind w:left="529"/>
      </w:pPr>
      <w:r>
        <w:rPr/>
        <w:t>16、语言能力丧失</w:t>
      </w:r>
    </w:p>
    <w:p>
      <w:pPr>
        <w:pStyle w:val="BodyText"/>
        <w:spacing w:before="87"/>
        <w:ind w:left="529"/>
      </w:pPr>
      <w:r>
        <w:rPr/>
        <w:t>17、重型再生障碍性贫血</w:t>
      </w:r>
    </w:p>
    <w:p>
      <w:pPr>
        <w:pStyle w:val="BodyText"/>
        <w:spacing w:before="87"/>
        <w:ind w:left="529"/>
      </w:pPr>
      <w:r>
        <w:rPr/>
        <w:t>18、主动脉手术</w:t>
      </w:r>
    </w:p>
    <w:p>
      <w:pPr>
        <w:pStyle w:val="BodyText"/>
        <w:spacing w:before="7"/>
        <w:rPr>
          <w:sz w:val="19"/>
        </w:rPr>
      </w:pPr>
    </w:p>
    <w:p>
      <w:pPr>
        <w:pStyle w:val="BodyText"/>
        <w:ind w:left="538" w:right="108" w:hanging="420"/>
        <w:jc w:val="both"/>
      </w:pPr>
      <w:r>
        <w:rPr>
          <w:spacing w:val="-3"/>
        </w:rPr>
        <w:t>二、被保险人于本附加合同生效日或复效日（以较迟者为准）</w:t>
      </w:r>
      <w:r>
        <w:rPr>
          <w:spacing w:val="-16"/>
        </w:rPr>
        <w:t>起 </w:t>
      </w:r>
      <w:r>
        <w:rPr/>
        <w:t>90</w:t>
      </w:r>
      <w:r>
        <w:rPr>
          <w:spacing w:val="-7"/>
        </w:rPr>
        <w:t> 天后，按下列七种重大疾病的定义</w:t>
      </w:r>
      <w:r>
        <w:rPr>
          <w:spacing w:val="-8"/>
        </w:rPr>
        <w:t>和诊断标准，被专科医生或符合条件的医疗机构首次诊断为患有下列</w:t>
      </w:r>
      <w:r>
        <w:rPr>
          <w:spacing w:val="-4"/>
        </w:rPr>
        <w:t>B类重大疾病</w:t>
      </w:r>
      <w:r>
        <w:rPr>
          <w:position w:val="11"/>
          <w:sz w:val="11"/>
        </w:rPr>
        <w:t>（6）</w:t>
      </w:r>
      <w:r>
        <w:rPr>
          <w:spacing w:val="-39"/>
        </w:rPr>
        <w:t>的</w:t>
      </w:r>
      <w:r>
        <w:rPr/>
        <w:t>（无论一种</w:t>
      </w:r>
      <w:r>
        <w:rPr>
          <w:spacing w:val="-1"/>
        </w:rPr>
        <w:t>或多种</w:t>
      </w:r>
      <w:r>
        <w:rPr>
          <w:spacing w:val="-66"/>
        </w:rPr>
        <w:t>）</w:t>
      </w:r>
      <w:r>
        <w:rPr>
          <w:spacing w:val="-13"/>
        </w:rPr>
        <w:t>，且自首次诊断日起存活 </w:t>
      </w:r>
      <w:r>
        <w:rPr/>
        <w:t>28</w:t>
      </w:r>
      <w:r>
        <w:rPr>
          <w:spacing w:val="-12"/>
        </w:rPr>
        <w:t> 天或以上的，我们将按本附加合同约定的保险金额的 </w:t>
      </w:r>
      <w:r>
        <w:rPr/>
        <w:t>200％给</w:t>
      </w:r>
      <w:r>
        <w:rPr>
          <w:spacing w:val="-3"/>
        </w:rPr>
        <w:t>付“重大疾病保险金”予被保险人，本附加合同保险责任终止。</w:t>
      </w:r>
    </w:p>
    <w:p>
      <w:pPr>
        <w:pStyle w:val="BodyText"/>
        <w:spacing w:before="1"/>
        <w:rPr>
          <w:sz w:val="26"/>
        </w:rPr>
      </w:pPr>
    </w:p>
    <w:p>
      <w:pPr>
        <w:pStyle w:val="BodyText"/>
        <w:ind w:left="531"/>
      </w:pPr>
      <w:r>
        <w:rPr/>
        <w:t>1、 恶性肿瘤</w:t>
      </w:r>
    </w:p>
    <w:p>
      <w:pPr>
        <w:pStyle w:val="BodyText"/>
        <w:spacing w:before="87"/>
        <w:ind w:left="531"/>
      </w:pPr>
      <w:r>
        <w:rPr/>
        <w:t>2、 脑中风后遗症</w:t>
      </w:r>
    </w:p>
    <w:p>
      <w:pPr>
        <w:pStyle w:val="BodyText"/>
        <w:spacing w:before="87"/>
        <w:ind w:left="531"/>
      </w:pPr>
      <w:r>
        <w:rPr/>
        <w:t>3、 脑炎后遗症或脑膜炎后遗症</w:t>
      </w:r>
    </w:p>
    <w:p>
      <w:pPr>
        <w:pStyle w:val="BodyText"/>
        <w:spacing w:before="87"/>
        <w:ind w:left="531"/>
      </w:pPr>
      <w:r>
        <w:rPr/>
        <w:t>4、 深度昏迷</w:t>
      </w:r>
    </w:p>
    <w:p>
      <w:pPr>
        <w:pStyle w:val="BodyText"/>
        <w:spacing w:before="85"/>
        <w:ind w:left="531"/>
      </w:pPr>
      <w:r>
        <w:rPr/>
        <w:t>5、 严重脑损伤</w:t>
      </w:r>
    </w:p>
    <w:p>
      <w:pPr>
        <w:pStyle w:val="BodyText"/>
        <w:spacing w:before="87"/>
        <w:ind w:left="531"/>
      </w:pPr>
      <w:r>
        <w:rPr/>
        <w:t>6、 严重帕金森病</w:t>
      </w:r>
    </w:p>
    <w:p>
      <w:pPr>
        <w:pStyle w:val="BodyText"/>
        <w:spacing w:before="15"/>
        <w:ind w:left="531"/>
      </w:pPr>
      <w:r>
        <w:rPr/>
        <w:t>7、 严重运动神经元病</w:t>
      </w:r>
    </w:p>
    <w:p>
      <w:pPr>
        <w:spacing w:after="0"/>
        <w:sectPr>
          <w:footerReference w:type="default" r:id="rId7"/>
          <w:pgSz w:w="11910" w:h="16840"/>
          <w:pgMar w:footer="466" w:header="0" w:top="1580" w:bottom="660" w:left="1300" w:right="1020"/>
          <w:pgNumType w:start="3"/>
        </w:sectPr>
      </w:pPr>
    </w:p>
    <w:p>
      <w:pPr>
        <w:pStyle w:val="BodyText"/>
        <w:rPr>
          <w:sz w:val="18"/>
        </w:rPr>
      </w:pPr>
    </w:p>
    <w:p>
      <w:pPr>
        <w:pStyle w:val="Heading2"/>
        <w:tabs>
          <w:tab w:pos="1245" w:val="left" w:leader="none"/>
        </w:tabs>
        <w:spacing w:before="26"/>
        <w:ind w:left="112"/>
        <w:rPr>
          <w:rFonts w:ascii="黑体" w:eastAsia="黑体" w:hint="eastAsia"/>
        </w:rPr>
      </w:pPr>
      <w:r>
        <w:rPr>
          <w:rFonts w:ascii="黑体" w:eastAsia="黑体" w:hint="eastAsia"/>
        </w:rPr>
        <w:t>第七条</w:t>
        <w:tab/>
      </w:r>
      <w:r>
        <w:rPr>
          <w:rFonts w:ascii="黑体" w:eastAsia="黑体" w:hint="eastAsia"/>
          <w:w w:val="95"/>
        </w:rPr>
        <w:t>责任免除</w:t>
      </w:r>
    </w:p>
    <w:p>
      <w:pPr>
        <w:pStyle w:val="Heading3"/>
        <w:spacing w:line="624" w:lineRule="exact" w:before="45"/>
        <w:ind w:left="561" w:right="172" w:hanging="29"/>
      </w:pPr>
      <w:r>
        <w:rPr/>
        <w:t>因下列情形之一，导致被保险人发Th疾病、达到疾病状态或进行手术的，我们不承担保险责任： 一、您对被保险人的故意杀害、故意伤害；</w:t>
      </w:r>
    </w:p>
    <w:p>
      <w:pPr>
        <w:spacing w:line="217" w:lineRule="exact" w:before="0"/>
        <w:ind w:left="561"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1" w:right="0" w:firstLine="0"/>
        <w:jc w:val="left"/>
        <w:rPr>
          <w:rFonts w:ascii="黑体" w:eastAsia="黑体" w:hint="eastAsia"/>
          <w:b/>
          <w:sz w:val="21"/>
        </w:rPr>
      </w:pPr>
      <w:r>
        <w:rPr>
          <w:rFonts w:ascii="黑体" w:eastAsia="黑体" w:hint="eastAsia"/>
          <w:b/>
          <w:sz w:val="21"/>
        </w:rPr>
        <w:t>三、被保险人主动吸食或注射毒品</w:t>
      </w:r>
      <w:r>
        <w:rPr>
          <w:rFonts w:ascii="黑体" w:eastAsia="黑体" w:hint="eastAsia"/>
          <w:b/>
          <w:position w:val="11"/>
          <w:sz w:val="11"/>
        </w:rPr>
        <w:t>（7）</w:t>
      </w:r>
      <w:r>
        <w:rPr>
          <w:rFonts w:ascii="黑体" w:eastAsia="黑体" w:hint="eastAsia"/>
          <w:b/>
          <w:sz w:val="21"/>
        </w:rPr>
        <w:t>；</w:t>
      </w:r>
    </w:p>
    <w:p>
      <w:pPr>
        <w:spacing w:line="273" w:lineRule="auto" w:before="37"/>
        <w:ind w:left="561" w:right="522" w:firstLine="0"/>
        <w:jc w:val="left"/>
        <w:rPr>
          <w:rFonts w:ascii="黑体" w:eastAsia="黑体" w:hint="eastAsia"/>
          <w:b/>
          <w:sz w:val="21"/>
        </w:rPr>
      </w:pPr>
      <w:r>
        <w:rPr>
          <w:rFonts w:ascii="黑体" w:eastAsia="黑体" w:hint="eastAsia"/>
          <w:b/>
          <w:sz w:val="21"/>
        </w:rPr>
        <w:t>四、被保险人酒后驾驶</w:t>
      </w:r>
      <w:r>
        <w:rPr>
          <w:rFonts w:ascii="黑体" w:eastAsia="黑体" w:hint="eastAsia"/>
          <w:b/>
          <w:position w:val="11"/>
          <w:sz w:val="11"/>
        </w:rPr>
        <w:t>（8）</w:t>
      </w:r>
      <w:r>
        <w:rPr>
          <w:rFonts w:ascii="黑体" w:eastAsia="黑体" w:hint="eastAsia"/>
          <w:b/>
          <w:sz w:val="21"/>
        </w:rPr>
        <w:t>、无合法有效驾驶证驾驶</w:t>
      </w:r>
      <w:r>
        <w:rPr>
          <w:rFonts w:ascii="黑体" w:eastAsia="黑体" w:hint="eastAsia"/>
          <w:b/>
          <w:position w:val="11"/>
          <w:sz w:val="11"/>
        </w:rPr>
        <w:t>（9）</w:t>
      </w:r>
      <w:r>
        <w:rPr>
          <w:rFonts w:ascii="黑体" w:eastAsia="黑体" w:hint="eastAsia"/>
          <w:b/>
          <w:sz w:val="21"/>
        </w:rPr>
        <w:t>，或驾驶无有效行驶证</w:t>
      </w:r>
      <w:r>
        <w:rPr>
          <w:rFonts w:ascii="黑体" w:eastAsia="黑体" w:hint="eastAsia"/>
          <w:b/>
          <w:position w:val="11"/>
          <w:sz w:val="11"/>
        </w:rPr>
        <w:t>（10）</w:t>
      </w:r>
      <w:r>
        <w:rPr>
          <w:rFonts w:ascii="黑体" w:eastAsia="黑体" w:hint="eastAsia"/>
          <w:b/>
          <w:sz w:val="21"/>
        </w:rPr>
        <w:t>的机动车； 五、被保险人感染艾滋病病毒或患艾滋病</w:t>
      </w:r>
      <w:r>
        <w:rPr>
          <w:rFonts w:ascii="黑体" w:eastAsia="黑体" w:hint="eastAsia"/>
          <w:b/>
          <w:position w:val="11"/>
          <w:sz w:val="11"/>
        </w:rPr>
        <w:t>（11）</w:t>
      </w:r>
      <w:r>
        <w:rPr>
          <w:rFonts w:ascii="黑体" w:eastAsia="黑体" w:hint="eastAsia"/>
          <w:b/>
          <w:sz w:val="21"/>
        </w:rPr>
        <w:t>；</w:t>
      </w:r>
    </w:p>
    <w:p>
      <w:pPr>
        <w:spacing w:line="273" w:lineRule="auto" w:before="4"/>
        <w:ind w:left="561" w:right="519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32" w:right="0" w:firstLine="0"/>
        <w:jc w:val="left"/>
        <w:rPr>
          <w:rFonts w:ascii="黑体" w:eastAsia="黑体" w:hint="eastAsia"/>
          <w:b/>
          <w:sz w:val="21"/>
        </w:rPr>
      </w:pPr>
      <w:r>
        <w:rPr>
          <w:rFonts w:ascii="黑体" w:eastAsia="黑体" w:hint="eastAsia"/>
          <w:b/>
          <w:sz w:val="21"/>
        </w:rPr>
        <w:t>八、遗传性疾病</w:t>
      </w:r>
      <w:r>
        <w:rPr>
          <w:rFonts w:ascii="黑体" w:eastAsia="黑体" w:hint="eastAsia"/>
          <w:b/>
          <w:position w:val="11"/>
          <w:sz w:val="11"/>
        </w:rPr>
        <w:t>（12）</w:t>
      </w:r>
      <w:r>
        <w:rPr>
          <w:rFonts w:ascii="黑体" w:eastAsia="黑体" w:hint="eastAsia"/>
          <w:b/>
          <w:sz w:val="21"/>
        </w:rPr>
        <w:t>，先天性畸形、变形或染色体异常</w:t>
      </w:r>
      <w:r>
        <w:rPr>
          <w:rFonts w:ascii="黑体" w:eastAsia="黑体" w:hint="eastAsia"/>
          <w:b/>
          <w:position w:val="11"/>
          <w:sz w:val="11"/>
        </w:rPr>
        <w:t>（13）</w:t>
      </w:r>
      <w:r>
        <w:rPr>
          <w:rFonts w:ascii="黑体" w:eastAsia="黑体" w:hint="eastAsia"/>
          <w:b/>
          <w:sz w:val="21"/>
        </w:rPr>
        <w:t>。</w:t>
      </w:r>
    </w:p>
    <w:p>
      <w:pPr>
        <w:pStyle w:val="BodyText"/>
        <w:spacing w:before="8"/>
        <w:rPr>
          <w:rFonts w:ascii="黑体"/>
          <w:b/>
          <w:sz w:val="26"/>
        </w:rPr>
      </w:pPr>
    </w:p>
    <w:p>
      <w:pPr>
        <w:pStyle w:val="Heading3"/>
        <w:spacing w:line="273" w:lineRule="auto"/>
        <w:ind w:left="112" w:right="111" w:firstLine="420"/>
      </w:pPr>
      <w:r>
        <w:rPr/>
        <w:t>发Th</w:t>
      </w:r>
      <w:r>
        <w:rPr>
          <w:spacing w:val="-3"/>
        </w:rPr>
        <w:t>上述第一项情形导致被保险人发</w:t>
      </w:r>
      <w:r>
        <w:rPr/>
        <w:t>Th</w:t>
      </w:r>
      <w:r>
        <w:rPr>
          <w:spacing w:val="-10"/>
        </w:rPr>
        <w:t>本附加合同所指特定疾病的，本附加合同效力终止，您已交</w:t>
      </w:r>
      <w:r>
        <w:rPr>
          <w:spacing w:val="-30"/>
        </w:rPr>
        <w:t>足 </w:t>
      </w:r>
      <w:r>
        <w:rPr/>
        <w:t>2</w:t>
      </w:r>
      <w:r>
        <w:rPr>
          <w:spacing w:val="-8"/>
        </w:rPr>
        <w:t> 年以上保险费的，我们将向未丧失受益权的受益人退还本附加合同的现金价值</w:t>
      </w:r>
      <w:r>
        <w:rPr>
          <w:position w:val="11"/>
          <w:sz w:val="11"/>
        </w:rPr>
        <w:t>（14）</w:t>
      </w:r>
      <w:r>
        <w:rPr/>
        <w:t>。</w:t>
      </w:r>
    </w:p>
    <w:p>
      <w:pPr>
        <w:spacing w:line="273" w:lineRule="auto" w:before="4"/>
        <w:ind w:left="112" w:right="111" w:firstLine="420"/>
        <w:jc w:val="left"/>
        <w:rPr>
          <w:rFonts w:ascii="黑体" w:eastAsia="黑体" w:hint="eastAsia"/>
          <w:b/>
          <w:sz w:val="21"/>
        </w:rPr>
      </w:pPr>
      <w:r>
        <w:rPr>
          <w:rFonts w:ascii="黑体" w:eastAsia="黑体" w:hint="eastAsia"/>
          <w:b/>
          <w:sz w:val="21"/>
        </w:rPr>
        <w:t>发Th</w:t>
      </w:r>
      <w:r>
        <w:rPr>
          <w:rFonts w:ascii="黑体" w:eastAsia="黑体" w:hint="eastAsia"/>
          <w:b/>
          <w:spacing w:val="-3"/>
          <w:sz w:val="21"/>
        </w:rPr>
        <w:t>上述其他情形导致被保险人发</w:t>
      </w:r>
      <w:r>
        <w:rPr>
          <w:rFonts w:ascii="黑体" w:eastAsia="黑体" w:hint="eastAsia"/>
          <w:b/>
          <w:sz w:val="21"/>
        </w:rPr>
        <w:t>Th</w:t>
      </w:r>
      <w:r>
        <w:rPr>
          <w:rFonts w:ascii="黑体" w:eastAsia="黑体" w:hint="eastAsia"/>
          <w:b/>
          <w:spacing w:val="-10"/>
          <w:sz w:val="21"/>
        </w:rPr>
        <w:t>本附加合同所指特定疾病的，本附加合同效力终止，我们将向</w:t>
      </w:r>
      <w:r>
        <w:rPr>
          <w:rFonts w:ascii="黑体" w:eastAsia="黑体" w:hint="eastAsia"/>
          <w:b/>
          <w:spacing w:val="-5"/>
          <w:sz w:val="21"/>
        </w:rPr>
        <w:t>您退还本附加合同的现金价值。</w:t>
      </w:r>
    </w:p>
    <w:p>
      <w:pPr>
        <w:spacing w:after="0" w:line="273" w:lineRule="auto"/>
        <w:jc w:val="left"/>
        <w:rPr>
          <w:rFonts w:ascii="黑体" w:eastAsia="黑体" w:hint="eastAsia"/>
          <w:sz w:val="21"/>
        </w:rPr>
        <w:sectPr>
          <w:pgSz w:w="11910" w:h="16840"/>
          <w:pgMar w:header="0" w:footer="466" w:top="1580" w:bottom="740" w:left="1020" w:right="1300"/>
        </w:sectPr>
      </w:pPr>
    </w:p>
    <w:p>
      <w:pPr>
        <w:tabs>
          <w:tab w:pos="1599" w:val="left" w:leader="none"/>
        </w:tabs>
        <w:spacing w:line="360" w:lineRule="exact" w:before="0"/>
        <w:ind w:left="325"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51" w:val="left" w:leader="none"/>
        </w:tabs>
        <w:spacing w:before="26"/>
        <w:ind w:left="118" w:right="0" w:firstLine="0"/>
        <w:jc w:val="left"/>
        <w:rPr>
          <w:b/>
          <w:sz w:val="24"/>
        </w:rPr>
      </w:pPr>
      <w:r>
        <w:rPr>
          <w:b/>
          <w:sz w:val="24"/>
        </w:rPr>
        <w:t>第八条</w:t>
        <w:tab/>
      </w:r>
      <w:r>
        <w:rPr>
          <w:b/>
          <w:w w:val="95"/>
          <w:sz w:val="24"/>
        </w:rPr>
        <w:t>保险费的交付及宽限期</w:t>
      </w:r>
    </w:p>
    <w:p>
      <w:pPr>
        <w:pStyle w:val="BodyText"/>
        <w:spacing w:before="10"/>
        <w:rPr>
          <w:b/>
          <w:sz w:val="25"/>
        </w:rPr>
      </w:pPr>
    </w:p>
    <w:p>
      <w:pPr>
        <w:pStyle w:val="BodyText"/>
        <w:ind w:left="538"/>
      </w:pPr>
      <w:r>
        <w:rPr/>
        <w:t>本附加合同的交费方式及交费期限同主合同。</w:t>
      </w:r>
    </w:p>
    <w:p>
      <w:pPr>
        <w:pStyle w:val="BodyText"/>
        <w:spacing w:before="8"/>
        <w:rPr>
          <w:sz w:val="26"/>
        </w:rPr>
      </w:pPr>
    </w:p>
    <w:p>
      <w:pPr>
        <w:pStyle w:val="BodyText"/>
        <w:spacing w:line="273" w:lineRule="auto"/>
        <w:ind w:left="118" w:right="209" w:firstLine="420"/>
      </w:pPr>
      <w:r>
        <w:rPr>
          <w:spacing w:val="-7"/>
        </w:rPr>
        <w:t>续期保险费应按本附加合同约定的方法及日期交付。如到期未交付的，自保险合同生效日的对应日</w:t>
      </w:r>
      <w:r>
        <w:rPr>
          <w:spacing w:val="-17"/>
        </w:rPr>
        <w:t>当日 </w:t>
      </w:r>
      <w:r>
        <w:rPr/>
        <w:t>24</w:t>
      </w:r>
      <w:r>
        <w:rPr>
          <w:spacing w:val="-27"/>
        </w:rPr>
        <w:t> 时起 </w:t>
      </w:r>
      <w:r>
        <w:rPr/>
        <w:t>60</w:t>
      </w:r>
      <w:r>
        <w:rPr>
          <w:spacing w:val="-10"/>
        </w:rPr>
        <w:t> 日为宽限期。</w:t>
      </w:r>
    </w:p>
    <w:p>
      <w:pPr>
        <w:pStyle w:val="BodyText"/>
        <w:spacing w:before="5"/>
        <w:rPr>
          <w:sz w:val="24"/>
        </w:rPr>
      </w:pPr>
    </w:p>
    <w:p>
      <w:pPr>
        <w:pStyle w:val="BodyText"/>
        <w:spacing w:line="273" w:lineRule="auto"/>
        <w:ind w:left="118" w:right="211" w:firstLine="420"/>
      </w:pPr>
      <w:r>
        <w:rPr>
          <w:spacing w:val="-4"/>
        </w:rPr>
        <w:t>宽限期内被保险人发生保险事故</w:t>
      </w:r>
      <w:r>
        <w:rPr>
          <w:position w:val="11"/>
          <w:sz w:val="11"/>
        </w:rPr>
        <w:t>（15）</w:t>
      </w:r>
      <w:r>
        <w:rPr>
          <w:spacing w:val="-9"/>
        </w:rPr>
        <w:t>的，我们仍承担保险责任，但将从所给付的保险金中扣除该保</w:t>
      </w:r>
      <w:r>
        <w:rPr>
          <w:spacing w:val="-5"/>
        </w:rPr>
        <w:t>险单年度应交的保险费。</w:t>
      </w:r>
    </w:p>
    <w:p>
      <w:pPr>
        <w:pStyle w:val="BodyText"/>
        <w:spacing w:before="4"/>
        <w:rPr>
          <w:sz w:val="22"/>
        </w:rPr>
      </w:pPr>
    </w:p>
    <w:p>
      <w:pPr>
        <w:pStyle w:val="Heading2"/>
        <w:tabs>
          <w:tab w:pos="1251" w:val="left" w:leader="none"/>
        </w:tabs>
      </w:pPr>
      <w:r>
        <w:rPr/>
        <w:t>第九条</w:t>
        <w:tab/>
      </w:r>
      <w:r>
        <w:rPr>
          <w:w w:val="95"/>
        </w:rPr>
        <w:t>保险费率的调整</w:t>
      </w:r>
    </w:p>
    <w:p>
      <w:pPr>
        <w:pStyle w:val="BodyText"/>
        <w:spacing w:before="10"/>
        <w:rPr>
          <w:b/>
          <w:sz w:val="25"/>
        </w:rPr>
      </w:pPr>
    </w:p>
    <w:p>
      <w:pPr>
        <w:pStyle w:val="BodyText"/>
        <w:spacing w:line="544" w:lineRule="auto"/>
        <w:ind w:left="538" w:right="5360"/>
      </w:pPr>
      <w:r>
        <w:rPr>
          <w:spacing w:val="-3"/>
        </w:rPr>
        <w:t>我们保留提高或降低保险费率的权利。 保险费率的调整将向保险监管机关备案。</w:t>
      </w:r>
    </w:p>
    <w:p>
      <w:pPr>
        <w:pStyle w:val="BodyText"/>
        <w:spacing w:line="273" w:lineRule="auto" w:before="82"/>
        <w:ind w:left="118" w:right="110"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5"/>
        <w:rPr>
          <w:sz w:val="24"/>
        </w:rPr>
      </w:pPr>
    </w:p>
    <w:p>
      <w:pPr>
        <w:pStyle w:val="BodyText"/>
        <w:ind w:left="538"/>
      </w:pPr>
      <w:r>
        <w:rPr/>
        <w:t>若本附加合同保险费的调整引起现金价值发生变化，则我们将书面通知您。</w:t>
      </w:r>
    </w:p>
    <w:p>
      <w:pPr>
        <w:pStyle w:val="BodyText"/>
        <w:spacing w:before="7"/>
        <w:rPr>
          <w:sz w:val="24"/>
        </w:rPr>
      </w:pPr>
    </w:p>
    <w:p>
      <w:pPr>
        <w:pStyle w:val="Heading2"/>
        <w:tabs>
          <w:tab w:pos="1354" w:val="left" w:leader="none"/>
        </w:tabs>
      </w:pPr>
      <w:r>
        <w:rPr/>
        <w:t>第十条</w:t>
        <w:tab/>
      </w:r>
      <w:r>
        <w:rPr>
          <w:w w:val="95"/>
        </w:rPr>
        <w:t>合同效力的中止</w:t>
      </w:r>
    </w:p>
    <w:p>
      <w:pPr>
        <w:pStyle w:val="BodyText"/>
        <w:spacing w:before="2"/>
        <w:rPr>
          <w:b/>
          <w:sz w:val="24"/>
        </w:rPr>
      </w:pPr>
    </w:p>
    <w:p>
      <w:pPr>
        <w:pStyle w:val="BodyText"/>
        <w:ind w:left="538"/>
      </w:pPr>
      <w:r>
        <w:rPr/>
        <w:t>本附加合同效力中止的规定同主合同。</w:t>
      </w:r>
    </w:p>
    <w:p>
      <w:pPr>
        <w:pStyle w:val="BodyText"/>
        <w:spacing w:before="4"/>
        <w:rPr>
          <w:sz w:val="20"/>
        </w:rPr>
      </w:pPr>
    </w:p>
    <w:p>
      <w:pPr>
        <w:pStyle w:val="Heading2"/>
        <w:tabs>
          <w:tab w:pos="1392" w:val="left" w:leader="none"/>
        </w:tabs>
      </w:pPr>
      <w:r>
        <w:rPr/>
        <w:t>第十一条</w:t>
        <w:tab/>
      </w:r>
      <w:r>
        <w:rPr>
          <w:w w:val="95"/>
        </w:rPr>
        <w:t>合同效力的恢复</w:t>
      </w:r>
    </w:p>
    <w:p>
      <w:pPr>
        <w:pStyle w:val="BodyText"/>
        <w:rPr>
          <w:b/>
        </w:rPr>
      </w:pPr>
    </w:p>
    <w:p>
      <w:pPr>
        <w:pStyle w:val="BodyText"/>
        <w:ind w:left="538"/>
      </w:pPr>
      <w:r>
        <w:rPr/>
        <w:t>本附加合同效力恢复的规定同主合同。</w:t>
      </w:r>
    </w:p>
    <w:p>
      <w:pPr>
        <w:pStyle w:val="BodyText"/>
        <w:spacing w:before="3"/>
        <w:rPr>
          <w:sz w:val="23"/>
        </w:rPr>
      </w:pPr>
    </w:p>
    <w:p>
      <w:pPr>
        <w:pStyle w:val="Heading2"/>
        <w:tabs>
          <w:tab w:pos="1457" w:val="left" w:leader="none"/>
        </w:tabs>
      </w:pPr>
      <w:r>
        <w:rPr/>
        <w:t>第十二条</w:t>
        <w:tab/>
      </w:r>
      <w:r>
        <w:rPr>
          <w:w w:val="95"/>
        </w:rPr>
        <w:t>合同的解除</w:t>
      </w:r>
    </w:p>
    <w:p>
      <w:pPr>
        <w:pStyle w:val="BodyText"/>
        <w:spacing w:before="1"/>
        <w:rPr>
          <w:b/>
          <w:sz w:val="24"/>
        </w:rPr>
      </w:pPr>
    </w:p>
    <w:p>
      <w:pPr>
        <w:pStyle w:val="BodyText"/>
        <w:ind w:left="538"/>
      </w:pPr>
      <w:r>
        <w:rPr/>
        <w:t>本附加合同的解除规定同主合同。</w:t>
      </w:r>
    </w:p>
    <w:p>
      <w:pPr>
        <w:pStyle w:val="BodyText"/>
        <w:spacing w:before="3"/>
        <w:rPr>
          <w:sz w:val="17"/>
        </w:rPr>
      </w:pPr>
    </w:p>
    <w:p>
      <w:pPr>
        <w:pStyle w:val="Heading3"/>
        <w:spacing w:before="1"/>
        <w:ind w:left="538"/>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
        <w:rPr>
          <w:rFonts w:ascii="Microsoft JhengHei"/>
          <w:b/>
          <w:sz w:val="17"/>
        </w:rPr>
      </w:pPr>
    </w:p>
    <w:p>
      <w:pPr>
        <w:tabs>
          <w:tab w:pos="1457" w:val="left" w:leader="none"/>
        </w:tabs>
        <w:spacing w:before="0"/>
        <w:ind w:left="118" w:right="0" w:firstLine="0"/>
        <w:jc w:val="left"/>
        <w:rPr>
          <w:b/>
          <w:sz w:val="24"/>
        </w:rPr>
      </w:pPr>
      <w:r>
        <w:rPr>
          <w:b/>
          <w:sz w:val="24"/>
        </w:rPr>
        <w:t>第十三条</w:t>
        <w:tab/>
      </w:r>
      <w:r>
        <w:rPr>
          <w:b/>
          <w:w w:val="95"/>
          <w:sz w:val="24"/>
        </w:rPr>
        <w:t>合同效力的终止</w:t>
      </w:r>
    </w:p>
    <w:p>
      <w:pPr>
        <w:pStyle w:val="BodyText"/>
        <w:spacing w:before="10"/>
        <w:rPr>
          <w:b/>
          <w:sz w:val="25"/>
        </w:rPr>
      </w:pPr>
    </w:p>
    <w:p>
      <w:pPr>
        <w:pStyle w:val="BodyText"/>
        <w:ind w:left="538"/>
      </w:pPr>
      <w:r>
        <w:rPr/>
        <w:t>发生下列情况之一时，本附加合同效力终止：</w:t>
      </w:r>
    </w:p>
    <w:p>
      <w:pPr>
        <w:pStyle w:val="ListParagraph"/>
        <w:numPr>
          <w:ilvl w:val="0"/>
          <w:numId w:val="2"/>
        </w:numPr>
        <w:tabs>
          <w:tab w:pos="1147" w:val="left" w:leader="none"/>
          <w:tab w:pos="1148" w:val="left" w:leader="none"/>
        </w:tabs>
        <w:spacing w:line="240" w:lineRule="auto" w:before="37" w:after="0"/>
        <w:ind w:left="1147" w:right="0" w:hanging="616"/>
        <w:jc w:val="left"/>
        <w:rPr>
          <w:sz w:val="21"/>
        </w:rPr>
      </w:pPr>
      <w:r>
        <w:rPr>
          <w:spacing w:val="-3"/>
          <w:sz w:val="21"/>
        </w:rPr>
        <w:t>主合同效力终止；</w:t>
      </w:r>
    </w:p>
    <w:p>
      <w:pPr>
        <w:pStyle w:val="ListParagraph"/>
        <w:numPr>
          <w:ilvl w:val="0"/>
          <w:numId w:val="2"/>
        </w:numPr>
        <w:tabs>
          <w:tab w:pos="1147" w:val="left" w:leader="none"/>
          <w:tab w:pos="1148" w:val="left" w:leader="none"/>
        </w:tabs>
        <w:spacing w:line="240" w:lineRule="auto" w:before="37" w:after="0"/>
        <w:ind w:left="1147" w:right="0" w:hanging="616"/>
        <w:jc w:val="left"/>
        <w:rPr>
          <w:sz w:val="21"/>
        </w:rPr>
      </w:pPr>
      <w:r>
        <w:rPr>
          <w:spacing w:val="-3"/>
          <w:sz w:val="21"/>
        </w:rPr>
        <w:t>我们给付重大疾病保险金后；</w:t>
      </w:r>
    </w:p>
    <w:p>
      <w:pPr>
        <w:pStyle w:val="ListParagraph"/>
        <w:numPr>
          <w:ilvl w:val="0"/>
          <w:numId w:val="2"/>
        </w:numPr>
        <w:tabs>
          <w:tab w:pos="1147" w:val="left" w:leader="none"/>
          <w:tab w:pos="1148" w:val="left" w:leader="none"/>
        </w:tabs>
        <w:spacing w:line="240" w:lineRule="auto" w:before="37" w:after="0"/>
        <w:ind w:left="1147" w:right="0" w:hanging="616"/>
        <w:jc w:val="left"/>
        <w:rPr>
          <w:sz w:val="21"/>
        </w:rPr>
      </w:pPr>
      <w:r>
        <w:rPr>
          <w:spacing w:val="-3"/>
          <w:sz w:val="21"/>
        </w:rPr>
        <w:t>您于合同有效期内向我们申请解除合同；</w:t>
      </w:r>
    </w:p>
    <w:p>
      <w:pPr>
        <w:pStyle w:val="ListParagraph"/>
        <w:numPr>
          <w:ilvl w:val="0"/>
          <w:numId w:val="2"/>
        </w:numPr>
        <w:tabs>
          <w:tab w:pos="1147" w:val="left" w:leader="none"/>
          <w:tab w:pos="1148" w:val="left" w:leader="none"/>
        </w:tabs>
        <w:spacing w:line="240" w:lineRule="auto" w:before="9" w:after="0"/>
        <w:ind w:left="1147" w:right="0" w:hanging="617"/>
        <w:jc w:val="left"/>
        <w:rPr>
          <w:sz w:val="24"/>
        </w:rPr>
      </w:pPr>
      <w:r>
        <w:rPr>
          <w:spacing w:val="-3"/>
          <w:sz w:val="21"/>
        </w:rPr>
        <w:t>本附加合同效力中止且未能按本附加合同第十一条办理复效的</w:t>
      </w:r>
      <w:r>
        <w:rPr>
          <w:sz w:val="24"/>
        </w:rPr>
        <w:t>；</w:t>
      </w:r>
    </w:p>
    <w:p>
      <w:pPr>
        <w:pStyle w:val="ListParagraph"/>
        <w:numPr>
          <w:ilvl w:val="0"/>
          <w:numId w:val="2"/>
        </w:numPr>
        <w:tabs>
          <w:tab w:pos="1147" w:val="left" w:leader="none"/>
          <w:tab w:pos="1148" w:val="left" w:leader="none"/>
        </w:tabs>
        <w:spacing w:line="240" w:lineRule="auto" w:before="25" w:after="0"/>
        <w:ind w:left="1148" w:right="0" w:hanging="617"/>
        <w:jc w:val="left"/>
        <w:rPr>
          <w:sz w:val="21"/>
        </w:rPr>
      </w:pPr>
      <w:r>
        <w:rPr>
          <w:spacing w:val="-3"/>
          <w:sz w:val="21"/>
        </w:rPr>
        <w:t>本附加合同约定的其它效力终止的情况。</w:t>
      </w:r>
    </w:p>
    <w:p>
      <w:pPr>
        <w:spacing w:after="0" w:line="240" w:lineRule="auto"/>
        <w:jc w:val="left"/>
        <w:rPr>
          <w:sz w:val="21"/>
        </w:rPr>
        <w:sectPr>
          <w:pgSz w:w="11910" w:h="16840"/>
          <w:pgMar w:header="0" w:footer="466" w:top="1360" w:bottom="760" w:left="1300" w:right="920"/>
        </w:sectPr>
      </w:pPr>
    </w:p>
    <w:p>
      <w:pPr>
        <w:pStyle w:val="Heading2"/>
        <w:tabs>
          <w:tab w:pos="1555" w:val="left" w:leader="none"/>
        </w:tabs>
        <w:spacing w:before="91"/>
        <w:ind w:left="112"/>
      </w:pPr>
      <w:r>
        <w:rPr/>
        <w:t>第十四条</w:t>
        <w:tab/>
      </w:r>
      <w:r>
        <w:rPr>
          <w:w w:val="95"/>
        </w:rPr>
        <w:t>受益人的指定和变更</w:t>
      </w:r>
    </w:p>
    <w:p>
      <w:pPr>
        <w:pStyle w:val="BodyText"/>
        <w:spacing w:before="9"/>
        <w:rPr>
          <w:b/>
          <w:sz w:val="25"/>
        </w:rPr>
      </w:pPr>
    </w:p>
    <w:p>
      <w:pPr>
        <w:pStyle w:val="BodyText"/>
        <w:spacing w:line="273" w:lineRule="auto" w:before="1"/>
        <w:ind w:left="112" w:right="113" w:firstLine="420"/>
      </w:pPr>
      <w:r>
        <w:rPr>
          <w:spacing w:val="-10"/>
        </w:rPr>
        <w:t>除有特殊约定，本附加合同保险金的受益人为被保险人本人。若被保险人身故，本附加合同受益人</w:t>
      </w:r>
      <w:r>
        <w:rPr>
          <w:spacing w:val="-5"/>
        </w:rPr>
        <w:t>为主合同身故保险金受益人。</w:t>
      </w:r>
    </w:p>
    <w:p>
      <w:pPr>
        <w:pStyle w:val="BodyText"/>
        <w:spacing w:before="4"/>
        <w:rPr>
          <w:sz w:val="22"/>
        </w:rPr>
      </w:pPr>
    </w:p>
    <w:p>
      <w:pPr>
        <w:pStyle w:val="Heading2"/>
        <w:tabs>
          <w:tab w:pos="1451" w:val="left" w:leader="none"/>
        </w:tabs>
        <w:ind w:left="112"/>
      </w:pPr>
      <w:r>
        <w:rPr/>
        <w:t>第十五条</w:t>
        <w:tab/>
      </w:r>
      <w:r>
        <w:rPr>
          <w:w w:val="95"/>
        </w:rPr>
        <w:t>保险事故的通知</w:t>
      </w:r>
    </w:p>
    <w:p>
      <w:pPr>
        <w:pStyle w:val="BodyText"/>
        <w:spacing w:before="10"/>
        <w:rPr>
          <w:b/>
          <w:sz w:val="25"/>
        </w:rPr>
      </w:pPr>
    </w:p>
    <w:p>
      <w:pPr>
        <w:pStyle w:val="Heading3"/>
        <w:spacing w:line="273" w:lineRule="auto"/>
        <w:ind w:left="112" w:right="109"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7"/>
        </w:rPr>
        <w:t>事故发</w:t>
      </w:r>
      <w:r>
        <w:rPr/>
        <w:t>Th</w:t>
      </w:r>
      <w:r>
        <w:rPr>
          <w:spacing w:val="-3"/>
        </w:rPr>
        <w:t>或者虽未及时通知但不影响我们确定保险事故的性质、原因、损失程度的除外。</w:t>
      </w:r>
    </w:p>
    <w:p>
      <w:pPr>
        <w:pStyle w:val="BodyText"/>
        <w:spacing w:before="3"/>
        <w:rPr>
          <w:rFonts w:ascii="黑体"/>
          <w:b/>
          <w:sz w:val="22"/>
        </w:rPr>
      </w:pPr>
    </w:p>
    <w:p>
      <w:pPr>
        <w:tabs>
          <w:tab w:pos="1387" w:val="left" w:leader="none"/>
        </w:tabs>
        <w:spacing w:before="0"/>
        <w:ind w:left="112" w:right="0" w:firstLine="0"/>
        <w:jc w:val="left"/>
        <w:rPr>
          <w:b/>
          <w:sz w:val="24"/>
        </w:rPr>
      </w:pPr>
      <w:r>
        <w:rPr>
          <w:b/>
          <w:sz w:val="24"/>
        </w:rPr>
        <w:t>第十六条</w:t>
        <w:tab/>
      </w:r>
      <w:r>
        <w:rPr>
          <w:b/>
          <w:w w:val="95"/>
          <w:sz w:val="24"/>
        </w:rPr>
        <w:t>保险金的申请</w:t>
      </w:r>
    </w:p>
    <w:p>
      <w:pPr>
        <w:pStyle w:val="BodyText"/>
        <w:spacing w:before="12"/>
        <w:rPr>
          <w:b/>
          <w:sz w:val="27"/>
        </w:rPr>
      </w:pPr>
    </w:p>
    <w:p>
      <w:pPr>
        <w:pStyle w:val="BodyText"/>
        <w:spacing w:line="237" w:lineRule="auto" w:before="1"/>
        <w:ind w:left="1358" w:right="112" w:hanging="826"/>
        <w:jc w:val="both"/>
      </w:pPr>
      <w:r>
        <w:rPr>
          <w:spacing w:val="-5"/>
        </w:rPr>
        <w:t>一、   在本附加合同有效期内被保险人被诊断为患有本附加合同所指定的重大疾病的，由被保险</w:t>
      </w:r>
      <w:r>
        <w:rPr>
          <w:spacing w:val="-27"/>
        </w:rPr>
        <w:t>人</w:t>
      </w:r>
      <w:r>
        <w:rPr>
          <w:spacing w:val="-3"/>
        </w:rPr>
        <w:t>（或被保险人的委托代理人或法定代理人</w:t>
      </w:r>
      <w:r>
        <w:rPr>
          <w:spacing w:val="-27"/>
        </w:rPr>
        <w:t>）</w:t>
      </w:r>
      <w:r>
        <w:rPr>
          <w:spacing w:val="-5"/>
        </w:rPr>
        <w:t>作为申请人填写保险金给付申请书，并凭下</w:t>
      </w:r>
      <w:r>
        <w:rPr>
          <w:spacing w:val="-4"/>
        </w:rPr>
        <w:t>列证明、资料原件向我们申请给付保险金：</w:t>
      </w:r>
    </w:p>
    <w:p>
      <w:pPr>
        <w:pStyle w:val="BodyText"/>
        <w:spacing w:before="10"/>
        <w:rPr>
          <w:sz w:val="20"/>
        </w:rPr>
      </w:pPr>
    </w:p>
    <w:p>
      <w:pPr>
        <w:pStyle w:val="ListParagraph"/>
        <w:numPr>
          <w:ilvl w:val="1"/>
          <w:numId w:val="2"/>
        </w:numPr>
        <w:tabs>
          <w:tab w:pos="1812" w:val="left" w:leader="none"/>
          <w:tab w:pos="1813" w:val="left" w:leader="none"/>
        </w:tabs>
        <w:spacing w:line="274" w:lineRule="exact" w:before="0" w:after="0"/>
        <w:ind w:left="1821" w:right="0" w:hanging="516"/>
        <w:jc w:val="left"/>
        <w:rPr>
          <w:sz w:val="21"/>
        </w:rPr>
      </w:pPr>
      <w:r>
        <w:rPr>
          <w:spacing w:val="-1"/>
          <w:sz w:val="21"/>
        </w:rPr>
        <w:t>保险合同；</w:t>
      </w:r>
    </w:p>
    <w:p>
      <w:pPr>
        <w:pStyle w:val="ListParagraph"/>
        <w:numPr>
          <w:ilvl w:val="1"/>
          <w:numId w:val="2"/>
        </w:numPr>
        <w:tabs>
          <w:tab w:pos="1812" w:val="left" w:leader="none"/>
          <w:tab w:pos="1813" w:val="left" w:leader="none"/>
        </w:tabs>
        <w:spacing w:line="272" w:lineRule="exact" w:before="0" w:after="0"/>
        <w:ind w:left="1821" w:right="0" w:hanging="516"/>
        <w:jc w:val="left"/>
        <w:rPr>
          <w:sz w:val="21"/>
        </w:rPr>
      </w:pPr>
      <w:r>
        <w:rPr>
          <w:spacing w:val="-3"/>
          <w:sz w:val="21"/>
        </w:rPr>
        <w:t>被保险人的有效身份证件；</w:t>
      </w:r>
    </w:p>
    <w:p>
      <w:pPr>
        <w:pStyle w:val="ListParagraph"/>
        <w:numPr>
          <w:ilvl w:val="1"/>
          <w:numId w:val="2"/>
        </w:numPr>
        <w:tabs>
          <w:tab w:pos="1812" w:val="left" w:leader="none"/>
          <w:tab w:pos="1813" w:val="left" w:leader="none"/>
        </w:tabs>
        <w:spacing w:line="240" w:lineRule="auto" w:before="0" w:after="0"/>
        <w:ind w:left="1821" w:right="113" w:hanging="516"/>
        <w:jc w:val="left"/>
        <w:rPr>
          <w:sz w:val="21"/>
        </w:rPr>
      </w:pPr>
      <w:r>
        <w:rPr>
          <w:sz w:val="21"/>
        </w:rPr>
        <w:t>被保险人的委托代理人或法定代理人的有效身份证件及委托授权书或法定代理关系证明；</w:t>
      </w:r>
    </w:p>
    <w:p>
      <w:pPr>
        <w:pStyle w:val="ListParagraph"/>
        <w:numPr>
          <w:ilvl w:val="1"/>
          <w:numId w:val="2"/>
        </w:numPr>
        <w:tabs>
          <w:tab w:pos="1812" w:val="left" w:leader="none"/>
          <w:tab w:pos="1813" w:val="left" w:leader="none"/>
        </w:tabs>
        <w:spacing w:line="240" w:lineRule="auto" w:before="0" w:after="0"/>
        <w:ind w:left="1821" w:right="1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2"/>
        </w:numPr>
        <w:tabs>
          <w:tab w:pos="1812" w:val="left" w:leader="none"/>
          <w:tab w:pos="1813" w:val="left" w:leader="none"/>
        </w:tabs>
        <w:spacing w:line="240" w:lineRule="auto" w:before="0" w:after="0"/>
        <w:ind w:left="1821" w:right="112"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pPr>
    </w:p>
    <w:p>
      <w:pPr>
        <w:pStyle w:val="BodyText"/>
        <w:tabs>
          <w:tab w:pos="1358" w:val="left" w:leader="none"/>
        </w:tabs>
        <w:spacing w:before="1"/>
        <w:ind w:left="532"/>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p>
    <w:p>
      <w:pPr>
        <w:pStyle w:val="BodyText"/>
        <w:spacing w:before="11"/>
        <w:rPr>
          <w:sz w:val="26"/>
        </w:rPr>
      </w:pPr>
    </w:p>
    <w:p>
      <w:pPr>
        <w:pStyle w:val="BodyText"/>
        <w:tabs>
          <w:tab w:pos="1358" w:val="left" w:leader="none"/>
        </w:tabs>
        <w:ind w:left="1358" w:right="112"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情形复</w:t>
      </w:r>
      <w:r>
        <w:rPr/>
        <w:t>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w:t>
      </w:r>
      <w:r>
        <w:rPr>
          <w:spacing w:val="-3"/>
        </w:rPr>
        <w:t>于保</w:t>
      </w:r>
      <w:r>
        <w:rPr/>
        <w:t>险</w:t>
      </w:r>
    </w:p>
    <w:p>
      <w:pPr>
        <w:pStyle w:val="BodyText"/>
        <w:spacing w:line="528" w:lineRule="auto"/>
        <w:ind w:left="1348" w:right="247" w:firstLine="9"/>
      </w:pPr>
      <w:r>
        <w:rPr/>
        <w:t>责任的，我们在与受益人达成给付保险金的协议后 10 日内，履行给付保险金义务。我们未及时履行前款规定义务的，除支付保险金外，应当赔偿受益人因此受到的损失。</w:t>
      </w:r>
    </w:p>
    <w:p>
      <w:pPr>
        <w:pStyle w:val="BodyText"/>
        <w:spacing w:before="39"/>
        <w:ind w:left="1349" w:right="113" w:hanging="1"/>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8"/>
        <w:rPr>
          <w:sz w:val="20"/>
        </w:rPr>
      </w:pPr>
    </w:p>
    <w:p>
      <w:pPr>
        <w:pStyle w:val="BodyText"/>
        <w:ind w:left="1349" w:right="115"/>
        <w:jc w:val="both"/>
      </w:pPr>
      <w:r>
        <w:rPr>
          <w:spacing w:val="-4"/>
        </w:rPr>
        <w:t>我们在收到保险金给付申请书及有关证明和资料之日起 </w:t>
      </w:r>
      <w:r>
        <w:rPr/>
        <w:t>60</w:t>
      </w:r>
      <w:r>
        <w:rPr>
          <w:spacing w:val="-6"/>
        </w:rPr>
        <w:t> 日内，对属于保险责任而给付</w:t>
      </w:r>
      <w:r>
        <w:rPr>
          <w:spacing w:val="-8"/>
        </w:rPr>
        <w:t>保险金的数额不能确定的，根据已有证明和资料，在扣除该年年度未交保险费后按可以确</w:t>
      </w:r>
      <w:r>
        <w:rPr>
          <w:spacing w:val="-3"/>
        </w:rPr>
        <w:t>定的最低数额先予以支付；我们最终确定给付保险金的数额后，将支付相应的差额。</w:t>
      </w:r>
    </w:p>
    <w:p>
      <w:pPr>
        <w:pStyle w:val="BodyText"/>
        <w:spacing w:before="7"/>
        <w:rPr>
          <w:sz w:val="20"/>
        </w:rPr>
      </w:pPr>
    </w:p>
    <w:p>
      <w:pPr>
        <w:pStyle w:val="BodyText"/>
        <w:tabs>
          <w:tab w:pos="1387" w:val="left" w:leader="none"/>
        </w:tabs>
        <w:spacing w:before="1"/>
        <w:ind w:left="533"/>
      </w:pPr>
      <w:r>
        <w:rPr/>
        <w:t>四、</w:t>
        <w:tab/>
        <w:t>被保</w:t>
      </w:r>
      <w:r>
        <w:rPr>
          <w:spacing w:val="-3"/>
        </w:rPr>
        <w:t>险</w:t>
      </w:r>
      <w:r>
        <w:rPr/>
        <w:t>人</w:t>
      </w:r>
      <w:r>
        <w:rPr>
          <w:spacing w:val="-3"/>
        </w:rPr>
        <w:t>未</w:t>
      </w:r>
      <w:r>
        <w:rPr/>
        <w:t>满</w:t>
      </w:r>
      <w:r>
        <w:rPr>
          <w:spacing w:val="-34"/>
        </w:rPr>
        <w:t> </w:t>
      </w:r>
      <w:r>
        <w:rPr/>
        <w:t>18</w:t>
      </w:r>
      <w:r>
        <w:rPr>
          <w:spacing w:val="-34"/>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pStyle w:val="BodyText"/>
        <w:spacing w:before="11"/>
        <w:rPr>
          <w:sz w:val="23"/>
        </w:rPr>
      </w:pPr>
    </w:p>
    <w:p>
      <w:pPr>
        <w:pStyle w:val="BodyText"/>
        <w:tabs>
          <w:tab w:pos="1358" w:val="left" w:leader="none"/>
        </w:tabs>
        <w:spacing w:before="1"/>
        <w:ind w:left="1358" w:right="115"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1"/>
        </w:rPr>
        <w:t> </w:t>
      </w:r>
      <w:r>
        <w:rPr/>
        <w:t>2</w:t>
      </w:r>
      <w:r>
        <w:rPr>
          <w:spacing w:val="-30"/>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保险事</w:t>
      </w:r>
      <w:r>
        <w:rPr/>
        <w:t>故发</w:t>
      </w:r>
      <w:r>
        <w:rPr>
          <w:spacing w:val="-3"/>
        </w:rPr>
        <w:t>生</w:t>
      </w:r>
      <w:r>
        <w:rPr/>
        <w:t>之</w:t>
      </w:r>
      <w:r>
        <w:rPr>
          <w:spacing w:val="-3"/>
        </w:rPr>
        <w:t>日</w:t>
      </w:r>
      <w:r>
        <w:rPr/>
        <w:t>起</w:t>
      </w:r>
      <w:r>
        <w:rPr>
          <w:spacing w:val="-3"/>
        </w:rPr>
        <w:t>计</w:t>
      </w:r>
      <w:r>
        <w:rPr/>
        <w:t>算。</w:t>
      </w:r>
    </w:p>
    <w:p>
      <w:pPr>
        <w:pStyle w:val="BodyText"/>
        <w:spacing w:before="3"/>
        <w:rPr>
          <w:sz w:val="23"/>
        </w:rPr>
      </w:pPr>
    </w:p>
    <w:p>
      <w:pPr>
        <w:pStyle w:val="Heading2"/>
        <w:tabs>
          <w:tab w:pos="1387" w:val="left" w:leader="none"/>
        </w:tabs>
        <w:ind w:left="112"/>
      </w:pPr>
      <w:r>
        <w:rPr/>
        <w:t>第十七条</w:t>
        <w:tab/>
      </w:r>
      <w:r>
        <w:rPr>
          <w:w w:val="95"/>
        </w:rPr>
        <w:t>未还款项的扣除</w:t>
      </w:r>
    </w:p>
    <w:p>
      <w:pPr>
        <w:spacing w:after="0"/>
        <w:sectPr>
          <w:pgSz w:w="11910" w:h="16840"/>
          <w:pgMar w:header="0" w:footer="466" w:top="1580" w:bottom="740" w:left="1020" w:right="1300"/>
        </w:sectPr>
      </w:pPr>
    </w:p>
    <w:p>
      <w:pPr>
        <w:pStyle w:val="BodyText"/>
        <w:spacing w:before="7"/>
        <w:ind w:left="538"/>
      </w:pPr>
      <w:r>
        <w:rPr/>
        <w:t>本附加合同未还款项的扣除的规定同主合同。</w:t>
      </w:r>
    </w:p>
    <w:p>
      <w:pPr>
        <w:pStyle w:val="BodyText"/>
        <w:spacing w:before="6"/>
        <w:rPr>
          <w:sz w:val="24"/>
        </w:rPr>
      </w:pPr>
    </w:p>
    <w:p>
      <w:pPr>
        <w:pStyle w:val="Heading2"/>
        <w:tabs>
          <w:tab w:pos="1392" w:val="left" w:leader="none"/>
        </w:tabs>
      </w:pPr>
      <w:r>
        <w:rPr/>
        <w:t>第十八条</w:t>
        <w:tab/>
      </w:r>
      <w:r>
        <w:rPr>
          <w:w w:val="95"/>
        </w:rPr>
        <w:t>如实告知</w:t>
      </w:r>
    </w:p>
    <w:p>
      <w:pPr>
        <w:pStyle w:val="BodyText"/>
        <w:spacing w:before="9"/>
        <w:rPr>
          <w:b/>
          <w:sz w:val="25"/>
        </w:rPr>
      </w:pPr>
    </w:p>
    <w:p>
      <w:pPr>
        <w:pStyle w:val="BodyText"/>
        <w:spacing w:before="1"/>
        <w:ind w:left="538"/>
      </w:pPr>
      <w:r>
        <w:rPr/>
        <w:t>本附加合同如实告知的规定同主合同。</w:t>
      </w:r>
    </w:p>
    <w:p>
      <w:pPr>
        <w:pStyle w:val="BodyText"/>
        <w:spacing w:before="7"/>
        <w:rPr>
          <w:sz w:val="24"/>
        </w:rPr>
      </w:pPr>
    </w:p>
    <w:p>
      <w:pPr>
        <w:pStyle w:val="Heading2"/>
        <w:tabs>
          <w:tab w:pos="1440" w:val="left" w:leader="none"/>
        </w:tabs>
      </w:pPr>
      <w:r>
        <w:rPr/>
        <w:t>第十九条</w:t>
        <w:tab/>
      </w:r>
      <w:r>
        <w:rPr>
          <w:w w:val="95"/>
        </w:rPr>
        <w:t>合同解除权的限制</w:t>
      </w:r>
    </w:p>
    <w:p>
      <w:pPr>
        <w:pStyle w:val="BodyText"/>
        <w:spacing w:before="10"/>
        <w:rPr>
          <w:b/>
          <w:sz w:val="25"/>
        </w:rPr>
      </w:pPr>
    </w:p>
    <w:p>
      <w:pPr>
        <w:pStyle w:val="BodyText"/>
        <w:ind w:left="538"/>
      </w:pPr>
      <w:r>
        <w:rPr/>
        <w:t>本附加合同合同解除权的限制的规定同主合同。</w:t>
      </w:r>
    </w:p>
    <w:p>
      <w:pPr>
        <w:pStyle w:val="BodyText"/>
        <w:spacing w:before="7"/>
      </w:pPr>
    </w:p>
    <w:p>
      <w:pPr>
        <w:pStyle w:val="Heading3"/>
        <w:ind w:left="538"/>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spacing w:before="1"/>
        <w:rPr>
          <w:rFonts w:ascii="Microsoft JhengHei"/>
          <w:b/>
          <w:sz w:val="17"/>
        </w:rPr>
      </w:pPr>
    </w:p>
    <w:p>
      <w:pPr>
        <w:tabs>
          <w:tab w:pos="1392" w:val="left" w:leader="none"/>
        </w:tabs>
        <w:spacing w:before="0"/>
        <w:ind w:left="118" w:right="0" w:firstLine="0"/>
        <w:jc w:val="left"/>
        <w:rPr>
          <w:b/>
          <w:sz w:val="24"/>
        </w:rPr>
      </w:pPr>
      <w:r>
        <w:rPr>
          <w:b/>
          <w:sz w:val="24"/>
        </w:rPr>
        <w:t>第二十条</w:t>
        <w:tab/>
      </w:r>
      <w:r>
        <w:rPr>
          <w:b/>
          <w:w w:val="95"/>
          <w:sz w:val="24"/>
        </w:rPr>
        <w:t>年龄及性别的确定与错误处理</w:t>
      </w:r>
    </w:p>
    <w:p>
      <w:pPr>
        <w:pStyle w:val="BodyText"/>
        <w:spacing w:before="10"/>
        <w:rPr>
          <w:b/>
          <w:sz w:val="25"/>
        </w:rPr>
      </w:pPr>
    </w:p>
    <w:p>
      <w:pPr>
        <w:pStyle w:val="BodyText"/>
        <w:ind w:left="538"/>
      </w:pPr>
      <w:r>
        <w:rPr/>
        <w:t>本附加合同年龄及性别的确定与错误处理的规定同主合同。</w:t>
      </w:r>
    </w:p>
    <w:p>
      <w:pPr>
        <w:pStyle w:val="BodyText"/>
        <w:spacing w:before="6"/>
        <w:rPr>
          <w:sz w:val="24"/>
        </w:rPr>
      </w:pPr>
    </w:p>
    <w:p>
      <w:pPr>
        <w:pStyle w:val="Heading2"/>
        <w:spacing w:before="1"/>
      </w:pPr>
      <w:r>
        <w:rPr/>
        <w:t>第二十一条 合同内容的变更</w:t>
      </w:r>
    </w:p>
    <w:p>
      <w:pPr>
        <w:pStyle w:val="BodyText"/>
        <w:spacing w:before="10"/>
        <w:rPr>
          <w:b/>
          <w:sz w:val="25"/>
        </w:rPr>
      </w:pPr>
    </w:p>
    <w:p>
      <w:pPr>
        <w:pStyle w:val="BodyText"/>
        <w:ind w:left="538"/>
      </w:pPr>
      <w:r>
        <w:rPr/>
        <w:t>本附加合同内容变更的规定同主合同。</w:t>
      </w:r>
    </w:p>
    <w:p>
      <w:pPr>
        <w:pStyle w:val="BodyText"/>
        <w:spacing w:before="6"/>
        <w:rPr>
          <w:sz w:val="24"/>
        </w:rPr>
      </w:pPr>
    </w:p>
    <w:p>
      <w:pPr>
        <w:pStyle w:val="Heading2"/>
        <w:tabs>
          <w:tab w:pos="1663" w:val="left" w:leader="none"/>
        </w:tabs>
      </w:pPr>
      <w:r>
        <w:rPr/>
        <w:t>第二十二条</w:t>
        <w:tab/>
      </w:r>
      <w:r>
        <w:rPr>
          <w:w w:val="95"/>
        </w:rPr>
        <w:t>地址的变更</w:t>
      </w:r>
    </w:p>
    <w:p>
      <w:pPr>
        <w:pStyle w:val="BodyText"/>
        <w:spacing w:before="9"/>
        <w:rPr>
          <w:b/>
          <w:sz w:val="25"/>
        </w:rPr>
      </w:pPr>
    </w:p>
    <w:p>
      <w:pPr>
        <w:pStyle w:val="BodyText"/>
        <w:spacing w:before="1"/>
        <w:ind w:left="538"/>
      </w:pPr>
      <w:r>
        <w:rPr/>
        <w:t>本附加合同地址变更的规定同主合同。</w:t>
      </w:r>
    </w:p>
    <w:p>
      <w:pPr>
        <w:pStyle w:val="BodyText"/>
        <w:spacing w:before="7"/>
        <w:rPr>
          <w:sz w:val="24"/>
        </w:rPr>
      </w:pPr>
    </w:p>
    <w:p>
      <w:pPr>
        <w:pStyle w:val="Heading2"/>
        <w:tabs>
          <w:tab w:pos="1663" w:val="left" w:leader="none"/>
        </w:tabs>
      </w:pPr>
      <w:r>
        <w:rPr/>
        <w:t>第二十三条</w:t>
        <w:tab/>
      </w:r>
      <w:r>
        <w:rPr>
          <w:w w:val="95"/>
        </w:rPr>
        <w:t>争议处理</w:t>
      </w:r>
    </w:p>
    <w:p>
      <w:pPr>
        <w:pStyle w:val="BodyText"/>
        <w:spacing w:before="1"/>
        <w:rPr>
          <w:b/>
          <w:sz w:val="24"/>
        </w:rPr>
      </w:pPr>
    </w:p>
    <w:p>
      <w:pPr>
        <w:pStyle w:val="BodyText"/>
        <w:ind w:left="531"/>
      </w:pPr>
      <w:r>
        <w:rPr/>
        <w:t>在本附加合同履行过程中发生任何争议，其解决方式同主合同。</w:t>
      </w:r>
    </w:p>
    <w:p>
      <w:pPr>
        <w:spacing w:after="0"/>
        <w:sectPr>
          <w:pgSz w:w="11910" w:h="16840"/>
          <w:pgMar w:header="0" w:footer="466" w:top="1380" w:bottom="760" w:left="1300" w:right="1560"/>
        </w:sectPr>
      </w:pPr>
    </w:p>
    <w:p>
      <w:pPr>
        <w:pStyle w:val="BodyText"/>
        <w:spacing w:before="8"/>
        <w:rPr>
          <w:sz w:val="12"/>
        </w:rPr>
      </w:pPr>
      <w:r>
        <w:rPr/>
        <w:drawing>
          <wp:anchor distT="0" distB="0" distL="0" distR="0" allowOverlap="1" layoutInCell="1" locked="0" behindDoc="1" simplePos="0" relativeHeight="268416575">
            <wp:simplePos x="0" y="0"/>
            <wp:positionH relativeFrom="page">
              <wp:posOffset>6438234</wp:posOffset>
            </wp:positionH>
            <wp:positionV relativeFrom="page">
              <wp:posOffset>5695427</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9721" cy="103727"/>
                    </a:xfrm>
                    <a:prstGeom prst="rect">
                      <a:avLst/>
                    </a:prstGeom>
                  </pic:spPr>
                </pic:pic>
              </a:graphicData>
            </a:graphic>
          </wp:anchor>
        </w:drawing>
      </w:r>
    </w:p>
    <w:p>
      <w:pPr>
        <w:pStyle w:val="Heading1"/>
        <w:tabs>
          <w:tab w:pos="1123" w:val="left" w:leader="none"/>
        </w:tabs>
        <w:ind w:right="406"/>
      </w:pPr>
      <w:r>
        <w:rPr/>
        <w:t>第三章</w:t>
        <w:tab/>
      </w:r>
      <w:r>
        <w:rPr>
          <w:w w:val="95"/>
        </w:rPr>
        <w:t>名词</w:t>
      </w:r>
      <w:r>
        <w:rPr>
          <w:spacing w:val="-3"/>
          <w:w w:val="95"/>
        </w:rPr>
        <w:t>释</w:t>
      </w:r>
      <w:r>
        <w:rPr>
          <w:w w:val="95"/>
        </w:rPr>
        <w:t>义</w:t>
      </w:r>
    </w:p>
    <w:p>
      <w:pPr>
        <w:pStyle w:val="BodyText"/>
        <w:spacing w:before="7"/>
        <w:rPr>
          <w:b/>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4"/>
      </w:tblGrid>
      <w:tr>
        <w:trPr>
          <w:trHeight w:val="274" w:hRule="atLeast"/>
        </w:trPr>
        <w:tc>
          <w:tcPr>
            <w:tcW w:w="2053" w:type="dxa"/>
          </w:tcPr>
          <w:p>
            <w:pPr>
              <w:pStyle w:val="TableParagraph"/>
              <w:spacing w:line="234" w:lineRule="exact"/>
              <w:ind w:left="200"/>
              <w:rPr>
                <w:sz w:val="11"/>
              </w:rPr>
            </w:pPr>
            <w:r>
              <w:rPr>
                <w:position w:val="-10"/>
                <w:sz w:val="21"/>
              </w:rPr>
              <w:t>您</w:t>
            </w:r>
            <w:r>
              <w:rPr>
                <w:sz w:val="11"/>
              </w:rPr>
              <w:t>（1）</w:t>
            </w:r>
          </w:p>
        </w:tc>
        <w:tc>
          <w:tcPr>
            <w:tcW w:w="7874" w:type="dxa"/>
          </w:tcPr>
          <w:p>
            <w:pPr>
              <w:pStyle w:val="TableParagraph"/>
              <w:spacing w:line="235" w:lineRule="exact"/>
              <w:ind w:left="102"/>
              <w:rPr>
                <w:sz w:val="21"/>
              </w:rPr>
            </w:pPr>
            <w:r>
              <w:rPr>
                <w:sz w:val="21"/>
              </w:rPr>
              <w:t>：保险合同中所载明的投保人。</w:t>
            </w:r>
          </w:p>
        </w:tc>
      </w:tr>
      <w:tr>
        <w:trPr>
          <w:trHeight w:val="314" w:hRule="atLeast"/>
        </w:trPr>
        <w:tc>
          <w:tcPr>
            <w:tcW w:w="2053" w:type="dxa"/>
          </w:tcPr>
          <w:p>
            <w:pPr>
              <w:pStyle w:val="TableParagraph"/>
              <w:spacing w:line="274" w:lineRule="exact"/>
              <w:ind w:left="200"/>
              <w:rPr>
                <w:sz w:val="11"/>
              </w:rPr>
            </w:pPr>
            <w:r>
              <w:rPr>
                <w:position w:val="-10"/>
                <w:sz w:val="21"/>
              </w:rPr>
              <w:t>周岁</w:t>
            </w:r>
            <w:r>
              <w:rPr>
                <w:sz w:val="11"/>
              </w:rPr>
              <w:t>（2）</w:t>
            </w:r>
          </w:p>
        </w:tc>
        <w:tc>
          <w:tcPr>
            <w:tcW w:w="7874" w:type="dxa"/>
          </w:tcPr>
          <w:p>
            <w:pPr>
              <w:pStyle w:val="TableParagraph"/>
              <w:spacing w:line="275" w:lineRule="exact"/>
              <w:ind w:left="103"/>
              <w:rPr>
                <w:sz w:val="21"/>
              </w:rPr>
            </w:pPr>
            <w:r>
              <w:rPr>
                <w:sz w:val="21"/>
              </w:rPr>
              <w:t>：以有效身份证件中记载的出生日期为计算基础。</w:t>
            </w:r>
          </w:p>
        </w:tc>
      </w:tr>
      <w:tr>
        <w:trPr>
          <w:trHeight w:val="1397" w:hRule="atLeast"/>
        </w:trPr>
        <w:tc>
          <w:tcPr>
            <w:tcW w:w="2053" w:type="dxa"/>
          </w:tcPr>
          <w:p>
            <w:pPr>
              <w:pStyle w:val="TableParagraph"/>
              <w:spacing w:line="275" w:lineRule="exact"/>
              <w:ind w:left="200"/>
              <w:rPr>
                <w:sz w:val="11"/>
              </w:rPr>
            </w:pPr>
            <w:r>
              <w:rPr>
                <w:sz w:val="21"/>
              </w:rPr>
              <w:t>专科医生</w:t>
            </w:r>
            <w:r>
              <w:rPr>
                <w:position w:val="11"/>
                <w:sz w:val="11"/>
              </w:rPr>
              <w:t>（3）</w:t>
            </w:r>
          </w:p>
        </w:tc>
        <w:tc>
          <w:tcPr>
            <w:tcW w:w="7874" w:type="dxa"/>
          </w:tcPr>
          <w:p>
            <w:pPr>
              <w:pStyle w:val="TableParagraph"/>
              <w:spacing w:line="225" w:lineRule="auto" w:before="17"/>
              <w:ind w:left="314" w:right="303" w:hanging="212"/>
              <w:jc w:val="both"/>
              <w:rPr>
                <w:sz w:val="21"/>
              </w:rPr>
            </w:pPr>
            <w:r>
              <w:rPr>
                <w:spacing w:val="-13"/>
                <w:w w:val="100"/>
                <w:sz w:val="21"/>
              </w:rPr>
              <w:t>：专科医生应当同时满足以下四项资格条件：</w:t>
            </w:r>
            <w:r>
              <w:rPr>
                <w:spacing w:val="-1"/>
                <w:w w:val="100"/>
                <w:sz w:val="21"/>
              </w:rPr>
              <w:t>（</w:t>
            </w:r>
            <w:r>
              <w:rPr>
                <w:rFonts w:ascii="Times New Roman" w:eastAsia="Times New Roman"/>
                <w:spacing w:val="-3"/>
                <w:w w:val="100"/>
                <w:sz w:val="21"/>
              </w:rPr>
              <w:t>1</w:t>
            </w:r>
            <w:r>
              <w:rPr>
                <w:spacing w:val="-34"/>
                <w:w w:val="100"/>
                <w:sz w:val="21"/>
              </w:rPr>
              <w:t>）</w:t>
            </w:r>
            <w:r>
              <w:rPr>
                <w:spacing w:val="-6"/>
                <w:w w:val="100"/>
                <w:sz w:val="21"/>
              </w:rPr>
              <w:t>具有有效的中华人民共和国《医</w:t>
            </w:r>
            <w:r>
              <w:rPr>
                <w:spacing w:val="-33"/>
                <w:w w:val="100"/>
                <w:sz w:val="21"/>
              </w:rPr>
              <w:t>师资格证书》；</w:t>
            </w:r>
            <w:r>
              <w:rPr>
                <w:spacing w:val="-3"/>
                <w:w w:val="100"/>
                <w:sz w:val="21"/>
              </w:rPr>
              <w:t>（</w:t>
            </w:r>
            <w:r>
              <w:rPr>
                <w:rFonts w:ascii="Times New Roman" w:eastAsia="Times New Roman"/>
                <w:spacing w:val="-3"/>
                <w:w w:val="100"/>
                <w:sz w:val="21"/>
              </w:rPr>
              <w:t>2</w:t>
            </w:r>
            <w:r>
              <w:rPr>
                <w:spacing w:val="-32"/>
                <w:w w:val="100"/>
                <w:sz w:val="21"/>
              </w:rPr>
              <w:t>）</w:t>
            </w:r>
            <w:r>
              <w:rPr>
                <w:spacing w:val="-13"/>
                <w:w w:val="100"/>
                <w:sz w:val="21"/>
              </w:rPr>
              <w:t>具有有效的中华人民共和国《医师执业证书》，并按期到相关</w:t>
            </w:r>
            <w:r>
              <w:rPr>
                <w:spacing w:val="-18"/>
                <w:w w:val="100"/>
                <w:sz w:val="21"/>
              </w:rPr>
              <w:t>部门登记注册；</w:t>
            </w:r>
            <w:r>
              <w:rPr>
                <w:w w:val="100"/>
                <w:sz w:val="21"/>
              </w:rPr>
              <w:t>（</w:t>
            </w:r>
            <w:r>
              <w:rPr>
                <w:rFonts w:ascii="Times New Roman" w:eastAsia="Times New Roman"/>
                <w:spacing w:val="-3"/>
                <w:w w:val="100"/>
                <w:sz w:val="21"/>
              </w:rPr>
              <w:t>3</w:t>
            </w:r>
            <w:r>
              <w:rPr>
                <w:spacing w:val="-97"/>
                <w:w w:val="100"/>
                <w:sz w:val="21"/>
              </w:rPr>
              <w:t>）</w:t>
            </w:r>
            <w:r>
              <w:rPr>
                <w:spacing w:val="-3"/>
                <w:w w:val="100"/>
                <w:sz w:val="21"/>
              </w:rPr>
              <w:t>具有有效的中华人民共和国主治医师或主治医师以上职称的</w:t>
            </w:r>
          </w:p>
          <w:p>
            <w:pPr>
              <w:pStyle w:val="TableParagraph"/>
              <w:spacing w:line="225" w:lineRule="auto"/>
              <w:ind w:left="314" w:right="301"/>
              <w:rPr>
                <w:sz w:val="21"/>
              </w:rPr>
            </w:pPr>
            <w:r>
              <w:rPr>
                <w:spacing w:val="-26"/>
                <w:w w:val="100"/>
                <w:sz w:val="21"/>
              </w:rPr>
              <w:t>《医师职称证书》；</w:t>
            </w:r>
            <w:r>
              <w:rPr>
                <w:spacing w:val="-3"/>
                <w:w w:val="100"/>
                <w:sz w:val="21"/>
              </w:rPr>
              <w:t>（</w:t>
            </w:r>
            <w:r>
              <w:rPr>
                <w:rFonts w:ascii="Times New Roman" w:eastAsia="Times New Roman"/>
                <w:w w:val="100"/>
                <w:sz w:val="21"/>
              </w:rPr>
              <w:t>4</w:t>
            </w:r>
            <w:r>
              <w:rPr>
                <w:w w:val="100"/>
                <w:sz w:val="21"/>
              </w:rPr>
              <w:t>）</w:t>
            </w:r>
            <w:r>
              <w:rPr>
                <w:spacing w:val="-3"/>
                <w:w w:val="100"/>
                <w:sz w:val="21"/>
              </w:rPr>
              <w:t>在二级或二级以上医院的相应科室从事临床工作三年以</w:t>
            </w:r>
            <w:r>
              <w:rPr>
                <w:spacing w:val="-3"/>
                <w:sz w:val="21"/>
              </w:rPr>
              <w:t>上。</w:t>
            </w:r>
          </w:p>
        </w:tc>
      </w:tr>
      <w:tr>
        <w:trPr>
          <w:trHeight w:val="1898" w:hRule="atLeast"/>
        </w:trPr>
        <w:tc>
          <w:tcPr>
            <w:tcW w:w="2053" w:type="dxa"/>
          </w:tcPr>
          <w:p>
            <w:pPr>
              <w:pStyle w:val="TableParagraph"/>
              <w:spacing w:line="241" w:lineRule="exact"/>
              <w:ind w:left="200"/>
              <w:rPr>
                <w:b/>
                <w:sz w:val="21"/>
              </w:rPr>
            </w:pPr>
            <w:r>
              <w:rPr>
                <w:b/>
                <w:sz w:val="21"/>
              </w:rPr>
              <w:t>符合条件的医疗机</w:t>
            </w:r>
          </w:p>
          <w:p>
            <w:pPr>
              <w:pStyle w:val="TableParagraph"/>
              <w:spacing w:line="274" w:lineRule="exact"/>
              <w:ind w:left="200"/>
              <w:rPr>
                <w:b/>
                <w:sz w:val="11"/>
              </w:rPr>
            </w:pPr>
            <w:r>
              <w:rPr>
                <w:b/>
                <w:position w:val="-10"/>
                <w:sz w:val="21"/>
              </w:rPr>
              <w:t>构</w:t>
            </w:r>
            <w:r>
              <w:rPr>
                <w:b/>
                <w:sz w:val="11"/>
              </w:rPr>
              <w:t>（4）</w:t>
            </w:r>
          </w:p>
        </w:tc>
        <w:tc>
          <w:tcPr>
            <w:tcW w:w="7874" w:type="dxa"/>
          </w:tcPr>
          <w:p>
            <w:pPr>
              <w:pStyle w:val="TableParagraph"/>
              <w:spacing w:line="242" w:lineRule="exact"/>
              <w:ind w:left="103"/>
              <w:rPr>
                <w:b/>
                <w:sz w:val="21"/>
              </w:rPr>
            </w:pPr>
            <w:r>
              <w:rPr>
                <w:b/>
                <w:sz w:val="21"/>
              </w:rPr>
              <w:t>：是指符合下列所有条件之中国境内机构：</w:t>
            </w:r>
          </w:p>
          <w:p>
            <w:pPr>
              <w:pStyle w:val="TableParagraph"/>
              <w:spacing w:line="272" w:lineRule="exact"/>
              <w:ind w:left="302"/>
              <w:rPr>
                <w:b/>
                <w:sz w:val="21"/>
              </w:rPr>
            </w:pPr>
            <w:r>
              <w:rPr>
                <w:b/>
                <w:sz w:val="21"/>
              </w:rPr>
              <w:t>1．拥有合法经营执照；</w:t>
            </w:r>
          </w:p>
          <w:p>
            <w:pPr>
              <w:pStyle w:val="TableParagraph"/>
              <w:spacing w:line="272" w:lineRule="exact"/>
              <w:ind w:left="302"/>
              <w:rPr>
                <w:b/>
                <w:sz w:val="21"/>
              </w:rPr>
            </w:pPr>
            <w:r>
              <w:rPr>
                <w:b/>
                <w:sz w:val="21"/>
              </w:rPr>
              <w:t>2．设立的主要目的为向受伤者和患病者提供住院治疗；</w:t>
            </w:r>
          </w:p>
          <w:p>
            <w:pPr>
              <w:pStyle w:val="TableParagraph"/>
              <w:spacing w:line="274" w:lineRule="exact"/>
              <w:ind w:left="302"/>
              <w:rPr>
                <w:b/>
                <w:sz w:val="21"/>
              </w:rPr>
            </w:pPr>
            <w:r>
              <w:rPr>
                <w:b/>
                <w:sz w:val="21"/>
              </w:rPr>
              <w:t>3．有合格的医生和护士提供全日 24 小时的医疗和护理服务；</w:t>
            </w:r>
          </w:p>
          <w:p>
            <w:pPr>
              <w:pStyle w:val="TableParagraph"/>
              <w:spacing w:line="274" w:lineRule="exact"/>
              <w:ind w:left="302"/>
              <w:rPr>
                <w:b/>
                <w:sz w:val="21"/>
              </w:rPr>
            </w:pPr>
            <w:r>
              <w:rPr>
                <w:b/>
                <w:sz w:val="21"/>
              </w:rPr>
              <w:t>4．非主要作为康复、护理、疗养、戒酒、戒毒、或类似的医疗机构；</w:t>
            </w:r>
          </w:p>
          <w:p>
            <w:pPr>
              <w:pStyle w:val="TableParagraph"/>
              <w:spacing w:line="272" w:lineRule="exact" w:before="27"/>
              <w:ind w:left="614" w:right="260" w:hanging="312"/>
              <w:rPr>
                <w:b/>
                <w:sz w:val="21"/>
              </w:rPr>
            </w:pPr>
            <w:r>
              <w:rPr>
                <w:b/>
                <w:sz w:val="21"/>
              </w:rPr>
              <w:t>5．为当地社会（基本）医疗保险机构指定或认可的二级或二级以上及同等级别的医院。</w:t>
            </w:r>
          </w:p>
        </w:tc>
      </w:tr>
      <w:tr>
        <w:trPr>
          <w:trHeight w:val="9592" w:hRule="atLeast"/>
        </w:trPr>
        <w:tc>
          <w:tcPr>
            <w:tcW w:w="2053" w:type="dxa"/>
          </w:tcPr>
          <w:p>
            <w:pPr>
              <w:pStyle w:val="TableParagraph"/>
              <w:spacing w:line="249" w:lineRule="exact"/>
              <w:ind w:left="200"/>
              <w:rPr>
                <w:sz w:val="11"/>
              </w:rPr>
            </w:pPr>
            <w:r>
              <w:rPr>
                <w:sz w:val="21"/>
              </w:rPr>
              <w:t>A类重大疾病</w:t>
            </w:r>
            <w:r>
              <w:rPr>
                <w:position w:val="11"/>
                <w:sz w:val="11"/>
              </w:rPr>
              <w:t>（5）</w:t>
            </w:r>
          </w:p>
        </w:tc>
        <w:tc>
          <w:tcPr>
            <w:tcW w:w="7874" w:type="dxa"/>
          </w:tcPr>
          <w:p>
            <w:pPr>
              <w:pStyle w:val="TableParagraph"/>
              <w:spacing w:line="225" w:lineRule="auto"/>
              <w:ind w:left="102" w:right="366"/>
              <w:rPr>
                <w:sz w:val="21"/>
              </w:rPr>
            </w:pPr>
            <w:r>
              <w:rPr>
                <w:sz w:val="21"/>
              </w:rPr>
              <w:t>：</w:t>
            </w:r>
            <w:r>
              <w:rPr>
                <w:rFonts w:ascii="Times New Roman" w:eastAsia="Times New Roman"/>
                <w:sz w:val="21"/>
              </w:rPr>
              <w:t>A </w:t>
            </w:r>
            <w:r>
              <w:rPr>
                <w:sz w:val="21"/>
              </w:rPr>
              <w:t>类重大疾病是指下列所定义的疾病或手术，不包括任何其他疾病或手术。被保险人发生符合以下疾病定义所述条件的疾病，应当由专科医生明确诊断。</w:t>
            </w:r>
          </w:p>
          <w:p>
            <w:pPr>
              <w:pStyle w:val="TableParagraph"/>
              <w:spacing w:before="12"/>
              <w:ind w:left="0"/>
              <w:rPr>
                <w:b/>
                <w:sz w:val="18"/>
              </w:rPr>
            </w:pPr>
          </w:p>
          <w:p>
            <w:pPr>
              <w:pStyle w:val="TableParagraph"/>
              <w:spacing w:line="282" w:lineRule="exact"/>
              <w:ind w:left="103"/>
              <w:rPr>
                <w:b/>
                <w:sz w:val="21"/>
              </w:rPr>
            </w:pPr>
            <w:r>
              <w:rPr>
                <w:rFonts w:ascii="Times New Roman" w:eastAsia="Times New Roman"/>
                <w:b/>
                <w:sz w:val="21"/>
              </w:rPr>
              <w:t>1</w:t>
            </w:r>
            <w:r>
              <w:rPr>
                <w:b/>
                <w:sz w:val="21"/>
              </w:rPr>
              <w:t>、急性心肌梗塞</w:t>
            </w:r>
          </w:p>
          <w:p>
            <w:pPr>
              <w:pStyle w:val="TableParagraph"/>
              <w:ind w:left="103" w:right="623"/>
              <w:rPr>
                <w:sz w:val="21"/>
              </w:rPr>
            </w:pPr>
            <w:r>
              <w:rPr>
                <w:sz w:val="21"/>
              </w:rPr>
              <w:t>指因冠状动脉阻塞导致的相应区域供血不足造成部分心肌坏死。须满足下列至少三项条件：</w:t>
            </w:r>
          </w:p>
          <w:p>
            <w:pPr>
              <w:pStyle w:val="TableParagraph"/>
              <w:spacing w:line="271" w:lineRule="exact" w:before="8"/>
              <w:ind w:left="102"/>
              <w:rPr>
                <w:sz w:val="21"/>
              </w:rPr>
            </w:pPr>
            <w:r>
              <w:rPr>
                <w:sz w:val="21"/>
              </w:rPr>
              <w:t>（1）典型临床表现，例如急性胸痛等；</w:t>
            </w:r>
          </w:p>
          <w:p>
            <w:pPr>
              <w:pStyle w:val="TableParagraph"/>
              <w:spacing w:line="274" w:lineRule="exact"/>
              <w:ind w:left="102"/>
              <w:rPr>
                <w:sz w:val="21"/>
              </w:rPr>
            </w:pPr>
            <w:r>
              <w:rPr>
                <w:sz w:val="21"/>
              </w:rPr>
              <w:t>（2）新近的心电图改变提示急性心肌梗塞；</w:t>
            </w:r>
          </w:p>
          <w:p>
            <w:pPr>
              <w:pStyle w:val="TableParagraph"/>
              <w:ind w:left="102" w:right="522"/>
              <w:rPr>
                <w:sz w:val="21"/>
              </w:rPr>
            </w:pPr>
            <w:r>
              <w:rPr>
                <w:sz w:val="21"/>
              </w:rPr>
              <w:t>（3）心肌酶或肌钙蛋白有诊断意义的升高，或呈符合急性心肌梗塞的动态性变化；</w:t>
            </w:r>
          </w:p>
          <w:p>
            <w:pPr>
              <w:pStyle w:val="TableParagraph"/>
              <w:spacing w:line="271" w:lineRule="exact"/>
              <w:ind w:left="102"/>
              <w:rPr>
                <w:sz w:val="21"/>
              </w:rPr>
            </w:pPr>
            <w:r>
              <w:rPr>
                <w:sz w:val="21"/>
              </w:rPr>
              <w:t>（4）发病90 天后，经检查证实左心室功能降低，如左心室射血分数低于50。</w:t>
            </w:r>
          </w:p>
          <w:p>
            <w:pPr>
              <w:pStyle w:val="TableParagraph"/>
              <w:spacing w:before="11"/>
              <w:ind w:left="0"/>
              <w:rPr>
                <w:b/>
                <w:sz w:val="20"/>
              </w:rPr>
            </w:pPr>
          </w:p>
          <w:p>
            <w:pPr>
              <w:pStyle w:val="TableParagraph"/>
              <w:spacing w:line="282" w:lineRule="exact"/>
              <w:ind w:left="103"/>
              <w:rPr>
                <w:b/>
                <w:sz w:val="21"/>
              </w:rPr>
            </w:pPr>
            <w:r>
              <w:rPr>
                <w:rFonts w:ascii="Times New Roman" w:eastAsia="Times New Roman"/>
                <w:b/>
                <w:sz w:val="21"/>
              </w:rPr>
              <w:t>2</w:t>
            </w:r>
            <w:r>
              <w:rPr>
                <w:b/>
                <w:sz w:val="21"/>
              </w:rPr>
              <w:t>、重大器官移植术或造血干细胞移植术</w:t>
            </w:r>
          </w:p>
          <w:p>
            <w:pPr>
              <w:pStyle w:val="TableParagraph"/>
              <w:spacing w:line="237" w:lineRule="auto"/>
              <w:ind w:left="103" w:right="623"/>
              <w:rPr>
                <w:sz w:val="21"/>
              </w:rPr>
            </w:pPr>
            <w:r>
              <w:rPr>
                <w:sz w:val="21"/>
              </w:rPr>
              <w:t>重大器官移植术，指因相应器官功能衰竭，已经实施了肾脏、肝脏、心脏或肺脏的异体移植手术。</w:t>
            </w:r>
          </w:p>
          <w:p>
            <w:pPr>
              <w:pStyle w:val="TableParagraph"/>
              <w:spacing w:before="4"/>
              <w:ind w:left="103" w:right="623"/>
              <w:jc w:val="both"/>
              <w:rPr>
                <w:sz w:val="21"/>
              </w:rPr>
            </w:pPr>
            <w:r>
              <w:rPr>
                <w:sz w:val="21"/>
              </w:rPr>
              <w:t>造血干细胞移植术，指因造血功能损害或造血系统恶性肿瘤，已经实施了造血干细胞（包括骨髓造血干细胞、外周血造血干细胞和脐血造血干细胞）的异体移植手术。</w:t>
            </w:r>
          </w:p>
          <w:p>
            <w:pPr>
              <w:pStyle w:val="TableParagraph"/>
              <w:spacing w:before="8"/>
              <w:ind w:left="0"/>
              <w:rPr>
                <w:b/>
                <w:sz w:val="20"/>
              </w:rPr>
            </w:pPr>
          </w:p>
          <w:p>
            <w:pPr>
              <w:pStyle w:val="TableParagraph"/>
              <w:ind w:left="103"/>
              <w:rPr>
                <w:b/>
                <w:sz w:val="21"/>
              </w:rPr>
            </w:pPr>
            <w:r>
              <w:rPr>
                <w:b/>
                <w:sz w:val="21"/>
              </w:rPr>
              <w:t>3、冠状动脉搭桥术（或称冠状动脉旁路移植术）</w:t>
            </w:r>
          </w:p>
          <w:p>
            <w:pPr>
              <w:pStyle w:val="TableParagraph"/>
              <w:spacing w:line="237" w:lineRule="auto" w:before="80"/>
              <w:ind w:left="103" w:right="198"/>
              <w:rPr>
                <w:rFonts w:ascii="黑体" w:eastAsia="黑体" w:hint="eastAsia"/>
                <w:b/>
                <w:sz w:val="21"/>
              </w:rPr>
            </w:pPr>
            <w:r>
              <w:rPr>
                <w:spacing w:val="-3"/>
                <w:sz w:val="21"/>
              </w:rPr>
              <w:t>指为治疗严重的冠心病，实际实施了开胸进行的冠状动脉血管旁路移植的手术。 </w:t>
            </w: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p>
            <w:pPr>
              <w:pStyle w:val="TableParagraph"/>
              <w:spacing w:before="2"/>
              <w:ind w:left="0"/>
              <w:rPr>
                <w:b/>
                <w:sz w:val="18"/>
              </w:rPr>
            </w:pPr>
          </w:p>
          <w:p>
            <w:pPr>
              <w:pStyle w:val="TableParagraph"/>
              <w:spacing w:line="274" w:lineRule="exact"/>
              <w:ind w:left="103"/>
              <w:rPr>
                <w:b/>
                <w:sz w:val="21"/>
              </w:rPr>
            </w:pPr>
            <w:r>
              <w:rPr>
                <w:b/>
                <w:sz w:val="21"/>
              </w:rPr>
              <w:t>4、终末期肾病（或称慢性肾功能衰竭尿毒症期）</w:t>
            </w:r>
          </w:p>
          <w:p>
            <w:pPr>
              <w:pStyle w:val="TableParagraph"/>
              <w:ind w:left="103" w:right="831"/>
              <w:rPr>
                <w:sz w:val="21"/>
              </w:rPr>
            </w:pPr>
            <w:r>
              <w:rPr>
                <w:sz w:val="21"/>
              </w:rPr>
              <w:t>指双肾功能慢性不可逆性衰竭，达到尿毒症期，经诊断后已经进行了至少90 天的规律性透析治疗或实施了肾脏移植手术。</w:t>
            </w:r>
          </w:p>
          <w:p>
            <w:pPr>
              <w:pStyle w:val="TableParagraph"/>
              <w:spacing w:before="9"/>
              <w:ind w:left="0"/>
              <w:rPr>
                <w:b/>
                <w:sz w:val="20"/>
              </w:rPr>
            </w:pPr>
          </w:p>
          <w:p>
            <w:pPr>
              <w:pStyle w:val="TableParagraph"/>
              <w:spacing w:line="274" w:lineRule="exact"/>
              <w:ind w:left="103"/>
              <w:rPr>
                <w:b/>
                <w:sz w:val="21"/>
              </w:rPr>
            </w:pPr>
            <w:r>
              <w:rPr>
                <w:b/>
                <w:sz w:val="21"/>
              </w:rPr>
              <w:t>5.多个肢体缺失</w:t>
            </w:r>
          </w:p>
          <w:p>
            <w:pPr>
              <w:pStyle w:val="TableParagraph"/>
              <w:ind w:left="103" w:right="302"/>
              <w:rPr>
                <w:sz w:val="21"/>
              </w:rPr>
            </w:pPr>
            <w:r>
              <w:rPr>
                <w:sz w:val="21"/>
              </w:rPr>
              <w:t>指因疾病或意外伤害导致两个或两个以上肢体自腕关节或踝关节近端（靠近躯干端）以上完全性断离。</w:t>
            </w:r>
          </w:p>
          <w:p>
            <w:pPr>
              <w:pStyle w:val="TableParagraph"/>
              <w:spacing w:before="4"/>
              <w:ind w:left="0"/>
              <w:rPr>
                <w:b/>
                <w:sz w:val="18"/>
              </w:rPr>
            </w:pPr>
          </w:p>
          <w:p>
            <w:pPr>
              <w:pStyle w:val="TableParagraph"/>
              <w:ind w:left="103"/>
              <w:rPr>
                <w:b/>
                <w:sz w:val="21"/>
              </w:rPr>
            </w:pPr>
            <w:r>
              <w:rPr>
                <w:b/>
                <w:sz w:val="21"/>
              </w:rPr>
              <w:t>6.急性或亚急性重症肝炎</w:t>
            </w:r>
          </w:p>
          <w:p>
            <w:pPr>
              <w:pStyle w:val="TableParagraph"/>
              <w:spacing w:line="272" w:lineRule="exact" w:before="105"/>
              <w:ind w:left="102" w:right="302"/>
              <w:rPr>
                <w:sz w:val="21"/>
              </w:rPr>
            </w:pPr>
            <w:r>
              <w:rPr>
                <w:spacing w:val="-8"/>
                <w:sz w:val="21"/>
              </w:rPr>
              <w:t>指因肝炎病毒感染引起肝脏组织弥漫性坏死，导致急性肝功能衰竭，且经血清学或</w:t>
            </w:r>
            <w:r>
              <w:rPr>
                <w:spacing w:val="-5"/>
                <w:sz w:val="21"/>
              </w:rPr>
              <w:t>病毒学检查证实，并须满足下列全部条件：</w:t>
            </w:r>
          </w:p>
        </w:tc>
      </w:tr>
    </w:tbl>
    <w:p>
      <w:pPr>
        <w:spacing w:after="0" w:line="272" w:lineRule="exact"/>
        <w:rPr>
          <w:sz w:val="21"/>
        </w:rPr>
        <w:sectPr>
          <w:pgSz w:w="11910" w:h="16840"/>
          <w:pgMar w:header="0" w:footer="466" w:top="1580" w:bottom="740" w:left="940" w:right="820"/>
        </w:sectPr>
      </w:pPr>
    </w:p>
    <w:p>
      <w:pPr>
        <w:pStyle w:val="ListParagraph"/>
        <w:numPr>
          <w:ilvl w:val="2"/>
          <w:numId w:val="2"/>
        </w:numPr>
        <w:tabs>
          <w:tab w:pos="2549" w:val="left" w:leader="none"/>
        </w:tabs>
        <w:spacing w:line="240" w:lineRule="auto" w:before="25" w:after="0"/>
        <w:ind w:left="2548" w:right="0" w:hanging="746"/>
        <w:jc w:val="both"/>
        <w:rPr>
          <w:sz w:val="21"/>
        </w:rPr>
      </w:pPr>
      <w:r>
        <w:rPr>
          <w:spacing w:val="-3"/>
          <w:sz w:val="21"/>
        </w:rPr>
        <w:t>重度黄疸或黄疸迅速加重；</w:t>
      </w:r>
    </w:p>
    <w:p>
      <w:pPr>
        <w:pStyle w:val="ListParagraph"/>
        <w:numPr>
          <w:ilvl w:val="2"/>
          <w:numId w:val="2"/>
        </w:numPr>
        <w:tabs>
          <w:tab w:pos="2549" w:val="left" w:leader="none"/>
        </w:tabs>
        <w:spacing w:line="240" w:lineRule="auto" w:before="60" w:after="0"/>
        <w:ind w:left="2548" w:right="0" w:hanging="746"/>
        <w:jc w:val="both"/>
        <w:rPr>
          <w:sz w:val="21"/>
        </w:rPr>
      </w:pPr>
      <w:r>
        <w:rPr>
          <w:spacing w:val="-1"/>
          <w:sz w:val="21"/>
        </w:rPr>
        <w:t>肝性脑病；</w:t>
      </w:r>
    </w:p>
    <w:p>
      <w:pPr>
        <w:pStyle w:val="ListParagraph"/>
        <w:numPr>
          <w:ilvl w:val="2"/>
          <w:numId w:val="2"/>
        </w:numPr>
        <w:tabs>
          <w:tab w:pos="2550" w:val="left" w:leader="none"/>
        </w:tabs>
        <w:spacing w:line="282" w:lineRule="exact" w:before="60" w:after="0"/>
        <w:ind w:left="2549" w:right="0" w:hanging="747"/>
        <w:jc w:val="both"/>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2"/>
        </w:numPr>
        <w:tabs>
          <w:tab w:pos="2550" w:val="left" w:leader="none"/>
        </w:tabs>
        <w:spacing w:line="282" w:lineRule="exact" w:before="0" w:after="0"/>
        <w:ind w:left="2549" w:right="0" w:hanging="747"/>
        <w:jc w:val="both"/>
        <w:rPr>
          <w:sz w:val="21"/>
        </w:rPr>
      </w:pPr>
      <w:r>
        <w:rPr>
          <w:spacing w:val="-3"/>
          <w:sz w:val="21"/>
        </w:rPr>
        <w:t>肝功能指标进行性恶化。</w:t>
      </w:r>
    </w:p>
    <w:p>
      <w:pPr>
        <w:pStyle w:val="BodyText"/>
        <w:spacing w:before="1"/>
        <w:rPr>
          <w:sz w:val="17"/>
        </w:rPr>
      </w:pPr>
    </w:p>
    <w:p>
      <w:pPr>
        <w:pStyle w:val="Heading3"/>
        <w:jc w:val="both"/>
        <w:rPr>
          <w:rFonts w:ascii="宋体" w:eastAsia="宋体" w:hint="eastAsia"/>
        </w:rPr>
      </w:pPr>
      <w:r>
        <w:rPr>
          <w:rFonts w:ascii="宋体" w:eastAsia="宋体" w:hint="eastAsia"/>
        </w:rPr>
        <w:t>7.良性脑肿瘤</w:t>
      </w:r>
    </w:p>
    <w:p>
      <w:pPr>
        <w:pStyle w:val="BodyText"/>
        <w:spacing w:line="237" w:lineRule="auto" w:before="80"/>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before="1"/>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3"/>
        </w:numPr>
        <w:tabs>
          <w:tab w:pos="2549" w:val="left" w:leader="none"/>
        </w:tabs>
        <w:spacing w:line="240" w:lineRule="auto" w:before="78" w:after="0"/>
        <w:ind w:left="2548" w:right="0" w:hanging="746"/>
        <w:jc w:val="both"/>
        <w:rPr>
          <w:sz w:val="21"/>
        </w:rPr>
      </w:pPr>
      <w:r>
        <w:rPr>
          <w:spacing w:val="-3"/>
          <w:sz w:val="21"/>
        </w:rPr>
        <w:t>实际实施了开颅进行的脑肿瘤完全切除或部分切除的手术；</w:t>
      </w:r>
    </w:p>
    <w:p>
      <w:pPr>
        <w:pStyle w:val="ListParagraph"/>
        <w:numPr>
          <w:ilvl w:val="0"/>
          <w:numId w:val="3"/>
        </w:numPr>
        <w:tabs>
          <w:tab w:pos="2549" w:val="left" w:leader="none"/>
        </w:tabs>
        <w:spacing w:line="282" w:lineRule="exact" w:before="60" w:after="0"/>
        <w:ind w:left="2548" w:right="0" w:hanging="746"/>
        <w:jc w:val="both"/>
        <w:rPr>
          <w:sz w:val="21"/>
        </w:rPr>
      </w:pPr>
      <w:r>
        <w:rPr>
          <w:spacing w:val="-3"/>
          <w:sz w:val="21"/>
        </w:rPr>
        <w:t>实际实施了对脑肿瘤进行的放射治疗。</w:t>
      </w:r>
    </w:p>
    <w:p>
      <w:pPr>
        <w:pStyle w:val="Heading3"/>
        <w:spacing w:line="267" w:lineRule="exact"/>
        <w:jc w:val="both"/>
      </w:pPr>
      <w:r>
        <w:rPr/>
        <w:t>脑垂体瘤、脑囊肿、脑血管性疾病不在保障范围内。</w:t>
      </w:r>
    </w:p>
    <w:p>
      <w:pPr>
        <w:pStyle w:val="BodyText"/>
        <w:spacing w:before="3"/>
        <w:rPr>
          <w:rFonts w:ascii="黑体"/>
          <w:b/>
          <w:sz w:val="18"/>
        </w:rPr>
      </w:pPr>
    </w:p>
    <w:p>
      <w:pPr>
        <w:spacing w:before="0"/>
        <w:ind w:left="1802" w:right="0" w:firstLine="0"/>
        <w:jc w:val="both"/>
        <w:rPr>
          <w:b/>
          <w:sz w:val="21"/>
        </w:rPr>
      </w:pPr>
      <w:r>
        <w:rPr>
          <w:b/>
          <w:sz w:val="21"/>
        </w:rPr>
        <w:t>8.慢性肝功能衰竭失代偿期</w:t>
      </w:r>
    </w:p>
    <w:p>
      <w:pPr>
        <w:pStyle w:val="BodyText"/>
        <w:spacing w:before="77"/>
        <w:ind w:left="1802"/>
        <w:jc w:val="both"/>
      </w:pPr>
      <w:r>
        <w:rPr/>
        <w:t>指因慢性肝脏疾病导致肝功能衰竭。须满足下列全部条件：</w:t>
      </w:r>
    </w:p>
    <w:p>
      <w:pPr>
        <w:pStyle w:val="ListParagraph"/>
        <w:numPr>
          <w:ilvl w:val="0"/>
          <w:numId w:val="4"/>
        </w:numPr>
        <w:tabs>
          <w:tab w:pos="2549" w:val="left" w:leader="none"/>
        </w:tabs>
        <w:spacing w:line="240" w:lineRule="auto" w:before="75" w:after="0"/>
        <w:ind w:left="2548" w:right="0" w:hanging="746"/>
        <w:jc w:val="both"/>
        <w:rPr>
          <w:sz w:val="21"/>
        </w:rPr>
      </w:pPr>
      <w:r>
        <w:rPr>
          <w:spacing w:val="-2"/>
          <w:sz w:val="21"/>
        </w:rPr>
        <w:t>持续性黄疸；</w:t>
      </w:r>
    </w:p>
    <w:p>
      <w:pPr>
        <w:pStyle w:val="ListParagraph"/>
        <w:numPr>
          <w:ilvl w:val="0"/>
          <w:numId w:val="4"/>
        </w:numPr>
        <w:tabs>
          <w:tab w:pos="2549" w:val="left" w:leader="none"/>
        </w:tabs>
        <w:spacing w:line="240" w:lineRule="auto" w:before="60" w:after="0"/>
        <w:ind w:left="2548" w:right="0" w:hanging="746"/>
        <w:jc w:val="both"/>
        <w:rPr>
          <w:sz w:val="21"/>
        </w:rPr>
      </w:pPr>
      <w:r>
        <w:rPr>
          <w:sz w:val="21"/>
        </w:rPr>
        <w:t>腹水；</w:t>
      </w:r>
    </w:p>
    <w:p>
      <w:pPr>
        <w:pStyle w:val="ListParagraph"/>
        <w:numPr>
          <w:ilvl w:val="0"/>
          <w:numId w:val="4"/>
        </w:numPr>
        <w:tabs>
          <w:tab w:pos="2549" w:val="left" w:leader="none"/>
        </w:tabs>
        <w:spacing w:line="240" w:lineRule="auto" w:before="62" w:after="0"/>
        <w:ind w:left="2548" w:right="0" w:hanging="746"/>
        <w:jc w:val="both"/>
        <w:rPr>
          <w:sz w:val="21"/>
        </w:rPr>
      </w:pPr>
      <w:r>
        <w:rPr>
          <w:spacing w:val="-1"/>
          <w:sz w:val="21"/>
        </w:rPr>
        <w:t>肝性脑病；</w:t>
      </w:r>
    </w:p>
    <w:p>
      <w:pPr>
        <w:pStyle w:val="ListParagraph"/>
        <w:numPr>
          <w:ilvl w:val="0"/>
          <w:numId w:val="4"/>
        </w:numPr>
        <w:tabs>
          <w:tab w:pos="2550" w:val="left" w:leader="none"/>
        </w:tabs>
        <w:spacing w:line="281" w:lineRule="exact" w:before="60" w:after="0"/>
        <w:ind w:left="2549" w:right="0" w:hanging="747"/>
        <w:jc w:val="both"/>
        <w:rPr>
          <w:sz w:val="21"/>
        </w:rPr>
      </w:pPr>
      <w:r>
        <w:rPr>
          <w:spacing w:val="-3"/>
          <w:sz w:val="21"/>
        </w:rPr>
        <w:t>充血性脾肿大伴脾功能亢进或食管胃底静脉曲张。</w:t>
      </w:r>
    </w:p>
    <w:p>
      <w:pPr>
        <w:pStyle w:val="Heading3"/>
        <w:spacing w:line="266" w:lineRule="exact"/>
        <w:jc w:val="both"/>
      </w:pPr>
      <w:r>
        <w:rPr/>
        <w:t>因酗酒或药物滥用导致的肝功能衰竭不在保障范围内。</w:t>
      </w:r>
    </w:p>
    <w:p>
      <w:pPr>
        <w:pStyle w:val="BodyText"/>
        <w:spacing w:before="3"/>
        <w:rPr>
          <w:rFonts w:ascii="黑体"/>
          <w:b/>
          <w:sz w:val="18"/>
        </w:rPr>
      </w:pPr>
    </w:p>
    <w:p>
      <w:pPr>
        <w:spacing w:line="241" w:lineRule="exact" w:before="0"/>
        <w:ind w:left="1802" w:right="0" w:firstLine="0"/>
        <w:jc w:val="both"/>
        <w:rPr>
          <w:b/>
          <w:sz w:val="21"/>
        </w:rPr>
      </w:pPr>
      <w:r>
        <w:rPr>
          <w:b/>
          <w:sz w:val="21"/>
        </w:rPr>
        <w:t>9.双耳失聪</w:t>
      </w:r>
    </w:p>
    <w:p>
      <w:pPr>
        <w:pStyle w:val="BodyText"/>
        <w:spacing w:line="223" w:lineRule="auto"/>
        <w:ind w:left="1802" w:right="215" w:hanging="1"/>
        <w:jc w:val="both"/>
      </w:pPr>
      <w:r>
        <w:rPr>
          <w:spacing w:val="-3"/>
        </w:rPr>
        <w:t>指因疾病或意外伤害导致双耳听力</w:t>
      </w:r>
      <w:r>
        <w:rPr>
          <w:rFonts w:ascii="Microsoft JhengHei" w:eastAsia="Microsoft JhengHei" w:hint="eastAsia"/>
          <w:b/>
          <w:spacing w:val="-2"/>
        </w:rPr>
        <w:t>永久不可逆</w:t>
      </w:r>
      <w:r>
        <w:rPr>
          <w:position w:val="11"/>
          <w:sz w:val="11"/>
        </w:rPr>
        <w:t>（16）</w:t>
      </w:r>
      <w:r>
        <w:rPr>
          <w:spacing w:val="-7"/>
        </w:rPr>
        <w:t>性丧失，在 </w:t>
      </w:r>
      <w:r>
        <w:rPr>
          <w:rFonts w:ascii="Arial" w:eastAsia="Arial"/>
        </w:rPr>
        <w:t>500 </w:t>
      </w:r>
      <w:r>
        <w:rPr>
          <w:spacing w:val="-2"/>
        </w:rPr>
        <w:t>赫兹、</w:t>
      </w:r>
      <w:r>
        <w:rPr>
          <w:rFonts w:ascii="Arial" w:eastAsia="Arial"/>
        </w:rPr>
        <w:t>1000 </w:t>
      </w:r>
      <w:r>
        <w:rPr/>
        <w:t>赫</w:t>
      </w:r>
      <w:r>
        <w:rPr>
          <w:spacing w:val="-12"/>
        </w:rPr>
        <w:t>兹和 </w:t>
      </w:r>
      <w:r>
        <w:rPr>
          <w:rFonts w:ascii="Arial" w:eastAsia="Arial"/>
        </w:rPr>
        <w:t>2000 </w:t>
      </w:r>
      <w:r>
        <w:rPr>
          <w:spacing w:val="-6"/>
        </w:rPr>
        <w:t>赫兹语音频率下，平均听阈大于 </w:t>
      </w:r>
      <w:r>
        <w:rPr>
          <w:rFonts w:ascii="Arial" w:eastAsia="Arial"/>
        </w:rPr>
        <w:t>90 </w:t>
      </w:r>
      <w:r>
        <w:rPr>
          <w:spacing w:val="-3"/>
        </w:rPr>
        <w:t>分贝，且经纯音听力测试、声导抗检测或听觉诱发电位检测等证实。</w:t>
      </w:r>
    </w:p>
    <w:p>
      <w:pPr>
        <w:pStyle w:val="BodyText"/>
        <w:spacing w:before="12"/>
        <w:rPr>
          <w:sz w:val="18"/>
        </w:rPr>
      </w:pPr>
    </w:p>
    <w:p>
      <w:pPr>
        <w:pStyle w:val="Heading3"/>
        <w:rPr>
          <w:rFonts w:ascii="宋体" w:eastAsia="宋体" w:hint="eastAsia"/>
        </w:rPr>
      </w:pPr>
      <w:r>
        <w:rPr>
          <w:rFonts w:ascii="宋体" w:eastAsia="宋体" w:hint="eastAsia"/>
        </w:rPr>
        <w:t>10.双目失明</w:t>
      </w:r>
    </w:p>
    <w:p>
      <w:pPr>
        <w:pStyle w:val="BodyText"/>
        <w:spacing w:line="237" w:lineRule="auto" w:before="80"/>
        <w:ind w:left="1802" w:right="212"/>
      </w:pPr>
      <w:r>
        <w:rPr>
          <w:spacing w:val="-7"/>
        </w:rPr>
        <w:t>指因疾病或意外伤害导致双眼视力永久不可逆性丧失，双眼中较好眼须满足下列至</w:t>
      </w:r>
      <w:r>
        <w:rPr>
          <w:spacing w:val="-5"/>
        </w:rPr>
        <w:t>少一项条件：</w:t>
      </w:r>
    </w:p>
    <w:p>
      <w:pPr>
        <w:pStyle w:val="ListParagraph"/>
        <w:numPr>
          <w:ilvl w:val="0"/>
          <w:numId w:val="5"/>
        </w:numPr>
        <w:tabs>
          <w:tab w:pos="2548" w:val="left" w:leader="none"/>
          <w:tab w:pos="2549" w:val="left" w:leader="none"/>
        </w:tabs>
        <w:spacing w:line="240" w:lineRule="auto" w:before="77" w:after="0"/>
        <w:ind w:left="2522" w:right="0" w:hanging="720"/>
        <w:jc w:val="left"/>
        <w:rPr>
          <w:sz w:val="21"/>
        </w:rPr>
      </w:pPr>
      <w:r>
        <w:rPr>
          <w:spacing w:val="-3"/>
          <w:sz w:val="21"/>
        </w:rPr>
        <w:t>眼球缺失或摘除；</w:t>
      </w:r>
    </w:p>
    <w:p>
      <w:pPr>
        <w:pStyle w:val="ListParagraph"/>
        <w:numPr>
          <w:ilvl w:val="0"/>
          <w:numId w:val="5"/>
        </w:numPr>
        <w:tabs>
          <w:tab w:pos="2533" w:val="left" w:leader="none"/>
        </w:tabs>
        <w:spacing w:line="225" w:lineRule="auto" w:before="77" w:after="0"/>
        <w:ind w:left="2522" w:right="215"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5"/>
        </w:numPr>
        <w:tabs>
          <w:tab w:pos="2548" w:val="left" w:leader="none"/>
          <w:tab w:pos="2549" w:val="left" w:leader="none"/>
        </w:tabs>
        <w:spacing w:line="288" w:lineRule="exact" w:before="0" w:after="0"/>
        <w:ind w:left="2522"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BodyText"/>
        <w:spacing w:before="2"/>
        <w:rPr>
          <w:sz w:val="17"/>
        </w:rPr>
      </w:pPr>
    </w:p>
    <w:p>
      <w:pPr>
        <w:pStyle w:val="Heading3"/>
        <w:spacing w:line="274" w:lineRule="exact"/>
        <w:rPr>
          <w:rFonts w:ascii="宋体" w:eastAsia="宋体" w:hint="eastAsia"/>
        </w:rPr>
      </w:pPr>
      <w:r>
        <w:rPr>
          <w:rFonts w:ascii="宋体" w:eastAsia="宋体" w:hint="eastAsia"/>
        </w:rPr>
        <w:t>11.瘫痪</w:t>
      </w:r>
    </w:p>
    <w:p>
      <w:pPr>
        <w:pStyle w:val="BodyText"/>
        <w:spacing w:line="232" w:lineRule="auto" w:before="7"/>
        <w:ind w:left="1802" w:right="212"/>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BodyText"/>
        <w:spacing w:before="2"/>
        <w:rPr>
          <w:sz w:val="18"/>
        </w:rPr>
      </w:pPr>
    </w:p>
    <w:p>
      <w:pPr>
        <w:pStyle w:val="Heading3"/>
        <w:spacing w:line="274" w:lineRule="exact" w:before="1"/>
        <w:rPr>
          <w:rFonts w:ascii="宋体" w:eastAsia="宋体" w:hint="eastAsia"/>
        </w:rPr>
      </w:pPr>
      <w:r>
        <w:rPr>
          <w:rFonts w:ascii="宋体" w:eastAsia="宋体" w:hint="eastAsia"/>
        </w:rPr>
        <w:t>12.心脏瓣膜手术</w:t>
      </w:r>
    </w:p>
    <w:p>
      <w:pPr>
        <w:pStyle w:val="BodyText"/>
        <w:spacing w:line="274" w:lineRule="exact"/>
        <w:ind w:left="1802"/>
      </w:pPr>
      <w:r>
        <w:rPr/>
        <w:t>指为治疗心脏瓣膜疾病，实际实施了开胸进行的心脏瓣膜置换或修复的手术。</w:t>
      </w:r>
    </w:p>
    <w:p>
      <w:pPr>
        <w:pStyle w:val="BodyText"/>
        <w:spacing w:before="3"/>
        <w:rPr>
          <w:sz w:val="18"/>
        </w:rPr>
      </w:pPr>
    </w:p>
    <w:p>
      <w:pPr>
        <w:pStyle w:val="Heading3"/>
        <w:rPr>
          <w:rFonts w:ascii="宋体" w:eastAsia="宋体" w:hint="eastAsia"/>
        </w:rPr>
      </w:pPr>
      <w:r>
        <w:rPr>
          <w:rFonts w:ascii="宋体" w:eastAsia="宋体" w:hint="eastAsia"/>
        </w:rPr>
        <w:t>13.严重阿尔茨海默病</w:t>
      </w:r>
    </w:p>
    <w:p>
      <w:pPr>
        <w:pStyle w:val="BodyText"/>
        <w:spacing w:line="235" w:lineRule="auto" w:before="83"/>
        <w:ind w:left="1802" w:right="213"/>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spacing w:after="0" w:line="235" w:lineRule="auto"/>
        <w:jc w:val="both"/>
        <w:sectPr>
          <w:pgSz w:w="11910" w:h="16840"/>
          <w:pgMar w:header="0" w:footer="466" w:top="1420" w:bottom="760" w:left="168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3"/>
        <w:gridCol w:w="8036"/>
      </w:tblGrid>
      <w:tr>
        <w:trPr>
          <w:trHeight w:val="9007" w:hRule="atLeast"/>
        </w:trPr>
        <w:tc>
          <w:tcPr>
            <w:tcW w:w="1893" w:type="dxa"/>
          </w:tcPr>
          <w:p>
            <w:pPr>
              <w:pStyle w:val="TableParagraph"/>
              <w:ind w:left="0"/>
              <w:rPr>
                <w:rFonts w:ascii="Times New Roman"/>
                <w:sz w:val="20"/>
              </w:rPr>
            </w:pPr>
          </w:p>
        </w:tc>
        <w:tc>
          <w:tcPr>
            <w:tcW w:w="8036" w:type="dxa"/>
          </w:tcPr>
          <w:p>
            <w:pPr>
              <w:pStyle w:val="TableParagraph"/>
              <w:spacing w:line="209" w:lineRule="exact"/>
              <w:ind w:left="263"/>
              <w:rPr>
                <w:rFonts w:ascii="黑体" w:eastAsia="黑体" w:hint="eastAsia"/>
                <w:b/>
                <w:sz w:val="21"/>
              </w:rPr>
            </w:pPr>
            <w:r>
              <w:rPr>
                <w:rFonts w:ascii="黑体" w:eastAsia="黑体" w:hint="eastAsia"/>
                <w:b/>
                <w:sz w:val="21"/>
              </w:rPr>
              <w:t>神经官能症和精神疾病不在保障范围内。</w:t>
            </w:r>
          </w:p>
          <w:p>
            <w:pPr>
              <w:pStyle w:val="TableParagraph"/>
              <w:spacing w:line="288" w:lineRule="exact"/>
              <w:ind w:left="263"/>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pStyle w:val="TableParagraph"/>
              <w:spacing w:before="1"/>
              <w:ind w:left="0"/>
              <w:rPr>
                <w:sz w:val="17"/>
              </w:rPr>
            </w:pPr>
          </w:p>
          <w:p>
            <w:pPr>
              <w:pStyle w:val="TableParagraph"/>
              <w:spacing w:line="274" w:lineRule="exact"/>
              <w:ind w:left="263"/>
              <w:rPr>
                <w:b/>
                <w:sz w:val="21"/>
              </w:rPr>
            </w:pPr>
            <w:r>
              <w:rPr>
                <w:b/>
                <w:sz w:val="21"/>
              </w:rPr>
              <w:t>14.严重Ⅲ度烧伤</w:t>
            </w:r>
          </w:p>
          <w:p>
            <w:pPr>
              <w:pStyle w:val="TableParagraph"/>
              <w:spacing w:line="225" w:lineRule="auto" w:before="16"/>
              <w:ind w:left="262" w:right="306"/>
              <w:rPr>
                <w:sz w:val="21"/>
              </w:rPr>
            </w:pPr>
            <w:r>
              <w:rPr>
                <w:spacing w:val="-7"/>
                <w:sz w:val="21"/>
              </w:rPr>
              <w:t>指烧伤程度为Ⅲ度，且Ⅲ度烧伤的面积达到全身体表面积的 </w:t>
            </w:r>
            <w:r>
              <w:rPr>
                <w:rFonts w:ascii="Arial" w:hAnsi="Arial" w:eastAsia="Arial"/>
                <w:sz w:val="21"/>
              </w:rPr>
              <w:t>20</w:t>
            </w:r>
            <w:r>
              <w:rPr>
                <w:spacing w:val="-14"/>
                <w:sz w:val="21"/>
              </w:rPr>
              <w:t>％或 </w:t>
            </w:r>
            <w:r>
              <w:rPr>
                <w:rFonts w:ascii="Arial" w:hAnsi="Arial" w:eastAsia="Arial"/>
                <w:sz w:val="21"/>
              </w:rPr>
              <w:t>20</w:t>
            </w:r>
            <w:r>
              <w:rPr>
                <w:spacing w:val="-6"/>
                <w:sz w:val="21"/>
              </w:rPr>
              <w:t>％以上。体</w:t>
            </w:r>
            <w:r>
              <w:rPr>
                <w:spacing w:val="-4"/>
                <w:sz w:val="21"/>
              </w:rPr>
              <w:t>表面积根据《中国新九分法》计算。</w:t>
            </w:r>
          </w:p>
          <w:p>
            <w:pPr>
              <w:pStyle w:val="TableParagraph"/>
              <w:spacing w:before="2"/>
              <w:ind w:left="0"/>
              <w:rPr>
                <w:sz w:val="18"/>
              </w:rPr>
            </w:pPr>
          </w:p>
          <w:p>
            <w:pPr>
              <w:pStyle w:val="TableParagraph"/>
              <w:spacing w:line="274" w:lineRule="exact" w:before="1"/>
              <w:ind w:left="263"/>
              <w:rPr>
                <w:b/>
                <w:sz w:val="21"/>
              </w:rPr>
            </w:pPr>
            <w:r>
              <w:rPr>
                <w:b/>
                <w:sz w:val="21"/>
              </w:rPr>
              <w:t>15.严重原发性肺动脉高压</w:t>
            </w:r>
          </w:p>
          <w:p>
            <w:pPr>
              <w:pStyle w:val="TableParagraph"/>
              <w:spacing w:line="232" w:lineRule="auto" w:before="7"/>
              <w:ind w:left="262" w:right="199"/>
              <w:rPr>
                <w:sz w:val="21"/>
              </w:rPr>
            </w:pPr>
            <w:r>
              <w:rPr>
                <w:spacing w:val="-8"/>
                <w:sz w:val="21"/>
              </w:rPr>
              <w:t>指不明原因的肺动脉压力持续性增高，进行性发展而导致的慢性疾病，已经造成永</w:t>
            </w:r>
            <w:r>
              <w:rPr>
                <w:spacing w:val="-12"/>
                <w:sz w:val="21"/>
              </w:rPr>
              <w:t>久不可逆性的体力活动能力受限，达到美国纽约心脏病学会心功能状态分级 </w:t>
            </w:r>
            <w:r>
              <w:rPr>
                <w:rFonts w:ascii="Arial" w:eastAsia="Arial"/>
                <w:sz w:val="21"/>
              </w:rPr>
              <w:t>IV </w:t>
            </w:r>
            <w:r>
              <w:rPr>
                <w:sz w:val="21"/>
              </w:rPr>
              <w:t>级， </w:t>
            </w:r>
            <w:r>
              <w:rPr>
                <w:spacing w:val="-6"/>
                <w:sz w:val="21"/>
              </w:rPr>
              <w:t>且静息状态下肺动脉平均压超过 </w:t>
            </w:r>
            <w:r>
              <w:rPr>
                <w:rFonts w:ascii="Arial" w:eastAsia="Arial"/>
                <w:sz w:val="21"/>
              </w:rPr>
              <w:t>30mmHg</w:t>
            </w:r>
            <w:r>
              <w:rPr>
                <w:sz w:val="21"/>
              </w:rPr>
              <w:t>。</w:t>
            </w:r>
          </w:p>
          <w:p>
            <w:pPr>
              <w:pStyle w:val="TableParagraph"/>
              <w:ind w:left="0"/>
              <w:rPr>
                <w:sz w:val="17"/>
              </w:rPr>
            </w:pPr>
          </w:p>
          <w:p>
            <w:pPr>
              <w:pStyle w:val="TableParagraph"/>
              <w:ind w:left="263"/>
              <w:rPr>
                <w:b/>
                <w:sz w:val="21"/>
              </w:rPr>
            </w:pPr>
            <w:r>
              <w:rPr>
                <w:b/>
                <w:sz w:val="21"/>
              </w:rPr>
              <w:t>16.语言能力丧失</w:t>
            </w:r>
          </w:p>
          <w:p>
            <w:pPr>
              <w:pStyle w:val="TableParagraph"/>
              <w:spacing w:line="225" w:lineRule="auto" w:before="94"/>
              <w:ind w:left="263" w:right="304"/>
              <w:rPr>
                <w:sz w:val="21"/>
              </w:rPr>
            </w:pPr>
            <w:r>
              <w:rPr>
                <w:spacing w:val="-6"/>
                <w:sz w:val="21"/>
              </w:rPr>
              <w:t>指因疾病或意外伤害导致完全丧失语言能力，经过积极治疗至少 </w:t>
            </w:r>
            <w:r>
              <w:rPr>
                <w:rFonts w:ascii="Arial" w:eastAsia="Arial"/>
                <w:sz w:val="21"/>
              </w:rPr>
              <w:t>12 </w:t>
            </w:r>
            <w:r>
              <w:rPr>
                <w:spacing w:val="-7"/>
                <w:sz w:val="21"/>
              </w:rPr>
              <w:t>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line="274" w:lineRule="exact"/>
              <w:ind w:left="263"/>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
              <w:ind w:left="0"/>
              <w:rPr>
                <w:sz w:val="18"/>
              </w:rPr>
            </w:pPr>
          </w:p>
          <w:p>
            <w:pPr>
              <w:pStyle w:val="TableParagraph"/>
              <w:spacing w:before="1"/>
              <w:ind w:left="263"/>
              <w:rPr>
                <w:b/>
                <w:sz w:val="21"/>
              </w:rPr>
            </w:pPr>
            <w:r>
              <w:rPr>
                <w:b/>
                <w:sz w:val="21"/>
              </w:rPr>
              <w:t>17.重型再生障碍性贫血</w:t>
            </w:r>
          </w:p>
          <w:p>
            <w:pPr>
              <w:pStyle w:val="TableParagraph"/>
              <w:spacing w:line="237" w:lineRule="auto" w:before="81"/>
              <w:ind w:left="263" w:right="303"/>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numPr>
                <w:ilvl w:val="0"/>
                <w:numId w:val="6"/>
              </w:numPr>
              <w:tabs>
                <w:tab w:pos="1009" w:val="left" w:leader="none"/>
                <w:tab w:pos="1010" w:val="left" w:leader="none"/>
              </w:tabs>
              <w:spacing w:line="240" w:lineRule="auto" w:before="78" w:after="0"/>
              <w:ind w:left="1009" w:right="0" w:hanging="746"/>
              <w:jc w:val="left"/>
              <w:rPr>
                <w:sz w:val="21"/>
              </w:rPr>
            </w:pPr>
            <w:r>
              <w:rPr>
                <w:spacing w:val="-3"/>
                <w:sz w:val="21"/>
              </w:rPr>
              <w:t>骨髓穿刺检查或骨髓活检结果支持诊断；</w:t>
            </w:r>
          </w:p>
          <w:p>
            <w:pPr>
              <w:pStyle w:val="TableParagraph"/>
              <w:numPr>
                <w:ilvl w:val="0"/>
                <w:numId w:val="6"/>
              </w:numPr>
              <w:tabs>
                <w:tab w:pos="1009" w:val="left" w:leader="none"/>
                <w:tab w:pos="1010" w:val="left" w:leader="none"/>
              </w:tabs>
              <w:spacing w:line="240" w:lineRule="auto" w:before="60" w:after="0"/>
              <w:ind w:left="1009" w:right="0" w:hanging="746"/>
              <w:jc w:val="left"/>
              <w:rPr>
                <w:sz w:val="21"/>
              </w:rPr>
            </w:pPr>
            <w:r>
              <w:rPr>
                <w:spacing w:val="-3"/>
                <w:sz w:val="21"/>
              </w:rPr>
              <w:t>外周血象须具备以下三项条件：</w:t>
            </w:r>
          </w:p>
          <w:p>
            <w:pPr>
              <w:pStyle w:val="TableParagraph"/>
              <w:spacing w:before="60"/>
              <w:ind w:left="1103"/>
              <w:rPr>
                <w:sz w:val="21"/>
              </w:rPr>
            </w:pPr>
            <w:r>
              <w:rPr>
                <w:sz w:val="21"/>
              </w:rPr>
              <w:t>① 中性粒细胞绝对值</w:t>
            </w:r>
            <w:r>
              <w:rPr>
                <w:rFonts w:ascii="Arial" w:hAnsi="Arial" w:eastAsia="Arial"/>
                <w:sz w:val="21"/>
              </w:rPr>
              <w:t>≤0.5×10</w:t>
            </w:r>
            <w:r>
              <w:rPr>
                <w:rFonts w:ascii="Arial" w:hAnsi="Arial" w:eastAsia="Arial"/>
                <w:sz w:val="21"/>
                <w:vertAlign w:val="superscript"/>
              </w:rPr>
              <w:t>9</w:t>
            </w:r>
            <w:r>
              <w:rPr>
                <w:rFonts w:ascii="Arial" w:hAnsi="Arial" w:eastAsia="Arial"/>
                <w:sz w:val="21"/>
                <w:vertAlign w:val="baseline"/>
              </w:rPr>
              <w:t>/</w:t>
            </w:r>
            <w:r>
              <w:rPr>
                <w:rFonts w:ascii="Arial" w:hAnsi="Arial" w:eastAsia="Arial"/>
                <w:sz w:val="21"/>
                <w:vertAlign w:val="baseline"/>
              </w:rPr>
              <w:t>L </w:t>
            </w:r>
            <w:r>
              <w:rPr>
                <w:sz w:val="21"/>
                <w:vertAlign w:val="baseline"/>
              </w:rPr>
              <w:t>；</w:t>
            </w:r>
          </w:p>
          <w:p>
            <w:pPr>
              <w:pStyle w:val="TableParagraph"/>
              <w:spacing w:line="281" w:lineRule="exact" w:before="63"/>
              <w:ind w:left="1103"/>
              <w:rPr>
                <w:sz w:val="21"/>
              </w:rPr>
            </w:pPr>
            <w:r>
              <w:rPr>
                <w:sz w:val="21"/>
              </w:rPr>
              <w:t>② 网织红细胞＜</w:t>
            </w:r>
            <w:r>
              <w:rPr>
                <w:rFonts w:ascii="Arial" w:hAnsi="Arial" w:eastAsia="Arial"/>
                <w:sz w:val="21"/>
              </w:rPr>
              <w:t>1%</w:t>
            </w:r>
            <w:r>
              <w:rPr>
                <w:sz w:val="21"/>
              </w:rPr>
              <w:t>；</w:t>
            </w:r>
          </w:p>
          <w:p>
            <w:pPr>
              <w:pStyle w:val="TableParagraph"/>
              <w:spacing w:line="281" w:lineRule="exact"/>
              <w:ind w:left="1103"/>
              <w:rPr>
                <w:sz w:val="21"/>
              </w:rPr>
            </w:pPr>
            <w:r>
              <w:rPr>
                <w:sz w:val="21"/>
              </w:rPr>
              <w:t>③ 血小板绝对值</w:t>
            </w:r>
            <w:r>
              <w:rPr>
                <w:rFonts w:ascii="Arial" w:hAnsi="Arial" w:eastAsia="Arial"/>
                <w:sz w:val="21"/>
              </w:rPr>
              <w:t>≤20×10</w:t>
            </w:r>
            <w:r>
              <w:rPr>
                <w:rFonts w:ascii="Arial" w:hAnsi="Arial" w:eastAsia="Arial"/>
                <w:sz w:val="21"/>
                <w:vertAlign w:val="superscript"/>
              </w:rPr>
              <w:t>9</w:t>
            </w:r>
            <w:r>
              <w:rPr>
                <w:rFonts w:ascii="Arial" w:hAnsi="Arial" w:eastAsia="Arial"/>
                <w:sz w:val="21"/>
                <w:vertAlign w:val="baseline"/>
              </w:rPr>
              <w:t>/</w:t>
            </w:r>
            <w:r>
              <w:rPr>
                <w:rFonts w:ascii="Arial" w:hAnsi="Arial" w:eastAsia="Arial"/>
                <w:sz w:val="21"/>
                <w:vertAlign w:val="baseline"/>
              </w:rPr>
              <w:t>L</w:t>
            </w:r>
            <w:r>
              <w:rPr>
                <w:sz w:val="21"/>
                <w:vertAlign w:val="baseline"/>
              </w:rPr>
              <w:t>。</w:t>
            </w:r>
          </w:p>
          <w:p>
            <w:pPr>
              <w:pStyle w:val="TableParagraph"/>
              <w:spacing w:before="223"/>
              <w:ind w:left="263"/>
              <w:rPr>
                <w:b/>
                <w:sz w:val="21"/>
              </w:rPr>
            </w:pPr>
            <w:r>
              <w:rPr>
                <w:b/>
                <w:sz w:val="21"/>
              </w:rPr>
              <w:t>18.主动脉手术</w:t>
            </w:r>
          </w:p>
          <w:p>
            <w:pPr>
              <w:pStyle w:val="TableParagraph"/>
              <w:spacing w:line="237" w:lineRule="auto" w:before="80"/>
              <w:ind w:left="263" w:right="303"/>
              <w:jc w:val="both"/>
              <w:rPr>
                <w:sz w:val="21"/>
              </w:rPr>
            </w:pPr>
            <w:r>
              <w:rPr>
                <w:spacing w:val="-10"/>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78"/>
              <w:ind w:left="263"/>
              <w:rPr>
                <w:rFonts w:ascii="黑体" w:eastAsia="黑体" w:hint="eastAsia"/>
                <w:b/>
                <w:sz w:val="21"/>
              </w:rPr>
            </w:pPr>
            <w:r>
              <w:rPr>
                <w:rFonts w:ascii="黑体" w:eastAsia="黑体" w:hint="eastAsia"/>
                <w:b/>
                <w:sz w:val="21"/>
              </w:rPr>
              <w:t>动脉内血管成形术不在保障范围内。</w:t>
            </w:r>
          </w:p>
        </w:tc>
      </w:tr>
      <w:tr>
        <w:trPr>
          <w:trHeight w:val="5255" w:hRule="atLeast"/>
        </w:trPr>
        <w:tc>
          <w:tcPr>
            <w:tcW w:w="1893" w:type="dxa"/>
          </w:tcPr>
          <w:p>
            <w:pPr>
              <w:pStyle w:val="TableParagraph"/>
              <w:spacing w:before="99"/>
              <w:ind w:left="200"/>
              <w:rPr>
                <w:sz w:val="11"/>
              </w:rPr>
            </w:pPr>
            <w:r>
              <w:rPr>
                <w:sz w:val="21"/>
              </w:rPr>
              <w:t>B类重大疾病</w:t>
            </w:r>
            <w:r>
              <w:rPr>
                <w:position w:val="11"/>
                <w:sz w:val="11"/>
              </w:rPr>
              <w:t>（6）</w:t>
            </w:r>
          </w:p>
        </w:tc>
        <w:tc>
          <w:tcPr>
            <w:tcW w:w="8036" w:type="dxa"/>
          </w:tcPr>
          <w:p>
            <w:pPr>
              <w:pStyle w:val="TableParagraph"/>
              <w:spacing w:line="223" w:lineRule="auto" w:before="119"/>
              <w:ind w:left="262" w:right="380"/>
              <w:rPr>
                <w:sz w:val="21"/>
              </w:rPr>
            </w:pPr>
            <w:r>
              <w:rPr>
                <w:sz w:val="21"/>
              </w:rPr>
              <w:t>：</w:t>
            </w:r>
            <w:r>
              <w:rPr>
                <w:rFonts w:ascii="Times New Roman" w:eastAsia="Times New Roman"/>
                <w:sz w:val="21"/>
              </w:rPr>
              <w:t>B </w:t>
            </w:r>
            <w:r>
              <w:rPr>
                <w:sz w:val="21"/>
              </w:rPr>
              <w:t>类重大疾病是指下列所定义的疾病或手术，不包括任何其他疾病或手术。被保险人发生符合以下疾病定义所述条件的疾病，应当由专科医生明确诊断。</w:t>
            </w:r>
          </w:p>
          <w:p>
            <w:pPr>
              <w:pStyle w:val="TableParagraph"/>
              <w:spacing w:before="5"/>
              <w:ind w:left="0"/>
              <w:rPr>
                <w:sz w:val="18"/>
              </w:rPr>
            </w:pPr>
          </w:p>
          <w:p>
            <w:pPr>
              <w:pStyle w:val="TableParagraph"/>
              <w:ind w:left="263"/>
              <w:rPr>
                <w:b/>
                <w:sz w:val="21"/>
              </w:rPr>
            </w:pPr>
            <w:r>
              <w:rPr>
                <w:b/>
                <w:sz w:val="21"/>
              </w:rPr>
              <w:t>1.恶性肿瘤</w:t>
            </w:r>
          </w:p>
          <w:p>
            <w:pPr>
              <w:pStyle w:val="TableParagraph"/>
              <w:spacing w:line="232" w:lineRule="auto" w:before="84"/>
              <w:ind w:left="262" w:right="198"/>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8"/>
              <w:ind w:left="263"/>
              <w:rPr>
                <w:rFonts w:ascii="黑体" w:eastAsia="黑体" w:hint="eastAsia"/>
                <w:b/>
                <w:sz w:val="21"/>
              </w:rPr>
            </w:pPr>
            <w:r>
              <w:rPr>
                <w:rFonts w:ascii="黑体" w:eastAsia="黑体" w:hint="eastAsia"/>
                <w:b/>
                <w:sz w:val="21"/>
              </w:rPr>
              <w:t>下列疾病不在保障范围内：</w:t>
            </w:r>
          </w:p>
          <w:p>
            <w:pPr>
              <w:pStyle w:val="TableParagraph"/>
              <w:numPr>
                <w:ilvl w:val="0"/>
                <w:numId w:val="7"/>
              </w:numPr>
              <w:tabs>
                <w:tab w:pos="1009" w:val="left" w:leader="none"/>
                <w:tab w:pos="1010" w:val="left" w:leader="none"/>
              </w:tabs>
              <w:spacing w:line="240" w:lineRule="auto" w:before="75" w:after="0"/>
              <w:ind w:left="1009" w:right="0" w:hanging="746"/>
              <w:jc w:val="left"/>
              <w:rPr>
                <w:rFonts w:ascii="黑体" w:eastAsia="黑体" w:hint="eastAsia"/>
                <w:b/>
                <w:sz w:val="21"/>
              </w:rPr>
            </w:pPr>
            <w:r>
              <w:rPr>
                <w:rFonts w:ascii="黑体" w:eastAsia="黑体" w:hint="eastAsia"/>
                <w:b/>
                <w:sz w:val="21"/>
              </w:rPr>
              <w:t>原位癌；</w:t>
            </w:r>
          </w:p>
          <w:p>
            <w:pPr>
              <w:pStyle w:val="TableParagraph"/>
              <w:numPr>
                <w:ilvl w:val="0"/>
                <w:numId w:val="7"/>
              </w:numPr>
              <w:tabs>
                <w:tab w:pos="1009" w:val="left" w:leader="none"/>
                <w:tab w:pos="1010" w:val="left" w:leader="none"/>
              </w:tabs>
              <w:spacing w:line="240" w:lineRule="auto" w:before="60" w:after="0"/>
              <w:ind w:left="1009"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8"/>
                <w:sz w:val="21"/>
              </w:rPr>
              <w:t> </w:t>
            </w:r>
            <w:r>
              <w:rPr>
                <w:rFonts w:ascii="黑体" w:eastAsia="黑体" w:hint="eastAsia"/>
                <w:b/>
                <w:spacing w:val="-12"/>
                <w:sz w:val="21"/>
              </w:rPr>
              <w:t>分期方案 </w:t>
            </w:r>
            <w:r>
              <w:rPr>
                <w:rFonts w:ascii="Arial" w:eastAsia="Arial"/>
                <w:b/>
                <w:sz w:val="21"/>
              </w:rPr>
              <w:t>A</w:t>
            </w:r>
            <w:r>
              <w:rPr>
                <w:rFonts w:ascii="Arial" w:eastAsia="Arial"/>
                <w:b/>
                <w:spacing w:val="-11"/>
                <w:sz w:val="21"/>
              </w:rPr>
              <w:t> </w:t>
            </w:r>
            <w:r>
              <w:rPr>
                <w:rFonts w:ascii="黑体" w:eastAsia="黑体" w:hint="eastAsia"/>
                <w:b/>
                <w:spacing w:val="-3"/>
                <w:sz w:val="21"/>
              </w:rPr>
              <w:t>期程度的慢性淋巴细胞白血病；</w:t>
            </w:r>
          </w:p>
          <w:p>
            <w:pPr>
              <w:pStyle w:val="TableParagraph"/>
              <w:numPr>
                <w:ilvl w:val="0"/>
                <w:numId w:val="7"/>
              </w:numPr>
              <w:tabs>
                <w:tab w:pos="1009" w:val="left" w:leader="none"/>
                <w:tab w:pos="1010" w:val="left" w:leader="none"/>
              </w:tabs>
              <w:spacing w:line="240" w:lineRule="auto" w:before="62" w:after="0"/>
              <w:ind w:left="1009"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7"/>
              </w:numPr>
              <w:tabs>
                <w:tab w:pos="1009" w:val="left" w:leader="none"/>
                <w:tab w:pos="1010" w:val="left" w:leader="none"/>
              </w:tabs>
              <w:spacing w:line="240" w:lineRule="auto" w:before="60" w:after="0"/>
              <w:ind w:left="1009"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7"/>
              </w:numPr>
              <w:tabs>
                <w:tab w:pos="1009" w:val="left" w:leader="none"/>
                <w:tab w:pos="1010" w:val="left" w:leader="none"/>
              </w:tabs>
              <w:spacing w:line="280" w:lineRule="exact" w:before="60" w:after="0"/>
              <w:ind w:left="1009"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7"/>
              </w:numPr>
              <w:tabs>
                <w:tab w:pos="1009" w:val="left" w:leader="none"/>
                <w:tab w:pos="1010" w:val="left" w:leader="none"/>
              </w:tabs>
              <w:spacing w:line="280" w:lineRule="exact" w:before="0" w:after="0"/>
              <w:ind w:left="1009"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9"/>
              <w:ind w:left="0"/>
              <w:rPr>
                <w:sz w:val="19"/>
              </w:rPr>
            </w:pPr>
          </w:p>
          <w:p>
            <w:pPr>
              <w:pStyle w:val="TableParagraph"/>
              <w:spacing w:line="255" w:lineRule="exact"/>
              <w:ind w:left="263"/>
              <w:rPr>
                <w:b/>
                <w:sz w:val="21"/>
              </w:rPr>
            </w:pPr>
            <w:r>
              <w:rPr>
                <w:b/>
                <w:sz w:val="21"/>
              </w:rPr>
              <w:t>2.脑中风后遗症</w:t>
            </w:r>
          </w:p>
        </w:tc>
      </w:tr>
    </w:tbl>
    <w:p>
      <w:pPr>
        <w:spacing w:after="0" w:line="255" w:lineRule="exact"/>
        <w:rPr>
          <w:sz w:val="21"/>
        </w:rPr>
        <w:sectPr>
          <w:pgSz w:w="11910" w:h="16840"/>
          <w:pgMar w:header="0" w:footer="466" w:top="1500" w:bottom="660" w:left="940" w:right="8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6"/>
        <w:gridCol w:w="8403"/>
      </w:tblGrid>
      <w:tr>
        <w:trPr>
          <w:trHeight w:val="13467" w:hRule="atLeast"/>
        </w:trPr>
        <w:tc>
          <w:tcPr>
            <w:tcW w:w="1526" w:type="dxa"/>
          </w:tcPr>
          <w:p>
            <w:pPr>
              <w:pStyle w:val="TableParagraph"/>
              <w:ind w:left="0"/>
              <w:rPr>
                <w:rFonts w:ascii="Times New Roman"/>
                <w:sz w:val="20"/>
              </w:rPr>
            </w:pPr>
          </w:p>
        </w:tc>
        <w:tc>
          <w:tcPr>
            <w:tcW w:w="8403" w:type="dxa"/>
          </w:tcPr>
          <w:p>
            <w:pPr>
              <w:pStyle w:val="TableParagraph"/>
              <w:spacing w:line="209" w:lineRule="exact"/>
              <w:ind w:left="629"/>
              <w:rPr>
                <w:sz w:val="21"/>
              </w:rPr>
            </w:pPr>
            <w:r>
              <w:rPr>
                <w:sz w:val="21"/>
              </w:rPr>
              <w:t>指因脑血管的突发病变引起脑血管出血、栓塞或梗塞，并导致神经系统永久性的功</w:t>
            </w:r>
          </w:p>
          <w:p>
            <w:pPr>
              <w:pStyle w:val="TableParagraph"/>
              <w:spacing w:line="225" w:lineRule="auto" w:before="15"/>
              <w:ind w:left="629" w:right="316"/>
              <w:rPr>
                <w:sz w:val="21"/>
              </w:rPr>
            </w:pPr>
            <w:r>
              <w:rPr>
                <w:sz w:val="21"/>
              </w:rPr>
              <w:t>能障碍。神经系统永久性的功能障碍，指疾病确诊 </w:t>
            </w:r>
            <w:r>
              <w:rPr>
                <w:rFonts w:ascii="Arial" w:eastAsia="Arial"/>
                <w:sz w:val="21"/>
              </w:rPr>
              <w:t>180 </w:t>
            </w:r>
            <w:r>
              <w:rPr>
                <w:sz w:val="21"/>
              </w:rPr>
              <w:t>天后，仍遗留下列一种或一种以上障碍：</w:t>
            </w:r>
          </w:p>
          <w:p>
            <w:pPr>
              <w:pStyle w:val="TableParagraph"/>
              <w:numPr>
                <w:ilvl w:val="0"/>
                <w:numId w:val="8"/>
              </w:numPr>
              <w:tabs>
                <w:tab w:pos="1376" w:val="left" w:leader="none"/>
                <w:tab w:pos="1377" w:val="left" w:leader="none"/>
              </w:tabs>
              <w:spacing w:line="358" w:lineRule="exact" w:before="10" w:after="0"/>
              <w:ind w:left="1350" w:right="0" w:hanging="721"/>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（17）</w:t>
            </w:r>
            <w:r>
              <w:rPr>
                <w:sz w:val="21"/>
              </w:rPr>
              <w:t>；</w:t>
            </w:r>
          </w:p>
          <w:p>
            <w:pPr>
              <w:pStyle w:val="TableParagraph"/>
              <w:numPr>
                <w:ilvl w:val="0"/>
                <w:numId w:val="8"/>
              </w:numPr>
              <w:tabs>
                <w:tab w:pos="1376" w:val="left" w:leader="none"/>
                <w:tab w:pos="1377" w:val="left" w:leader="none"/>
              </w:tabs>
              <w:spacing w:line="350" w:lineRule="exact" w:before="0" w:after="0"/>
              <w:ind w:left="1376" w:right="0" w:hanging="747"/>
              <w:jc w:val="left"/>
              <w:rPr>
                <w:sz w:val="21"/>
              </w:rPr>
            </w:pPr>
            <w:r>
              <w:rPr>
                <w:rFonts w:ascii="Microsoft JhengHei" w:eastAsia="Microsoft JhengHei" w:hint="eastAsia"/>
                <w:b/>
                <w:spacing w:val="-3"/>
                <w:sz w:val="21"/>
              </w:rPr>
              <w:t>语言能力或咀嚼吞咽能力完全丧失</w:t>
            </w:r>
            <w:r>
              <w:rPr>
                <w:position w:val="11"/>
                <w:sz w:val="11"/>
              </w:rPr>
              <w:t>（18）</w:t>
            </w:r>
            <w:r>
              <w:rPr>
                <w:sz w:val="21"/>
              </w:rPr>
              <w:t>；</w:t>
            </w:r>
          </w:p>
          <w:p>
            <w:pPr>
              <w:pStyle w:val="TableParagraph"/>
              <w:numPr>
                <w:ilvl w:val="0"/>
                <w:numId w:val="8"/>
              </w:numPr>
              <w:tabs>
                <w:tab w:pos="1376" w:val="left" w:leader="none"/>
                <w:tab w:pos="1377" w:val="left" w:leader="none"/>
              </w:tabs>
              <w:spacing w:line="218" w:lineRule="auto" w:before="26" w:after="0"/>
              <w:ind w:left="1350" w:right="393" w:hanging="721"/>
              <w:jc w:val="left"/>
              <w:rPr>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（19）</w:t>
            </w:r>
            <w:r>
              <w:rPr>
                <w:spacing w:val="-3"/>
                <w:sz w:val="21"/>
              </w:rPr>
              <w:t>中的三</w:t>
            </w:r>
            <w:r>
              <w:rPr>
                <w:spacing w:val="-2"/>
                <w:sz w:val="21"/>
              </w:rPr>
              <w:t>项或三项以上。</w:t>
            </w:r>
          </w:p>
          <w:p>
            <w:pPr>
              <w:pStyle w:val="TableParagraph"/>
              <w:spacing w:before="3"/>
              <w:ind w:left="0"/>
              <w:rPr>
                <w:sz w:val="24"/>
              </w:rPr>
            </w:pPr>
          </w:p>
          <w:p>
            <w:pPr>
              <w:pStyle w:val="TableParagraph"/>
              <w:spacing w:before="1"/>
              <w:ind w:left="629"/>
              <w:rPr>
                <w:b/>
                <w:sz w:val="21"/>
              </w:rPr>
            </w:pPr>
            <w:r>
              <w:rPr>
                <w:b/>
                <w:sz w:val="21"/>
              </w:rPr>
              <w:t>3.脑炎后遗症或脑膜炎后遗症</w:t>
            </w:r>
          </w:p>
          <w:p>
            <w:pPr>
              <w:pStyle w:val="TableParagraph"/>
              <w:spacing w:line="237" w:lineRule="auto" w:before="80"/>
              <w:ind w:left="629" w:right="301"/>
              <w:rPr>
                <w:sz w:val="21"/>
              </w:rPr>
            </w:pPr>
            <w:r>
              <w:rPr>
                <w:spacing w:val="-7"/>
                <w:sz w:val="21"/>
              </w:rPr>
              <w:t>指因患脑炎或脑膜炎导致的神经系统永久性的功能障碍。神经系统永久性的功能障</w:t>
            </w:r>
            <w:r>
              <w:rPr>
                <w:spacing w:val="-10"/>
                <w:sz w:val="21"/>
              </w:rPr>
              <w:t>碍，指疾病确诊 </w:t>
            </w:r>
            <w:r>
              <w:rPr>
                <w:rFonts w:ascii="Arial" w:eastAsia="Arial"/>
                <w:sz w:val="21"/>
              </w:rPr>
              <w:t>180 </w:t>
            </w:r>
            <w:r>
              <w:rPr>
                <w:spacing w:val="-3"/>
                <w:sz w:val="21"/>
              </w:rPr>
              <w:t>天后，仍遗留下列一种或一种以上障碍：</w:t>
            </w:r>
          </w:p>
          <w:p>
            <w:pPr>
              <w:pStyle w:val="TableParagraph"/>
              <w:numPr>
                <w:ilvl w:val="0"/>
                <w:numId w:val="9"/>
              </w:numPr>
              <w:tabs>
                <w:tab w:pos="1376" w:val="left" w:leader="none"/>
                <w:tab w:pos="1377" w:val="left" w:leader="none"/>
              </w:tabs>
              <w:spacing w:line="240" w:lineRule="auto" w:before="62" w:after="0"/>
              <w:ind w:left="1364" w:right="0" w:hanging="735"/>
              <w:jc w:val="left"/>
              <w:rPr>
                <w:sz w:val="21"/>
              </w:rPr>
            </w:pPr>
            <w:r>
              <w:rPr>
                <w:spacing w:val="-3"/>
                <w:sz w:val="21"/>
              </w:rPr>
              <w:t>一肢或一肢以上肢体机能完全丧失；</w:t>
            </w:r>
          </w:p>
          <w:p>
            <w:pPr>
              <w:pStyle w:val="TableParagraph"/>
              <w:numPr>
                <w:ilvl w:val="0"/>
                <w:numId w:val="9"/>
              </w:numPr>
              <w:tabs>
                <w:tab w:pos="1376" w:val="left" w:leader="none"/>
                <w:tab w:pos="1377" w:val="left" w:leader="none"/>
              </w:tabs>
              <w:spacing w:line="280" w:lineRule="exact" w:before="60" w:after="0"/>
              <w:ind w:left="1364" w:right="0" w:hanging="735"/>
              <w:jc w:val="left"/>
              <w:rPr>
                <w:sz w:val="21"/>
              </w:rPr>
            </w:pPr>
            <w:r>
              <w:rPr>
                <w:spacing w:val="-3"/>
                <w:sz w:val="21"/>
              </w:rPr>
              <w:t>语言能力或咀嚼吞咽能力完全丧失；</w:t>
            </w:r>
          </w:p>
          <w:p>
            <w:pPr>
              <w:pStyle w:val="TableParagraph"/>
              <w:numPr>
                <w:ilvl w:val="0"/>
                <w:numId w:val="9"/>
              </w:numPr>
              <w:tabs>
                <w:tab w:pos="1374" w:val="left" w:leader="none"/>
                <w:tab w:pos="1375" w:val="left" w:leader="none"/>
              </w:tabs>
              <w:spacing w:line="225" w:lineRule="auto" w:before="7" w:after="0"/>
              <w:ind w:left="1364" w:right="303" w:hanging="735"/>
              <w:jc w:val="left"/>
              <w:rPr>
                <w:sz w:val="21"/>
              </w:rPr>
            </w:pPr>
            <w:r>
              <w:rPr>
                <w:spacing w:val="-4"/>
                <w:sz w:val="21"/>
              </w:rPr>
              <w:t>自主生活能力完全丧失，无法独立完成六项基本日常生活活动中的三项或</w:t>
            </w:r>
            <w:r>
              <w:rPr>
                <w:spacing w:val="-3"/>
                <w:sz w:val="21"/>
              </w:rPr>
              <w:t>三项以上。</w:t>
            </w:r>
          </w:p>
          <w:p>
            <w:pPr>
              <w:pStyle w:val="TableParagraph"/>
              <w:spacing w:before="5"/>
              <w:ind w:left="0"/>
              <w:rPr>
                <w:sz w:val="18"/>
              </w:rPr>
            </w:pPr>
          </w:p>
          <w:p>
            <w:pPr>
              <w:pStyle w:val="TableParagraph"/>
              <w:spacing w:line="273" w:lineRule="exact"/>
              <w:ind w:left="629"/>
              <w:rPr>
                <w:b/>
                <w:sz w:val="21"/>
              </w:rPr>
            </w:pPr>
            <w:r>
              <w:rPr>
                <w:b/>
                <w:sz w:val="21"/>
              </w:rPr>
              <w:t>4.深度昏迷</w:t>
            </w:r>
          </w:p>
          <w:p>
            <w:pPr>
              <w:pStyle w:val="TableParagraph"/>
              <w:spacing w:line="225" w:lineRule="auto" w:before="15"/>
              <w:ind w:left="629" w:right="301"/>
              <w:jc w:val="both"/>
              <w:rPr>
                <w:sz w:val="21"/>
              </w:rPr>
            </w:pPr>
            <w:r>
              <w:rPr>
                <w:spacing w:val="2"/>
                <w:sz w:val="21"/>
              </w:rPr>
              <w:t>指因疾病或意外伤害导致意识丧失</w:t>
            </w:r>
            <w:r>
              <w:rPr>
                <w:rFonts w:ascii="Arial" w:eastAsia="Arial"/>
                <w:sz w:val="21"/>
              </w:rPr>
              <w:t>,</w:t>
            </w:r>
            <w:r>
              <w:rPr>
                <w:spacing w:val="2"/>
                <w:sz w:val="21"/>
              </w:rPr>
              <w:t>对外界刺激和体内需求均无反应</w:t>
            </w:r>
            <w:r>
              <w:rPr>
                <w:rFonts w:ascii="Arial" w:eastAsia="Arial"/>
                <w:sz w:val="21"/>
              </w:rPr>
              <w:t>,</w:t>
            </w:r>
            <w:r>
              <w:rPr>
                <w:spacing w:val="2"/>
                <w:sz w:val="21"/>
              </w:rPr>
              <w:t>昏迷程度按</w:t>
            </w:r>
            <w:r>
              <w:rPr>
                <w:spacing w:val="-3"/>
                <w:sz w:val="21"/>
              </w:rPr>
              <w:t>照格拉斯哥昏迷分级</w:t>
            </w:r>
            <w:r>
              <w:rPr>
                <w:sz w:val="21"/>
              </w:rPr>
              <w:t>（</w:t>
            </w:r>
            <w:r>
              <w:rPr>
                <w:rFonts w:ascii="Arial" w:eastAsia="Arial"/>
                <w:sz w:val="21"/>
              </w:rPr>
              <w:t>Glasgow coma scale</w:t>
            </w:r>
            <w:r>
              <w:rPr>
                <w:sz w:val="21"/>
              </w:rPr>
              <w:t>）</w:t>
            </w:r>
            <w:r>
              <w:rPr>
                <w:spacing w:val="-14"/>
                <w:sz w:val="21"/>
              </w:rPr>
              <w:t>结果为 </w:t>
            </w:r>
            <w:r>
              <w:rPr>
                <w:rFonts w:ascii="Arial" w:eastAsia="Arial"/>
                <w:sz w:val="21"/>
              </w:rPr>
              <w:t>5 </w:t>
            </w:r>
            <w:r>
              <w:rPr>
                <w:spacing w:val="-18"/>
                <w:sz w:val="21"/>
              </w:rPr>
              <w:t>分或 </w:t>
            </w:r>
            <w:r>
              <w:rPr>
                <w:rFonts w:ascii="Arial" w:eastAsia="Arial"/>
                <w:sz w:val="21"/>
              </w:rPr>
              <w:t>5 </w:t>
            </w:r>
            <w:r>
              <w:rPr>
                <w:spacing w:val="-3"/>
                <w:sz w:val="21"/>
              </w:rPr>
              <w:t>分以下，且已经持</w:t>
            </w:r>
            <w:r>
              <w:rPr>
                <w:spacing w:val="-6"/>
                <w:sz w:val="21"/>
              </w:rPr>
              <w:t>续使用呼吸机及其它生命维持系统 </w:t>
            </w:r>
            <w:r>
              <w:rPr>
                <w:rFonts w:ascii="Arial" w:eastAsia="Arial"/>
                <w:sz w:val="21"/>
              </w:rPr>
              <w:t>96 </w:t>
            </w:r>
            <w:r>
              <w:rPr>
                <w:spacing w:val="-3"/>
                <w:sz w:val="21"/>
              </w:rPr>
              <w:t>小时以上。</w:t>
            </w:r>
          </w:p>
          <w:p>
            <w:pPr>
              <w:pStyle w:val="TableParagraph"/>
              <w:spacing w:before="139"/>
              <w:ind w:left="629"/>
              <w:rPr>
                <w:rFonts w:ascii="黑体" w:eastAsia="黑体" w:hint="eastAsia"/>
                <w:b/>
                <w:sz w:val="21"/>
              </w:rPr>
            </w:pPr>
            <w:r>
              <w:rPr>
                <w:rFonts w:ascii="黑体" w:eastAsia="黑体" w:hint="eastAsia"/>
                <w:b/>
                <w:sz w:val="21"/>
              </w:rPr>
              <w:t>因酗酒或药物滥用导致的深度昏迷不在保障范围内。</w:t>
            </w:r>
          </w:p>
          <w:p>
            <w:pPr>
              <w:pStyle w:val="TableParagraph"/>
              <w:spacing w:before="2"/>
              <w:ind w:left="0"/>
              <w:rPr>
                <w:sz w:val="18"/>
              </w:rPr>
            </w:pPr>
          </w:p>
          <w:p>
            <w:pPr>
              <w:pStyle w:val="TableParagraph"/>
              <w:ind w:left="629"/>
              <w:rPr>
                <w:b/>
                <w:sz w:val="21"/>
              </w:rPr>
            </w:pPr>
            <w:r>
              <w:rPr>
                <w:b/>
                <w:sz w:val="21"/>
              </w:rPr>
              <w:t>5.严重脑损伤</w:t>
            </w:r>
          </w:p>
          <w:p>
            <w:pPr>
              <w:pStyle w:val="TableParagraph"/>
              <w:spacing w:line="228" w:lineRule="auto" w:before="91"/>
              <w:ind w:left="629" w:right="198"/>
              <w:rPr>
                <w:sz w:val="21"/>
              </w:rPr>
            </w:pPr>
            <w:r>
              <w:rPr>
                <w:spacing w:val="-17"/>
                <w:sz w:val="21"/>
              </w:rPr>
              <w:t>指因头部遭受机械性外力，引起脑重要部位损伤，导致神经系统永久性的功能障碍。</w:t>
            </w:r>
            <w:r>
              <w:rPr>
                <w:spacing w:val="-7"/>
                <w:w w:val="100"/>
                <w:sz w:val="21"/>
              </w:rPr>
              <w:t>须由头颅断层扫描</w:t>
            </w:r>
            <w:r>
              <w:rPr>
                <w:spacing w:val="-3"/>
                <w:w w:val="100"/>
                <w:sz w:val="21"/>
              </w:rPr>
              <w:t>（</w:t>
            </w:r>
            <w:r>
              <w:rPr>
                <w:rFonts w:ascii="Arial" w:eastAsia="Arial"/>
                <w:spacing w:val="-2"/>
                <w:w w:val="100"/>
                <w:sz w:val="21"/>
              </w:rPr>
              <w:t>C</w:t>
            </w:r>
            <w:r>
              <w:rPr>
                <w:rFonts w:ascii="Arial" w:eastAsia="Arial"/>
                <w:w w:val="100"/>
                <w:sz w:val="21"/>
              </w:rPr>
              <w:t>T</w:t>
            </w:r>
            <w:r>
              <w:rPr>
                <w:spacing w:val="-108"/>
                <w:w w:val="100"/>
                <w:sz w:val="21"/>
              </w:rPr>
              <w:t>）</w:t>
            </w:r>
            <w:r>
              <w:rPr>
                <w:spacing w:val="-3"/>
                <w:w w:val="100"/>
                <w:sz w:val="21"/>
              </w:rPr>
              <w:t>、核磁共振检查</w:t>
            </w:r>
            <w:r>
              <w:rPr>
                <w:w w:val="100"/>
                <w:sz w:val="21"/>
              </w:rPr>
              <w:t>（</w:t>
            </w:r>
            <w:r>
              <w:rPr>
                <w:rFonts w:ascii="Arial" w:eastAsia="Arial"/>
                <w:spacing w:val="-4"/>
                <w:w w:val="100"/>
                <w:sz w:val="21"/>
              </w:rPr>
              <w:t>M</w:t>
            </w:r>
            <w:r>
              <w:rPr>
                <w:rFonts w:ascii="Arial" w:eastAsia="Arial"/>
                <w:spacing w:val="0"/>
                <w:w w:val="100"/>
                <w:sz w:val="21"/>
              </w:rPr>
              <w:t>R</w:t>
            </w:r>
            <w:r>
              <w:rPr>
                <w:rFonts w:ascii="Arial" w:eastAsia="Arial"/>
                <w:spacing w:val="-2"/>
                <w:w w:val="100"/>
                <w:sz w:val="21"/>
              </w:rPr>
              <w:t>I</w:t>
            </w:r>
            <w:r>
              <w:rPr>
                <w:spacing w:val="-3"/>
                <w:w w:val="100"/>
                <w:sz w:val="21"/>
              </w:rPr>
              <w:t>）或正电子发射断层扫描（</w:t>
            </w:r>
            <w:r>
              <w:rPr>
                <w:rFonts w:ascii="Arial" w:eastAsia="Arial"/>
                <w:spacing w:val="-2"/>
                <w:w w:val="100"/>
                <w:sz w:val="21"/>
              </w:rPr>
              <w:t>P</w:t>
            </w:r>
            <w:r>
              <w:rPr>
                <w:rFonts w:ascii="Arial" w:eastAsia="Arial"/>
                <w:w w:val="100"/>
                <w:sz w:val="21"/>
              </w:rPr>
              <w:t>E</w:t>
            </w:r>
            <w:r>
              <w:rPr>
                <w:rFonts w:ascii="Arial" w:eastAsia="Arial"/>
                <w:spacing w:val="-2"/>
                <w:w w:val="100"/>
                <w:sz w:val="21"/>
              </w:rPr>
              <w:t>T</w:t>
            </w:r>
            <w:r>
              <w:rPr>
                <w:w w:val="100"/>
                <w:sz w:val="21"/>
              </w:rPr>
              <w:t>）</w:t>
            </w:r>
            <w:r>
              <w:rPr>
                <w:spacing w:val="-5"/>
                <w:sz w:val="21"/>
              </w:rPr>
              <w:t>等影像学检查证实。神经系统永久性的功能障碍，指脑损伤 </w:t>
            </w:r>
            <w:r>
              <w:rPr>
                <w:rFonts w:ascii="Arial" w:eastAsia="Arial"/>
                <w:sz w:val="21"/>
              </w:rPr>
              <w:t>180 </w:t>
            </w:r>
            <w:r>
              <w:rPr>
                <w:spacing w:val="-3"/>
                <w:sz w:val="21"/>
              </w:rPr>
              <w:t>天后，仍遗留下 列一种或一种以上障碍：</w:t>
            </w:r>
          </w:p>
          <w:p>
            <w:pPr>
              <w:pStyle w:val="TableParagraph"/>
              <w:numPr>
                <w:ilvl w:val="0"/>
                <w:numId w:val="10"/>
              </w:numPr>
              <w:tabs>
                <w:tab w:pos="1376" w:val="left" w:leader="none"/>
                <w:tab w:pos="1377" w:val="left" w:leader="none"/>
              </w:tabs>
              <w:spacing w:line="240" w:lineRule="auto" w:before="78" w:after="0"/>
              <w:ind w:left="1364" w:right="0" w:hanging="735"/>
              <w:jc w:val="left"/>
              <w:rPr>
                <w:sz w:val="21"/>
              </w:rPr>
            </w:pPr>
            <w:r>
              <w:rPr>
                <w:spacing w:val="-3"/>
                <w:sz w:val="21"/>
              </w:rPr>
              <w:t>一肢或一肢以上肢体机能完全丧失；</w:t>
            </w:r>
          </w:p>
          <w:p>
            <w:pPr>
              <w:pStyle w:val="TableParagraph"/>
              <w:numPr>
                <w:ilvl w:val="0"/>
                <w:numId w:val="10"/>
              </w:numPr>
              <w:tabs>
                <w:tab w:pos="1376" w:val="left" w:leader="none"/>
                <w:tab w:pos="1377" w:val="left" w:leader="none"/>
              </w:tabs>
              <w:spacing w:line="282" w:lineRule="exact" w:before="60" w:after="0"/>
              <w:ind w:left="1364" w:right="0" w:hanging="735"/>
              <w:jc w:val="left"/>
              <w:rPr>
                <w:sz w:val="21"/>
              </w:rPr>
            </w:pPr>
            <w:r>
              <w:rPr>
                <w:spacing w:val="-3"/>
                <w:sz w:val="21"/>
              </w:rPr>
              <w:t>语言能力或咀嚼吞咽能力完全丧失；</w:t>
            </w:r>
          </w:p>
          <w:p>
            <w:pPr>
              <w:pStyle w:val="TableParagraph"/>
              <w:numPr>
                <w:ilvl w:val="0"/>
                <w:numId w:val="10"/>
              </w:numPr>
              <w:tabs>
                <w:tab w:pos="1374" w:val="left" w:leader="none"/>
                <w:tab w:pos="1375" w:val="left" w:leader="none"/>
              </w:tabs>
              <w:spacing w:line="225" w:lineRule="auto" w:before="9" w:after="0"/>
              <w:ind w:left="1364" w:right="303" w:hanging="735"/>
              <w:jc w:val="left"/>
              <w:rPr>
                <w:sz w:val="21"/>
              </w:rPr>
            </w:pPr>
            <w:r>
              <w:rPr>
                <w:spacing w:val="-4"/>
                <w:sz w:val="21"/>
              </w:rPr>
              <w:t>自主生活能力完全丧失，无法独立完成六项基本日常生活活动中的三项或</w:t>
            </w:r>
            <w:r>
              <w:rPr>
                <w:spacing w:val="-3"/>
                <w:sz w:val="21"/>
              </w:rPr>
              <w:t>三项以上。</w:t>
            </w:r>
          </w:p>
          <w:p>
            <w:pPr>
              <w:pStyle w:val="TableParagraph"/>
              <w:spacing w:before="5"/>
              <w:ind w:left="0"/>
              <w:rPr>
                <w:sz w:val="18"/>
              </w:rPr>
            </w:pPr>
          </w:p>
          <w:p>
            <w:pPr>
              <w:pStyle w:val="TableParagraph"/>
              <w:spacing w:before="1"/>
              <w:ind w:left="629"/>
              <w:rPr>
                <w:b/>
                <w:sz w:val="21"/>
              </w:rPr>
            </w:pPr>
            <w:r>
              <w:rPr>
                <w:b/>
                <w:sz w:val="21"/>
              </w:rPr>
              <w:t>6.严重帕金森病</w:t>
            </w:r>
          </w:p>
          <w:p>
            <w:pPr>
              <w:pStyle w:val="TableParagraph"/>
              <w:spacing w:line="237" w:lineRule="auto" w:before="80"/>
              <w:ind w:left="629" w:right="303"/>
              <w:rPr>
                <w:sz w:val="21"/>
              </w:rPr>
            </w:pPr>
            <w:r>
              <w:rPr>
                <w:spacing w:val="-8"/>
                <w:sz w:val="21"/>
              </w:rPr>
              <w:t>是一种中枢神经系统的退行性疾病，临床表现为震颤麻痹、共济失调等。须满足下</w:t>
            </w:r>
            <w:r>
              <w:rPr>
                <w:spacing w:val="-5"/>
                <w:sz w:val="21"/>
              </w:rPr>
              <w:t>列全部条件：</w:t>
            </w:r>
          </w:p>
          <w:p>
            <w:pPr>
              <w:pStyle w:val="TableParagraph"/>
              <w:numPr>
                <w:ilvl w:val="0"/>
                <w:numId w:val="11"/>
              </w:numPr>
              <w:tabs>
                <w:tab w:pos="1376" w:val="left" w:leader="none"/>
                <w:tab w:pos="1377" w:val="left" w:leader="none"/>
              </w:tabs>
              <w:spacing w:line="240" w:lineRule="auto" w:before="77" w:after="0"/>
              <w:ind w:left="1350" w:right="0" w:hanging="721"/>
              <w:jc w:val="left"/>
              <w:rPr>
                <w:sz w:val="21"/>
              </w:rPr>
            </w:pPr>
            <w:r>
              <w:rPr>
                <w:spacing w:val="-3"/>
                <w:sz w:val="21"/>
              </w:rPr>
              <w:t>药物治疗无法控制病情；</w:t>
            </w:r>
          </w:p>
          <w:p>
            <w:pPr>
              <w:pStyle w:val="TableParagraph"/>
              <w:numPr>
                <w:ilvl w:val="0"/>
                <w:numId w:val="11"/>
              </w:numPr>
              <w:tabs>
                <w:tab w:pos="1374" w:val="left" w:leader="none"/>
                <w:tab w:pos="1375" w:val="left" w:leader="none"/>
              </w:tabs>
              <w:spacing w:line="225" w:lineRule="auto" w:before="78" w:after="0"/>
              <w:ind w:left="1350" w:right="303" w:hanging="721"/>
              <w:jc w:val="left"/>
              <w:rPr>
                <w:sz w:val="21"/>
              </w:rPr>
            </w:pPr>
            <w:r>
              <w:rPr>
                <w:spacing w:val="-4"/>
                <w:sz w:val="21"/>
              </w:rPr>
              <w:t>自主生活能力完全丧失，无法独立完成六项基本日常生活活动中的三项或</w:t>
            </w:r>
            <w:r>
              <w:rPr>
                <w:spacing w:val="-3"/>
                <w:sz w:val="21"/>
              </w:rPr>
              <w:t>三项以上。</w:t>
            </w:r>
          </w:p>
          <w:p>
            <w:pPr>
              <w:pStyle w:val="TableParagraph"/>
              <w:spacing w:line="273" w:lineRule="exact" w:before="78"/>
              <w:ind w:left="629"/>
              <w:rPr>
                <w:rFonts w:ascii="黑体" w:eastAsia="黑体" w:hint="eastAsia"/>
                <w:b/>
                <w:sz w:val="21"/>
              </w:rPr>
            </w:pPr>
            <w:r>
              <w:rPr>
                <w:rFonts w:ascii="黑体" w:eastAsia="黑体" w:hint="eastAsia"/>
                <w:b/>
                <w:sz w:val="21"/>
              </w:rPr>
              <w:t>继发性帕金森综合征不在保障范围内。</w:t>
            </w:r>
          </w:p>
          <w:p>
            <w:pPr>
              <w:pStyle w:val="TableParagraph"/>
              <w:spacing w:line="288" w:lineRule="exact"/>
              <w:ind w:left="629"/>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pStyle w:val="TableParagraph"/>
              <w:spacing w:before="1"/>
              <w:ind w:left="0"/>
              <w:rPr>
                <w:sz w:val="17"/>
              </w:rPr>
            </w:pPr>
          </w:p>
          <w:p>
            <w:pPr>
              <w:pStyle w:val="TableParagraph"/>
              <w:spacing w:line="274" w:lineRule="exact"/>
              <w:ind w:left="629"/>
              <w:rPr>
                <w:b/>
                <w:sz w:val="21"/>
              </w:rPr>
            </w:pPr>
            <w:r>
              <w:rPr>
                <w:b/>
                <w:sz w:val="21"/>
              </w:rPr>
              <w:t>7.严重运动神经元病</w:t>
            </w:r>
          </w:p>
          <w:p>
            <w:pPr>
              <w:pStyle w:val="TableParagraph"/>
              <w:ind w:left="629" w:right="301"/>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6"/>
                <w:sz w:val="21"/>
              </w:rPr>
              <w:t>全丧失，无法独立完成六项基本日常生活活动中的三项或三项以上的条件。</w:t>
            </w:r>
          </w:p>
        </w:tc>
      </w:tr>
      <w:tr>
        <w:trPr>
          <w:trHeight w:val="718" w:hRule="atLeast"/>
        </w:trPr>
        <w:tc>
          <w:tcPr>
            <w:tcW w:w="1526" w:type="dxa"/>
          </w:tcPr>
          <w:p>
            <w:pPr>
              <w:pStyle w:val="TableParagraph"/>
              <w:spacing w:before="114"/>
              <w:ind w:left="200"/>
              <w:rPr>
                <w:sz w:val="11"/>
              </w:rPr>
            </w:pPr>
            <w:r>
              <w:rPr>
                <w:position w:val="-10"/>
                <w:sz w:val="21"/>
              </w:rPr>
              <w:t>毒品</w:t>
            </w:r>
            <w:r>
              <w:rPr>
                <w:sz w:val="11"/>
              </w:rPr>
              <w:t>（7）</w:t>
            </w:r>
          </w:p>
        </w:tc>
        <w:tc>
          <w:tcPr>
            <w:tcW w:w="8403" w:type="dxa"/>
          </w:tcPr>
          <w:p>
            <w:pPr>
              <w:pStyle w:val="TableParagraph"/>
              <w:spacing w:line="330" w:lineRule="atLeast" w:before="59"/>
              <w:ind w:left="841" w:right="198" w:hanging="212"/>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r>
              <w:rPr>
                <w:spacing w:val="-8"/>
                <w:sz w:val="21"/>
              </w:rPr>
              <w:t>可卡因以及国家规定管制的其他能够使人形成瘾癖的麻醉药品和精神药品，但不</w:t>
            </w:r>
          </w:p>
        </w:tc>
      </w:tr>
    </w:tbl>
    <w:p>
      <w:pPr>
        <w:spacing w:after="0" w:line="330" w:lineRule="atLeast"/>
        <w:rPr>
          <w:sz w:val="21"/>
        </w:rPr>
        <w:sectPr>
          <w:pgSz w:w="11910" w:h="16840"/>
          <w:pgMar w:header="0" w:footer="466" w:top="1500" w:bottom="680" w:left="122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853"/>
      </w:tblGrid>
      <w:tr>
        <w:trPr>
          <w:trHeight w:val="256" w:hRule="atLeast"/>
        </w:trPr>
        <w:tc>
          <w:tcPr>
            <w:tcW w:w="2077" w:type="dxa"/>
          </w:tcPr>
          <w:p>
            <w:pPr>
              <w:pStyle w:val="TableParagraph"/>
              <w:ind w:left="0"/>
              <w:rPr>
                <w:rFonts w:ascii="Times New Roman"/>
                <w:sz w:val="18"/>
              </w:rPr>
            </w:pPr>
          </w:p>
        </w:tc>
        <w:tc>
          <w:tcPr>
            <w:tcW w:w="7853" w:type="dxa"/>
          </w:tcPr>
          <w:p>
            <w:pPr>
              <w:pStyle w:val="TableParagraph"/>
              <w:spacing w:line="211" w:lineRule="exact"/>
              <w:rPr>
                <w:sz w:val="21"/>
              </w:rPr>
            </w:pPr>
            <w:r>
              <w:rPr>
                <w:sz w:val="21"/>
              </w:rPr>
              <w:t>包括由医生开具并遵医嘱使用的用于治疗疾病但含有毒品成分的处方药品。</w:t>
            </w:r>
          </w:p>
        </w:tc>
      </w:tr>
      <w:tr>
        <w:trPr>
          <w:trHeight w:val="994" w:hRule="atLeast"/>
        </w:trPr>
        <w:tc>
          <w:tcPr>
            <w:tcW w:w="2077" w:type="dxa"/>
          </w:tcPr>
          <w:p>
            <w:pPr>
              <w:pStyle w:val="TableParagraph"/>
              <w:spacing w:before="5"/>
              <w:ind w:left="200"/>
              <w:rPr>
                <w:sz w:val="11"/>
              </w:rPr>
            </w:pPr>
            <w:r>
              <w:rPr>
                <w:sz w:val="21"/>
              </w:rPr>
              <w:t>酒后驾驶</w:t>
            </w:r>
            <w:r>
              <w:rPr>
                <w:position w:val="11"/>
                <w:sz w:val="11"/>
              </w:rPr>
              <w:t>（8）</w:t>
            </w:r>
          </w:p>
        </w:tc>
        <w:tc>
          <w:tcPr>
            <w:tcW w:w="7853" w:type="dxa"/>
          </w:tcPr>
          <w:p>
            <w:pPr>
              <w:pStyle w:val="TableParagraph"/>
              <w:spacing w:before="5"/>
              <w:ind w:hanging="212"/>
              <w:rPr>
                <w:sz w:val="21"/>
              </w:rPr>
            </w:pPr>
            <w:r>
              <w:rPr>
                <w:sz w:val="21"/>
              </w:rPr>
              <w:t>：指经检测或鉴定，发生事故时车辆驾驶人员每百毫升血液中的酒精含量达到或超</w:t>
            </w:r>
          </w:p>
          <w:p>
            <w:pPr>
              <w:pStyle w:val="TableParagraph"/>
              <w:spacing w:line="320" w:lineRule="atLeast" w:before="8"/>
              <w:ind w:right="304"/>
              <w:rPr>
                <w:sz w:val="21"/>
              </w:rPr>
            </w:pPr>
            <w:r>
              <w:rPr>
                <w:spacing w:val="-11"/>
                <w:sz w:val="21"/>
              </w:rPr>
              <w:t>过一定的标准，公安机关交通管理部门依据《道路交通安全法》的规定认定为饮</w:t>
            </w:r>
            <w:r>
              <w:rPr>
                <w:spacing w:val="-6"/>
                <w:sz w:val="21"/>
              </w:rPr>
              <w:t>酒后驾驶或醉酒后驾驶。</w:t>
            </w:r>
          </w:p>
        </w:tc>
      </w:tr>
      <w:tr>
        <w:trPr>
          <w:trHeight w:val="1735" w:hRule="atLeast"/>
        </w:trPr>
        <w:tc>
          <w:tcPr>
            <w:tcW w:w="2077" w:type="dxa"/>
          </w:tcPr>
          <w:p>
            <w:pPr>
              <w:pStyle w:val="TableParagraph"/>
              <w:spacing w:line="285" w:lineRule="auto"/>
              <w:ind w:left="200" w:right="125"/>
              <w:rPr>
                <w:sz w:val="11"/>
              </w:rPr>
            </w:pPr>
            <w:r>
              <w:rPr>
                <w:sz w:val="21"/>
              </w:rPr>
              <w:t>无合法有效驾驶证</w:t>
            </w:r>
            <w:r>
              <w:rPr>
                <w:position w:val="-10"/>
                <w:sz w:val="21"/>
              </w:rPr>
              <w:t>驾驶</w:t>
            </w:r>
            <w:r>
              <w:rPr>
                <w:sz w:val="11"/>
              </w:rPr>
              <w:t>（9）</w:t>
            </w:r>
          </w:p>
        </w:tc>
        <w:tc>
          <w:tcPr>
            <w:tcW w:w="7853" w:type="dxa"/>
          </w:tcPr>
          <w:p>
            <w:pPr>
              <w:pStyle w:val="TableParagraph"/>
              <w:spacing w:line="269" w:lineRule="exact"/>
              <w:ind w:left="79"/>
              <w:rPr>
                <w:sz w:val="21"/>
              </w:rPr>
            </w:pPr>
            <w:r>
              <w:rPr>
                <w:sz w:val="21"/>
              </w:rPr>
              <w:t>：指下列情形之一：</w:t>
            </w:r>
          </w:p>
          <w:p>
            <w:pPr>
              <w:pStyle w:val="TableParagraph"/>
              <w:spacing w:line="272" w:lineRule="exact"/>
              <w:ind w:left="79"/>
              <w:rPr>
                <w:sz w:val="21"/>
              </w:rPr>
            </w:pPr>
            <w:r>
              <w:rPr>
                <w:sz w:val="21"/>
              </w:rPr>
              <w:t>（1）没有取得驾驶资格；</w:t>
            </w:r>
          </w:p>
          <w:p>
            <w:pPr>
              <w:pStyle w:val="TableParagraph"/>
              <w:spacing w:line="272" w:lineRule="exact"/>
              <w:ind w:left="79"/>
              <w:rPr>
                <w:sz w:val="21"/>
              </w:rPr>
            </w:pPr>
            <w:r>
              <w:rPr>
                <w:sz w:val="21"/>
              </w:rPr>
              <w:t>（2）驾驶与驾驶证准驾车型不相符合的车辆；</w:t>
            </w:r>
          </w:p>
          <w:p>
            <w:pPr>
              <w:pStyle w:val="TableParagraph"/>
              <w:spacing w:line="274" w:lineRule="exact"/>
              <w:ind w:left="79"/>
              <w:rPr>
                <w:sz w:val="21"/>
              </w:rPr>
            </w:pPr>
            <w:r>
              <w:rPr>
                <w:sz w:val="21"/>
              </w:rPr>
              <w:t>（3）持审验不合格的驾驶证驾驶；</w:t>
            </w:r>
          </w:p>
          <w:p>
            <w:pPr>
              <w:pStyle w:val="TableParagraph"/>
              <w:spacing w:line="274" w:lineRule="exact"/>
              <w:ind w:left="79"/>
              <w:rPr>
                <w:sz w:val="21"/>
              </w:rPr>
            </w:pPr>
            <w:r>
              <w:rPr>
                <w:sz w:val="21"/>
              </w:rPr>
              <w:t>（4）持学习驾驶证学习驾车时，无教练员随车指导，或不按指定时间、路线学习</w:t>
            </w:r>
          </w:p>
          <w:p>
            <w:pPr>
              <w:pStyle w:val="TableParagraph"/>
              <w:spacing w:before="51"/>
              <w:ind w:left="604"/>
              <w:rPr>
                <w:sz w:val="21"/>
              </w:rPr>
            </w:pPr>
            <w:r>
              <w:rPr>
                <w:sz w:val="21"/>
              </w:rPr>
              <w:t>驾车。</w:t>
            </w:r>
          </w:p>
        </w:tc>
      </w:tr>
      <w:tr>
        <w:trPr>
          <w:trHeight w:val="882" w:hRule="atLeast"/>
        </w:trPr>
        <w:tc>
          <w:tcPr>
            <w:tcW w:w="2077" w:type="dxa"/>
          </w:tcPr>
          <w:p>
            <w:pPr>
              <w:pStyle w:val="TableParagraph"/>
              <w:spacing w:before="6"/>
              <w:ind w:left="200"/>
              <w:rPr>
                <w:sz w:val="11"/>
              </w:rPr>
            </w:pPr>
            <w:r>
              <w:rPr>
                <w:sz w:val="21"/>
              </w:rPr>
              <w:t>无有效行驶证</w:t>
            </w:r>
            <w:r>
              <w:rPr>
                <w:position w:val="11"/>
                <w:sz w:val="11"/>
              </w:rPr>
              <w:t>（10）</w:t>
            </w:r>
          </w:p>
        </w:tc>
        <w:tc>
          <w:tcPr>
            <w:tcW w:w="7853" w:type="dxa"/>
          </w:tcPr>
          <w:p>
            <w:pPr>
              <w:pStyle w:val="TableParagraph"/>
              <w:spacing w:line="274" w:lineRule="exact" w:before="6"/>
              <w:ind w:left="79"/>
              <w:rPr>
                <w:sz w:val="21"/>
              </w:rPr>
            </w:pPr>
            <w:r>
              <w:rPr>
                <w:sz w:val="21"/>
              </w:rPr>
              <w:t>：指下列情形之一：</w:t>
            </w:r>
          </w:p>
          <w:p>
            <w:pPr>
              <w:pStyle w:val="TableParagraph"/>
              <w:spacing w:line="272" w:lineRule="exact"/>
              <w:ind w:left="79"/>
              <w:rPr>
                <w:sz w:val="21"/>
              </w:rPr>
            </w:pPr>
            <w:r>
              <w:rPr>
                <w:sz w:val="21"/>
              </w:rPr>
              <w:t>（1）机动车被依法注销登记的；</w:t>
            </w:r>
          </w:p>
          <w:p>
            <w:pPr>
              <w:pStyle w:val="TableParagraph"/>
              <w:spacing w:line="273" w:lineRule="exact"/>
              <w:ind w:left="79"/>
              <w:rPr>
                <w:sz w:val="21"/>
              </w:rPr>
            </w:pPr>
            <w:r>
              <w:rPr>
                <w:sz w:val="21"/>
              </w:rPr>
              <w:t>（2）未依法按时进行或通过机动车安全技术检验。</w:t>
            </w:r>
          </w:p>
        </w:tc>
      </w:tr>
      <w:tr>
        <w:trPr>
          <w:trHeight w:val="1301" w:hRule="atLeast"/>
        </w:trPr>
        <w:tc>
          <w:tcPr>
            <w:tcW w:w="2077" w:type="dxa"/>
          </w:tcPr>
          <w:p>
            <w:pPr>
              <w:pStyle w:val="TableParagraph"/>
              <w:spacing w:line="285" w:lineRule="auto"/>
              <w:ind w:left="200" w:right="125"/>
              <w:rPr>
                <w:sz w:val="11"/>
              </w:rPr>
            </w:pPr>
            <w:r>
              <w:rPr>
                <w:sz w:val="21"/>
              </w:rPr>
              <w:t>感染艾滋病病毒或</w:t>
            </w:r>
            <w:r>
              <w:rPr>
                <w:position w:val="-10"/>
                <w:sz w:val="21"/>
              </w:rPr>
              <w:t>患艾滋病</w:t>
            </w:r>
            <w:r>
              <w:rPr>
                <w:sz w:val="11"/>
              </w:rPr>
              <w:t>（11）</w:t>
            </w:r>
          </w:p>
        </w:tc>
        <w:tc>
          <w:tcPr>
            <w:tcW w:w="7853" w:type="dxa"/>
          </w:tcPr>
          <w:p>
            <w:pPr>
              <w:pStyle w:val="TableParagraph"/>
              <w:spacing w:line="271" w:lineRule="auto"/>
              <w:ind w:right="304" w:hanging="212"/>
              <w:jc w:val="both"/>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4"/>
                <w:sz w:val="21"/>
              </w:rPr>
              <w:t>引起的获得性免疫缺陷综合征，英文缩写为</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p>
          <w:p>
            <w:pPr>
              <w:pStyle w:val="TableParagraph"/>
              <w:spacing w:before="26"/>
              <w:rPr>
                <w:sz w:val="21"/>
              </w:rPr>
            </w:pPr>
            <w:r>
              <w:rPr>
                <w:sz w:val="21"/>
              </w:rPr>
              <w:t>毒；如果同时出现了明显临床症状或体征的，为患艾滋病。</w:t>
            </w:r>
          </w:p>
        </w:tc>
      </w:tr>
      <w:tr>
        <w:trPr>
          <w:trHeight w:val="585" w:hRule="atLeast"/>
        </w:trPr>
        <w:tc>
          <w:tcPr>
            <w:tcW w:w="2077" w:type="dxa"/>
          </w:tcPr>
          <w:p>
            <w:pPr>
              <w:pStyle w:val="TableParagraph"/>
              <w:spacing w:before="7"/>
              <w:ind w:left="200"/>
              <w:rPr>
                <w:sz w:val="11"/>
              </w:rPr>
            </w:pPr>
            <w:r>
              <w:rPr>
                <w:sz w:val="21"/>
              </w:rPr>
              <w:t>遗传性疾病</w:t>
            </w:r>
            <w:r>
              <w:rPr>
                <w:position w:val="11"/>
                <w:sz w:val="11"/>
              </w:rPr>
              <w:t>（12）</w:t>
            </w:r>
          </w:p>
        </w:tc>
        <w:tc>
          <w:tcPr>
            <w:tcW w:w="7853" w:type="dxa"/>
          </w:tcPr>
          <w:p>
            <w:pPr>
              <w:pStyle w:val="TableParagraph"/>
              <w:spacing w:before="7"/>
              <w:ind w:right="198"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807" w:hRule="atLeast"/>
        </w:trPr>
        <w:tc>
          <w:tcPr>
            <w:tcW w:w="2077" w:type="dxa"/>
          </w:tcPr>
          <w:p>
            <w:pPr>
              <w:pStyle w:val="TableParagraph"/>
              <w:spacing w:line="240" w:lineRule="exact"/>
              <w:ind w:left="224"/>
              <w:rPr>
                <w:sz w:val="21"/>
              </w:rPr>
            </w:pPr>
            <w:r>
              <w:rPr>
                <w:sz w:val="21"/>
              </w:rPr>
              <w:t>先天性畸形、变形</w:t>
            </w:r>
          </w:p>
          <w:p>
            <w:pPr>
              <w:pStyle w:val="TableParagraph"/>
              <w:spacing w:line="274" w:lineRule="exact"/>
              <w:ind w:left="224"/>
              <w:rPr>
                <w:sz w:val="11"/>
              </w:rPr>
            </w:pPr>
            <w:r>
              <w:rPr>
                <w:sz w:val="21"/>
              </w:rPr>
              <w:t>或染色体异常</w:t>
            </w:r>
            <w:r>
              <w:rPr>
                <w:position w:val="11"/>
                <w:sz w:val="11"/>
              </w:rPr>
              <w:t>（13）</w:t>
            </w:r>
          </w:p>
        </w:tc>
        <w:tc>
          <w:tcPr>
            <w:tcW w:w="7853" w:type="dxa"/>
          </w:tcPr>
          <w:p>
            <w:pPr>
              <w:pStyle w:val="TableParagraph"/>
              <w:spacing w:line="240" w:lineRule="exact"/>
              <w:ind w:left="79"/>
              <w:rPr>
                <w:sz w:val="21"/>
              </w:rPr>
            </w:pPr>
            <w:r>
              <w:rPr>
                <w:sz w:val="21"/>
              </w:rPr>
              <w:t>：指被保险人出生时就具有的畸形、变形或染色体异常。先天性畸形、变形和染色</w:t>
            </w:r>
          </w:p>
          <w:p>
            <w:pPr>
              <w:pStyle w:val="TableParagraph"/>
              <w:spacing w:line="274" w:lineRule="exact" w:before="25"/>
              <w:ind w:right="310"/>
              <w:rPr>
                <w:sz w:val="21"/>
              </w:rPr>
            </w:pP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5"/>
                <w:sz w:val="21"/>
              </w:rPr>
              <w:t>确</w:t>
            </w:r>
            <w:r>
              <w:rPr>
                <w:sz w:val="21"/>
              </w:rPr>
              <w:t>定。</w:t>
            </w:r>
          </w:p>
        </w:tc>
      </w:tr>
      <w:tr>
        <w:trPr>
          <w:trHeight w:val="621" w:hRule="atLeast"/>
        </w:trPr>
        <w:tc>
          <w:tcPr>
            <w:tcW w:w="2077" w:type="dxa"/>
          </w:tcPr>
          <w:p>
            <w:pPr>
              <w:pStyle w:val="TableParagraph"/>
              <w:spacing w:line="248" w:lineRule="exact"/>
              <w:ind w:left="200"/>
              <w:rPr>
                <w:sz w:val="11"/>
              </w:rPr>
            </w:pPr>
            <w:r>
              <w:rPr>
                <w:position w:val="-10"/>
                <w:sz w:val="21"/>
              </w:rPr>
              <w:t>现金价值</w:t>
            </w:r>
            <w:r>
              <w:rPr>
                <w:sz w:val="11"/>
              </w:rPr>
              <w:t>（14）</w:t>
            </w:r>
          </w:p>
        </w:tc>
        <w:tc>
          <w:tcPr>
            <w:tcW w:w="7853" w:type="dxa"/>
          </w:tcPr>
          <w:p>
            <w:pPr>
              <w:pStyle w:val="TableParagraph"/>
              <w:spacing w:line="248" w:lineRule="exact"/>
              <w:ind w:left="78"/>
              <w:rPr>
                <w:sz w:val="21"/>
              </w:rPr>
            </w:pPr>
            <w:r>
              <w:rPr>
                <w:sz w:val="21"/>
              </w:rPr>
              <w:t>：指保险单所具有的价值，通常体现为解除合同时，根据精算原理计算的，由我们</w:t>
            </w:r>
          </w:p>
          <w:p>
            <w:pPr>
              <w:pStyle w:val="TableParagraph"/>
              <w:spacing w:before="51"/>
              <w:rPr>
                <w:sz w:val="21"/>
              </w:rPr>
            </w:pPr>
            <w:r>
              <w:rPr>
                <w:sz w:val="21"/>
              </w:rPr>
              <w:t>退还的那部分金额。</w:t>
            </w:r>
          </w:p>
        </w:tc>
      </w:tr>
      <w:tr>
        <w:trPr>
          <w:trHeight w:val="321" w:hRule="atLeast"/>
        </w:trPr>
        <w:tc>
          <w:tcPr>
            <w:tcW w:w="2077" w:type="dxa"/>
          </w:tcPr>
          <w:p>
            <w:pPr>
              <w:pStyle w:val="TableParagraph"/>
              <w:spacing w:before="6"/>
              <w:ind w:left="200"/>
              <w:rPr>
                <w:sz w:val="11"/>
              </w:rPr>
            </w:pPr>
            <w:r>
              <w:rPr>
                <w:position w:val="-10"/>
                <w:sz w:val="21"/>
              </w:rPr>
              <w:t>保险事故</w:t>
            </w:r>
            <w:r>
              <w:rPr>
                <w:sz w:val="11"/>
              </w:rPr>
              <w:t>（15）</w:t>
            </w:r>
          </w:p>
        </w:tc>
        <w:tc>
          <w:tcPr>
            <w:tcW w:w="7853" w:type="dxa"/>
          </w:tcPr>
          <w:p>
            <w:pPr>
              <w:pStyle w:val="TableParagraph"/>
              <w:spacing w:before="7"/>
              <w:ind w:left="79"/>
              <w:rPr>
                <w:sz w:val="21"/>
              </w:rPr>
            </w:pPr>
            <w:r>
              <w:rPr>
                <w:sz w:val="21"/>
              </w:rPr>
              <w:t>：是指保险合同约定的保险责任范围内的事故。</w:t>
            </w:r>
          </w:p>
        </w:tc>
      </w:tr>
      <w:tr>
        <w:trPr>
          <w:trHeight w:val="578" w:hRule="atLeast"/>
        </w:trPr>
        <w:tc>
          <w:tcPr>
            <w:tcW w:w="2077" w:type="dxa"/>
          </w:tcPr>
          <w:p>
            <w:pPr>
              <w:pStyle w:val="TableParagraph"/>
              <w:ind w:left="200"/>
              <w:rPr>
                <w:sz w:val="11"/>
              </w:rPr>
            </w:pPr>
            <w:r>
              <w:rPr>
                <w:sz w:val="21"/>
              </w:rPr>
              <w:t>永久不可逆</w:t>
            </w:r>
            <w:r>
              <w:rPr>
                <w:position w:val="11"/>
                <w:sz w:val="11"/>
              </w:rPr>
              <w:t>（16）</w:t>
            </w:r>
          </w:p>
        </w:tc>
        <w:tc>
          <w:tcPr>
            <w:tcW w:w="7853" w:type="dxa"/>
          </w:tcPr>
          <w:p>
            <w:pPr>
              <w:pStyle w:val="TableParagraph"/>
              <w:ind w:right="339" w:hanging="212"/>
              <w:rPr>
                <w:sz w:val="21"/>
              </w:rPr>
            </w:pPr>
            <w:r>
              <w:rPr>
                <w:spacing w:val="-10"/>
                <w:sz w:val="21"/>
              </w:rPr>
              <w:t>：永久不可逆系指自疾病确诊或意外伤害发生之日起，经过积极治疗 </w:t>
            </w:r>
            <w:r>
              <w:rPr>
                <w:sz w:val="21"/>
              </w:rPr>
              <w:t>180</w:t>
            </w:r>
            <w:r>
              <w:rPr>
                <w:spacing w:val="-22"/>
                <w:sz w:val="21"/>
              </w:rPr>
              <w:t> 天后，仍</w:t>
            </w:r>
            <w:r>
              <w:rPr>
                <w:spacing w:val="-3"/>
                <w:sz w:val="21"/>
              </w:rPr>
              <w:t>无法通过现有医疗手段恢复。</w:t>
            </w:r>
          </w:p>
        </w:tc>
      </w:tr>
      <w:tr>
        <w:trPr>
          <w:trHeight w:val="545" w:hRule="atLeast"/>
        </w:trPr>
        <w:tc>
          <w:tcPr>
            <w:tcW w:w="2077" w:type="dxa"/>
          </w:tcPr>
          <w:p>
            <w:pPr>
              <w:pStyle w:val="TableParagraph"/>
              <w:spacing w:line="241" w:lineRule="exact"/>
              <w:ind w:left="200"/>
              <w:rPr>
                <w:sz w:val="21"/>
              </w:rPr>
            </w:pPr>
            <w:r>
              <w:rPr>
                <w:sz w:val="21"/>
              </w:rPr>
              <w:t>肢体机能完全丧失</w:t>
            </w:r>
          </w:p>
          <w:p>
            <w:pPr>
              <w:pStyle w:val="TableParagraph"/>
              <w:spacing w:before="5"/>
              <w:ind w:left="200"/>
              <w:rPr>
                <w:sz w:val="11"/>
              </w:rPr>
            </w:pPr>
            <w:r>
              <w:rPr>
                <w:sz w:val="11"/>
              </w:rPr>
              <w:t>（17）</w:t>
            </w:r>
          </w:p>
        </w:tc>
        <w:tc>
          <w:tcPr>
            <w:tcW w:w="7853" w:type="dxa"/>
          </w:tcPr>
          <w:p>
            <w:pPr>
              <w:pStyle w:val="TableParagraph"/>
              <w:spacing w:line="240" w:lineRule="exact"/>
              <w:ind w:left="79"/>
              <w:rPr>
                <w:sz w:val="21"/>
              </w:rPr>
            </w:pPr>
            <w:r>
              <w:rPr>
                <w:sz w:val="21"/>
              </w:rPr>
              <w:t>：指肢体的三大关节中的两大关节僵硬，或不能随意识活动。肢体是指包括肩关节</w:t>
            </w:r>
          </w:p>
          <w:p>
            <w:pPr>
              <w:pStyle w:val="TableParagraph"/>
              <w:spacing w:line="274" w:lineRule="exact"/>
              <w:rPr>
                <w:sz w:val="21"/>
              </w:rPr>
            </w:pPr>
            <w:r>
              <w:rPr>
                <w:sz w:val="21"/>
              </w:rPr>
              <w:t>的整个上肢或包括髋关节的整个下肢。</w:t>
            </w:r>
          </w:p>
        </w:tc>
      </w:tr>
      <w:tr>
        <w:trPr>
          <w:trHeight w:val="1092" w:hRule="atLeast"/>
        </w:trPr>
        <w:tc>
          <w:tcPr>
            <w:tcW w:w="2077" w:type="dxa"/>
          </w:tcPr>
          <w:p>
            <w:pPr>
              <w:pStyle w:val="TableParagraph"/>
              <w:spacing w:line="242" w:lineRule="exact"/>
              <w:ind w:left="200"/>
              <w:rPr>
                <w:sz w:val="21"/>
              </w:rPr>
            </w:pPr>
            <w:r>
              <w:rPr>
                <w:sz w:val="21"/>
              </w:rPr>
              <w:t>语言能力或咀嚼吞</w:t>
            </w:r>
          </w:p>
          <w:p>
            <w:pPr>
              <w:pStyle w:val="TableParagraph"/>
              <w:spacing w:line="274" w:lineRule="exact"/>
              <w:ind w:left="200"/>
              <w:rPr>
                <w:sz w:val="11"/>
              </w:rPr>
            </w:pPr>
            <w:r>
              <w:rPr>
                <w:sz w:val="21"/>
              </w:rPr>
              <w:t>咽能力完全丧失</w:t>
            </w:r>
            <w:r>
              <w:rPr>
                <w:position w:val="11"/>
                <w:sz w:val="11"/>
              </w:rPr>
              <w:t>（18）</w:t>
            </w:r>
          </w:p>
        </w:tc>
        <w:tc>
          <w:tcPr>
            <w:tcW w:w="7853" w:type="dxa"/>
          </w:tcPr>
          <w:p>
            <w:pPr>
              <w:pStyle w:val="TableParagraph"/>
              <w:spacing w:line="242" w:lineRule="exact"/>
              <w:ind w:left="79"/>
              <w:rPr>
                <w:sz w:val="21"/>
              </w:rPr>
            </w:pPr>
            <w:r>
              <w:rPr>
                <w:sz w:val="21"/>
              </w:rPr>
              <w:t>：语言能力完全丧失，指无法发出四种语音（包括口唇音、齿舌音、口盖音和喉头</w:t>
            </w:r>
          </w:p>
          <w:p>
            <w:pPr>
              <w:pStyle w:val="TableParagraph"/>
              <w:spacing w:line="237" w:lineRule="auto" w:before="2"/>
              <w:ind w:left="278" w:right="302" w:firstLine="12"/>
              <w:rPr>
                <w:sz w:val="21"/>
              </w:rPr>
            </w:pPr>
            <w:r>
              <w:rPr>
                <w:sz w:val="21"/>
              </w:rPr>
              <w:t>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60" w:hRule="atLeast"/>
        </w:trPr>
        <w:tc>
          <w:tcPr>
            <w:tcW w:w="2077" w:type="dxa"/>
          </w:tcPr>
          <w:p>
            <w:pPr>
              <w:pStyle w:val="TableParagraph"/>
              <w:spacing w:line="241" w:lineRule="exact"/>
              <w:ind w:left="200"/>
              <w:rPr>
                <w:sz w:val="21"/>
              </w:rPr>
            </w:pPr>
            <w:r>
              <w:rPr>
                <w:sz w:val="21"/>
              </w:rPr>
              <w:t>六项基本日常生活</w:t>
            </w:r>
          </w:p>
          <w:p>
            <w:pPr>
              <w:pStyle w:val="TableParagraph"/>
              <w:spacing w:line="274" w:lineRule="exact"/>
              <w:ind w:left="200"/>
              <w:rPr>
                <w:sz w:val="11"/>
              </w:rPr>
            </w:pPr>
            <w:r>
              <w:rPr>
                <w:position w:val="-10"/>
                <w:sz w:val="21"/>
              </w:rPr>
              <w:t>活动</w:t>
            </w:r>
            <w:r>
              <w:rPr>
                <w:sz w:val="11"/>
              </w:rPr>
              <w:t>（19）</w:t>
            </w:r>
          </w:p>
        </w:tc>
        <w:tc>
          <w:tcPr>
            <w:tcW w:w="7853" w:type="dxa"/>
          </w:tcPr>
          <w:p>
            <w:pPr>
              <w:pStyle w:val="TableParagraph"/>
              <w:spacing w:line="242" w:lineRule="exact"/>
              <w:ind w:left="79"/>
              <w:rPr>
                <w:sz w:val="21"/>
              </w:rPr>
            </w:pPr>
            <w:r>
              <w:rPr>
                <w:spacing w:val="-123"/>
                <w:w w:val="100"/>
                <w:sz w:val="21"/>
              </w:rPr>
              <w:t>：</w:t>
            </w:r>
            <w:r>
              <w:rPr>
                <w:w w:val="100"/>
                <w:sz w:val="21"/>
              </w:rPr>
              <w:t>（1</w:t>
            </w:r>
            <w:r>
              <w:rPr>
                <w:spacing w:val="-17"/>
                <w:w w:val="100"/>
                <w:sz w:val="21"/>
              </w:rPr>
              <w:t>）</w:t>
            </w:r>
            <w:r>
              <w:rPr>
                <w:spacing w:val="-8"/>
                <w:w w:val="100"/>
                <w:sz w:val="21"/>
              </w:rPr>
              <w:t>六项基本日常生活活动是指：①穿衣：自己能够穿衣及脱衣；②移动：自己</w:t>
            </w:r>
          </w:p>
          <w:p>
            <w:pPr>
              <w:pStyle w:val="TableParagraph"/>
              <w:spacing w:line="237" w:lineRule="auto" w:before="2"/>
              <w:ind w:right="304"/>
              <w:rPr>
                <w:sz w:val="21"/>
              </w:rPr>
            </w:pPr>
            <w:r>
              <w:rPr>
                <w:spacing w:val="-10"/>
                <w:sz w:val="21"/>
              </w:rPr>
              <w:t>从一个房间到另一个房间；③行动：自己上下床或上下轮椅；④如厕：自己控制</w:t>
            </w:r>
            <w:r>
              <w:rPr>
                <w:spacing w:val="-13"/>
                <w:sz w:val="21"/>
              </w:rPr>
              <w:t>进行大小便；⑤进食：自己从已准备好的碗或碟中取食物放入口中；⑥洗澡：自</w:t>
            </w:r>
          </w:p>
          <w:p>
            <w:pPr>
              <w:pStyle w:val="TableParagraph"/>
              <w:spacing w:line="254" w:lineRule="exact"/>
              <w:rPr>
                <w:sz w:val="21"/>
              </w:rPr>
            </w:pPr>
            <w:r>
              <w:rPr>
                <w:sz w:val="21"/>
              </w:rPr>
              <w:t>己进行淋浴或盆浴。</w:t>
            </w:r>
          </w:p>
        </w:tc>
      </w:tr>
    </w:tbl>
    <w:p>
      <w:pPr>
        <w:pStyle w:val="BodyText"/>
        <w:rPr>
          <w:sz w:val="22"/>
        </w:rPr>
      </w:pPr>
    </w:p>
    <w:p>
      <w:pPr>
        <w:spacing w:before="26"/>
        <w:ind w:left="0" w:right="406" w:firstLine="0"/>
        <w:jc w:val="center"/>
        <w:rPr>
          <w:b/>
          <w:sz w:val="24"/>
        </w:rPr>
      </w:pPr>
      <w:r>
        <w:rPr>
          <w:b/>
          <w:w w:val="95"/>
          <w:sz w:val="24"/>
        </w:rPr>
        <w:t>[本页内容结束]</w:t>
      </w:r>
    </w:p>
    <w:sectPr>
      <w:pgSz w:w="11910" w:h="16840"/>
      <w:pgMar w:header="0" w:footer="466" w:top="1420" w:bottom="660" w:left="9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1.359985pt;margin-top:803.619934pt;width:47.1pt;height:12pt;mso-position-horizontal-relative:page;mso-position-vertical-relative:page;z-index:-18880" type="#_x0000_t202" filled="false" stroked="false">
          <v:textbox inset="0,0,0,0">
            <w:txbxContent>
              <w:p>
                <w:pPr>
                  <w:spacing w:before="12"/>
                  <w:ind w:left="20" w:right="0" w:firstLine="0"/>
                  <w:jc w:val="left"/>
                  <w:rPr>
                    <w:rFonts w:ascii="Times New Roman"/>
                    <w:sz w:val="18"/>
                  </w:rPr>
                </w:pPr>
                <w:r>
                  <w:rPr>
                    <w:rFonts w:ascii="Times New Roman"/>
                    <w:sz w:val="18"/>
                  </w:rPr>
                  <w:t>LGCI5R   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3"/>
      </w:rPr>
    </w:pPr>
    <w:r>
      <w:rPr/>
      <w:pict>
        <v:shape style="position:absolute;margin-left:462.559998pt;margin-top:802.302979pt;width:52.7pt;height:13.3pt;mso-position-horizontal-relative:page;mso-position-vertical-relative:page;z-index:-18856" type="#_x0000_t202" filled="false" stroked="false">
          <v:textbox inset="0,0,0,0">
            <w:txbxContent>
              <w:p>
                <w:pPr>
                  <w:spacing w:before="38"/>
                  <w:ind w:left="20" w:right="0" w:firstLine="0"/>
                  <w:jc w:val="left"/>
                  <w:rPr>
                    <w:rFonts w:ascii="Times New Roman"/>
                    <w:sz w:val="18"/>
                  </w:rPr>
                </w:pPr>
                <w:r>
                  <w:rPr>
                    <w:rFonts w:ascii="Times New Roman"/>
                    <w:sz w:val="18"/>
                  </w:rPr>
                  <w:t>LGCI5R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2" w:hanging="421"/>
        <w:jc w:val="left"/>
      </w:pPr>
      <w:rPr>
        <w:rFonts w:hint="default"/>
        <w:w w:val="100"/>
      </w:rPr>
    </w:lvl>
    <w:lvl w:ilvl="1">
      <w:start w:val="0"/>
      <w:numFmt w:val="bullet"/>
      <w:lvlText w:val="•"/>
      <w:lvlJc w:val="left"/>
      <w:pPr>
        <w:ind w:left="2012" w:hanging="421"/>
      </w:pPr>
      <w:rPr>
        <w:rFonts w:hint="default"/>
      </w:rPr>
    </w:lvl>
    <w:lvl w:ilvl="2">
      <w:start w:val="0"/>
      <w:numFmt w:val="bullet"/>
      <w:lvlText w:val="•"/>
      <w:lvlJc w:val="left"/>
      <w:pPr>
        <w:ind w:left="2885" w:hanging="421"/>
      </w:pPr>
      <w:rPr>
        <w:rFonts w:hint="default"/>
      </w:rPr>
    </w:lvl>
    <w:lvl w:ilvl="3">
      <w:start w:val="0"/>
      <w:numFmt w:val="bullet"/>
      <w:lvlText w:val="•"/>
      <w:lvlJc w:val="left"/>
      <w:pPr>
        <w:ind w:left="3757" w:hanging="421"/>
      </w:pPr>
      <w:rPr>
        <w:rFonts w:hint="default"/>
      </w:rPr>
    </w:lvl>
    <w:lvl w:ilvl="4">
      <w:start w:val="0"/>
      <w:numFmt w:val="bullet"/>
      <w:lvlText w:val="•"/>
      <w:lvlJc w:val="left"/>
      <w:pPr>
        <w:ind w:left="4630" w:hanging="421"/>
      </w:pPr>
      <w:rPr>
        <w:rFonts w:hint="default"/>
      </w:rPr>
    </w:lvl>
    <w:lvl w:ilvl="5">
      <w:start w:val="0"/>
      <w:numFmt w:val="bullet"/>
      <w:lvlText w:val="•"/>
      <w:lvlJc w:val="left"/>
      <w:pPr>
        <w:ind w:left="5503" w:hanging="421"/>
      </w:pPr>
      <w:rPr>
        <w:rFonts w:hint="default"/>
      </w:rPr>
    </w:lvl>
    <w:lvl w:ilvl="6">
      <w:start w:val="0"/>
      <w:numFmt w:val="bullet"/>
      <w:lvlText w:val="•"/>
      <w:lvlJc w:val="left"/>
      <w:pPr>
        <w:ind w:left="6375" w:hanging="421"/>
      </w:pPr>
      <w:rPr>
        <w:rFonts w:hint="default"/>
      </w:rPr>
    </w:lvl>
    <w:lvl w:ilvl="7">
      <w:start w:val="0"/>
      <w:numFmt w:val="bullet"/>
      <w:lvlText w:val="•"/>
      <w:lvlJc w:val="left"/>
      <w:pPr>
        <w:ind w:left="7248" w:hanging="421"/>
      </w:pPr>
      <w:rPr>
        <w:rFonts w:hint="default"/>
      </w:rPr>
    </w:lvl>
    <w:lvl w:ilvl="8">
      <w:start w:val="0"/>
      <w:numFmt w:val="bullet"/>
      <w:lvlText w:val="•"/>
      <w:lvlJc w:val="left"/>
      <w:pPr>
        <w:ind w:left="8121" w:hanging="421"/>
      </w:pPr>
      <w:rPr>
        <w:rFonts w:hint="default"/>
      </w:rPr>
    </w:lvl>
  </w:abstractNum>
  <w:abstractNum w:abstractNumId="10">
    <w:multiLevelType w:val="hybridMultilevel"/>
    <w:lvl w:ilvl="0">
      <w:start w:val="1"/>
      <w:numFmt w:val="decimal"/>
      <w:lvlText w:val="（%1）"/>
      <w:lvlJc w:val="left"/>
      <w:pPr>
        <w:ind w:left="1350" w:hanging="747"/>
        <w:jc w:val="left"/>
      </w:pPr>
      <w:rPr>
        <w:rFonts w:hint="default" w:ascii="宋体" w:hAnsi="宋体" w:eastAsia="宋体" w:cs="宋体"/>
        <w:w w:val="100"/>
        <w:sz w:val="21"/>
        <w:szCs w:val="21"/>
      </w:rPr>
    </w:lvl>
    <w:lvl w:ilvl="1">
      <w:start w:val="0"/>
      <w:numFmt w:val="bullet"/>
      <w:lvlText w:val="•"/>
      <w:lvlJc w:val="left"/>
      <w:pPr>
        <w:ind w:left="2064" w:hanging="747"/>
      </w:pPr>
      <w:rPr>
        <w:rFonts w:hint="default"/>
      </w:rPr>
    </w:lvl>
    <w:lvl w:ilvl="2">
      <w:start w:val="0"/>
      <w:numFmt w:val="bullet"/>
      <w:lvlText w:val="•"/>
      <w:lvlJc w:val="left"/>
      <w:pPr>
        <w:ind w:left="2768" w:hanging="747"/>
      </w:pPr>
      <w:rPr>
        <w:rFonts w:hint="default"/>
      </w:rPr>
    </w:lvl>
    <w:lvl w:ilvl="3">
      <w:start w:val="0"/>
      <w:numFmt w:val="bullet"/>
      <w:lvlText w:val="•"/>
      <w:lvlJc w:val="left"/>
      <w:pPr>
        <w:ind w:left="3472" w:hanging="747"/>
      </w:pPr>
      <w:rPr>
        <w:rFonts w:hint="default"/>
      </w:rPr>
    </w:lvl>
    <w:lvl w:ilvl="4">
      <w:start w:val="0"/>
      <w:numFmt w:val="bullet"/>
      <w:lvlText w:val="•"/>
      <w:lvlJc w:val="left"/>
      <w:pPr>
        <w:ind w:left="4177" w:hanging="747"/>
      </w:pPr>
      <w:rPr>
        <w:rFonts w:hint="default"/>
      </w:rPr>
    </w:lvl>
    <w:lvl w:ilvl="5">
      <w:start w:val="0"/>
      <w:numFmt w:val="bullet"/>
      <w:lvlText w:val="•"/>
      <w:lvlJc w:val="left"/>
      <w:pPr>
        <w:ind w:left="4881" w:hanging="747"/>
      </w:pPr>
      <w:rPr>
        <w:rFonts w:hint="default"/>
      </w:rPr>
    </w:lvl>
    <w:lvl w:ilvl="6">
      <w:start w:val="0"/>
      <w:numFmt w:val="bullet"/>
      <w:lvlText w:val="•"/>
      <w:lvlJc w:val="left"/>
      <w:pPr>
        <w:ind w:left="5585" w:hanging="747"/>
      </w:pPr>
      <w:rPr>
        <w:rFonts w:hint="default"/>
      </w:rPr>
    </w:lvl>
    <w:lvl w:ilvl="7">
      <w:start w:val="0"/>
      <w:numFmt w:val="bullet"/>
      <w:lvlText w:val="•"/>
      <w:lvlJc w:val="left"/>
      <w:pPr>
        <w:ind w:left="6290" w:hanging="747"/>
      </w:pPr>
      <w:rPr>
        <w:rFonts w:hint="default"/>
      </w:rPr>
    </w:lvl>
    <w:lvl w:ilvl="8">
      <w:start w:val="0"/>
      <w:numFmt w:val="bullet"/>
      <w:lvlText w:val="•"/>
      <w:lvlJc w:val="left"/>
      <w:pPr>
        <w:ind w:left="6994" w:hanging="747"/>
      </w:pPr>
      <w:rPr>
        <w:rFonts w:hint="default"/>
      </w:rPr>
    </w:lvl>
  </w:abstractNum>
  <w:abstractNum w:abstractNumId="9">
    <w:multiLevelType w:val="hybridMultilevel"/>
    <w:lvl w:ilvl="0">
      <w:start w:val="1"/>
      <w:numFmt w:val="decimal"/>
      <w:lvlText w:val="（%1）"/>
      <w:lvlJc w:val="left"/>
      <w:pPr>
        <w:ind w:left="1364" w:hanging="747"/>
        <w:jc w:val="left"/>
      </w:pPr>
      <w:rPr>
        <w:rFonts w:hint="default" w:ascii="宋体" w:hAnsi="宋体" w:eastAsia="宋体" w:cs="宋体"/>
        <w:w w:val="100"/>
        <w:sz w:val="21"/>
        <w:szCs w:val="21"/>
      </w:rPr>
    </w:lvl>
    <w:lvl w:ilvl="1">
      <w:start w:val="0"/>
      <w:numFmt w:val="bullet"/>
      <w:lvlText w:val="•"/>
      <w:lvlJc w:val="left"/>
      <w:pPr>
        <w:ind w:left="2064" w:hanging="747"/>
      </w:pPr>
      <w:rPr>
        <w:rFonts w:hint="default"/>
      </w:rPr>
    </w:lvl>
    <w:lvl w:ilvl="2">
      <w:start w:val="0"/>
      <w:numFmt w:val="bullet"/>
      <w:lvlText w:val="•"/>
      <w:lvlJc w:val="left"/>
      <w:pPr>
        <w:ind w:left="2768" w:hanging="747"/>
      </w:pPr>
      <w:rPr>
        <w:rFonts w:hint="default"/>
      </w:rPr>
    </w:lvl>
    <w:lvl w:ilvl="3">
      <w:start w:val="0"/>
      <w:numFmt w:val="bullet"/>
      <w:lvlText w:val="•"/>
      <w:lvlJc w:val="left"/>
      <w:pPr>
        <w:ind w:left="3472" w:hanging="747"/>
      </w:pPr>
      <w:rPr>
        <w:rFonts w:hint="default"/>
      </w:rPr>
    </w:lvl>
    <w:lvl w:ilvl="4">
      <w:start w:val="0"/>
      <w:numFmt w:val="bullet"/>
      <w:lvlText w:val="•"/>
      <w:lvlJc w:val="left"/>
      <w:pPr>
        <w:ind w:left="4177" w:hanging="747"/>
      </w:pPr>
      <w:rPr>
        <w:rFonts w:hint="default"/>
      </w:rPr>
    </w:lvl>
    <w:lvl w:ilvl="5">
      <w:start w:val="0"/>
      <w:numFmt w:val="bullet"/>
      <w:lvlText w:val="•"/>
      <w:lvlJc w:val="left"/>
      <w:pPr>
        <w:ind w:left="4881" w:hanging="747"/>
      </w:pPr>
      <w:rPr>
        <w:rFonts w:hint="default"/>
      </w:rPr>
    </w:lvl>
    <w:lvl w:ilvl="6">
      <w:start w:val="0"/>
      <w:numFmt w:val="bullet"/>
      <w:lvlText w:val="•"/>
      <w:lvlJc w:val="left"/>
      <w:pPr>
        <w:ind w:left="5585" w:hanging="747"/>
      </w:pPr>
      <w:rPr>
        <w:rFonts w:hint="default"/>
      </w:rPr>
    </w:lvl>
    <w:lvl w:ilvl="7">
      <w:start w:val="0"/>
      <w:numFmt w:val="bullet"/>
      <w:lvlText w:val="•"/>
      <w:lvlJc w:val="left"/>
      <w:pPr>
        <w:ind w:left="6290" w:hanging="747"/>
      </w:pPr>
      <w:rPr>
        <w:rFonts w:hint="default"/>
      </w:rPr>
    </w:lvl>
    <w:lvl w:ilvl="8">
      <w:start w:val="0"/>
      <w:numFmt w:val="bullet"/>
      <w:lvlText w:val="•"/>
      <w:lvlJc w:val="left"/>
      <w:pPr>
        <w:ind w:left="6994" w:hanging="747"/>
      </w:pPr>
      <w:rPr>
        <w:rFonts w:hint="default"/>
      </w:rPr>
    </w:lvl>
  </w:abstractNum>
  <w:abstractNum w:abstractNumId="8">
    <w:multiLevelType w:val="hybridMultilevel"/>
    <w:lvl w:ilvl="0">
      <w:start w:val="1"/>
      <w:numFmt w:val="decimal"/>
      <w:lvlText w:val="（%1）"/>
      <w:lvlJc w:val="left"/>
      <w:pPr>
        <w:ind w:left="1364" w:hanging="747"/>
        <w:jc w:val="left"/>
      </w:pPr>
      <w:rPr>
        <w:rFonts w:hint="default" w:ascii="宋体" w:hAnsi="宋体" w:eastAsia="宋体" w:cs="宋体"/>
        <w:w w:val="100"/>
        <w:sz w:val="21"/>
        <w:szCs w:val="21"/>
      </w:rPr>
    </w:lvl>
    <w:lvl w:ilvl="1">
      <w:start w:val="0"/>
      <w:numFmt w:val="bullet"/>
      <w:lvlText w:val="•"/>
      <w:lvlJc w:val="left"/>
      <w:pPr>
        <w:ind w:left="2064" w:hanging="747"/>
      </w:pPr>
      <w:rPr>
        <w:rFonts w:hint="default"/>
      </w:rPr>
    </w:lvl>
    <w:lvl w:ilvl="2">
      <w:start w:val="0"/>
      <w:numFmt w:val="bullet"/>
      <w:lvlText w:val="•"/>
      <w:lvlJc w:val="left"/>
      <w:pPr>
        <w:ind w:left="2768" w:hanging="747"/>
      </w:pPr>
      <w:rPr>
        <w:rFonts w:hint="default"/>
      </w:rPr>
    </w:lvl>
    <w:lvl w:ilvl="3">
      <w:start w:val="0"/>
      <w:numFmt w:val="bullet"/>
      <w:lvlText w:val="•"/>
      <w:lvlJc w:val="left"/>
      <w:pPr>
        <w:ind w:left="3472" w:hanging="747"/>
      </w:pPr>
      <w:rPr>
        <w:rFonts w:hint="default"/>
      </w:rPr>
    </w:lvl>
    <w:lvl w:ilvl="4">
      <w:start w:val="0"/>
      <w:numFmt w:val="bullet"/>
      <w:lvlText w:val="•"/>
      <w:lvlJc w:val="left"/>
      <w:pPr>
        <w:ind w:left="4177" w:hanging="747"/>
      </w:pPr>
      <w:rPr>
        <w:rFonts w:hint="default"/>
      </w:rPr>
    </w:lvl>
    <w:lvl w:ilvl="5">
      <w:start w:val="0"/>
      <w:numFmt w:val="bullet"/>
      <w:lvlText w:val="•"/>
      <w:lvlJc w:val="left"/>
      <w:pPr>
        <w:ind w:left="4881" w:hanging="747"/>
      </w:pPr>
      <w:rPr>
        <w:rFonts w:hint="default"/>
      </w:rPr>
    </w:lvl>
    <w:lvl w:ilvl="6">
      <w:start w:val="0"/>
      <w:numFmt w:val="bullet"/>
      <w:lvlText w:val="•"/>
      <w:lvlJc w:val="left"/>
      <w:pPr>
        <w:ind w:left="5585" w:hanging="747"/>
      </w:pPr>
      <w:rPr>
        <w:rFonts w:hint="default"/>
      </w:rPr>
    </w:lvl>
    <w:lvl w:ilvl="7">
      <w:start w:val="0"/>
      <w:numFmt w:val="bullet"/>
      <w:lvlText w:val="•"/>
      <w:lvlJc w:val="left"/>
      <w:pPr>
        <w:ind w:left="6290" w:hanging="747"/>
      </w:pPr>
      <w:rPr>
        <w:rFonts w:hint="default"/>
      </w:rPr>
    </w:lvl>
    <w:lvl w:ilvl="8">
      <w:start w:val="0"/>
      <w:numFmt w:val="bullet"/>
      <w:lvlText w:val="•"/>
      <w:lvlJc w:val="left"/>
      <w:pPr>
        <w:ind w:left="6994" w:hanging="747"/>
      </w:pPr>
      <w:rPr>
        <w:rFonts w:hint="default"/>
      </w:rPr>
    </w:lvl>
  </w:abstractNum>
  <w:abstractNum w:abstractNumId="7">
    <w:multiLevelType w:val="hybridMultilevel"/>
    <w:lvl w:ilvl="0">
      <w:start w:val="1"/>
      <w:numFmt w:val="decimal"/>
      <w:lvlText w:val="（%1）"/>
      <w:lvlJc w:val="left"/>
      <w:pPr>
        <w:ind w:left="1350" w:hanging="747"/>
        <w:jc w:val="left"/>
      </w:pPr>
      <w:rPr>
        <w:rFonts w:hint="default" w:ascii="宋体" w:hAnsi="宋体" w:eastAsia="宋体" w:cs="宋体"/>
        <w:w w:val="100"/>
        <w:sz w:val="21"/>
        <w:szCs w:val="21"/>
      </w:rPr>
    </w:lvl>
    <w:lvl w:ilvl="1">
      <w:start w:val="0"/>
      <w:numFmt w:val="bullet"/>
      <w:lvlText w:val="•"/>
      <w:lvlJc w:val="left"/>
      <w:pPr>
        <w:ind w:left="2064" w:hanging="747"/>
      </w:pPr>
      <w:rPr>
        <w:rFonts w:hint="default"/>
      </w:rPr>
    </w:lvl>
    <w:lvl w:ilvl="2">
      <w:start w:val="0"/>
      <w:numFmt w:val="bullet"/>
      <w:lvlText w:val="•"/>
      <w:lvlJc w:val="left"/>
      <w:pPr>
        <w:ind w:left="2768" w:hanging="747"/>
      </w:pPr>
      <w:rPr>
        <w:rFonts w:hint="default"/>
      </w:rPr>
    </w:lvl>
    <w:lvl w:ilvl="3">
      <w:start w:val="0"/>
      <w:numFmt w:val="bullet"/>
      <w:lvlText w:val="•"/>
      <w:lvlJc w:val="left"/>
      <w:pPr>
        <w:ind w:left="3472" w:hanging="747"/>
      </w:pPr>
      <w:rPr>
        <w:rFonts w:hint="default"/>
      </w:rPr>
    </w:lvl>
    <w:lvl w:ilvl="4">
      <w:start w:val="0"/>
      <w:numFmt w:val="bullet"/>
      <w:lvlText w:val="•"/>
      <w:lvlJc w:val="left"/>
      <w:pPr>
        <w:ind w:left="4177" w:hanging="747"/>
      </w:pPr>
      <w:rPr>
        <w:rFonts w:hint="default"/>
      </w:rPr>
    </w:lvl>
    <w:lvl w:ilvl="5">
      <w:start w:val="0"/>
      <w:numFmt w:val="bullet"/>
      <w:lvlText w:val="•"/>
      <w:lvlJc w:val="left"/>
      <w:pPr>
        <w:ind w:left="4881" w:hanging="747"/>
      </w:pPr>
      <w:rPr>
        <w:rFonts w:hint="default"/>
      </w:rPr>
    </w:lvl>
    <w:lvl w:ilvl="6">
      <w:start w:val="0"/>
      <w:numFmt w:val="bullet"/>
      <w:lvlText w:val="•"/>
      <w:lvlJc w:val="left"/>
      <w:pPr>
        <w:ind w:left="5585" w:hanging="747"/>
      </w:pPr>
      <w:rPr>
        <w:rFonts w:hint="default"/>
      </w:rPr>
    </w:lvl>
    <w:lvl w:ilvl="7">
      <w:start w:val="0"/>
      <w:numFmt w:val="bullet"/>
      <w:lvlText w:val="•"/>
      <w:lvlJc w:val="left"/>
      <w:pPr>
        <w:ind w:left="6290" w:hanging="747"/>
      </w:pPr>
      <w:rPr>
        <w:rFonts w:hint="default"/>
      </w:rPr>
    </w:lvl>
    <w:lvl w:ilvl="8">
      <w:start w:val="0"/>
      <w:numFmt w:val="bullet"/>
      <w:lvlText w:val="•"/>
      <w:lvlJc w:val="left"/>
      <w:pPr>
        <w:ind w:left="6994" w:hanging="747"/>
      </w:pPr>
      <w:rPr>
        <w:rFonts w:hint="default"/>
      </w:rPr>
    </w:lvl>
  </w:abstractNum>
  <w:abstractNum w:abstractNumId="6">
    <w:multiLevelType w:val="hybridMultilevel"/>
    <w:lvl w:ilvl="0">
      <w:start w:val="1"/>
      <w:numFmt w:val="decimal"/>
      <w:lvlText w:val="（%1）"/>
      <w:lvlJc w:val="left"/>
      <w:pPr>
        <w:ind w:left="1009" w:hanging="747"/>
        <w:jc w:val="left"/>
      </w:pPr>
      <w:rPr>
        <w:rFonts w:hint="default" w:ascii="黑体" w:hAnsi="黑体" w:eastAsia="黑体" w:cs="黑体"/>
        <w:b/>
        <w:bCs/>
        <w:spacing w:val="-3"/>
        <w:w w:val="100"/>
        <w:sz w:val="21"/>
        <w:szCs w:val="21"/>
      </w:rPr>
    </w:lvl>
    <w:lvl w:ilvl="1">
      <w:start w:val="0"/>
      <w:numFmt w:val="bullet"/>
      <w:lvlText w:val="•"/>
      <w:lvlJc w:val="left"/>
      <w:pPr>
        <w:ind w:left="1703" w:hanging="747"/>
      </w:pPr>
      <w:rPr>
        <w:rFonts w:hint="default"/>
      </w:rPr>
    </w:lvl>
    <w:lvl w:ilvl="2">
      <w:start w:val="0"/>
      <w:numFmt w:val="bullet"/>
      <w:lvlText w:val="•"/>
      <w:lvlJc w:val="left"/>
      <w:pPr>
        <w:ind w:left="2407" w:hanging="747"/>
      </w:pPr>
      <w:rPr>
        <w:rFonts w:hint="default"/>
      </w:rPr>
    </w:lvl>
    <w:lvl w:ilvl="3">
      <w:start w:val="0"/>
      <w:numFmt w:val="bullet"/>
      <w:lvlText w:val="•"/>
      <w:lvlJc w:val="left"/>
      <w:pPr>
        <w:ind w:left="3110" w:hanging="747"/>
      </w:pPr>
      <w:rPr>
        <w:rFonts w:hint="default"/>
      </w:rPr>
    </w:lvl>
    <w:lvl w:ilvl="4">
      <w:start w:val="0"/>
      <w:numFmt w:val="bullet"/>
      <w:lvlText w:val="•"/>
      <w:lvlJc w:val="left"/>
      <w:pPr>
        <w:ind w:left="3814" w:hanging="747"/>
      </w:pPr>
      <w:rPr>
        <w:rFonts w:hint="default"/>
      </w:rPr>
    </w:lvl>
    <w:lvl w:ilvl="5">
      <w:start w:val="0"/>
      <w:numFmt w:val="bullet"/>
      <w:lvlText w:val="•"/>
      <w:lvlJc w:val="left"/>
      <w:pPr>
        <w:ind w:left="4518" w:hanging="747"/>
      </w:pPr>
      <w:rPr>
        <w:rFonts w:hint="default"/>
      </w:rPr>
    </w:lvl>
    <w:lvl w:ilvl="6">
      <w:start w:val="0"/>
      <w:numFmt w:val="bullet"/>
      <w:lvlText w:val="•"/>
      <w:lvlJc w:val="left"/>
      <w:pPr>
        <w:ind w:left="5221" w:hanging="747"/>
      </w:pPr>
      <w:rPr>
        <w:rFonts w:hint="default"/>
      </w:rPr>
    </w:lvl>
    <w:lvl w:ilvl="7">
      <w:start w:val="0"/>
      <w:numFmt w:val="bullet"/>
      <w:lvlText w:val="•"/>
      <w:lvlJc w:val="left"/>
      <w:pPr>
        <w:ind w:left="5925" w:hanging="747"/>
      </w:pPr>
      <w:rPr>
        <w:rFonts w:hint="default"/>
      </w:rPr>
    </w:lvl>
    <w:lvl w:ilvl="8">
      <w:start w:val="0"/>
      <w:numFmt w:val="bullet"/>
      <w:lvlText w:val="•"/>
      <w:lvlJc w:val="left"/>
      <w:pPr>
        <w:ind w:left="6628" w:hanging="747"/>
      </w:pPr>
      <w:rPr>
        <w:rFonts w:hint="default"/>
      </w:rPr>
    </w:lvl>
  </w:abstractNum>
  <w:abstractNum w:abstractNumId="5">
    <w:multiLevelType w:val="hybridMultilevel"/>
    <w:lvl w:ilvl="0">
      <w:start w:val="1"/>
      <w:numFmt w:val="decimal"/>
      <w:lvlText w:val="（%1）"/>
      <w:lvlJc w:val="left"/>
      <w:pPr>
        <w:ind w:left="1009" w:hanging="747"/>
        <w:jc w:val="left"/>
      </w:pPr>
      <w:rPr>
        <w:rFonts w:hint="default" w:ascii="宋体" w:hAnsi="宋体" w:eastAsia="宋体" w:cs="宋体"/>
        <w:w w:val="100"/>
        <w:sz w:val="21"/>
        <w:szCs w:val="21"/>
      </w:rPr>
    </w:lvl>
    <w:lvl w:ilvl="1">
      <w:start w:val="0"/>
      <w:numFmt w:val="bullet"/>
      <w:lvlText w:val="•"/>
      <w:lvlJc w:val="left"/>
      <w:pPr>
        <w:ind w:left="1703" w:hanging="747"/>
      </w:pPr>
      <w:rPr>
        <w:rFonts w:hint="default"/>
      </w:rPr>
    </w:lvl>
    <w:lvl w:ilvl="2">
      <w:start w:val="0"/>
      <w:numFmt w:val="bullet"/>
      <w:lvlText w:val="•"/>
      <w:lvlJc w:val="left"/>
      <w:pPr>
        <w:ind w:left="2407" w:hanging="747"/>
      </w:pPr>
      <w:rPr>
        <w:rFonts w:hint="default"/>
      </w:rPr>
    </w:lvl>
    <w:lvl w:ilvl="3">
      <w:start w:val="0"/>
      <w:numFmt w:val="bullet"/>
      <w:lvlText w:val="•"/>
      <w:lvlJc w:val="left"/>
      <w:pPr>
        <w:ind w:left="3110" w:hanging="747"/>
      </w:pPr>
      <w:rPr>
        <w:rFonts w:hint="default"/>
      </w:rPr>
    </w:lvl>
    <w:lvl w:ilvl="4">
      <w:start w:val="0"/>
      <w:numFmt w:val="bullet"/>
      <w:lvlText w:val="•"/>
      <w:lvlJc w:val="left"/>
      <w:pPr>
        <w:ind w:left="3814" w:hanging="747"/>
      </w:pPr>
      <w:rPr>
        <w:rFonts w:hint="default"/>
      </w:rPr>
    </w:lvl>
    <w:lvl w:ilvl="5">
      <w:start w:val="0"/>
      <w:numFmt w:val="bullet"/>
      <w:lvlText w:val="•"/>
      <w:lvlJc w:val="left"/>
      <w:pPr>
        <w:ind w:left="4518" w:hanging="747"/>
      </w:pPr>
      <w:rPr>
        <w:rFonts w:hint="default"/>
      </w:rPr>
    </w:lvl>
    <w:lvl w:ilvl="6">
      <w:start w:val="0"/>
      <w:numFmt w:val="bullet"/>
      <w:lvlText w:val="•"/>
      <w:lvlJc w:val="left"/>
      <w:pPr>
        <w:ind w:left="5221" w:hanging="747"/>
      </w:pPr>
      <w:rPr>
        <w:rFonts w:hint="default"/>
      </w:rPr>
    </w:lvl>
    <w:lvl w:ilvl="7">
      <w:start w:val="0"/>
      <w:numFmt w:val="bullet"/>
      <w:lvlText w:val="•"/>
      <w:lvlJc w:val="left"/>
      <w:pPr>
        <w:ind w:left="5925" w:hanging="747"/>
      </w:pPr>
      <w:rPr>
        <w:rFonts w:hint="default"/>
      </w:rPr>
    </w:lvl>
    <w:lvl w:ilvl="8">
      <w:start w:val="0"/>
      <w:numFmt w:val="bullet"/>
      <w:lvlText w:val="•"/>
      <w:lvlJc w:val="left"/>
      <w:pPr>
        <w:ind w:left="6628" w:hanging="747"/>
      </w:pPr>
      <w:rPr>
        <w:rFonts w:hint="default"/>
      </w:rPr>
    </w:lvl>
  </w:abstractNum>
  <w:abstractNum w:abstractNumId="4">
    <w:multiLevelType w:val="hybridMultilevel"/>
    <w:lvl w:ilvl="0">
      <w:start w:val="1"/>
      <w:numFmt w:val="decimal"/>
      <w:lvlText w:val="（%1）"/>
      <w:lvlJc w:val="left"/>
      <w:pPr>
        <w:ind w:left="2522" w:hanging="747"/>
        <w:jc w:val="left"/>
      </w:pPr>
      <w:rPr>
        <w:rFonts w:hint="default" w:ascii="宋体" w:hAnsi="宋体" w:eastAsia="宋体" w:cs="宋体"/>
        <w:w w:val="100"/>
        <w:sz w:val="21"/>
        <w:szCs w:val="21"/>
      </w:rPr>
    </w:lvl>
    <w:lvl w:ilvl="1">
      <w:start w:val="0"/>
      <w:numFmt w:val="bullet"/>
      <w:lvlText w:val="•"/>
      <w:lvlJc w:val="left"/>
      <w:pPr>
        <w:ind w:left="3216" w:hanging="747"/>
      </w:pPr>
      <w:rPr>
        <w:rFonts w:hint="default"/>
      </w:rPr>
    </w:lvl>
    <w:lvl w:ilvl="2">
      <w:start w:val="0"/>
      <w:numFmt w:val="bullet"/>
      <w:lvlText w:val="•"/>
      <w:lvlJc w:val="left"/>
      <w:pPr>
        <w:ind w:left="3913" w:hanging="747"/>
      </w:pPr>
      <w:rPr>
        <w:rFonts w:hint="default"/>
      </w:rPr>
    </w:lvl>
    <w:lvl w:ilvl="3">
      <w:start w:val="0"/>
      <w:numFmt w:val="bullet"/>
      <w:lvlText w:val="•"/>
      <w:lvlJc w:val="left"/>
      <w:pPr>
        <w:ind w:left="4609" w:hanging="747"/>
      </w:pPr>
      <w:rPr>
        <w:rFonts w:hint="default"/>
      </w:rPr>
    </w:lvl>
    <w:lvl w:ilvl="4">
      <w:start w:val="0"/>
      <w:numFmt w:val="bullet"/>
      <w:lvlText w:val="•"/>
      <w:lvlJc w:val="left"/>
      <w:pPr>
        <w:ind w:left="5306" w:hanging="747"/>
      </w:pPr>
      <w:rPr>
        <w:rFonts w:hint="default"/>
      </w:rPr>
    </w:lvl>
    <w:lvl w:ilvl="5">
      <w:start w:val="0"/>
      <w:numFmt w:val="bullet"/>
      <w:lvlText w:val="•"/>
      <w:lvlJc w:val="left"/>
      <w:pPr>
        <w:ind w:left="6003" w:hanging="747"/>
      </w:pPr>
      <w:rPr>
        <w:rFonts w:hint="default"/>
      </w:rPr>
    </w:lvl>
    <w:lvl w:ilvl="6">
      <w:start w:val="0"/>
      <w:numFmt w:val="bullet"/>
      <w:lvlText w:val="•"/>
      <w:lvlJc w:val="left"/>
      <w:pPr>
        <w:ind w:left="6699" w:hanging="747"/>
      </w:pPr>
      <w:rPr>
        <w:rFonts w:hint="default"/>
      </w:rPr>
    </w:lvl>
    <w:lvl w:ilvl="7">
      <w:start w:val="0"/>
      <w:numFmt w:val="bullet"/>
      <w:lvlText w:val="•"/>
      <w:lvlJc w:val="left"/>
      <w:pPr>
        <w:ind w:left="7396" w:hanging="747"/>
      </w:pPr>
      <w:rPr>
        <w:rFonts w:hint="default"/>
      </w:rPr>
    </w:lvl>
    <w:lvl w:ilvl="8">
      <w:start w:val="0"/>
      <w:numFmt w:val="bullet"/>
      <w:lvlText w:val="•"/>
      <w:lvlJc w:val="left"/>
      <w:pPr>
        <w:ind w:left="8093" w:hanging="747"/>
      </w:pPr>
      <w:rPr>
        <w:rFonts w:hint="default"/>
      </w:rPr>
    </w:lvl>
  </w:abstractNum>
  <w:abstractNum w:abstractNumId="3">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2">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1">
    <w:multiLevelType w:val="hybridMultilevel"/>
    <w:lvl w:ilvl="0">
      <w:start w:val="1"/>
      <w:numFmt w:val="decimal"/>
      <w:lvlText w:val="%1."/>
      <w:lvlJc w:val="left"/>
      <w:pPr>
        <w:ind w:left="1147" w:hanging="617"/>
        <w:jc w:val="left"/>
      </w:pPr>
      <w:rPr>
        <w:rFonts w:hint="default" w:ascii="宋体" w:hAnsi="宋体" w:eastAsia="宋体" w:cs="宋体"/>
        <w:w w:val="100"/>
        <w:sz w:val="21"/>
        <w:szCs w:val="21"/>
      </w:rPr>
    </w:lvl>
    <w:lvl w:ilvl="1">
      <w:start w:val="1"/>
      <w:numFmt w:val="decimal"/>
      <w:lvlText w:val="%2."/>
      <w:lvlJc w:val="left"/>
      <w:pPr>
        <w:ind w:left="1821" w:hanging="507"/>
        <w:jc w:val="left"/>
      </w:pPr>
      <w:rPr>
        <w:rFonts w:hint="default" w:ascii="宋体" w:hAnsi="宋体" w:eastAsia="宋体" w:cs="宋体"/>
        <w:w w:val="100"/>
        <w:sz w:val="21"/>
        <w:szCs w:val="21"/>
      </w:rPr>
    </w:lvl>
    <w:lvl w:ilvl="2">
      <w:start w:val="1"/>
      <w:numFmt w:val="decimal"/>
      <w:lvlText w:val="（%3）"/>
      <w:lvlJc w:val="left"/>
      <w:pPr>
        <w:ind w:left="2548" w:hanging="747"/>
        <w:jc w:val="left"/>
      </w:pPr>
      <w:rPr>
        <w:rFonts w:hint="default" w:ascii="宋体" w:hAnsi="宋体" w:eastAsia="宋体" w:cs="宋体"/>
        <w:w w:val="100"/>
        <w:sz w:val="21"/>
        <w:szCs w:val="21"/>
      </w:rPr>
    </w:lvl>
    <w:lvl w:ilvl="3">
      <w:start w:val="0"/>
      <w:numFmt w:val="bullet"/>
      <w:lvlText w:val="•"/>
      <w:lvlJc w:val="left"/>
      <w:pPr>
        <w:ind w:left="3338" w:hanging="747"/>
      </w:pPr>
      <w:rPr>
        <w:rFonts w:hint="default"/>
      </w:rPr>
    </w:lvl>
    <w:lvl w:ilvl="4">
      <w:start w:val="0"/>
      <w:numFmt w:val="bullet"/>
      <w:lvlText w:val="•"/>
      <w:lvlJc w:val="left"/>
      <w:pPr>
        <w:ind w:left="4136" w:hanging="747"/>
      </w:pPr>
      <w:rPr>
        <w:rFonts w:hint="default"/>
      </w:rPr>
    </w:lvl>
    <w:lvl w:ilvl="5">
      <w:start w:val="0"/>
      <w:numFmt w:val="bullet"/>
      <w:lvlText w:val="•"/>
      <w:lvlJc w:val="left"/>
      <w:pPr>
        <w:ind w:left="493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531" w:hanging="747"/>
      </w:pPr>
      <w:rPr>
        <w:rFonts w:hint="default"/>
      </w:rPr>
    </w:lvl>
    <w:lvl w:ilvl="8">
      <w:start w:val="0"/>
      <w:numFmt w:val="bullet"/>
      <w:lvlText w:val="•"/>
      <w:lvlJc w:val="left"/>
      <w:pPr>
        <w:ind w:left="7329" w:hanging="747"/>
      </w:pPr>
      <w:rPr>
        <w:rFonts w:hint="default"/>
      </w:rPr>
    </w:lvl>
  </w:abstractNum>
  <w:num w:numId="1">
    <w:abstractNumId w:val="0"/>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8" w:hanging="746"/>
    </w:pPr>
    <w:rPr>
      <w:rFonts w:ascii="宋体" w:hAnsi="宋体" w:eastAsia="宋体" w:cs="宋体"/>
    </w:rPr>
  </w:style>
  <w:style w:styleId="TableParagraph" w:type="paragraph">
    <w:name w:val="Table Paragraph"/>
    <w:basedOn w:val="Normal"/>
    <w:uiPriority w:val="1"/>
    <w:qFormat/>
    <w:pPr>
      <w:ind w:left="2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2018-10-19T21:58:37Z</dcterms:created>
  <dcterms:modified xsi:type="dcterms:W3CDTF">2018-10-19T21:58:37Z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