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7"/>
        <w:ind w:left="0" w:right="415" w:firstLine="0"/>
        <w:jc w:val="right"/>
        <w:rPr>
          <w:sz w:val="16"/>
        </w:rPr>
      </w:pPr>
      <w:r>
        <w:rPr/>
        <w:drawing>
          <wp:anchor distT="0" distB="0" distL="0" distR="0" allowOverlap="1" layoutInCell="1" locked="0" behindDoc="0" simplePos="0" relativeHeight="0">
            <wp:simplePos x="0" y="0"/>
            <wp:positionH relativeFrom="page">
              <wp:posOffset>5700521</wp:posOffset>
            </wp:positionH>
            <wp:positionV relativeFrom="paragraph">
              <wp:posOffset>233350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幸福人寿﹝2011﹞疾病保险 013 号</w:t>
      </w:r>
    </w:p>
    <w:p>
      <w:pPr>
        <w:spacing w:before="50"/>
        <w:ind w:left="0" w:right="815" w:firstLine="0"/>
        <w:jc w:val="right"/>
        <w:rPr>
          <w:sz w:val="16"/>
        </w:rPr>
      </w:pPr>
      <w:r>
        <w:rPr>
          <w:w w:val="95"/>
          <w:sz w:val="16"/>
        </w:rPr>
        <w:t>请扫描以查询验证条款</w:t>
      </w:r>
    </w:p>
    <w:p>
      <w:pPr>
        <w:spacing w:line="220" w:lineRule="auto" w:before="132"/>
        <w:ind w:left="3262" w:right="3325" w:firstLine="0"/>
        <w:jc w:val="left"/>
        <w:rPr>
          <w:b/>
          <w:sz w:val="30"/>
        </w:rPr>
      </w:pPr>
      <w:r>
        <w:rPr>
          <w:b/>
          <w:sz w:val="30"/>
        </w:rPr>
        <w:t>幸福人寿保险股份有限公司</w:t>
      </w:r>
      <w:r>
        <w:rPr>
          <w:b/>
          <w:w w:val="95"/>
          <w:sz w:val="30"/>
        </w:rPr>
        <w:t>幸福附加财富重大疾病保险</w:t>
      </w:r>
    </w:p>
    <w:p>
      <w:pPr>
        <w:pStyle w:val="BodyText"/>
        <w:spacing w:before="0"/>
        <w:ind w:left="0"/>
        <w:rPr>
          <w:b/>
          <w:sz w:val="28"/>
        </w:rPr>
      </w:pPr>
    </w:p>
    <w:p>
      <w:pPr>
        <w:pStyle w:val="BodyText"/>
        <w:spacing w:before="27"/>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5000" w:right="4641"/>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3" w:after="0"/>
            <w:ind w:left="434" w:right="0" w:hanging="317"/>
            <w:jc w:val="left"/>
            <w:rPr>
              <w:rFonts w:ascii="Times New Roman" w:eastAsia="Times New Roman"/>
            </w:rPr>
          </w:pPr>
          <w:hyperlink w:history="true" w:anchor="_TOC_250024">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23">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22">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1">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20">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9">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8">
            <w:r>
              <w:rPr/>
              <w:t>保险金额</w:t>
              <w:tab/>
            </w:r>
            <w:r>
              <w:rPr>
                <w:rFonts w:ascii="Times New Roman" w:eastAsia="Times New Roman"/>
              </w:rPr>
              <w:t>2</w:t>
            </w:r>
          </w:hyperlink>
        </w:p>
        <w:p>
          <w:pPr>
            <w:pStyle w:val="TOC2"/>
            <w:numPr>
              <w:ilvl w:val="1"/>
              <w:numId w:val="1"/>
            </w:numPr>
            <w:tabs>
              <w:tab w:pos="1011" w:val="left" w:leader="none"/>
              <w:tab w:pos="1012" w:val="left" w:leader="none"/>
              <w:tab w:pos="9759" w:val="right" w:leader="dot"/>
            </w:tabs>
            <w:spacing w:line="240" w:lineRule="auto" w:before="21" w:after="0"/>
            <w:ind w:left="1011" w:right="0" w:hanging="474"/>
            <w:jc w:val="left"/>
            <w:rPr>
              <w:rFonts w:ascii="Times New Roman" w:eastAsia="Times New Roman"/>
            </w:rPr>
          </w:pPr>
          <w:hyperlink w:history="true" w:anchor="_TOC_250017">
            <w:r>
              <w:rPr/>
              <w:t>未成年人身故保险金额限制</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2">
            <w:r>
              <w:rPr/>
              <w:t>保险金申请</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11">
            <w:r>
              <w:rPr/>
              <w:t>宣告死亡处理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0">
            <w:r>
              <w:rPr/>
              <w:t>诉讼时效</w:t>
              <w:tab/>
            </w:r>
            <w:r>
              <w:rPr>
                <w:rFonts w:ascii="Times New Roman" w:eastAsia="Times New Roman"/>
              </w:rPr>
              <w:t>5</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9">
            <w:r>
              <w:rPr/>
              <w:t>如何交纳保险费</w:t>
              <w:tab/>
            </w:r>
            <w:r>
              <w:rPr>
                <w:rFonts w:ascii="Times New Roman" w:eastAsia="Times New Roman"/>
              </w:rPr>
              <w:t>5</w:t>
            </w:r>
          </w:hyperlink>
        </w:p>
        <w:p>
          <w:pPr>
            <w:pStyle w:val="TOC2"/>
            <w:numPr>
              <w:ilvl w:val="1"/>
              <w:numId w:val="1"/>
            </w:numPr>
            <w:tabs>
              <w:tab w:pos="907" w:val="left" w:leader="none"/>
              <w:tab w:pos="9760" w:val="right" w:leader="dot"/>
            </w:tabs>
            <w:spacing w:line="240" w:lineRule="auto" w:before="6" w:after="0"/>
            <w:ind w:left="906" w:right="0" w:hanging="369"/>
            <w:jc w:val="left"/>
            <w:rPr>
              <w:rFonts w:ascii="Times New Roman" w:eastAsia="Times New Roman"/>
            </w:rPr>
          </w:pPr>
          <w:hyperlink w:history="true" w:anchor="_TOC_250008">
            <w:r>
              <w:rPr/>
              <w:t>保险费的交纳</w:t>
              <w:tab/>
            </w:r>
            <w:r>
              <w:rPr>
                <w:rFonts w:ascii="Times New Roman" w:eastAsia="Times New Roman"/>
              </w:rPr>
              <w:t>5</w:t>
            </w:r>
          </w:hyperlink>
        </w:p>
        <w:p>
          <w:pPr>
            <w:pStyle w:val="TOC2"/>
            <w:numPr>
              <w:ilvl w:val="1"/>
              <w:numId w:val="1"/>
            </w:numPr>
            <w:tabs>
              <w:tab w:pos="907" w:val="left" w:leader="none"/>
              <w:tab w:pos="9760" w:val="right" w:leader="dot"/>
            </w:tabs>
            <w:spacing w:line="240" w:lineRule="auto" w:before="21" w:after="0"/>
            <w:ind w:left="906" w:right="0" w:hanging="369"/>
            <w:jc w:val="left"/>
            <w:rPr>
              <w:rFonts w:ascii="Times New Roman" w:eastAsia="Times New Roman"/>
            </w:rPr>
          </w:pPr>
          <w:hyperlink w:history="true" w:anchor="_TOC_250007">
            <w:r>
              <w:rPr/>
              <w:t>宽限期与续保</w:t>
              <w:tab/>
            </w:r>
            <w:r>
              <w:rPr>
                <w:rFonts w:ascii="Times New Roman" w:eastAsia="Times New Roman"/>
              </w:rPr>
              <w:t>6</w:t>
            </w:r>
          </w:hyperlink>
        </w:p>
        <w:p>
          <w:pPr>
            <w:pStyle w:val="TOC2"/>
            <w:numPr>
              <w:ilvl w:val="1"/>
              <w:numId w:val="1"/>
            </w:numPr>
            <w:tabs>
              <w:tab w:pos="907" w:val="left" w:leader="none"/>
              <w:tab w:pos="9760" w:val="right" w:leader="dot"/>
            </w:tabs>
            <w:spacing w:line="240" w:lineRule="auto" w:before="21" w:after="0"/>
            <w:ind w:left="906" w:right="0" w:hanging="369"/>
            <w:jc w:val="left"/>
            <w:rPr>
              <w:rFonts w:ascii="Times New Roman" w:eastAsia="Times New Roman"/>
            </w:rPr>
          </w:pPr>
          <w:hyperlink w:history="true" w:anchor="_TOC_250006">
            <w:r>
              <w:rPr/>
              <w:t>保证续保</w:t>
              <w:tab/>
            </w:r>
            <w:r>
              <w:rPr>
                <w:rFonts w:ascii="Times New Roman" w:eastAsia="Times New Roman"/>
              </w:rPr>
              <w:t>6</w:t>
            </w:r>
          </w:hyperlink>
        </w:p>
        <w:p>
          <w:pPr>
            <w:pStyle w:val="TOC1"/>
            <w:numPr>
              <w:ilvl w:val="0"/>
              <w:numId w:val="1"/>
            </w:numPr>
            <w:tabs>
              <w:tab w:pos="435" w:val="left" w:leader="none"/>
              <w:tab w:pos="9745" w:val="right" w:leader="dot"/>
            </w:tabs>
            <w:spacing w:line="240" w:lineRule="auto" w:before="66" w:after="0"/>
            <w:ind w:left="434" w:right="0" w:hanging="317"/>
            <w:jc w:val="left"/>
            <w:rPr>
              <w:rFonts w:ascii="Times New Roman" w:eastAsia="Times New Roman"/>
            </w:rPr>
          </w:pPr>
          <w:hyperlink w:history="true" w:anchor="_TOC_250005">
            <w:r>
              <w:rPr/>
              <w:t>其他事项</w:t>
              <w:tab/>
            </w:r>
            <w:r>
              <w:rPr>
                <w:rFonts w:ascii="Times New Roman" w:eastAsia="Times New Roman"/>
              </w:rPr>
              <w:t>6</w:t>
            </w:r>
          </w:hyperlink>
        </w:p>
        <w:p>
          <w:pPr>
            <w:pStyle w:val="TOC2"/>
            <w:numPr>
              <w:ilvl w:val="1"/>
              <w:numId w:val="1"/>
            </w:numPr>
            <w:tabs>
              <w:tab w:pos="1011" w:val="left" w:leader="none"/>
              <w:tab w:pos="1012" w:val="left" w:leader="none"/>
              <w:tab w:pos="9759" w:val="right" w:leader="dot"/>
            </w:tabs>
            <w:spacing w:line="240" w:lineRule="auto" w:before="6"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6</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03">
            <w:r>
              <w:rPr/>
              <w:t>扣除款项</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1">
            <w:r>
              <w:rPr/>
              <w:t>合同效力的终止</w:t>
              <w:tab/>
            </w:r>
            <w:r>
              <w:rPr>
                <w:rFonts w:ascii="Times New Roman" w:eastAsia="Times New Roman"/>
              </w:rPr>
              <w:t>6</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7</w:t>
            </w:r>
          </w:hyperlink>
        </w:p>
        <w:p>
          <w:pPr>
            <w:pStyle w:val="TOC2"/>
            <w:tabs>
              <w:tab w:pos="9759" w:val="right" w:leader="dot"/>
            </w:tabs>
            <w:ind w:left="537" w:firstLine="0"/>
            <w:rPr>
              <w:rFonts w:ascii="Times New Roman" w:eastAsia="Times New Roman"/>
            </w:rPr>
          </w:pPr>
          <w:r>
            <w:rPr/>
            <w:t>附件一：重大疾病名称和定义</w:t>
            <w:tab/>
          </w:r>
          <w:r>
            <w:rPr>
              <w:rFonts w:ascii="Times New Roman" w:eastAsia="Times New Roman"/>
            </w:rPr>
            <w:t>7</w:t>
          </w:r>
        </w:p>
      </w:sdtContent>
    </w:sdt>
    <w:p>
      <w:pPr>
        <w:spacing w:after="0"/>
        <w:rPr>
          <w:rFonts w:ascii="Times New Roman" w:eastAsia="Times New Roman"/>
        </w:rPr>
        <w:sectPr>
          <w:footerReference w:type="default" r:id="rId5"/>
          <w:type w:val="continuous"/>
          <w:pgSz w:w="11910" w:h="16840"/>
          <w:pgMar w:footer="1673" w:top="520" w:bottom="1860" w:left="960" w:right="740"/>
          <w:pgNumType w:start="1"/>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4"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3" w:id="2"/>
      <w:bookmarkEnd w:id="2"/>
      <w:r>
        <w:rPr>
          <w:w w:val="95"/>
        </w:rPr>
        <w:t>合同构成</w:t>
      </w:r>
    </w:p>
    <w:p>
      <w:pPr>
        <w:pStyle w:val="BodyText"/>
        <w:spacing w:line="230" w:lineRule="auto" w:before="0"/>
        <w:ind w:left="117" w:right="198" w:firstLine="420"/>
        <w:jc w:val="both"/>
      </w:pPr>
      <w:r>
        <w:rPr/>
        <w:t>幸福附加财富重大疾病保险合同（以下简称本附加险合同）由以下几个部分构成：本保险条款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2"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197" w:firstLine="358"/>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1" w:id="4"/>
      <w:bookmarkEnd w:id="4"/>
      <w:r>
        <w:rPr>
          <w:w w:val="95"/>
        </w:rPr>
        <w:t>投保范围</w:t>
      </w:r>
    </w:p>
    <w:p>
      <w:pPr>
        <w:pStyle w:val="BodyText"/>
        <w:spacing w:before="8"/>
        <w:ind w:left="537"/>
      </w:pPr>
      <w:r>
        <w:rPr/>
        <w:t>年龄为出生满 </w:t>
      </w:r>
      <w:r>
        <w:rPr>
          <w:rFonts w:ascii="Times New Roman" w:eastAsia="Times New Roman"/>
        </w:rPr>
        <w:t>30 </w:t>
      </w:r>
      <w:r>
        <w:rPr/>
        <w:t>天至 </w:t>
      </w:r>
      <w:r>
        <w:rPr>
          <w:rFonts w:ascii="Times New Roman" w:eastAsia="Times New Roman"/>
        </w:rPr>
        <w:t>60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、身体健康的人可作为本附加险合同的被保险人。续保时被保险人年龄不</w:t>
      </w:r>
    </w:p>
    <w:p>
      <w:pPr>
        <w:pStyle w:val="BodyText"/>
        <w:spacing w:before="8"/>
        <w:ind w:left="117"/>
      </w:pPr>
      <w:r>
        <w:rPr/>
        <w:t>超过 </w:t>
      </w:r>
      <w:r>
        <w:rPr>
          <w:rFonts w:ascii="Times New Roman" w:eastAsia="Times New Roman"/>
        </w:rPr>
        <w:t>64 </w:t>
      </w:r>
      <w:r>
        <w:rPr/>
        <w:t>周岁。</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20" w:id="5"/>
      <w:bookmarkEnd w:id="5"/>
      <w:r>
        <w:rPr>
          <w:w w:val="95"/>
        </w:rPr>
        <w:t>保险期间</w:t>
      </w:r>
    </w:p>
    <w:p>
      <w:pPr>
        <w:pStyle w:val="BodyText"/>
        <w:spacing w:before="0"/>
        <w:ind w:left="537"/>
      </w:pPr>
      <w:r>
        <w:rPr/>
        <w:t>本附加险合同的保险期间为 1 年。</w:t>
      </w:r>
    </w:p>
    <w:p>
      <w:pPr>
        <w:pStyle w:val="BodyText"/>
        <w:spacing w:before="10"/>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9"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8"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before="22"/>
        <w:ind w:left="117" w:right="198" w:firstLine="435"/>
      </w:pPr>
      <w:r>
        <w:rPr/>
        <w:t>本附加险合同的基本保险金额由您在投保时与我们约定并在保险单上载明。若该金额发生变更，则以变更后的金额为基本保险金额。</w:t>
      </w:r>
    </w:p>
    <w:p>
      <w:pPr>
        <w:pStyle w:val="BodyText"/>
        <w:spacing w:before="7"/>
        <w:ind w:left="117"/>
      </w:pPr>
      <w:r>
        <w:rPr/>
        <w:t>（</w:t>
      </w:r>
      <w:r>
        <w:rPr>
          <w:rFonts w:ascii="Times New Roman" w:eastAsia="Times New Roman"/>
        </w:rPr>
        <w:t>2</w:t>
      </w:r>
      <w:r>
        <w:rPr/>
        <w:t>）保险金额</w:t>
      </w:r>
    </w:p>
    <w:p>
      <w:pPr>
        <w:pStyle w:val="BodyText"/>
        <w:spacing w:before="30"/>
        <w:ind w:left="537"/>
      </w:pPr>
      <w:r>
        <w:rPr/>
        <w:t>本附加险合同的保险金额等于基本保险金额。</w:t>
      </w:r>
    </w:p>
    <w:p>
      <w:pPr>
        <w:pStyle w:val="BodyText"/>
        <w:spacing w:before="10"/>
        <w:ind w:left="0"/>
        <w:rPr>
          <w:sz w:val="24"/>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7" w:id="8"/>
      <w:bookmarkEnd w:id="8"/>
      <w:r>
        <w:rPr>
          <w:w w:val="95"/>
        </w:rPr>
        <w:t>未成年人身故保险金额限制</w:t>
      </w:r>
    </w:p>
    <w:p>
      <w:pPr>
        <w:pStyle w:val="BodyText"/>
        <w:spacing w:line="261" w:lineRule="auto" w:before="9"/>
        <w:ind w:left="117" w:right="198" w:firstLine="42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8"/>
        <w:ind w:left="0"/>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9"/>
      <w:bookmarkEnd w:id="9"/>
      <w:r>
        <w:rPr>
          <w:w w:val="95"/>
        </w:rPr>
        <w:t>保险责任</w:t>
      </w:r>
    </w:p>
    <w:p>
      <w:pPr>
        <w:pStyle w:val="BodyText"/>
        <w:spacing w:before="9"/>
        <w:ind w:left="537"/>
      </w:pPr>
      <w:r>
        <w:rPr/>
        <w:t>在本附加险合同有效期内，我们承担以下责任：</w:t>
      </w:r>
    </w:p>
    <w:p>
      <w:pPr>
        <w:pStyle w:val="BodyText"/>
        <w:spacing w:line="291" w:lineRule="exact" w:before="44"/>
        <w:ind w:left="117"/>
      </w:pPr>
      <w:r>
        <w:rPr/>
        <w:t>（</w:t>
      </w:r>
      <w:r>
        <w:rPr>
          <w:rFonts w:ascii="Times New Roman" w:eastAsia="Times New Roman"/>
        </w:rPr>
        <w:t>1</w:t>
      </w:r>
      <w:r>
        <w:rPr/>
        <w:t>）重大疾病保险金</w:t>
      </w:r>
    </w:p>
    <w:p>
      <w:pPr>
        <w:pStyle w:val="BodyText"/>
        <w:spacing w:before="0"/>
        <w:ind w:left="537"/>
      </w:pPr>
      <w:r>
        <w:rPr>
          <w:w w:val="95"/>
        </w:rPr>
        <w:t>自本附加险合同生效日起</w:t>
      </w:r>
      <w:r>
        <w:rPr>
          <w:rFonts w:ascii="Times New Roman" w:eastAsia="Times New Roman"/>
          <w:w w:val="95"/>
        </w:rPr>
        <w:t>90</w:t>
      </w:r>
      <w:r>
        <w:rPr>
          <w:w w:val="95"/>
        </w:rPr>
        <w:t>天后，被保险人首次</w:t>
      </w:r>
      <w:r>
        <w:rPr>
          <w:b/>
          <w:w w:val="95"/>
        </w:rPr>
        <w:t>发病</w:t>
      </w:r>
      <w:r>
        <w:rPr>
          <w:rFonts w:ascii="Times New Roman" w:eastAsia="Times New Roman"/>
          <w:w w:val="95"/>
          <w:vertAlign w:val="superscript"/>
        </w:rPr>
        <w:t>3</w:t>
      </w:r>
      <w:r>
        <w:rPr>
          <w:rFonts w:ascii="Times New Roman" w:eastAsia="Times New Roman"/>
          <w:w w:val="95"/>
          <w:vertAlign w:val="baseline"/>
        </w:rPr>
      </w:r>
      <w:r>
        <w:rPr>
          <w:w w:val="95"/>
          <w:vertAlign w:val="baseline"/>
        </w:rPr>
        <w:t>并经</w:t>
      </w:r>
      <w:r>
        <w:rPr>
          <w:b/>
          <w:w w:val="95"/>
          <w:vertAlign w:val="baseline"/>
        </w:rPr>
        <w:t>医院</w:t>
      </w:r>
      <w:r>
        <w:rPr>
          <w:rFonts w:ascii="Times New Roman" w:eastAsia="Times New Roman"/>
          <w:w w:val="95"/>
          <w:vertAlign w:val="superscript"/>
        </w:rPr>
        <w:t>4</w:t>
      </w:r>
      <w:r>
        <w:rPr>
          <w:rFonts w:ascii="Times New Roman" w:eastAsia="Times New Roman"/>
          <w:w w:val="95"/>
          <w:vertAlign w:val="baseline"/>
        </w:rPr>
      </w:r>
      <w:r>
        <w:rPr>
          <w:w w:val="95"/>
          <w:vertAlign w:val="baseline"/>
        </w:rPr>
        <w:t>确诊首次患一项或多项本条款附件一所</w:t>
      </w:r>
    </w:p>
    <w:p>
      <w:pPr>
        <w:pStyle w:val="BodyText"/>
        <w:spacing w:before="10"/>
        <w:ind w:left="0"/>
        <w:rPr>
          <w:sz w:val="14"/>
        </w:rPr>
      </w:pPr>
      <w:r>
        <w:rPr/>
        <w:pict>
          <v:line style="position:absolute;mso-position-horizontal-relative:page;mso-position-vertical-relative:paragraph;z-index:1048;mso-wrap-distance-left:0;mso-wrap-distance-right:0" from="53.880001pt,11.93409pt" to="197.880001pt,11.93409pt" stroked="true" strokeweight=".54001pt" strokecolor="#000000">
            <v:stroke dashstyle="solid"/>
            <w10:wrap type="topAndBottom"/>
          </v:line>
        </w:pict>
      </w:r>
    </w:p>
    <w:p>
      <w:pPr>
        <w:spacing w:line="234"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3"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before="0"/>
        <w:ind w:left="117" w:right="112" w:firstLine="0"/>
        <w:jc w:val="left"/>
        <w:rPr>
          <w:rFonts w:ascii="楷体" w:eastAsia="楷体" w:hint="eastAsia"/>
          <w:sz w:val="18"/>
        </w:rPr>
      </w:pPr>
      <w:r>
        <w:rPr>
          <w:rFonts w:ascii="Times New Roman" w:eastAsia="Times New Roman"/>
          <w:position w:val="8"/>
          <w:sz w:val="12"/>
        </w:rPr>
        <w:t>3 </w:t>
      </w:r>
      <w:r>
        <w:rPr>
          <w:rFonts w:ascii="楷体" w:eastAsia="楷体" w:hint="eastAsia"/>
          <w:b/>
          <w:sz w:val="18"/>
        </w:rPr>
        <w:t>发病：</w:t>
      </w:r>
      <w:r>
        <w:rPr>
          <w:rFonts w:ascii="楷体" w:eastAsia="楷体" w:hint="eastAsia"/>
          <w:sz w:val="18"/>
        </w:rPr>
        <w:t>指被保险人出现本附加险合同所界定疾病的前兆或异常的身体状况，或已经显现足以使一般人士引起注意并寻求诊断、治疗或护理的病症，但不包括本附加险合同生效或恢复效力前的任何疾病或症状。</w:t>
      </w:r>
    </w:p>
    <w:p>
      <w:pPr>
        <w:spacing w:line="233" w:lineRule="exact" w:before="1"/>
        <w:ind w:left="117" w:right="0" w:firstLine="0"/>
        <w:jc w:val="left"/>
        <w:rPr>
          <w:rFonts w:ascii="楷体" w:eastAsia="楷体" w:hint="eastAsia"/>
          <w:sz w:val="18"/>
        </w:rPr>
      </w:pPr>
      <w:r>
        <w:rPr>
          <w:rFonts w:ascii="Times New Roman" w:eastAsia="Times New Roman"/>
          <w:position w:val="8"/>
          <w:sz w:val="12"/>
        </w:rPr>
        <w:t>4 </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before="0"/>
        <w:ind w:left="117" w:right="19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after="0"/>
        <w:jc w:val="left"/>
        <w:rPr>
          <w:rFonts w:ascii="楷体" w:eastAsia="楷体" w:hint="eastAsia"/>
          <w:sz w:val="18"/>
        </w:rPr>
        <w:sectPr>
          <w:pgSz w:w="11910" w:h="16840"/>
          <w:pgMar w:header="0" w:footer="1673" w:top="1380" w:bottom="1920" w:left="960" w:right="720"/>
        </w:sectPr>
      </w:pPr>
    </w:p>
    <w:p>
      <w:pPr>
        <w:pStyle w:val="BodyText"/>
        <w:spacing w:line="273" w:lineRule="auto" w:before="5"/>
        <w:ind w:left="117" w:right="174"/>
      </w:pPr>
      <w:r>
        <w:rPr/>
        <w:t>定义的重大疾病，我们按被保险人确诊时本附加险合同的保险金额给付重大疾病保险金，本附加险合同效力终止。</w:t>
      </w:r>
    </w:p>
    <w:p>
      <w:pPr>
        <w:pStyle w:val="BodyText"/>
        <w:spacing w:line="237" w:lineRule="auto" w:before="0"/>
        <w:ind w:left="117" w:right="177" w:firstLine="420"/>
        <w:jc w:val="both"/>
      </w:pPr>
      <w:r>
        <w:rPr>
          <w:spacing w:val="-6"/>
        </w:rPr>
        <w:t>自本附加险合同生效日起 </w:t>
      </w:r>
      <w:r>
        <w:rPr/>
        <w:t>90</w:t>
      </w:r>
      <w:r>
        <w:rPr>
          <w:spacing w:val="-21"/>
        </w:rPr>
        <w:t> 天内</w:t>
      </w:r>
      <w:r>
        <w:rPr/>
        <w:t>（</w:t>
      </w:r>
      <w:r>
        <w:rPr>
          <w:spacing w:val="-21"/>
        </w:rPr>
        <w:t>含第 </w:t>
      </w:r>
      <w:r>
        <w:rPr/>
        <w:t>90</w:t>
      </w:r>
      <w:r>
        <w:rPr>
          <w:spacing w:val="-31"/>
        </w:rPr>
        <w:t> 天</w:t>
      </w:r>
      <w:r>
        <w:rPr/>
        <w:t>），被保险人经医院确诊患一项或多项本条款附件一所定义的重大疾病，我们无息返还本附加险合同已交保险费，本附加险合同效力终止。</w:t>
      </w:r>
    </w:p>
    <w:p>
      <w:pPr>
        <w:pStyle w:val="BodyText"/>
        <w:spacing w:line="271" w:lineRule="exact" w:before="10"/>
        <w:ind w:left="591"/>
      </w:pPr>
      <w:r>
        <w:rPr/>
        <w:t>以上所述 90 天为疾病观察期，续保时无疾病观察期。</w:t>
      </w:r>
    </w:p>
    <w:p>
      <w:pPr>
        <w:pStyle w:val="BodyText"/>
        <w:spacing w:line="230" w:lineRule="auto" w:before="10"/>
        <w:ind w:left="117" w:right="138" w:firstLine="420"/>
        <w:jc w:val="both"/>
      </w:pPr>
      <w:r>
        <w:rPr/>
        <w:t>如果被保险人遭受</w:t>
      </w:r>
      <w:r>
        <w:rPr>
          <w:b/>
        </w:rPr>
        <w:t>意外伤害事故</w:t>
      </w:r>
      <w:r>
        <w:rPr>
          <w:rFonts w:ascii="Times New Roman" w:eastAsia="Times New Roman"/>
          <w:b/>
          <w:spacing w:val="-20"/>
          <w:vertAlign w:val="superscript"/>
        </w:rPr>
        <w:t>5</w:t>
      </w:r>
      <w:r>
        <w:rPr>
          <w:rFonts w:ascii="Times New Roman" w:eastAsia="Times New Roman"/>
          <w:b/>
          <w:spacing w:val="-20"/>
          <w:vertAlign w:val="baseline"/>
        </w:rPr>
      </w:r>
      <w:r>
        <w:rPr>
          <w:spacing w:val="-5"/>
          <w:vertAlign w:val="baseline"/>
        </w:rPr>
        <w:t>，以该事故为直接且单独原因导致被保险人首次发病并经医院确诊首次患一项或多项本条款附件一所定义的重大疾病，我们按被保险人确诊时本附加险合同的保险金额给付重大疾病保险金，本附加险合同效力终止。</w:t>
      </w:r>
    </w:p>
    <w:p>
      <w:pPr>
        <w:pStyle w:val="BodyText"/>
        <w:spacing w:before="5"/>
        <w:ind w:left="0"/>
        <w:rPr>
          <w:sz w:val="27"/>
        </w:rPr>
      </w:pPr>
    </w:p>
    <w:p>
      <w:pPr>
        <w:pStyle w:val="BodyText"/>
        <w:spacing w:before="0"/>
        <w:ind w:left="117"/>
      </w:pPr>
      <w:r>
        <w:rPr/>
        <w:t>（</w:t>
      </w:r>
      <w:r>
        <w:rPr>
          <w:rFonts w:ascii="Times New Roman" w:eastAsia="Times New Roman"/>
        </w:rPr>
        <w:t>2</w:t>
      </w:r>
      <w:r>
        <w:rPr/>
        <w:t>）身故保险金</w:t>
      </w:r>
    </w:p>
    <w:p>
      <w:pPr>
        <w:pStyle w:val="BodyText"/>
        <w:spacing w:line="261" w:lineRule="auto" w:before="9"/>
        <w:ind w:left="117" w:right="138" w:firstLine="464"/>
      </w:pPr>
      <w:r>
        <w:rPr/>
        <w:t>自本附加险合同生效日起 90 天后，被保险人因疾病身故，我们按被保险人身故时本附加险合同的保险金额给付身故保险金，本附加险合同效力终止。</w:t>
      </w:r>
    </w:p>
    <w:p>
      <w:pPr>
        <w:pStyle w:val="BodyText"/>
        <w:spacing w:line="264" w:lineRule="auto" w:before="25"/>
        <w:ind w:left="117" w:right="139" w:firstLine="462"/>
      </w:pPr>
      <w:r>
        <w:rPr>
          <w:spacing w:val="-6"/>
        </w:rPr>
        <w:t>自本附加险合同生效日起 </w:t>
      </w:r>
      <w:r>
        <w:rPr/>
        <w:t>90</w:t>
      </w:r>
      <w:r>
        <w:rPr>
          <w:spacing w:val="-21"/>
        </w:rPr>
        <w:t> 天内</w:t>
      </w:r>
      <w:r>
        <w:rPr/>
        <w:t>（</w:t>
      </w:r>
      <w:r>
        <w:rPr>
          <w:spacing w:val="-21"/>
        </w:rPr>
        <w:t>含第 </w:t>
      </w:r>
      <w:r>
        <w:rPr/>
        <w:t>90</w:t>
      </w:r>
      <w:r>
        <w:rPr>
          <w:spacing w:val="-31"/>
        </w:rPr>
        <w:t> 天</w:t>
      </w:r>
      <w:r>
        <w:rPr>
          <w:spacing w:val="-3"/>
        </w:rPr>
        <w:t>）</w:t>
      </w:r>
      <w:r>
        <w:rPr>
          <w:spacing w:val="-2"/>
        </w:rPr>
        <w:t>，被保险人因疾病身故，我们无息退还本附加险合同已交保险费，本附加险合同效力终止。</w:t>
      </w:r>
    </w:p>
    <w:p>
      <w:pPr>
        <w:pStyle w:val="BodyText"/>
        <w:spacing w:line="250" w:lineRule="exact" w:before="0"/>
        <w:ind w:left="642"/>
      </w:pPr>
      <w:r>
        <w:rPr/>
        <w:t>以上所述 90 天为疾病观察期，续保时无疾病观察期。</w:t>
      </w:r>
    </w:p>
    <w:p>
      <w:pPr>
        <w:pStyle w:val="BodyText"/>
        <w:spacing w:line="261" w:lineRule="auto" w:before="46"/>
        <w:ind w:left="117" w:right="139" w:firstLine="462"/>
      </w:pPr>
      <w:r>
        <w:rPr/>
        <w:t>如果被保险人遭受意外伤害事故，以该事故为直接且单独原因导致被保险人身故，我们按被保险人身故时本附加险合同的保险金额给付身故保险金，本附加险合同效力终止。</w:t>
      </w:r>
    </w:p>
    <w:p>
      <w:pPr>
        <w:pStyle w:val="BodyText"/>
        <w:spacing w:before="0"/>
        <w:ind w:left="0"/>
        <w:rPr>
          <w:sz w:val="20"/>
        </w:rPr>
      </w:pPr>
    </w:p>
    <w:p>
      <w:pPr>
        <w:pStyle w:val="BodyText"/>
        <w:spacing w:before="2"/>
        <w:ind w:left="0"/>
        <w:rPr>
          <w:sz w:val="25"/>
        </w:rPr>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15" w:id="10"/>
      <w:bookmarkEnd w:id="10"/>
      <w:r>
        <w:rPr>
          <w:w w:val="95"/>
        </w:rPr>
        <w:t>责任免除</w:t>
      </w:r>
    </w:p>
    <w:p>
      <w:pPr>
        <w:spacing w:line="273" w:lineRule="auto" w:before="0"/>
        <w:ind w:left="117" w:right="132" w:firstLine="422"/>
        <w:jc w:val="both"/>
        <w:rPr>
          <w:b/>
          <w:sz w:val="21"/>
        </w:rPr>
      </w:pPr>
      <w:r>
        <w:rPr>
          <w:b/>
          <w:spacing w:val="3"/>
          <w:w w:val="95"/>
          <w:sz w:val="21"/>
        </w:rPr>
        <w:t>因下列情形之一导致被保险人患上本附加险合同所定义疾病的，我们不承担给付重大疾病保险金的责   </w:t>
      </w:r>
      <w:r>
        <w:rPr>
          <w:b/>
          <w:w w:val="95"/>
          <w:sz w:val="21"/>
        </w:rPr>
        <w:t>任，同时本附加险合同效力终止：</w:t>
      </w:r>
    </w:p>
    <w:p>
      <w:pPr>
        <w:spacing w:before="7"/>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0"/>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0"/>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6</w:t>
      </w:r>
      <w:r>
        <w:rPr>
          <w:rFonts w:ascii="Times New Roman" w:eastAsia="Times New Roman"/>
          <w:w w:val="95"/>
          <w:sz w:val="21"/>
          <w:vertAlign w:val="baseline"/>
        </w:rPr>
      </w:r>
      <w:r>
        <w:rPr>
          <w:b/>
          <w:w w:val="95"/>
          <w:sz w:val="21"/>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的机动车；</w:t>
      </w:r>
    </w:p>
    <w:p>
      <w:pPr>
        <w:spacing w:before="20"/>
        <w:ind w:left="117"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10</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0"/>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pStyle w:val="BodyText"/>
        <w:spacing w:before="10"/>
        <w:ind w:left="0"/>
        <w:rPr>
          <w:b/>
          <w:sz w:val="13"/>
        </w:rPr>
      </w:pPr>
      <w:r>
        <w:rPr/>
        <w:pict>
          <v:line style="position:absolute;mso-position-horizontal-relative:page;mso-position-vertical-relative:paragraph;z-index:1072;mso-wrap-distance-left:0;mso-wrap-distance-right:0" from="53.880001pt,11.291142pt" to="549.180001pt,11.291142pt" stroked="true" strokeweight=".54001pt" strokecolor="#000000">
            <v:stroke dashstyle="solid"/>
            <w10:wrap type="topAndBottom"/>
          </v:line>
        </w:pict>
      </w:r>
    </w:p>
    <w:p>
      <w:pPr>
        <w:pStyle w:val="BodyText"/>
        <w:spacing w:before="1"/>
        <w:ind w:left="0"/>
        <w:rPr>
          <w:b/>
          <w:sz w:val="24"/>
        </w:rPr>
      </w:pPr>
    </w:p>
    <w:p>
      <w:pPr>
        <w:spacing w:before="42"/>
        <w:ind w:left="117" w:right="0" w:firstLine="0"/>
        <w:jc w:val="both"/>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b/>
          <w:w w:val="95"/>
          <w:sz w:val="21"/>
        </w:rPr>
        <w:t>：</w:t>
      </w:r>
      <w:r>
        <w:rPr>
          <w:rFonts w:ascii="楷体" w:eastAsia="楷体" w:hint="eastAsia"/>
          <w:w w:val="95"/>
          <w:sz w:val="18"/>
        </w:rPr>
        <w:t>指外来的、突然的、非本意的、非疾病的使被保险人身体受到伤害的客观事件，不包括猝死。</w:t>
      </w:r>
    </w:p>
    <w:p>
      <w:pPr>
        <w:spacing w:before="47"/>
        <w:ind w:left="117" w:right="0" w:firstLine="0"/>
        <w:jc w:val="both"/>
        <w:rPr>
          <w:rFonts w:ascii="楷体" w:eastAsia="楷体" w:hint="eastAsia"/>
          <w:sz w:val="18"/>
        </w:rPr>
      </w:pPr>
      <w:r>
        <w:rPr>
          <w:rFonts w:ascii="Times New Roman" w:eastAsia="Times New Roman"/>
          <w:w w:val="95"/>
          <w:position w:val="10"/>
          <w:sz w:val="14"/>
        </w:rPr>
        <w:t>6</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69"/>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4" w:lineRule="exact" w:before="35"/>
        <w:ind w:left="117" w:right="0" w:firstLine="0"/>
        <w:jc w:val="both"/>
        <w:rPr>
          <w:rFonts w:ascii="楷体" w:eastAsia="楷体" w:hint="eastAsia"/>
          <w:sz w:val="18"/>
        </w:rPr>
      </w:pPr>
      <w:r>
        <w:rPr>
          <w:rFonts w:ascii="Times New Roman" w:eastAsia="Times New Roman"/>
          <w:w w:val="95"/>
          <w:position w:val="8"/>
          <w:sz w:val="12"/>
        </w:rPr>
        <w:t>7</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4" w:lineRule="exact" w:before="0"/>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before="24"/>
        <w:ind w:left="117" w:right="0" w:firstLine="0"/>
        <w:jc w:val="both"/>
        <w:rPr>
          <w:rFonts w:ascii="楷体" w:eastAsia="楷体" w:hint="eastAsia"/>
          <w:sz w:val="18"/>
        </w:rPr>
      </w:pPr>
      <w:r>
        <w:rPr>
          <w:rFonts w:ascii="Times New Roman" w:eastAsia="Times New Roman"/>
          <w:w w:val="95"/>
          <w:position w:val="10"/>
          <w:sz w:val="14"/>
        </w:rPr>
        <w:t>8</w:t>
      </w:r>
      <w:r>
        <w:rPr>
          <w:rFonts w:ascii="楷体" w:eastAsia="楷体" w:hint="eastAsia"/>
          <w:b/>
          <w:w w:val="95"/>
          <w:sz w:val="18"/>
        </w:rPr>
        <w:t>无合法有效驾驶证驾驶：</w:t>
      </w:r>
      <w:r>
        <w:rPr>
          <w:rFonts w:ascii="楷体" w:eastAsia="楷体" w:hint="eastAsia"/>
          <w:w w:val="95"/>
          <w:sz w:val="18"/>
        </w:rPr>
        <w:t>指下列情形之一：</w:t>
      </w:r>
    </w:p>
    <w:p>
      <w:pPr>
        <w:spacing w:before="69"/>
        <w:ind w:left="477" w:right="0" w:firstLine="0"/>
        <w:jc w:val="left"/>
        <w:rPr>
          <w:rFonts w:ascii="楷体" w:eastAsia="楷体" w:hint="eastAsia"/>
          <w:sz w:val="18"/>
        </w:rPr>
      </w:pPr>
      <w:r>
        <w:rPr>
          <w:rFonts w:ascii="楷体" w:eastAsia="楷体" w:hint="eastAsia"/>
          <w:sz w:val="18"/>
        </w:rPr>
        <w:t>（1）没有取得驾驶资格；</w:t>
      </w:r>
    </w:p>
    <w:p>
      <w:pPr>
        <w:spacing w:before="75"/>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5"/>
        <w:ind w:left="477" w:right="0" w:firstLine="0"/>
        <w:jc w:val="left"/>
        <w:rPr>
          <w:rFonts w:ascii="楷体" w:eastAsia="楷体" w:hint="eastAsia"/>
          <w:sz w:val="18"/>
        </w:rPr>
      </w:pPr>
      <w:r>
        <w:rPr>
          <w:rFonts w:ascii="楷体" w:eastAsia="楷体" w:hint="eastAsia"/>
          <w:sz w:val="18"/>
        </w:rPr>
        <w:t>（3）持审验不合格的驾驶证驾驶；</w:t>
      </w:r>
    </w:p>
    <w:p>
      <w:pPr>
        <w:spacing w:before="35"/>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17" w:right="0" w:firstLine="0"/>
        <w:jc w:val="both"/>
        <w:rPr>
          <w:rFonts w:ascii="楷体" w:eastAsia="楷体" w:hint="eastAsia"/>
          <w:sz w:val="18"/>
        </w:rPr>
      </w:pPr>
      <w:r>
        <w:rPr>
          <w:rFonts w:ascii="Times New Roman" w:eastAsia="Times New Roman"/>
          <w:w w:val="95"/>
          <w:position w:val="8"/>
          <w:sz w:val="12"/>
        </w:rPr>
        <w:t>9</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17" w:right="100" w:firstLine="0"/>
        <w:jc w:val="both"/>
        <w:rPr>
          <w:rFonts w:ascii="楷体" w:eastAsia="楷体" w:hint="eastAsia"/>
          <w:sz w:val="18"/>
        </w:rPr>
      </w:pPr>
      <w:r>
        <w:rPr>
          <w:rFonts w:ascii="Times New Roman" w:eastAsia="Times New Roman"/>
          <w:position w:val="8"/>
          <w:sz w:val="12"/>
        </w:rPr>
        <w:t>10</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after="0" w:line="237" w:lineRule="auto"/>
        <w:jc w:val="both"/>
        <w:rPr>
          <w:rFonts w:ascii="楷体" w:eastAsia="楷体" w:hint="eastAsia"/>
          <w:sz w:val="18"/>
        </w:rPr>
        <w:sectPr>
          <w:pgSz w:w="11910" w:h="16840"/>
          <w:pgMar w:header="0" w:footer="1673" w:top="1380" w:bottom="1880" w:left="960" w:right="780"/>
        </w:sectPr>
      </w:pPr>
    </w:p>
    <w:p>
      <w:pPr>
        <w:pStyle w:val="Heading1"/>
        <w:spacing w:before="25"/>
      </w:pPr>
      <w:r>
        <w:rPr>
          <w:w w:val="95"/>
        </w:rPr>
        <w:t>（</w:t>
      </w:r>
      <w:r>
        <w:rPr>
          <w:rFonts w:ascii="Times New Roman" w:eastAsia="Times New Roman"/>
          <w:w w:val="95"/>
        </w:rPr>
        <w:t>7</w:t>
      </w:r>
      <w:r>
        <w:rPr>
          <w:w w:val="95"/>
        </w:rPr>
        <w:t>）核爆炸、核辐射或核污染；</w:t>
      </w:r>
    </w:p>
    <w:p>
      <w:pPr>
        <w:spacing w:before="20"/>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11</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spacing w:line="261" w:lineRule="auto" w:before="30"/>
        <w:ind w:left="117" w:right="117" w:firstLine="412"/>
        <w:jc w:val="left"/>
        <w:rPr>
          <w:b/>
          <w:sz w:val="21"/>
        </w:rPr>
      </w:pPr>
      <w:r>
        <w:rPr>
          <w:b/>
          <w:sz w:val="21"/>
        </w:rPr>
        <w:t>发生上述第１项情形导致被保险人患上本附加险合同所定义疾病的，本附加险合同效力终止，我们向具</w:t>
      </w:r>
      <w:r>
        <w:rPr>
          <w:b/>
          <w:w w:val="95"/>
          <w:sz w:val="21"/>
        </w:rPr>
        <w:t>有受益权的受益人退还本附加险合同现金价值</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w:t>
      </w:r>
    </w:p>
    <w:p>
      <w:pPr>
        <w:spacing w:line="261" w:lineRule="auto" w:before="0"/>
        <w:ind w:left="117" w:right="118" w:firstLine="420"/>
        <w:jc w:val="left"/>
        <w:rPr>
          <w:b/>
          <w:sz w:val="21"/>
        </w:rPr>
      </w:pPr>
      <w:r>
        <w:rPr>
          <w:b/>
          <w:sz w:val="21"/>
        </w:rPr>
        <w:t>发生上述其他情形导致被保险人患上本附加险合同所定义疾病的，本附加险合同效力终止，我们向您退</w:t>
      </w:r>
      <w:r>
        <w:rPr>
          <w:b/>
          <w:w w:val="95"/>
          <w:sz w:val="21"/>
        </w:rPr>
        <w:t>还本附加险合同现金价值。</w:t>
      </w:r>
    </w:p>
    <w:p>
      <w:pPr>
        <w:pStyle w:val="BodyText"/>
        <w:spacing w:before="7"/>
        <w:ind w:left="0"/>
        <w:rPr>
          <w:b/>
        </w:rPr>
      </w:pPr>
    </w:p>
    <w:p>
      <w:pPr>
        <w:spacing w:before="0"/>
        <w:ind w:left="530" w:right="0" w:firstLine="0"/>
        <w:jc w:val="left"/>
        <w:rPr>
          <w:b/>
          <w:sz w:val="21"/>
        </w:rPr>
      </w:pPr>
      <w:r>
        <w:rPr>
          <w:b/>
          <w:w w:val="95"/>
          <w:sz w:val="21"/>
        </w:rPr>
        <w:t>因下列情形之一，导致被保险人身故的，我们不承担给付身故保险金的责任：</w:t>
      </w:r>
    </w:p>
    <w:p>
      <w:pPr>
        <w:spacing w:before="15"/>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）被保险人故意犯罪或者抗拒依法采取的刑事强制措施；</w:t>
      </w:r>
    </w:p>
    <w:p>
      <w:pPr>
        <w:spacing w:line="256" w:lineRule="auto" w:before="21"/>
        <w:ind w:left="117" w:right="120" w:hanging="1"/>
        <w:jc w:val="left"/>
        <w:rPr>
          <w:b/>
          <w:sz w:val="21"/>
        </w:rPr>
      </w:pPr>
      <w:r>
        <w:rPr>
          <w:b/>
          <w:sz w:val="21"/>
        </w:rPr>
        <w:t>（</w:t>
      </w:r>
      <w:r>
        <w:rPr>
          <w:rFonts w:ascii="Times New Roman" w:eastAsia="Times New Roman"/>
          <w:b/>
          <w:sz w:val="21"/>
        </w:rPr>
        <w:t>3</w:t>
      </w:r>
      <w:r>
        <w:rPr>
          <w:b/>
          <w:sz w:val="21"/>
        </w:rPr>
        <w:t>）被保险人自本附加险合同成立或者合同效力恢复之日起 </w:t>
      </w:r>
      <w:r>
        <w:rPr>
          <w:rFonts w:ascii="Times New Roman" w:eastAsia="Times New Roman"/>
          <w:b/>
          <w:sz w:val="21"/>
        </w:rPr>
        <w:t>2 </w:t>
      </w:r>
      <w:r>
        <w:rPr>
          <w:b/>
          <w:sz w:val="21"/>
        </w:rPr>
        <w:t>年内自杀，但被保险人自杀时为无民事行为</w:t>
      </w:r>
      <w:r>
        <w:rPr>
          <w:b/>
          <w:w w:val="95"/>
          <w:sz w:val="21"/>
        </w:rPr>
        <w:t>能力人</w:t>
      </w:r>
      <w:r>
        <w:rPr>
          <w:rFonts w:ascii="Times New Roman" w:eastAsia="Times New Roman"/>
          <w:b/>
          <w:w w:val="95"/>
          <w:sz w:val="21"/>
          <w:vertAlign w:val="superscript"/>
        </w:rPr>
        <w:t>14</w:t>
      </w:r>
      <w:r>
        <w:rPr>
          <w:rFonts w:ascii="Times New Roman" w:eastAsia="Times New Roman"/>
          <w:b/>
          <w:w w:val="95"/>
          <w:sz w:val="21"/>
          <w:vertAlign w:val="baseline"/>
        </w:rPr>
      </w:r>
      <w:r>
        <w:rPr>
          <w:b/>
          <w:w w:val="95"/>
          <w:sz w:val="21"/>
          <w:vertAlign w:val="baseline"/>
        </w:rPr>
        <w:t>的除外；</w:t>
      </w:r>
    </w:p>
    <w:p>
      <w:pPr>
        <w:spacing w:before="4"/>
        <w:ind w:left="117" w:right="0" w:firstLine="0"/>
        <w:jc w:val="left"/>
        <w:rPr>
          <w:b/>
          <w:sz w:val="21"/>
        </w:rPr>
      </w:pPr>
      <w:r>
        <w:rPr>
          <w:b/>
          <w:w w:val="95"/>
          <w:sz w:val="21"/>
        </w:rPr>
        <w:t>（</w:t>
      </w:r>
      <w:r>
        <w:rPr>
          <w:rFonts w:ascii="Times New Roman" w:eastAsia="Times New Roman"/>
          <w:b/>
          <w:w w:val="95"/>
          <w:sz w:val="21"/>
        </w:rPr>
        <w:t>4</w:t>
      </w:r>
      <w:r>
        <w:rPr>
          <w:b/>
          <w:w w:val="95"/>
          <w:sz w:val="21"/>
        </w:rPr>
        <w:t>）被保险人主动吸食或注射毒品；</w:t>
      </w:r>
    </w:p>
    <w:p>
      <w:pPr>
        <w:spacing w:before="20"/>
        <w:ind w:left="117" w:right="0" w:firstLine="0"/>
        <w:jc w:val="left"/>
        <w:rPr>
          <w:b/>
          <w:sz w:val="21"/>
        </w:rPr>
      </w:pPr>
      <w:r>
        <w:rPr>
          <w:b/>
          <w:w w:val="95"/>
          <w:sz w:val="21"/>
        </w:rPr>
        <w:t>（</w:t>
      </w:r>
      <w:r>
        <w:rPr>
          <w:rFonts w:ascii="Times New Roman" w:eastAsia="Times New Roman"/>
          <w:b/>
          <w:w w:val="95"/>
          <w:sz w:val="21"/>
        </w:rPr>
        <w:t>5</w:t>
      </w:r>
      <w:r>
        <w:rPr>
          <w:b/>
          <w:w w:val="95"/>
          <w:sz w:val="21"/>
        </w:rPr>
        <w:t>）被保险人酒后驾驶、无合法有效驾驶证驾驶，或驾驶无有效行驶证的机动车；</w:t>
      </w:r>
    </w:p>
    <w:p>
      <w:pPr>
        <w:spacing w:before="20"/>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0"/>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line="261" w:lineRule="auto" w:before="30"/>
        <w:ind w:left="117" w:right="117" w:firstLine="412"/>
        <w:jc w:val="left"/>
        <w:rPr>
          <w:b/>
          <w:sz w:val="21"/>
        </w:rPr>
      </w:pPr>
      <w:r>
        <w:rPr>
          <w:b/>
          <w:sz w:val="21"/>
        </w:rPr>
        <w:t>发生上述第１项情形导致被保险人身故的，本附加险合同效力终止，我们向具有受益权的受益人退还本</w:t>
      </w:r>
      <w:r>
        <w:rPr>
          <w:b/>
          <w:w w:val="95"/>
          <w:sz w:val="21"/>
        </w:rPr>
        <w:t>附加险合同的现金价值；</w:t>
      </w:r>
    </w:p>
    <w:p>
      <w:pPr>
        <w:spacing w:line="261" w:lineRule="auto" w:before="6"/>
        <w:ind w:left="117" w:right="118" w:firstLine="420"/>
        <w:jc w:val="left"/>
        <w:rPr>
          <w:b/>
          <w:sz w:val="21"/>
        </w:rPr>
      </w:pPr>
      <w:r>
        <w:rPr>
          <w:b/>
          <w:sz w:val="21"/>
        </w:rPr>
        <w:t>发生上述其他情形导致被保险人身故的，本附加险合同效力终止，我们向您退还本附加险合同的现金价值。</w:t>
      </w:r>
    </w:p>
    <w:p>
      <w:pPr>
        <w:pStyle w:val="BodyText"/>
        <w:spacing w:before="8"/>
        <w:ind w:left="0"/>
        <w:rPr>
          <w:b/>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1"/>
      <w:bookmarkEnd w:id="11"/>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2"/>
      <w:bookmarkEnd w:id="12"/>
      <w:r>
        <w:rPr>
          <w:w w:val="95"/>
        </w:rPr>
        <w:t>受益人</w:t>
      </w:r>
    </w:p>
    <w:p>
      <w:pPr>
        <w:pStyle w:val="BodyText"/>
        <w:spacing w:line="280" w:lineRule="auto" w:before="0"/>
        <w:ind w:left="538" w:right="2884" w:hanging="2"/>
      </w:pPr>
      <w:r>
        <w:rPr/>
        <w:t>如无特别约定，本附加险合同重大疾病保险金的受益人为被保险人本人。您或者被保险人可以指定一人或多人为身故保险金受益人。</w:t>
      </w:r>
    </w:p>
    <w:p>
      <w:pPr>
        <w:pStyle w:val="BodyText"/>
        <w:spacing w:line="261" w:lineRule="auto" w:before="0"/>
        <w:ind w:left="117" w:right="120" w:firstLine="421"/>
      </w:pPr>
      <w:r>
        <w:rPr/>
        <w:t>身故保险金受益人为多人时，可以确定受益顺序和受益份额；如果没有确定份额，各受益人按照相等份额享有受益权。</w:t>
      </w:r>
    </w:p>
    <w:p>
      <w:pPr>
        <w:spacing w:before="16"/>
        <w:ind w:left="538" w:right="0" w:firstLine="0"/>
        <w:jc w:val="left"/>
        <w:rPr>
          <w:sz w:val="21"/>
        </w:rPr>
      </w:pPr>
      <w:r>
        <w:rPr>
          <w:w w:val="95"/>
          <w:sz w:val="21"/>
        </w:rPr>
        <w:t>被保险人为无民事行为能力人或</w:t>
      </w:r>
      <w:r>
        <w:rPr>
          <w:b/>
          <w:w w:val="95"/>
          <w:sz w:val="21"/>
        </w:rPr>
        <w:t>限制民事行为能力人</w:t>
      </w:r>
      <w:r>
        <w:rPr>
          <w:rFonts w:ascii="Times New Roman" w:eastAsia="Times New Roman"/>
          <w:b/>
          <w:w w:val="95"/>
          <w:sz w:val="21"/>
          <w:vertAlign w:val="superscript"/>
        </w:rPr>
        <w:t>15</w:t>
      </w:r>
      <w:r>
        <w:rPr>
          <w:rFonts w:ascii="Times New Roman" w:eastAsia="Times New Roman"/>
          <w:b/>
          <w:w w:val="95"/>
          <w:sz w:val="21"/>
          <w:vertAlign w:val="baseline"/>
        </w:rPr>
      </w:r>
      <w:r>
        <w:rPr>
          <w:w w:val="95"/>
          <w:sz w:val="21"/>
          <w:vertAlign w:val="baseline"/>
        </w:rPr>
        <w:t>的，可以由其监护人指定受益人。</w:t>
      </w:r>
    </w:p>
    <w:p>
      <w:pPr>
        <w:pStyle w:val="BodyText"/>
        <w:spacing w:line="261" w:lineRule="auto" w:before="8"/>
        <w:ind w:left="117" w:right="120" w:firstLine="421"/>
      </w:pPr>
      <w:r>
        <w:rPr/>
        <w:t>您或者被保险人可以变更身故保险金受益人并书面通知我们。我们收到变更受益人的书面通知后，在保险单或其他保险凭证上批注或附贴批单。</w:t>
      </w:r>
    </w:p>
    <w:p>
      <w:pPr>
        <w:pStyle w:val="BodyText"/>
        <w:spacing w:before="5"/>
        <w:ind w:left="538"/>
      </w:pPr>
      <w:r>
        <w:rPr/>
        <w:t>您在指定和变更保险金受益人时，必须经过被保险人同意。</w:t>
      </w:r>
    </w:p>
    <w:p>
      <w:pPr>
        <w:pStyle w:val="BodyText"/>
        <w:spacing w:line="261" w:lineRule="auto" w:before="24"/>
        <w:ind w:left="117" w:right="120" w:firstLine="421"/>
      </w:pPr>
      <w:r>
        <w:rPr/>
        <w:t>被保险人身故后，有下列情形之一的，保险金作为被保险人的遗产，由我们依照《中华人民共和国继承法》的规定履行给付保险金的义务：</w:t>
      </w:r>
    </w:p>
    <w:p>
      <w:pPr>
        <w:pStyle w:val="BodyText"/>
        <w:spacing w:before="5"/>
        <w:ind w:left="117"/>
      </w:pPr>
      <w:r>
        <w:rPr/>
        <w:t>（</w:t>
      </w:r>
      <w:r>
        <w:rPr>
          <w:rFonts w:ascii="Times New Roman" w:eastAsia="Times New Roman"/>
        </w:rPr>
        <w:t>1</w:t>
      </w:r>
      <w:r>
        <w:rPr/>
        <w:t>）没有指定受益人，或者受益人指定不明无法确定的；</w:t>
      </w:r>
    </w:p>
    <w:p>
      <w:pPr>
        <w:pStyle w:val="BodyText"/>
        <w:spacing w:before="8"/>
        <w:ind w:left="117"/>
      </w:pPr>
      <w:r>
        <w:rPr/>
        <w:t>（</w:t>
      </w:r>
      <w:r>
        <w:rPr>
          <w:rFonts w:ascii="Times New Roman" w:eastAsia="Times New Roman"/>
        </w:rPr>
        <w:t>2</w:t>
      </w:r>
      <w:r>
        <w:rPr/>
        <w:t>）受益人先于被保险人身故，没有其他受益人的；</w:t>
      </w:r>
    </w:p>
    <w:p>
      <w:pPr>
        <w:pStyle w:val="BodyText"/>
        <w:spacing w:before="5"/>
        <w:ind w:left="0"/>
        <w:rPr>
          <w:sz w:val="14"/>
        </w:rPr>
      </w:pPr>
      <w:r>
        <w:rPr/>
        <w:pict>
          <v:line style="position:absolute;mso-position-horizontal-relative:page;mso-position-vertical-relative:paragraph;z-index:1096;mso-wrap-distance-left:0;mso-wrap-distance-right:0" from="53.880001pt,11.706007pt" to="197.880001pt,11.706007pt" stroked="true" strokeweight=".53999pt" strokecolor="#000000">
            <v:stroke dashstyle="solid"/>
            <w10:wrap type="topAndBottom"/>
          </v:line>
        </w:pict>
      </w:r>
    </w:p>
    <w:p>
      <w:pPr>
        <w:spacing w:before="21"/>
        <w:ind w:left="117" w:right="0" w:firstLine="0"/>
        <w:jc w:val="left"/>
        <w:rPr>
          <w:rFonts w:ascii="楷体" w:eastAsia="楷体" w:hint="eastAsia"/>
          <w:sz w:val="18"/>
        </w:rPr>
      </w:pPr>
      <w:r>
        <w:rPr>
          <w:rFonts w:ascii="Times New Roman" w:eastAsia="Times New Roman"/>
          <w:position w:val="10"/>
          <w:sz w:val="14"/>
        </w:rPr>
        <w:t>11</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line="228" w:lineRule="exact" w:before="3"/>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12</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5"/>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0" w:lineRule="exact" w:before="0"/>
        <w:ind w:left="117" w:right="0" w:firstLine="0"/>
        <w:jc w:val="left"/>
        <w:rPr>
          <w:rFonts w:ascii="楷体" w:eastAsia="楷体" w:hint="eastAsia"/>
          <w:sz w:val="18"/>
        </w:rPr>
      </w:pPr>
      <w:r>
        <w:rPr>
          <w:rFonts w:ascii="Times New Roman" w:eastAsia="Times New Roman"/>
          <w:w w:val="95"/>
          <w:position w:val="8"/>
          <w:sz w:val="12"/>
        </w:rPr>
        <w:t>13</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指本附加险合同所具有的价值，通常体现为解除合同时，根据精算原理计算的，由本公司退还的那部分金额。计</w:t>
      </w:r>
    </w:p>
    <w:p>
      <w:pPr>
        <w:spacing w:line="233" w:lineRule="exact" w:before="0"/>
        <w:ind w:left="117" w:right="0" w:firstLine="0"/>
        <w:jc w:val="left"/>
        <w:rPr>
          <w:rFonts w:ascii="楷体" w:hAnsi="楷体" w:eastAsia="楷体" w:hint="eastAsia"/>
          <w:sz w:val="18"/>
        </w:rPr>
      </w:pPr>
      <w:r>
        <w:rPr>
          <w:rFonts w:ascii="楷体" w:hAnsi="楷体" w:eastAsia="楷体" w:hint="eastAsia"/>
          <w:sz w:val="18"/>
        </w:rPr>
        <w:t>算公式为： “保险费</w:t>
      </w:r>
      <w:r>
        <w:rPr>
          <w:rFonts w:ascii="楷体" w:hAnsi="楷体" w:eastAsia="楷体" w:hint="eastAsia"/>
          <w:sz w:val="18"/>
        </w:rPr>
        <w:drawing>
          <wp:inline distT="0" distB="0" distL="0" distR="0">
            <wp:extent cx="53975" cy="8255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53975" cy="82550"/>
                    </a:xfrm>
                    <a:prstGeom prst="rect">
                      <a:avLst/>
                    </a:prstGeom>
                  </pic:spPr>
                </pic:pic>
              </a:graphicData>
            </a:graphic>
          </wp:inline>
        </w:drawing>
      </w:r>
      <w:r>
        <w:rPr>
          <w:rFonts w:ascii="楷体" w:hAnsi="楷体" w:eastAsia="楷体" w:hint="eastAsia"/>
          <w:sz w:val="18"/>
        </w:rPr>
      </w:r>
      <w:r>
        <w:rPr>
          <w:rFonts w:ascii="楷体" w:hAnsi="楷体" w:eastAsia="楷体" w:hint="eastAsia"/>
          <w:sz w:val="18"/>
        </w:rPr>
        <w:t>×（1-保险费的经过天数/保险期间总天数</w:t>
      </w:r>
      <w:r>
        <w:rPr>
          <w:rFonts w:ascii="楷体" w:hAnsi="楷体" w:eastAsia="楷体" w:hint="eastAsia"/>
          <w:spacing w:val="-90"/>
          <w:sz w:val="18"/>
        </w:rPr>
        <w:t>）”</w:t>
      </w:r>
      <w:r>
        <w:rPr>
          <w:rFonts w:ascii="楷体" w:hAnsi="楷体" w:eastAsia="楷体" w:hint="eastAsia"/>
          <w:sz w:val="18"/>
        </w:rPr>
        <w:t>。</w:t>
      </w:r>
    </w:p>
    <w:p>
      <w:pPr>
        <w:spacing w:before="0"/>
        <w:ind w:left="117" w:right="180" w:firstLine="0"/>
        <w:jc w:val="left"/>
        <w:rPr>
          <w:rFonts w:ascii="楷体" w:eastAsia="楷体" w:hint="eastAsia"/>
          <w:sz w:val="18"/>
        </w:rPr>
      </w:pPr>
      <w:r>
        <w:rPr>
          <w:rFonts w:ascii="Times New Roman" w:eastAsia="Times New Roman"/>
          <w:position w:val="8"/>
          <w:sz w:val="12"/>
        </w:rPr>
        <w:t>14</w:t>
      </w:r>
      <w:r>
        <w:rPr>
          <w:rFonts w:ascii="楷体" w:eastAsia="楷体" w:hint="eastAsia"/>
          <w:b/>
          <w:sz w:val="18"/>
        </w:rPr>
        <w:t>无民事行为能力人</w:t>
      </w:r>
      <w:r>
        <w:rPr>
          <w:rFonts w:ascii="楷体" w:eastAsia="楷体" w:hint="eastAsia"/>
          <w:spacing w:val="-8"/>
          <w:sz w:val="18"/>
        </w:rPr>
        <w:t>：一种是指 </w:t>
      </w:r>
      <w:r>
        <w:rPr>
          <w:rFonts w:ascii="楷体" w:eastAsia="楷体" w:hint="eastAsia"/>
          <w:sz w:val="18"/>
        </w:rPr>
        <w:t>10</w:t>
      </w:r>
      <w:r>
        <w:rPr>
          <w:rFonts w:ascii="楷体" w:eastAsia="楷体" w:hint="eastAsia"/>
          <w:spacing w:val="-10"/>
          <w:sz w:val="18"/>
        </w:rPr>
        <w:t> 周岁以下的未成年人，另一种是指不能辨认自己行为的精神病人。</w:t>
      </w:r>
      <w:r>
        <w:rPr>
          <w:rFonts w:ascii="楷体" w:eastAsia="楷体" w:hint="eastAsia"/>
          <w:sz w:val="18"/>
        </w:rPr>
        <w:t>（根据《中华人民共和国民法通则》第十二条及第十三条规定）</w:t>
      </w:r>
    </w:p>
    <w:p>
      <w:pPr>
        <w:spacing w:line="232" w:lineRule="exact" w:before="1"/>
        <w:ind w:left="117" w:right="0" w:firstLine="0"/>
        <w:jc w:val="left"/>
        <w:rPr>
          <w:rFonts w:ascii="楷体" w:eastAsia="楷体" w:hint="eastAsia"/>
          <w:sz w:val="18"/>
        </w:rPr>
      </w:pPr>
      <w:r>
        <w:rPr>
          <w:rFonts w:ascii="Times New Roman" w:eastAsia="Times New Roman"/>
          <w:w w:val="95"/>
          <w:position w:val="8"/>
          <w:sz w:val="12"/>
        </w:rPr>
        <w:t>15</w:t>
      </w:r>
      <w:r>
        <w:rPr>
          <w:rFonts w:ascii="楷体" w:eastAsia="楷体" w:hint="eastAsia"/>
          <w:b/>
          <w:spacing w:val="-1"/>
          <w:w w:val="95"/>
          <w:sz w:val="18"/>
        </w:rPr>
        <w:t>限制民事行为能力人：</w:t>
      </w:r>
      <w:r>
        <w:rPr>
          <w:rFonts w:ascii="楷体" w:eastAsia="楷体" w:hint="eastAsia"/>
          <w:spacing w:val="-1"/>
          <w:w w:val="95"/>
          <w:sz w:val="18"/>
        </w:rPr>
        <w:t>一种是指十周岁以上的未成年人，另一种是指不能完全辨认自己行为的精神病人</w:t>
      </w:r>
      <w:r>
        <w:rPr>
          <w:rFonts w:ascii="楷体" w:eastAsia="楷体" w:hint="eastAsia"/>
          <w:spacing w:val="-98"/>
          <w:w w:val="95"/>
          <w:sz w:val="18"/>
        </w:rPr>
        <w:t>。</w:t>
      </w:r>
      <w:r>
        <w:rPr>
          <w:rFonts w:ascii="楷体" w:eastAsia="楷体" w:hint="eastAsia"/>
          <w:w w:val="95"/>
          <w:sz w:val="18"/>
        </w:rPr>
        <w:t>（</w:t>
      </w:r>
      <w:r>
        <w:rPr>
          <w:rFonts w:ascii="楷体" w:eastAsia="楷体" w:hint="eastAsia"/>
          <w:spacing w:val="-3"/>
          <w:w w:val="95"/>
          <w:sz w:val="18"/>
        </w:rPr>
        <w:t>根据《中华人民共</w:t>
      </w:r>
    </w:p>
    <w:p>
      <w:pPr>
        <w:spacing w:line="235" w:lineRule="exact" w:before="0"/>
        <w:ind w:left="117" w:right="0" w:firstLine="0"/>
        <w:jc w:val="left"/>
        <w:rPr>
          <w:rFonts w:ascii="楷体" w:eastAsia="楷体" w:hint="eastAsia"/>
          <w:sz w:val="18"/>
        </w:rPr>
      </w:pPr>
      <w:r>
        <w:rPr>
          <w:rFonts w:ascii="楷体" w:eastAsia="楷体" w:hint="eastAsia"/>
          <w:sz w:val="18"/>
        </w:rPr>
        <w:t>和国民法通则》第十二条及第十三条规定）</w:t>
      </w:r>
    </w:p>
    <w:p>
      <w:pPr>
        <w:spacing w:after="0" w:line="235" w:lineRule="exact"/>
        <w:jc w:val="left"/>
        <w:rPr>
          <w:rFonts w:ascii="楷体" w:eastAsia="楷体" w:hint="eastAsia"/>
          <w:sz w:val="18"/>
        </w:rPr>
        <w:sectPr>
          <w:pgSz w:w="11910" w:h="16840"/>
          <w:pgMar w:header="0" w:footer="1673" w:top="1360" w:bottom="1880" w:left="960" w:right="800"/>
        </w:sectPr>
      </w:pPr>
    </w:p>
    <w:p>
      <w:pPr>
        <w:pStyle w:val="BodyText"/>
        <w:spacing w:before="15"/>
        <w:ind w:left="117"/>
      </w:pPr>
      <w:r>
        <w:rPr/>
        <w:t>（</w:t>
      </w:r>
      <w:r>
        <w:rPr>
          <w:rFonts w:ascii="Times New Roman" w:eastAsia="Times New Roman"/>
        </w:rPr>
        <w:t>3</w:t>
      </w:r>
      <w:r>
        <w:rPr/>
        <w:t>）受益人依法丧失受益权或者放弃受益权，没有其他受益人的。</w:t>
      </w:r>
    </w:p>
    <w:p>
      <w:pPr>
        <w:pStyle w:val="BodyText"/>
        <w:spacing w:before="9"/>
        <w:ind w:left="537"/>
      </w:pPr>
      <w:r>
        <w:rPr/>
        <w:t>受益人与被保险人在同一事件中身故，且不能确定身故先后顺序的，推定受益人身故在先。</w:t>
      </w:r>
    </w:p>
    <w:p>
      <w:pPr>
        <w:pStyle w:val="BodyText"/>
        <w:spacing w:before="25"/>
        <w:ind w:left="537"/>
      </w:pPr>
      <w:r>
        <w:rPr/>
        <w:t>受益人故意造成被保险人身故、伤残、疾病的，或者故意杀害被保险人未遂的，该受益人丧失受益权。</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3"/>
      <w:bookmarkEnd w:id="13"/>
      <w:r>
        <w:rPr>
          <w:w w:val="95"/>
        </w:rPr>
        <w:t>保险金申请</w:t>
      </w:r>
    </w:p>
    <w:p>
      <w:pPr>
        <w:pStyle w:val="BodyText"/>
        <w:spacing w:before="9"/>
        <w:ind w:left="117"/>
      </w:pPr>
      <w:r>
        <w:rPr/>
        <w:t>（</w:t>
      </w:r>
      <w:r>
        <w:rPr>
          <w:rFonts w:ascii="Times New Roman" w:eastAsia="Times New Roman"/>
        </w:rPr>
        <w:t>1</w:t>
      </w:r>
      <w:r>
        <w:rPr/>
        <w:t>）重大疾病保险金的申请</w:t>
      </w:r>
    </w:p>
    <w:p>
      <w:pPr>
        <w:pStyle w:val="BodyText"/>
        <w:spacing w:before="9"/>
        <w:ind w:left="537"/>
      </w:pPr>
      <w:r>
        <w:rPr/>
        <w:t>在申请领取重大疾病保险金时，申请人须填写保险金给付申请书，并提供下列证明和资料：</w:t>
      </w:r>
    </w:p>
    <w:p>
      <w:pPr>
        <w:pStyle w:val="BodyText"/>
        <w:spacing w:before="15"/>
        <w:ind w:left="537"/>
      </w:pPr>
      <w:r>
        <w:rPr/>
        <w:t>①保险合同或其他保险凭证；</w:t>
      </w:r>
    </w:p>
    <w:p>
      <w:pPr>
        <w:spacing w:before="46"/>
        <w:ind w:left="537" w:right="0" w:firstLine="0"/>
        <w:jc w:val="left"/>
        <w:rPr>
          <w:sz w:val="21"/>
        </w:rPr>
      </w:pPr>
      <w:r>
        <w:rPr>
          <w:w w:val="95"/>
          <w:sz w:val="21"/>
        </w:rPr>
        <w:t>②申请人的</w:t>
      </w:r>
      <w:r>
        <w:rPr>
          <w:b/>
          <w:w w:val="95"/>
          <w:sz w:val="21"/>
        </w:rPr>
        <w:t>有效身份证件</w:t>
      </w:r>
      <w:r>
        <w:rPr>
          <w:rFonts w:ascii="Times New Roman" w:hAnsi="Times New Roman" w:eastAsia="Times New Roman"/>
          <w:b/>
          <w:w w:val="95"/>
          <w:sz w:val="21"/>
          <w:vertAlign w:val="superscript"/>
        </w:rPr>
        <w:t>16</w:t>
      </w:r>
      <w:r>
        <w:rPr>
          <w:rFonts w:ascii="Times New Roman" w:hAnsi="Times New Roman" w:eastAsia="Times New Roman"/>
          <w:b/>
          <w:w w:val="95"/>
          <w:sz w:val="21"/>
          <w:vertAlign w:val="baseline"/>
        </w:rPr>
      </w:r>
      <w:r>
        <w:rPr>
          <w:w w:val="95"/>
          <w:sz w:val="21"/>
          <w:vertAlign w:val="baseline"/>
        </w:rPr>
        <w:t>；</w:t>
      </w:r>
    </w:p>
    <w:p>
      <w:pPr>
        <w:pStyle w:val="BodyText"/>
        <w:spacing w:before="9"/>
        <w:ind w:left="537"/>
      </w:pPr>
      <w:r>
        <w:rPr/>
        <w:t>③医院出具的附有被保险人病理、血液及其他科学方法检验报告等诊断证明文件；</w:t>
      </w:r>
    </w:p>
    <w:p>
      <w:pPr>
        <w:pStyle w:val="BodyText"/>
        <w:spacing w:before="25"/>
        <w:ind w:left="537"/>
      </w:pPr>
      <w:r>
        <w:rPr/>
        <w:t>④所能提供的与确认保险事故的性质、原因等有关的其他证明和资料。</w:t>
      </w:r>
    </w:p>
    <w:p>
      <w:pPr>
        <w:pStyle w:val="BodyText"/>
        <w:spacing w:before="25"/>
        <w:ind w:left="117"/>
      </w:pPr>
      <w:r>
        <w:rPr/>
        <w:t>（</w:t>
      </w:r>
      <w:r>
        <w:rPr>
          <w:rFonts w:ascii="Times New Roman" w:eastAsia="Times New Roman"/>
        </w:rPr>
        <w:t>2</w:t>
      </w:r>
      <w:r>
        <w:rPr/>
        <w:t>）身故保险金的申请</w:t>
      </w:r>
    </w:p>
    <w:p>
      <w:pPr>
        <w:pStyle w:val="BodyText"/>
        <w:spacing w:before="9"/>
        <w:ind w:left="537"/>
      </w:pPr>
      <w:r>
        <w:rPr/>
        <w:t>在申请身故保险金时，申请人须填写保险金给付申请书，并提供下列证明和资料：</w:t>
      </w:r>
    </w:p>
    <w:p>
      <w:pPr>
        <w:pStyle w:val="BodyText"/>
        <w:spacing w:before="24"/>
        <w:ind w:left="537"/>
      </w:pPr>
      <w:r>
        <w:rPr/>
        <w:t>① 保险合同或其他保险凭证；</w:t>
      </w:r>
    </w:p>
    <w:p>
      <w:pPr>
        <w:pStyle w:val="BodyText"/>
        <w:spacing w:before="24"/>
        <w:ind w:left="537"/>
      </w:pPr>
      <w:r>
        <w:rPr/>
        <w:t>② 申请人的有效身份证件；</w:t>
      </w:r>
    </w:p>
    <w:p>
      <w:pPr>
        <w:pStyle w:val="BodyText"/>
        <w:spacing w:before="24"/>
        <w:ind w:left="537"/>
      </w:pPr>
      <w:r>
        <w:rPr/>
        <w:t>③ 国家卫生行政部门认定的医疗机构、公安部门或其他相关机构出具的被保险人的死亡证明；</w:t>
      </w:r>
    </w:p>
    <w:p>
      <w:pPr>
        <w:pStyle w:val="BodyText"/>
        <w:spacing w:before="24"/>
        <w:ind w:left="537"/>
      </w:pPr>
      <w:r>
        <w:rPr/>
        <w:t>④ 所能提供的与确认保险事故的性质、原因等有关的其他证明和资料。</w:t>
      </w:r>
    </w:p>
    <w:p>
      <w:pPr>
        <w:pStyle w:val="BodyText"/>
        <w:spacing w:before="10"/>
        <w:ind w:left="0"/>
        <w:rPr>
          <w:sz w:val="24"/>
        </w:rPr>
      </w:pPr>
    </w:p>
    <w:p>
      <w:pPr>
        <w:pStyle w:val="BodyText"/>
        <w:spacing w:before="0"/>
        <w:ind w:left="537"/>
      </w:pPr>
      <w:r>
        <w:rPr/>
        <w:t>保险金作为被保险人遗产时，必须提供可证明合法继承权的相关权利文件。</w:t>
      </w:r>
    </w:p>
    <w:p>
      <w:pPr>
        <w:pStyle w:val="BodyText"/>
        <w:spacing w:before="24"/>
        <w:ind w:left="537"/>
      </w:pPr>
      <w:r>
        <w:rPr/>
        <w:t>以上证明和资料不完整的，我们将及时一次性通知申请人补充提供有关证明和资料。</w:t>
      </w:r>
    </w:p>
    <w:p>
      <w:pPr>
        <w:pStyle w:val="BodyText"/>
        <w:spacing w:before="0"/>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4"/>
      <w:bookmarkEnd w:id="14"/>
      <w:r>
        <w:rPr>
          <w:w w:val="95"/>
        </w:rPr>
        <w:t>宣告死亡处理</w:t>
      </w:r>
    </w:p>
    <w:p>
      <w:pPr>
        <w:pStyle w:val="BodyText"/>
        <w:spacing w:line="261" w:lineRule="auto" w:before="8"/>
        <w:ind w:left="117" w:right="118" w:firstLine="420"/>
      </w:pPr>
      <w:r>
        <w:rPr/>
        <w:t>在本附加险合同有效期内，如果被保险人失踪，且经法院宣告死亡，我们按本附加险合同的保险责任给付身故保险金，本附加险合同终止。</w:t>
      </w:r>
    </w:p>
    <w:p>
      <w:pPr>
        <w:pStyle w:val="BodyText"/>
        <w:spacing w:line="261" w:lineRule="auto" w:before="5"/>
        <w:ind w:left="117" w:right="118" w:firstLine="420"/>
      </w:pPr>
      <w:r>
        <w:rPr/>
        <w:t>如果被保险人在宣告死亡后重新出现或身故保险金受益人确知其没有死亡，身故保险金受益人应在知道后 </w:t>
      </w:r>
      <w:r>
        <w:rPr>
          <w:rFonts w:ascii="Times New Roman" w:eastAsia="Times New Roman"/>
        </w:rPr>
        <w:t>30 </w:t>
      </w:r>
      <w:r>
        <w:rPr/>
        <w:t>天内，向我们退还已领取的身故保险金，退还后本附加险合同效力由我们和您依法协商确定。</w:t>
      </w:r>
    </w:p>
    <w:p>
      <w:pPr>
        <w:pStyle w:val="BodyText"/>
        <w:spacing w:before="2"/>
        <w:ind w:left="0"/>
        <w:rPr>
          <w:sz w:val="19"/>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10" w:id="15"/>
      <w:bookmarkEnd w:id="15"/>
      <w:r>
        <w:rPr>
          <w:w w:val="95"/>
        </w:rPr>
        <w:t>诉讼时效</w:t>
      </w:r>
    </w:p>
    <w:p>
      <w:pPr>
        <w:pStyle w:val="BodyText"/>
        <w:spacing w:before="9"/>
        <w:ind w:left="354" w:right="43"/>
        <w:jc w:val="center"/>
        <w:rPr>
          <w:rFonts w:ascii="Times New Roman" w:eastAsia="Times New Roman"/>
        </w:rPr>
      </w:pPr>
      <w:r>
        <w:rPr/>
        <w:t>受益人向我们请求给付重大疾病保险金的诉讼时效期间为 </w:t>
      </w:r>
      <w:r>
        <w:rPr>
          <w:rFonts w:ascii="Times New Roman" w:eastAsia="Times New Roman"/>
        </w:rPr>
        <w:t>2 </w:t>
      </w:r>
      <w:r>
        <w:rPr/>
        <w:t>年，请求给付身故保险金的诉讼时效期间为 </w:t>
      </w:r>
      <w:r>
        <w:rPr>
          <w:rFonts w:ascii="Times New Roman" w:eastAsia="Times New Roman"/>
        </w:rPr>
        <w:t>5</w:t>
      </w:r>
    </w:p>
    <w:p>
      <w:pPr>
        <w:pStyle w:val="BodyText"/>
        <w:spacing w:before="9"/>
        <w:ind w:left="117"/>
      </w:pPr>
      <w:r>
        <w:rPr/>
        <w:t>年，自其知道或者应当知道保险事故发生之日起计算。</w:t>
      </w:r>
    </w:p>
    <w:p>
      <w:pPr>
        <w:pStyle w:val="BodyText"/>
        <w:spacing w:before="1"/>
        <w:ind w:left="0"/>
        <w:rPr>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9" w:id="16"/>
      <w:bookmarkEnd w:id="16"/>
      <w:r>
        <w:rPr>
          <w:w w:val="95"/>
        </w:rPr>
        <w:t>如何交纳保险费</w:t>
      </w:r>
    </w:p>
    <w:p>
      <w:pPr>
        <w:pStyle w:val="BodyText"/>
        <w:spacing w:before="11"/>
        <w:ind w:left="0"/>
        <w:rPr>
          <w:b/>
          <w:sz w:val="20"/>
        </w:rPr>
      </w:pPr>
    </w:p>
    <w:p>
      <w:pPr>
        <w:pStyle w:val="Heading1"/>
        <w:numPr>
          <w:ilvl w:val="1"/>
          <w:numId w:val="2"/>
        </w:numPr>
        <w:tabs>
          <w:tab w:pos="487" w:val="left" w:leader="none"/>
        </w:tabs>
        <w:spacing w:line="240" w:lineRule="auto" w:before="0" w:after="0"/>
        <w:ind w:left="486" w:right="0" w:hanging="369"/>
        <w:jc w:val="left"/>
      </w:pPr>
      <w:bookmarkStart w:name="_TOC_250008" w:id="17"/>
      <w:bookmarkEnd w:id="17"/>
      <w:r>
        <w:rPr>
          <w:w w:val="95"/>
        </w:rPr>
        <w:t>保险费的交纳</w:t>
      </w:r>
    </w:p>
    <w:p>
      <w:pPr>
        <w:pStyle w:val="BodyText"/>
        <w:spacing w:before="9"/>
        <w:ind w:left="537"/>
      </w:pPr>
      <w:r>
        <w:rPr/>
        <w:t>本附加险合同的保险费在投保和续保时均需一次交清。</w:t>
      </w:r>
    </w:p>
    <w:p>
      <w:pPr>
        <w:pStyle w:val="BodyText"/>
        <w:spacing w:line="261" w:lineRule="auto" w:before="25"/>
        <w:ind w:left="117" w:right="1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before="6"/>
        <w:ind w:left="537"/>
      </w:pPr>
      <w:r>
        <w:rPr/>
        <w:t>我们进行保险费率调整后，您须按调整后的保险费率交纳续保保险费。</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18"/>
        </w:rPr>
      </w:pPr>
      <w:r>
        <w:rPr/>
        <w:pict>
          <v:line style="position:absolute;mso-position-horizontal-relative:page;mso-position-vertical-relative:paragraph;z-index:1120;mso-wrap-distance-left:0;mso-wrap-distance-right:0" from="53.880001pt,14.303004pt" to="197.880001pt,14.303004pt" stroked="true" strokeweight=".54001pt" strokecolor="#000000">
            <v:stroke dashstyle="solid"/>
            <w10:wrap type="topAndBottom"/>
          </v:line>
        </w:pict>
      </w:r>
    </w:p>
    <w:p>
      <w:pPr>
        <w:spacing w:before="57"/>
        <w:ind w:left="117" w:right="0" w:firstLine="0"/>
        <w:jc w:val="left"/>
        <w:rPr>
          <w:rFonts w:ascii="楷体" w:eastAsia="楷体" w:hint="eastAsia"/>
          <w:sz w:val="18"/>
        </w:rPr>
      </w:pPr>
      <w:r>
        <w:rPr>
          <w:rFonts w:ascii="Times New Roman" w:eastAsia="Times New Roman"/>
          <w:position w:val="10"/>
          <w:sz w:val="14"/>
        </w:rPr>
        <w:t>16</w:t>
      </w:r>
      <w:r>
        <w:rPr>
          <w:rFonts w:ascii="楷体" w:eastAsia="楷体" w:hint="eastAsia"/>
          <w:b/>
          <w:sz w:val="18"/>
        </w:rPr>
        <w:t>有效身份证件：</w:t>
      </w:r>
      <w:r>
        <w:rPr>
          <w:rFonts w:ascii="楷体" w:eastAsia="楷体" w:hint="eastAsia"/>
          <w:sz w:val="18"/>
        </w:rPr>
        <w:t>指由政府主管部门规定的证明个人身份的证件，如：居民身份证、按规定可使用的有效护照、军官证、警官</w:t>
      </w:r>
    </w:p>
    <w:p>
      <w:pPr>
        <w:spacing w:before="69"/>
        <w:ind w:left="117" w:right="0" w:firstLine="0"/>
        <w:jc w:val="left"/>
        <w:rPr>
          <w:rFonts w:ascii="楷体" w:eastAsia="楷体" w:hint="eastAsia"/>
          <w:sz w:val="18"/>
        </w:rPr>
      </w:pPr>
      <w:r>
        <w:rPr>
          <w:rFonts w:ascii="楷体" w:eastAsia="楷体" w:hint="eastAsia"/>
          <w:sz w:val="18"/>
        </w:rPr>
        <w:t>证、士兵证等证件。</w:t>
      </w:r>
    </w:p>
    <w:p>
      <w:pPr>
        <w:spacing w:after="0"/>
        <w:jc w:val="left"/>
        <w:rPr>
          <w:rFonts w:ascii="楷体" w:eastAsia="楷体" w:hint="eastAsia"/>
          <w:sz w:val="18"/>
        </w:rPr>
        <w:sectPr>
          <w:pgSz w:w="11910" w:h="16840"/>
          <w:pgMar w:header="0" w:footer="1673" w:top="1380" w:bottom="1920" w:left="960" w:right="800"/>
        </w:sectPr>
      </w:pPr>
    </w:p>
    <w:p>
      <w:pPr>
        <w:pStyle w:val="Heading1"/>
        <w:numPr>
          <w:ilvl w:val="1"/>
          <w:numId w:val="2"/>
        </w:numPr>
        <w:tabs>
          <w:tab w:pos="487" w:val="left" w:leader="none"/>
        </w:tabs>
        <w:spacing w:line="240" w:lineRule="auto" w:before="15" w:after="0"/>
        <w:ind w:left="486" w:right="0" w:hanging="369"/>
        <w:jc w:val="left"/>
      </w:pPr>
      <w:bookmarkStart w:name="_TOC_250007" w:id="18"/>
      <w:bookmarkEnd w:id="18"/>
      <w:r>
        <w:rPr>
          <w:w w:val="95"/>
        </w:rPr>
        <w:t>宽限期与续保</w:t>
      </w:r>
    </w:p>
    <w:p>
      <w:pPr>
        <w:pStyle w:val="BodyText"/>
        <w:spacing w:line="261" w:lineRule="auto" w:before="9"/>
        <w:ind w:left="117" w:right="218" w:firstLine="420"/>
      </w:pPr>
      <w:r>
        <w:rPr/>
        <w:t>在本附加险合同期满日，如果被保险人符合我们规定的续保条件，我们将自动办理相关续保手续，除非您已申请终止本附加险合同。我们有权在续保时调整保险费。调整后的保险费将通知您，自续保起适用。</w:t>
      </w:r>
    </w:p>
    <w:p>
      <w:pPr>
        <w:pStyle w:val="BodyText"/>
        <w:spacing w:line="261" w:lineRule="auto" w:before="6"/>
        <w:ind w:left="117" w:right="113" w:firstLine="420"/>
      </w:pPr>
      <w:r>
        <w:rPr>
          <w:spacing w:val="-3"/>
        </w:rPr>
        <w:t>如果本附加险合同于每个保险费约定支付日前未曾被拒绝续保，则自保险费约定支付日的次日零时起 </w:t>
      </w:r>
      <w:r>
        <w:rPr/>
        <w:t>60 </w:t>
      </w:r>
      <w:r>
        <w:rPr>
          <w:spacing w:val="-7"/>
        </w:rPr>
        <w:t>天为宽限期。在宽限期内发生保险事故，我们仍承担保险责任，但从给付的保险金中扣除当期欠交的保险费。如果宽限期满您仍未交纳保险费，自本附加险合同宽限期满的次日零时起，本附加险合同效力终止。</w:t>
      </w:r>
    </w:p>
    <w:p>
      <w:pPr>
        <w:pStyle w:val="BodyText"/>
        <w:spacing w:before="6"/>
        <w:ind w:left="537"/>
      </w:pPr>
      <w:r>
        <w:rPr/>
        <w:t>若我们决定不再续保，将在本附加险合同保险期间届满之前，以书面形式通知您。</w:t>
      </w:r>
    </w:p>
    <w:p>
      <w:pPr>
        <w:pStyle w:val="BodyText"/>
        <w:spacing w:before="10"/>
        <w:ind w:left="0"/>
        <w:rPr>
          <w:sz w:val="24"/>
        </w:rPr>
      </w:pPr>
    </w:p>
    <w:p>
      <w:pPr>
        <w:pStyle w:val="Heading1"/>
        <w:numPr>
          <w:ilvl w:val="1"/>
          <w:numId w:val="2"/>
        </w:numPr>
        <w:tabs>
          <w:tab w:pos="487" w:val="left" w:leader="none"/>
        </w:tabs>
        <w:spacing w:line="240" w:lineRule="auto" w:before="1" w:after="0"/>
        <w:ind w:left="486" w:right="0" w:hanging="369"/>
        <w:jc w:val="left"/>
      </w:pPr>
      <w:bookmarkStart w:name="_TOC_250006" w:id="19"/>
      <w:bookmarkEnd w:id="19"/>
      <w:r>
        <w:rPr>
          <w:w w:val="95"/>
        </w:rPr>
        <w:t>保证续保</w:t>
      </w:r>
    </w:p>
    <w:p>
      <w:pPr>
        <w:pStyle w:val="BodyText"/>
        <w:spacing w:before="9"/>
        <w:ind w:left="537"/>
      </w:pPr>
      <w:r>
        <w:rPr/>
        <w:t>自保险单生效日起，本附加合同的保证续保期间为 5 年。</w:t>
      </w:r>
    </w:p>
    <w:p>
      <w:pPr>
        <w:pStyle w:val="BodyText"/>
        <w:spacing w:line="261" w:lineRule="auto" w:before="25"/>
        <w:ind w:left="117" w:right="218" w:firstLine="420"/>
      </w:pPr>
      <w:r>
        <w:rPr/>
        <w:t>在保证续保期间内，我们不得因为被保险人的健康状况而拒绝您续保。在保证续保期间内，如您中断或终止续保后再次投保，将视为重新投保。</w:t>
      </w:r>
    </w:p>
    <w:p>
      <w:pPr>
        <w:pStyle w:val="BodyText"/>
        <w:spacing w:line="261" w:lineRule="auto" w:before="6"/>
        <w:ind w:left="117" w:right="218" w:firstLine="420"/>
      </w:pPr>
      <w:r>
        <w:rPr/>
        <w:t>保证续保期间届满时，我们将重新审核被保险人是否符合续保条件。经我们审核同意，保证续保期间可以延续 5 年。</w:t>
      </w:r>
    </w:p>
    <w:p>
      <w:pPr>
        <w:pStyle w:val="BodyText"/>
        <w:spacing w:line="272" w:lineRule="exact" w:before="0"/>
        <w:ind w:left="537"/>
      </w:pPr>
      <w:r>
        <w:rPr/>
        <w:t>在保证续保期间内，本附加合同保险期间届满时发生下列情形之一时，本附加险合同自动不再接受续保：</w:t>
      </w:r>
    </w:p>
    <w:p>
      <w:pPr>
        <w:pStyle w:val="BodyText"/>
        <w:spacing w:before="37"/>
        <w:ind w:left="117"/>
      </w:pPr>
      <w:r>
        <w:rPr/>
        <w:t>（1）被保险人续保时年满 65 周岁；</w:t>
      </w:r>
    </w:p>
    <w:p>
      <w:pPr>
        <w:pStyle w:val="BodyText"/>
        <w:spacing w:before="36"/>
        <w:ind w:left="117"/>
      </w:pPr>
      <w:r>
        <w:rPr/>
        <w:t>（2）主险合同交费期满或主险合同已办理减额交清；</w:t>
      </w:r>
    </w:p>
    <w:p>
      <w:pPr>
        <w:pStyle w:val="BodyText"/>
        <w:spacing w:before="36"/>
        <w:ind w:left="117"/>
      </w:pPr>
      <w:r>
        <w:rPr/>
        <w:t>（3）主险合同效力终止或中止。</w:t>
      </w:r>
    </w:p>
    <w:p>
      <w:pPr>
        <w:pStyle w:val="BodyText"/>
        <w:spacing w:before="4"/>
        <w:ind w:left="0"/>
        <w:rPr>
          <w:sz w:val="27"/>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05" w:id="20"/>
      <w:bookmarkEnd w:id="20"/>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1"/>
      <w:bookmarkEnd w:id="21"/>
      <w:r>
        <w:rPr>
          <w:w w:val="95"/>
        </w:rPr>
        <w:t>年龄和性别确定与错误处理</w:t>
      </w:r>
    </w:p>
    <w:p>
      <w:pPr>
        <w:pStyle w:val="BodyText"/>
        <w:spacing w:before="8"/>
        <w:ind w:left="117"/>
      </w:pPr>
      <w:r>
        <w:rPr/>
        <w:t>（</w:t>
      </w:r>
      <w:r>
        <w:rPr>
          <w:rFonts w:ascii="Times New Roman" w:eastAsia="Times New Roman"/>
        </w:rPr>
        <w:t>1</w:t>
      </w:r>
      <w:r>
        <w:rPr/>
        <w:t>）被保险人的投保年龄以有效身份证件登记的周岁年龄计算。</w:t>
      </w:r>
    </w:p>
    <w:p>
      <w:pPr>
        <w:pStyle w:val="BodyText"/>
        <w:spacing w:line="247" w:lineRule="auto" w:before="8"/>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8"/>
        <w:ind w:left="117" w:right="219" w:firstLine="420"/>
      </w:pPr>
      <w:r>
        <w:rPr>
          <w:spacing w:val="-5"/>
        </w:rPr>
        <w:t>① 您申报的被保险人年龄不真实，并且其真实年龄不符合本附加险合同约定投保年龄限制，对于未发生保险事故的，我们有权解除本附加险合同。对于解除合同的，我们向您退还本附加险合同的现金价值。</w:t>
      </w:r>
    </w:p>
    <w:p>
      <w:pPr>
        <w:pStyle w:val="BodyText"/>
        <w:spacing w:line="261" w:lineRule="auto" w:before="6"/>
        <w:ind w:left="117" w:right="148" w:firstLine="420"/>
      </w:pPr>
      <w:r>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148" w:firstLine="420"/>
      </w:pPr>
      <w:r>
        <w:rPr/>
        <w:t>③ 您申报的被保险人年龄或性别不真实，致使您实付保险费多于应付保险费的，我们会将多收的保险费无息退还给您。</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3" w:id="22"/>
      <w:bookmarkEnd w:id="22"/>
      <w:r>
        <w:rPr>
          <w:w w:val="95"/>
        </w:rPr>
        <w:t>扣除款项</w:t>
      </w:r>
    </w:p>
    <w:p>
      <w:pPr>
        <w:pStyle w:val="BodyText"/>
        <w:spacing w:line="261" w:lineRule="auto" w:before="9"/>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2" w:id="23"/>
      <w:bookmarkEnd w:id="23"/>
      <w:r>
        <w:rPr>
          <w:w w:val="95"/>
        </w:rPr>
        <w:t>职业或工种变更</w:t>
      </w:r>
    </w:p>
    <w:p>
      <w:pPr>
        <w:pStyle w:val="BodyText"/>
        <w:spacing w:line="261" w:lineRule="auto" w:before="9"/>
        <w:ind w:left="117" w:right="220" w:firstLine="420"/>
      </w:pPr>
      <w:r>
        <w:rPr>
          <w:spacing w:val="-8"/>
        </w:rPr>
        <w:t>被保险人变更职业或工种时，您或被保险人应于被保险人变更职业或工种之日起 </w:t>
      </w:r>
      <w:r>
        <w:rPr/>
        <w:t>10</w:t>
      </w:r>
      <w:r>
        <w:rPr>
          <w:spacing w:val="-9"/>
        </w:rPr>
        <w:t> 日内以书面形式通知</w:t>
      </w:r>
      <w:r>
        <w:rPr>
          <w:spacing w:val="-1"/>
        </w:rPr>
        <w:t>我们。若职业或工种的变更导致续期保险费的调整，请您按调整后的保险费交付以后各期保险费。</w:t>
      </w:r>
    </w:p>
    <w:p>
      <w:pPr>
        <w:pStyle w:val="BodyText"/>
        <w:spacing w:before="5"/>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1" w:id="24"/>
      <w:bookmarkEnd w:id="24"/>
      <w:r>
        <w:rPr>
          <w:w w:val="95"/>
        </w:rPr>
        <w:t>合同效力的终止</w:t>
      </w:r>
    </w:p>
    <w:p>
      <w:pPr>
        <w:pStyle w:val="BodyText"/>
        <w:spacing w:before="9"/>
        <w:ind w:left="537"/>
      </w:pPr>
      <w:r>
        <w:rPr/>
        <w:t>除另有约定外，本附加险合同的效力在发生下列情况之一时自动终止：</w:t>
      </w:r>
    </w:p>
    <w:p>
      <w:pPr>
        <w:spacing w:after="0"/>
        <w:sectPr>
          <w:pgSz w:w="11910" w:h="16840"/>
          <w:pgMar w:header="0" w:footer="1673" w:top="1380" w:bottom="1920" w:left="960" w:right="700"/>
        </w:sectPr>
      </w:pPr>
    </w:p>
    <w:p>
      <w:pPr>
        <w:spacing w:before="55"/>
        <w:ind w:left="117" w:right="0" w:firstLine="0"/>
        <w:jc w:val="left"/>
        <w:rPr>
          <w:sz w:val="21"/>
        </w:rPr>
      </w:pPr>
      <w:r>
        <w:rPr>
          <w:sz w:val="21"/>
        </w:rPr>
        <w:t>（</w:t>
      </w:r>
      <w:r>
        <w:rPr>
          <w:rFonts w:ascii="Times New Roman" w:eastAsia="Times New Roman"/>
          <w:sz w:val="21"/>
        </w:rPr>
        <w:t>1</w:t>
      </w:r>
      <w:r>
        <w:rPr>
          <w:sz w:val="21"/>
        </w:rPr>
        <w:t>）被保险人年满 </w:t>
      </w:r>
      <w:r>
        <w:rPr>
          <w:rFonts w:ascii="Times New Roman" w:eastAsia="Times New Roman"/>
          <w:sz w:val="21"/>
        </w:rPr>
        <w:t>65 </w:t>
      </w:r>
      <w:r>
        <w:rPr>
          <w:sz w:val="21"/>
        </w:rPr>
        <w:t>周岁后的首个</w:t>
      </w:r>
      <w:r>
        <w:rPr>
          <w:b/>
          <w:sz w:val="21"/>
        </w:rPr>
        <w:t>保险单周年日</w:t>
      </w:r>
      <w:r>
        <w:rPr>
          <w:rFonts w:ascii="Times New Roman" w:eastAsia="Times New Roman"/>
          <w:b/>
          <w:sz w:val="21"/>
          <w:vertAlign w:val="superscript"/>
        </w:rPr>
        <w:t>17</w:t>
      </w:r>
      <w:r>
        <w:rPr>
          <w:rFonts w:ascii="Times New Roman" w:eastAsia="Times New Roman"/>
          <w:b/>
          <w:sz w:val="21"/>
          <w:vertAlign w:val="baseline"/>
        </w:rPr>
      </w:r>
      <w:r>
        <w:rPr>
          <w:sz w:val="21"/>
          <w:vertAlign w:val="baseline"/>
        </w:rPr>
        <w:t>零时；</w:t>
      </w:r>
    </w:p>
    <w:p>
      <w:pPr>
        <w:pStyle w:val="BodyText"/>
        <w:spacing w:before="9"/>
        <w:ind w:left="117"/>
      </w:pPr>
      <w:r>
        <w:rPr/>
        <w:t>（</w:t>
      </w:r>
      <w:r>
        <w:rPr>
          <w:rFonts w:ascii="Times New Roman" w:eastAsia="Times New Roman"/>
        </w:rPr>
        <w:t>2</w:t>
      </w:r>
      <w:r>
        <w:rPr/>
        <w:t>）本附加险合同期满，且我们决定不再与您续保本附加险合同或您已申请终止本附加险合同；</w:t>
      </w:r>
    </w:p>
    <w:p>
      <w:pPr>
        <w:pStyle w:val="BodyText"/>
        <w:spacing w:before="9"/>
        <w:ind w:left="117"/>
      </w:pPr>
      <w:r>
        <w:rPr/>
        <w:t>（</w:t>
      </w:r>
      <w:r>
        <w:rPr>
          <w:rFonts w:ascii="Times New Roman" w:eastAsia="Times New Roman"/>
        </w:rPr>
        <w:t>3</w:t>
      </w:r>
      <w:r>
        <w:rPr/>
        <w:t>）主险合同效力终止时。</w:t>
      </w:r>
    </w:p>
    <w:p>
      <w:pPr>
        <w:pStyle w:val="BodyText"/>
        <w:spacing w:before="11"/>
        <w:ind w:left="0"/>
        <w:rPr>
          <w:sz w:val="20"/>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00" w:id="25"/>
      <w:bookmarkEnd w:id="25"/>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）您解除合同的手续及风险</w:t>
      </w:r>
    </w:p>
    <w:p>
      <w:pPr>
        <w:pStyle w:val="BodyText"/>
        <w:spacing w:line="264" w:lineRule="exact" w:before="0"/>
        <w:ind w:left="117"/>
      </w:pPr>
      <w:r>
        <w:rPr/>
        <w:t>（</w:t>
      </w:r>
      <w:r>
        <w:rPr>
          <w:rFonts w:ascii="Times New Roman" w:eastAsia="Times New Roman"/>
        </w:rPr>
        <w:t>5</w:t>
      </w:r>
      <w:r>
        <w:rPr/>
        <w:t>）明确说明与如实告知</w:t>
      </w:r>
    </w:p>
    <w:p>
      <w:pPr>
        <w:pStyle w:val="BodyText"/>
        <w:spacing w:line="264" w:lineRule="exact" w:before="0"/>
        <w:ind w:left="117"/>
      </w:pPr>
      <w:r>
        <w:rPr/>
        <w:t>（</w:t>
      </w:r>
      <w:r>
        <w:rPr>
          <w:rFonts w:ascii="Times New Roman" w:eastAsia="Times New Roman"/>
        </w:rPr>
        <w:t>6</w:t>
      </w:r>
      <w:r>
        <w:rPr/>
        <w:t>）合同内容变更</w:t>
      </w:r>
    </w:p>
    <w:p>
      <w:pPr>
        <w:pStyle w:val="BodyText"/>
        <w:spacing w:line="264" w:lineRule="exact" w:before="0"/>
        <w:ind w:left="117"/>
      </w:pPr>
      <w:r>
        <w:rPr/>
        <w:t>（</w:t>
      </w:r>
      <w:r>
        <w:rPr>
          <w:rFonts w:ascii="Times New Roman" w:eastAsia="Times New Roman"/>
        </w:rPr>
        <w:t>7</w:t>
      </w:r>
      <w:r>
        <w:rPr/>
        <w:t>）联系方式变更</w:t>
      </w:r>
    </w:p>
    <w:p>
      <w:pPr>
        <w:pStyle w:val="BodyText"/>
        <w:spacing w:line="264" w:lineRule="exact" w:before="0"/>
        <w:ind w:left="117"/>
      </w:pPr>
      <w:r>
        <w:rPr/>
        <w:t>（</w:t>
      </w:r>
      <w:r>
        <w:rPr>
          <w:rFonts w:ascii="Times New Roman" w:eastAsia="Times New Roman"/>
        </w:rPr>
        <w:t>8</w:t>
      </w:r>
      <w:r>
        <w:rPr/>
        <w:t>）争议处理</w:t>
      </w:r>
    </w:p>
    <w:p>
      <w:pPr>
        <w:pStyle w:val="BodyText"/>
        <w:spacing w:line="261" w:lineRule="exact" w:before="0"/>
        <w:ind w:left="537"/>
      </w:pPr>
      <w:r>
        <w:rPr/>
        <w:t>若主险合同与本附加险合同的条款相抵触的，以本附加险合同的条款为准。</w:t>
      </w:r>
    </w:p>
    <w:p>
      <w:pPr>
        <w:pStyle w:val="Heading1"/>
        <w:spacing w:line="254" w:lineRule="auto" w:before="18"/>
        <w:ind w:left="225" w:right="7363" w:hanging="109"/>
      </w:pPr>
      <w:r>
        <w:rPr/>
        <w:t>附件一：重大疾病名称和定义</w:t>
      </w:r>
      <w:r>
        <w:rPr>
          <w:w w:val="95"/>
        </w:rPr>
        <w:t>重大疾病名称和定义：</w:t>
      </w:r>
    </w:p>
    <w:p>
      <w:pPr>
        <w:spacing w:line="273" w:lineRule="auto" w:before="24"/>
        <w:ind w:left="225" w:right="1031"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18</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92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7"/>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8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spacing w:before="20"/>
        <w:jc w:val="both"/>
      </w:pPr>
      <w:r>
        <w:rPr/>
        <w:t>足下列至少三项条件：</w:t>
      </w:r>
    </w:p>
    <w:p>
      <w:pPr>
        <w:pStyle w:val="BodyText"/>
        <w:spacing w:before="36"/>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line="256" w:lineRule="auto"/>
        <w:ind w:right="92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92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BodyText"/>
        <w:spacing w:before="5"/>
        <w:ind w:left="0"/>
        <w:rPr>
          <w:sz w:val="24"/>
        </w:rPr>
      </w:pPr>
      <w:r>
        <w:rPr/>
        <w:pict>
          <v:line style="position:absolute;mso-position-horizontal-relative:page;mso-position-vertical-relative:paragraph;z-index:1144;mso-wrap-distance-left:0;mso-wrap-distance-right:0" from="53.880001pt,18.242414pt" to="197.880001pt,18.242414pt" stroked="true" strokeweight=".53998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4" w:lineRule="exact" w:before="0"/>
        <w:ind w:left="117" w:right="0" w:firstLine="0"/>
        <w:jc w:val="left"/>
        <w:rPr>
          <w:rFonts w:ascii="楷体" w:eastAsia="楷体" w:hint="eastAsia"/>
          <w:sz w:val="18"/>
        </w:rPr>
      </w:pPr>
      <w:r>
        <w:rPr>
          <w:rFonts w:ascii="楷体" w:eastAsia="楷体" w:hint="eastAsia"/>
          <w:sz w:val="18"/>
        </w:rPr>
        <w:t>则以该月最后一日为对应日。</w:t>
      </w:r>
    </w:p>
    <w:p>
      <w:pPr>
        <w:spacing w:line="237" w:lineRule="auto" w:before="1"/>
        <w:ind w:left="117" w:right="198" w:hanging="1"/>
        <w:jc w:val="both"/>
        <w:rPr>
          <w:rFonts w:ascii="楷体" w:eastAsia="楷体" w:hint="eastAsia"/>
          <w:sz w:val="18"/>
        </w:rPr>
      </w:pPr>
      <w:r>
        <w:rPr>
          <w:rFonts w:ascii="Times New Roman" w:eastAsia="Times New Roman"/>
          <w:position w:val="8"/>
          <w:sz w:val="12"/>
        </w:rPr>
        <w:t>18</w:t>
      </w:r>
      <w:r>
        <w:rPr>
          <w:rFonts w:ascii="Times New Roman" w:eastAsia="Times New Roman"/>
          <w:spacing w:val="-10"/>
          <w:position w:val="8"/>
          <w:sz w:val="12"/>
        </w:rPr>
        <w:t> </w:t>
      </w:r>
      <w:r>
        <w:rPr>
          <w:rFonts w:ascii="楷体" w:eastAsia="楷体" w:hint="eastAsia"/>
          <w:b/>
          <w:w w:val="99"/>
          <w:sz w:val="18"/>
        </w:rPr>
        <w:t>专科医生</w:t>
      </w:r>
      <w:r>
        <w:rPr>
          <w:rFonts w:ascii="楷体" w:eastAsia="楷体" w:hint="eastAsia"/>
          <w:spacing w:val="-3"/>
          <w:sz w:val="18"/>
        </w:rPr>
        <w:t>：应当同时满足以下四项资格条件</w:t>
      </w:r>
      <w:r>
        <w:rPr>
          <w:rFonts w:ascii="楷体" w:eastAsia="楷体" w:hint="eastAsia"/>
          <w:spacing w:val="-100"/>
          <w:sz w:val="18"/>
        </w:rPr>
        <w:t>：</w:t>
      </w:r>
      <w:r>
        <w:rPr>
          <w:rFonts w:ascii="楷体" w:eastAsia="楷体" w:hint="eastAsia"/>
          <w:sz w:val="18"/>
        </w:rPr>
        <w:t>（1</w:t>
      </w:r>
      <w:r>
        <w:rPr>
          <w:rFonts w:ascii="楷体" w:eastAsia="楷体" w:hint="eastAsia"/>
          <w:spacing w:val="-10"/>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10"/>
          <w:sz w:val="18"/>
        </w:rPr>
        <w:t>）</w:t>
      </w:r>
      <w:r>
        <w:rPr>
          <w:rFonts w:ascii="楷体" w:eastAsia="楷体" w:hint="eastAsia"/>
          <w:sz w:val="18"/>
        </w:rPr>
        <w:t>具有有效的中华人民共</w:t>
      </w: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after="0" w:line="237" w:lineRule="auto"/>
        <w:jc w:val="both"/>
        <w:rPr>
          <w:rFonts w:ascii="楷体" w:eastAsia="楷体" w:hint="eastAsia"/>
          <w:sz w:val="18"/>
        </w:rPr>
        <w:sectPr>
          <w:pgSz w:w="11910" w:h="16840"/>
          <w:pgMar w:header="0" w:footer="1673" w:top="1340" w:bottom="1880" w:left="960" w:right="720"/>
        </w:sectPr>
      </w:pPr>
    </w:p>
    <w:p>
      <w:pPr>
        <w:pStyle w:val="ListParagraph"/>
        <w:numPr>
          <w:ilvl w:val="0"/>
          <w:numId w:val="3"/>
        </w:numPr>
        <w:tabs>
          <w:tab w:pos="382" w:val="left" w:leader="none"/>
          <w:tab w:pos="2823" w:val="left" w:leader="none"/>
        </w:tabs>
        <w:spacing w:line="240" w:lineRule="auto" w:before="15" w:after="0"/>
        <w:ind w:left="3002" w:right="0" w:hanging="2885"/>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spacing w:before="20"/>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pPr>
      <w:r>
        <w:rPr/>
        <w:t>天后，仍遗留下列一种或一种以上障碍：</w:t>
      </w:r>
    </w:p>
    <w:p>
      <w:pPr>
        <w:spacing w:before="36"/>
        <w:ind w:left="3002" w:right="0" w:firstLine="0"/>
        <w:jc w:val="left"/>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19</w:t>
      </w:r>
      <w:r>
        <w:rPr>
          <w:rFonts w:ascii="Times New Roman" w:eastAsia="Times New Roman"/>
          <w:b/>
          <w:w w:val="95"/>
          <w:sz w:val="21"/>
          <w:vertAlign w:val="baseline"/>
        </w:rPr>
      </w:r>
      <w:r>
        <w:rPr>
          <w:w w:val="95"/>
          <w:sz w:val="21"/>
          <w:vertAlign w:val="baseline"/>
        </w:rPr>
        <w:t>；</w:t>
      </w:r>
    </w:p>
    <w:p>
      <w:pPr>
        <w:pStyle w:val="Heading1"/>
        <w:spacing w:before="20"/>
        <w:ind w:left="3002"/>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20</w:t>
      </w:r>
      <w:r>
        <w:rPr>
          <w:rFonts w:ascii="Times New Roman" w:eastAsia="Times New Roman"/>
          <w:w w:val="95"/>
          <w:vertAlign w:val="baseline"/>
        </w:rPr>
      </w:r>
      <w:r>
        <w:rPr>
          <w:b w:val="0"/>
          <w:w w:val="95"/>
          <w:vertAlign w:val="baseline"/>
        </w:rPr>
        <w:t>；</w:t>
      </w:r>
    </w:p>
    <w:p>
      <w:pPr>
        <w:spacing w:line="256" w:lineRule="auto" w:before="20"/>
        <w:ind w:left="3002" w:right="78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21</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spacing w:after="0" w:line="240" w:lineRule="auto"/>
        <w:jc w:val="left"/>
        <w:rPr>
          <w:sz w:val="21"/>
        </w:rPr>
        <w:sectPr>
          <w:pgSz w:w="11910" w:h="16840"/>
          <w:pgMar w:header="0" w:footer="1673" w:top="1360" w:bottom="1880" w:left="960" w:right="800"/>
        </w:sectPr>
      </w:pPr>
    </w:p>
    <w:p>
      <w:pPr>
        <w:pStyle w:val="BodyText"/>
        <w:ind w:left="117"/>
      </w:pPr>
      <w:r>
        <w:rPr/>
        <w:t>细胞移植术</w:t>
      </w:r>
    </w:p>
    <w:p>
      <w:pPr>
        <w:pStyle w:val="BodyText"/>
        <w:ind w:left="117"/>
      </w:pPr>
      <w:r>
        <w:rPr/>
        <w:br w:type="column"/>
      </w:r>
      <w:r>
        <w:rPr/>
        <w:t>心脏或肺脏的异体移植手术。</w:t>
      </w:r>
    </w:p>
    <w:p>
      <w:pPr>
        <w:pStyle w:val="BodyText"/>
        <w:spacing w:line="273" w:lineRule="auto" w:before="36"/>
        <w:ind w:left="117" w:right="844"/>
        <w:jc w:val="both"/>
      </w:pPr>
      <w:r>
        <w:rPr/>
        <w:t>造血干细胞移植术，指因造血功能损害或造血系统恶性肿瘤，已经实施了造血干细胞（包括骨髓造血干细胞、外周血造血干细胞和脐血造血干细胞）的异体移植手术。</w:t>
      </w:r>
    </w:p>
    <w:p>
      <w:pPr>
        <w:spacing w:after="0" w:line="273" w:lineRule="auto"/>
        <w:jc w:val="both"/>
        <w:sectPr>
          <w:type w:val="continuous"/>
          <w:pgSz w:w="11910" w:h="16840"/>
          <w:pgMar w:top="520" w:bottom="1860" w:left="960" w:right="800"/>
          <w:cols w:num="2" w:equalWidth="0">
            <w:col w:w="1168" w:space="1717"/>
            <w:col w:w="726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type w:val="continuous"/>
          <w:pgSz w:w="11910" w:h="16840"/>
          <w:pgMar w:top="520" w:bottom="1860" w:left="960" w:right="800"/>
        </w:sectPr>
      </w:pPr>
    </w:p>
    <w:p>
      <w:pPr>
        <w:pStyle w:val="BodyText"/>
        <w:ind w:left="117"/>
      </w:pPr>
      <w:r>
        <w:rPr/>
        <w:t>动脉旁路移植术）</w:t>
      </w:r>
    </w:p>
    <w:p>
      <w:pPr>
        <w:pStyle w:val="BodyText"/>
        <w:ind w:left="117"/>
      </w:pPr>
      <w:r>
        <w:rPr/>
        <w:br w:type="column"/>
      </w:r>
      <w:r>
        <w:rPr/>
        <w:t>植的手术。</w:t>
      </w:r>
    </w:p>
    <w:p>
      <w:pPr>
        <w:pStyle w:val="BodyText"/>
        <w:spacing w:line="273" w:lineRule="auto" w:before="37"/>
        <w:ind w:left="117" w:right="844"/>
      </w:pPr>
      <w:r>
        <w:rPr/>
        <w:t>冠状动脉支架植入术、心导管球囊扩张术、激光射频技术及其他非开胸的介入手术、腔镜手术不在保障范围内。</w:t>
      </w:r>
    </w:p>
    <w:p>
      <w:pPr>
        <w:spacing w:after="0" w:line="273" w:lineRule="auto"/>
        <w:sectPr>
          <w:type w:val="continuous"/>
          <w:pgSz w:w="11910" w:h="16840"/>
          <w:pgMar w:top="520" w:bottom="1860" w:left="960" w:right="800"/>
          <w:cols w:num="2" w:equalWidth="0">
            <w:col w:w="1798" w:space="1087"/>
            <w:col w:w="7265"/>
          </w:cols>
        </w:sectPr>
      </w:pPr>
    </w:p>
    <w:p>
      <w:pPr>
        <w:pStyle w:val="ListParagraph"/>
        <w:numPr>
          <w:ilvl w:val="0"/>
          <w:numId w:val="3"/>
        </w:numPr>
        <w:tabs>
          <w:tab w:pos="382" w:val="left" w:leader="none"/>
        </w:tabs>
        <w:spacing w:line="299"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9" w:lineRule="exact"/>
        <w:jc w:val="left"/>
        <w:rPr>
          <w:sz w:val="21"/>
        </w:rPr>
        <w:sectPr>
          <w:type w:val="continuous"/>
          <w:pgSz w:w="11910" w:h="16840"/>
          <w:pgMar w:top="520" w:bottom="1860" w:left="960" w:right="80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520" w:bottom="1860" w:left="960" w:right="800"/>
          <w:cols w:num="2" w:equalWidth="0">
            <w:col w:w="1798" w:space="1087"/>
            <w:col w:w="7265"/>
          </w:cols>
        </w:sectPr>
      </w:pPr>
    </w:p>
    <w:p>
      <w:pPr>
        <w:pStyle w:val="ListParagraph"/>
        <w:numPr>
          <w:ilvl w:val="0"/>
          <w:numId w:val="3"/>
        </w:numPr>
        <w:tabs>
          <w:tab w:pos="382" w:val="left" w:leader="none"/>
          <w:tab w:pos="2823" w:val="left" w:leader="none"/>
        </w:tabs>
        <w:spacing w:line="256" w:lineRule="auto" w:before="11" w:after="0"/>
        <w:ind w:left="3002" w:right="84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84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spacing w:before="8"/>
        <w:ind w:left="0"/>
        <w:rPr>
          <w:sz w:val="22"/>
        </w:rPr>
      </w:pPr>
      <w:r>
        <w:rPr/>
        <w:pict>
          <v:line style="position:absolute;mso-position-horizontal-relative:page;mso-position-vertical-relative:paragraph;z-index:1168;mso-wrap-distance-left:0;mso-wrap-distance-right:0" from="53.880001pt,17.088633pt" to="197.880001pt,17.088633pt" stroked="true" strokeweight=".53999pt" strokecolor="#000000">
            <v:stroke dashstyle="solid"/>
            <w10:wrap type="topAndBottom"/>
          </v:line>
        </w:pict>
      </w:r>
    </w:p>
    <w:p>
      <w:pPr>
        <w:spacing w:line="237" w:lineRule="auto" w:before="32"/>
        <w:ind w:left="117" w:right="148" w:hanging="1"/>
        <w:jc w:val="both"/>
        <w:rPr>
          <w:rFonts w:ascii="楷体" w:eastAsia="楷体" w:hint="eastAsia"/>
          <w:sz w:val="18"/>
        </w:rPr>
      </w:pPr>
      <w:r>
        <w:rPr>
          <w:rFonts w:ascii="Times New Roman" w:eastAsia="Times New Roman"/>
          <w:position w:val="8"/>
          <w:sz w:val="12"/>
        </w:rPr>
        <w:t>19 </w:t>
      </w:r>
      <w:r>
        <w:rPr>
          <w:rFonts w:ascii="楷体" w:eastAsia="楷体" w:hint="eastAsia"/>
          <w:b/>
          <w:sz w:val="18"/>
        </w:rPr>
        <w:t>肢体机能完全丧失：</w:t>
      </w:r>
      <w:r>
        <w:rPr>
          <w:rFonts w:ascii="楷体" w:eastAsia="楷体" w:hint="eastAsia"/>
          <w:sz w:val="18"/>
        </w:rPr>
        <w:t>指肢体的三大关节中的两大关节僵硬，或不能随意识活动。肢体是指包括肩关节的整个上肢或包括髋关节的整个下肢。</w:t>
      </w:r>
    </w:p>
    <w:p>
      <w:pPr>
        <w:spacing w:line="237" w:lineRule="auto" w:before="0"/>
        <w:ind w:left="117" w:right="124" w:hanging="1"/>
        <w:jc w:val="both"/>
        <w:rPr>
          <w:rFonts w:ascii="楷体" w:eastAsia="楷体" w:hint="eastAsia"/>
          <w:sz w:val="18"/>
        </w:rPr>
      </w:pPr>
      <w:r>
        <w:rPr>
          <w:rFonts w:ascii="Times New Roman" w:eastAsia="Times New Roman"/>
          <w:position w:val="8"/>
          <w:sz w:val="12"/>
        </w:rPr>
        <w:t>20 </w:t>
      </w:r>
      <w:r>
        <w:rPr>
          <w:rFonts w:ascii="楷体" w:eastAsia="楷体" w:hint="eastAsia"/>
          <w:b/>
          <w:sz w:val="18"/>
        </w:rPr>
        <w:t>语言能力或咀嚼吞咽能力完全丧失：</w:t>
      </w:r>
      <w:r>
        <w:rPr>
          <w:rFonts w:ascii="楷体" w:eastAsia="楷体" w:hint="eastAsia"/>
          <w:sz w:val="18"/>
        </w:rPr>
        <w:t>语言能力完全丧失，指无法发出四种语音（包括口唇音、齿舌音、口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25" w:lineRule="auto" w:before="13"/>
        <w:ind w:left="117" w:right="117" w:hanging="1"/>
        <w:jc w:val="both"/>
        <w:rPr>
          <w:rFonts w:ascii="楷体" w:eastAsia="楷体" w:hint="eastAsia"/>
          <w:sz w:val="18"/>
        </w:rPr>
      </w:pPr>
      <w:r>
        <w:rPr>
          <w:rFonts w:ascii="Times New Roman" w:eastAsia="Times New Roman"/>
          <w:position w:val="8"/>
          <w:sz w:val="12"/>
        </w:rPr>
        <w:t>21 </w:t>
      </w:r>
      <w:r>
        <w:rPr>
          <w:rFonts w:ascii="楷体" w:eastAsia="楷体" w:hint="eastAsia"/>
          <w:b/>
          <w:spacing w:val="-1"/>
          <w:w w:val="99"/>
          <w:sz w:val="18"/>
        </w:rPr>
        <w:t>六项基本日常生活活动：</w:t>
      </w:r>
      <w:r>
        <w:rPr>
          <w:rFonts w:ascii="楷体" w:eastAsia="楷体" w:hint="eastAsia"/>
          <w:spacing w:val="-6"/>
          <w:sz w:val="18"/>
        </w:rPr>
        <w:t>指</w:t>
      </w:r>
      <w:r>
        <w:rPr>
          <w:rFonts w:ascii="楷体" w:eastAsia="楷体" w:hint="eastAsia"/>
          <w:sz w:val="18"/>
        </w:rPr>
        <w:t>（</w:t>
      </w:r>
      <w:r>
        <w:rPr>
          <w:rFonts w:ascii="Times New Roman" w:eastAsia="Times New Roman"/>
          <w:sz w:val="18"/>
        </w:rPr>
        <w:t>1</w:t>
      </w:r>
      <w:r>
        <w:rPr>
          <w:rFonts w:ascii="楷体" w:eastAsia="楷体" w:hint="eastAsia"/>
          <w:spacing w:val="-6"/>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6"/>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6"/>
          <w:sz w:val="18"/>
        </w:rPr>
        <w:t>）</w:t>
      </w:r>
      <w:r>
        <w:rPr>
          <w:rFonts w:ascii="楷体" w:eastAsia="楷体" w:hint="eastAsia"/>
          <w:spacing w:val="-2"/>
          <w:sz w:val="18"/>
        </w:rPr>
        <w:t>行动：自己上</w:t>
      </w:r>
      <w:r>
        <w:rPr>
          <w:rFonts w:ascii="楷体" w:eastAsia="楷体" w:hint="eastAsia"/>
          <w:spacing w:val="-13"/>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both"/>
        <w:rPr>
          <w:rFonts w:ascii="楷体" w:eastAsia="楷体" w:hint="eastAsia"/>
          <w:sz w:val="18"/>
        </w:rPr>
        <w:sectPr>
          <w:type w:val="continuous"/>
          <w:pgSz w:w="11910" w:h="16840"/>
          <w:pgMar w:top="520" w:bottom="1860" w:left="960" w:right="800"/>
        </w:sectPr>
      </w:pPr>
    </w:p>
    <w:p>
      <w:pPr>
        <w:pStyle w:val="BodyText"/>
        <w:spacing w:before="25"/>
      </w:pPr>
      <w:r>
        <w:rPr/>
        <w:t>（</w:t>
      </w:r>
      <w:r>
        <w:rPr>
          <w:rFonts w:ascii="Times New Roman" w:eastAsia="Times New Roman"/>
        </w:rPr>
        <w:t>3</w:t>
      </w:r>
      <w:r>
        <w:rPr/>
        <w:t>）肝性脑病；</w:t>
      </w:r>
    </w:p>
    <w:p>
      <w:pPr>
        <w:pStyle w:val="BodyText"/>
        <w:spacing w:line="256" w:lineRule="auto" w:before="20"/>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1"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before="20"/>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7"/>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ind w:right="20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before="22"/>
        <w:ind w:right="139"/>
      </w:pPr>
      <w:r>
        <w:rPr/>
        <w:t>被保险人在满 </w:t>
      </w:r>
      <w:r>
        <w:rPr>
          <w:rFonts w:ascii="Times New Roman" w:eastAsia="Times New Roman"/>
        </w:rPr>
        <w:t>3 </w:t>
      </w:r>
      <w:r>
        <w:rPr/>
        <w:t>周岁的首个保险单周年日之前双耳失聪不在本附加险合同的保障范围之内。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pPr>
      <w:r>
        <w:rPr/>
        <w:t>须满足下列至少一项条件：</w:t>
      </w:r>
    </w:p>
    <w:p>
      <w:pPr>
        <w:pStyle w:val="BodyText"/>
        <w:spacing w:before="37"/>
      </w:pPr>
      <w:r>
        <w:rPr/>
        <w:t>（</w:t>
      </w:r>
      <w:r>
        <w:rPr>
          <w:rFonts w:ascii="Times New Roman" w:eastAsia="Times New Roman"/>
        </w:rPr>
        <w:t>1</w:t>
      </w:r>
      <w:r>
        <w:rPr/>
        <w:t>）眼球缺失或摘除；</w:t>
      </w:r>
    </w:p>
    <w:p>
      <w:pPr>
        <w:pStyle w:val="BodyText"/>
        <w:spacing w:line="256" w:lineRule="auto"/>
        <w:ind w:right="20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before="20"/>
        <w:ind w:right="13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1" w:after="0"/>
        <w:ind w:left="3002" w:right="19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spacing w:before="20"/>
      </w:pPr>
      <w:r>
        <w:rPr/>
        <w:t>的手术。</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before="20"/>
        <w:ind w:right="9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5"/>
      </w:pPr>
      <w:r>
        <w:rPr/>
        <w:t>神经官能症和精神疾病不在保障范围内。</w:t>
      </w:r>
    </w:p>
    <w:p>
      <w:pPr>
        <w:pStyle w:val="ListParagraph"/>
        <w:numPr>
          <w:ilvl w:val="0"/>
          <w:numId w:val="3"/>
        </w:numPr>
        <w:tabs>
          <w:tab w:pos="487" w:val="left" w:leader="none"/>
          <w:tab w:pos="2823" w:val="left" w:leader="none"/>
        </w:tabs>
        <w:spacing w:line="240" w:lineRule="auto" w:before="26"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before="20"/>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p>
    <w:p>
      <w:pPr>
        <w:pStyle w:val="BodyText"/>
        <w:spacing w:before="2"/>
        <w:ind w:left="0"/>
        <w:rPr>
          <w:sz w:val="28"/>
        </w:rPr>
      </w:pPr>
      <w:r>
        <w:rPr/>
        <w:pict>
          <v:line style="position:absolute;mso-position-horizontal-relative:page;mso-position-vertical-relative:paragraph;z-index:1192;mso-wrap-distance-left:0;mso-wrap-distance-right:0" from="53.880001pt,20.710468pt" to="197.880001pt,20.710468pt" stroked="true" strokeweight=".54001pt" strokecolor="#000000">
            <v:stroke dashstyle="solid"/>
            <w10:wrap type="topAndBottom"/>
          </v:line>
        </w:pict>
      </w:r>
    </w:p>
    <w:p>
      <w:pPr>
        <w:spacing w:before="31"/>
        <w:ind w:left="117" w:right="0" w:firstLine="0"/>
        <w:jc w:val="left"/>
        <w:rPr>
          <w:rFonts w:ascii="楷体" w:eastAsia="楷体" w:hint="eastAsia"/>
          <w:sz w:val="18"/>
        </w:rPr>
      </w:pPr>
      <w:r>
        <w:rPr>
          <w:rFonts w:ascii="Times New Roman" w:eastAsia="Times New Roman"/>
          <w:position w:val="8"/>
          <w:sz w:val="12"/>
        </w:rPr>
        <w:t>22 </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after="0"/>
        <w:jc w:val="left"/>
        <w:rPr>
          <w:rFonts w:ascii="楷体" w:eastAsia="楷体" w:hint="eastAsia"/>
          <w:sz w:val="18"/>
        </w:rPr>
        <w:sectPr>
          <w:pgSz w:w="11910" w:h="16840"/>
          <w:pgMar w:header="0" w:footer="1673" w:top="1360" w:bottom="1860" w:left="960" w:right="1440"/>
        </w:sectPr>
      </w:pPr>
    </w:p>
    <w:p>
      <w:pPr>
        <w:pStyle w:val="BodyText"/>
        <w:spacing w:line="256" w:lineRule="auto" w:before="25"/>
        <w:ind w:right="126" w:hanging="1"/>
      </w:pPr>
      <w:r>
        <w:rPr/>
        <w:t>正电子发射断层扫描（</w:t>
      </w:r>
      <w:r>
        <w:rPr>
          <w:rFonts w:ascii="Times New Roman" w:eastAsia="Times New Roman"/>
        </w:rPr>
        <w:t>PET</w:t>
      </w:r>
      <w:r>
        <w:rPr/>
        <w:t>）等影像学检查证实。神经系统永久性的功能障碍，指脑损伤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1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pPr>
      <w:r>
        <w:rPr/>
        <w:t>等。须满足下列全部条件：</w:t>
      </w:r>
    </w:p>
    <w:p>
      <w:pPr>
        <w:pStyle w:val="BodyText"/>
        <w:spacing w:before="37"/>
      </w:pPr>
      <w:r>
        <w:rPr/>
        <w:t>（</w:t>
      </w:r>
      <w:r>
        <w:rPr>
          <w:rFonts w:ascii="Times New Roman" w:eastAsia="Times New Roman"/>
        </w:rPr>
        <w:t>1</w:t>
      </w:r>
      <w:r>
        <w:rPr/>
        <w:t>）药物治疗无法控制病情；</w:t>
      </w:r>
    </w:p>
    <w:p>
      <w:pPr>
        <w:pStyle w:val="BodyText"/>
        <w:spacing w:line="256" w:lineRule="auto"/>
        <w:ind w:right="1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7" w:val="left" w:leader="none"/>
          <w:tab w:pos="2823" w:val="left" w:leader="none"/>
        </w:tabs>
        <w:spacing w:line="298" w:lineRule="exact" w:before="0" w:after="0"/>
        <w:ind w:left="486" w:right="0" w:hanging="369"/>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6"/>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pPr>
      <w:r>
        <w:rPr/>
        <w:t>小板减少。须满足下列全部条件：</w:t>
      </w:r>
    </w:p>
    <w:p>
      <w:pPr>
        <w:pStyle w:val="BodyText"/>
        <w:spacing w:before="37"/>
      </w:pPr>
      <w:r>
        <w:rPr/>
        <w:t>（</w:t>
      </w:r>
      <w:r>
        <w:rPr>
          <w:rFonts w:ascii="Times New Roman" w:eastAsia="Times New Roman"/>
        </w:rPr>
        <w:t>1</w:t>
      </w:r>
      <w:r>
        <w:rPr/>
        <w:t>）骨髓穿刺检查或骨髓活检结果支持诊断；</w:t>
      </w:r>
    </w:p>
    <w:p>
      <w:pPr>
        <w:pStyle w:val="BodyText"/>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04"/>
        <w:jc w:val="center"/>
      </w:pPr>
      <w:r>
        <w:rPr/>
        <w:t>② 网织红细胞＜</w:t>
      </w:r>
      <w:r>
        <w:rPr>
          <w:rFonts w:ascii="Times New Roman" w:hAnsi="Times New Roman" w:eastAsia="Times New Roman"/>
        </w:rPr>
        <w:t>1%</w:t>
      </w:r>
      <w:r>
        <w:rPr/>
        <w:t>；</w:t>
      </w:r>
    </w:p>
    <w:p>
      <w:pPr>
        <w:pStyle w:val="BodyText"/>
        <w:spacing w:before="20"/>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0"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before="20"/>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7"/>
        <w:ind w:left="117"/>
      </w:pPr>
      <w:r>
        <w:rPr/>
        <w:t>（26-39 种为我们增加的重大疾病）</w:t>
      </w:r>
    </w:p>
    <w:p>
      <w:pPr>
        <w:pStyle w:val="ListParagraph"/>
        <w:numPr>
          <w:ilvl w:val="0"/>
          <w:numId w:val="3"/>
        </w:numPr>
        <w:tabs>
          <w:tab w:pos="487" w:val="left" w:leader="none"/>
          <w:tab w:pos="2823" w:val="left" w:leader="none"/>
        </w:tabs>
        <w:spacing w:line="240" w:lineRule="auto" w:before="55"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ind w:left="2998" w:right="118"/>
      </w:pPr>
      <w:r>
        <w:rPr/>
        <w:t>质。多发性硬化必须明确诊断，并且已经造成神经系统功能损害导致被保险人永久不可逆性的无法独立完成六项基本日常生活活动中的</w:t>
      </w:r>
    </w:p>
    <w:p>
      <w:pPr>
        <w:spacing w:after="0" w:line="273" w:lineRule="auto"/>
        <w:sectPr>
          <w:pgSz w:w="11910" w:h="16840"/>
          <w:pgMar w:header="0" w:footer="1673" w:top="1360" w:bottom="1920" w:left="960" w:right="1520"/>
        </w:sectPr>
      </w:pPr>
    </w:p>
    <w:p>
      <w:pPr>
        <w:pStyle w:val="BodyText"/>
        <w:spacing w:before="5"/>
        <w:ind w:left="2998"/>
      </w:pPr>
      <w:r>
        <w:rPr/>
        <w:t>三项或三项以上的条件。</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spacing w:before="20"/>
      </w:pPr>
      <w:r>
        <w:rPr/>
        <w:t>科医师确认并符合下列所有条件：</w:t>
      </w:r>
    </w:p>
    <w:p>
      <w:pPr>
        <w:pStyle w:val="BodyText"/>
        <w:tabs>
          <w:tab w:pos="3422" w:val="left" w:leader="none"/>
        </w:tabs>
        <w:spacing w:before="36"/>
      </w:pPr>
      <w:r>
        <w:rPr/>
        <w:t>①</w:t>
        <w:tab/>
        <w:t>休息时出现呼吸困难；</w:t>
      </w:r>
    </w:p>
    <w:p>
      <w:pPr>
        <w:pStyle w:val="BodyText"/>
        <w:tabs>
          <w:tab w:pos="3422" w:val="left" w:leader="none"/>
        </w:tabs>
        <w:spacing w:before="36"/>
      </w:pPr>
      <w:r>
        <w:rPr/>
        <w:t>②</w:t>
        <w:tab/>
      </w:r>
      <w:r>
        <w:rPr>
          <w:spacing w:val="-1"/>
        </w:rPr>
        <w:t>动脉血氧分压 </w:t>
      </w:r>
      <w:r>
        <w:rPr/>
        <w:t>（</w:t>
      </w:r>
      <w:r>
        <w:rPr>
          <w:rFonts w:ascii="Times New Roman" w:hAnsi="Times New Roman" w:eastAsia="Times New Roman"/>
        </w:rPr>
        <w:t>PaO</w:t>
      </w:r>
      <w:r>
        <w:rPr>
          <w:rFonts w:ascii="Times New Roman" w:hAnsi="Times New Roman" w:eastAsia="Times New Roman"/>
          <w:spacing w:val="-1"/>
        </w:rPr>
        <w:t> </w:t>
      </w:r>
      <w:r>
        <w:rPr>
          <w:rFonts w:ascii="Times New Roman" w:hAnsi="Times New Roman" w:eastAsia="Times New Roman"/>
        </w:rPr>
        <w:t>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tabs>
          <w:tab w:pos="3422" w:val="left" w:leader="none"/>
        </w:tabs>
        <w:spacing w:before="20"/>
      </w:pPr>
      <w:r>
        <w:rPr/>
        <w:t>③</w:t>
        <w:tab/>
      </w:r>
      <w:r>
        <w:rPr>
          <w:spacing w:val="-1"/>
        </w:rPr>
        <w:t>动脉血氧饱和度 </w:t>
      </w:r>
      <w:r>
        <w:rPr/>
        <w:t>（</w:t>
      </w:r>
      <w:r>
        <w:rPr>
          <w:rFonts w:ascii="Times New Roman" w:hAnsi="Times New Roman" w:eastAsia="Times New Roman"/>
        </w:rPr>
        <w:t>SaO</w:t>
      </w:r>
      <w:r>
        <w:rPr>
          <w:rFonts w:ascii="Times New Roman" w:hAnsi="Times New Roman" w:eastAsia="Times New Roman"/>
          <w:spacing w:val="-1"/>
        </w:rPr>
        <w:t> </w:t>
      </w:r>
      <w:r>
        <w:rPr>
          <w:rFonts w:ascii="Times New Roman" w:hAnsi="Times New Roman" w:eastAsia="Times New Roman"/>
        </w:rPr>
        <w:t>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tabs>
          <w:tab w:pos="3423" w:val="left" w:leader="none"/>
        </w:tabs>
        <w:spacing w:before="20"/>
      </w:pPr>
      <w:r>
        <w:rPr/>
        <w:t>④</w:t>
        <w:tab/>
      </w:r>
      <w:r>
        <w:rPr>
          <w:spacing w:val="-1"/>
        </w:rPr>
        <w:t>因缺氧必须接受持续的输氧治疗。</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before="20"/>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pStyle w:val="BodyText"/>
        <w:spacing w:line="273" w:lineRule="auto"/>
        <w:ind w:right="12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8"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12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6" w:after="0"/>
        <w:ind w:left="3422" w:right="12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1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6"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73" w:top="1380" w:bottom="1920" w:left="960" w:right="1520"/>
        </w:sectPr>
      </w:pPr>
    </w:p>
    <w:p>
      <w:pPr>
        <w:pStyle w:val="BodyText"/>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1"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7" w:after="0"/>
        <w:ind w:left="537" w:right="11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6"/>
        <w:ind w:left="117" w:right="122"/>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17" w:right="12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520" w:bottom="1860" w:left="960" w:right="1520"/>
          <w:cols w:num="2" w:equalWidth="0">
            <w:col w:w="1961" w:space="923"/>
            <w:col w:w="6546"/>
          </w:cols>
        </w:sectPr>
      </w:pP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before="20"/>
        <w:ind w:right="124"/>
      </w:pPr>
      <w:r>
        <w:rPr/>
        <w:t>需要接受酶替代治疗。诊断必须有消化科专科医生确认并且有内窥镜逆行胰胆管造影所证实。</w:t>
      </w:r>
    </w:p>
    <w:p>
      <w:pPr>
        <w:spacing w:after="0" w:line="273" w:lineRule="auto"/>
        <w:sectPr>
          <w:type w:val="continuous"/>
          <w:pgSz w:w="11910" w:h="16840"/>
          <w:pgMar w:top="520" w:bottom="1860" w:left="960" w:right="1520"/>
        </w:sectPr>
      </w:pPr>
    </w:p>
    <w:p>
      <w:pPr>
        <w:pStyle w:val="BodyText"/>
        <w:spacing w:before="5"/>
      </w:pPr>
      <w:r>
        <w:rPr/>
        <w:t>酒精导致的慢性复发性胰腺炎除外。</w:t>
      </w:r>
    </w:p>
    <w:p>
      <w:pPr>
        <w:pStyle w:val="ListParagraph"/>
        <w:numPr>
          <w:ilvl w:val="0"/>
          <w:numId w:val="3"/>
        </w:numPr>
        <w:tabs>
          <w:tab w:pos="487" w:val="left" w:leader="none"/>
          <w:tab w:pos="2823" w:val="left" w:leader="none"/>
        </w:tabs>
        <w:spacing w:line="240" w:lineRule="auto" w:before="47"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ind w:right="74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6"/>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ind w:right="84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3"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spacing w:line="273" w:lineRule="auto" w:before="20"/>
        <w:ind w:right="844"/>
      </w:pPr>
      <w:r>
        <w:rPr/>
        <w:t>全身骨骼肌（特别是眼外肌）极易疲劳。疾病可以累及呼吸肌、上肢或下肢的近端肌群或全身肌肉，必须满足下列全部条件：</w:t>
      </w:r>
    </w:p>
    <w:p>
      <w:pPr>
        <w:pStyle w:val="BodyText"/>
        <w:spacing w:before="7"/>
      </w:pPr>
      <w:r>
        <w:rPr/>
        <w:t>（</w:t>
      </w:r>
      <w:r>
        <w:rPr>
          <w:rFonts w:ascii="Times New Roman" w:eastAsia="Times New Roman"/>
        </w:rPr>
        <w:t>1</w:t>
      </w:r>
      <w:r>
        <w:rPr/>
        <w:t>）经药物治疗和胸腺切除治疗一年以上仍无法控制病情；</w:t>
      </w:r>
    </w:p>
    <w:p>
      <w:pPr>
        <w:pStyle w:val="BodyText"/>
        <w:spacing w:line="256" w:lineRule="auto"/>
        <w:ind w:right="84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84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6"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ind w:right="84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before="20"/>
        <w:ind w:right="73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1"/>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right="844"/>
      </w:pPr>
      <w:r>
        <w:rPr/>
        <w:t>在短时间内急剧恶化，必须立刻进行手术及清创术。最后的诊断必须由微生物或病理学专家进行相关检查后证实。</w:t>
      </w:r>
    </w:p>
    <w:p>
      <w:pPr>
        <w:pStyle w:val="BodyText"/>
        <w:spacing w:before="12"/>
        <w:ind w:left="0"/>
      </w:pPr>
    </w:p>
    <w:p>
      <w:pPr>
        <w:pStyle w:val="Heading1"/>
        <w:ind w:left="0" w:right="117"/>
        <w:jc w:val="right"/>
      </w:pPr>
      <w:r>
        <w:rPr>
          <w:w w:val="95"/>
        </w:rPr>
        <w:t>〈本页内容结束〉</w:t>
      </w:r>
    </w:p>
    <w:sectPr>
      <w:pgSz w:w="11910" w:h="16840"/>
      <w:pgMar w:header="0" w:footer="1673" w:top="1380" w:bottom="1920" w:left="96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5"/>
      </w:rPr>
    </w:pPr>
    <w:r>
      <w:rPr/>
      <w:pict>
        <v:shapetype id="_x0000_t202" o:spt="202" coordsize="21600,21600" path="m,l,21600r21600,l21600,xe">
          <v:stroke joinstyle="miter"/>
          <v:path gradientshapeok="t" o:connecttype="rect"/>
        </v:shapetype>
        <v:shape style="position:absolute;margin-left:271.279999pt;margin-top:744.999695pt;width:60.5pt;height:12pt;mso-position-horizontal-relative:page;mso-position-vertical-relative:page;z-index:-14248"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39" w:hanging="420"/>
      </w:pPr>
      <w:rPr>
        <w:rFonts w:hint="default"/>
      </w:rPr>
    </w:lvl>
    <w:lvl w:ilvl="2">
      <w:start w:val="0"/>
      <w:numFmt w:val="bullet"/>
      <w:lvlText w:val="•"/>
      <w:lvlJc w:val="left"/>
      <w:pPr>
        <w:ind w:left="1739" w:hanging="420"/>
      </w:pPr>
      <w:rPr>
        <w:rFonts w:hint="default"/>
      </w:rPr>
    </w:lvl>
    <w:lvl w:ilvl="3">
      <w:start w:val="0"/>
      <w:numFmt w:val="bullet"/>
      <w:lvlText w:val="•"/>
      <w:lvlJc w:val="left"/>
      <w:pPr>
        <w:ind w:left="2339" w:hanging="420"/>
      </w:pPr>
      <w:rPr>
        <w:rFonts w:hint="default"/>
      </w:rPr>
    </w:lvl>
    <w:lvl w:ilvl="4">
      <w:start w:val="0"/>
      <w:numFmt w:val="bullet"/>
      <w:lvlText w:val="•"/>
      <w:lvlJc w:val="left"/>
      <w:pPr>
        <w:ind w:left="2939" w:hanging="420"/>
      </w:pPr>
      <w:rPr>
        <w:rFonts w:hint="default"/>
      </w:rPr>
    </w:lvl>
    <w:lvl w:ilvl="5">
      <w:start w:val="0"/>
      <w:numFmt w:val="bullet"/>
      <w:lvlText w:val="•"/>
      <w:lvlJc w:val="left"/>
      <w:pPr>
        <w:ind w:left="3539" w:hanging="420"/>
      </w:pPr>
      <w:rPr>
        <w:rFonts w:hint="default"/>
      </w:rPr>
    </w:lvl>
    <w:lvl w:ilvl="6">
      <w:start w:val="0"/>
      <w:numFmt w:val="bullet"/>
      <w:lvlText w:val="•"/>
      <w:lvlJc w:val="left"/>
      <w:pPr>
        <w:ind w:left="4139" w:hanging="420"/>
      </w:pPr>
      <w:rPr>
        <w:rFonts w:hint="default"/>
      </w:rPr>
    </w:lvl>
    <w:lvl w:ilvl="7">
      <w:start w:val="0"/>
      <w:numFmt w:val="bullet"/>
      <w:lvlText w:val="•"/>
      <w:lvlJc w:val="left"/>
      <w:pPr>
        <w:ind w:left="4739" w:hanging="420"/>
      </w:pPr>
      <w:rPr>
        <w:rFonts w:hint="default"/>
      </w:rPr>
    </w:lvl>
    <w:lvl w:ilvl="8">
      <w:start w:val="0"/>
      <w:numFmt w:val="bullet"/>
      <w:lvlText w:val="•"/>
      <w:lvlJc w:val="left"/>
      <w:pPr>
        <w:ind w:left="5339"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ascii="宋体" w:hAnsi="宋体" w:eastAsia="宋体" w:cs="宋体"/>
        <w:spacing w:val="-1"/>
        <w:w w:val="100"/>
        <w:sz w:val="21"/>
        <w:szCs w:val="21"/>
      </w:rPr>
    </w:lvl>
    <w:lvl w:ilvl="2">
      <w:start w:val="0"/>
      <w:numFmt w:val="bullet"/>
      <w:lvlText w:val="•"/>
      <w:lvlJc w:val="left"/>
      <w:pPr>
        <w:ind w:left="3520" w:hanging="420"/>
      </w:pPr>
      <w:rPr>
        <w:rFonts w:hint="default"/>
      </w:rPr>
    </w:lvl>
    <w:lvl w:ilvl="3">
      <w:start w:val="0"/>
      <w:numFmt w:val="bullet"/>
      <w:lvlText w:val="•"/>
      <w:lvlJc w:val="left"/>
      <w:pPr>
        <w:ind w:left="4258" w:hanging="420"/>
      </w:pPr>
      <w:rPr>
        <w:rFonts w:hint="default"/>
      </w:rPr>
    </w:lvl>
    <w:lvl w:ilvl="4">
      <w:start w:val="0"/>
      <w:numFmt w:val="bullet"/>
      <w:lvlText w:val="•"/>
      <w:lvlJc w:val="left"/>
      <w:pPr>
        <w:ind w:left="4996" w:hanging="420"/>
      </w:pPr>
      <w:rPr>
        <w:rFonts w:hint="default"/>
      </w:rPr>
    </w:lvl>
    <w:lvl w:ilvl="5">
      <w:start w:val="0"/>
      <w:numFmt w:val="bullet"/>
      <w:lvlText w:val="•"/>
      <w:lvlJc w:val="left"/>
      <w:pPr>
        <w:ind w:left="5734" w:hanging="420"/>
      </w:pPr>
      <w:rPr>
        <w:rFonts w:hint="default"/>
      </w:rPr>
    </w:lvl>
    <w:lvl w:ilvl="6">
      <w:start w:val="0"/>
      <w:numFmt w:val="bullet"/>
      <w:lvlText w:val="•"/>
      <w:lvlJc w:val="left"/>
      <w:pPr>
        <w:ind w:left="6472" w:hanging="420"/>
      </w:pPr>
      <w:rPr>
        <w:rFonts w:hint="default"/>
      </w:rPr>
    </w:lvl>
    <w:lvl w:ilvl="7">
      <w:start w:val="0"/>
      <w:numFmt w:val="bullet"/>
      <w:lvlText w:val="•"/>
      <w:lvlJc w:val="left"/>
      <w:pPr>
        <w:ind w:left="7210" w:hanging="420"/>
      </w:pPr>
      <w:rPr>
        <w:rFonts w:hint="default"/>
      </w:rPr>
    </w:lvl>
    <w:lvl w:ilvl="8">
      <w:start w:val="0"/>
      <w:numFmt w:val="bullet"/>
      <w:lvlText w:val="•"/>
      <w:lvlJc w:val="left"/>
      <w:pPr>
        <w:ind w:left="7948"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0" w:hanging="474"/>
      </w:pPr>
      <w:rPr>
        <w:rFonts w:hint="default"/>
      </w:rPr>
    </w:lvl>
    <w:lvl w:ilvl="3">
      <w:start w:val="0"/>
      <w:numFmt w:val="bullet"/>
      <w:lvlText w:val="•"/>
      <w:lvlJc w:val="left"/>
      <w:pPr>
        <w:ind w:left="2720" w:hanging="474"/>
      </w:pPr>
      <w:rPr>
        <w:rFonts w:hint="default"/>
      </w:rPr>
    </w:lvl>
    <w:lvl w:ilvl="4">
      <w:start w:val="0"/>
      <w:numFmt w:val="bullet"/>
      <w:lvlText w:val="•"/>
      <w:lvlJc w:val="left"/>
      <w:pPr>
        <w:ind w:left="3781" w:hanging="474"/>
      </w:pPr>
      <w:rPr>
        <w:rFonts w:hint="default"/>
      </w:rPr>
    </w:lvl>
    <w:lvl w:ilvl="5">
      <w:start w:val="0"/>
      <w:numFmt w:val="bullet"/>
      <w:lvlText w:val="•"/>
      <w:lvlJc w:val="left"/>
      <w:pPr>
        <w:ind w:left="4841" w:hanging="474"/>
      </w:pPr>
      <w:rPr>
        <w:rFonts w:hint="default"/>
      </w:rPr>
    </w:lvl>
    <w:lvl w:ilvl="6">
      <w:start w:val="0"/>
      <w:numFmt w:val="bullet"/>
      <w:lvlText w:val="•"/>
      <w:lvlJc w:val="left"/>
      <w:pPr>
        <w:ind w:left="5902" w:hanging="474"/>
      </w:pPr>
      <w:rPr>
        <w:rFonts w:hint="default"/>
      </w:rPr>
    </w:lvl>
    <w:lvl w:ilvl="7">
      <w:start w:val="0"/>
      <w:numFmt w:val="bullet"/>
      <w:lvlText w:val="•"/>
      <w:lvlJc w:val="left"/>
      <w:pPr>
        <w:ind w:left="6962" w:hanging="474"/>
      </w:pPr>
      <w:rPr>
        <w:rFonts w:hint="default"/>
      </w:rPr>
    </w:lvl>
    <w:lvl w:ilvl="8">
      <w:start w:val="0"/>
      <w:numFmt w:val="bullet"/>
      <w:lvlText w:val="•"/>
      <w:lvlJc w:val="left"/>
      <w:pPr>
        <w:ind w:left="8023"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1020" w:hanging="474"/>
      </w:pPr>
      <w:rPr>
        <w:rFonts w:hint="default"/>
      </w:rPr>
    </w:lvl>
    <w:lvl w:ilvl="3">
      <w:start w:val="0"/>
      <w:numFmt w:val="bullet"/>
      <w:lvlText w:val="•"/>
      <w:lvlJc w:val="left"/>
      <w:pPr>
        <w:ind w:left="2168" w:hanging="474"/>
      </w:pPr>
      <w:rPr>
        <w:rFonts w:hint="default"/>
      </w:rPr>
    </w:lvl>
    <w:lvl w:ilvl="4">
      <w:start w:val="0"/>
      <w:numFmt w:val="bullet"/>
      <w:lvlText w:val="•"/>
      <w:lvlJc w:val="left"/>
      <w:pPr>
        <w:ind w:left="3316" w:hanging="474"/>
      </w:pPr>
      <w:rPr>
        <w:rFonts w:hint="default"/>
      </w:rPr>
    </w:lvl>
    <w:lvl w:ilvl="5">
      <w:start w:val="0"/>
      <w:numFmt w:val="bullet"/>
      <w:lvlText w:val="•"/>
      <w:lvlJc w:val="left"/>
      <w:pPr>
        <w:ind w:left="4464" w:hanging="474"/>
      </w:pPr>
      <w:rPr>
        <w:rFonts w:hint="default"/>
      </w:rPr>
    </w:lvl>
    <w:lvl w:ilvl="6">
      <w:start w:val="0"/>
      <w:numFmt w:val="bullet"/>
      <w:lvlText w:val="•"/>
      <w:lvlJc w:val="left"/>
      <w:pPr>
        <w:ind w:left="5612" w:hanging="474"/>
      </w:pPr>
      <w:rPr>
        <w:rFonts w:hint="default"/>
      </w:rPr>
    </w:lvl>
    <w:lvl w:ilvl="7">
      <w:start w:val="0"/>
      <w:numFmt w:val="bullet"/>
      <w:lvlText w:val="•"/>
      <w:lvlJc w:val="left"/>
      <w:pPr>
        <w:ind w:left="6760" w:hanging="474"/>
      </w:pPr>
      <w:rPr>
        <w:rFonts w:hint="default"/>
      </w:rPr>
    </w:lvl>
    <w:lvl w:ilvl="8">
      <w:start w:val="0"/>
      <w:numFmt w:val="bullet"/>
      <w:lvlText w:val="•"/>
      <w:lvlJc w:val="left"/>
      <w:pPr>
        <w:ind w:left="7908" w:hanging="47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1"/>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117"/>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&lt;4D6963726F736F667420576F7264202D20323031312D313035B8BDBCFE32A3BAD0D2B8A3B8BDBCD3B2C6B8BBD6D8B4F3BCB2B2A1B1A3CFD5CCF5BFEEA3A8D0DEB8C4BAF3A3A93230313130363031&gt;</dc:title>
  <dcterms:created xsi:type="dcterms:W3CDTF">2018-10-19T22:06:01Z</dcterms:created>
  <dcterms:modified xsi:type="dcterms:W3CDTF">2018-10-19T22:06:01Z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2014-05-21T00:00:00Z</vt:filetime>
  </property>
  <property fmtid="{D5CDD505-2E9C-101B-9397-08002B2CF9AE}" pid="3" name="Creator">
    <vt:lpwstr>PScript5.dll Version 5.2.2</vt:lpwstr>
  </property>
  <property fmtid="{D5CDD505-2E9C-101B-9397-08002B2CF9AE}" pid="4" name="LastSaved">
    <vt:filetime>2018-10-19T00:00:00Z</vt:filetime>
  </property>
</Properties>
</file>