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110"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627655</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6207125</wp:posOffset>
            </wp:positionH>
            <wp:positionV relativeFrom="paragraph">
              <wp:posOffset>207285</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-359</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[2012]</w:t>
      </w:r>
      <w:r>
        <w:rPr>
          <w:sz w:val="18"/>
        </w:rPr>
        <w:t>疾病保险 </w:t>
      </w:r>
      <w:r>
        <w:rPr>
          <w:rFonts w:ascii="Times New Roman" w:eastAsia="Times New Roman"/>
          <w:sz w:val="18"/>
        </w:rPr>
        <w:t>010 </w:t>
      </w:r>
      <w:r>
        <w:rPr>
          <w:sz w:val="18"/>
        </w:rPr>
        <w:t>号</w:t>
      </w:r>
    </w:p>
    <w:p>
      <w:pPr>
        <w:spacing w:line="193" w:lineRule="exact" w:before="0"/>
        <w:ind w:left="0" w:right="432" w:firstLine="0"/>
        <w:jc w:val="right"/>
        <w:rPr>
          <w:sz w:val="18"/>
        </w:rPr>
      </w:pPr>
      <w:r>
        <w:rPr>
          <w:sz w:val="18"/>
        </w:rPr>
        <w:t>请扫描以查询验证条款</w:t>
      </w:r>
    </w:p>
    <w:p>
      <w:pPr>
        <w:spacing w:before="13"/>
        <w:ind w:left="2504" w:right="2601" w:firstLine="0"/>
        <w:jc w:val="center"/>
        <w:rPr>
          <w:b/>
          <w:sz w:val="30"/>
        </w:rPr>
      </w:pPr>
      <w:r>
        <w:rPr>
          <w:b/>
          <w:sz w:val="30"/>
        </w:rPr>
        <w:t>太平附加财富颐康提前给付重大疾病保险条款</w:t>
      </w:r>
    </w:p>
    <w:p>
      <w:pPr>
        <w:pStyle w:val="BodyText"/>
        <w:spacing w:before="72"/>
        <w:ind w:left="2502" w:right="2601"/>
        <w:jc w:val="center"/>
      </w:pPr>
      <w:r>
        <w:rPr/>
        <w:t>（</w:t>
      </w:r>
      <w:r>
        <w:rPr>
          <w:rFonts w:ascii="Times New Roman" w:eastAsia="Times New Roman"/>
        </w:rPr>
        <w:t>2012</w:t>
      </w:r>
      <w:r>
        <w:rPr/>
        <w:t>年</w:t>
      </w:r>
      <w:r>
        <w:rPr>
          <w:rFonts w:ascii="Times New Roman" w:eastAsia="Times New Roman"/>
        </w:rPr>
        <w:t>6</w:t>
      </w:r>
      <w:r>
        <w:rPr/>
        <w:t>月呈报中国保险监督管理委员会备案）</w:t>
      </w:r>
    </w:p>
    <w:p>
      <w:pPr>
        <w:pStyle w:val="BodyText"/>
        <w:rPr>
          <w:sz w:val="22"/>
        </w:rPr>
      </w:pPr>
    </w:p>
    <w:p>
      <w:pPr>
        <w:pStyle w:val="BodyText"/>
        <w:spacing w:before="9"/>
        <w:rPr>
          <w:sz w:val="24"/>
        </w:rPr>
      </w:pPr>
    </w:p>
    <w:p>
      <w:pPr>
        <w:spacing w:before="0"/>
        <w:ind w:left="2499" w:right="2601"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418" w:hanging="3"/>
        <w:jc w:val="left"/>
        <w:rPr>
          <w:b/>
          <w:sz w:val="24"/>
        </w:rPr>
      </w:pPr>
      <w:r>
        <w:rPr/>
        <w:pict>
          <v:shape style="position:absolute;margin-left:67.304001pt;margin-top:59.572266pt;width:486.2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0"/>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90"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90" w:type="dxa"/>
                      </w:tcPr>
                      <w:p>
                        <w:pPr>
                          <w:pStyle w:val="TableParagraph"/>
                          <w:spacing w:line="276" w:lineRule="auto" w:before="185"/>
                          <w:ind w:left="142" w:right="204"/>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90"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7"/>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sz w:val="24"/>
        </w:rPr>
      </w:pPr>
      <w:r>
        <w:rPr>
          <w:spacing w:val="-2"/>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pacing w:val="-2"/>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pacing w:val="-2"/>
          <w:sz w:val="24"/>
        </w:rPr>
        <w:t>解除保险合同会给您造成一定的损失，请您慎重决策............... ..第十五条</w:t>
      </w:r>
    </w:p>
    <w:p>
      <w:pPr>
        <w:pStyle w:val="BodyText"/>
        <w:rPr>
          <w:sz w:val="26"/>
        </w:rPr>
      </w:pPr>
    </w:p>
    <w:p>
      <w:pPr>
        <w:pStyle w:val="BodyText"/>
        <w:spacing w:before="3"/>
        <w:rPr>
          <w:sz w:val="31"/>
        </w:rPr>
      </w:pPr>
    </w:p>
    <w:p>
      <w:pPr>
        <w:spacing w:line="276" w:lineRule="auto" w:before="0"/>
        <w:ind w:left="1058" w:right="56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69"/>
          <w:w w:val="95"/>
          <w:position w:val="-8"/>
          <w:sz w:val="24"/>
        </w:rPr>
        <w:t>．</w:t>
      </w:r>
      <w:r>
        <w:rPr>
          <w:b/>
          <w:spacing w:val="-168"/>
          <w:w w:val="95"/>
          <w:sz w:val="24"/>
        </w:rPr>
        <w:t>细</w:t>
      </w:r>
      <w:r>
        <w:rPr>
          <w:spacing w:val="-72"/>
          <w:w w:val="95"/>
          <w:position w:val="-8"/>
          <w:sz w:val="24"/>
        </w:rPr>
        <w:t>．</w:t>
      </w:r>
      <w:r>
        <w:rPr>
          <w:b/>
          <w:spacing w:val="-168"/>
          <w:w w:val="95"/>
          <w:sz w:val="24"/>
        </w:rPr>
        <w:t>阅</w:t>
      </w:r>
      <w:r>
        <w:rPr>
          <w:spacing w:val="-70"/>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spacing w:after="0" w:line="276" w:lineRule="auto"/>
        <w:jc w:val="left"/>
        <w:rPr>
          <w:sz w:val="24"/>
        </w:rPr>
        <w:sectPr>
          <w:footerReference w:type="default" r:id="rId5"/>
          <w:type w:val="continuous"/>
          <w:pgSz w:w="11910" w:h="16160"/>
          <w:pgMar w:footer="670" w:top="580" w:bottom="860" w:left="500" w:right="240"/>
          <w:pgNumType w:start="1"/>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1"/>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如何交纳保险费</w:t>
              <w:tab/>
            </w:r>
            <w:r>
              <w:rPr>
                <w:rFonts w:ascii="Times New Roman" w:eastAsia="Times New Roman"/>
              </w:rPr>
              <w:t>4</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保险费的交纳</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42" w:val="left" w:leader="none"/>
              <w:tab w:pos="10013" w:val="right" w:leader="dot"/>
            </w:tabs>
            <w:spacing w:before="63"/>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保单贷款</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21">
            <w:r>
              <w:rPr/>
              <w:t>第六部分</w:t>
              <w:tab/>
              <w:t>您必须了解的其它</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2"/>
            <w:rPr>
              <w:rFonts w:ascii="Times New Roman" w:eastAsia="Times New Roman"/>
            </w:rPr>
          </w:pPr>
          <w:hyperlink w:history="true" w:anchor="_bookmark20">
            <w:r>
              <w:rPr/>
              <w:t>第十六条</w:t>
              <w:tab/>
              <w:t>未还款项</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22">
            <w:r>
              <w:rPr/>
              <w:t>第十七条</w:t>
              <w:tab/>
              <w:t>保险合同的终止</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23">
            <w:r>
              <w:rPr/>
              <w:t>第十八条</w:t>
              <w:tab/>
              <w:t>重大疾病的种类及定义</w:t>
              <w:tab/>
            </w:r>
            <w:r>
              <w:rPr>
                <w:rFonts w:ascii="Times New Roman" w:eastAsia="Times New Roman"/>
              </w:rPr>
              <w:t>6</w:t>
            </w:r>
          </w:hyperlink>
        </w:p>
      </w:sdtContent>
    </w:sdt>
    <w:p>
      <w:pPr>
        <w:spacing w:after="0"/>
        <w:rPr>
          <w:rFonts w:ascii="Times New Roman" w:eastAsia="Times New Roman"/>
        </w:rPr>
        <w:sectPr>
          <w:pgSz w:w="11910" w:h="16160"/>
          <w:pgMar w:header="0" w:footer="670" w:top="1380" w:bottom="900" w:left="960" w:right="820"/>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left="117" w:right="157" w:firstLine="420"/>
      </w:pPr>
      <w:r>
        <w:rPr>
          <w:spacing w:val="-3"/>
        </w:rPr>
        <w:t>本附加合同依您的申请，附加于我们提供的主合同《太平财富颐康两全保险</w:t>
      </w:r>
      <w:r>
        <w:rPr/>
        <w:t>（</w:t>
      </w:r>
      <w:r>
        <w:rPr>
          <w:spacing w:val="-1"/>
        </w:rPr>
        <w:t>分红型</w:t>
      </w:r>
      <w:r>
        <w:rPr>
          <w:spacing w:val="-104"/>
        </w:rPr>
        <w:t>）</w:t>
      </w:r>
      <w:r>
        <w:rPr>
          <w:spacing w:val="-106"/>
        </w:rPr>
        <w:t>》</w:t>
      </w:r>
      <w:r>
        <w:rPr/>
        <w:t>（</w:t>
      </w:r>
      <w:r>
        <w:rPr>
          <w:spacing w:val="-1"/>
        </w:rPr>
        <w:t>以下简称“主</w:t>
      </w:r>
      <w:r>
        <w:rPr>
          <w:spacing w:val="-37"/>
          <w:w w:val="100"/>
        </w:rPr>
        <w:t>合同”</w:t>
      </w:r>
      <w:r>
        <w:rPr>
          <w:w w:val="100"/>
        </w:rPr>
        <w:t>）</w:t>
      </w:r>
      <w:r>
        <w:rPr>
          <w:spacing w:val="-3"/>
          <w:w w:val="100"/>
        </w:rPr>
        <w:t>之上，经我们审核同意，并在保险单或批注中列明后生效。</w:t>
      </w:r>
    </w:p>
    <w:p>
      <w:pPr>
        <w:pStyle w:val="BodyText"/>
        <w:spacing w:line="273" w:lineRule="auto" w:before="7"/>
        <w:ind w:left="117" w:right="160"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本附加合同构成主合同的一部分，不可分割，必须与主合同同时投保。</w:t>
      </w:r>
    </w:p>
    <w:p>
      <w:pPr>
        <w:pStyle w:val="BodyText"/>
        <w:spacing w:before="8"/>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60 </w:t>
      </w:r>
      <w:r>
        <w:rPr>
          <w:vertAlign w:val="baseline"/>
        </w:rPr>
        <w:t>周岁。</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合同生效日期在保险单上载明。保单年度、保险费约定支付日均以该日期计算。</w:t>
      </w:r>
    </w:p>
    <w:p>
      <w:pPr>
        <w:pStyle w:val="BodyText"/>
        <w:spacing w:before="8"/>
        <w:rPr>
          <w:sz w:val="26"/>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本附加合同的保险期间和保险单周年日与主合同一致。</w:t>
      </w:r>
    </w:p>
    <w:p>
      <w:pPr>
        <w:pStyle w:val="BodyText"/>
        <w:spacing w:before="6"/>
        <w:rPr>
          <w:sz w:val="24"/>
        </w:rPr>
      </w:pPr>
    </w:p>
    <w:p>
      <w:pPr>
        <w:pStyle w:val="Heading1"/>
        <w:tabs>
          <w:tab w:pos="1418" w:val="left" w:leader="none"/>
        </w:tabs>
        <w:ind w:right="42"/>
        <w:jc w:val="center"/>
      </w:pPr>
      <w:bookmarkStart w:name="_bookmark5" w:id="6"/>
      <w:bookmarkEnd w:id="6"/>
      <w:r>
        <w:rPr>
          <w:b w:val="0"/>
        </w:rPr>
      </w:r>
      <w:r>
        <w:rPr/>
        <w:t>第二部分</w:t>
        <w:tab/>
      </w:r>
      <w:r>
        <w:rPr>
          <w:w w:val="95"/>
        </w:rPr>
        <w:t>我们提供哪些保障利益</w:t>
      </w:r>
    </w:p>
    <w:p>
      <w:pPr>
        <w:pStyle w:val="BodyText"/>
        <w:spacing w:before="9"/>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left="117" w:right="159"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pStyle w:val="Heading2"/>
        <w:tabs>
          <w:tab w:pos="969" w:val="left" w:leader="none"/>
        </w:tabs>
      </w:pPr>
      <w:bookmarkStart w:name="_bookmark7" w:id="8"/>
      <w:bookmarkEnd w:id="8"/>
      <w:r>
        <w:rPr>
          <w:b w:val="0"/>
        </w:rPr>
      </w:r>
      <w:r>
        <w:rPr/>
        <w:t>第六条</w:t>
        <w:tab/>
        <w:t>等待期</w:t>
      </w:r>
    </w:p>
    <w:p>
      <w:pPr>
        <w:pStyle w:val="BodyText"/>
        <w:spacing w:before="37"/>
        <w:ind w:left="538"/>
      </w:pPr>
      <w:r>
        <w:rPr/>
        <w:t>本附加合同的等待期为自本附加合同生效日零时或最后复效日零时（以较迟者为准）起 90 天。</w:t>
      </w:r>
    </w:p>
    <w:p>
      <w:pPr>
        <w:pStyle w:val="BodyText"/>
        <w:spacing w:before="8"/>
        <w:rPr>
          <w:sz w:val="26"/>
        </w:rPr>
      </w:pPr>
    </w:p>
    <w:p>
      <w:pPr>
        <w:tabs>
          <w:tab w:pos="969" w:val="left" w:leader="none"/>
        </w:tabs>
        <w:spacing w:line="273" w:lineRule="auto" w:before="1"/>
        <w:ind w:left="117" w:right="8369" w:firstLine="0"/>
        <w:jc w:val="left"/>
        <w:rPr>
          <w:sz w:val="21"/>
        </w:rPr>
      </w:pPr>
      <w:bookmarkStart w:name="_bookmark8" w:id="9"/>
      <w:bookmarkEnd w:id="9"/>
      <w:r>
        <w:rPr/>
      </w:r>
      <w:r>
        <w:rPr>
          <w:b/>
          <w:sz w:val="21"/>
        </w:rPr>
        <w:t>第七条</w:t>
        <w:tab/>
        <w:t>保险责任</w:t>
      </w:r>
      <w:r>
        <w:rPr>
          <w:sz w:val="21"/>
        </w:rPr>
        <w:t>重大</w:t>
      </w:r>
      <w:r>
        <w:rPr>
          <w:spacing w:val="-3"/>
          <w:sz w:val="21"/>
        </w:rPr>
        <w:t>疾</w:t>
      </w:r>
      <w:r>
        <w:rPr>
          <w:sz w:val="21"/>
        </w:rPr>
        <w:t>病</w:t>
      </w:r>
      <w:r>
        <w:rPr>
          <w:spacing w:val="-3"/>
          <w:sz w:val="21"/>
        </w:rPr>
        <w:t>保</w:t>
      </w:r>
      <w:r>
        <w:rPr>
          <w:sz w:val="21"/>
        </w:rPr>
        <w:t>险金</w:t>
      </w:r>
    </w:p>
    <w:p>
      <w:pPr>
        <w:pStyle w:val="BodyText"/>
        <w:spacing w:line="266" w:lineRule="auto" w:before="8"/>
        <w:ind w:left="117" w:right="116" w:firstLine="420"/>
        <w:jc w:val="right"/>
      </w:pPr>
      <w:r>
        <w:rPr/>
        <w:t>在本附加合同保险期间内且本附加合同有效，被保险人自等待期后首次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确诊初次患上一</w:t>
      </w:r>
      <w:r>
        <w:rPr>
          <w:spacing w:val="-3"/>
          <w:vertAlign w:val="baseline"/>
        </w:rPr>
        <w:t>项或多项本附加合同第十八条所定义的重大疾病，我们按本附加合同的基本保险金额给付重大疾病保险金， 并返还主合同因</w:t>
      </w:r>
      <w:r>
        <w:rPr>
          <w:b/>
          <w:spacing w:val="-3"/>
          <w:vertAlign w:val="baseline"/>
        </w:rPr>
        <w:t>累积年度红利增加的基本保险金额所对应的现金价值</w:t>
      </w:r>
      <w:r>
        <w:rPr>
          <w:b/>
          <w:position w:val="11"/>
          <w:sz w:val="11"/>
          <w:vertAlign w:val="baseline"/>
        </w:rPr>
        <w:t>4</w:t>
      </w:r>
      <w:r>
        <w:rPr>
          <w:spacing w:val="-3"/>
          <w:vertAlign w:val="baseline"/>
        </w:rPr>
        <w:t>，同时主合同和本附加合同效力终止。如果被保险人于等待期内首次发病并经医院确诊初次患上一项或多项本附加合同第十八条所定义的重大</w:t>
      </w:r>
    </w:p>
    <w:p>
      <w:pPr>
        <w:pStyle w:val="BodyText"/>
        <w:spacing w:before="16"/>
        <w:ind w:left="117"/>
      </w:pPr>
      <w:r>
        <w:rPr/>
        <w:t>疾病，我们无息返还按</w:t>
      </w:r>
      <w:r>
        <w:rPr>
          <w:b/>
        </w:rPr>
        <w:t>标准体</w:t>
      </w:r>
      <w:r>
        <w:rPr>
          <w:rFonts w:ascii="Palatino Linotype" w:eastAsia="Palatino Linotype"/>
          <w:b/>
          <w:position w:val="6"/>
          <w:sz w:val="13"/>
        </w:rPr>
        <w:t>5</w:t>
      </w:r>
      <w:r>
        <w:rPr/>
        <w:t>计算的本附加合同及主合同《太平财富颐康两全保险（分红型</w:t>
      </w:r>
      <w:r>
        <w:rPr>
          <w:spacing w:val="-106"/>
        </w:rPr>
        <w:t>）</w:t>
      </w:r>
      <w:r>
        <w:rPr/>
        <w:t>》的已交保险</w:t>
      </w:r>
    </w:p>
    <w:p>
      <w:pPr>
        <w:pStyle w:val="BodyText"/>
        <w:spacing w:before="12"/>
        <w:rPr>
          <w:sz w:val="26"/>
        </w:rPr>
      </w:pPr>
      <w:r>
        <w:rPr/>
        <w:pict>
          <v:line style="position:absolute;mso-position-horizontal-relative:page;mso-position-vertical-relative:paragraph;z-index:1120;mso-wrap-distance-left:0;mso-wrap-distance-right:0" from="53.880001pt,19.857233pt" to="197.930001pt,19.857233pt" stroked="true" strokeweight=".47998pt" strokecolor="#000000">
            <v:stroke dashstyle="solid"/>
            <w10:wrap type="topAndBottom"/>
          </v:line>
        </w:pict>
      </w:r>
    </w:p>
    <w:p>
      <w:pPr>
        <w:pStyle w:val="BodyText"/>
        <w:spacing w:line="285" w:lineRule="exact"/>
        <w:ind w:left="117"/>
      </w:pPr>
      <w:r>
        <w:rPr>
          <w:rFonts w:ascii="Times New Roman" w:eastAsia="Times New Roman"/>
          <w:position w:val="8"/>
          <w:sz w:val="12"/>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3</w:t>
      </w:r>
      <w:r>
        <w:rPr>
          <w:rFonts w:ascii="Microsoft JhengHei" w:eastAsia="Microsoft JhengHei" w:hint="eastAsia"/>
          <w:b/>
        </w:rPr>
        <w:t>医院：</w:t>
      </w:r>
      <w:r>
        <w:rPr/>
        <w:t>指国家卫生部医院等级分类中的二级或二级以上的医院，但不包括主要为门诊、康复、护理、疗养、</w:t>
      </w:r>
    </w:p>
    <w:p>
      <w:pPr>
        <w:pStyle w:val="BodyText"/>
        <w:spacing w:line="274" w:lineRule="exact" w:before="12"/>
        <w:ind w:left="117" w:right="186"/>
      </w:pPr>
      <w:r>
        <w:rPr/>
        <w:t>戒酒、戒毒或相类似的医疗机构。同时该医院必须具有符合有关医院管理规定设臵标准的医疗设备，并且提供 </w:t>
      </w:r>
      <w:r>
        <w:rPr>
          <w:rFonts w:ascii="Times New Roman" w:eastAsia="Times New Roman"/>
        </w:rPr>
        <w:t>24 </w:t>
      </w:r>
      <w:r>
        <w:rPr/>
        <w:t>小时有合格医师及护士驻院的医疗和护理等服务。</w:t>
      </w:r>
    </w:p>
    <w:p>
      <w:pPr>
        <w:spacing w:line="257"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累积年度红利增加的基本保险金额所对应的现金价值：</w:t>
      </w:r>
      <w:r>
        <w:rPr>
          <w:sz w:val="21"/>
        </w:rPr>
        <w:t>是指根据精算原理计算的主合同《太平财富颐康两全</w:t>
      </w:r>
    </w:p>
    <w:p>
      <w:pPr>
        <w:pStyle w:val="BodyText"/>
        <w:spacing w:line="227" w:lineRule="exact"/>
        <w:ind w:left="117"/>
      </w:pPr>
      <w:r>
        <w:rPr>
          <w:spacing w:val="-1"/>
        </w:rPr>
        <w:t>保险</w:t>
      </w:r>
      <w:r>
        <w:rPr>
          <w:spacing w:val="-3"/>
        </w:rPr>
        <w:t>（</w:t>
      </w:r>
      <w:r>
        <w:rPr>
          <w:spacing w:val="-2"/>
        </w:rPr>
        <w:t>分红型</w:t>
      </w:r>
      <w:r>
        <w:rPr>
          <w:spacing w:val="-108"/>
        </w:rPr>
        <w:t>）</w:t>
      </w:r>
      <w:r>
        <w:rPr>
          <w:spacing w:val="-3"/>
        </w:rPr>
        <w:t>》累积年度红利保险金额所具有的价值。</w:t>
      </w:r>
    </w:p>
    <w:p>
      <w:pPr>
        <w:pStyle w:val="BodyText"/>
        <w:spacing w:line="331" w:lineRule="exact"/>
        <w:ind w:left="117"/>
      </w:pPr>
      <w:r>
        <w:rPr>
          <w:rFonts w:ascii="Times New Roman" w:eastAsia="Times New Roman"/>
          <w:position w:val="10"/>
          <w:sz w:val="14"/>
        </w:rPr>
        <w:t>5</w:t>
      </w:r>
      <w:r>
        <w:rPr>
          <w:rFonts w:ascii="Microsoft JhengHei" w:eastAsia="Microsoft JhengHei" w:hint="eastAsia"/>
          <w:b/>
        </w:rPr>
        <w:t>标准体：</w:t>
      </w:r>
      <w:r>
        <w:rPr/>
        <w:t>在人寿保险和健康保险中无需增加保费或特殊限制即可承保的人群。</w:t>
      </w:r>
    </w:p>
    <w:p>
      <w:pPr>
        <w:spacing w:after="0" w:line="331" w:lineRule="exact"/>
        <w:sectPr>
          <w:pgSz w:w="11910" w:h="16160"/>
          <w:pgMar w:header="0" w:footer="670" w:top="1340" w:bottom="880" w:left="960" w:right="760"/>
        </w:sectPr>
      </w:pPr>
    </w:p>
    <w:p>
      <w:pPr>
        <w:pStyle w:val="BodyText"/>
        <w:spacing w:line="276" w:lineRule="auto" w:before="67"/>
        <w:ind w:left="538" w:right="3268" w:hanging="421"/>
      </w:pPr>
      <w:r>
        <w:rPr/>
        <w:t>费，不包括因</w:t>
      </w:r>
      <w:r>
        <w:rPr>
          <w:b/>
        </w:rPr>
        <w:t>次标体</w:t>
      </w:r>
      <w:r>
        <w:rPr>
          <w:rFonts w:ascii="Times New Roman" w:eastAsia="Times New Roman"/>
          <w:b/>
          <w:vertAlign w:val="superscript"/>
        </w:rPr>
        <w:t>6</w:t>
      </w:r>
      <w:r>
        <w:rPr>
          <w:rFonts w:ascii="Times New Roman" w:eastAsia="Times New Roman"/>
          <w:b/>
          <w:vertAlign w:val="baseline"/>
        </w:rPr>
      </w:r>
      <w:r>
        <w:rPr>
          <w:vertAlign w:val="baseline"/>
        </w:rPr>
        <w:t>而额外增加的那部分保险费，同时本附加合同终止。被保险人因遭受</w:t>
      </w:r>
      <w:r>
        <w:rPr>
          <w:b/>
          <w:vertAlign w:val="baseline"/>
        </w:rPr>
        <w:t>意外伤害事故</w:t>
      </w:r>
      <w:r>
        <w:rPr>
          <w:rFonts w:ascii="Times New Roman" w:eastAsia="Times New Roman"/>
          <w:b/>
          <w:vertAlign w:val="superscript"/>
        </w:rPr>
        <w:t>7</w:t>
      </w:r>
      <w:r>
        <w:rPr>
          <w:rFonts w:ascii="Times New Roman" w:eastAsia="Times New Roman"/>
          <w:b/>
          <w:vertAlign w:val="baseline"/>
        </w:rPr>
      </w:r>
      <w:r>
        <w:rPr>
          <w:vertAlign w:val="baseline"/>
        </w:rPr>
        <w:t>导致重大疾病的，不受等待期的限制。</w:t>
      </w:r>
    </w:p>
    <w:p>
      <w:pPr>
        <w:pStyle w:val="BodyText"/>
        <w:spacing w:before="3"/>
        <w:rPr>
          <w:sz w:val="24"/>
        </w:rPr>
      </w:pPr>
    </w:p>
    <w:p>
      <w:pPr>
        <w:pStyle w:val="BodyText"/>
        <w:spacing w:line="273" w:lineRule="auto"/>
        <w:ind w:left="117" w:right="159" w:firstLine="420"/>
      </w:pPr>
      <w:r>
        <w:rPr/>
        <w:t>本附加合同的重大疾病保险金与主合同的身故保险金及满期生存保险金不可兼得，即我们只给付其中一项保险金。</w:t>
      </w:r>
    </w:p>
    <w:p>
      <w:pPr>
        <w:pStyle w:val="BodyText"/>
        <w:spacing w:before="11"/>
        <w:rPr>
          <w:sz w:val="25"/>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left="117" w:right="123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ind w:left="117"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8</w:t>
      </w:r>
      <w:r>
        <w:rPr>
          <w:rFonts w:ascii="Times New Roman" w:eastAsia="Times New Roman"/>
          <w:b/>
          <w:vertAlign w:val="baseline"/>
        </w:rPr>
      </w:r>
      <w:r>
        <w:rPr>
          <w:rFonts w:ascii="黑体" w:eastAsia="黑体" w:hint="eastAsia"/>
          <w:vertAlign w:val="baseline"/>
        </w:rPr>
        <w:t>；</w:t>
      </w:r>
    </w:p>
    <w:p>
      <w:pPr>
        <w:spacing w:line="271" w:lineRule="exact" w:before="4"/>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592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1" w:lineRule="exact"/>
        <w:ind w:left="117"/>
        <w:rPr>
          <w:rFonts w:ascii="黑体" w:eastAsia="黑体" w:hint="eastAsia"/>
        </w:rPr>
      </w:pPr>
      <w:r>
        <w:rPr>
          <w:rFonts w:ascii="黑体" w:eastAsia="黑体" w:hint="eastAsia"/>
        </w:rPr>
        <w:t>七、核爆炸、核辐射或核污染；</w:t>
      </w:r>
    </w:p>
    <w:p>
      <w:pPr>
        <w:spacing w:before="21"/>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Times New Roman" w:eastAsia="Times New Roman"/>
        </w:rPr>
      </w:pPr>
      <w:r>
        <w:rPr>
          <w:rFonts w:ascii="黑体" w:eastAsia="黑体" w:hint="eastAsia"/>
        </w:rPr>
        <w:t>发Th上述第一项情形导致被保险人患上本附加合同所定义的重大疾病的，</w:t>
      </w:r>
      <w:r>
        <w:rPr/>
        <w:t>本附加合同</w:t>
      </w:r>
      <w:r>
        <w:rPr>
          <w:rFonts w:ascii="黑体" w:eastAsia="黑体" w:hint="eastAsia"/>
        </w:rPr>
        <w:t>终止，您已交足 </w:t>
      </w:r>
      <w:r>
        <w:rPr>
          <w:rFonts w:ascii="Times New Roman" w:eastAsia="Times New Roman"/>
        </w:rPr>
        <w:t>2</w:t>
      </w:r>
    </w:p>
    <w:p>
      <w:pPr>
        <w:pStyle w:val="BodyText"/>
        <w:spacing w:before="21"/>
        <w:ind w:left="117"/>
        <w:rPr>
          <w:rFonts w:ascii="黑体" w:eastAsia="黑体" w:hint="eastAsia"/>
        </w:rPr>
      </w:pPr>
      <w:r>
        <w:rPr>
          <w:rFonts w:ascii="黑体" w:eastAsia="黑体" w:hint="eastAsia"/>
        </w:rPr>
        <w:t>年以上保险费的，我们向其他权利人退还保险单的现金价值。</w:t>
      </w:r>
    </w:p>
    <w:p>
      <w:pPr>
        <w:pStyle w:val="BodyText"/>
        <w:spacing w:line="273" w:lineRule="auto" w:before="37"/>
        <w:ind w:left="117" w:right="159" w:firstLine="420"/>
        <w:rPr>
          <w:rFonts w:ascii="黑体" w:eastAsia="黑体" w:hint="eastAsia"/>
        </w:rPr>
      </w:pPr>
      <w:r>
        <w:rPr>
          <w:rFonts w:ascii="黑体" w:eastAsia="黑体" w:hint="eastAsia"/>
        </w:rPr>
        <w:t>发Th上述其他情形导致被保险人患上</w:t>
      </w:r>
      <w:r>
        <w:rPr/>
        <w:t>本附加合同</w:t>
      </w:r>
      <w:r>
        <w:rPr>
          <w:rFonts w:ascii="黑体" w:eastAsia="黑体" w:hint="eastAsia"/>
        </w:rPr>
        <w:t>所定义的重大疾病，</w:t>
      </w:r>
      <w:r>
        <w:rPr/>
        <w:t>本附加合同</w:t>
      </w:r>
      <w:r>
        <w:rPr>
          <w:rFonts w:ascii="黑体" w:eastAsia="黑体" w:hint="eastAsia"/>
        </w:rPr>
        <w:t>终止，我们向您退还保险单的现金价值。</w:t>
      </w:r>
    </w:p>
    <w:p>
      <w:pPr>
        <w:pStyle w:val="BodyText"/>
        <w:rPr>
          <w:rFonts w:ascii="黑体"/>
          <w:sz w:val="20"/>
        </w:rPr>
      </w:pPr>
    </w:p>
    <w:p>
      <w:pPr>
        <w:pStyle w:val="BodyText"/>
        <w:spacing w:before="1"/>
        <w:rPr>
          <w:rFonts w:ascii="黑体"/>
          <w:sz w:val="26"/>
        </w:rPr>
      </w:pPr>
    </w:p>
    <w:p>
      <w:pPr>
        <w:pStyle w:val="Heading1"/>
        <w:tabs>
          <w:tab w:pos="1418" w:val="left" w:leader="none"/>
        </w:tabs>
        <w:spacing w:before="1"/>
        <w:ind w:right="40"/>
        <w:jc w:val="center"/>
      </w:pPr>
      <w:bookmarkStart w:name="_bookmark10" w:id="11"/>
      <w:bookmarkEnd w:id="11"/>
      <w:r>
        <w:rPr>
          <w:b w:val="0"/>
        </w:rPr>
      </w:r>
      <w:r>
        <w:rPr/>
        <w:t>第三部分</w:t>
        <w:tab/>
      </w:r>
      <w:r>
        <w:rPr>
          <w:w w:val="95"/>
        </w:rPr>
        <w:t>如何交纳保险费</w:t>
      </w:r>
    </w:p>
    <w:p>
      <w:pPr>
        <w:pStyle w:val="BodyText"/>
        <w:rPr>
          <w:b/>
          <w:sz w:val="20"/>
        </w:rPr>
      </w:pPr>
    </w:p>
    <w:p>
      <w:pPr>
        <w:pStyle w:val="BodyText"/>
        <w:rPr>
          <w:b/>
          <w:sz w:val="20"/>
        </w:rPr>
      </w:pPr>
    </w:p>
    <w:p>
      <w:pPr>
        <w:pStyle w:val="BodyText"/>
        <w:rPr>
          <w:b/>
          <w:sz w:val="20"/>
        </w:rPr>
      </w:pPr>
    </w:p>
    <w:p>
      <w:pPr>
        <w:pStyle w:val="BodyText"/>
        <w:spacing w:before="2"/>
        <w:rPr>
          <w:b/>
          <w:sz w:val="19"/>
        </w:rPr>
      </w:pPr>
      <w:r>
        <w:rPr/>
        <w:pict>
          <v:line style="position:absolute;mso-position-horizontal-relative:page;mso-position-vertical-relative:paragraph;z-index:1144;mso-wrap-distance-left:0;mso-wrap-distance-right:0" from="53.880001pt,14.758473pt" to="197.930001pt,14.758473pt" stroked="true" strokeweight=".47998pt" strokecolor="#000000">
            <v:stroke dashstyle="solid"/>
            <w10:wrap type="topAndBottom"/>
          </v:line>
        </w:pict>
      </w:r>
    </w:p>
    <w:p>
      <w:pPr>
        <w:pStyle w:val="BodyText"/>
        <w:spacing w:line="320" w:lineRule="exact"/>
        <w:ind w:left="117"/>
      </w:pPr>
      <w:r>
        <w:rPr>
          <w:rFonts w:ascii="Times New Roman" w:eastAsia="Times New Roman"/>
          <w:position w:val="10"/>
          <w:sz w:val="14"/>
        </w:rPr>
        <w:t>6</w:t>
      </w:r>
      <w:r>
        <w:rPr>
          <w:rFonts w:ascii="Microsoft JhengHei" w:eastAsia="Microsoft JhengHei" w:hint="eastAsia"/>
          <w:b/>
        </w:rPr>
        <w:t>次标体：</w:t>
      </w:r>
      <w:r>
        <w:rPr/>
        <w:t>在人寿保险和健康保险中保险标的的风险程度高于标准体，经过调整费率或以附加条件来承保的人</w:t>
      </w:r>
    </w:p>
    <w:p>
      <w:pPr>
        <w:pStyle w:val="BodyText"/>
        <w:spacing w:line="227" w:lineRule="exact"/>
        <w:ind w:left="117"/>
      </w:pPr>
      <w:r>
        <w:rPr/>
        <w:t>群。</w:t>
      </w:r>
    </w:p>
    <w:p>
      <w:pPr>
        <w:spacing w:line="284" w:lineRule="exact" w:before="0"/>
        <w:ind w:left="117" w:right="0" w:firstLine="0"/>
        <w:jc w:val="left"/>
        <w:rPr>
          <w:sz w:val="21"/>
        </w:rPr>
      </w:pPr>
      <w:r>
        <w:rPr>
          <w:rFonts w:ascii="Times New Roman" w:eastAsia="Times New Roman"/>
          <w:position w:val="10"/>
          <w:sz w:val="14"/>
        </w:rPr>
        <w:t>7</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8</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186"/>
      </w:pPr>
      <w:r>
        <w:rPr/>
        <w:t>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9</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10</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5" w:lineRule="auto" w:before="4"/>
        <w:ind w:left="117" w:right="18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1" w:lineRule="exact"/>
        <w:ind w:left="117"/>
      </w:pPr>
      <w:r>
        <w:rPr>
          <w:rFonts w:ascii="Times New Roman" w:eastAsia="Times New Roman"/>
          <w:w w:val="99"/>
          <w:position w:val="10"/>
          <w:sz w:val="14"/>
        </w:rPr>
        <w:t>11</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18" w:lineRule="auto"/>
        <w:ind w:left="117" w:right="152"/>
      </w:pPr>
      <w:r>
        <w:rPr>
          <w:rFonts w:ascii="Times New Roman" w:eastAsia="Times New Roman"/>
          <w:position w:val="10"/>
          <w:sz w:val="14"/>
        </w:rPr>
        <w:t>12</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6"/>
        </w:rPr>
        <w:t>病毒引起的获得性免疫缺陷综合征，英文缩写为 </w:t>
      </w:r>
      <w:r>
        <w:rPr>
          <w:rFonts w:ascii="Times New Roman" w:eastAsia="Times New Roman"/>
        </w:rPr>
        <w:t>AIDS</w:t>
      </w:r>
      <w:r>
        <w:rPr>
          <w:spacing w:val="-8"/>
        </w:rPr>
        <w:t>。在人体血液或其它样本中检测到艾滋病病毒或其抗体</w:t>
      </w:r>
    </w:p>
    <w:p>
      <w:pPr>
        <w:pStyle w:val="BodyText"/>
        <w:spacing w:line="272" w:lineRule="exact" w:before="11"/>
        <w:ind w:left="117" w:right="186"/>
      </w:pPr>
      <w:r>
        <w:rPr/>
        <w:t>呈阳性，没有出现临床症状或体征的，为感染艾滋病病毒；如果同时出现了明显临床症状或体征的，为患艾滋病。</w:t>
      </w:r>
    </w:p>
    <w:p>
      <w:pPr>
        <w:pStyle w:val="BodyText"/>
        <w:spacing w:line="259" w:lineRule="exact"/>
        <w:ind w:left="117"/>
      </w:pPr>
      <w:r>
        <w:rPr>
          <w:rFonts w:ascii="Times New Roman" w:eastAsia="Times New Roman"/>
          <w:position w:val="10"/>
          <w:sz w:val="14"/>
        </w:rPr>
        <w:t>13</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77" w:lineRule="exact"/>
        <w:ind w:left="117"/>
      </w:pPr>
      <w:r>
        <w:rPr/>
        <w:t>形和染色体异常依照世界卫生组织《疾病和有关健康问题的国际统计分类》（</w:t>
      </w:r>
      <w:r>
        <w:rPr>
          <w:rFonts w:ascii="Times New Roman" w:eastAsia="Times New Roman"/>
        </w:rPr>
        <w:t>ICD-10</w:t>
      </w:r>
      <w:r>
        <w:rPr/>
        <w:t>）确定。</w:t>
      </w:r>
    </w:p>
    <w:p>
      <w:pPr>
        <w:spacing w:after="0" w:line="277" w:lineRule="exact"/>
        <w:sectPr>
          <w:pgSz w:w="11910" w:h="16160"/>
          <w:pgMar w:header="0" w:footer="670" w:top="1300" w:bottom="860" w:left="960" w:right="760"/>
        </w:sectPr>
      </w:pPr>
    </w:p>
    <w:p>
      <w:pPr>
        <w:pStyle w:val="Heading2"/>
        <w:tabs>
          <w:tab w:pos="969" w:val="left" w:leader="none"/>
        </w:tabs>
        <w:spacing w:before="7"/>
      </w:pPr>
      <w:bookmarkStart w:name="_bookmark11" w:id="12"/>
      <w:bookmarkEnd w:id="12"/>
      <w:r>
        <w:rPr>
          <w:b w:val="0"/>
        </w:rPr>
      </w:r>
      <w:r>
        <w:rPr/>
        <w:t>第九条</w:t>
        <w:tab/>
        <w:t>保险费的交纳</w:t>
      </w:r>
    </w:p>
    <w:p>
      <w:pPr>
        <w:pStyle w:val="BodyText"/>
        <w:spacing w:before="37"/>
        <w:ind w:left="538"/>
      </w:pPr>
      <w:r>
        <w:rPr/>
        <w:t>本附加合同的保险费交费方式、交费日期与主合同一致。</w:t>
      </w:r>
    </w:p>
    <w:p>
      <w:pPr>
        <w:pStyle w:val="BodyText"/>
        <w:spacing w:before="8"/>
        <w:rPr>
          <w:sz w:val="26"/>
        </w:rPr>
      </w:pPr>
    </w:p>
    <w:p>
      <w:pPr>
        <w:pStyle w:val="Heading2"/>
        <w:tabs>
          <w:tab w:pos="969" w:val="left" w:leader="none"/>
        </w:tabs>
        <w:spacing w:before="1"/>
      </w:pPr>
      <w:bookmarkStart w:name="_bookmark12" w:id="13"/>
      <w:bookmarkEnd w:id="13"/>
      <w:r>
        <w:rPr>
          <w:b w:val="0"/>
        </w:rPr>
      </w:r>
      <w:r>
        <w:rPr/>
        <w:t>第十条</w:t>
        <w:tab/>
        <w:t>保险费率的调整</w:t>
      </w:r>
    </w:p>
    <w:p>
      <w:pPr>
        <w:spacing w:line="273" w:lineRule="auto" w:before="37"/>
        <w:ind w:left="117" w:right="118" w:firstLine="422"/>
        <w:jc w:val="left"/>
        <w:rPr>
          <w:b/>
          <w:sz w:val="21"/>
        </w:rPr>
      </w:pPr>
      <w:r>
        <w:rPr>
          <w:b/>
          <w:sz w:val="21"/>
        </w:rPr>
        <w:t>我们保留提高或降低保险费率之权利，但须向监管机构备案。保险费率的调整针对所有被保险人或同一类被保险人。</w:t>
      </w:r>
    </w:p>
    <w:p>
      <w:pPr>
        <w:spacing w:line="273" w:lineRule="auto" w:before="7"/>
        <w:ind w:left="117" w:right="117" w:firstLine="422"/>
        <w:jc w:val="both"/>
        <w:rPr>
          <w:b/>
          <w:sz w:val="21"/>
        </w:rPr>
      </w:pPr>
      <w:r>
        <w:rPr>
          <w:b/>
          <w:sz w:val="21"/>
        </w:rPr>
        <w:t>我们进行保险费率调整，会在合理的时间内通知您，如您同意，则您须按调整后的保险费率交纳续期保险费，保险费率调整前您已经交纳的保险费不受影响。如不同意，则您可以选择解除合同，相关内容参见第十五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0"/>
        <w:rPr>
          <w:b/>
          <w:sz w:val="20"/>
        </w:rPr>
      </w:pPr>
    </w:p>
    <w:p>
      <w:pPr>
        <w:pStyle w:val="Heading1"/>
        <w:tabs>
          <w:tab w:pos="1418" w:val="left" w:leader="none"/>
        </w:tabs>
        <w:jc w:val="center"/>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before="36"/>
        <w:ind w:left="538"/>
      </w:pPr>
      <w:r>
        <w:rPr/>
        <w:t>除另有约定外，重大疾病保险金的受益人为被保险人本人。</w:t>
      </w:r>
    </w:p>
    <w:p>
      <w:pPr>
        <w:pStyle w:val="BodyText"/>
        <w:spacing w:before="8"/>
        <w:rPr>
          <w:sz w:val="26"/>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20" w:firstLine="420"/>
      </w:pPr>
      <w:r>
        <w:rPr/>
        <w:t>在申请重大疾病保险金时，由重大疾病保险金的受益人作为申请人填写保险金给付申请书，并提供下列证明和资料：</w:t>
      </w:r>
    </w:p>
    <w:p>
      <w:pPr>
        <w:pStyle w:val="ListParagraph"/>
        <w:numPr>
          <w:ilvl w:val="0"/>
          <w:numId w:val="2"/>
        </w:numPr>
        <w:tabs>
          <w:tab w:pos="835" w:val="left" w:leader="none"/>
          <w:tab w:pos="836" w:val="left" w:leader="none"/>
        </w:tabs>
        <w:spacing w:line="240" w:lineRule="auto" w:before="8"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15</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left="117"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以上证明和资料不完整的，我们将及时一次性通知申请人补充提供有关证明和资料。</w:t>
      </w:r>
    </w:p>
    <w:p>
      <w:pPr>
        <w:pStyle w:val="BodyText"/>
        <w:spacing w:before="4"/>
        <w:rPr>
          <w:sz w:val="20"/>
        </w:rPr>
      </w:pPr>
    </w:p>
    <w:p>
      <w:pPr>
        <w:spacing w:after="0"/>
        <w:rPr>
          <w:sz w:val="20"/>
        </w:rPr>
        <w:sectPr>
          <w:footerReference w:type="default" r:id="rId9"/>
          <w:pgSz w:w="11910" w:h="16160"/>
          <w:pgMar w:footer="0" w:header="0" w:top="1360" w:bottom="280" w:left="960" w:right="800"/>
        </w:sectPr>
      </w:pPr>
    </w:p>
    <w:p>
      <w:pPr>
        <w:pStyle w:val="BodyText"/>
        <w:spacing w:before="12"/>
        <w:rPr>
          <w:sz w:val="27"/>
        </w:rPr>
      </w:pPr>
    </w:p>
    <w:p>
      <w:pPr>
        <w:tabs>
          <w:tab w:pos="1197" w:val="left" w:leader="none"/>
        </w:tabs>
        <w:spacing w:before="0"/>
        <w:ind w:left="117" w:right="0" w:firstLine="0"/>
        <w:jc w:val="left"/>
        <w:rPr>
          <w:b/>
          <w:sz w:val="21"/>
        </w:rPr>
      </w:pPr>
      <w:bookmarkStart w:name="_bookmark16" w:id="17"/>
      <w:bookmarkEnd w:id="17"/>
      <w:r>
        <w:rPr/>
      </w:r>
      <w:bookmarkStart w:name="_bookmark17" w:id="18"/>
      <w:bookmarkEnd w:id="18"/>
      <w:r>
        <w:rPr/>
      </w:r>
      <w:r>
        <w:rPr>
          <w:b/>
          <w:sz w:val="21"/>
        </w:rPr>
        <w:t>第十三条</w:t>
        <w:tab/>
        <w:t>保单贷款</w:t>
      </w:r>
    </w:p>
    <w:p>
      <w:pPr>
        <w:pStyle w:val="Heading1"/>
        <w:tabs>
          <w:tab w:pos="1536" w:val="left" w:leader="none"/>
        </w:tabs>
        <w:spacing w:before="26"/>
        <w:ind w:left="117"/>
      </w:pPr>
      <w:r>
        <w:rPr>
          <w:b w:val="0"/>
        </w:rPr>
        <w:br w:type="column"/>
      </w:r>
      <w:r>
        <w:rPr/>
        <w:t>第五部分</w:t>
        <w:tab/>
      </w:r>
      <w:r>
        <w:rPr>
          <w:w w:val="95"/>
        </w:rPr>
        <w:t>您还享有哪些权益</w:t>
      </w:r>
    </w:p>
    <w:p>
      <w:pPr>
        <w:spacing w:after="0"/>
        <w:sectPr>
          <w:type w:val="continuous"/>
          <w:pgSz w:w="11910" w:h="16160"/>
          <w:pgMar w:top="580" w:bottom="860" w:left="960" w:right="800"/>
          <w:cols w:num="2" w:equalWidth="0">
            <w:col w:w="2043" w:space="1238"/>
            <w:col w:w="6869"/>
          </w:cols>
        </w:sectPr>
      </w:pPr>
    </w:p>
    <w:p>
      <w:pPr>
        <w:pStyle w:val="BodyText"/>
        <w:spacing w:line="261" w:lineRule="auto" w:before="36"/>
        <w:ind w:left="117" w:right="115" w:firstLine="420"/>
        <w:jc w:val="both"/>
      </w:pPr>
      <w:r>
        <w:rPr>
          <w:spacing w:val="-5"/>
        </w:rPr>
        <w:t>如果本附加合同具有现金价值，而且您已支付 </w:t>
      </w:r>
      <w:r>
        <w:rPr>
          <w:rFonts w:ascii="Times New Roman" w:eastAsia="Times New Roman"/>
        </w:rPr>
        <w:t>2 </w:t>
      </w:r>
      <w:r>
        <w:rPr>
          <w:spacing w:val="-3"/>
        </w:rPr>
        <w:t>年</w:t>
      </w:r>
      <w:r>
        <w:rPr/>
        <w:t>（</w:t>
      </w:r>
      <w:r>
        <w:rPr>
          <w:spacing w:val="-18"/>
        </w:rPr>
        <w:t>或 </w:t>
      </w:r>
      <w:r>
        <w:rPr>
          <w:rFonts w:ascii="Times New Roman" w:eastAsia="Times New Roman"/>
        </w:rPr>
        <w:t>2 </w:t>
      </w:r>
      <w:r>
        <w:rPr>
          <w:spacing w:val="-3"/>
        </w:rPr>
        <w:t>年以上</w:t>
      </w:r>
      <w:r>
        <w:rPr/>
        <w:t>）</w:t>
      </w:r>
      <w:r>
        <w:rPr>
          <w:spacing w:val="-3"/>
        </w:rPr>
        <w:t>保险费或趸交保险费的，经被保险人书面同意，您可以将本附加合同作为保单贷款的质押，向我们申请保单贷款。保单贷款的最高金额不超过本附加合同当时所具有的</w:t>
      </w:r>
      <w:r>
        <w:rPr>
          <w:b/>
        </w:rPr>
        <w:t>现金价值净额</w:t>
      </w:r>
      <w:r>
        <w:rPr>
          <w:rFonts w:ascii="Times New Roman" w:eastAsia="Times New Roman"/>
          <w:b/>
          <w:vertAlign w:val="superscript"/>
        </w:rPr>
        <w:t>16</w:t>
      </w:r>
      <w:r>
        <w:rPr>
          <w:rFonts w:ascii="Times New Roman" w:eastAsia="Times New Roman"/>
          <w:b/>
          <w:vertAlign w:val="baseline"/>
        </w:rPr>
      </w:r>
      <w:r>
        <w:rPr>
          <w:spacing w:val="-21"/>
          <w:vertAlign w:val="baseline"/>
        </w:rPr>
        <w:t>的 </w:t>
      </w:r>
      <w:r>
        <w:rPr>
          <w:rFonts w:ascii="Times New Roman" w:eastAsia="Times New Roman"/>
          <w:spacing w:val="-8"/>
          <w:vertAlign w:val="baseline"/>
        </w:rPr>
        <w:t>90</w:t>
      </w:r>
      <w:r>
        <w:rPr>
          <w:spacing w:val="-8"/>
          <w:vertAlign w:val="baseline"/>
        </w:rPr>
        <w:t>％（</w:t>
      </w:r>
      <w:r>
        <w:rPr>
          <w:spacing w:val="-7"/>
          <w:vertAlign w:val="baseline"/>
        </w:rPr>
        <w:t>最低金额不得少于人民币 </w:t>
      </w:r>
      <w:r>
        <w:rPr>
          <w:rFonts w:ascii="Times New Roman" w:eastAsia="Times New Roman"/>
          <w:vertAlign w:val="baseline"/>
        </w:rPr>
        <w:t>1000 </w:t>
      </w:r>
      <w:r>
        <w:rPr>
          <w:spacing w:val="-7"/>
          <w:vertAlign w:val="baseline"/>
        </w:rPr>
        <w:t>元，我们将不定期调整最低贷</w:t>
      </w:r>
      <w:r>
        <w:rPr>
          <w:spacing w:val="-6"/>
          <w:w w:val="100"/>
          <w:vertAlign w:val="baseline"/>
        </w:rPr>
        <w:t>款金额</w:t>
      </w:r>
      <w:r>
        <w:rPr>
          <w:spacing w:val="-106"/>
          <w:w w:val="100"/>
          <w:vertAlign w:val="baseline"/>
        </w:rPr>
        <w:t>）</w:t>
      </w:r>
      <w:r>
        <w:rPr>
          <w:spacing w:val="-3"/>
          <w:w w:val="100"/>
          <w:vertAlign w:val="baseline"/>
        </w:rPr>
        <w:t>，具体额度需经我们审批。每一期贷款的最长期限为</w:t>
      </w:r>
      <w:r>
        <w:rPr>
          <w:spacing w:val="-3"/>
          <w:vertAlign w:val="baseline"/>
        </w:rPr>
        <w:t> </w:t>
      </w:r>
      <w:r>
        <w:rPr>
          <w:rFonts w:ascii="Times New Roman" w:eastAsia="Times New Roman"/>
          <w:w w:val="100"/>
          <w:vertAlign w:val="baseline"/>
        </w:rPr>
        <w:t>6</w:t>
      </w:r>
      <w:r>
        <w:rPr>
          <w:rFonts w:ascii="Times New Roman" w:eastAsia="Times New Roman"/>
          <w:vertAlign w:val="baseline"/>
        </w:rPr>
        <w:t> </w:t>
      </w:r>
      <w:r>
        <w:rPr>
          <w:spacing w:val="-2"/>
          <w:w w:val="100"/>
          <w:vertAlign w:val="baseline"/>
        </w:rPr>
        <w:t>个月。</w:t>
      </w:r>
    </w:p>
    <w:p>
      <w:pPr>
        <w:pStyle w:val="BodyText"/>
        <w:spacing w:line="259" w:lineRule="auto"/>
        <w:ind w:left="117" w:right="118" w:firstLine="420"/>
        <w:jc w:val="both"/>
      </w:pPr>
      <w:r>
        <w:rPr/>
        <w:t>如果您没有未偿还的保单贷款，您申请的保单贷款按我们最近一次确定的</w:t>
      </w:r>
      <w:r>
        <w:rPr>
          <w:b/>
        </w:rPr>
        <w:t>保单贷款利率</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每日计息，每一期贷款适用的保单贷款利率在贷款期限内固定不变。</w:t>
      </w:r>
    </w:p>
    <w:p>
      <w:pPr>
        <w:pStyle w:val="BodyText"/>
        <w:spacing w:line="264" w:lineRule="auto" w:before="20"/>
        <w:ind w:left="117" w:right="112" w:firstLine="420"/>
        <w:jc w:val="both"/>
      </w:pPr>
      <w:r>
        <w:rPr>
          <w:spacing w:val="-3"/>
        </w:rPr>
        <w:t>如果您有未偿还的保单贷款，您可以申请增加贷款，当期未偿还的保单贷款和增加贷款的累积最高金额</w:t>
      </w:r>
      <w:r>
        <w:rPr>
          <w:spacing w:val="-4"/>
        </w:rPr>
        <w:t>不超过增加贷款时本附加合同所具有的现金价值净额的 </w:t>
      </w:r>
      <w:r>
        <w:rPr>
          <w:rFonts w:ascii="Times New Roman" w:eastAsia="Times New Roman"/>
          <w:spacing w:val="-6"/>
        </w:rPr>
        <w:t>90</w:t>
      </w:r>
      <w:r>
        <w:rPr>
          <w:spacing w:val="-4"/>
        </w:rPr>
        <w:t>％，增加的保单贷款的期限为当期未偿还的保单贷</w:t>
      </w:r>
      <w:r>
        <w:rPr>
          <w:spacing w:val="-3"/>
        </w:rPr>
        <w:t>款的剩余期限。增加的保单贷款按当期未偿还的保单贷款适用的贷款利率每日计息。</w:t>
      </w:r>
    </w:p>
    <w:p>
      <w:pPr>
        <w:pStyle w:val="BodyText"/>
        <w:rPr>
          <w:sz w:val="20"/>
        </w:rPr>
      </w:pPr>
    </w:p>
    <w:p>
      <w:pPr>
        <w:pStyle w:val="BodyText"/>
        <w:rPr>
          <w:sz w:val="20"/>
        </w:rPr>
      </w:pPr>
    </w:p>
    <w:p>
      <w:pPr>
        <w:pStyle w:val="BodyText"/>
        <w:spacing w:before="12"/>
        <w:rPr>
          <w:sz w:val="11"/>
        </w:rPr>
      </w:pPr>
      <w:r>
        <w:rPr/>
        <w:pict>
          <v:line style="position:absolute;mso-position-horizontal-relative:page;mso-position-vertical-relative:paragraph;z-index:1168;mso-wrap-distance-left:0;mso-wrap-distance-right:0" from="53.880001pt,10.023318pt" to="197.930001pt,10.023318pt" stroked="true" strokeweight=".48004pt" strokecolor="#000000">
            <v:stroke dashstyle="solid"/>
            <w10:wrap type="topAndBottom"/>
          </v:line>
        </w:pict>
      </w:r>
    </w:p>
    <w:p>
      <w:pPr>
        <w:pStyle w:val="BodyText"/>
        <w:spacing w:line="355" w:lineRule="exact"/>
        <w:ind w:left="117"/>
      </w:pPr>
      <w:r>
        <w:rPr>
          <w:rFonts w:ascii="Times New Roman" w:eastAsia="Times New Roman"/>
          <w:position w:val="10"/>
          <w:sz w:val="14"/>
        </w:rPr>
        <w:t>15</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0" w:lineRule="exact" w:before="13"/>
        <w:ind w:left="117"/>
      </w:pPr>
      <w:r>
        <w:rPr/>
        <w:t>的未成年人。</w:t>
      </w:r>
    </w:p>
    <w:p>
      <w:pPr>
        <w:spacing w:line="313"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现金价值净额：</w:t>
      </w:r>
      <w:r>
        <w:rPr>
          <w:sz w:val="21"/>
        </w:rPr>
        <w:t>指现金价值在扣除尚未偿还的保单贷款及累积利息后的余额。</w:t>
      </w:r>
    </w:p>
    <w:p>
      <w:pPr>
        <w:pStyle w:val="BodyText"/>
        <w:spacing w:line="314" w:lineRule="exact"/>
        <w:ind w:left="117"/>
        <w:rPr>
          <w:rFonts w:ascii="Times New Roman" w:hAnsi="Times New Roman" w:eastAsia="Times New Roman"/>
        </w:rPr>
      </w:pPr>
      <w:r>
        <w:rPr>
          <w:rFonts w:ascii="Times New Roman" w:hAnsi="Times New Roman" w:eastAsia="Times New Roman"/>
          <w:position w:val="10"/>
          <w:sz w:val="14"/>
        </w:rPr>
        <w:t>17</w:t>
      </w:r>
      <w:r>
        <w:rPr>
          <w:rFonts w:ascii="Microsoft JhengHei" w:hAnsi="Microsoft JhengHei" w:eastAsia="Microsoft JhengHei" w:hint="eastAsia"/>
          <w:b/>
        </w:rPr>
        <w:t>保单贷款利率：</w:t>
      </w:r>
      <w:r>
        <w:rPr/>
        <w:t>我们将根据“同期人民银行每月第一个营业日颁布的二年期居民定期储蓄存款利率与 </w:t>
      </w:r>
      <w:r>
        <w:rPr>
          <w:rFonts w:ascii="Times New Roman" w:hAnsi="Times New Roman" w:eastAsia="Times New Roman"/>
        </w:rPr>
        <w:t>2.5%</w:t>
      </w:r>
    </w:p>
    <w:p>
      <w:pPr>
        <w:pStyle w:val="BodyText"/>
        <w:spacing w:line="269" w:lineRule="exact"/>
        <w:ind w:left="117"/>
      </w:pPr>
      <w:r>
        <w:rPr/>
        <w:t>之较大者”＋</w:t>
      </w:r>
      <w:r>
        <w:rPr>
          <w:rFonts w:ascii="Times New Roman" w:hAnsi="Times New Roman" w:eastAsia="Times New Roman"/>
        </w:rPr>
        <w:t>2.0%</w:t>
      </w:r>
      <w:r>
        <w:rPr/>
        <w:t>确定计息的利率。</w:t>
      </w:r>
    </w:p>
    <w:p>
      <w:pPr>
        <w:pStyle w:val="BodyText"/>
        <w:spacing w:line="282" w:lineRule="exact"/>
        <w:ind w:left="1"/>
        <w:jc w:val="center"/>
      </w:pPr>
      <w:r>
        <w:rPr/>
        <w:t>太平附加财富颐康提前给付重大疾病保险，第</w:t>
      </w:r>
      <w:r>
        <w:rPr>
          <w:rFonts w:ascii="Times New Roman" w:eastAsia="Times New Roman"/>
        </w:rPr>
        <w:t>5</w:t>
      </w:r>
      <w:r>
        <w:rPr/>
        <w:t>页，共</w:t>
      </w:r>
      <w:r>
        <w:rPr>
          <w:rFonts w:ascii="Times New Roman" w:eastAsia="Times New Roman"/>
        </w:rPr>
        <w:t>11</w:t>
      </w:r>
      <w:r>
        <w:rPr/>
        <w:t>页</w:t>
      </w:r>
    </w:p>
    <w:p>
      <w:pPr>
        <w:spacing w:after="0" w:line="282" w:lineRule="exact"/>
        <w:jc w:val="center"/>
        <w:sectPr>
          <w:type w:val="continuous"/>
          <w:pgSz w:w="11910" w:h="16160"/>
          <w:pgMar w:top="580" w:bottom="860" w:left="960" w:right="800"/>
        </w:sectPr>
      </w:pPr>
    </w:p>
    <w:p>
      <w:pPr>
        <w:pStyle w:val="BodyText"/>
        <w:spacing w:line="256" w:lineRule="auto" w:before="67"/>
        <w:ind w:left="117" w:right="112" w:firstLine="420"/>
        <w:jc w:val="both"/>
      </w:pPr>
      <w:r>
        <w:rPr/>
        <w:t>保单贷款期满时，若您未能全部偿还保单贷款及</w:t>
      </w:r>
      <w:r>
        <w:rPr>
          <w:b/>
        </w:rPr>
        <w:t>累积利息</w:t>
      </w:r>
      <w:r>
        <w:rPr>
          <w:rFonts w:ascii="Times New Roman" w:eastAsia="Times New Roman"/>
          <w:b/>
          <w:vertAlign w:val="superscript"/>
        </w:rPr>
        <w:t>1</w:t>
      </w:r>
      <w:r>
        <w:rPr>
          <w:rFonts w:ascii="Times New Roman" w:eastAsia="Times New Roman"/>
          <w:b/>
          <w:vertAlign w:val="superscript"/>
        </w:rPr>
        <w:t>8</w:t>
      </w:r>
      <w:r>
        <w:rPr>
          <w:rFonts w:ascii="Times New Roman" w:eastAsia="Times New Roman"/>
          <w:b/>
          <w:vertAlign w:val="baseline"/>
        </w:rPr>
      </w:r>
      <w:r>
        <w:rPr>
          <w:vertAlign w:val="baseline"/>
        </w:rPr>
        <w:t>，且本附加合同的现金价值净额大于零，未</w:t>
      </w:r>
      <w:r>
        <w:rPr>
          <w:spacing w:val="-4"/>
          <w:vertAlign w:val="baseline"/>
        </w:rPr>
        <w:t>偿还的保单贷款及累积利息将构成新一期的保单贷款，贷款期限为 </w:t>
      </w:r>
      <w:r>
        <w:rPr>
          <w:rFonts w:ascii="Times New Roman" w:eastAsia="Times New Roman"/>
          <w:vertAlign w:val="baseline"/>
        </w:rPr>
        <w:t>6 </w:t>
      </w:r>
      <w:r>
        <w:rPr>
          <w:spacing w:val="-3"/>
          <w:vertAlign w:val="baseline"/>
        </w:rPr>
        <w:t>个月，并按我们最近一次确定的保单贷款利率计息。</w:t>
      </w:r>
    </w:p>
    <w:p>
      <w:pPr>
        <w:pStyle w:val="BodyText"/>
        <w:spacing w:line="273" w:lineRule="auto" w:before="22"/>
        <w:ind w:left="117" w:right="120" w:firstLine="420"/>
      </w:pPr>
      <w:r>
        <w:rPr/>
        <w:t>您可以在保单贷款期满时，或保单贷款期满前偿还全部或部分的贷款及累积利息，还款将首先用于偿还累积利息，然后用于偿还贷款本金。</w:t>
      </w:r>
    </w:p>
    <w:p>
      <w:pPr>
        <w:pStyle w:val="BodyText"/>
        <w:spacing w:before="8"/>
        <w:ind w:left="538"/>
      </w:pPr>
      <w:r>
        <w:rPr/>
        <w:t>当本合同的现金价值净额小于或等于零时，本附加合同的效力中止。</w:t>
      </w:r>
    </w:p>
    <w:p>
      <w:pPr>
        <w:pStyle w:val="BodyText"/>
        <w:spacing w:before="9"/>
        <w:rPr>
          <w:sz w:val="26"/>
        </w:rPr>
      </w:pPr>
    </w:p>
    <w:p>
      <w:pPr>
        <w:pStyle w:val="Heading2"/>
        <w:tabs>
          <w:tab w:pos="1377" w:val="left" w:leader="none"/>
        </w:tabs>
      </w:pPr>
      <w:bookmarkStart w:name="_bookmark18" w:id="19"/>
      <w:bookmarkEnd w:id="19"/>
      <w:r>
        <w:rPr>
          <w:b w:val="0"/>
        </w:rPr>
      </w:r>
      <w:r>
        <w:rPr/>
        <w:t>第十四条</w:t>
        <w:tab/>
        <w:t>犹豫期</w:t>
      </w:r>
    </w:p>
    <w:p>
      <w:pPr>
        <w:pStyle w:val="BodyText"/>
        <w:spacing w:before="37"/>
        <w:ind w:left="538"/>
      </w:pPr>
      <w:r>
        <w:rPr>
          <w:spacing w:val="-5"/>
        </w:rPr>
        <w:t>您在收到本附加合同后可享有 </w:t>
      </w:r>
      <w:r>
        <w:rPr/>
        <w:t>10</w:t>
      </w:r>
      <w:r>
        <w:rPr>
          <w:spacing w:val="-12"/>
        </w:rPr>
        <w:t> 天的犹豫期，在犹豫期内要求解除本附加合同的，在我们收齐相关文件</w:t>
      </w:r>
    </w:p>
    <w:p>
      <w:pPr>
        <w:pStyle w:val="BodyText"/>
        <w:spacing w:line="273" w:lineRule="auto" w:before="37"/>
        <w:ind w:left="117" w:right="117"/>
      </w:pPr>
      <w:r>
        <w:rPr>
          <w:spacing w:val="-8"/>
        </w:rPr>
        <w:t>和资料的次日零时，本附加合同即被解除，我们自始不承担保险责任。我们在扣除 </w:t>
      </w:r>
      <w:r>
        <w:rPr/>
        <w:t>10</w:t>
      </w:r>
      <w:r>
        <w:rPr>
          <w:spacing w:val="-9"/>
        </w:rPr>
        <w:t> 元工本费后，无息退还</w:t>
      </w:r>
      <w:r>
        <w:rPr>
          <w:spacing w:val="-5"/>
        </w:rPr>
        <w:t>已交的保险费。犹豫期内解除本附加合同须与主合同《太平财富颐康两全保险</w:t>
      </w:r>
      <w:r>
        <w:rPr/>
        <w:t>（</w:t>
      </w:r>
      <w:r>
        <w:rPr>
          <w:spacing w:val="-3"/>
        </w:rPr>
        <w:t>分红型</w:t>
      </w:r>
      <w:r>
        <w:rPr>
          <w:spacing w:val="-106"/>
        </w:rPr>
        <w:t>）</w:t>
      </w:r>
      <w:r>
        <w:rPr>
          <w:spacing w:val="-3"/>
        </w:rPr>
        <w:t>》同时解除。</w:t>
      </w:r>
    </w:p>
    <w:p>
      <w:pPr>
        <w:pStyle w:val="BodyText"/>
        <w:spacing w:before="6"/>
        <w:rPr>
          <w:sz w:val="24"/>
        </w:rPr>
      </w:pPr>
    </w:p>
    <w:p>
      <w:pPr>
        <w:pStyle w:val="Heading2"/>
        <w:tabs>
          <w:tab w:pos="1377" w:val="left" w:leader="none"/>
        </w:tabs>
      </w:pPr>
      <w:bookmarkStart w:name="_bookmark19" w:id="20"/>
      <w:bookmarkEnd w:id="20"/>
      <w:r>
        <w:rPr>
          <w:b w:val="0"/>
        </w:rPr>
      </w:r>
      <w:r>
        <w:rPr/>
        <w:t>第十五条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3"/>
        </w:numPr>
        <w:tabs>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9" w:val="left" w:leader="none"/>
        </w:tabs>
        <w:spacing w:line="240" w:lineRule="auto" w:before="37" w:after="0"/>
        <w:ind w:left="838" w:right="0" w:hanging="363"/>
        <w:jc w:val="left"/>
        <w:rPr>
          <w:sz w:val="21"/>
        </w:rPr>
      </w:pPr>
      <w:r>
        <w:rPr>
          <w:spacing w:val="-3"/>
          <w:sz w:val="21"/>
        </w:rPr>
        <w:t>您的有效身份证件。</w:t>
      </w:r>
    </w:p>
    <w:p>
      <w:pPr>
        <w:pStyle w:val="BodyText"/>
        <w:spacing w:line="256" w:lineRule="auto" w:before="37"/>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37"/>
        <w:ind w:left="540"/>
      </w:pPr>
      <w:r>
        <w:rPr>
          <w:spacing w:val="-3"/>
        </w:rPr>
        <w:t>本附加合同需与主合同《太平财富颐康两全保险</w:t>
      </w:r>
      <w:r>
        <w:rPr/>
        <w:t>（</w:t>
      </w:r>
      <w:r>
        <w:rPr>
          <w:spacing w:val="-3"/>
        </w:rPr>
        <w:t>分红型</w:t>
      </w:r>
      <w:r>
        <w:rPr>
          <w:spacing w:val="-106"/>
        </w:rPr>
        <w:t>）</w:t>
      </w:r>
      <w:r>
        <w:rPr>
          <w:spacing w:val="-3"/>
        </w:rPr>
        <w:t>》同时申请解除。</w:t>
      </w:r>
    </w:p>
    <w:p>
      <w:pPr>
        <w:pStyle w:val="BodyText"/>
        <w:spacing w:before="7"/>
        <w:rPr>
          <w:sz w:val="22"/>
        </w:rPr>
      </w:pPr>
    </w:p>
    <w:p>
      <w:pPr>
        <w:spacing w:after="0"/>
        <w:rPr>
          <w:sz w:val="22"/>
        </w:rPr>
        <w:sectPr>
          <w:footerReference w:type="default" r:id="rId10"/>
          <w:pgSz w:w="11910" w:h="16160"/>
          <w:pgMar w:footer="670" w:header="0" w:top="1300" w:bottom="860" w:left="960" w:right="800"/>
          <w:pgNumType w:start="6"/>
        </w:sectPr>
      </w:pPr>
    </w:p>
    <w:p>
      <w:pPr>
        <w:pStyle w:val="BodyText"/>
        <w:rPr>
          <w:sz w:val="28"/>
        </w:rPr>
      </w:pPr>
    </w:p>
    <w:p>
      <w:pPr>
        <w:tabs>
          <w:tab w:pos="1377" w:val="left" w:leader="none"/>
        </w:tabs>
        <w:spacing w:before="0"/>
        <w:ind w:left="117" w:right="0" w:firstLine="0"/>
        <w:jc w:val="left"/>
        <w:rPr>
          <w:b/>
          <w:sz w:val="21"/>
        </w:rPr>
      </w:pPr>
      <w:bookmarkStart w:name="_bookmark20" w:id="21"/>
      <w:bookmarkEnd w:id="21"/>
      <w:r>
        <w:rPr/>
      </w:r>
      <w:r>
        <w:rPr>
          <w:b/>
          <w:sz w:val="21"/>
        </w:rPr>
        <w:t>第十六条</w:t>
        <w:tab/>
        <w:t>未还款项</w:t>
      </w:r>
    </w:p>
    <w:p>
      <w:pPr>
        <w:pStyle w:val="Heading1"/>
        <w:tabs>
          <w:tab w:pos="1641" w:val="left" w:leader="none"/>
        </w:tabs>
        <w:spacing w:before="26"/>
        <w:ind w:left="117"/>
      </w:pPr>
      <w:r>
        <w:rPr>
          <w:b w:val="0"/>
        </w:rPr>
        <w:br w:type="column"/>
      </w:r>
      <w:r>
        <w:rPr/>
        <w:t>第六部分</w:t>
        <w:tab/>
      </w:r>
      <w:bookmarkStart w:name="_bookmark21" w:id="22"/>
      <w:bookmarkEnd w:id="22"/>
      <w:r>
        <w:rPr>
          <w:w w:val="95"/>
        </w:rPr>
        <w:t>您</w:t>
      </w:r>
      <w:r>
        <w:rPr>
          <w:w w:val="95"/>
        </w:rPr>
        <w:t>必须了解的其它事项</w:t>
      </w:r>
    </w:p>
    <w:p>
      <w:pPr>
        <w:spacing w:after="0"/>
        <w:sectPr>
          <w:type w:val="continuous"/>
          <w:pgSz w:w="11910" w:h="16160"/>
          <w:pgMar w:top="580" w:bottom="860" w:left="960" w:right="800"/>
          <w:cols w:num="2" w:equalWidth="0">
            <w:col w:w="2223" w:space="763"/>
            <w:col w:w="7164"/>
          </w:cols>
        </w:sectPr>
      </w:pPr>
    </w:p>
    <w:p>
      <w:pPr>
        <w:pStyle w:val="BodyText"/>
        <w:spacing w:line="273" w:lineRule="auto" w:before="36"/>
        <w:ind w:left="117" w:right="118" w:firstLine="420"/>
        <w:jc w:val="both"/>
      </w:pPr>
      <w:r>
        <w:rPr/>
        <w:t>我们在给付各项保险金、红利、退还现金价值或返还保险费时，如果您有欠交的保险费或其他未还清款项，我们会在扣除上述款项及累积利息后给付。您欠交的保险费或其他未还清款项将以保单贷款的方式计算累积利息。关于保单贷款请参见第十三条。</w:t>
      </w:r>
    </w:p>
    <w:p>
      <w:pPr>
        <w:pStyle w:val="BodyText"/>
        <w:spacing w:before="4"/>
        <w:rPr>
          <w:sz w:val="24"/>
        </w:rPr>
      </w:pPr>
    </w:p>
    <w:p>
      <w:pPr>
        <w:pStyle w:val="Heading2"/>
        <w:tabs>
          <w:tab w:pos="1377" w:val="left" w:leader="none"/>
        </w:tabs>
        <w:spacing w:before="1"/>
      </w:pPr>
      <w:bookmarkStart w:name="_bookmark22" w:id="23"/>
      <w:bookmarkEnd w:id="23"/>
      <w:r>
        <w:rPr>
          <w:b w:val="0"/>
        </w:rPr>
      </w:r>
      <w:r>
        <w:rPr/>
        <w:t>第十七条</w:t>
        <w:tab/>
        <w:t>保险合同的终止</w:t>
      </w:r>
    </w:p>
    <w:p>
      <w:pPr>
        <w:pStyle w:val="BodyText"/>
        <w:spacing w:line="273" w:lineRule="auto" w:before="37"/>
        <w:ind w:left="117" w:right="2880" w:firstLine="420"/>
      </w:pPr>
      <w:r>
        <w:rPr/>
        <w:t>除本附加合同另有约定外，本附加合同在发生下列情况之一时自动终止： 一、主合同解除、期满或终止；</w:t>
      </w:r>
    </w:p>
    <w:p>
      <w:pPr>
        <w:pStyle w:val="BodyText"/>
        <w:spacing w:before="7"/>
        <w:ind w:left="117"/>
      </w:pPr>
      <w:r>
        <w:rPr/>
        <w:t>二、本附加合同期满日当天零时；</w:t>
      </w:r>
    </w:p>
    <w:p>
      <w:pPr>
        <w:pStyle w:val="BodyText"/>
        <w:spacing w:before="36"/>
        <w:ind w:left="117"/>
      </w:pPr>
      <w:r>
        <w:rPr/>
        <w:t>三、本附加合同内约定的其它终止情况。</w:t>
      </w:r>
    </w:p>
    <w:p>
      <w:pPr>
        <w:pStyle w:val="BodyText"/>
        <w:spacing w:before="8"/>
        <w:rPr>
          <w:sz w:val="26"/>
        </w:rPr>
      </w:pPr>
    </w:p>
    <w:p>
      <w:pPr>
        <w:pStyle w:val="Heading2"/>
        <w:tabs>
          <w:tab w:pos="1377" w:val="left" w:leader="none"/>
        </w:tabs>
        <w:spacing w:before="1"/>
      </w:pPr>
      <w:bookmarkStart w:name="_bookmark23" w:id="24"/>
      <w:bookmarkEnd w:id="24"/>
      <w:r>
        <w:rPr>
          <w:b w:val="0"/>
        </w:rPr>
      </w:r>
      <w:r>
        <w:rPr/>
        <w:t>第十八条</w:t>
        <w:tab/>
        <w:t>重大疾病的种类及</w:t>
      </w:r>
      <w:r>
        <w:rPr>
          <w:spacing w:val="-3"/>
        </w:rPr>
        <w:t>定</w:t>
      </w:r>
      <w:r>
        <w:rPr/>
        <w:t>义</w:t>
      </w:r>
    </w:p>
    <w:p>
      <w:pPr>
        <w:pStyle w:val="BodyText"/>
        <w:spacing w:before="37"/>
        <w:ind w:left="538"/>
      </w:pPr>
      <w:r>
        <w:rPr/>
        <w:t>本附加合同指的重大疾病包括以下三十五种：</w:t>
      </w:r>
    </w:p>
    <w:p>
      <w:pPr>
        <w:pStyle w:val="BodyText"/>
        <w:spacing w:before="37"/>
        <w:ind w:left="538"/>
      </w:pPr>
      <w:r>
        <w:rPr/>
        <w:t>被保险人发生符合以下疾病定义所述条件的疾病，应当由专科医生明确诊断。</w:t>
      </w:r>
    </w:p>
    <w:p>
      <w:pPr>
        <w:pStyle w:val="BodyText"/>
        <w:spacing w:line="256" w:lineRule="auto" w:before="37"/>
        <w:ind w:left="117" w:right="1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4"/>
        </w:numPr>
        <w:tabs>
          <w:tab w:pos="383" w:val="left" w:leader="none"/>
          <w:tab w:pos="2825" w:val="left" w:leader="none"/>
        </w:tabs>
        <w:spacing w:line="256" w:lineRule="auto" w:before="12" w:after="0"/>
        <w:ind w:left="3003" w:right="120" w:hanging="2886"/>
        <w:jc w:val="left"/>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w:t>
      </w:r>
    </w:p>
    <w:p>
      <w:pPr>
        <w:pStyle w:val="BodyText"/>
        <w:rPr>
          <w:sz w:val="20"/>
        </w:rPr>
      </w:pPr>
    </w:p>
    <w:p>
      <w:pPr>
        <w:pStyle w:val="BodyText"/>
        <w:spacing w:before="9"/>
        <w:rPr>
          <w:sz w:val="11"/>
        </w:rPr>
      </w:pPr>
      <w:r>
        <w:rPr/>
        <w:pict>
          <v:line style="position:absolute;mso-position-horizontal-relative:page;mso-position-vertical-relative:paragraph;z-index:1192;mso-wrap-distance-left:0;mso-wrap-distance-right:0" from="53.880001pt,9.888456pt" to="197.930001pt,9.888456pt" stroked="true" strokeweight=".47998pt" strokecolor="#000000">
            <v:stroke dashstyle="solid"/>
            <w10:wrap type="topAndBottom"/>
          </v:line>
        </w:pict>
      </w:r>
    </w:p>
    <w:p>
      <w:pPr>
        <w:pStyle w:val="BodyText"/>
        <w:spacing w:line="319" w:lineRule="exact"/>
        <w:ind w:left="117"/>
      </w:pPr>
      <w:r>
        <w:rPr>
          <w:rFonts w:ascii="Times New Roman" w:hAnsi="Times New Roman" w:eastAsia="Times New Roman"/>
          <w:position w:val="10"/>
          <w:sz w:val="14"/>
        </w:rPr>
        <w:t>18</w:t>
      </w:r>
      <w:r>
        <w:rPr>
          <w:rFonts w:ascii="Microsoft JhengHei" w:hAnsi="Microsoft JhengHei" w:eastAsia="Microsoft JhengHei" w:hint="eastAsia"/>
          <w:b/>
        </w:rPr>
        <w:t>累积利息：</w:t>
      </w:r>
      <w:r>
        <w:rPr/>
        <w:t>指根据我们已确定的利率计算的金额。我们将根据“同期人民银行每月第一个营业日颁布的二</w:t>
      </w:r>
    </w:p>
    <w:p>
      <w:pPr>
        <w:pStyle w:val="BodyText"/>
        <w:spacing w:line="223" w:lineRule="auto" w:before="8"/>
        <w:ind w:left="117" w:right="112"/>
      </w:pPr>
      <w:r>
        <w:rPr>
          <w:spacing w:val="-4"/>
        </w:rPr>
        <w:t>年期居民定期储蓄存款利率与 </w:t>
      </w:r>
      <w:r>
        <w:rPr>
          <w:rFonts w:ascii="Times New Roman" w:hAnsi="Times New Roman" w:eastAsia="Times New Roman"/>
        </w:rPr>
        <w:t>2.5%</w:t>
      </w:r>
      <w:r>
        <w:rPr>
          <w:spacing w:val="-5"/>
        </w:rPr>
        <w:t>之较大者”＋</w:t>
      </w:r>
      <w:r>
        <w:rPr>
          <w:rFonts w:ascii="Times New Roman" w:hAnsi="Times New Roman" w:eastAsia="Times New Roman"/>
          <w:spacing w:val="-6"/>
        </w:rPr>
        <w:t>2.0%</w:t>
      </w:r>
      <w:r>
        <w:rPr>
          <w:spacing w:val="-6"/>
        </w:rPr>
        <w:t>确定计息的利率。如果本合同有欠交的保险费或保单贷</w:t>
      </w:r>
      <w:r>
        <w:rPr>
          <w:spacing w:val="-4"/>
        </w:rPr>
        <w:t>款，我们将每半年复利计息一次。</w:t>
      </w:r>
    </w:p>
    <w:p>
      <w:pPr>
        <w:spacing w:after="0" w:line="223" w:lineRule="auto"/>
        <w:sectPr>
          <w:type w:val="continuous"/>
          <w:pgSz w:w="11910" w:h="16160"/>
          <w:pgMar w:top="580" w:bottom="860" w:left="960" w:right="800"/>
        </w:sectPr>
      </w:pPr>
    </w:p>
    <w:p>
      <w:pPr>
        <w:pStyle w:val="BodyText"/>
        <w:spacing w:line="273" w:lineRule="auto" w:before="7"/>
        <w:ind w:left="3003" w:right="120"/>
      </w:pPr>
      <w:r>
        <w:rPr/>
        <w:t>明确诊断，临床诊断属于世界卫生组织《疾病和有关健康问题的国际统计分</w:t>
      </w:r>
      <w:r>
        <w:rPr>
          <w:spacing w:val="-54"/>
        </w:rPr>
        <w:t>类》</w:t>
      </w:r>
      <w:r>
        <w:rPr>
          <w:spacing w:val="-1"/>
        </w:rPr>
        <w:t>（</w:t>
      </w:r>
      <w:r>
        <w:rPr>
          <w:rFonts w:ascii="Times New Roman" w:eastAsia="Times New Roman"/>
          <w:spacing w:val="-1"/>
        </w:rPr>
        <w:t>ICD-10</w:t>
      </w:r>
      <w:r>
        <w:rPr>
          <w:spacing w:val="-1"/>
        </w:rPr>
        <w:t>）</w:t>
      </w:r>
      <w:r>
        <w:rPr>
          <w:spacing w:val="-3"/>
        </w:rPr>
        <w:t>的恶性肿瘤范畴。</w:t>
      </w:r>
    </w:p>
    <w:p>
      <w:pPr>
        <w:pStyle w:val="Heading2"/>
        <w:spacing w:line="264" w:lineRule="exact"/>
        <w:ind w:left="3003"/>
      </w:pPr>
      <w:r>
        <w:rPr/>
        <w:t>下列疾病不在保障范围内：</w:t>
      </w:r>
    </w:p>
    <w:p>
      <w:pPr>
        <w:spacing w:before="37"/>
        <w:ind w:left="3003" w:right="0" w:firstLine="0"/>
        <w:jc w:val="left"/>
        <w:rPr>
          <w:b/>
          <w:sz w:val="21"/>
        </w:rPr>
      </w:pPr>
      <w:r>
        <w:rPr>
          <w:b/>
          <w:sz w:val="21"/>
        </w:rPr>
        <w:t>（</w:t>
      </w:r>
      <w:r>
        <w:rPr>
          <w:rFonts w:ascii="Times New Roman" w:eastAsia="Times New Roman"/>
          <w:b/>
          <w:sz w:val="21"/>
        </w:rPr>
        <w:t>1</w:t>
      </w:r>
      <w:r>
        <w:rPr>
          <w:b/>
          <w:sz w:val="21"/>
        </w:rPr>
        <w:t>）原位癌；</w:t>
      </w:r>
    </w:p>
    <w:p>
      <w:pPr>
        <w:spacing w:before="20"/>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0"/>
        <w:ind w:left="3003" w:right="0" w:firstLine="0"/>
        <w:jc w:val="left"/>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spacing w:before="20"/>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20"/>
        <w:ind w:left="3003"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spacing w:line="256" w:lineRule="auto" w:before="20"/>
        <w:ind w:left="3003" w:right="2187" w:firstLine="0"/>
        <w:jc w:val="left"/>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p>
      <w:pPr>
        <w:pStyle w:val="ListParagraph"/>
        <w:numPr>
          <w:ilvl w:val="0"/>
          <w:numId w:val="4"/>
        </w:numPr>
        <w:tabs>
          <w:tab w:pos="383" w:val="left" w:leader="none"/>
          <w:tab w:pos="2825" w:val="left" w:leader="none"/>
        </w:tabs>
        <w:spacing w:line="259" w:lineRule="auto" w:before="12" w:after="0"/>
        <w:ind w:left="3003" w:right="12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0"/>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指因脑血管的突发病变引起脑血管出血、栓塞或梗塞，并导致神经系统永久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spacing w:before="21"/>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spacing w:line="256" w:lineRule="auto" w:before="21"/>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70" w:top="1360" w:bottom="860" w:left="960" w:right="800"/>
        </w:sectPr>
      </w:pPr>
    </w:p>
    <w:p>
      <w:pPr>
        <w:pStyle w:val="BodyText"/>
        <w:spacing w:before="21"/>
        <w:ind w:left="117"/>
      </w:pPr>
      <w:r>
        <w:rPr/>
        <w:t>细胞移植术</w:t>
      </w:r>
    </w:p>
    <w:p>
      <w:pPr>
        <w:pStyle w:val="BodyText"/>
        <w:spacing w:before="21"/>
        <w:ind w:left="117"/>
      </w:pPr>
      <w:r>
        <w:rPr/>
        <w:br w:type="column"/>
      </w:r>
      <w:r>
        <w:rPr/>
        <w:t>肺脏的异体移植手术。</w:t>
      </w:r>
    </w:p>
    <w:p>
      <w:pPr>
        <w:pStyle w:val="BodyText"/>
        <w:spacing w:line="273" w:lineRule="auto" w:before="36"/>
        <w:ind w:left="117" w:right="1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80" w:bottom="860" w:left="960" w:right="800"/>
          <w:cols w:num="2" w:equalWidth="0">
            <w:col w:w="1172" w:space="1714"/>
            <w:col w:w="7264"/>
          </w:cols>
        </w:sectPr>
      </w:pPr>
    </w:p>
    <w:p>
      <w:pPr>
        <w:pStyle w:val="ListParagraph"/>
        <w:numPr>
          <w:ilvl w:val="0"/>
          <w:numId w:val="4"/>
        </w:numPr>
        <w:tabs>
          <w:tab w:pos="383" w:val="left" w:leader="none"/>
        </w:tabs>
        <w:spacing w:line="298"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8" w:lineRule="exact"/>
        <w:jc w:val="left"/>
        <w:rPr>
          <w:sz w:val="21"/>
        </w:rPr>
        <w:sectPr>
          <w:type w:val="continuous"/>
          <w:pgSz w:w="11910" w:h="16160"/>
          <w:pgMar w:top="580" w:bottom="860" w:left="960" w:right="800"/>
        </w:sectPr>
      </w:pPr>
    </w:p>
    <w:p>
      <w:pPr>
        <w:pStyle w:val="BodyText"/>
        <w:spacing w:before="21"/>
        <w:ind w:left="117"/>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80" w:bottom="860" w:left="960" w:right="800"/>
          <w:cols w:num="2" w:equalWidth="0">
            <w:col w:w="1801" w:space="1085"/>
            <w:col w:w="7264"/>
          </w:cols>
        </w:sectPr>
      </w:pPr>
    </w:p>
    <w:p>
      <w:pPr>
        <w:pStyle w:val="ListParagraph"/>
        <w:numPr>
          <w:ilvl w:val="0"/>
          <w:numId w:val="4"/>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ind w:left="117"/>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BodyText"/>
        <w:spacing w:before="2"/>
        <w:rPr>
          <w:sz w:val="27"/>
        </w:rPr>
      </w:pPr>
      <w:r>
        <w:rPr/>
        <w:pict>
          <v:line style="position:absolute;mso-position-horizontal-relative:page;mso-position-vertical-relative:paragraph;z-index:1216;mso-wrap-distance-left:0;mso-wrap-distance-right:0" from="53.880001pt,19.988354pt" to="197.930001pt,19.988354pt" stroked="true" strokeweight=".47998pt" strokecolor="#000000">
            <v:stroke dashstyle="solid"/>
            <w10:wrap type="topAndBottom"/>
          </v:line>
        </w:pict>
      </w:r>
    </w:p>
    <w:p>
      <w:pPr>
        <w:spacing w:line="319" w:lineRule="exact" w:before="0"/>
        <w:ind w:left="11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117"/>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117" w:right="14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3" w:lineRule="exact" w:before="10"/>
        <w:ind w:left="117" w:right="0" w:firstLine="0"/>
        <w:jc w:val="left"/>
        <w:rPr>
          <w:sz w:val="21"/>
        </w:rPr>
      </w:pPr>
      <w:r>
        <w:rPr>
          <w:rFonts w:ascii="Times New Roman" w:eastAsia="Times New Roman"/>
          <w:w w:val="99"/>
          <w:position w:val="10"/>
          <w:sz w:val="14"/>
        </w:rPr>
        <w:t>21</w:t>
      </w:r>
      <w:r>
        <w:rPr>
          <w:rFonts w:ascii="Microsoft JhengHei" w:eastAsia="Microsoft JhengHei" w:hint="eastAsia"/>
          <w:b/>
          <w:spacing w:val="-2"/>
          <w:w w:val="100"/>
          <w:sz w:val="21"/>
        </w:rPr>
        <w:t>六项基本日常生活活动：</w:t>
      </w: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left="117" w:right="11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w w:val="100"/>
        </w:rPr>
        <w:t>（</w:t>
      </w:r>
      <w:r>
        <w:rPr>
          <w:rFonts w:ascii="Times New Roman" w:eastAsia="Times New Roman"/>
          <w:w w:val="100"/>
        </w:rPr>
        <w:t>6</w:t>
      </w:r>
      <w:r>
        <w:rPr>
          <w:spacing w:val="-3"/>
          <w:w w:val="100"/>
        </w:rPr>
        <w:t>）洗澡：自己进行淋浴或盆浴。</w:t>
      </w:r>
    </w:p>
    <w:p>
      <w:pPr>
        <w:spacing w:after="0" w:line="223" w:lineRule="auto"/>
        <w:sectPr>
          <w:type w:val="continuous"/>
          <w:pgSz w:w="11910" w:h="16160"/>
          <w:pgMar w:top="580" w:bottom="860" w:left="9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92"/>
        <w:gridCol w:w="7219"/>
      </w:tblGrid>
      <w:tr>
        <w:trPr>
          <w:trHeight w:val="577" w:hRule="atLeast"/>
        </w:trPr>
        <w:tc>
          <w:tcPr>
            <w:tcW w:w="2910" w:type="dxa"/>
          </w:tcPr>
          <w:p>
            <w:pPr>
              <w:pStyle w:val="TableParagraph"/>
              <w:spacing w:line="234" w:lineRule="exact"/>
              <w:ind w:left="200"/>
              <w:rPr>
                <w:sz w:val="21"/>
              </w:rPr>
            </w:pPr>
            <w:r>
              <w:rPr>
                <w:rFonts w:ascii="Times New Roman" w:eastAsia="Times New Roman"/>
                <w:sz w:val="21"/>
              </w:rPr>
              <w:t>7.  </w:t>
            </w:r>
            <w:r>
              <w:rPr>
                <w:sz w:val="21"/>
              </w:rPr>
              <w:t>多个肢体缺失</w:t>
            </w:r>
          </w:p>
        </w:tc>
        <w:tc>
          <w:tcPr>
            <w:tcW w:w="192" w:type="dxa"/>
          </w:tcPr>
          <w:p>
            <w:pPr>
              <w:pStyle w:val="TableParagraph"/>
              <w:spacing w:line="203" w:lineRule="exact"/>
              <w:ind w:left="-2" w:right="14"/>
              <w:jc w:val="center"/>
              <w:rPr>
                <w:sz w:val="21"/>
              </w:rPr>
            </w:pPr>
            <w:r>
              <w:rPr>
                <w:spacing w:val="-34"/>
                <w:w w:val="100"/>
                <w:sz w:val="21"/>
              </w:rPr>
              <w:t>：</w:t>
            </w:r>
          </w:p>
        </w:tc>
        <w:tc>
          <w:tcPr>
            <w:tcW w:w="7219" w:type="dxa"/>
          </w:tcPr>
          <w:p>
            <w:pPr>
              <w:pStyle w:val="TableParagraph"/>
              <w:spacing w:line="218" w:lineRule="exact"/>
              <w:rPr>
                <w:sz w:val="21"/>
              </w:rPr>
            </w:pPr>
            <w:r>
              <w:rPr>
                <w:sz w:val="21"/>
              </w:rPr>
              <w:t>指因疾病或意外伤害导致两个或两个以上肢体自腕关节或踝关节近端（靠近</w:t>
            </w:r>
          </w:p>
          <w:p>
            <w:pPr>
              <w:pStyle w:val="TableParagraph"/>
              <w:spacing w:before="37"/>
              <w:rPr>
                <w:sz w:val="21"/>
              </w:rPr>
            </w:pPr>
            <w:r>
              <w:rPr>
                <w:sz w:val="21"/>
              </w:rPr>
              <w:t>躯干端）以上完全性断离。</w:t>
            </w:r>
          </w:p>
        </w:tc>
      </w:tr>
      <w:tr>
        <w:trPr>
          <w:trHeight w:val="1879" w:hRule="atLeast"/>
        </w:trPr>
        <w:tc>
          <w:tcPr>
            <w:tcW w:w="2910"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192" w:type="dxa"/>
          </w:tcPr>
          <w:p>
            <w:pPr>
              <w:pStyle w:val="TableParagraph"/>
              <w:spacing w:line="250" w:lineRule="exact"/>
              <w:ind w:left="-2" w:right="14"/>
              <w:jc w:val="center"/>
              <w:rPr>
                <w:sz w:val="21"/>
              </w:rPr>
            </w:pPr>
            <w:r>
              <w:rPr>
                <w:spacing w:val="-34"/>
                <w:w w:val="100"/>
                <w:sz w:val="21"/>
              </w:rPr>
              <w:t>：</w:t>
            </w:r>
          </w:p>
        </w:tc>
        <w:tc>
          <w:tcPr>
            <w:tcW w:w="7219" w:type="dxa"/>
          </w:tcPr>
          <w:p>
            <w:pPr>
              <w:pStyle w:val="TableParagraph"/>
              <w:spacing w:line="273" w:lineRule="auto"/>
              <w:ind w:right="212"/>
              <w:rPr>
                <w:sz w:val="21"/>
              </w:rPr>
            </w:pPr>
            <w:r>
              <w:rPr>
                <w:sz w:val="21"/>
              </w:rPr>
              <w:t>指因肝炎病毒感染引起肝脏组织弥漫性坏死，导致急性肝功能衰竭，且经血清学或病毒学检查证实，并须满足下列全部条件：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910"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192" w:type="dxa"/>
          </w:tcPr>
          <w:p>
            <w:pPr>
              <w:pStyle w:val="TableParagraph"/>
              <w:spacing w:line="242" w:lineRule="exact"/>
              <w:ind w:left="-2" w:right="14"/>
              <w:jc w:val="center"/>
              <w:rPr>
                <w:sz w:val="21"/>
              </w:rPr>
            </w:pPr>
            <w:r>
              <w:rPr>
                <w:spacing w:val="-34"/>
                <w:w w:val="100"/>
                <w:sz w:val="21"/>
              </w:rPr>
              <w:t>：</w:t>
            </w:r>
          </w:p>
        </w:tc>
        <w:tc>
          <w:tcPr>
            <w:tcW w:w="7219" w:type="dxa"/>
          </w:tcPr>
          <w:p>
            <w:pPr>
              <w:pStyle w:val="TableParagraph"/>
              <w:spacing w:line="257" w:lineRule="exact"/>
              <w:rPr>
                <w:sz w:val="21"/>
              </w:rPr>
            </w:pPr>
            <w:r>
              <w:rPr>
                <w:sz w:val="21"/>
              </w:rPr>
              <w:t>指脑的良性肿瘤，已经引起颅内压增高，临床表现为视神经乳头水肿、精神</w:t>
            </w:r>
          </w:p>
          <w:p>
            <w:pPr>
              <w:pStyle w:val="TableParagraph"/>
              <w:spacing w:line="256" w:lineRule="auto" w:before="37"/>
              <w:ind w:right="202"/>
              <w:jc w:val="both"/>
              <w:rPr>
                <w:sz w:val="21"/>
              </w:rPr>
            </w:pPr>
            <w:r>
              <w:rPr>
                <w:spacing w:val="-8"/>
                <w:w w:val="100"/>
                <w:sz w:val="21"/>
              </w:rPr>
              <w:t>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6"/>
                <w:w w:val="100"/>
                <w:sz w:val="21"/>
              </w:rPr>
              <w:t>、核磁</w:t>
            </w:r>
            <w:r>
              <w:rPr>
                <w:spacing w:val="-7"/>
                <w:sz w:val="21"/>
              </w:rPr>
              <w:t>共振检查</w:t>
            </w:r>
            <w:r>
              <w:rPr>
                <w:spacing w:val="-4"/>
                <w:sz w:val="21"/>
              </w:rPr>
              <w:t>（</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）等影像学检查证实，并须满</w:t>
            </w:r>
            <w:r>
              <w:rPr>
                <w:spacing w:val="-3"/>
                <w:sz w:val="21"/>
              </w:rPr>
              <w:t>足下列至少一项条件：</w:t>
            </w:r>
          </w:p>
          <w:p>
            <w:pPr>
              <w:pStyle w:val="TableParagraph"/>
              <w:spacing w:before="22"/>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jc w:val="both"/>
              <w:rPr>
                <w:b/>
                <w:sz w:val="21"/>
              </w:rPr>
            </w:pPr>
            <w:r>
              <w:rPr>
                <w:b/>
                <w:sz w:val="21"/>
              </w:rPr>
              <w:t>脑垂体瘤、脑囊肿、脑血管性疾病不在保障范围内。</w:t>
            </w:r>
          </w:p>
        </w:tc>
      </w:tr>
      <w:tr>
        <w:trPr>
          <w:trHeight w:val="1872" w:hRule="atLeast"/>
        </w:trPr>
        <w:tc>
          <w:tcPr>
            <w:tcW w:w="2910" w:type="dxa"/>
          </w:tcPr>
          <w:p>
            <w:pPr>
              <w:pStyle w:val="TableParagraph"/>
              <w:spacing w:line="281" w:lineRule="exact"/>
              <w:ind w:left="200"/>
              <w:rPr>
                <w:sz w:val="21"/>
              </w:rPr>
            </w:pPr>
            <w:r>
              <w:rPr>
                <w:rFonts w:ascii="Times New Roman" w:eastAsia="Times New Roman"/>
                <w:sz w:val="21"/>
              </w:rPr>
              <w:t>10.  </w:t>
            </w:r>
            <w:r>
              <w:rPr>
                <w:sz w:val="21"/>
              </w:rPr>
              <w:t>慢性肝功能衰竭失代偿期</w:t>
            </w:r>
          </w:p>
        </w:tc>
        <w:tc>
          <w:tcPr>
            <w:tcW w:w="192" w:type="dxa"/>
          </w:tcPr>
          <w:p>
            <w:pPr>
              <w:pStyle w:val="TableParagraph"/>
              <w:spacing w:line="250" w:lineRule="exact"/>
              <w:ind w:left="-2" w:right="14"/>
              <w:jc w:val="center"/>
              <w:rPr>
                <w:sz w:val="21"/>
              </w:rPr>
            </w:pPr>
            <w:r>
              <w:rPr>
                <w:spacing w:val="-34"/>
                <w:w w:val="100"/>
                <w:sz w:val="21"/>
              </w:rPr>
              <w:t>：</w:t>
            </w:r>
          </w:p>
        </w:tc>
        <w:tc>
          <w:tcPr>
            <w:tcW w:w="7219"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208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2910" w:type="dxa"/>
          </w:tcPr>
          <w:p>
            <w:pPr>
              <w:pStyle w:val="TableParagraph"/>
              <w:spacing w:line="256" w:lineRule="auto"/>
              <w:ind w:left="200" w:right="-15"/>
              <w:rPr>
                <w:sz w:val="21"/>
              </w:rPr>
            </w:pPr>
            <w:r>
              <w:rPr>
                <w:rFonts w:ascii="Times New Roman" w:eastAsia="Times New Roman"/>
                <w:spacing w:val="-3"/>
                <w:sz w:val="21"/>
              </w:rPr>
              <w:t>11.</w:t>
            </w:r>
            <w:r>
              <w:rPr>
                <w:rFonts w:ascii="Times New Roman" w:eastAsia="Times New Roman"/>
                <w:spacing w:val="35"/>
                <w:sz w:val="21"/>
              </w:rPr>
              <w:t> </w:t>
            </w:r>
            <w:r>
              <w:rPr>
                <w:sz w:val="21"/>
              </w:rPr>
              <w:t>脑炎后遗症或脑膜炎后遗症</w:t>
            </w:r>
          </w:p>
        </w:tc>
        <w:tc>
          <w:tcPr>
            <w:tcW w:w="192" w:type="dxa"/>
          </w:tcPr>
          <w:p>
            <w:pPr>
              <w:pStyle w:val="TableParagraph"/>
              <w:spacing w:line="250" w:lineRule="exact"/>
              <w:ind w:left="-2" w:right="14"/>
              <w:jc w:val="center"/>
              <w:rPr>
                <w:sz w:val="21"/>
              </w:rPr>
            </w:pPr>
            <w:r>
              <w:rPr>
                <w:spacing w:val="-34"/>
                <w:w w:val="100"/>
                <w:sz w:val="21"/>
              </w:rPr>
              <w:t>：</w:t>
            </w:r>
          </w:p>
        </w:tc>
        <w:tc>
          <w:tcPr>
            <w:tcW w:w="7219" w:type="dxa"/>
          </w:tcPr>
          <w:p>
            <w:pPr>
              <w:pStyle w:val="TableParagraph"/>
              <w:spacing w:line="273" w:lineRule="auto"/>
              <w:ind w:right="212"/>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16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910" w:type="dxa"/>
          </w:tcPr>
          <w:p>
            <w:pPr>
              <w:pStyle w:val="TableParagraph"/>
              <w:spacing w:line="281" w:lineRule="exact"/>
              <w:ind w:left="200"/>
              <w:rPr>
                <w:sz w:val="21"/>
              </w:rPr>
            </w:pPr>
            <w:r>
              <w:rPr>
                <w:rFonts w:ascii="Times New Roman" w:eastAsia="Times New Roman"/>
                <w:sz w:val="21"/>
              </w:rPr>
              <w:t>12.  </w:t>
            </w:r>
            <w:r>
              <w:rPr>
                <w:sz w:val="21"/>
              </w:rPr>
              <w:t>深度昏迷</w:t>
            </w:r>
          </w:p>
        </w:tc>
        <w:tc>
          <w:tcPr>
            <w:tcW w:w="192" w:type="dxa"/>
          </w:tcPr>
          <w:p>
            <w:pPr>
              <w:pStyle w:val="TableParagraph"/>
              <w:spacing w:line="250" w:lineRule="exact"/>
              <w:ind w:left="-2" w:right="14"/>
              <w:jc w:val="center"/>
              <w:rPr>
                <w:sz w:val="21"/>
              </w:rPr>
            </w:pPr>
            <w:r>
              <w:rPr>
                <w:spacing w:val="-34"/>
                <w:w w:val="100"/>
                <w:sz w:val="21"/>
              </w:rPr>
              <w:t>：</w:t>
            </w:r>
          </w:p>
        </w:tc>
        <w:tc>
          <w:tcPr>
            <w:tcW w:w="7219" w:type="dxa"/>
          </w:tcPr>
          <w:p>
            <w:pPr>
              <w:pStyle w:val="TableParagraph"/>
              <w:spacing w:line="256" w:lineRule="auto"/>
              <w:ind w:right="197"/>
              <w:jc w:val="both"/>
              <w:rPr>
                <w:sz w:val="21"/>
              </w:rPr>
            </w:pPr>
            <w:r>
              <w:rPr>
                <w:spacing w:val="2"/>
                <w:sz w:val="21"/>
              </w:rPr>
              <w:t>指因疾病或意外伤害导致意识丧失</w:t>
            </w:r>
            <w:r>
              <w:rPr>
                <w:rFonts w:ascii="Times New Roman" w:eastAsia="Times New Roman"/>
                <w:spacing w:val="2"/>
                <w:sz w:val="21"/>
              </w:rPr>
              <w:t>,</w:t>
            </w:r>
            <w:r>
              <w:rPr>
                <w:spacing w:val="2"/>
                <w:sz w:val="21"/>
              </w:rPr>
              <w:t>对外界刺激和体内需求均无反应</w:t>
            </w:r>
            <w:r>
              <w:rPr>
                <w:rFonts w:ascii="Times New Roman" w:eastAsia="Times New Roman"/>
                <w:spacing w:val="2"/>
                <w:sz w:val="21"/>
              </w:rPr>
              <w:t>,</w:t>
            </w:r>
            <w:r>
              <w:rPr>
                <w:spacing w:val="2"/>
                <w:sz w:val="21"/>
              </w:rPr>
              <w:t>昏迷程</w:t>
            </w:r>
            <w:r>
              <w:rPr>
                <w:spacing w:val="-5"/>
                <w:sz w:val="21"/>
              </w:rPr>
              <w:t>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6"/>
                <w:sz w:val="21"/>
              </w:rPr>
              <w:t>分以下，且已经持续使用呼吸机及其它生命维持系统 </w:t>
            </w:r>
            <w:r>
              <w:rPr>
                <w:rFonts w:ascii="Times New Roman" w:eastAsia="Times New Roman"/>
                <w:sz w:val="21"/>
              </w:rPr>
              <w:t>96 </w:t>
            </w:r>
            <w:r>
              <w:rPr>
                <w:spacing w:val="-3"/>
                <w:sz w:val="21"/>
              </w:rPr>
              <w:t>小时以上。</w:t>
            </w:r>
          </w:p>
          <w:p>
            <w:pPr>
              <w:pStyle w:val="TableParagraph"/>
              <w:spacing w:before="15"/>
              <w:jc w:val="both"/>
              <w:rPr>
                <w:b/>
                <w:sz w:val="21"/>
              </w:rPr>
            </w:pPr>
            <w:r>
              <w:rPr>
                <w:b/>
                <w:sz w:val="21"/>
              </w:rPr>
              <w:t>因酗酒或药物滥用导致的深度昏迷不在保障范围内。</w:t>
            </w:r>
          </w:p>
        </w:tc>
      </w:tr>
      <w:tr>
        <w:trPr>
          <w:trHeight w:val="1578" w:hRule="atLeast"/>
        </w:trPr>
        <w:tc>
          <w:tcPr>
            <w:tcW w:w="2910" w:type="dxa"/>
          </w:tcPr>
          <w:p>
            <w:pPr>
              <w:pStyle w:val="TableParagraph"/>
              <w:spacing w:before="8"/>
              <w:ind w:left="200"/>
              <w:rPr>
                <w:sz w:val="21"/>
              </w:rPr>
            </w:pPr>
            <w:r>
              <w:rPr>
                <w:rFonts w:ascii="Times New Roman" w:eastAsia="Times New Roman"/>
                <w:sz w:val="21"/>
              </w:rPr>
              <w:t>13.  </w:t>
            </w:r>
            <w:r>
              <w:rPr>
                <w:sz w:val="21"/>
              </w:rPr>
              <w:t>双耳失聪</w:t>
            </w:r>
          </w:p>
        </w:tc>
        <w:tc>
          <w:tcPr>
            <w:tcW w:w="192" w:type="dxa"/>
          </w:tcPr>
          <w:p>
            <w:pPr>
              <w:pStyle w:val="TableParagraph"/>
              <w:spacing w:line="269" w:lineRule="exact"/>
              <w:ind w:left="-2" w:right="14"/>
              <w:jc w:val="center"/>
              <w:rPr>
                <w:sz w:val="21"/>
              </w:rPr>
            </w:pPr>
            <w:r>
              <w:rPr>
                <w:spacing w:val="-34"/>
                <w:w w:val="100"/>
                <w:sz w:val="21"/>
              </w:rPr>
              <w:t>：</w:t>
            </w:r>
          </w:p>
        </w:tc>
        <w:tc>
          <w:tcPr>
            <w:tcW w:w="7219" w:type="dxa"/>
          </w:tcPr>
          <w:p>
            <w:pPr>
              <w:pStyle w:val="TableParagraph"/>
              <w:spacing w:line="256" w:lineRule="auto" w:before="8"/>
              <w:ind w:right="202"/>
              <w:jc w:val="both"/>
              <w:rPr>
                <w:sz w:val="21"/>
              </w:rPr>
            </w:pPr>
            <w:r>
              <w:rPr>
                <w:spacing w:val="-3"/>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pacing w:val="-28"/>
                <w:sz w:val="21"/>
                <w:vertAlign w:val="baseline"/>
              </w:rPr>
              <w:t>性丧失，在 </w:t>
            </w:r>
            <w:r>
              <w:rPr>
                <w:rFonts w:ascii="Times New Roman" w:eastAsia="Times New Roman"/>
                <w:sz w:val="21"/>
                <w:vertAlign w:val="baseline"/>
              </w:rPr>
              <w:t>500 </w:t>
            </w:r>
            <w:r>
              <w:rPr>
                <w:spacing w:val="-36"/>
                <w:sz w:val="21"/>
                <w:vertAlign w:val="baseline"/>
              </w:rPr>
              <w:t>赫兹、</w:t>
            </w:r>
            <w:r>
              <w:rPr>
                <w:rFonts w:ascii="Times New Roman" w:eastAsia="Times New Roman"/>
                <w:sz w:val="21"/>
                <w:vertAlign w:val="baseline"/>
              </w:rPr>
              <w:t>1000 </w:t>
            </w:r>
            <w:r>
              <w:rPr>
                <w:sz w:val="21"/>
                <w:vertAlign w:val="baseline"/>
              </w:rPr>
              <w:t>赫</w:t>
            </w:r>
            <w:r>
              <w:rPr>
                <w:spacing w:val="-16"/>
                <w:sz w:val="21"/>
                <w:vertAlign w:val="baseline"/>
              </w:rPr>
              <w:t>兹和 </w:t>
            </w:r>
            <w:r>
              <w:rPr>
                <w:rFonts w:ascii="Times New Roman" w:eastAsia="Times New Roman"/>
                <w:sz w:val="21"/>
                <w:vertAlign w:val="baseline"/>
              </w:rPr>
              <w:t>2000 </w:t>
            </w:r>
            <w:r>
              <w:rPr>
                <w:spacing w:val="-7"/>
                <w:sz w:val="21"/>
                <w:vertAlign w:val="baseline"/>
              </w:rPr>
              <w:t>赫兹语音频率下，平均听阈大于 </w:t>
            </w:r>
            <w:r>
              <w:rPr>
                <w:rFonts w:ascii="Times New Roman" w:eastAsia="Times New Roman"/>
                <w:sz w:val="21"/>
                <w:vertAlign w:val="baseline"/>
              </w:rPr>
              <w:t>90 </w:t>
            </w:r>
            <w:r>
              <w:rPr>
                <w:spacing w:val="-4"/>
                <w:sz w:val="21"/>
                <w:vertAlign w:val="baseline"/>
              </w:rPr>
              <w:t>分贝，且经纯音听力测试、声</w:t>
            </w:r>
            <w:r>
              <w:rPr>
                <w:spacing w:val="-3"/>
                <w:sz w:val="21"/>
                <w:vertAlign w:val="baseline"/>
              </w:rPr>
              <w:t>导抗检测或听觉诱发电位检测等证实。</w:t>
            </w:r>
          </w:p>
          <w:p>
            <w:pPr>
              <w:pStyle w:val="TableParagraph"/>
              <w:spacing w:line="312" w:lineRule="exact" w:before="18"/>
              <w:ind w:right="202"/>
              <w:jc w:val="both"/>
              <w:rPr>
                <w:sz w:val="21"/>
              </w:rPr>
            </w:pPr>
            <w:r>
              <w:rPr>
                <w:b/>
                <w:sz w:val="21"/>
              </w:rPr>
              <w:t>被保险人申请理赔时年龄必须在三周岁以上</w:t>
            </w:r>
            <w:r>
              <w:rPr>
                <w:sz w:val="21"/>
              </w:rPr>
              <w:t>，并且提供理赔当时的听力丧失诊断及检查证据。</w:t>
            </w:r>
          </w:p>
        </w:tc>
      </w:tr>
      <w:tr>
        <w:trPr>
          <w:trHeight w:val="1512" w:hRule="atLeast"/>
        </w:trPr>
        <w:tc>
          <w:tcPr>
            <w:tcW w:w="2910" w:type="dxa"/>
          </w:tcPr>
          <w:p>
            <w:pPr>
              <w:pStyle w:val="TableParagraph"/>
              <w:spacing w:line="281" w:lineRule="exact"/>
              <w:ind w:left="200"/>
              <w:rPr>
                <w:sz w:val="21"/>
              </w:rPr>
            </w:pPr>
            <w:r>
              <w:rPr>
                <w:rFonts w:ascii="Times New Roman" w:eastAsia="Times New Roman"/>
                <w:sz w:val="21"/>
              </w:rPr>
              <w:t>14.  </w:t>
            </w:r>
            <w:r>
              <w:rPr>
                <w:sz w:val="21"/>
              </w:rPr>
              <w:t>双目失明</w:t>
            </w:r>
          </w:p>
        </w:tc>
        <w:tc>
          <w:tcPr>
            <w:tcW w:w="192" w:type="dxa"/>
          </w:tcPr>
          <w:p>
            <w:pPr>
              <w:pStyle w:val="TableParagraph"/>
              <w:spacing w:line="250" w:lineRule="exact"/>
              <w:ind w:left="-2" w:right="14"/>
              <w:jc w:val="center"/>
              <w:rPr>
                <w:sz w:val="21"/>
              </w:rPr>
            </w:pPr>
            <w:r>
              <w:rPr>
                <w:spacing w:val="-34"/>
                <w:w w:val="100"/>
                <w:sz w:val="21"/>
              </w:rPr>
              <w:t>：</w:t>
            </w:r>
          </w:p>
        </w:tc>
        <w:tc>
          <w:tcPr>
            <w:tcW w:w="7219" w:type="dxa"/>
          </w:tcPr>
          <w:p>
            <w:pPr>
              <w:pStyle w:val="TableParagraph"/>
              <w:spacing w:line="273" w:lineRule="auto"/>
              <w:ind w:right="212"/>
              <w:rPr>
                <w:sz w:val="21"/>
              </w:rPr>
            </w:pPr>
            <w:r>
              <w:rPr>
                <w:sz w:val="21"/>
              </w:rPr>
              <w:t>指因疾病或意外伤害导致双眼视力永久不可逆性丧失，双眼中较好眼须满足下列至少一项条件：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line="290" w:lineRule="atLeast" w:before="21"/>
              <w:ind w:right="202"/>
              <w:rPr>
                <w:sz w:val="21"/>
              </w:rPr>
            </w:pPr>
            <w:r>
              <w:rPr>
                <w:sz w:val="21"/>
              </w:rPr>
              <w:t>（</w:t>
            </w:r>
            <w:r>
              <w:rPr>
                <w:rFonts w:ascii="Times New Roman" w:eastAsia="Times New Roman"/>
                <w:sz w:val="21"/>
              </w:rPr>
              <w:t>2</w:t>
            </w:r>
            <w:r>
              <w:rPr>
                <w:sz w:val="21"/>
              </w:rPr>
              <w:t>）</w:t>
            </w:r>
            <w:r>
              <w:rPr>
                <w:spacing w:val="-7"/>
                <w:sz w:val="21"/>
              </w:rPr>
              <w:t>矫正视力低于 </w:t>
            </w:r>
            <w:r>
              <w:rPr>
                <w:rFonts w:ascii="Times New Roman" w:eastAsia="Times New Roman"/>
                <w:sz w:val="21"/>
              </w:rPr>
              <w:t>0.02</w:t>
            </w:r>
            <w:r>
              <w:rPr>
                <w:sz w:val="21"/>
              </w:rPr>
              <w:t>（</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tc>
      </w:tr>
    </w:tbl>
    <w:p>
      <w:pPr>
        <w:pStyle w:val="BodyText"/>
        <w:rPr>
          <w:sz w:val="20"/>
        </w:rPr>
      </w:pPr>
    </w:p>
    <w:p>
      <w:pPr>
        <w:pStyle w:val="BodyText"/>
        <w:spacing w:before="1"/>
        <w:rPr>
          <w:sz w:val="10"/>
        </w:rPr>
      </w:pPr>
      <w:r>
        <w:rPr/>
        <w:pict>
          <v:line style="position:absolute;mso-position-horizontal-relative:page;mso-position-vertical-relative:paragraph;z-index:1240;mso-wrap-distance-left:0;mso-wrap-distance-right:0" from="53.880001pt,8.814917pt" to="197.930001pt,8.814917pt" stroked="true" strokeweight=".47998pt" strokecolor="#000000">
            <v:stroke dashstyle="solid"/>
            <w10:wrap type="topAndBottom"/>
          </v:line>
        </w:pict>
      </w:r>
    </w:p>
    <w:p>
      <w:pPr>
        <w:pStyle w:val="BodyText"/>
        <w:spacing w:line="218" w:lineRule="auto" w:before="1"/>
        <w:ind w:left="317" w:right="362"/>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footerReference w:type="default" r:id="rId11"/>
          <w:pgSz w:w="11910" w:h="16160"/>
          <w:pgMar w:footer="686" w:header="0" w:top="1420" w:bottom="880" w:left="760" w:right="600"/>
          <w:pgNumType w:start="8"/>
        </w:sectPr>
      </w:pPr>
    </w:p>
    <w:p>
      <w:pPr>
        <w:pStyle w:val="BodyText"/>
        <w:spacing w:before="27"/>
        <w:ind w:left="3003"/>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1"/>
        <w:ind w:left="3003" w:right="112" w:firstLine="0"/>
        <w:jc w:val="left"/>
        <w:rPr>
          <w:sz w:val="21"/>
        </w:rPr>
      </w:pPr>
      <w:r>
        <w:rPr>
          <w:b/>
          <w:sz w:val="21"/>
        </w:rPr>
        <w:t>被保险人申请理赔时年龄必须在三周岁以上</w:t>
      </w:r>
      <w:r>
        <w:rPr>
          <w:sz w:val="21"/>
        </w:rPr>
        <w:t>，并且提供理赔当时的视力丧失诊断及检查证据。</w:t>
      </w:r>
    </w:p>
    <w:p>
      <w:pPr>
        <w:pStyle w:val="ListParagraph"/>
        <w:numPr>
          <w:ilvl w:val="0"/>
          <w:numId w:val="5"/>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 w:pos="2825" w:val="left" w:leader="none"/>
        </w:tabs>
        <w:spacing w:line="240" w:lineRule="auto" w:before="15" w:after="0"/>
        <w:ind w:left="3003" w:right="0" w:hanging="2886"/>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ListParagraph"/>
        <w:numPr>
          <w:ilvl w:val="0"/>
          <w:numId w:val="5"/>
        </w:numPr>
        <w:tabs>
          <w:tab w:pos="488" w:val="left" w:leader="none"/>
        </w:tabs>
        <w:spacing w:line="261" w:lineRule="auto" w:before="30" w:after="0"/>
        <w:ind w:left="3003" w:right="108" w:hanging="2886"/>
        <w:jc w:val="both"/>
        <w:rPr>
          <w:sz w:val="21"/>
        </w:rPr>
      </w:pPr>
      <w:r>
        <w:rPr>
          <w:spacing w:val="-1"/>
          <w:sz w:val="21"/>
        </w:rPr>
        <w:t>严重阿尔茨海默病      </w:t>
      </w:r>
      <w:r>
        <w:rPr>
          <w:spacing w:val="-34"/>
          <w:position w:val="1"/>
          <w:sz w:val="21"/>
        </w:rPr>
        <w:t>：</w:t>
      </w:r>
      <w:r>
        <w:rPr>
          <w:sz w:val="21"/>
        </w:rPr>
        <w:t>指因大脑进行性、不可逆性改变导致智能严重衰退或丧失，临床表现为明显的认知能力障碍、行为异常和社交能力减退，其日常生活必须持续受到他人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spacing w:before="17"/>
        <w:ind w:left="3003" w:right="0" w:firstLine="0"/>
        <w:jc w:val="left"/>
        <w:rPr>
          <w:b/>
          <w:sz w:val="21"/>
        </w:rPr>
      </w:pPr>
      <w:r>
        <w:rPr>
          <w:b/>
          <w:sz w:val="21"/>
        </w:rPr>
        <w:t>神经官能症和精神疾病不在保障范围内。</w:t>
      </w:r>
    </w:p>
    <w:p>
      <w:pPr>
        <w:pStyle w:val="ListParagraph"/>
        <w:numPr>
          <w:ilvl w:val="0"/>
          <w:numId w:val="5"/>
        </w:numPr>
        <w:tabs>
          <w:tab w:pos="488" w:val="left" w:leader="none"/>
          <w:tab w:pos="2825" w:val="left" w:leader="none"/>
        </w:tabs>
        <w:spacing w:line="256" w:lineRule="auto" w:before="26" w:after="0"/>
        <w:ind w:left="3003" w:right="110" w:hanging="2886"/>
        <w:jc w:val="both"/>
        <w:rPr>
          <w:sz w:val="21"/>
        </w:rPr>
      </w:pPr>
      <w:r>
        <w:rPr>
          <w:spacing w:val="-3"/>
          <w:sz w:val="21"/>
        </w:rPr>
        <w:t>严</w:t>
      </w:r>
      <w:r>
        <w:rPr>
          <w:sz w:val="21"/>
        </w:rPr>
        <w:t>重</w:t>
      </w:r>
      <w:r>
        <w:rPr>
          <w:spacing w:val="-3"/>
          <w:sz w:val="21"/>
        </w:rPr>
        <w:t>脑</w:t>
      </w:r>
      <w:r>
        <w:rPr>
          <w:sz w:val="21"/>
        </w:rPr>
        <w:t>损伤</w:t>
        <w:tab/>
      </w:r>
      <w:r>
        <w:rPr>
          <w:spacing w:val="-34"/>
          <w:position w:val="1"/>
          <w:sz w:val="21"/>
        </w:rPr>
        <w:t>：</w:t>
      </w:r>
      <w:r>
        <w:rPr>
          <w:sz w:val="21"/>
        </w:rPr>
        <w:t>指因头部遭受机械性外力，引起脑重要部位损伤，导致神经系统永久性的功 </w:t>
      </w:r>
      <w:r>
        <w:rPr>
          <w:w w:val="100"/>
          <w:sz w:val="21"/>
        </w:rPr>
        <w:t>能障</w:t>
      </w:r>
      <w:r>
        <w:rPr>
          <w:spacing w:val="-3"/>
          <w:w w:val="100"/>
          <w:sz w:val="21"/>
        </w:rPr>
        <w:t>碍</w:t>
      </w:r>
      <w:r>
        <w:rPr>
          <w:spacing w:val="-10"/>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10"/>
          <w:w w:val="100"/>
          <w:sz w:val="21"/>
        </w:rPr>
        <w:t>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10"/>
          <w:w w:val="100"/>
          <w:sz w:val="21"/>
        </w:rPr>
        <w:t>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w w:val="100"/>
          <w:sz w:val="21"/>
        </w:rPr>
        <w:t>或正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w:t>
      </w:r>
      <w:r>
        <w:rPr>
          <w:sz w:val="21"/>
        </w:rPr>
        <w:t>扫</w:t>
      </w:r>
      <w:r>
        <w:rPr>
          <w:spacing w:val="-5"/>
          <w:sz w:val="21"/>
        </w:rPr>
        <w:t>描</w:t>
      </w:r>
      <w:r>
        <w:rPr>
          <w:spacing w:val="-3"/>
          <w:sz w:val="21"/>
        </w:rPr>
        <w:t>（</w:t>
      </w:r>
      <w:r>
        <w:rPr>
          <w:rFonts w:ascii="Times New Roman" w:eastAsia="Times New Roman"/>
          <w:spacing w:val="-3"/>
          <w:sz w:val="21"/>
        </w:rPr>
        <w:t>PET</w:t>
      </w:r>
      <w:r>
        <w:rPr>
          <w:spacing w:val="-3"/>
          <w:sz w:val="21"/>
        </w:rPr>
        <w:t>）</w:t>
      </w:r>
      <w:r>
        <w:rPr>
          <w:sz w:val="21"/>
        </w:rPr>
        <w:t>等</w:t>
      </w:r>
      <w:r>
        <w:rPr>
          <w:spacing w:val="-3"/>
          <w:sz w:val="21"/>
        </w:rPr>
        <w:t>影</w:t>
      </w:r>
      <w:r>
        <w:rPr>
          <w:sz w:val="21"/>
        </w:rPr>
        <w:t>像</w:t>
      </w:r>
      <w:r>
        <w:rPr>
          <w:spacing w:val="-3"/>
          <w:sz w:val="21"/>
        </w:rPr>
        <w:t>学检</w:t>
      </w:r>
      <w:r>
        <w:rPr>
          <w:sz w:val="21"/>
        </w:rPr>
        <w:t>查证</w:t>
      </w:r>
      <w:r>
        <w:rPr>
          <w:spacing w:val="-3"/>
          <w:sz w:val="21"/>
        </w:rPr>
        <w:t>实</w:t>
      </w:r>
      <w:r>
        <w:rPr>
          <w:spacing w:val="-5"/>
          <w:sz w:val="21"/>
        </w:rPr>
        <w:t>。</w:t>
      </w:r>
      <w:r>
        <w:rPr>
          <w:spacing w:val="-3"/>
          <w:sz w:val="21"/>
        </w:rPr>
        <w:t>神</w:t>
      </w:r>
      <w:r>
        <w:rPr>
          <w:sz w:val="21"/>
        </w:rPr>
        <w:t>经系</w:t>
      </w:r>
      <w:r>
        <w:rPr>
          <w:spacing w:val="-3"/>
          <w:sz w:val="21"/>
        </w:rPr>
        <w:t>统</w:t>
      </w:r>
      <w:r>
        <w:rPr>
          <w:sz w:val="21"/>
        </w:rPr>
        <w:t>永</w:t>
      </w:r>
      <w:r>
        <w:rPr>
          <w:spacing w:val="-3"/>
          <w:sz w:val="21"/>
        </w:rPr>
        <w:t>久性</w:t>
      </w:r>
      <w:r>
        <w:rPr>
          <w:sz w:val="21"/>
        </w:rPr>
        <w:t>的功</w:t>
      </w:r>
      <w:r>
        <w:rPr>
          <w:spacing w:val="-3"/>
          <w:sz w:val="21"/>
        </w:rPr>
        <w:t>能</w:t>
      </w:r>
      <w:r>
        <w:rPr>
          <w:sz w:val="21"/>
        </w:rPr>
        <w:t>障</w:t>
      </w:r>
      <w:r>
        <w:rPr>
          <w:spacing w:val="-3"/>
          <w:sz w:val="21"/>
        </w:rPr>
        <w:t>碍</w:t>
      </w:r>
      <w:r>
        <w:rPr>
          <w:spacing w:val="-5"/>
          <w:sz w:val="21"/>
        </w:rPr>
        <w:t>，</w:t>
      </w:r>
      <w:r>
        <w:rPr>
          <w:sz w:val="21"/>
        </w:rPr>
        <w:t>指</w:t>
      </w:r>
      <w:r>
        <w:rPr>
          <w:spacing w:val="-3"/>
          <w:sz w:val="21"/>
        </w:rPr>
        <w:t>脑损</w:t>
      </w:r>
      <w:r>
        <w:rPr>
          <w:sz w:val="21"/>
        </w:rPr>
        <w:t>伤</w:t>
      </w:r>
      <w:r>
        <w:rPr>
          <w:spacing w:val="-23"/>
          <w:sz w:val="21"/>
        </w:rPr>
        <w:t> </w:t>
      </w:r>
      <w:r>
        <w:rPr>
          <w:rFonts w:ascii="Times New Roman" w:eastAsia="Times New Roman"/>
          <w:sz w:val="21"/>
        </w:rPr>
        <w:t>180 </w:t>
      </w:r>
      <w:r>
        <w:rPr>
          <w:sz w:val="21"/>
        </w:rPr>
        <w:t>天后</w:t>
      </w:r>
      <w:r>
        <w:rPr>
          <w:spacing w:val="-3"/>
          <w:sz w:val="21"/>
        </w:rPr>
        <w:t>，</w:t>
      </w:r>
      <w:r>
        <w:rPr>
          <w:sz w:val="21"/>
        </w:rPr>
        <w:t>仍</w:t>
      </w:r>
      <w:r>
        <w:rPr>
          <w:spacing w:val="-3"/>
          <w:sz w:val="21"/>
        </w:rPr>
        <w:t>遗</w:t>
      </w:r>
      <w:r>
        <w:rPr>
          <w:sz w:val="21"/>
        </w:rPr>
        <w:t>留</w:t>
      </w:r>
      <w:r>
        <w:rPr>
          <w:spacing w:val="-3"/>
          <w:sz w:val="21"/>
        </w:rPr>
        <w:t>下</w:t>
      </w:r>
      <w:r>
        <w:rPr>
          <w:sz w:val="21"/>
        </w:rPr>
        <w:t>列</w:t>
      </w:r>
      <w:r>
        <w:rPr>
          <w:spacing w:val="-3"/>
          <w:sz w:val="21"/>
        </w:rPr>
        <w:t>一</w:t>
      </w:r>
      <w:r>
        <w:rPr>
          <w:sz w:val="21"/>
        </w:rPr>
        <w:t>种</w:t>
      </w:r>
      <w:r>
        <w:rPr>
          <w:spacing w:val="-3"/>
          <w:sz w:val="21"/>
        </w:rPr>
        <w:t>或</w:t>
      </w:r>
      <w:r>
        <w:rPr>
          <w:sz w:val="21"/>
        </w:rPr>
        <w:t>一种</w:t>
      </w:r>
      <w:r>
        <w:rPr>
          <w:spacing w:val="-3"/>
          <w:sz w:val="21"/>
        </w:rPr>
        <w:t>以</w:t>
      </w:r>
      <w:r>
        <w:rPr>
          <w:sz w:val="21"/>
        </w:rPr>
        <w:t>上</w:t>
      </w:r>
      <w:r>
        <w:rPr>
          <w:spacing w:val="-3"/>
          <w:sz w:val="21"/>
        </w:rPr>
        <w:t>障</w:t>
      </w:r>
      <w:r>
        <w:rPr>
          <w:sz w:val="21"/>
        </w:rPr>
        <w:t>碍：</w:t>
      </w:r>
    </w:p>
    <w:p>
      <w:pPr>
        <w:pStyle w:val="BodyText"/>
        <w:spacing w:before="22"/>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5"/>
        </w:numPr>
        <w:tabs>
          <w:tab w:pos="488" w:val="left" w:leader="none"/>
        </w:tabs>
        <w:spacing w:line="256" w:lineRule="auto" w:before="12" w:after="0"/>
        <w:ind w:left="3003" w:right="117" w:hanging="2886"/>
        <w:jc w:val="both"/>
        <w:rPr>
          <w:sz w:val="21"/>
        </w:rPr>
      </w:pPr>
      <w:r>
        <w:rPr>
          <w:spacing w:val="-1"/>
          <w:sz w:val="21"/>
        </w:rPr>
        <w:t>严重帕金森病          </w:t>
      </w:r>
      <w:r>
        <w:rPr>
          <w:spacing w:val="-34"/>
          <w:position w:val="1"/>
          <w:sz w:val="21"/>
        </w:rPr>
        <w:t>：</w:t>
      </w:r>
      <w:r>
        <w:rPr>
          <w:sz w:val="21"/>
        </w:rPr>
        <w:t>是一种中枢神经系统的退行性疾病，临床表现为震颤麻痹、共济失调等。须</w:t>
      </w:r>
      <w:r>
        <w:rPr>
          <w:spacing w:val="-3"/>
          <w:sz w:val="21"/>
        </w:rPr>
        <w:t>满足下列全部条件：</w:t>
      </w:r>
    </w:p>
    <w:p>
      <w:pPr>
        <w:pStyle w:val="BodyText"/>
        <w:spacing w:before="22"/>
        <w:ind w:left="3003"/>
      </w:pPr>
      <w:r>
        <w:rPr/>
        <w:t>（</w:t>
      </w:r>
      <w:r>
        <w:rPr>
          <w:rFonts w:ascii="Times New Roman" w:eastAsia="Times New Roman"/>
        </w:rPr>
        <w:t>1</w:t>
      </w:r>
      <w:r>
        <w:rPr/>
        <w:t>）药物治疗无法控制病情；</w:t>
      </w:r>
    </w:p>
    <w:p>
      <w:pPr>
        <w:pStyle w:val="BodyText"/>
        <w:spacing w:line="256" w:lineRule="auto" w:before="21"/>
        <w:ind w:left="3003" w:right="110"/>
      </w:pPr>
      <w:r>
        <w:rPr/>
        <w:t>（</w:t>
      </w:r>
      <w:r>
        <w:rPr>
          <w:rFonts w:ascii="Times New Roman" w:eastAsia="Times New Roman"/>
        </w:rPr>
        <w:t>2</w:t>
      </w:r>
      <w:r>
        <w:rPr/>
        <w:t>）自主生活能力完全丧失，无法独立完成六项基本日常生活活动中的三项或三项以上。</w:t>
      </w:r>
    </w:p>
    <w:p>
      <w:pPr>
        <w:spacing w:before="22"/>
        <w:ind w:left="3003" w:right="0" w:firstLine="0"/>
        <w:jc w:val="left"/>
        <w:rPr>
          <w:b/>
          <w:sz w:val="21"/>
        </w:rPr>
      </w:pPr>
      <w:r>
        <w:rPr>
          <w:b/>
          <w:sz w:val="21"/>
        </w:rPr>
        <w:t>继发性帕金森综合征不在保障范围内。</w:t>
      </w:r>
    </w:p>
    <w:p>
      <w:pPr>
        <w:pStyle w:val="ListParagraph"/>
        <w:numPr>
          <w:ilvl w:val="0"/>
          <w:numId w:val="5"/>
        </w:numPr>
        <w:tabs>
          <w:tab w:pos="488" w:val="left" w:leader="none"/>
          <w:tab w:pos="2825" w:val="left" w:leader="none"/>
        </w:tabs>
        <w:spacing w:line="256" w:lineRule="auto" w:before="27" w:after="0"/>
        <w:ind w:left="3003" w:right="215" w:hanging="2886"/>
        <w:jc w:val="left"/>
        <w:rPr>
          <w:sz w:val="21"/>
        </w:rPr>
      </w:pPr>
      <w:r>
        <w:rPr>
          <w:spacing w:val="-3"/>
          <w:sz w:val="21"/>
        </w:rPr>
        <w:t>严</w:t>
      </w:r>
      <w:r>
        <w:rPr>
          <w:sz w:val="21"/>
        </w:rPr>
        <w:t>重</w:t>
      </w:r>
      <w:r>
        <w:rPr>
          <w:spacing w:val="-3"/>
          <w:sz w:val="21"/>
        </w:rPr>
        <w:t>Ⅲ</w:t>
      </w:r>
      <w:r>
        <w:rPr>
          <w:sz w:val="21"/>
        </w:rPr>
        <w:t>度</w:t>
      </w:r>
      <w:r>
        <w:rPr>
          <w:spacing w:val="-3"/>
          <w:sz w:val="21"/>
        </w:rPr>
        <w:t>烧</w:t>
      </w:r>
      <w:r>
        <w:rPr>
          <w:sz w:val="21"/>
        </w:rPr>
        <w:t>伤</w:t>
        <w:tab/>
      </w:r>
      <w:r>
        <w:rPr>
          <w:spacing w:val="-34"/>
          <w:position w:val="1"/>
          <w:sz w:val="21"/>
        </w:rPr>
        <w:t>：</w:t>
      </w:r>
      <w:r>
        <w:rPr>
          <w:sz w:val="21"/>
        </w:rPr>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108"/>
          <w:sz w:val="21"/>
        </w:rPr>
        <w:t>，</w:t>
      </w:r>
      <w:r>
        <w:rPr>
          <w:sz w:val="21"/>
        </w:rPr>
        <w:t>且</w:t>
      </w:r>
      <w:r>
        <w:rPr>
          <w:spacing w:val="-3"/>
          <w:sz w:val="21"/>
        </w:rPr>
        <w:t>Ⅲ度</w:t>
      </w:r>
      <w:r>
        <w:rPr>
          <w:sz w:val="21"/>
        </w:rPr>
        <w:t>烧伤</w:t>
      </w:r>
      <w:r>
        <w:rPr>
          <w:spacing w:val="-3"/>
          <w:sz w:val="21"/>
        </w:rPr>
        <w:t>的</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面积的</w:t>
      </w:r>
      <w:r>
        <w:rPr>
          <w:spacing w:val="-44"/>
          <w:sz w:val="21"/>
        </w:rPr>
        <w:t> </w:t>
      </w:r>
      <w:r>
        <w:rPr>
          <w:rFonts w:ascii="Times New Roman" w:hAnsi="Times New Roman" w:eastAsia="Times New Roman"/>
          <w:sz w:val="21"/>
        </w:rPr>
        <w:t>20</w:t>
      </w:r>
      <w:r>
        <w:rPr>
          <w:sz w:val="21"/>
        </w:rPr>
        <w:t>％或</w:t>
      </w:r>
      <w:r>
        <w:rPr>
          <w:spacing w:val="-40"/>
          <w:sz w:val="21"/>
        </w:rPr>
        <w:t> </w:t>
      </w:r>
      <w:r>
        <w:rPr>
          <w:rFonts w:ascii="Times New Roman" w:hAnsi="Times New Roman" w:eastAsia="Times New Roman"/>
          <w:sz w:val="21"/>
        </w:rPr>
        <w:t>20</w:t>
      </w:r>
      <w:r>
        <w:rPr>
          <w:sz w:val="21"/>
        </w:rPr>
        <w:t>％</w:t>
      </w:r>
      <w:r>
        <w:rPr>
          <w:spacing w:val="-3"/>
          <w:sz w:val="21"/>
        </w:rPr>
        <w:t>以</w:t>
      </w:r>
      <w:r>
        <w:rPr>
          <w:sz w:val="21"/>
        </w:rPr>
        <w:t>上体表</w:t>
      </w:r>
      <w:r>
        <w:rPr>
          <w:spacing w:val="-3"/>
          <w:sz w:val="21"/>
        </w:rPr>
        <w:t>面</w:t>
      </w:r>
      <w:r>
        <w:rPr>
          <w:sz w:val="21"/>
        </w:rPr>
        <w:t>积</w:t>
      </w:r>
      <w:r>
        <w:rPr>
          <w:spacing w:val="-3"/>
          <w:sz w:val="21"/>
        </w:rPr>
        <w:t>根</w:t>
      </w:r>
      <w:r>
        <w:rPr>
          <w:sz w:val="21"/>
        </w:rPr>
        <w:t>据</w:t>
      </w:r>
      <w:r>
        <w:rPr>
          <w:spacing w:val="-3"/>
          <w:sz w:val="21"/>
        </w:rPr>
        <w:t>《</w:t>
      </w:r>
      <w:r>
        <w:rPr>
          <w:sz w:val="21"/>
        </w:rPr>
        <w:t>中</w:t>
      </w:r>
      <w:r>
        <w:rPr>
          <w:spacing w:val="-3"/>
          <w:sz w:val="21"/>
        </w:rPr>
        <w:t>国</w:t>
      </w:r>
      <w:r>
        <w:rPr>
          <w:sz w:val="21"/>
        </w:rPr>
        <w:t>新</w:t>
      </w:r>
      <w:r>
        <w:rPr>
          <w:spacing w:val="-3"/>
          <w:sz w:val="21"/>
        </w:rPr>
        <w:t>九</w:t>
      </w:r>
      <w:r>
        <w:rPr>
          <w:sz w:val="21"/>
        </w:rPr>
        <w:t>分法</w:t>
      </w:r>
      <w:r>
        <w:rPr>
          <w:spacing w:val="-3"/>
          <w:sz w:val="21"/>
        </w:rPr>
        <w:t>》</w:t>
      </w:r>
      <w:r>
        <w:rPr>
          <w:sz w:val="21"/>
        </w:rPr>
        <w:t>计</w:t>
      </w:r>
      <w:r>
        <w:rPr>
          <w:spacing w:val="-3"/>
          <w:sz w:val="21"/>
        </w:rPr>
        <w:t>算</w:t>
      </w:r>
      <w:r>
        <w:rPr>
          <w:sz w:val="21"/>
        </w:rPr>
        <w:t>。</w:t>
      </w:r>
    </w:p>
    <w:p>
      <w:pPr>
        <w:pStyle w:val="ListParagraph"/>
        <w:numPr>
          <w:ilvl w:val="0"/>
          <w:numId w:val="5"/>
        </w:numPr>
        <w:tabs>
          <w:tab w:pos="488" w:val="left" w:leader="none"/>
        </w:tabs>
        <w:spacing w:line="264" w:lineRule="auto" w:before="12" w:after="0"/>
        <w:ind w:left="3003" w:right="120" w:hanging="2886"/>
        <w:jc w:val="both"/>
        <w:rPr>
          <w:sz w:val="21"/>
        </w:rPr>
      </w:pPr>
      <w:r>
        <w:rPr>
          <w:spacing w:val="-2"/>
          <w:sz w:val="21"/>
        </w:rPr>
        <w:t>严重原发性肺动脉高压  </w:t>
      </w:r>
      <w:r>
        <w:rPr>
          <w:spacing w:val="-34"/>
          <w:position w:val="1"/>
          <w:sz w:val="21"/>
        </w:rPr>
        <w:t>：</w:t>
      </w:r>
      <w:r>
        <w:rPr>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rFonts w:ascii="Times New Roman" w:eastAsia="Times New Roman"/>
          <w:sz w:val="21"/>
        </w:rPr>
        <w:t>IV</w:t>
      </w:r>
      <w:r>
        <w:rPr>
          <w:rFonts w:ascii="Times New Roman" w:eastAsia="Times New Roman"/>
          <w:spacing w:val="2"/>
          <w:sz w:val="21"/>
        </w:rPr>
        <w:t>  </w:t>
      </w:r>
      <w:r>
        <w:rPr>
          <w:spacing w:val="-6"/>
          <w:sz w:val="21"/>
        </w:rPr>
        <w:t>级，且静息状态下肺动脉平均压超过 </w:t>
      </w:r>
      <w:r>
        <w:rPr>
          <w:rFonts w:ascii="Times New Roman" w:eastAsia="Times New Roman"/>
          <w:spacing w:val="-2"/>
          <w:sz w:val="21"/>
        </w:rPr>
        <w:t>30mmHg</w:t>
      </w:r>
      <w:r>
        <w:rPr>
          <w:sz w:val="21"/>
        </w:rPr>
        <w:t>。</w:t>
      </w:r>
    </w:p>
    <w:p>
      <w:pPr>
        <w:pStyle w:val="ListParagraph"/>
        <w:numPr>
          <w:ilvl w:val="0"/>
          <w:numId w:val="5"/>
        </w:numPr>
        <w:tabs>
          <w:tab w:pos="488" w:val="left" w:leader="none"/>
          <w:tab w:pos="2825" w:val="left" w:leader="none"/>
        </w:tabs>
        <w:spacing w:line="266" w:lineRule="auto" w:before="0" w:after="0"/>
        <w:ind w:left="3003" w:right="120" w:hanging="2886"/>
        <w:jc w:val="left"/>
        <w:rPr>
          <w:sz w:val="21"/>
        </w:rPr>
      </w:pPr>
      <w:r>
        <w:rPr>
          <w:spacing w:val="-3"/>
          <w:sz w:val="21"/>
        </w:rPr>
        <w:t>严</w:t>
      </w:r>
      <w:r>
        <w:rPr>
          <w:sz w:val="21"/>
        </w:rPr>
        <w:t>重</w:t>
      </w:r>
      <w:r>
        <w:rPr>
          <w:spacing w:val="-3"/>
          <w:sz w:val="21"/>
        </w:rPr>
        <w:t>运</w:t>
      </w:r>
      <w:r>
        <w:rPr>
          <w:sz w:val="21"/>
        </w:rPr>
        <w:t>动</w:t>
      </w:r>
      <w:r>
        <w:rPr>
          <w:spacing w:val="-3"/>
          <w:sz w:val="21"/>
        </w:rPr>
        <w:t>神</w:t>
      </w:r>
      <w:r>
        <w:rPr>
          <w:sz w:val="21"/>
        </w:rPr>
        <w:t>经</w:t>
      </w:r>
      <w:r>
        <w:rPr>
          <w:spacing w:val="-3"/>
          <w:sz w:val="21"/>
        </w:rPr>
        <w:t>元</w:t>
      </w:r>
      <w:r>
        <w:rPr>
          <w:sz w:val="21"/>
        </w:rPr>
        <w:t>病</w:t>
        <w:tab/>
      </w:r>
      <w:r>
        <w:rPr>
          <w:spacing w:val="-34"/>
          <w:position w:val="1"/>
          <w:sz w:val="21"/>
        </w:rPr>
        <w:t>：</w:t>
      </w:r>
      <w:r>
        <w:rPr>
          <w:sz w:val="21"/>
        </w:rPr>
        <w:t>是一</w:t>
      </w:r>
      <w:r>
        <w:rPr>
          <w:spacing w:val="-3"/>
          <w:sz w:val="21"/>
        </w:rPr>
        <w:t>组</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运</w:t>
      </w:r>
      <w:r>
        <w:rPr>
          <w:spacing w:val="-3"/>
          <w:sz w:val="21"/>
        </w:rPr>
        <w:t>动</w:t>
      </w:r>
      <w:r>
        <w:rPr>
          <w:sz w:val="21"/>
        </w:rPr>
        <w:t>神经</w:t>
      </w:r>
      <w:r>
        <w:rPr>
          <w:spacing w:val="-3"/>
          <w:sz w:val="21"/>
        </w:rPr>
        <w:t>元</w:t>
      </w:r>
      <w:r>
        <w:rPr>
          <w:sz w:val="21"/>
        </w:rPr>
        <w:t>的</w:t>
      </w:r>
      <w:r>
        <w:rPr>
          <w:spacing w:val="-3"/>
          <w:sz w:val="21"/>
        </w:rPr>
        <w:t>进</w:t>
      </w:r>
      <w:r>
        <w:rPr>
          <w:sz w:val="21"/>
        </w:rPr>
        <w:t>行</w:t>
      </w:r>
      <w:r>
        <w:rPr>
          <w:spacing w:val="-3"/>
          <w:sz w:val="21"/>
        </w:rPr>
        <w:t>性</w:t>
      </w:r>
      <w:r>
        <w:rPr>
          <w:sz w:val="21"/>
        </w:rPr>
        <w:t>变</w:t>
      </w:r>
      <w:r>
        <w:rPr>
          <w:spacing w:val="-3"/>
          <w:sz w:val="21"/>
        </w:rPr>
        <w:t>性</w:t>
      </w:r>
      <w:r>
        <w:rPr>
          <w:sz w:val="21"/>
        </w:rPr>
        <w:t>疾</w:t>
      </w:r>
      <w:r>
        <w:rPr>
          <w:spacing w:val="-3"/>
          <w:sz w:val="21"/>
        </w:rPr>
        <w:t>病</w:t>
      </w:r>
      <w:r>
        <w:rPr>
          <w:spacing w:val="-10"/>
          <w:sz w:val="21"/>
        </w:rPr>
        <w:t>，</w:t>
      </w:r>
      <w:r>
        <w:rPr>
          <w:sz w:val="21"/>
        </w:rPr>
        <w:t>包</w:t>
      </w:r>
      <w:r>
        <w:rPr>
          <w:spacing w:val="-3"/>
          <w:sz w:val="21"/>
        </w:rPr>
        <w:t>括</w:t>
      </w:r>
      <w:r>
        <w:rPr>
          <w:sz w:val="21"/>
        </w:rPr>
        <w:t>进</w:t>
      </w:r>
      <w:r>
        <w:rPr>
          <w:spacing w:val="-3"/>
          <w:sz w:val="21"/>
        </w:rPr>
        <w:t>行</w:t>
      </w:r>
      <w:r>
        <w:rPr>
          <w:sz w:val="21"/>
        </w:rPr>
        <w:t>性</w:t>
      </w:r>
      <w:r>
        <w:rPr>
          <w:spacing w:val="-3"/>
          <w:sz w:val="21"/>
        </w:rPr>
        <w:t>脊</w:t>
      </w:r>
      <w:r>
        <w:rPr>
          <w:sz w:val="21"/>
        </w:rPr>
        <w:t>肌</w:t>
      </w:r>
      <w:r>
        <w:rPr>
          <w:spacing w:val="-3"/>
          <w:sz w:val="21"/>
        </w:rPr>
        <w:t>萎</w:t>
      </w:r>
      <w:r>
        <w:rPr>
          <w:sz w:val="21"/>
        </w:rPr>
        <w:t>缩症 进行性延髓麻痹症、原发性侧索硬化症、肌萎缩性侧索硬化症。须满足自主生活能力完全丧失，无法独立完成六项基本日常生活活动中的三项或三项以上的</w:t>
      </w:r>
      <w:r>
        <w:rPr>
          <w:spacing w:val="-3"/>
          <w:sz w:val="21"/>
        </w:rPr>
        <w:t>条</w:t>
      </w:r>
      <w:r>
        <w:rPr>
          <w:sz w:val="21"/>
        </w:rPr>
        <w:t>件。</w:t>
      </w:r>
    </w:p>
    <w:p>
      <w:pPr>
        <w:pStyle w:val="ListParagraph"/>
        <w:numPr>
          <w:ilvl w:val="0"/>
          <w:numId w:val="5"/>
        </w:numPr>
        <w:tabs>
          <w:tab w:pos="488" w:val="left" w:leader="none"/>
        </w:tabs>
        <w:spacing w:line="256" w:lineRule="auto" w:before="16" w:after="0"/>
        <w:ind w:left="3003" w:right="109" w:hanging="2886"/>
        <w:jc w:val="both"/>
        <w:rPr>
          <w:sz w:val="21"/>
        </w:rPr>
      </w:pPr>
      <w:r>
        <w:rPr>
          <w:spacing w:val="6"/>
          <w:sz w:val="21"/>
        </w:rPr>
        <w:t>语言能力丧失 </w:t>
      </w:r>
      <w:r>
        <w:rPr>
          <w:spacing w:val="-34"/>
          <w:position w:val="1"/>
          <w:sz w:val="21"/>
        </w:rPr>
        <w:t>：</w:t>
      </w:r>
      <w:r>
        <w:rPr>
          <w:spacing w:val="-6"/>
          <w:sz w:val="21"/>
        </w:rPr>
        <w:t>指因疾病或意外伤害导致完全丧失语言能力，经过积极治疗至少 </w:t>
      </w:r>
      <w:r>
        <w:rPr>
          <w:rFonts w:ascii="Times New Roman" w:eastAsia="Times New Roman"/>
          <w:sz w:val="21"/>
        </w:rPr>
        <w:t>12</w:t>
      </w:r>
      <w:r>
        <w:rPr>
          <w:rFonts w:ascii="Times New Roman" w:eastAsia="Times New Roman"/>
          <w:spacing w:val="0"/>
          <w:sz w:val="21"/>
        </w:rPr>
        <w:t> </w:t>
      </w:r>
      <w:r>
        <w:rPr>
          <w:spacing w:val="-4"/>
          <w:sz w:val="21"/>
        </w:rPr>
        <w:t>个月</w:t>
      </w:r>
      <w:r>
        <w:rPr>
          <w:spacing w:val="-3"/>
          <w:sz w:val="21"/>
        </w:rPr>
        <w:t>（</w:t>
      </w:r>
      <w:r>
        <w:rPr>
          <w:sz w:val="21"/>
        </w:rPr>
        <w:t>声</w:t>
      </w:r>
      <w:r>
        <w:rPr>
          <w:spacing w:val="-1"/>
          <w:w w:val="100"/>
          <w:sz w:val="21"/>
        </w:rPr>
        <w:t>带完全切</w:t>
      </w:r>
      <w:r>
        <w:rPr>
          <w:spacing w:val="-3"/>
          <w:w w:val="100"/>
          <w:sz w:val="21"/>
        </w:rPr>
        <w:t>除不受此时间限制</w:t>
      </w:r>
      <w:r>
        <w:rPr>
          <w:spacing w:val="-106"/>
          <w:w w:val="100"/>
          <w:sz w:val="21"/>
        </w:rPr>
        <w:t>）</w:t>
      </w:r>
      <w:r>
        <w:rPr>
          <w:spacing w:val="-3"/>
          <w:w w:val="100"/>
          <w:sz w:val="21"/>
        </w:rPr>
        <w:t>，仍无法通过现有医疗手段恢复。</w:t>
      </w:r>
    </w:p>
    <w:p>
      <w:pPr>
        <w:spacing w:before="22"/>
        <w:ind w:left="3003" w:right="0" w:firstLine="0"/>
        <w:jc w:val="left"/>
        <w:rPr>
          <w:b/>
          <w:sz w:val="21"/>
        </w:rPr>
      </w:pPr>
      <w:r>
        <w:rPr>
          <w:b/>
          <w:sz w:val="21"/>
        </w:rPr>
        <w:t>精神心理因素所致的语言能力丧失不在保障范围内。</w:t>
      </w:r>
    </w:p>
    <w:p>
      <w:pPr>
        <w:spacing w:line="273" w:lineRule="auto" w:before="37"/>
        <w:ind w:left="3003" w:right="112" w:firstLine="0"/>
        <w:jc w:val="left"/>
        <w:rPr>
          <w:sz w:val="21"/>
        </w:rPr>
      </w:pPr>
      <w:r>
        <w:rPr>
          <w:b/>
          <w:sz w:val="21"/>
        </w:rPr>
        <w:t>被保险人申请理赔时年龄必须在三周岁以上，</w:t>
      </w:r>
      <w:r>
        <w:rPr>
          <w:sz w:val="21"/>
        </w:rPr>
        <w:t>并且提供理赔当时的语言能力丧失诊断及检查证据。</w:t>
      </w:r>
    </w:p>
    <w:p>
      <w:pPr>
        <w:pStyle w:val="ListParagraph"/>
        <w:numPr>
          <w:ilvl w:val="0"/>
          <w:numId w:val="5"/>
        </w:numPr>
        <w:tabs>
          <w:tab w:pos="488" w:val="left" w:leader="none"/>
        </w:tabs>
        <w:spacing w:line="256" w:lineRule="auto" w:before="0" w:after="0"/>
        <w:ind w:left="3003" w:right="120" w:hanging="2886"/>
        <w:jc w:val="both"/>
        <w:rPr>
          <w:sz w:val="21"/>
        </w:rPr>
      </w:pPr>
      <w:r>
        <w:rPr>
          <w:spacing w:val="-2"/>
          <w:sz w:val="21"/>
        </w:rPr>
        <w:t>重型再生障碍性贫血    </w:t>
      </w:r>
      <w:r>
        <w:rPr>
          <w:spacing w:val="-34"/>
          <w:position w:val="1"/>
          <w:sz w:val="21"/>
        </w:rPr>
        <w:t>：</w:t>
      </w:r>
      <w:r>
        <w:rPr>
          <w:sz w:val="21"/>
        </w:rPr>
        <w:t>指因骨髓造血功能慢性持续性衰竭导致的贫血、中性粒细胞减少及血小板减</w:t>
      </w:r>
      <w:r>
        <w:rPr>
          <w:spacing w:val="-3"/>
          <w:sz w:val="21"/>
        </w:rPr>
        <w:t>少。须满足下列全部条件：</w:t>
      </w:r>
    </w:p>
    <w:p>
      <w:pPr>
        <w:pStyle w:val="BodyText"/>
        <w:spacing w:before="25"/>
        <w:ind w:left="3003"/>
      </w:pPr>
      <w:r>
        <w:rPr/>
        <w:t>（</w:t>
      </w:r>
      <w:r>
        <w:rPr>
          <w:rFonts w:ascii="Times New Roman" w:eastAsia="Times New Roman"/>
        </w:rPr>
        <w:t>1</w:t>
      </w:r>
      <w:r>
        <w:rPr/>
        <w:t>）骨髓穿刺检查或骨髓活检结果支持诊断；</w:t>
      </w:r>
    </w:p>
    <w:p>
      <w:pPr>
        <w:spacing w:after="0"/>
        <w:sectPr>
          <w:pgSz w:w="11910" w:h="16160"/>
          <w:pgMar w:header="0" w:footer="686" w:top="1340" w:bottom="900" w:left="960" w:right="800"/>
        </w:sectPr>
      </w:pPr>
    </w:p>
    <w:p>
      <w:pPr>
        <w:pStyle w:val="BodyText"/>
        <w:spacing w:before="27"/>
        <w:ind w:right="669"/>
        <w:jc w:val="center"/>
      </w:pPr>
      <w:r>
        <w:rPr/>
        <w:t>（</w:t>
      </w:r>
      <w:r>
        <w:rPr>
          <w:rFonts w:ascii="Times New Roman" w:eastAsia="Times New Roman"/>
        </w:rPr>
        <w:t>2</w:t>
      </w:r>
      <w:r>
        <w:rPr/>
        <w:t>）外周血象须具备以下三项条件：</w:t>
      </w:r>
    </w:p>
    <w:p>
      <w:pPr>
        <w:pStyle w:val="BodyText"/>
        <w:spacing w:before="21"/>
        <w:ind w:right="30"/>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21"/>
        <w:ind w:right="1230"/>
        <w:jc w:val="center"/>
      </w:pPr>
      <w:r>
        <w:rPr/>
        <w:t>② 网织红细胞＜</w:t>
      </w:r>
      <w:r>
        <w:rPr>
          <w:rFonts w:ascii="Times New Roman" w:hAnsi="Times New Roman" w:eastAsia="Times New Roman"/>
        </w:rPr>
        <w:t>1%</w:t>
      </w:r>
      <w:r>
        <w:rPr/>
        <w:t>；</w:t>
      </w:r>
    </w:p>
    <w:p>
      <w:pPr>
        <w:pStyle w:val="BodyText"/>
        <w:spacing w:before="21"/>
        <w:ind w:right="604"/>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5"/>
        </w:numPr>
        <w:tabs>
          <w:tab w:pos="488" w:val="left" w:leader="none"/>
          <w:tab w:pos="2825" w:val="left" w:leader="none"/>
        </w:tabs>
        <w:spacing w:line="264" w:lineRule="auto" w:before="11" w:after="0"/>
        <w:ind w:left="3003" w:right="117" w:hanging="2886"/>
        <w:jc w:val="both"/>
        <w:rPr>
          <w:sz w:val="21"/>
        </w:rPr>
      </w:pPr>
      <w:r>
        <w:rPr>
          <w:spacing w:val="-3"/>
          <w:sz w:val="21"/>
        </w:rPr>
        <w:t>主</w:t>
      </w:r>
      <w:r>
        <w:rPr>
          <w:sz w:val="21"/>
        </w:rPr>
        <w:t>动</w:t>
      </w:r>
      <w:r>
        <w:rPr>
          <w:spacing w:val="-3"/>
          <w:sz w:val="21"/>
        </w:rPr>
        <w:t>脉</w:t>
      </w:r>
      <w:r>
        <w:rPr>
          <w:sz w:val="21"/>
        </w:rPr>
        <w:t>手术</w:t>
        <w:tab/>
      </w:r>
      <w:r>
        <w:rPr>
          <w:spacing w:val="-34"/>
          <w:position w:val="1"/>
          <w:sz w:val="21"/>
        </w:rPr>
        <w:t>：</w:t>
      </w:r>
      <w:r>
        <w:rPr>
          <w:sz w:val="21"/>
        </w:rPr>
        <w:t>指为治疗主动脉疾病，实际实施了开胸或开腹进行的切除、置换、修补病损 主动脉血管的手术。主动脉</w:t>
      </w:r>
      <w:r>
        <w:rPr>
          <w:spacing w:val="5"/>
          <w:sz w:val="21"/>
        </w:rPr>
        <w:t>指</w:t>
      </w:r>
      <w:r>
        <w:rPr>
          <w:sz w:val="21"/>
        </w:rPr>
        <w:t>胸主动脉和腹主动脉，不包括胸主动脉和腹主动脉</w:t>
      </w:r>
      <w:r>
        <w:rPr>
          <w:spacing w:val="-3"/>
          <w:sz w:val="21"/>
        </w:rPr>
        <w:t>的</w:t>
      </w:r>
      <w:r>
        <w:rPr>
          <w:sz w:val="21"/>
        </w:rPr>
        <w:t>分</w:t>
      </w:r>
      <w:r>
        <w:rPr>
          <w:spacing w:val="-3"/>
          <w:sz w:val="21"/>
        </w:rPr>
        <w:t>支</w:t>
      </w:r>
      <w:r>
        <w:rPr>
          <w:sz w:val="21"/>
        </w:rPr>
        <w:t>血</w:t>
      </w:r>
      <w:r>
        <w:rPr>
          <w:spacing w:val="-3"/>
          <w:sz w:val="21"/>
        </w:rPr>
        <w:t>管</w:t>
      </w:r>
      <w:r>
        <w:rPr>
          <w:sz w:val="21"/>
        </w:rPr>
        <w:t>。</w:t>
      </w:r>
    </w:p>
    <w:p>
      <w:pPr>
        <w:spacing w:before="16"/>
        <w:ind w:left="0" w:right="763" w:firstLine="0"/>
        <w:jc w:val="center"/>
        <w:rPr>
          <w:b/>
          <w:sz w:val="21"/>
        </w:rPr>
      </w:pPr>
      <w:r>
        <w:rPr>
          <w:b/>
          <w:sz w:val="21"/>
        </w:rPr>
        <w:t>动脉内血管成形术不在保障范围内。</w:t>
      </w:r>
    </w:p>
    <w:p>
      <w:pPr>
        <w:pStyle w:val="BodyText"/>
        <w:spacing w:before="37"/>
        <w:ind w:left="117"/>
      </w:pPr>
      <w:r>
        <w:rPr/>
        <w:t>（</w:t>
      </w:r>
      <w:r>
        <w:rPr>
          <w:rFonts w:ascii="Times New Roman" w:eastAsia="Times New Roman"/>
        </w:rPr>
        <w:t>26-35 </w:t>
      </w:r>
      <w:r>
        <w:rPr/>
        <w:t>为我们增加的疾病）</w:t>
      </w:r>
    </w:p>
    <w:p>
      <w:pPr>
        <w:pStyle w:val="ListParagraph"/>
        <w:numPr>
          <w:ilvl w:val="0"/>
          <w:numId w:val="5"/>
        </w:numPr>
        <w:tabs>
          <w:tab w:pos="488" w:val="left" w:leader="none"/>
        </w:tabs>
        <w:spacing w:line="261" w:lineRule="auto" w:before="40"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5"/>
        </w:numPr>
        <w:tabs>
          <w:tab w:pos="488" w:val="left" w:leader="none"/>
        </w:tabs>
        <w:spacing w:line="240" w:lineRule="auto" w:before="11" w:after="0"/>
        <w:ind w:left="3003"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1"/>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2"/>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3003"/>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1" w:after="17"/>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消防队员</w:t>
            </w:r>
          </w:p>
        </w:tc>
      </w:tr>
      <w:tr>
        <w:trPr>
          <w:trHeight w:val="311"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5"/>
        </w:numPr>
        <w:tabs>
          <w:tab w:pos="488" w:val="left" w:leader="none"/>
          <w:tab w:pos="2825" w:val="left" w:leader="none"/>
        </w:tabs>
        <w:spacing w:line="278" w:lineRule="exact" w:before="0" w:after="0"/>
        <w:ind w:left="3003"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ind w:left="3003"/>
      </w:pPr>
      <w:r>
        <w:rPr/>
        <w:t>确认并符合下列所有条件：</w:t>
      </w:r>
    </w:p>
    <w:p>
      <w:pPr>
        <w:pStyle w:val="BodyText"/>
        <w:spacing w:before="37"/>
        <w:ind w:left="3003"/>
      </w:pPr>
      <w:r>
        <w:rPr/>
        <w:t>（</w:t>
      </w:r>
      <w:r>
        <w:rPr>
          <w:rFonts w:ascii="Times New Roman" w:eastAsia="Times New Roman"/>
        </w:rPr>
        <w:t>1</w:t>
      </w:r>
      <w:r>
        <w:rPr/>
        <w:t>）休息时出现呼吸困难；</w:t>
      </w:r>
    </w:p>
    <w:p>
      <w:pPr>
        <w:pStyle w:val="BodyText"/>
        <w:spacing w:before="22"/>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5"/>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pgSz w:w="11910" w:h="16160"/>
          <w:pgMar w:header="0" w:footer="686" w:top="1340" w:bottom="900" w:left="960" w:right="800"/>
        </w:sectPr>
      </w:pPr>
    </w:p>
    <w:p>
      <w:pPr>
        <w:pStyle w:val="BodyText"/>
        <w:spacing w:before="21"/>
        <w:ind w:left="117"/>
      </w:pPr>
      <w:r>
        <w:rPr/>
        <w:t>心脏病</w:t>
      </w:r>
    </w:p>
    <w:p>
      <w:pPr>
        <w:pStyle w:val="BodyText"/>
        <w:spacing w:line="266" w:lineRule="auto" w:before="21"/>
        <w:ind w:left="117"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80" w:bottom="860" w:left="960" w:right="800"/>
          <w:cols w:num="2" w:equalWidth="0">
            <w:col w:w="752" w:space="2134"/>
            <w:col w:w="7264"/>
          </w:cols>
        </w:sectPr>
      </w:pPr>
    </w:p>
    <w:p>
      <w:pPr>
        <w:pStyle w:val="ListParagraph"/>
        <w:numPr>
          <w:ilvl w:val="0"/>
          <w:numId w:val="5"/>
        </w:numPr>
        <w:tabs>
          <w:tab w:pos="488" w:val="left" w:leader="none"/>
          <w:tab w:pos="2825" w:val="left" w:leader="none"/>
        </w:tabs>
        <w:spacing w:line="256" w:lineRule="auto" w:before="14" w:after="0"/>
        <w:ind w:left="3003" w:right="120" w:hanging="2886"/>
        <w:jc w:val="left"/>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w:t>
      </w:r>
    </w:p>
    <w:p>
      <w:pPr>
        <w:spacing w:after="0" w:line="256" w:lineRule="auto"/>
        <w:jc w:val="left"/>
        <w:rPr>
          <w:sz w:val="21"/>
        </w:rPr>
        <w:sectPr>
          <w:type w:val="continuous"/>
          <w:pgSz w:w="11910" w:h="16160"/>
          <w:pgMar w:top="580" w:bottom="860" w:left="960" w:right="800"/>
        </w:sectPr>
      </w:pPr>
    </w:p>
    <w:p>
      <w:pPr>
        <w:pStyle w:val="BodyText"/>
        <w:spacing w:line="264" w:lineRule="auto" w:before="7"/>
        <w:ind w:left="3003" w:right="112"/>
        <w:jc w:val="both"/>
      </w:pPr>
      <w:r>
        <w:rPr/>
        <w:t>成的神经系统功能损害导致被保险人一肢或一肢以上肢体机能永久完全丧失</w:t>
      </w:r>
      <w:r>
        <w:rPr>
          <w:spacing w:val="-5"/>
        </w:rPr>
        <w:t>的情况予以理赔。肢体机能永久完全丧失，指疾病确诊</w:t>
      </w:r>
      <w:r>
        <w:rPr>
          <w:rFonts w:ascii="Times New Roman" w:eastAsia="Times New Roman"/>
        </w:rPr>
        <w:t>180</w:t>
      </w:r>
      <w:r>
        <w:rPr>
          <w:spacing w:val="-3"/>
        </w:rPr>
        <w:t>天后，每肢三大关节中的两大关节仍然完全僵硬，或不能随意识活动。</w:t>
      </w:r>
    </w:p>
    <w:p>
      <w:pPr>
        <w:pStyle w:val="ListParagraph"/>
        <w:numPr>
          <w:ilvl w:val="0"/>
          <w:numId w:val="5"/>
        </w:numPr>
        <w:tabs>
          <w:tab w:pos="488" w:val="left" w:leader="none"/>
        </w:tabs>
        <w:spacing w:line="264" w:lineRule="auto" w:before="15"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5"/>
        <w:ind w:left="3003"/>
      </w:pPr>
      <w:r>
        <w:rPr/>
        <w:t>（</w:t>
      </w:r>
      <w:r>
        <w:rPr>
          <w:rFonts w:ascii="Times New Roman" w:eastAsia="Times New Roman"/>
        </w:rPr>
        <w:t>1</w:t>
      </w:r>
      <w:r>
        <w:rPr/>
        <w:t>）经药物治疗和胸腺切除治疗一年以上仍无法控制病情；</w:t>
      </w:r>
    </w:p>
    <w:p>
      <w:pPr>
        <w:pStyle w:val="BodyText"/>
        <w:spacing w:line="256" w:lineRule="auto" w:before="20"/>
        <w:ind w:left="3003" w:right="110"/>
        <w:jc w:val="both"/>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21"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w:t>
      </w:r>
      <w:r>
        <w:rPr>
          <w:spacing w:val="5"/>
          <w:sz w:val="21"/>
        </w:rPr>
        <w:t>性</w:t>
      </w:r>
      <w:r>
        <w:rPr>
          <w:sz w:val="21"/>
        </w:rPr>
        <w:t>心功能损害造成永久不可逆性的心功能衰竭。心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5"/>
        </w:numPr>
        <w:tabs>
          <w:tab w:pos="512" w:val="left" w:leader="none"/>
        </w:tabs>
        <w:spacing w:line="240" w:lineRule="auto" w:before="21"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0"/>
        <w:ind w:left="3003"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5"/>
        </w:numPr>
        <w:tabs>
          <w:tab w:pos="488" w:val="left" w:leader="none"/>
        </w:tabs>
        <w:spacing w:line="266" w:lineRule="auto" w:before="7" w:after="0"/>
        <w:ind w:left="3003" w:right="116"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spacing w:val="-3"/>
          <w:sz w:val="21"/>
        </w:rPr>
        <w:t>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5"/>
        </w:numPr>
        <w:tabs>
          <w:tab w:pos="488" w:val="left" w:leader="none"/>
          <w:tab w:pos="2825" w:val="left" w:leader="none"/>
        </w:tabs>
        <w:spacing w:line="266" w:lineRule="auto" w:before="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spacing w:before="11"/>
        <w:rPr>
          <w:sz w:val="23"/>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86" w:top="136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166.690002pt;margin-top:761.429871pt;width:270.05pt;height:13.7pt;mso-position-horizontal-relative:page;mso-position-vertical-relative:page;z-index:-16024"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66.690002pt;margin-top:761.429871pt;width:270.05pt;height:13.7pt;mso-position-horizontal-relative:page;mso-position-vertical-relative:page;z-index:-16000"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7</w:t>
                </w:r>
                <w:r>
                  <w:rPr/>
                  <w:fldChar w:fldCharType="end"/>
                </w:r>
                <w:r>
                  <w:rPr/>
                  <w:t>页，共</w:t>
                </w:r>
                <w:r>
                  <w:rPr>
                    <w:rFonts w:ascii="Times New Roman" w:eastAsia="Times New Roman"/>
                  </w:rPr>
                  <w:t>11</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4.020004pt;margin-top:761.429871pt;width:275.350pt;height:13.7pt;mso-position-horizontal-relative:page;mso-position-vertical-relative:page;z-index:-15976"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5"/>
      <w:numFmt w:val="decimal"/>
      <w:lvlText w:val="%1."/>
      <w:lvlJc w:val="left"/>
      <w:pPr>
        <w:ind w:left="3003"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371"/>
      </w:pPr>
      <w:rPr>
        <w:rFonts w:hint="default"/>
      </w:rPr>
    </w:lvl>
    <w:lvl w:ilvl="2">
      <w:start w:val="0"/>
      <w:numFmt w:val="bullet"/>
      <w:lvlText w:val="•"/>
      <w:lvlJc w:val="left"/>
      <w:pPr>
        <w:ind w:left="4429" w:hanging="371"/>
      </w:pPr>
      <w:rPr>
        <w:rFonts w:hint="default"/>
      </w:rPr>
    </w:lvl>
    <w:lvl w:ilvl="3">
      <w:start w:val="0"/>
      <w:numFmt w:val="bullet"/>
      <w:lvlText w:val="•"/>
      <w:lvlJc w:val="left"/>
      <w:pPr>
        <w:ind w:left="5143" w:hanging="371"/>
      </w:pPr>
      <w:rPr>
        <w:rFonts w:hint="default"/>
      </w:rPr>
    </w:lvl>
    <w:lvl w:ilvl="4">
      <w:start w:val="0"/>
      <w:numFmt w:val="bullet"/>
      <w:lvlText w:val="•"/>
      <w:lvlJc w:val="left"/>
      <w:pPr>
        <w:ind w:left="5858" w:hanging="371"/>
      </w:pPr>
      <w:rPr>
        <w:rFonts w:hint="default"/>
      </w:rPr>
    </w:lvl>
    <w:lvl w:ilvl="5">
      <w:start w:val="0"/>
      <w:numFmt w:val="bullet"/>
      <w:lvlText w:val="•"/>
      <w:lvlJc w:val="left"/>
      <w:pPr>
        <w:ind w:left="6573" w:hanging="371"/>
      </w:pPr>
      <w:rPr>
        <w:rFonts w:hint="default"/>
      </w:rPr>
    </w:lvl>
    <w:lvl w:ilvl="6">
      <w:start w:val="0"/>
      <w:numFmt w:val="bullet"/>
      <w:lvlText w:val="•"/>
      <w:lvlJc w:val="left"/>
      <w:pPr>
        <w:ind w:left="7287" w:hanging="371"/>
      </w:pPr>
      <w:rPr>
        <w:rFonts w:hint="default"/>
      </w:rPr>
    </w:lvl>
    <w:lvl w:ilvl="7">
      <w:start w:val="0"/>
      <w:numFmt w:val="bullet"/>
      <w:lvlText w:val="•"/>
      <w:lvlJc w:val="left"/>
      <w:pPr>
        <w:ind w:left="8002" w:hanging="371"/>
      </w:pPr>
      <w:rPr>
        <w:rFonts w:hint="default"/>
      </w:rPr>
    </w:lvl>
    <w:lvl w:ilvl="8">
      <w:start w:val="0"/>
      <w:numFmt w:val="bullet"/>
      <w:lvlText w:val="•"/>
      <w:lvlJc w:val="left"/>
      <w:pPr>
        <w:ind w:left="8717" w:hanging="371"/>
      </w:pPr>
      <w:rPr>
        <w:rFonts w:hint="default"/>
      </w:rPr>
    </w:lvl>
  </w:abstractNum>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540" w:hanging="265"/>
      </w:pPr>
      <w:rPr>
        <w:rFonts w:hint="default"/>
      </w:rPr>
    </w:lvl>
    <w:lvl w:ilvl="2">
      <w:start w:val="0"/>
      <w:numFmt w:val="bullet"/>
      <w:lvlText w:val="•"/>
      <w:lvlJc w:val="left"/>
      <w:pPr>
        <w:ind w:left="4274" w:hanging="265"/>
      </w:pPr>
      <w:rPr>
        <w:rFonts w:hint="default"/>
      </w:rPr>
    </w:lvl>
    <w:lvl w:ilvl="3">
      <w:start w:val="0"/>
      <w:numFmt w:val="bullet"/>
      <w:lvlText w:val="•"/>
      <w:lvlJc w:val="left"/>
      <w:pPr>
        <w:ind w:left="5008" w:hanging="265"/>
      </w:pPr>
      <w:rPr>
        <w:rFonts w:hint="default"/>
      </w:rPr>
    </w:lvl>
    <w:lvl w:ilvl="4">
      <w:start w:val="0"/>
      <w:numFmt w:val="bullet"/>
      <w:lvlText w:val="•"/>
      <w:lvlJc w:val="left"/>
      <w:pPr>
        <w:ind w:left="5742" w:hanging="265"/>
      </w:pPr>
      <w:rPr>
        <w:rFonts w:hint="default"/>
      </w:rPr>
    </w:lvl>
    <w:lvl w:ilvl="5">
      <w:start w:val="0"/>
      <w:numFmt w:val="bullet"/>
      <w:lvlText w:val="•"/>
      <w:lvlJc w:val="left"/>
      <w:pPr>
        <w:ind w:left="6476" w:hanging="265"/>
      </w:pPr>
      <w:rPr>
        <w:rFonts w:hint="default"/>
      </w:rPr>
    </w:lvl>
    <w:lvl w:ilvl="6">
      <w:start w:val="0"/>
      <w:numFmt w:val="bullet"/>
      <w:lvlText w:val="•"/>
      <w:lvlJc w:val="left"/>
      <w:pPr>
        <w:ind w:left="7210" w:hanging="265"/>
      </w:pPr>
      <w:rPr>
        <w:rFonts w:hint="default"/>
      </w:rPr>
    </w:lvl>
    <w:lvl w:ilvl="7">
      <w:start w:val="0"/>
      <w:numFmt w:val="bullet"/>
      <w:lvlText w:val="•"/>
      <w:lvlJc w:val="left"/>
      <w:pPr>
        <w:ind w:left="7944" w:hanging="265"/>
      </w:pPr>
      <w:rPr>
        <w:rFonts w:hint="default"/>
      </w:rPr>
    </w:lvl>
    <w:lvl w:ilvl="8">
      <w:start w:val="0"/>
      <w:numFmt w:val="bullet"/>
      <w:lvlText w:val="•"/>
      <w:lvlJc w:val="left"/>
      <w:pPr>
        <w:ind w:left="8678"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宋体" w:hAnsi="宋体" w:eastAsia="宋体" w:cs="宋体"/>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6" w:hanging="420"/>
      </w:pPr>
      <w:rPr>
        <w:rFonts w:hint="default"/>
      </w:rPr>
    </w:lvl>
    <w:lvl w:ilvl="2">
      <w:start w:val="0"/>
      <w:numFmt w:val="bullet"/>
      <w:lvlText w:val="•"/>
      <w:lvlJc w:val="left"/>
      <w:pPr>
        <w:ind w:left="3753" w:hanging="420"/>
      </w:pPr>
      <w:rPr>
        <w:rFonts w:hint="default"/>
      </w:rPr>
    </w:lvl>
    <w:lvl w:ilvl="3">
      <w:start w:val="0"/>
      <w:numFmt w:val="bullet"/>
      <w:lvlText w:val="•"/>
      <w:lvlJc w:val="left"/>
      <w:pPr>
        <w:ind w:left="4679" w:hanging="420"/>
      </w:pPr>
      <w:rPr>
        <w:rFonts w:hint="default"/>
      </w:rPr>
    </w:lvl>
    <w:lvl w:ilvl="4">
      <w:start w:val="0"/>
      <w:numFmt w:val="bullet"/>
      <w:lvlText w:val="•"/>
      <w:lvlJc w:val="left"/>
      <w:pPr>
        <w:ind w:left="5606" w:hanging="420"/>
      </w:pPr>
      <w:rPr>
        <w:rFonts w:hint="default"/>
      </w:rPr>
    </w:lvl>
    <w:lvl w:ilvl="5">
      <w:start w:val="0"/>
      <w:numFmt w:val="bullet"/>
      <w:lvlText w:val="•"/>
      <w:lvlJc w:val="left"/>
      <w:pPr>
        <w:ind w:left="6533" w:hanging="420"/>
      </w:pPr>
      <w:rPr>
        <w:rFonts w:hint="default"/>
      </w:rPr>
    </w:lvl>
    <w:lvl w:ilvl="6">
      <w:start w:val="0"/>
      <w:numFmt w:val="bullet"/>
      <w:lvlText w:val="•"/>
      <w:lvlJc w:val="left"/>
      <w:pPr>
        <w:ind w:left="7459" w:hanging="420"/>
      </w:pPr>
      <w:rPr>
        <w:rFonts w:hint="default"/>
      </w:rPr>
    </w:lvl>
    <w:lvl w:ilvl="7">
      <w:start w:val="0"/>
      <w:numFmt w:val="bullet"/>
      <w:lvlText w:val="•"/>
      <w:lvlJc w:val="left"/>
      <w:pPr>
        <w:ind w:left="8386" w:hanging="420"/>
      </w:pPr>
      <w:rPr>
        <w:rFonts w:hint="default"/>
      </w:rPr>
    </w:lvl>
    <w:lvl w:ilvl="8">
      <w:start w:val="0"/>
      <w:numFmt w:val="bullet"/>
      <w:lvlText w:val="•"/>
      <w:lvlJc w:val="left"/>
      <w:pPr>
        <w:ind w:left="9313"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tanjz</dc:creator>
  <dcterms:created xsi:type="dcterms:W3CDTF">2018-10-20T02:39:32Z</dcterms:created>
  <dcterms:modified xsi:type="dcterms:W3CDTF">2018-10-20T02:39:32Z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Word 2010</vt:lpwstr>
  </property>
  <property fmtid="{D5CDD505-2E9C-101B-9397-08002B2CF9AE}" pid="4" name="LastSaved">
    <vt:filetime>2018-10-19T00:00:00Z</vt:filetime>
  </property>
</Properties>
</file>