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spacing w:before="92"/>
        <w:ind w:left="0" w:right="116" w:firstLine="0"/>
        <w:jc w:val="right"/>
        <w:rPr>
          <w:sz w:val="12"/>
        </w:rPr>
      </w:pPr>
      <w:r>
        <w:rPr/>
        <w:drawing>
          <wp:anchor distT="0" distB="0" distL="0" distR="0" allowOverlap="1" layoutInCell="1" locked="0" behindDoc="0" simplePos="0" relativeHeight="1072">
            <wp:simplePos x="0" y="0"/>
            <wp:positionH relativeFrom="page">
              <wp:posOffset>6119811</wp:posOffset>
            </wp:positionH>
            <wp:positionV relativeFrom="paragraph">
              <wp:posOffset>209839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sz w:val="12"/>
        </w:rPr>
        <w:t>汇丰人寿[2012]重大疾病保险 031 号-2</w:t>
      </w:r>
    </w:p>
    <w:p>
      <w:pPr>
        <w:pStyle w:val="BodyText"/>
        <w:spacing w:before="2"/>
        <w:rPr>
          <w:sz w:val="27"/>
        </w:rPr>
      </w:pPr>
    </w:p>
    <w:p>
      <w:pPr>
        <w:spacing w:after="0"/>
        <w:rPr>
          <w:sz w:val="27"/>
        </w:rPr>
        <w:sectPr>
          <w:footerReference w:type="default" r:id="rId5"/>
          <w:type w:val="continuous"/>
          <w:pgSz w:w="11910" w:h="16840"/>
          <w:pgMar w:footer="460" w:top="780" w:bottom="640" w:left="580" w:right="580"/>
        </w:sectPr>
      </w:pPr>
    </w:p>
    <w:p>
      <w:pPr>
        <w:pStyle w:val="Heading1"/>
        <w:ind w:left="2720"/>
      </w:pPr>
      <w:bookmarkStart w:name="汇丰附加康盈重大疾病保险A款条款" w:id="1"/>
      <w:bookmarkEnd w:id="1"/>
      <w:r>
        <w:rPr>
          <w:b w:val="0"/>
        </w:rPr>
      </w:r>
      <w:r>
        <w:rPr/>
        <w:t>汇丰附加康盈重大疾病保险A 款条款</w:t>
      </w:r>
    </w:p>
    <w:p>
      <w:pPr>
        <w:spacing w:before="67"/>
        <w:ind w:left="2245" w:right="49" w:firstLine="0"/>
        <w:jc w:val="center"/>
        <w:rPr>
          <w:b/>
          <w:sz w:val="32"/>
        </w:rPr>
      </w:pPr>
      <w:r>
        <w:rPr>
          <w:rFonts w:ascii="Microsoft JhengHei" w:eastAsia="Microsoft JhengHei" w:hint="eastAsia"/>
          <w:b/>
          <w:sz w:val="32"/>
        </w:rPr>
        <w:t>阅  读  指 引</w:t>
      </w:r>
      <w:r>
        <w:rPr>
          <w:b/>
          <w:w w:val="98"/>
          <w:sz w:val="32"/>
        </w:rPr>
        <w:t> </w:t>
      </w:r>
    </w:p>
    <w:p>
      <w:pPr>
        <w:pStyle w:val="BodyText"/>
        <w:spacing w:before="93"/>
        <w:ind w:left="2114"/>
        <w:jc w:val="center"/>
      </w:pPr>
      <w:r>
        <w:rPr>
          <w:w w:val="100"/>
        </w:rPr>
        <w:t> </w:t>
      </w:r>
    </w:p>
    <w:p>
      <w:pPr>
        <w:pStyle w:val="BodyText"/>
        <w:spacing w:before="104"/>
        <w:ind w:left="2164" w:right="49"/>
        <w:jc w:val="center"/>
      </w:pPr>
      <w:r>
        <w:rPr/>
        <w:drawing>
          <wp:anchor distT="0" distB="0" distL="0" distR="0" allowOverlap="1" layoutInCell="1" locked="0" behindDoc="1" simplePos="0" relativeHeight="268396583">
            <wp:simplePos x="0" y="0"/>
            <wp:positionH relativeFrom="page">
              <wp:posOffset>473963</wp:posOffset>
            </wp:positionH>
            <wp:positionV relativeFrom="paragraph">
              <wp:posOffset>314813</wp:posOffset>
            </wp:positionV>
            <wp:extent cx="6402323" cy="79187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02323" cy="791870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215" w:val="left" w:leader="none"/>
        </w:tabs>
        <w:spacing w:before="84"/>
      </w:pPr>
      <w:r>
        <w:rPr>
          <w:rFonts w:ascii="Arial" w:eastAsia="Arial"/>
          <w:position w:val="-11"/>
          <w:sz w:val="52"/>
        </w:rPr>
        <w:t>C</w:t>
        <w:tab/>
      </w:r>
      <w:r>
        <w:rPr>
          <w:spacing w:val="-2"/>
        </w:rPr>
        <w:t>您拥有的重要权益</w:t>
      </w:r>
      <w:r>
        <w:rPr>
          <w:spacing w:val="-2"/>
          <w:w w:val="99"/>
        </w:rPr>
        <w:t> </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3"/>
        <w:rPr>
          <w:b/>
          <w:sz w:val="8"/>
        </w:rPr>
      </w:pPr>
    </w:p>
    <w:p>
      <w:pPr>
        <w:spacing w:before="0"/>
        <w:ind w:left="261" w:right="0" w:firstLine="0"/>
        <w:jc w:val="left"/>
        <w:rPr>
          <w:sz w:val="12"/>
        </w:rPr>
      </w:pPr>
      <w:r>
        <w:rPr>
          <w:sz w:val="12"/>
        </w:rPr>
        <w:t>请扫描以查询验证条款</w:t>
      </w:r>
    </w:p>
    <w:p>
      <w:pPr>
        <w:spacing w:after="0"/>
        <w:jc w:val="left"/>
        <w:rPr>
          <w:sz w:val="12"/>
        </w:rPr>
        <w:sectPr>
          <w:type w:val="continuous"/>
          <w:pgSz w:w="11910" w:h="16840"/>
          <w:pgMar w:top="780" w:bottom="640" w:left="580" w:right="580"/>
          <w:cols w:num="2" w:equalWidth="0">
            <w:col w:w="8736" w:space="40"/>
            <w:col w:w="1974"/>
          </w:cols>
        </w:sectPr>
      </w:pPr>
    </w:p>
    <w:p>
      <w:pPr>
        <w:pStyle w:val="ListParagraph"/>
        <w:numPr>
          <w:ilvl w:val="0"/>
          <w:numId w:val="1"/>
        </w:numPr>
        <w:tabs>
          <w:tab w:pos="1697" w:val="left" w:leader="none"/>
          <w:tab w:pos="1698" w:val="left" w:leader="none"/>
          <w:tab w:pos="9154" w:val="right" w:leader="dot"/>
        </w:tabs>
        <w:spacing w:line="240" w:lineRule="auto" w:before="25" w:after="0"/>
        <w:ind w:left="1697"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r>
      <w:r>
        <w:rPr>
          <w:rFonts w:ascii="Times New Roman" w:eastAsia="Times New Roman"/>
          <w:sz w:val="21"/>
        </w:rPr>
        <w:t>2.2</w:t>
      </w:r>
    </w:p>
    <w:p>
      <w:pPr>
        <w:pStyle w:val="Heading2"/>
        <w:tabs>
          <w:tab w:pos="1217" w:val="left" w:leader="none"/>
        </w:tabs>
        <w:spacing w:before="20"/>
      </w:pPr>
      <w:r>
        <w:rPr>
          <w:rFonts w:ascii="Arial" w:eastAsia="Arial"/>
          <w:sz w:val="52"/>
        </w:rPr>
        <w:t>C</w:t>
        <w:tab/>
      </w:r>
      <w:r>
        <w:rPr>
          <w:spacing w:val="-2"/>
        </w:rPr>
        <w:t>您应当特别注意的事项</w:t>
      </w:r>
    </w:p>
    <w:p>
      <w:pPr>
        <w:pStyle w:val="ListParagraph"/>
        <w:numPr>
          <w:ilvl w:val="0"/>
          <w:numId w:val="2"/>
        </w:numPr>
        <w:tabs>
          <w:tab w:pos="1697" w:val="left" w:leader="none"/>
          <w:tab w:pos="1698" w:val="left" w:leader="none"/>
          <w:tab w:pos="9155" w:val="right" w:leader="dot"/>
        </w:tabs>
        <w:spacing w:line="240" w:lineRule="auto" w:before="25" w:after="0"/>
        <w:ind w:left="1697" w:right="0" w:hanging="420"/>
        <w:jc w:val="left"/>
        <w:rPr>
          <w:rFonts w:ascii="Times New Roman" w:eastAsia="Times New Roman"/>
          <w:sz w:val="21"/>
        </w:rPr>
      </w:pPr>
      <w:r>
        <w:rPr>
          <w:sz w:val="21"/>
        </w:rPr>
        <w:t>本附</w:t>
      </w:r>
      <w:r>
        <w:rPr>
          <w:spacing w:val="-3"/>
          <w:sz w:val="21"/>
        </w:rPr>
        <w:t>加</w:t>
      </w:r>
      <w:r>
        <w:rPr>
          <w:sz w:val="21"/>
        </w:rPr>
        <w:t>合</w:t>
      </w:r>
      <w:r>
        <w:rPr>
          <w:spacing w:val="-3"/>
          <w:sz w:val="21"/>
        </w:rPr>
        <w:t>同</w:t>
      </w:r>
      <w:r>
        <w:rPr>
          <w:sz w:val="21"/>
        </w:rPr>
        <w:t>构</w:t>
      </w:r>
      <w:r>
        <w:rPr>
          <w:spacing w:val="-3"/>
          <w:sz w:val="21"/>
        </w:rPr>
        <w:t>成</w:t>
      </w:r>
      <w:r>
        <w:rPr>
          <w:sz w:val="21"/>
        </w:rPr>
        <w:t>主</w:t>
      </w:r>
      <w:r>
        <w:rPr>
          <w:spacing w:val="-3"/>
          <w:sz w:val="21"/>
        </w:rPr>
        <w:t>合</w:t>
      </w:r>
      <w:r>
        <w:rPr>
          <w:sz w:val="21"/>
        </w:rPr>
        <w:t>同</w:t>
      </w:r>
      <w:r>
        <w:rPr>
          <w:spacing w:val="-3"/>
          <w:sz w:val="21"/>
        </w:rPr>
        <w:t>的</w:t>
      </w:r>
      <w:r>
        <w:rPr>
          <w:sz w:val="21"/>
        </w:rPr>
        <w:t>一部</w:t>
      </w:r>
      <w:r>
        <w:rPr>
          <w:spacing w:val="-3"/>
          <w:sz w:val="21"/>
        </w:rPr>
        <w:t>分</w:t>
      </w:r>
      <w:r>
        <w:rPr>
          <w:sz w:val="21"/>
        </w:rPr>
        <w:t>，</w:t>
      </w:r>
      <w:r>
        <w:rPr>
          <w:spacing w:val="-3"/>
          <w:sz w:val="21"/>
        </w:rPr>
        <w:t>不</w:t>
      </w:r>
      <w:r>
        <w:rPr>
          <w:sz w:val="21"/>
        </w:rPr>
        <w:t>可</w:t>
      </w:r>
      <w:r>
        <w:rPr>
          <w:spacing w:val="-3"/>
          <w:sz w:val="21"/>
        </w:rPr>
        <w:t>分</w:t>
      </w:r>
      <w:r>
        <w:rPr>
          <w:sz w:val="21"/>
        </w:rPr>
        <w:t>解</w:t>
        <w:tab/>
      </w:r>
      <w:r>
        <w:rPr>
          <w:rFonts w:ascii="Times New Roman" w:eastAsia="Times New Roman"/>
          <w:sz w:val="21"/>
        </w:rPr>
        <w:t>1.1</w:t>
      </w:r>
    </w:p>
    <w:p>
      <w:pPr>
        <w:pStyle w:val="ListParagraph"/>
        <w:numPr>
          <w:ilvl w:val="0"/>
          <w:numId w:val="2"/>
        </w:numPr>
        <w:tabs>
          <w:tab w:pos="1697" w:val="left" w:leader="none"/>
          <w:tab w:pos="1698" w:val="left" w:leader="none"/>
          <w:tab w:pos="9156" w:val="right" w:leader="dot"/>
        </w:tabs>
        <w:spacing w:line="287" w:lineRule="exact" w:before="20" w:after="0"/>
        <w:ind w:left="1697" w:right="0" w:hanging="420"/>
        <w:jc w:val="left"/>
        <w:rPr>
          <w:rFonts w:ascii="Times New Roman" w:eastAsia="Times New Roman"/>
          <w:sz w:val="21"/>
        </w:rPr>
      </w:pPr>
      <w:r>
        <w:rPr>
          <w:sz w:val="21"/>
        </w:rPr>
        <w:t>本附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额必</w:t>
      </w:r>
      <w:r>
        <w:rPr>
          <w:spacing w:val="-3"/>
          <w:sz w:val="21"/>
        </w:rPr>
        <w:t>须</w:t>
      </w:r>
      <w:r>
        <w:rPr>
          <w:sz w:val="21"/>
        </w:rPr>
        <w:t>与</w:t>
      </w:r>
      <w:r>
        <w:rPr>
          <w:spacing w:val="-3"/>
          <w:sz w:val="21"/>
        </w:rPr>
        <w:t>主</w:t>
      </w:r>
      <w:r>
        <w:rPr>
          <w:sz w:val="21"/>
        </w:rPr>
        <w:t>合</w:t>
      </w:r>
      <w:r>
        <w:rPr>
          <w:spacing w:val="-3"/>
          <w:sz w:val="21"/>
        </w:rPr>
        <w:t>同</w:t>
      </w:r>
      <w:r>
        <w:rPr>
          <w:sz w:val="21"/>
        </w:rPr>
        <w:t>基</w:t>
      </w:r>
      <w:r>
        <w:rPr>
          <w:spacing w:val="-3"/>
          <w:sz w:val="21"/>
        </w:rPr>
        <w:t>本</w:t>
      </w:r>
      <w:r>
        <w:rPr>
          <w:sz w:val="21"/>
        </w:rPr>
        <w:t>保</w:t>
      </w:r>
      <w:r>
        <w:rPr>
          <w:spacing w:val="-3"/>
          <w:sz w:val="21"/>
        </w:rPr>
        <w:t>险</w:t>
      </w:r>
      <w:r>
        <w:rPr>
          <w:sz w:val="21"/>
        </w:rPr>
        <w:t>金额</w:t>
      </w:r>
      <w:r>
        <w:rPr>
          <w:spacing w:val="-3"/>
          <w:sz w:val="21"/>
        </w:rPr>
        <w:t>相</w:t>
      </w:r>
      <w:r>
        <w:rPr>
          <w:sz w:val="21"/>
        </w:rPr>
        <w:t>同</w:t>
        <w:tab/>
      </w:r>
      <w:r>
        <w:rPr>
          <w:rFonts w:ascii="Times New Roman" w:eastAsia="Times New Roman"/>
          <w:sz w:val="21"/>
        </w:rPr>
        <w:t>2.1</w:t>
      </w:r>
    </w:p>
    <w:p>
      <w:pPr>
        <w:pStyle w:val="ListParagraph"/>
        <w:numPr>
          <w:ilvl w:val="0"/>
          <w:numId w:val="2"/>
        </w:numPr>
        <w:tabs>
          <w:tab w:pos="1697" w:val="left" w:leader="none"/>
          <w:tab w:pos="1698" w:val="left" w:leader="none"/>
          <w:tab w:pos="9162" w:val="right" w:leader="dot"/>
        </w:tabs>
        <w:spacing w:line="322" w:lineRule="exact" w:before="0" w:after="0"/>
        <w:ind w:left="1697"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2.3</w:t>
      </w:r>
    </w:p>
    <w:p>
      <w:pPr>
        <w:pStyle w:val="ListParagraph"/>
        <w:numPr>
          <w:ilvl w:val="0"/>
          <w:numId w:val="2"/>
        </w:numPr>
        <w:tabs>
          <w:tab w:pos="1697" w:val="left" w:leader="none"/>
          <w:tab w:pos="1698" w:val="left" w:leader="none"/>
          <w:tab w:pos="8998" w:val="right" w:leader="dot"/>
        </w:tabs>
        <w:spacing w:line="240" w:lineRule="auto" w:before="15" w:after="0"/>
        <w:ind w:left="1697"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7</w:t>
      </w:r>
    </w:p>
    <w:p>
      <w:pPr>
        <w:pStyle w:val="Heading2"/>
        <w:tabs>
          <w:tab w:pos="1217" w:val="left" w:leader="none"/>
        </w:tabs>
        <w:rPr>
          <w:b w:val="0"/>
        </w:rPr>
      </w:pPr>
      <w:r>
        <w:rPr>
          <w:rFonts w:ascii="Arial" w:eastAsia="Arial"/>
          <w:position w:val="-11"/>
          <w:sz w:val="52"/>
        </w:rPr>
        <w:t>C</w:t>
        <w:tab/>
      </w:r>
      <w:r>
        <w:rPr>
          <w:spacing w:val="-3"/>
        </w:rPr>
        <w:t>条款是保险合同的重要内容，为充分保障您的权益，请您仔细阅读本条款。</w:t>
      </w:r>
      <w:r>
        <w:rPr>
          <w:b w:val="0"/>
          <w:w w:val="100"/>
        </w:rPr>
        <w:t> </w:t>
      </w:r>
    </w:p>
    <w:p>
      <w:pPr>
        <w:tabs>
          <w:tab w:pos="1217" w:val="left" w:leader="none"/>
        </w:tabs>
        <w:spacing w:before="25"/>
        <w:ind w:left="362" w:right="0" w:firstLine="0"/>
        <w:jc w:val="left"/>
        <w:rPr>
          <w:sz w:val="21"/>
        </w:rPr>
      </w:pPr>
      <w:r>
        <w:rPr>
          <w:rFonts w:ascii="Arial" w:eastAsia="Arial"/>
          <w:b/>
          <w:position w:val="-11"/>
          <w:sz w:val="52"/>
        </w:rPr>
        <w:t>C</w:t>
        <w:tab/>
      </w:r>
      <w:r>
        <w:rPr>
          <w:b/>
          <w:spacing w:val="-1"/>
          <w:sz w:val="21"/>
        </w:rPr>
        <w:t>条款目录</w:t>
      </w:r>
      <w:r>
        <w:rPr>
          <w:w w:val="100"/>
          <w:sz w:val="21"/>
        </w:rPr>
        <w:t> </w:t>
      </w:r>
    </w:p>
    <w:p>
      <w:pPr>
        <w:pStyle w:val="BodyText"/>
        <w:spacing w:before="4"/>
        <w:rPr>
          <w:sz w:val="6"/>
        </w:rPr>
      </w:pPr>
    </w:p>
    <w:tbl>
      <w:tblPr>
        <w:tblW w:w="0" w:type="auto"/>
        <w:jc w:val="left"/>
        <w:tblInd w:w="1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4"/>
        <w:gridCol w:w="4543"/>
      </w:tblGrid>
      <w:tr>
        <w:trPr>
          <w:trHeight w:val="244" w:hRule="atLeast"/>
        </w:trPr>
        <w:tc>
          <w:tcPr>
            <w:tcW w:w="3184" w:type="dxa"/>
          </w:tcPr>
          <w:p>
            <w:pPr>
              <w:pStyle w:val="TableParagraph"/>
              <w:spacing w:line="224" w:lineRule="exact"/>
              <w:ind w:left="200"/>
              <w:rPr>
                <w:b/>
                <w:sz w:val="21"/>
              </w:rPr>
            </w:pPr>
            <w:r>
              <w:rPr>
                <w:rFonts w:ascii="Times New Roman" w:eastAsia="Times New Roman"/>
                <w:b/>
                <w:sz w:val="21"/>
              </w:rPr>
              <w:t>1.  </w:t>
            </w:r>
            <w:r>
              <w:rPr>
                <w:b/>
                <w:sz w:val="21"/>
              </w:rPr>
              <w:t>您与我们订立的合同</w:t>
            </w:r>
          </w:p>
        </w:tc>
        <w:tc>
          <w:tcPr>
            <w:tcW w:w="4543" w:type="dxa"/>
          </w:tcPr>
          <w:p>
            <w:pPr>
              <w:pStyle w:val="TableParagraph"/>
              <w:spacing w:line="224" w:lineRule="exact"/>
              <w:ind w:left="822"/>
              <w:rPr>
                <w:b/>
                <w:sz w:val="21"/>
              </w:rPr>
            </w:pPr>
            <w:r>
              <w:rPr>
                <w:rFonts w:ascii="Times New Roman" w:eastAsia="Times New Roman"/>
                <w:b/>
                <w:sz w:val="21"/>
              </w:rPr>
              <w:t>6.  </w:t>
            </w:r>
            <w:r>
              <w:rPr>
                <w:b/>
                <w:sz w:val="21"/>
              </w:rPr>
              <w:t>重大疾病释义</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1.1  </w:t>
            </w:r>
            <w:r>
              <w:rPr>
                <w:sz w:val="21"/>
              </w:rPr>
              <w:t>合同构成</w:t>
            </w:r>
          </w:p>
        </w:tc>
        <w:tc>
          <w:tcPr>
            <w:tcW w:w="4543" w:type="dxa"/>
          </w:tcPr>
          <w:p>
            <w:pPr>
              <w:pStyle w:val="TableParagraph"/>
              <w:spacing w:line="234" w:lineRule="exact"/>
              <w:ind w:left="1033"/>
              <w:rPr>
                <w:sz w:val="21"/>
              </w:rPr>
            </w:pPr>
            <w:r>
              <w:rPr>
                <w:rFonts w:ascii="Times New Roman" w:eastAsia="Times New Roman"/>
                <w:sz w:val="21"/>
              </w:rPr>
              <w:t>6.1  </w:t>
            </w:r>
            <w:r>
              <w:rPr>
                <w:sz w:val="21"/>
              </w:rPr>
              <w:t>重大疾病介绍</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1.2  </w:t>
            </w:r>
            <w:r>
              <w:rPr>
                <w:sz w:val="21"/>
              </w:rPr>
              <w:t>合同成立与生效</w:t>
            </w:r>
          </w:p>
        </w:tc>
        <w:tc>
          <w:tcPr>
            <w:tcW w:w="4543" w:type="dxa"/>
          </w:tcPr>
          <w:p>
            <w:pPr>
              <w:pStyle w:val="TableParagraph"/>
              <w:spacing w:line="236" w:lineRule="exact"/>
              <w:ind w:left="822"/>
              <w:rPr>
                <w:b/>
                <w:sz w:val="21"/>
              </w:rPr>
            </w:pPr>
            <w:r>
              <w:rPr>
                <w:rFonts w:ascii="Times New Roman" w:eastAsia="Times New Roman"/>
                <w:b/>
                <w:sz w:val="21"/>
              </w:rPr>
              <w:t>7.</w:t>
            </w:r>
            <w:r>
              <w:rPr>
                <w:rFonts w:ascii="Times New Roman" w:eastAsia="Times New Roman"/>
                <w:b/>
                <w:spacing w:val="51"/>
                <w:sz w:val="21"/>
              </w:rPr>
              <w:t> </w:t>
            </w:r>
            <w:r>
              <w:rPr>
                <w:b/>
                <w:sz w:val="21"/>
              </w:rPr>
              <w:t>释义</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1.3  </w:t>
            </w:r>
            <w:r>
              <w:rPr>
                <w:sz w:val="21"/>
              </w:rPr>
              <w:t>合同终止</w:t>
            </w:r>
          </w:p>
        </w:tc>
        <w:tc>
          <w:tcPr>
            <w:tcW w:w="4543" w:type="dxa"/>
          </w:tcPr>
          <w:p>
            <w:pPr>
              <w:pStyle w:val="TableParagraph"/>
              <w:spacing w:line="236" w:lineRule="exact"/>
              <w:ind w:left="1033"/>
              <w:rPr>
                <w:sz w:val="21"/>
              </w:rPr>
            </w:pPr>
            <w:r>
              <w:rPr>
                <w:rFonts w:ascii="Times New Roman" w:eastAsia="Times New Roman"/>
                <w:sz w:val="21"/>
              </w:rPr>
              <w:t>7.1  </w:t>
            </w:r>
            <w:r>
              <w:rPr>
                <w:sz w:val="21"/>
              </w:rPr>
              <w:t>专科医生</w:t>
            </w: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2.  </w:t>
            </w:r>
            <w:r>
              <w:rPr>
                <w:b/>
                <w:sz w:val="21"/>
              </w:rPr>
              <w:t>我们提供的保障</w:t>
            </w:r>
          </w:p>
        </w:tc>
        <w:tc>
          <w:tcPr>
            <w:tcW w:w="4543" w:type="dxa"/>
          </w:tcPr>
          <w:p>
            <w:pPr>
              <w:pStyle w:val="TableParagraph"/>
              <w:spacing w:line="234" w:lineRule="exact"/>
              <w:ind w:left="1033"/>
              <w:rPr>
                <w:sz w:val="21"/>
              </w:rPr>
            </w:pPr>
            <w:r>
              <w:rPr>
                <w:rFonts w:ascii="Times New Roman" w:eastAsia="Times New Roman"/>
                <w:sz w:val="21"/>
              </w:rPr>
              <w:t>7.2  </w:t>
            </w:r>
            <w:r>
              <w:rPr>
                <w:sz w:val="21"/>
              </w:rPr>
              <w:t>感染艾滋病病毒或患艾滋病</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2.1  </w:t>
            </w:r>
            <w:r>
              <w:rPr>
                <w:sz w:val="21"/>
              </w:rPr>
              <w:t>保险金额</w:t>
            </w:r>
          </w:p>
        </w:tc>
        <w:tc>
          <w:tcPr>
            <w:tcW w:w="4543" w:type="dxa"/>
          </w:tcPr>
          <w:p>
            <w:pPr>
              <w:pStyle w:val="TableParagraph"/>
              <w:spacing w:line="234" w:lineRule="exact"/>
              <w:ind w:left="1033"/>
              <w:rPr>
                <w:sz w:val="21"/>
              </w:rPr>
            </w:pPr>
            <w:r>
              <w:rPr>
                <w:rFonts w:ascii="Times New Roman" w:eastAsia="Times New Roman"/>
                <w:sz w:val="21"/>
              </w:rPr>
              <w:t>7.3  </w:t>
            </w:r>
            <w:r>
              <w:rPr>
                <w:sz w:val="21"/>
              </w:rPr>
              <w:t>遗传性疾病</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2.2  </w:t>
            </w:r>
            <w:r>
              <w:rPr>
                <w:sz w:val="21"/>
              </w:rPr>
              <w:t>保险责任</w:t>
            </w:r>
          </w:p>
        </w:tc>
        <w:tc>
          <w:tcPr>
            <w:tcW w:w="4543" w:type="dxa"/>
          </w:tcPr>
          <w:p>
            <w:pPr>
              <w:pStyle w:val="TableParagraph"/>
              <w:spacing w:line="236" w:lineRule="exact"/>
              <w:ind w:left="1033"/>
              <w:rPr>
                <w:sz w:val="21"/>
              </w:rPr>
            </w:pPr>
            <w:r>
              <w:rPr>
                <w:rFonts w:ascii="Times New Roman" w:eastAsia="Times New Roman"/>
                <w:sz w:val="21"/>
              </w:rPr>
              <w:t>7.4  </w:t>
            </w:r>
            <w:r>
              <w:rPr>
                <w:sz w:val="21"/>
              </w:rPr>
              <w:t>先天性畸形、变形或染色体异常</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2.3  </w:t>
            </w:r>
            <w:r>
              <w:rPr>
                <w:sz w:val="21"/>
              </w:rPr>
              <w:t>责任免除</w:t>
            </w:r>
          </w:p>
        </w:tc>
        <w:tc>
          <w:tcPr>
            <w:tcW w:w="4543" w:type="dxa"/>
          </w:tcPr>
          <w:p>
            <w:pPr>
              <w:pStyle w:val="TableParagraph"/>
              <w:spacing w:line="236" w:lineRule="exact"/>
              <w:ind w:left="1033"/>
              <w:rPr>
                <w:sz w:val="21"/>
              </w:rPr>
            </w:pPr>
            <w:r>
              <w:rPr>
                <w:rFonts w:ascii="Times New Roman" w:eastAsia="Times New Roman"/>
                <w:sz w:val="21"/>
              </w:rPr>
              <w:t>7.5  </w:t>
            </w:r>
            <w:r>
              <w:rPr>
                <w:sz w:val="21"/>
              </w:rPr>
              <w:t>肢体机能完全丧失</w:t>
            </w: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3.  </w:t>
            </w:r>
            <w:r>
              <w:rPr>
                <w:b/>
                <w:sz w:val="21"/>
              </w:rPr>
              <w:t>保险金的申请</w:t>
            </w:r>
          </w:p>
        </w:tc>
        <w:tc>
          <w:tcPr>
            <w:tcW w:w="4543" w:type="dxa"/>
          </w:tcPr>
          <w:p>
            <w:pPr>
              <w:pStyle w:val="TableParagraph"/>
              <w:spacing w:line="234" w:lineRule="exact"/>
              <w:ind w:left="1033"/>
              <w:rPr>
                <w:sz w:val="21"/>
              </w:rPr>
            </w:pPr>
            <w:r>
              <w:rPr>
                <w:rFonts w:ascii="Times New Roman" w:eastAsia="Times New Roman"/>
                <w:sz w:val="21"/>
              </w:rPr>
              <w:t>7.6  </w:t>
            </w:r>
            <w:r>
              <w:rPr>
                <w:sz w:val="21"/>
              </w:rPr>
              <w:t>语言能力完全丧失</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3.1  </w:t>
            </w:r>
            <w:r>
              <w:rPr>
                <w:sz w:val="21"/>
              </w:rPr>
              <w:t>保险金申请</w:t>
            </w:r>
          </w:p>
        </w:tc>
        <w:tc>
          <w:tcPr>
            <w:tcW w:w="4543" w:type="dxa"/>
          </w:tcPr>
          <w:p>
            <w:pPr>
              <w:pStyle w:val="TableParagraph"/>
              <w:spacing w:line="234" w:lineRule="exact"/>
              <w:ind w:left="1033"/>
              <w:rPr>
                <w:sz w:val="21"/>
              </w:rPr>
            </w:pPr>
            <w:r>
              <w:rPr>
                <w:rFonts w:ascii="Times New Roman" w:eastAsia="Times New Roman"/>
                <w:sz w:val="21"/>
              </w:rPr>
              <w:t>7.7  </w:t>
            </w:r>
            <w:r>
              <w:rPr>
                <w:sz w:val="21"/>
              </w:rPr>
              <w:t>咀嚼吞咽能力完全丧失</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3.2  </w:t>
            </w:r>
            <w:r>
              <w:rPr>
                <w:sz w:val="21"/>
              </w:rPr>
              <w:t>诉讼时效</w:t>
            </w:r>
          </w:p>
        </w:tc>
        <w:tc>
          <w:tcPr>
            <w:tcW w:w="4543" w:type="dxa"/>
          </w:tcPr>
          <w:p>
            <w:pPr>
              <w:pStyle w:val="TableParagraph"/>
              <w:spacing w:line="236" w:lineRule="exact"/>
              <w:ind w:left="1033"/>
              <w:rPr>
                <w:sz w:val="21"/>
              </w:rPr>
            </w:pPr>
            <w:r>
              <w:rPr>
                <w:rFonts w:ascii="Times New Roman" w:eastAsia="Times New Roman"/>
                <w:sz w:val="21"/>
              </w:rPr>
              <w:t>7.8  </w:t>
            </w:r>
            <w:r>
              <w:rPr>
                <w:sz w:val="21"/>
              </w:rPr>
              <w:t>六项基本日常生活活动</w:t>
            </w:r>
          </w:p>
        </w:tc>
      </w:tr>
      <w:tr>
        <w:trPr>
          <w:trHeight w:val="255" w:hRule="atLeast"/>
        </w:trPr>
        <w:tc>
          <w:tcPr>
            <w:tcW w:w="3184" w:type="dxa"/>
          </w:tcPr>
          <w:p>
            <w:pPr>
              <w:pStyle w:val="TableParagraph"/>
              <w:spacing w:line="236" w:lineRule="exact"/>
              <w:ind w:left="200"/>
              <w:rPr>
                <w:b/>
                <w:sz w:val="21"/>
              </w:rPr>
            </w:pPr>
            <w:r>
              <w:rPr>
                <w:rFonts w:ascii="Times New Roman" w:eastAsia="Times New Roman"/>
                <w:b/>
                <w:sz w:val="21"/>
              </w:rPr>
              <w:t>4.  </w:t>
            </w:r>
            <w:r>
              <w:rPr>
                <w:b/>
                <w:sz w:val="21"/>
              </w:rPr>
              <w:t>保险费的交纳</w:t>
            </w:r>
          </w:p>
        </w:tc>
        <w:tc>
          <w:tcPr>
            <w:tcW w:w="4543" w:type="dxa"/>
          </w:tcPr>
          <w:p>
            <w:pPr>
              <w:pStyle w:val="TableParagraph"/>
              <w:spacing w:line="236" w:lineRule="exact"/>
              <w:ind w:left="1033"/>
              <w:rPr>
                <w:sz w:val="21"/>
              </w:rPr>
            </w:pPr>
            <w:r>
              <w:rPr>
                <w:rFonts w:ascii="Times New Roman" w:eastAsia="Times New Roman"/>
                <w:sz w:val="21"/>
              </w:rPr>
              <w:t>7.9  </w:t>
            </w:r>
            <w:r>
              <w:rPr>
                <w:sz w:val="21"/>
              </w:rPr>
              <w:t>永久不可逆</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4.1  </w:t>
            </w:r>
            <w:r>
              <w:rPr>
                <w:sz w:val="21"/>
              </w:rPr>
              <w:t>保险费的交纳</w:t>
            </w:r>
          </w:p>
        </w:tc>
        <w:tc>
          <w:tcPr>
            <w:tcW w:w="4543" w:type="dxa"/>
          </w:tcPr>
          <w:p>
            <w:pPr>
              <w:pStyle w:val="TableParagraph"/>
              <w:spacing w:line="240" w:lineRule="auto"/>
              <w:rPr>
                <w:rFonts w:ascii="Times New Roman"/>
                <w:sz w:val="18"/>
              </w:rPr>
            </w:pP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5.  </w:t>
            </w:r>
            <w:r>
              <w:rPr>
                <w:b/>
                <w:sz w:val="21"/>
              </w:rPr>
              <w:t>合同解除</w:t>
            </w:r>
          </w:p>
        </w:tc>
        <w:tc>
          <w:tcPr>
            <w:tcW w:w="4543" w:type="dxa"/>
          </w:tcPr>
          <w:p>
            <w:pPr>
              <w:pStyle w:val="TableParagraph"/>
              <w:spacing w:line="240" w:lineRule="auto"/>
              <w:rPr>
                <w:rFonts w:ascii="Times New Roman"/>
                <w:sz w:val="18"/>
              </w:rPr>
            </w:pPr>
          </w:p>
        </w:tc>
      </w:tr>
      <w:tr>
        <w:trPr>
          <w:trHeight w:val="244" w:hRule="atLeast"/>
        </w:trPr>
        <w:tc>
          <w:tcPr>
            <w:tcW w:w="3184" w:type="dxa"/>
          </w:tcPr>
          <w:p>
            <w:pPr>
              <w:pStyle w:val="TableParagraph"/>
              <w:spacing w:line="224" w:lineRule="exact"/>
              <w:ind w:left="411"/>
              <w:rPr>
                <w:sz w:val="21"/>
              </w:rPr>
            </w:pPr>
            <w:r>
              <w:rPr>
                <w:rFonts w:ascii="Times New Roman" w:eastAsia="Times New Roman"/>
                <w:sz w:val="21"/>
              </w:rPr>
              <w:t>5.1  </w:t>
            </w:r>
            <w:r>
              <w:rPr>
                <w:sz w:val="21"/>
              </w:rPr>
              <w:t>合同解除</w:t>
            </w:r>
          </w:p>
        </w:tc>
        <w:tc>
          <w:tcPr>
            <w:tcW w:w="4543" w:type="dxa"/>
          </w:tcPr>
          <w:p>
            <w:pPr>
              <w:pStyle w:val="TableParagraph"/>
              <w:spacing w:line="240" w:lineRule="auto"/>
              <w:rPr>
                <w:rFonts w:ascii="Times New Roman"/>
                <w:sz w:val="16"/>
              </w:rPr>
            </w:pPr>
          </w:p>
        </w:tc>
      </w:tr>
    </w:tbl>
    <w:p>
      <w:pPr>
        <w:spacing w:after="0" w:line="240" w:lineRule="auto"/>
        <w:rPr>
          <w:rFonts w:ascii="Times New Roman"/>
          <w:sz w:val="16"/>
        </w:rPr>
        <w:sectPr>
          <w:type w:val="continuous"/>
          <w:pgSz w:w="11910" w:h="16840"/>
          <w:pgMar w:top="780" w:bottom="640" w:left="580" w:right="580"/>
        </w:sectPr>
      </w:pPr>
    </w:p>
    <w:p>
      <w:pPr>
        <w:pStyle w:val="BodyText"/>
        <w:spacing w:line="20" w:lineRule="exact"/>
        <w:ind w:left="183"/>
        <w:rPr>
          <w:sz w:val="2"/>
        </w:rPr>
      </w:pPr>
      <w:r>
        <w:rPr>
          <w:rFonts w:ascii="Times New Roman"/>
          <w:spacing w:val="5"/>
          <w:sz w:val="2"/>
        </w:rPr>
        <w:t> </w:t>
      </w:r>
      <w:r>
        <w:rPr>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spacing w:val="5"/>
          <w:sz w:val="2"/>
        </w:rPr>
      </w:r>
    </w:p>
    <w:p>
      <w:pPr>
        <w:pStyle w:val="BodyText"/>
        <w:spacing w:before="2"/>
        <w:rPr>
          <w:sz w:val="17"/>
        </w:rPr>
      </w:pPr>
    </w:p>
    <w:p>
      <w:pPr>
        <w:pStyle w:val="Heading1"/>
        <w:ind w:left="2864"/>
      </w:pPr>
      <w:r>
        <w:rPr/>
        <w:t>汇丰附加康盈重大疾病保险 A 款条款</w:t>
      </w:r>
    </w:p>
    <w:p>
      <w:pPr>
        <w:pStyle w:val="BodyText"/>
        <w:spacing w:line="273" w:lineRule="auto" w:before="91"/>
        <w:ind w:left="220" w:right="201" w:hanging="1"/>
      </w:pPr>
      <w:r>
        <w:rPr>
          <w:spacing w:val="-6"/>
          <w:w w:val="100"/>
        </w:rPr>
        <w:t>在本条款中，“您”指投保人，“我们”、“本公司”均指汇丰人寿保险有限公司，“本附加合同”指您与我们之</w:t>
      </w:r>
      <w:r>
        <w:rPr>
          <w:spacing w:val="-6"/>
        </w:rPr>
        <w:t>间订立的“汇丰附加康盈重大疾病保险 </w:t>
      </w:r>
      <w:r>
        <w:rPr/>
        <w:t>A</w:t>
      </w:r>
      <w:r>
        <w:rPr>
          <w:spacing w:val="-10"/>
        </w:rPr>
        <w:t> 款合同”。 </w:t>
      </w:r>
    </w:p>
    <w:p>
      <w:pPr>
        <w:pStyle w:val="BodyText"/>
        <w:spacing w:before="5"/>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1787"/>
        <w:gridCol w:w="7339"/>
      </w:tblGrid>
      <w:tr>
        <w:trPr>
          <w:trHeight w:val="547" w:hRule="atLeast"/>
        </w:trPr>
        <w:tc>
          <w:tcPr>
            <w:tcW w:w="796" w:type="dxa"/>
            <w:tcBorders>
              <w:bottom w:val="single" w:sz="8" w:space="0" w:color="000000"/>
            </w:tcBorders>
          </w:tcPr>
          <w:p>
            <w:pPr>
              <w:pStyle w:val="TableParagraph"/>
              <w:spacing w:line="448" w:lineRule="exact"/>
              <w:ind w:left="256"/>
              <w:rPr>
                <w:rFonts w:ascii="Arial"/>
                <w:b/>
                <w:sz w:val="40"/>
              </w:rPr>
            </w:pPr>
            <w:r>
              <w:rPr>
                <w:rFonts w:ascii="Arial"/>
                <w:b/>
                <w:w w:val="91"/>
                <w:sz w:val="40"/>
              </w:rPr>
              <w:t>u</w:t>
            </w:r>
          </w:p>
        </w:tc>
        <w:tc>
          <w:tcPr>
            <w:tcW w:w="9126" w:type="dxa"/>
            <w:gridSpan w:val="2"/>
            <w:tcBorders>
              <w:bottom w:val="single" w:sz="8" w:space="0" w:color="000000"/>
            </w:tcBorders>
          </w:tcPr>
          <w:p>
            <w:pPr>
              <w:pStyle w:val="TableParagraph"/>
              <w:spacing w:line="240" w:lineRule="auto" w:before="39"/>
              <w:ind w:left="48"/>
              <w:rPr>
                <w:b/>
                <w:sz w:val="24"/>
              </w:rPr>
            </w:pPr>
            <w:r>
              <w:rPr>
                <w:b/>
                <w:w w:val="95"/>
                <w:sz w:val="24"/>
              </w:rPr>
              <w:t>您与我们订立的合同</w:t>
            </w:r>
            <w:r>
              <w:rPr>
                <w:b/>
                <w:w w:val="99"/>
                <w:sz w:val="24"/>
              </w:rPr>
              <w:t>                                                         </w:t>
            </w:r>
          </w:p>
        </w:tc>
      </w:tr>
      <w:tr>
        <w:trPr>
          <w:trHeight w:val="309" w:hRule="atLeast"/>
        </w:trPr>
        <w:tc>
          <w:tcPr>
            <w:tcW w:w="796" w:type="dxa"/>
            <w:tcBorders>
              <w:top w:val="single" w:sz="8" w:space="0" w:color="000000"/>
            </w:tcBorders>
          </w:tcPr>
          <w:p>
            <w:pPr>
              <w:pStyle w:val="TableParagraph"/>
              <w:spacing w:line="262" w:lineRule="exact"/>
              <w:ind w:left="48"/>
              <w:jc w:val="center"/>
              <w:rPr>
                <w:sz w:val="21"/>
              </w:rPr>
            </w:pPr>
            <w:r>
              <w:rPr>
                <w:w w:val="100"/>
                <w:sz w:val="21"/>
              </w:rPr>
              <w:t> </w:t>
            </w:r>
          </w:p>
        </w:tc>
        <w:tc>
          <w:tcPr>
            <w:tcW w:w="1787" w:type="dxa"/>
            <w:tcBorders>
              <w:top w:val="single" w:sz="8" w:space="0" w:color="000000"/>
            </w:tcBorders>
          </w:tcPr>
          <w:p>
            <w:pPr>
              <w:pStyle w:val="TableParagraph"/>
              <w:spacing w:line="262" w:lineRule="exact"/>
              <w:ind w:left="48"/>
              <w:rPr>
                <w:sz w:val="21"/>
              </w:rPr>
            </w:pPr>
            <w:r>
              <w:rPr>
                <w:w w:val="100"/>
                <w:sz w:val="21"/>
              </w:rPr>
              <w:t> </w:t>
            </w:r>
          </w:p>
        </w:tc>
        <w:tc>
          <w:tcPr>
            <w:tcW w:w="7339" w:type="dxa"/>
            <w:tcBorders>
              <w:top w:val="single" w:sz="8" w:space="0" w:color="000000"/>
            </w:tcBorders>
          </w:tcPr>
          <w:p>
            <w:pPr>
              <w:pStyle w:val="TableParagraph"/>
              <w:spacing w:line="262" w:lineRule="exact"/>
              <w:ind w:left="49"/>
              <w:rPr>
                <w:sz w:val="21"/>
              </w:rPr>
            </w:pPr>
            <w:r>
              <w:rPr>
                <w:w w:val="100"/>
                <w:sz w:val="21"/>
              </w:rPr>
              <w:t> </w:t>
            </w:r>
          </w:p>
        </w:tc>
      </w:tr>
      <w:tr>
        <w:trPr>
          <w:trHeight w:val="2499" w:hRule="atLeast"/>
        </w:trPr>
        <w:tc>
          <w:tcPr>
            <w:tcW w:w="796" w:type="dxa"/>
          </w:tcPr>
          <w:p>
            <w:pPr>
              <w:pStyle w:val="TableParagraph"/>
              <w:spacing w:line="265" w:lineRule="exact"/>
              <w:ind w:left="211"/>
              <w:rPr>
                <w:b/>
                <w:sz w:val="21"/>
              </w:rPr>
            </w:pPr>
            <w:r>
              <w:rPr>
                <w:b/>
                <w:sz w:val="21"/>
              </w:rPr>
              <w:t>1.1 </w:t>
            </w:r>
          </w:p>
        </w:tc>
        <w:tc>
          <w:tcPr>
            <w:tcW w:w="1787" w:type="dxa"/>
          </w:tcPr>
          <w:p>
            <w:pPr>
              <w:pStyle w:val="TableParagraph"/>
              <w:spacing w:line="265" w:lineRule="exact"/>
              <w:ind w:left="48"/>
              <w:rPr>
                <w:b/>
                <w:sz w:val="21"/>
              </w:rPr>
            </w:pPr>
            <w:r>
              <w:rPr>
                <w:b/>
                <w:sz w:val="21"/>
              </w:rPr>
              <w:t>合同构成</w:t>
            </w:r>
            <w:r>
              <w:rPr>
                <w:b/>
                <w:w w:val="99"/>
                <w:sz w:val="21"/>
              </w:rPr>
              <w:t>        </w:t>
            </w:r>
          </w:p>
        </w:tc>
        <w:tc>
          <w:tcPr>
            <w:tcW w:w="7339" w:type="dxa"/>
          </w:tcPr>
          <w:p>
            <w:pPr>
              <w:pStyle w:val="TableParagraph"/>
              <w:spacing w:line="268" w:lineRule="auto"/>
              <w:ind w:left="49"/>
              <w:rPr>
                <w:sz w:val="21"/>
              </w:rPr>
            </w:pPr>
            <w:r>
              <w:rPr>
                <w:spacing w:val="-6"/>
                <w:w w:val="100"/>
                <w:sz w:val="21"/>
              </w:rPr>
              <w:t>本附加合同由“汇丰康盈两全保险</w:t>
            </w:r>
            <w:r>
              <w:rPr>
                <w:spacing w:val="-6"/>
                <w:sz w:val="21"/>
              </w:rPr>
              <w:t> </w:t>
            </w:r>
            <w:r>
              <w:rPr>
                <w:rFonts w:ascii="Times New Roman" w:hAnsi="Times New Roman" w:eastAsia="Times New Roman"/>
                <w:w w:val="100"/>
                <w:sz w:val="21"/>
              </w:rPr>
              <w:t>A</w:t>
            </w:r>
            <w:r>
              <w:rPr>
                <w:rFonts w:ascii="Times New Roman" w:hAnsi="Times New Roman" w:eastAsia="Times New Roman"/>
                <w:sz w:val="21"/>
              </w:rPr>
              <w:t> </w:t>
            </w:r>
            <w:r>
              <w:rPr>
                <w:spacing w:val="-22"/>
                <w:w w:val="100"/>
                <w:sz w:val="21"/>
              </w:rPr>
              <w:t>款</w:t>
            </w:r>
            <w:r>
              <w:rPr>
                <w:spacing w:val="-3"/>
                <w:w w:val="100"/>
                <w:sz w:val="21"/>
              </w:rPr>
              <w:t>（</w:t>
            </w:r>
            <w:r>
              <w:rPr>
                <w:spacing w:val="-2"/>
                <w:w w:val="100"/>
                <w:sz w:val="21"/>
              </w:rPr>
              <w:t>分红型</w:t>
            </w:r>
            <w:r>
              <w:rPr>
                <w:spacing w:val="-25"/>
                <w:w w:val="100"/>
                <w:sz w:val="21"/>
              </w:rPr>
              <w:t>）</w:t>
            </w:r>
            <w:r>
              <w:rPr>
                <w:spacing w:val="-44"/>
                <w:w w:val="100"/>
                <w:sz w:val="21"/>
              </w:rPr>
              <w:t>合同”</w:t>
            </w:r>
            <w:r>
              <w:rPr>
                <w:w w:val="100"/>
                <w:sz w:val="21"/>
              </w:rPr>
              <w:t>（</w:t>
            </w:r>
            <w:r>
              <w:rPr>
                <w:spacing w:val="-18"/>
                <w:w w:val="100"/>
                <w:sz w:val="21"/>
              </w:rPr>
              <w:t>以下简称“主合同”</w:t>
            </w:r>
            <w:r>
              <w:rPr>
                <w:w w:val="100"/>
                <w:sz w:val="21"/>
              </w:rPr>
              <w:t>）</w:t>
            </w:r>
            <w:r>
              <w:rPr>
                <w:sz w:val="21"/>
              </w:rPr>
              <w:t>投保人提出申请，经我们同意而订立。本附加合同须附加于主合同方可生效。本附加合同为非分红保险合同。主合同中除与保单红利相关的条款外，主合同的条款也适用于本附加合同，若主合同与本附加合同的条款互有冲突，则以本</w:t>
            </w:r>
            <w:r>
              <w:rPr>
                <w:spacing w:val="-3"/>
                <w:sz w:val="21"/>
              </w:rPr>
              <w:t>附加合同为准。</w:t>
            </w:r>
            <w:r>
              <w:rPr>
                <w:sz w:val="21"/>
              </w:rPr>
              <w:t> </w:t>
            </w:r>
          </w:p>
          <w:p>
            <w:pPr>
              <w:pStyle w:val="TableParagraph"/>
              <w:spacing w:line="273" w:lineRule="auto" w:before="22"/>
              <w:ind w:left="49" w:right="106"/>
              <w:rPr>
                <w:sz w:val="21"/>
              </w:rPr>
            </w:pPr>
            <w:r>
              <w:rPr>
                <w:sz w:val="21"/>
              </w:rPr>
              <w:t>本附加合同的现金价值将并入主合同的现金价值，本附加合同构成主合同的一部分，不可分解。 </w:t>
            </w:r>
          </w:p>
          <w:p>
            <w:pPr>
              <w:pStyle w:val="TableParagraph"/>
              <w:spacing w:line="240" w:lineRule="auto" w:before="7"/>
              <w:ind w:left="49"/>
              <w:rPr>
                <w:sz w:val="21"/>
              </w:rPr>
            </w:pPr>
            <w:r>
              <w:rPr>
                <w:sz w:val="21"/>
              </w:rPr>
              <w:t>本附加合同代码 MI1。 </w:t>
            </w:r>
          </w:p>
        </w:tc>
      </w:tr>
      <w:tr>
        <w:trPr>
          <w:trHeight w:val="312" w:hRule="atLeast"/>
        </w:trPr>
        <w:tc>
          <w:tcPr>
            <w:tcW w:w="796" w:type="dxa"/>
          </w:tcPr>
          <w:p>
            <w:pPr>
              <w:pStyle w:val="TableParagraph"/>
              <w:spacing w:line="261" w:lineRule="exact"/>
              <w:ind w:left="49"/>
              <w:jc w:val="center"/>
              <w:rPr>
                <w:sz w:val="21"/>
              </w:rPr>
            </w:pPr>
            <w:r>
              <w:rPr>
                <w:w w:val="100"/>
                <w:sz w:val="21"/>
              </w:rPr>
              <w:t> </w:t>
            </w:r>
          </w:p>
        </w:tc>
        <w:tc>
          <w:tcPr>
            <w:tcW w:w="1787" w:type="dxa"/>
          </w:tcPr>
          <w:p>
            <w:pPr>
              <w:pStyle w:val="TableParagraph"/>
              <w:spacing w:line="261" w:lineRule="exact"/>
              <w:ind w:left="48"/>
              <w:rPr>
                <w:sz w:val="21"/>
              </w:rPr>
            </w:pPr>
            <w:r>
              <w:rPr>
                <w:w w:val="100"/>
                <w:sz w:val="21"/>
              </w:rPr>
              <w:t> </w:t>
            </w:r>
          </w:p>
        </w:tc>
        <w:tc>
          <w:tcPr>
            <w:tcW w:w="7339" w:type="dxa"/>
          </w:tcPr>
          <w:p>
            <w:pPr>
              <w:pStyle w:val="TableParagraph"/>
              <w:spacing w:line="261" w:lineRule="exact"/>
              <w:ind w:left="50"/>
              <w:rPr>
                <w:sz w:val="21"/>
              </w:rPr>
            </w:pPr>
            <w:r>
              <w:rPr>
                <w:w w:val="100"/>
                <w:sz w:val="21"/>
              </w:rPr>
              <w:t> </w:t>
            </w:r>
          </w:p>
        </w:tc>
      </w:tr>
      <w:tr>
        <w:trPr>
          <w:trHeight w:val="312" w:hRule="atLeast"/>
        </w:trPr>
        <w:tc>
          <w:tcPr>
            <w:tcW w:w="796" w:type="dxa"/>
          </w:tcPr>
          <w:p>
            <w:pPr>
              <w:pStyle w:val="TableParagraph"/>
              <w:spacing w:line="262" w:lineRule="exact"/>
              <w:ind w:left="211"/>
              <w:rPr>
                <w:b/>
                <w:sz w:val="21"/>
              </w:rPr>
            </w:pPr>
            <w:r>
              <w:rPr>
                <w:b/>
                <w:sz w:val="21"/>
              </w:rPr>
              <w:t>1.2 </w:t>
            </w:r>
          </w:p>
        </w:tc>
        <w:tc>
          <w:tcPr>
            <w:tcW w:w="1787" w:type="dxa"/>
          </w:tcPr>
          <w:p>
            <w:pPr>
              <w:pStyle w:val="TableParagraph"/>
              <w:spacing w:line="262" w:lineRule="exact"/>
              <w:ind w:left="48"/>
              <w:rPr>
                <w:b/>
                <w:sz w:val="21"/>
              </w:rPr>
            </w:pPr>
            <w:r>
              <w:rPr>
                <w:b/>
                <w:sz w:val="21"/>
              </w:rPr>
              <w:t>合同成立与生效</w:t>
            </w:r>
            <w:r>
              <w:rPr>
                <w:b/>
                <w:w w:val="99"/>
                <w:sz w:val="21"/>
              </w:rPr>
              <w:t>  </w:t>
            </w:r>
          </w:p>
        </w:tc>
        <w:tc>
          <w:tcPr>
            <w:tcW w:w="7339" w:type="dxa"/>
          </w:tcPr>
          <w:p>
            <w:pPr>
              <w:pStyle w:val="TableParagraph"/>
              <w:spacing w:line="262" w:lineRule="exact"/>
              <w:ind w:left="49"/>
              <w:rPr>
                <w:sz w:val="21"/>
              </w:rPr>
            </w:pPr>
            <w:r>
              <w:rPr>
                <w:spacing w:val="-10"/>
                <w:sz w:val="21"/>
              </w:rPr>
              <w:t>本附加合同必须与主合同同时投保，本附加合同的生效日与主合同生效日相同。</w:t>
            </w:r>
            <w:r>
              <w:rPr>
                <w:sz w:val="21"/>
              </w:rPr>
              <w:t> </w:t>
            </w:r>
          </w:p>
        </w:tc>
      </w:tr>
      <w:tr>
        <w:trPr>
          <w:trHeight w:val="311" w:hRule="atLeast"/>
        </w:trPr>
        <w:tc>
          <w:tcPr>
            <w:tcW w:w="796" w:type="dxa"/>
          </w:tcPr>
          <w:p>
            <w:pPr>
              <w:pStyle w:val="TableParagraph"/>
              <w:spacing w:line="261" w:lineRule="exact"/>
              <w:ind w:left="48"/>
              <w:jc w:val="center"/>
              <w:rPr>
                <w:sz w:val="21"/>
              </w:rPr>
            </w:pPr>
            <w:r>
              <w:rPr>
                <w:w w:val="100"/>
                <w:sz w:val="21"/>
              </w:rPr>
              <w:t> </w:t>
            </w:r>
          </w:p>
        </w:tc>
        <w:tc>
          <w:tcPr>
            <w:tcW w:w="1787" w:type="dxa"/>
          </w:tcPr>
          <w:p>
            <w:pPr>
              <w:pStyle w:val="TableParagraph"/>
              <w:spacing w:line="261" w:lineRule="exact"/>
              <w:ind w:left="48"/>
              <w:rPr>
                <w:sz w:val="21"/>
              </w:rPr>
            </w:pPr>
            <w:r>
              <w:rPr>
                <w:w w:val="100"/>
                <w:sz w:val="21"/>
              </w:rPr>
              <w:t> </w:t>
            </w:r>
          </w:p>
        </w:tc>
        <w:tc>
          <w:tcPr>
            <w:tcW w:w="7339" w:type="dxa"/>
          </w:tcPr>
          <w:p>
            <w:pPr>
              <w:pStyle w:val="TableParagraph"/>
              <w:spacing w:line="261" w:lineRule="exact"/>
              <w:ind w:left="49"/>
              <w:rPr>
                <w:sz w:val="21"/>
              </w:rPr>
            </w:pPr>
            <w:r>
              <w:rPr>
                <w:w w:val="100"/>
                <w:sz w:val="21"/>
              </w:rPr>
              <w:t> </w:t>
            </w:r>
          </w:p>
        </w:tc>
      </w:tr>
      <w:tr>
        <w:trPr>
          <w:trHeight w:val="2183" w:hRule="atLeast"/>
        </w:trPr>
        <w:tc>
          <w:tcPr>
            <w:tcW w:w="796" w:type="dxa"/>
          </w:tcPr>
          <w:p>
            <w:pPr>
              <w:pStyle w:val="TableParagraph"/>
              <w:spacing w:line="261" w:lineRule="exact"/>
              <w:ind w:left="211"/>
              <w:rPr>
                <w:b/>
                <w:sz w:val="21"/>
              </w:rPr>
            </w:pPr>
            <w:r>
              <w:rPr>
                <w:b/>
                <w:sz w:val="21"/>
              </w:rPr>
              <w:t>1.3 </w:t>
            </w:r>
          </w:p>
        </w:tc>
        <w:tc>
          <w:tcPr>
            <w:tcW w:w="1787" w:type="dxa"/>
          </w:tcPr>
          <w:p>
            <w:pPr>
              <w:pStyle w:val="TableParagraph"/>
              <w:spacing w:line="261" w:lineRule="exact"/>
              <w:ind w:left="48"/>
              <w:rPr>
                <w:b/>
                <w:sz w:val="21"/>
              </w:rPr>
            </w:pPr>
            <w:r>
              <w:rPr>
                <w:b/>
                <w:sz w:val="21"/>
              </w:rPr>
              <w:t>合同终止</w:t>
            </w:r>
            <w:r>
              <w:rPr>
                <w:b/>
                <w:w w:val="99"/>
                <w:sz w:val="21"/>
              </w:rPr>
              <w:t> </w:t>
            </w:r>
          </w:p>
        </w:tc>
        <w:tc>
          <w:tcPr>
            <w:tcW w:w="7339" w:type="dxa"/>
          </w:tcPr>
          <w:p>
            <w:pPr>
              <w:pStyle w:val="TableParagraph"/>
              <w:spacing w:line="261" w:lineRule="exact"/>
              <w:ind w:left="49"/>
              <w:rPr>
                <w:sz w:val="21"/>
              </w:rPr>
            </w:pPr>
            <w:r>
              <w:rPr>
                <w:sz w:val="21"/>
              </w:rPr>
              <w:t>发生下列情况之一时，本附加合同效力即时终止： </w:t>
            </w:r>
          </w:p>
          <w:p>
            <w:pPr>
              <w:pStyle w:val="TableParagraph"/>
              <w:spacing w:line="240" w:lineRule="auto" w:before="37"/>
              <w:ind w:left="49"/>
              <w:rPr>
                <w:sz w:val="21"/>
              </w:rPr>
            </w:pPr>
            <w:r>
              <w:rPr>
                <w:sz w:val="21"/>
              </w:rPr>
              <w:t>（1） 主合同效力终止； </w:t>
            </w:r>
          </w:p>
          <w:p>
            <w:pPr>
              <w:pStyle w:val="TableParagraph"/>
              <w:spacing w:line="240" w:lineRule="auto" w:before="37"/>
              <w:ind w:left="50"/>
              <w:rPr>
                <w:sz w:val="21"/>
              </w:rPr>
            </w:pPr>
            <w:r>
              <w:rPr>
                <w:sz w:val="21"/>
              </w:rPr>
              <w:t>（2） 您于合同有效期内向我们申请解除本附加合同； </w:t>
            </w:r>
          </w:p>
          <w:p>
            <w:pPr>
              <w:pStyle w:val="TableParagraph"/>
              <w:spacing w:line="240" w:lineRule="auto" w:before="37"/>
              <w:ind w:left="50"/>
              <w:rPr>
                <w:sz w:val="21"/>
              </w:rPr>
            </w:pPr>
            <w:r>
              <w:rPr>
                <w:w w:val="100"/>
                <w:sz w:val="21"/>
              </w:rPr>
              <w:t>（3</w:t>
            </w:r>
            <w:r>
              <w:rPr>
                <w:spacing w:val="-3"/>
                <w:w w:val="100"/>
                <w:sz w:val="21"/>
              </w:rPr>
              <w:t>）</w:t>
            </w:r>
            <w:r>
              <w:rPr>
                <w:spacing w:val="-18"/>
                <w:w w:val="100"/>
                <w:sz w:val="21"/>
              </w:rPr>
              <w:t> 我们给付“重大疾病保险金”；</w:t>
            </w:r>
            <w:r>
              <w:rPr>
                <w:w w:val="100"/>
                <w:sz w:val="21"/>
              </w:rPr>
              <w:t> </w:t>
            </w:r>
          </w:p>
          <w:p>
            <w:pPr>
              <w:pStyle w:val="TableParagraph"/>
              <w:spacing w:line="240" w:lineRule="auto" w:before="37"/>
              <w:ind w:left="50"/>
              <w:rPr>
                <w:sz w:val="21"/>
              </w:rPr>
            </w:pPr>
            <w:r>
              <w:rPr>
                <w:sz w:val="21"/>
              </w:rPr>
              <w:t>（4） 本附加合同约定的其他效力终止的情况。 </w:t>
            </w:r>
          </w:p>
          <w:p>
            <w:pPr>
              <w:pStyle w:val="TableParagraph"/>
              <w:spacing w:line="273" w:lineRule="auto" w:before="37"/>
              <w:ind w:left="50" w:right="42"/>
              <w:rPr>
                <w:sz w:val="21"/>
              </w:rPr>
            </w:pPr>
            <w:r>
              <w:rPr>
                <w:sz w:val="21"/>
              </w:rPr>
              <w:t>发生上述第（1）种情况，若主合同因给付保险金而效力终止的，本附加合同效力终止，且不退还任何费用。 </w:t>
            </w:r>
          </w:p>
        </w:tc>
      </w:tr>
      <w:tr>
        <w:trPr>
          <w:trHeight w:val="324" w:hRule="atLeast"/>
        </w:trPr>
        <w:tc>
          <w:tcPr>
            <w:tcW w:w="796" w:type="dxa"/>
          </w:tcPr>
          <w:p>
            <w:pPr>
              <w:pStyle w:val="TableParagraph"/>
              <w:spacing w:line="261" w:lineRule="exact"/>
              <w:ind w:left="49"/>
              <w:jc w:val="center"/>
              <w:rPr>
                <w:sz w:val="21"/>
              </w:rPr>
            </w:pPr>
            <w:r>
              <w:rPr>
                <w:w w:val="100"/>
                <w:sz w:val="21"/>
              </w:rPr>
              <w:t> </w:t>
            </w:r>
          </w:p>
        </w:tc>
        <w:tc>
          <w:tcPr>
            <w:tcW w:w="1787" w:type="dxa"/>
          </w:tcPr>
          <w:p>
            <w:pPr>
              <w:pStyle w:val="TableParagraph"/>
              <w:spacing w:line="261" w:lineRule="exact"/>
              <w:ind w:left="49"/>
              <w:rPr>
                <w:sz w:val="21"/>
              </w:rPr>
            </w:pPr>
            <w:r>
              <w:rPr>
                <w:w w:val="100"/>
                <w:sz w:val="21"/>
              </w:rPr>
              <w:t> </w:t>
            </w:r>
          </w:p>
        </w:tc>
        <w:tc>
          <w:tcPr>
            <w:tcW w:w="7339" w:type="dxa"/>
          </w:tcPr>
          <w:p>
            <w:pPr>
              <w:pStyle w:val="TableParagraph"/>
              <w:spacing w:line="261" w:lineRule="exact"/>
              <w:ind w:left="50"/>
              <w:rPr>
                <w:sz w:val="21"/>
              </w:rPr>
            </w:pPr>
            <w:r>
              <w:rPr>
                <w:w w:val="100"/>
                <w:sz w:val="21"/>
              </w:rPr>
              <w:t> </w:t>
            </w:r>
          </w:p>
        </w:tc>
      </w:tr>
      <w:tr>
        <w:trPr>
          <w:trHeight w:val="610" w:hRule="atLeast"/>
        </w:trPr>
        <w:tc>
          <w:tcPr>
            <w:tcW w:w="796" w:type="dxa"/>
            <w:tcBorders>
              <w:bottom w:val="single" w:sz="8" w:space="0" w:color="000000"/>
            </w:tcBorders>
          </w:tcPr>
          <w:p>
            <w:pPr>
              <w:pStyle w:val="TableParagraph"/>
              <w:spacing w:line="240" w:lineRule="auto" w:before="50"/>
              <w:ind w:left="268"/>
              <w:rPr>
                <w:b/>
                <w:sz w:val="40"/>
              </w:rPr>
            </w:pPr>
            <w:r>
              <w:rPr>
                <w:rFonts w:ascii="Arial"/>
                <w:b/>
                <w:sz w:val="40"/>
              </w:rPr>
              <w:t>v </w:t>
            </w:r>
            <w:r>
              <w:rPr>
                <w:b/>
                <w:w w:val="99"/>
                <w:sz w:val="40"/>
              </w:rPr>
              <w:t> </w:t>
            </w:r>
          </w:p>
        </w:tc>
        <w:tc>
          <w:tcPr>
            <w:tcW w:w="9126" w:type="dxa"/>
            <w:gridSpan w:val="2"/>
            <w:tcBorders>
              <w:bottom w:val="single" w:sz="8" w:space="0" w:color="000000"/>
            </w:tcBorders>
          </w:tcPr>
          <w:p>
            <w:pPr>
              <w:pStyle w:val="TableParagraph"/>
              <w:spacing w:line="240" w:lineRule="auto" w:before="102"/>
              <w:ind w:left="48"/>
              <w:rPr>
                <w:b/>
                <w:sz w:val="24"/>
              </w:rPr>
            </w:pPr>
            <w:r>
              <w:rPr>
                <w:b/>
                <w:w w:val="95"/>
                <w:sz w:val="24"/>
              </w:rPr>
              <w:t>我们提供的保障</w:t>
            </w:r>
            <w:r>
              <w:rPr>
                <w:b/>
                <w:w w:val="99"/>
                <w:sz w:val="24"/>
              </w:rPr>
              <w:t>                                                             </w:t>
            </w:r>
          </w:p>
        </w:tc>
      </w:tr>
      <w:tr>
        <w:trPr>
          <w:trHeight w:val="312" w:hRule="atLeast"/>
        </w:trPr>
        <w:tc>
          <w:tcPr>
            <w:tcW w:w="796" w:type="dxa"/>
            <w:tcBorders>
              <w:top w:val="single" w:sz="8" w:space="0" w:color="000000"/>
            </w:tcBorders>
          </w:tcPr>
          <w:p>
            <w:pPr>
              <w:pStyle w:val="TableParagraph"/>
              <w:spacing w:line="262" w:lineRule="exact"/>
              <w:ind w:left="48"/>
              <w:jc w:val="center"/>
              <w:rPr>
                <w:b/>
                <w:sz w:val="21"/>
              </w:rPr>
            </w:pPr>
            <w:r>
              <w:rPr>
                <w:b/>
                <w:w w:val="99"/>
                <w:sz w:val="21"/>
              </w:rPr>
              <w:t> </w:t>
            </w:r>
          </w:p>
        </w:tc>
        <w:tc>
          <w:tcPr>
            <w:tcW w:w="1787" w:type="dxa"/>
            <w:tcBorders>
              <w:top w:val="single" w:sz="8" w:space="0" w:color="000000"/>
            </w:tcBorders>
          </w:tcPr>
          <w:p>
            <w:pPr>
              <w:pStyle w:val="TableParagraph"/>
              <w:spacing w:line="262" w:lineRule="exact"/>
              <w:ind w:left="48"/>
              <w:rPr>
                <w:b/>
                <w:sz w:val="21"/>
              </w:rPr>
            </w:pPr>
            <w:r>
              <w:rPr>
                <w:b/>
                <w:w w:val="99"/>
                <w:sz w:val="21"/>
              </w:rPr>
              <w:t> </w:t>
            </w:r>
          </w:p>
        </w:tc>
        <w:tc>
          <w:tcPr>
            <w:tcW w:w="7339" w:type="dxa"/>
            <w:tcBorders>
              <w:top w:val="single" w:sz="8" w:space="0" w:color="000000"/>
            </w:tcBorders>
          </w:tcPr>
          <w:p>
            <w:pPr>
              <w:pStyle w:val="TableParagraph"/>
              <w:spacing w:line="262" w:lineRule="exact"/>
              <w:ind w:left="49"/>
              <w:rPr>
                <w:sz w:val="21"/>
              </w:rPr>
            </w:pPr>
            <w:r>
              <w:rPr>
                <w:w w:val="100"/>
                <w:sz w:val="21"/>
              </w:rPr>
              <w:t> </w:t>
            </w:r>
          </w:p>
        </w:tc>
      </w:tr>
      <w:tr>
        <w:trPr>
          <w:trHeight w:val="1871" w:hRule="atLeast"/>
        </w:trPr>
        <w:tc>
          <w:tcPr>
            <w:tcW w:w="796" w:type="dxa"/>
          </w:tcPr>
          <w:p>
            <w:pPr>
              <w:pStyle w:val="TableParagraph"/>
              <w:spacing w:line="261" w:lineRule="exact"/>
              <w:ind w:left="211"/>
              <w:rPr>
                <w:b/>
                <w:sz w:val="21"/>
              </w:rPr>
            </w:pPr>
            <w:r>
              <w:rPr>
                <w:b/>
                <w:sz w:val="21"/>
              </w:rPr>
              <w:t>2.1 </w:t>
            </w:r>
          </w:p>
        </w:tc>
        <w:tc>
          <w:tcPr>
            <w:tcW w:w="1787" w:type="dxa"/>
          </w:tcPr>
          <w:p>
            <w:pPr>
              <w:pStyle w:val="TableParagraph"/>
              <w:spacing w:line="261" w:lineRule="exact"/>
              <w:ind w:left="48"/>
              <w:rPr>
                <w:b/>
                <w:sz w:val="21"/>
              </w:rPr>
            </w:pPr>
            <w:r>
              <w:rPr>
                <w:b/>
                <w:sz w:val="21"/>
              </w:rPr>
              <w:t>保险金额</w:t>
            </w:r>
            <w:r>
              <w:rPr>
                <w:b/>
                <w:w w:val="99"/>
                <w:sz w:val="21"/>
              </w:rPr>
              <w:t> </w:t>
            </w:r>
          </w:p>
        </w:tc>
        <w:tc>
          <w:tcPr>
            <w:tcW w:w="7339" w:type="dxa"/>
          </w:tcPr>
          <w:p>
            <w:pPr>
              <w:pStyle w:val="TableParagraph"/>
              <w:spacing w:line="261" w:lineRule="exact"/>
              <w:ind w:left="49"/>
              <w:rPr>
                <w:sz w:val="21"/>
              </w:rPr>
            </w:pPr>
            <w:r>
              <w:rPr>
                <w:sz w:val="21"/>
              </w:rPr>
              <w:t>（1）基本保险金额 </w:t>
            </w:r>
          </w:p>
          <w:p>
            <w:pPr>
              <w:pStyle w:val="TableParagraph"/>
              <w:spacing w:line="240" w:lineRule="auto" w:before="37"/>
              <w:ind w:left="49"/>
              <w:rPr>
                <w:sz w:val="21"/>
              </w:rPr>
            </w:pPr>
            <w:r>
              <w:rPr>
                <w:sz w:val="21"/>
              </w:rPr>
              <w:t>本附加合同的基本保险金额必须与主合同基本保险金额相同。 </w:t>
            </w:r>
          </w:p>
          <w:p>
            <w:pPr>
              <w:pStyle w:val="TableParagraph"/>
              <w:spacing w:line="273" w:lineRule="auto" w:before="37"/>
              <w:ind w:left="50" w:right="141"/>
              <w:rPr>
                <w:sz w:val="21"/>
              </w:rPr>
            </w:pPr>
            <w:r>
              <w:rPr>
                <w:sz w:val="21"/>
              </w:rPr>
              <w:t>若主合同基本保险金额发生变更，则本附加合同的基本保险金额相应变更。本附加合同不得单独变更基本保险金额。 </w:t>
            </w:r>
          </w:p>
          <w:p>
            <w:pPr>
              <w:pStyle w:val="TableParagraph"/>
              <w:spacing w:line="240" w:lineRule="auto" w:before="7"/>
              <w:ind w:left="50"/>
              <w:rPr>
                <w:sz w:val="21"/>
              </w:rPr>
            </w:pPr>
            <w:r>
              <w:rPr>
                <w:sz w:val="21"/>
              </w:rPr>
              <w:t>（2）保险金额 </w:t>
            </w:r>
          </w:p>
          <w:p>
            <w:pPr>
              <w:pStyle w:val="TableParagraph"/>
              <w:spacing w:line="240" w:lineRule="auto" w:before="36"/>
              <w:ind w:left="50"/>
              <w:rPr>
                <w:sz w:val="21"/>
              </w:rPr>
            </w:pPr>
            <w:r>
              <w:rPr>
                <w:sz w:val="21"/>
              </w:rPr>
              <w:t>本附加合同的保险金额等于百分之一百五十的基本保险金额。 </w:t>
            </w:r>
          </w:p>
        </w:tc>
      </w:tr>
      <w:tr>
        <w:trPr>
          <w:trHeight w:val="312" w:hRule="atLeast"/>
        </w:trPr>
        <w:tc>
          <w:tcPr>
            <w:tcW w:w="796" w:type="dxa"/>
          </w:tcPr>
          <w:p>
            <w:pPr>
              <w:pStyle w:val="TableParagraph"/>
              <w:spacing w:line="262" w:lineRule="exact"/>
              <w:ind w:left="48"/>
              <w:jc w:val="center"/>
              <w:rPr>
                <w:b/>
                <w:sz w:val="21"/>
              </w:rPr>
            </w:pPr>
            <w:r>
              <w:rPr>
                <w:b/>
                <w:w w:val="99"/>
                <w:sz w:val="21"/>
              </w:rPr>
              <w:t> </w:t>
            </w:r>
          </w:p>
        </w:tc>
        <w:tc>
          <w:tcPr>
            <w:tcW w:w="1787" w:type="dxa"/>
          </w:tcPr>
          <w:p>
            <w:pPr>
              <w:pStyle w:val="TableParagraph"/>
              <w:spacing w:line="262" w:lineRule="exact"/>
              <w:ind w:left="48"/>
              <w:rPr>
                <w:b/>
                <w:sz w:val="21"/>
              </w:rPr>
            </w:pPr>
            <w:r>
              <w:rPr>
                <w:b/>
                <w:w w:val="99"/>
                <w:sz w:val="21"/>
              </w:rPr>
              <w:t> </w:t>
            </w:r>
          </w:p>
        </w:tc>
        <w:tc>
          <w:tcPr>
            <w:tcW w:w="7339" w:type="dxa"/>
          </w:tcPr>
          <w:p>
            <w:pPr>
              <w:pStyle w:val="TableParagraph"/>
              <w:spacing w:line="262" w:lineRule="exact"/>
              <w:ind w:left="49"/>
              <w:rPr>
                <w:sz w:val="21"/>
              </w:rPr>
            </w:pPr>
            <w:r>
              <w:rPr>
                <w:w w:val="100"/>
                <w:sz w:val="21"/>
              </w:rPr>
              <w:t> </w:t>
            </w:r>
          </w:p>
        </w:tc>
      </w:tr>
      <w:tr>
        <w:trPr>
          <w:trHeight w:val="312" w:hRule="atLeast"/>
        </w:trPr>
        <w:tc>
          <w:tcPr>
            <w:tcW w:w="796" w:type="dxa"/>
          </w:tcPr>
          <w:p>
            <w:pPr>
              <w:pStyle w:val="TableParagraph"/>
              <w:spacing w:line="261" w:lineRule="exact"/>
              <w:ind w:left="211"/>
              <w:rPr>
                <w:b/>
                <w:sz w:val="21"/>
              </w:rPr>
            </w:pPr>
            <w:r>
              <w:rPr>
                <w:b/>
                <w:sz w:val="21"/>
              </w:rPr>
              <w:t>2.2 </w:t>
            </w:r>
          </w:p>
        </w:tc>
        <w:tc>
          <w:tcPr>
            <w:tcW w:w="1787" w:type="dxa"/>
          </w:tcPr>
          <w:p>
            <w:pPr>
              <w:pStyle w:val="TableParagraph"/>
              <w:spacing w:line="261" w:lineRule="exact"/>
              <w:ind w:left="48"/>
              <w:rPr>
                <w:b/>
                <w:sz w:val="21"/>
              </w:rPr>
            </w:pPr>
            <w:r>
              <w:rPr>
                <w:b/>
                <w:sz w:val="21"/>
              </w:rPr>
              <w:t>保险责任</w:t>
            </w:r>
            <w:r>
              <w:rPr>
                <w:b/>
                <w:w w:val="99"/>
                <w:sz w:val="21"/>
              </w:rPr>
              <w:t>        </w:t>
            </w:r>
          </w:p>
        </w:tc>
        <w:tc>
          <w:tcPr>
            <w:tcW w:w="7339" w:type="dxa"/>
          </w:tcPr>
          <w:p>
            <w:pPr>
              <w:pStyle w:val="TableParagraph"/>
              <w:spacing w:line="261" w:lineRule="exact"/>
              <w:ind w:left="49"/>
              <w:rPr>
                <w:sz w:val="21"/>
              </w:rPr>
            </w:pPr>
            <w:r>
              <w:rPr>
                <w:sz w:val="21"/>
              </w:rPr>
              <w:t>在本附加合同有效期内，我们承担如下保险责任： </w:t>
            </w:r>
          </w:p>
        </w:tc>
      </w:tr>
      <w:tr>
        <w:trPr>
          <w:trHeight w:val="311" w:hRule="atLeast"/>
        </w:trPr>
        <w:tc>
          <w:tcPr>
            <w:tcW w:w="796" w:type="dxa"/>
          </w:tcPr>
          <w:p>
            <w:pPr>
              <w:pStyle w:val="TableParagraph"/>
              <w:spacing w:line="261" w:lineRule="exact"/>
              <w:ind w:left="48"/>
              <w:jc w:val="center"/>
              <w:rPr>
                <w:b/>
                <w:sz w:val="21"/>
              </w:rPr>
            </w:pPr>
            <w:r>
              <w:rPr>
                <w:b/>
                <w:w w:val="99"/>
                <w:sz w:val="21"/>
              </w:rPr>
              <w:t> </w:t>
            </w:r>
          </w:p>
        </w:tc>
        <w:tc>
          <w:tcPr>
            <w:tcW w:w="1787" w:type="dxa"/>
          </w:tcPr>
          <w:p>
            <w:pPr>
              <w:pStyle w:val="TableParagraph"/>
              <w:spacing w:line="261" w:lineRule="exact"/>
              <w:ind w:left="48"/>
              <w:rPr>
                <w:b/>
                <w:sz w:val="21"/>
              </w:rPr>
            </w:pPr>
            <w:r>
              <w:rPr>
                <w:b/>
                <w:w w:val="99"/>
                <w:sz w:val="21"/>
              </w:rPr>
              <w:t> </w:t>
            </w:r>
          </w:p>
        </w:tc>
        <w:tc>
          <w:tcPr>
            <w:tcW w:w="7339" w:type="dxa"/>
          </w:tcPr>
          <w:p>
            <w:pPr>
              <w:pStyle w:val="TableParagraph"/>
              <w:spacing w:line="261" w:lineRule="exact"/>
              <w:ind w:left="49"/>
              <w:rPr>
                <w:sz w:val="21"/>
              </w:rPr>
            </w:pPr>
            <w:r>
              <w:rPr>
                <w:w w:val="100"/>
                <w:sz w:val="21"/>
              </w:rPr>
              <w:t> </w:t>
            </w:r>
          </w:p>
        </w:tc>
      </w:tr>
      <w:tr>
        <w:trPr>
          <w:trHeight w:val="1247" w:hRule="atLeast"/>
        </w:trPr>
        <w:tc>
          <w:tcPr>
            <w:tcW w:w="796" w:type="dxa"/>
          </w:tcPr>
          <w:p>
            <w:pPr>
              <w:pStyle w:val="TableParagraph"/>
              <w:spacing w:line="261" w:lineRule="exact"/>
              <w:ind w:left="48"/>
              <w:jc w:val="center"/>
              <w:rPr>
                <w:b/>
                <w:sz w:val="21"/>
              </w:rPr>
            </w:pPr>
            <w:r>
              <w:rPr>
                <w:b/>
                <w:w w:val="99"/>
                <w:sz w:val="21"/>
              </w:rPr>
              <w:t> </w:t>
            </w:r>
          </w:p>
        </w:tc>
        <w:tc>
          <w:tcPr>
            <w:tcW w:w="1787" w:type="dxa"/>
          </w:tcPr>
          <w:p>
            <w:pPr>
              <w:pStyle w:val="TableParagraph"/>
              <w:spacing w:line="261" w:lineRule="exact"/>
              <w:ind w:left="48"/>
              <w:rPr>
                <w:b/>
                <w:sz w:val="21"/>
              </w:rPr>
            </w:pPr>
            <w:r>
              <w:rPr>
                <w:b/>
                <w:sz w:val="21"/>
              </w:rPr>
              <w:t>重大疾病保险金</w:t>
            </w:r>
            <w:r>
              <w:rPr>
                <w:b/>
                <w:w w:val="99"/>
                <w:sz w:val="21"/>
              </w:rPr>
              <w:t> </w:t>
            </w:r>
          </w:p>
        </w:tc>
        <w:tc>
          <w:tcPr>
            <w:tcW w:w="7339" w:type="dxa"/>
          </w:tcPr>
          <w:p>
            <w:pPr>
              <w:pStyle w:val="TableParagraph"/>
              <w:spacing w:line="261" w:lineRule="exact"/>
              <w:ind w:left="49"/>
              <w:rPr>
                <w:sz w:val="21"/>
              </w:rPr>
            </w:pPr>
            <w:r>
              <w:rPr>
                <w:sz w:val="21"/>
              </w:rPr>
              <w:t>若被保险人于本附加合同生效日或最后复效日（以较迟者为准）起60日后首次</w:t>
            </w:r>
          </w:p>
          <w:p>
            <w:pPr>
              <w:pStyle w:val="TableParagraph"/>
              <w:spacing w:line="273" w:lineRule="auto" w:before="37"/>
              <w:ind w:left="49" w:right="105" w:hanging="1"/>
              <w:jc w:val="both"/>
              <w:rPr>
                <w:sz w:val="21"/>
              </w:rPr>
            </w:pPr>
            <w:r>
              <w:rPr>
                <w:spacing w:val="-3"/>
                <w:sz w:val="21"/>
              </w:rPr>
              <w:t>出现疾病或症状，且被</w:t>
            </w:r>
            <w:r>
              <w:rPr>
                <w:b/>
                <w:sz w:val="21"/>
              </w:rPr>
              <w:t>专科医生</w:t>
            </w:r>
            <w:r>
              <w:rPr>
                <w:spacing w:val="-3"/>
                <w:sz w:val="21"/>
              </w:rPr>
              <w:t>确诊患有本附加合同所定义的重大疾病</w:t>
            </w:r>
            <w:r>
              <w:rPr>
                <w:sz w:val="21"/>
              </w:rPr>
              <w:t>（</w:t>
            </w:r>
            <w:r>
              <w:rPr>
                <w:spacing w:val="-3"/>
                <w:sz w:val="21"/>
              </w:rPr>
              <w:t>无论</w:t>
            </w:r>
            <w:r>
              <w:rPr>
                <w:spacing w:val="-2"/>
                <w:sz w:val="21"/>
              </w:rPr>
              <w:t>一种或多种</w:t>
            </w:r>
            <w:r>
              <w:rPr>
                <w:spacing w:val="-70"/>
                <w:sz w:val="21"/>
              </w:rPr>
              <w:t>）</w:t>
            </w:r>
            <w:r>
              <w:rPr>
                <w:spacing w:val="-11"/>
                <w:sz w:val="21"/>
              </w:rPr>
              <w:t>，则我们将按该重大疾病确诊时本附加合同的保险金额给付“重大</w:t>
            </w:r>
            <w:r>
              <w:rPr>
                <w:spacing w:val="-3"/>
                <w:sz w:val="21"/>
              </w:rPr>
              <w:t>疾病保险金”予被保险人，本附加合同保险责任终止。</w:t>
            </w:r>
            <w:r>
              <w:rPr>
                <w:sz w:val="21"/>
              </w:rPr>
              <w:t> </w:t>
            </w:r>
          </w:p>
        </w:tc>
      </w:tr>
      <w:tr>
        <w:trPr>
          <w:trHeight w:val="303" w:hRule="atLeast"/>
        </w:trPr>
        <w:tc>
          <w:tcPr>
            <w:tcW w:w="796" w:type="dxa"/>
          </w:tcPr>
          <w:p>
            <w:pPr>
              <w:pStyle w:val="TableParagraph"/>
              <w:spacing w:line="261" w:lineRule="exact"/>
              <w:ind w:left="48"/>
              <w:jc w:val="center"/>
              <w:rPr>
                <w:b/>
                <w:sz w:val="21"/>
              </w:rPr>
            </w:pPr>
            <w:r>
              <w:rPr>
                <w:b/>
                <w:w w:val="99"/>
                <w:sz w:val="21"/>
              </w:rPr>
              <w:t> </w:t>
            </w:r>
          </w:p>
        </w:tc>
        <w:tc>
          <w:tcPr>
            <w:tcW w:w="1787" w:type="dxa"/>
          </w:tcPr>
          <w:p>
            <w:pPr>
              <w:pStyle w:val="TableParagraph"/>
              <w:spacing w:line="261" w:lineRule="exact"/>
              <w:ind w:left="48"/>
              <w:rPr>
                <w:b/>
                <w:sz w:val="21"/>
              </w:rPr>
            </w:pPr>
            <w:r>
              <w:rPr>
                <w:b/>
                <w:w w:val="99"/>
                <w:sz w:val="21"/>
              </w:rPr>
              <w:t> </w:t>
            </w:r>
          </w:p>
        </w:tc>
        <w:tc>
          <w:tcPr>
            <w:tcW w:w="7339" w:type="dxa"/>
          </w:tcPr>
          <w:p>
            <w:pPr>
              <w:pStyle w:val="TableParagraph"/>
              <w:spacing w:line="261" w:lineRule="exact"/>
              <w:ind w:left="49"/>
              <w:rPr>
                <w:sz w:val="21"/>
              </w:rPr>
            </w:pPr>
            <w:r>
              <w:rPr>
                <w:w w:val="100"/>
                <w:sz w:val="21"/>
              </w:rPr>
              <w:t> </w:t>
            </w:r>
          </w:p>
        </w:tc>
      </w:tr>
      <w:tr>
        <w:trPr>
          <w:trHeight w:val="1529" w:hRule="atLeast"/>
        </w:trPr>
        <w:tc>
          <w:tcPr>
            <w:tcW w:w="796" w:type="dxa"/>
          </w:tcPr>
          <w:p>
            <w:pPr>
              <w:pStyle w:val="TableParagraph"/>
              <w:spacing w:line="282" w:lineRule="exact"/>
              <w:ind w:left="107"/>
              <w:rPr>
                <w:rFonts w:ascii="黑体"/>
                <w:b/>
                <w:sz w:val="24"/>
              </w:rPr>
            </w:pPr>
            <w:r>
              <w:rPr>
                <w:rFonts w:ascii="黑体"/>
                <w:b/>
                <w:sz w:val="24"/>
              </w:rPr>
              <w:t>2.3</w:t>
            </w:r>
          </w:p>
        </w:tc>
        <w:tc>
          <w:tcPr>
            <w:tcW w:w="1787" w:type="dxa"/>
          </w:tcPr>
          <w:p>
            <w:pPr>
              <w:pStyle w:val="TableParagraph"/>
              <w:spacing w:line="282" w:lineRule="exact"/>
              <w:ind w:left="48"/>
              <w:rPr>
                <w:b/>
                <w:sz w:val="21"/>
              </w:rPr>
            </w:pPr>
            <w:r>
              <w:rPr>
                <w:rFonts w:ascii="黑体" w:eastAsia="黑体" w:hint="eastAsia"/>
                <w:b/>
                <w:sz w:val="24"/>
              </w:rPr>
              <w:t>责任免除</w:t>
            </w:r>
            <w:r>
              <w:rPr>
                <w:b/>
                <w:w w:val="99"/>
                <w:sz w:val="21"/>
              </w:rPr>
              <w:t> </w:t>
            </w:r>
          </w:p>
        </w:tc>
        <w:tc>
          <w:tcPr>
            <w:tcW w:w="7339" w:type="dxa"/>
          </w:tcPr>
          <w:p>
            <w:pPr>
              <w:pStyle w:val="TableParagraph"/>
              <w:spacing w:line="281" w:lineRule="exact"/>
              <w:ind w:left="49"/>
              <w:rPr>
                <w:rFonts w:ascii="黑体" w:eastAsia="黑体" w:hint="eastAsia"/>
                <w:sz w:val="24"/>
              </w:rPr>
            </w:pPr>
            <w:r>
              <w:rPr>
                <w:rFonts w:ascii="黑体" w:eastAsia="黑体" w:hint="eastAsia"/>
                <w:sz w:val="24"/>
              </w:rPr>
              <w:t>因下列情形之一，导致被保险人发生疾病、达到疾病状态或进行手术</w:t>
            </w:r>
          </w:p>
          <w:p>
            <w:pPr>
              <w:pStyle w:val="TableParagraph"/>
              <w:spacing w:line="312" w:lineRule="exact"/>
              <w:ind w:left="49"/>
              <w:rPr>
                <w:rFonts w:ascii="黑体" w:eastAsia="黑体" w:hint="eastAsia"/>
                <w:sz w:val="24"/>
              </w:rPr>
            </w:pPr>
            <w:r>
              <w:rPr>
                <w:rFonts w:ascii="黑体" w:eastAsia="黑体" w:hint="eastAsia"/>
                <w:sz w:val="24"/>
              </w:rPr>
              <w:t>的，我们不承担给付重大疾病保险金的责任：</w:t>
            </w:r>
          </w:p>
          <w:p>
            <w:pPr>
              <w:pStyle w:val="TableParagraph"/>
              <w:spacing w:line="312" w:lineRule="exact"/>
              <w:ind w:left="49"/>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49"/>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293" w:lineRule="exact"/>
              <w:ind w:left="49"/>
              <w:rPr>
                <w:rFonts w:ascii="黑体" w:eastAsia="黑体" w:hint="eastAsia"/>
                <w:sz w:val="24"/>
              </w:rPr>
            </w:pPr>
            <w:r>
              <w:rPr>
                <w:rFonts w:ascii="黑体" w:eastAsia="黑体" w:hint="eastAsia"/>
                <w:sz w:val="24"/>
              </w:rPr>
              <w:t>（3）被保险人主动吸食或注射毒品；</w:t>
            </w:r>
          </w:p>
        </w:tc>
      </w:tr>
    </w:tbl>
    <w:p>
      <w:pPr>
        <w:spacing w:after="0" w:line="293" w:lineRule="exact"/>
        <w:rPr>
          <w:rFonts w:ascii="黑体" w:eastAsia="黑体" w:hint="eastAsia"/>
          <w:sz w:val="24"/>
        </w:rPr>
        <w:sectPr>
          <w:footerReference w:type="default" r:id="rId8"/>
          <w:pgSz w:w="11910" w:h="16840"/>
          <w:pgMar w:footer="380" w:header="0" w:top="780" w:bottom="56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1787"/>
        <w:gridCol w:w="8019"/>
      </w:tblGrid>
      <w:tr>
        <w:trPr>
          <w:trHeight w:val="3438" w:hRule="atLeast"/>
        </w:trPr>
        <w:tc>
          <w:tcPr>
            <w:tcW w:w="796" w:type="dxa"/>
            <w:tcBorders>
              <w:top w:val="single" w:sz="6" w:space="0" w:color="000000"/>
            </w:tcBorders>
          </w:tcPr>
          <w:p>
            <w:pPr>
              <w:pStyle w:val="TableParagraph"/>
              <w:spacing w:line="240" w:lineRule="auto"/>
              <w:rPr>
                <w:rFonts w:ascii="Times New Roman"/>
                <w:sz w:val="22"/>
              </w:rPr>
            </w:pPr>
          </w:p>
        </w:tc>
        <w:tc>
          <w:tcPr>
            <w:tcW w:w="1787" w:type="dxa"/>
            <w:tcBorders>
              <w:top w:val="single" w:sz="6" w:space="0" w:color="000000"/>
            </w:tcBorders>
          </w:tcPr>
          <w:p>
            <w:pPr>
              <w:pStyle w:val="TableParagraph"/>
              <w:spacing w:line="240" w:lineRule="auto"/>
              <w:rPr>
                <w:rFonts w:ascii="Times New Roman"/>
                <w:sz w:val="22"/>
              </w:rPr>
            </w:pPr>
          </w:p>
        </w:tc>
        <w:tc>
          <w:tcPr>
            <w:tcW w:w="8019" w:type="dxa"/>
            <w:tcBorders>
              <w:top w:val="single" w:sz="6" w:space="0" w:color="000000"/>
            </w:tcBorders>
          </w:tcPr>
          <w:p>
            <w:pPr>
              <w:pStyle w:val="TableParagraph"/>
              <w:spacing w:line="268" w:lineRule="exact"/>
              <w:ind w:left="49"/>
              <w:rPr>
                <w:rFonts w:ascii="黑体" w:eastAsia="黑体" w:hint="eastAsia"/>
                <w:sz w:val="24"/>
              </w:rPr>
            </w:pPr>
            <w:r>
              <w:rPr>
                <w:rFonts w:ascii="黑体" w:eastAsia="黑体" w:hint="eastAsia"/>
                <w:sz w:val="24"/>
              </w:rPr>
              <w:t>（4）被保险人酒后驾驶、无合法有效驾驶证驾驶，或驾驶无有效行</w:t>
            </w:r>
          </w:p>
          <w:p>
            <w:pPr>
              <w:pStyle w:val="TableParagraph"/>
              <w:spacing w:line="312" w:lineRule="exact"/>
              <w:ind w:left="49"/>
              <w:rPr>
                <w:rFonts w:ascii="黑体" w:eastAsia="黑体" w:hint="eastAsia"/>
                <w:sz w:val="24"/>
              </w:rPr>
            </w:pPr>
            <w:r>
              <w:rPr>
                <w:rFonts w:ascii="黑体" w:eastAsia="黑体" w:hint="eastAsia"/>
                <w:sz w:val="24"/>
              </w:rPr>
              <w:t>驶证的机动车；</w:t>
            </w:r>
          </w:p>
          <w:p>
            <w:pPr>
              <w:pStyle w:val="TableParagraph"/>
              <w:spacing w:line="312" w:lineRule="exact"/>
              <w:ind w:left="49"/>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49"/>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49"/>
              <w:rPr>
                <w:rFonts w:ascii="黑体" w:eastAsia="黑体" w:hint="eastAsia"/>
                <w:sz w:val="24"/>
              </w:rPr>
            </w:pPr>
            <w:r>
              <w:rPr>
                <w:rFonts w:ascii="黑体" w:eastAsia="黑体" w:hint="eastAsia"/>
                <w:sz w:val="24"/>
              </w:rPr>
              <w:t>（7）核爆炸、核辐射或核污染；</w:t>
            </w:r>
          </w:p>
          <w:p>
            <w:pPr>
              <w:pStyle w:val="TableParagraph"/>
              <w:spacing w:line="312" w:lineRule="exact"/>
              <w:ind w:left="49"/>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49" w:right="737"/>
              <w:rPr>
                <w:rFonts w:ascii="黑体" w:eastAsia="黑体" w:hint="eastAsia"/>
                <w:sz w:val="24"/>
              </w:rPr>
            </w:pPr>
            <w:r>
              <w:rPr>
                <w:rFonts w:ascii="黑体" w:eastAsia="黑体" w:hint="eastAsia"/>
                <w:sz w:val="24"/>
              </w:rPr>
              <w:t>发生上述第（1）项情形，导致被保险人发生疾病、达到疾病状态或进行手术的，本附加合同效力终止，我们将向被保险人退还本附加合同的现金价值。</w:t>
            </w:r>
          </w:p>
          <w:p>
            <w:pPr>
              <w:pStyle w:val="TableParagraph"/>
              <w:spacing w:line="237" w:lineRule="auto" w:before="1"/>
              <w:ind w:left="49" w:right="678"/>
              <w:rPr>
                <w:sz w:val="21"/>
              </w:rPr>
            </w:pPr>
            <w:r>
              <w:rPr>
                <w:rFonts w:ascii="黑体" w:eastAsia="黑体" w:hint="eastAsia"/>
                <w:spacing w:val="-3"/>
                <w:sz w:val="24"/>
              </w:rPr>
              <w:t>发生上述其他情形，导致被保险人发生疾病、达到疾病状态或进行手</w:t>
            </w:r>
            <w:r>
              <w:rPr>
                <w:rFonts w:ascii="黑体" w:eastAsia="黑体" w:hint="eastAsia"/>
                <w:spacing w:val="-17"/>
                <w:sz w:val="24"/>
              </w:rPr>
              <w:t>术的，本附加合同效力终止，我们将向您退还本附加合同的现金价值。</w:t>
            </w:r>
            <w:r>
              <w:rPr>
                <w:w w:val="100"/>
                <w:sz w:val="21"/>
              </w:rPr>
              <w:t> </w:t>
            </w:r>
          </w:p>
        </w:tc>
      </w:tr>
      <w:tr>
        <w:trPr>
          <w:trHeight w:val="318" w:hRule="atLeast"/>
        </w:trPr>
        <w:tc>
          <w:tcPr>
            <w:tcW w:w="796" w:type="dxa"/>
          </w:tcPr>
          <w:p>
            <w:pPr>
              <w:pStyle w:val="TableParagraph"/>
              <w:spacing w:line="252" w:lineRule="exact"/>
              <w:ind w:left="48"/>
              <w:jc w:val="center"/>
              <w:rPr>
                <w:b/>
                <w:sz w:val="21"/>
              </w:rPr>
            </w:pPr>
            <w:r>
              <w:rPr>
                <w:b/>
                <w:w w:val="99"/>
                <w:sz w:val="21"/>
              </w:rPr>
              <w:t> </w:t>
            </w:r>
          </w:p>
        </w:tc>
        <w:tc>
          <w:tcPr>
            <w:tcW w:w="1787" w:type="dxa"/>
          </w:tcPr>
          <w:p>
            <w:pPr>
              <w:pStyle w:val="TableParagraph"/>
              <w:spacing w:line="252" w:lineRule="exact"/>
              <w:ind w:left="48"/>
              <w:rPr>
                <w:b/>
                <w:sz w:val="21"/>
              </w:rPr>
            </w:pPr>
            <w:r>
              <w:rPr>
                <w:b/>
                <w:w w:val="99"/>
                <w:sz w:val="21"/>
              </w:rPr>
              <w:t> </w:t>
            </w:r>
          </w:p>
        </w:tc>
        <w:tc>
          <w:tcPr>
            <w:tcW w:w="8019" w:type="dxa"/>
          </w:tcPr>
          <w:p>
            <w:pPr>
              <w:pStyle w:val="TableParagraph"/>
              <w:spacing w:line="252" w:lineRule="exact"/>
              <w:ind w:left="49"/>
              <w:rPr>
                <w:sz w:val="21"/>
              </w:rPr>
            </w:pPr>
            <w:r>
              <w:rPr>
                <w:w w:val="100"/>
                <w:sz w:val="21"/>
              </w:rPr>
              <w:t> </w:t>
            </w:r>
          </w:p>
        </w:tc>
      </w:tr>
      <w:tr>
        <w:trPr>
          <w:trHeight w:val="610" w:hRule="atLeast"/>
        </w:trPr>
        <w:tc>
          <w:tcPr>
            <w:tcW w:w="796" w:type="dxa"/>
            <w:tcBorders>
              <w:bottom w:val="single" w:sz="8" w:space="0" w:color="000000"/>
            </w:tcBorders>
          </w:tcPr>
          <w:p>
            <w:pPr>
              <w:pStyle w:val="TableParagraph"/>
              <w:spacing w:line="240" w:lineRule="auto" w:before="46"/>
              <w:ind w:right="46"/>
              <w:jc w:val="right"/>
              <w:rPr>
                <w:b/>
                <w:sz w:val="40"/>
              </w:rPr>
            </w:pPr>
            <w:r>
              <w:rPr>
                <w:rFonts w:ascii="Arial"/>
                <w:b/>
                <w:w w:val="90"/>
                <w:sz w:val="40"/>
              </w:rPr>
              <w:t>w</w:t>
            </w:r>
            <w:r>
              <w:rPr>
                <w:b/>
                <w:w w:val="99"/>
                <w:sz w:val="40"/>
              </w:rPr>
              <w:t> </w:t>
            </w:r>
          </w:p>
        </w:tc>
        <w:tc>
          <w:tcPr>
            <w:tcW w:w="9806" w:type="dxa"/>
            <w:gridSpan w:val="2"/>
          </w:tcPr>
          <w:p>
            <w:pPr>
              <w:pStyle w:val="TableParagraph"/>
              <w:spacing w:line="240" w:lineRule="auto" w:before="98"/>
              <w:ind w:left="48"/>
              <w:rPr>
                <w:sz w:val="21"/>
              </w:rPr>
            </w:pPr>
            <w:r>
              <w:rPr>
                <w:b/>
                <w:sz w:val="24"/>
              </w:rPr>
              <w:t>保险金的申请</w:t>
            </w:r>
            <w:r>
              <w:rPr>
                <w:b/>
                <w:w w:val="99"/>
                <w:sz w:val="24"/>
              </w:rPr>
              <w:t>                                                            </w:t>
            </w:r>
            <w:r>
              <w:rPr>
                <w:w w:val="100"/>
                <w:sz w:val="21"/>
              </w:rPr>
              <w:t> </w:t>
            </w:r>
          </w:p>
        </w:tc>
      </w:tr>
      <w:tr>
        <w:trPr>
          <w:trHeight w:val="312" w:hRule="atLeast"/>
        </w:trPr>
        <w:tc>
          <w:tcPr>
            <w:tcW w:w="796" w:type="dxa"/>
            <w:tcBorders>
              <w:top w:val="single" w:sz="8" w:space="0" w:color="000000"/>
            </w:tcBorders>
          </w:tcPr>
          <w:p>
            <w:pPr>
              <w:pStyle w:val="TableParagraph"/>
              <w:spacing w:line="258" w:lineRule="exact"/>
              <w:ind w:left="48"/>
              <w:jc w:val="center"/>
              <w:rPr>
                <w:sz w:val="21"/>
              </w:rPr>
            </w:pPr>
            <w:r>
              <w:rPr>
                <w:w w:val="100"/>
                <w:sz w:val="21"/>
              </w:rPr>
              <w:t> </w:t>
            </w:r>
          </w:p>
        </w:tc>
        <w:tc>
          <w:tcPr>
            <w:tcW w:w="1787" w:type="dxa"/>
            <w:tcBorders>
              <w:top w:val="single" w:sz="8" w:space="0" w:color="000000"/>
            </w:tcBorders>
          </w:tcPr>
          <w:p>
            <w:pPr>
              <w:pStyle w:val="TableParagraph"/>
              <w:spacing w:line="258" w:lineRule="exact"/>
              <w:ind w:left="48"/>
              <w:rPr>
                <w:sz w:val="21"/>
              </w:rPr>
            </w:pPr>
            <w:r>
              <w:rPr>
                <w:w w:val="100"/>
                <w:sz w:val="21"/>
              </w:rPr>
              <w:t> </w:t>
            </w:r>
          </w:p>
        </w:tc>
        <w:tc>
          <w:tcPr>
            <w:tcW w:w="8019" w:type="dxa"/>
            <w:tcBorders>
              <w:top w:val="single" w:sz="8" w:space="0" w:color="000000"/>
            </w:tcBorders>
          </w:tcPr>
          <w:p>
            <w:pPr>
              <w:pStyle w:val="TableParagraph"/>
              <w:spacing w:line="258" w:lineRule="exact"/>
              <w:ind w:left="49"/>
              <w:rPr>
                <w:sz w:val="21"/>
              </w:rPr>
            </w:pPr>
            <w:r>
              <w:rPr>
                <w:w w:val="100"/>
                <w:sz w:val="21"/>
              </w:rPr>
              <w:t> </w:t>
            </w:r>
          </w:p>
        </w:tc>
      </w:tr>
      <w:tr>
        <w:trPr>
          <w:trHeight w:val="331" w:hRule="atLeast"/>
        </w:trPr>
        <w:tc>
          <w:tcPr>
            <w:tcW w:w="796" w:type="dxa"/>
          </w:tcPr>
          <w:p>
            <w:pPr>
              <w:pStyle w:val="TableParagraph"/>
              <w:spacing w:line="258" w:lineRule="exact"/>
              <w:ind w:left="211"/>
              <w:rPr>
                <w:b/>
                <w:sz w:val="21"/>
              </w:rPr>
            </w:pPr>
            <w:r>
              <w:rPr>
                <w:b/>
                <w:sz w:val="21"/>
              </w:rPr>
              <w:t>3.1 </w:t>
            </w:r>
          </w:p>
        </w:tc>
        <w:tc>
          <w:tcPr>
            <w:tcW w:w="1787" w:type="dxa"/>
          </w:tcPr>
          <w:p>
            <w:pPr>
              <w:pStyle w:val="TableParagraph"/>
              <w:spacing w:line="240" w:lineRule="auto" w:before="7"/>
              <w:ind w:left="48"/>
              <w:rPr>
                <w:b/>
                <w:sz w:val="24"/>
              </w:rPr>
            </w:pPr>
            <w:r>
              <w:rPr>
                <w:b/>
                <w:sz w:val="21"/>
              </w:rPr>
              <w:t>保险金申请</w:t>
            </w:r>
            <w:r>
              <w:rPr>
                <w:b/>
                <w:w w:val="99"/>
                <w:sz w:val="24"/>
              </w:rPr>
              <w:t>     </w:t>
            </w:r>
          </w:p>
        </w:tc>
        <w:tc>
          <w:tcPr>
            <w:tcW w:w="8019" w:type="dxa"/>
          </w:tcPr>
          <w:p>
            <w:pPr>
              <w:pStyle w:val="TableParagraph"/>
              <w:spacing w:line="258" w:lineRule="exact"/>
              <w:ind w:left="49"/>
              <w:rPr>
                <w:sz w:val="21"/>
              </w:rPr>
            </w:pPr>
            <w:r>
              <w:rPr>
                <w:sz w:val="21"/>
              </w:rPr>
              <w:t>在申请保险金时，请按照下列方式办理： </w:t>
            </w:r>
          </w:p>
        </w:tc>
      </w:tr>
      <w:tr>
        <w:trPr>
          <w:trHeight w:val="318" w:hRule="atLeast"/>
        </w:trPr>
        <w:tc>
          <w:tcPr>
            <w:tcW w:w="796" w:type="dxa"/>
          </w:tcPr>
          <w:p>
            <w:pPr>
              <w:pStyle w:val="TableParagraph"/>
              <w:spacing w:line="248" w:lineRule="exact"/>
              <w:ind w:left="48"/>
              <w:jc w:val="center"/>
              <w:rPr>
                <w:b/>
                <w:sz w:val="21"/>
              </w:rPr>
            </w:pPr>
            <w:r>
              <w:rPr>
                <w:b/>
                <w:w w:val="99"/>
                <w:sz w:val="21"/>
              </w:rPr>
              <w:t> </w:t>
            </w:r>
          </w:p>
        </w:tc>
        <w:tc>
          <w:tcPr>
            <w:tcW w:w="1787" w:type="dxa"/>
          </w:tcPr>
          <w:p>
            <w:pPr>
              <w:pStyle w:val="TableParagraph"/>
              <w:spacing w:line="272" w:lineRule="exact"/>
              <w:ind w:left="48"/>
              <w:rPr>
                <w:b/>
                <w:sz w:val="21"/>
              </w:rPr>
            </w:pPr>
            <w:r>
              <w:rPr>
                <w:b/>
                <w:w w:val="99"/>
                <w:sz w:val="21"/>
              </w:rPr>
              <w:t> </w:t>
            </w:r>
          </w:p>
        </w:tc>
        <w:tc>
          <w:tcPr>
            <w:tcW w:w="8019" w:type="dxa"/>
          </w:tcPr>
          <w:p>
            <w:pPr>
              <w:pStyle w:val="TableParagraph"/>
              <w:spacing w:line="248" w:lineRule="exact"/>
              <w:ind w:left="49"/>
              <w:rPr>
                <w:sz w:val="21"/>
              </w:rPr>
            </w:pPr>
            <w:r>
              <w:rPr>
                <w:w w:val="100"/>
                <w:sz w:val="21"/>
              </w:rPr>
              <w:t> </w:t>
            </w:r>
          </w:p>
        </w:tc>
      </w:tr>
      <w:tr>
        <w:trPr>
          <w:trHeight w:val="3347" w:hRule="atLeast"/>
        </w:trPr>
        <w:tc>
          <w:tcPr>
            <w:tcW w:w="796" w:type="dxa"/>
          </w:tcPr>
          <w:p>
            <w:pPr>
              <w:pStyle w:val="TableParagraph"/>
              <w:spacing w:line="249" w:lineRule="exact"/>
              <w:ind w:left="48"/>
              <w:jc w:val="center"/>
              <w:rPr>
                <w:b/>
                <w:sz w:val="21"/>
              </w:rPr>
            </w:pPr>
            <w:r>
              <w:rPr>
                <w:b/>
                <w:w w:val="99"/>
                <w:sz w:val="21"/>
              </w:rPr>
              <w:t> </w:t>
            </w:r>
          </w:p>
        </w:tc>
        <w:tc>
          <w:tcPr>
            <w:tcW w:w="1787" w:type="dxa"/>
          </w:tcPr>
          <w:p>
            <w:pPr>
              <w:pStyle w:val="TableParagraph"/>
              <w:spacing w:line="278" w:lineRule="auto"/>
              <w:ind w:left="48" w:right="257"/>
              <w:rPr>
                <w:b/>
                <w:sz w:val="21"/>
              </w:rPr>
            </w:pPr>
            <w:r>
              <w:rPr>
                <w:b/>
                <w:sz w:val="21"/>
              </w:rPr>
              <w:t>重大疾病保险金申请</w:t>
            </w:r>
            <w:r>
              <w:rPr>
                <w:b/>
                <w:w w:val="99"/>
                <w:sz w:val="21"/>
              </w:rPr>
              <w:t> </w:t>
            </w:r>
          </w:p>
        </w:tc>
        <w:tc>
          <w:tcPr>
            <w:tcW w:w="8019" w:type="dxa"/>
          </w:tcPr>
          <w:p>
            <w:pPr>
              <w:pStyle w:val="TableParagraph"/>
              <w:spacing w:line="249" w:lineRule="exact"/>
              <w:ind w:left="49"/>
              <w:rPr>
                <w:sz w:val="21"/>
              </w:rPr>
            </w:pPr>
            <w:r>
              <w:rPr>
                <w:sz w:val="21"/>
              </w:rPr>
              <w:t>由保险金申请人填写保险金给付申请书，并凭下列证明、资料原件向我们申请</w:t>
            </w:r>
          </w:p>
          <w:p>
            <w:pPr>
              <w:pStyle w:val="TableParagraph"/>
              <w:spacing w:line="240" w:lineRule="auto" w:before="37"/>
              <w:ind w:left="49"/>
              <w:rPr>
                <w:sz w:val="21"/>
              </w:rPr>
            </w:pPr>
            <w:r>
              <w:rPr>
                <w:sz w:val="21"/>
              </w:rPr>
              <w:t>给付保险金： </w:t>
            </w:r>
          </w:p>
          <w:p>
            <w:pPr>
              <w:pStyle w:val="TableParagraph"/>
              <w:spacing w:line="274" w:lineRule="exact" w:before="15"/>
              <w:ind w:left="49"/>
              <w:rPr>
                <w:sz w:val="21"/>
              </w:rPr>
            </w:pPr>
            <w:r>
              <w:rPr>
                <w:sz w:val="21"/>
              </w:rPr>
              <w:t>（1） 保险合同； </w:t>
            </w:r>
          </w:p>
          <w:p>
            <w:pPr>
              <w:pStyle w:val="TableParagraph"/>
              <w:spacing w:line="272" w:lineRule="exact"/>
              <w:ind w:left="50"/>
              <w:rPr>
                <w:sz w:val="21"/>
              </w:rPr>
            </w:pPr>
            <w:r>
              <w:rPr>
                <w:sz w:val="21"/>
              </w:rPr>
              <w:t>（2） 被保险人的法定身份证明； </w:t>
            </w:r>
          </w:p>
          <w:p>
            <w:pPr>
              <w:pStyle w:val="TableParagraph"/>
              <w:spacing w:line="271" w:lineRule="exact"/>
              <w:ind w:left="50"/>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8"/>
                <w:w w:val="100"/>
                <w:sz w:val="21"/>
              </w:rPr>
              <w:t>）</w:t>
            </w:r>
            <w:r>
              <w:rPr>
                <w:spacing w:val="-4"/>
                <w:w w:val="100"/>
                <w:sz w:val="21"/>
              </w:rPr>
              <w:t>；</w:t>
            </w:r>
            <w:r>
              <w:rPr>
                <w:w w:val="100"/>
                <w:sz w:val="21"/>
              </w:rPr>
              <w:t> </w:t>
            </w:r>
          </w:p>
          <w:p>
            <w:pPr>
              <w:pStyle w:val="TableParagraph"/>
              <w:spacing w:line="237" w:lineRule="auto"/>
              <w:ind w:left="592" w:right="778" w:hanging="543"/>
              <w:jc w:val="both"/>
              <w:rPr>
                <w:sz w:val="21"/>
              </w:rPr>
            </w:pPr>
            <w:r>
              <w:rPr>
                <w:sz w:val="21"/>
              </w:rPr>
              <w:t>（4）</w:t>
            </w:r>
            <w:r>
              <w:rPr>
                <w:spacing w:val="-13"/>
                <w:sz w:val="21"/>
              </w:rPr>
              <w:t> 由专科医生出具的疾病诊断书及相关所必需的检查结果证明</w:t>
            </w:r>
            <w:r>
              <w:rPr>
                <w:sz w:val="21"/>
              </w:rPr>
              <w:t>（</w:t>
            </w:r>
            <w:r>
              <w:rPr>
                <w:spacing w:val="-3"/>
                <w:sz w:val="21"/>
              </w:rPr>
              <w:t>如病理检查</w:t>
            </w:r>
            <w:r>
              <w:rPr>
                <w:spacing w:val="-3"/>
                <w:w w:val="100"/>
                <w:sz w:val="21"/>
              </w:rPr>
              <w:t>报告、血液检查报告、超声波、影像学及其它医学诊断检查报告等</w:t>
            </w:r>
            <w:r>
              <w:rPr>
                <w:spacing w:val="-104"/>
                <w:w w:val="100"/>
                <w:sz w:val="21"/>
              </w:rPr>
              <w:t>）</w:t>
            </w:r>
            <w:r>
              <w:rPr>
                <w:spacing w:val="-2"/>
                <w:w w:val="100"/>
                <w:sz w:val="21"/>
              </w:rPr>
              <w:t>，若</w:t>
            </w:r>
            <w:r>
              <w:rPr>
                <w:spacing w:val="-3"/>
                <w:sz w:val="21"/>
              </w:rPr>
              <w:t>接受外科手术者，还需提供外科手术证明文件；</w:t>
            </w:r>
            <w:r>
              <w:rPr>
                <w:sz w:val="21"/>
              </w:rPr>
              <w:t> </w:t>
            </w:r>
          </w:p>
          <w:p>
            <w:pPr>
              <w:pStyle w:val="TableParagraph"/>
              <w:spacing w:line="237" w:lineRule="auto" w:before="1"/>
              <w:ind w:left="592" w:right="778" w:hanging="543"/>
              <w:rPr>
                <w:sz w:val="21"/>
              </w:rPr>
            </w:pPr>
            <w:r>
              <w:rPr>
                <w:sz w:val="21"/>
              </w:rPr>
              <w:t>（5）</w:t>
            </w:r>
            <w:r>
              <w:rPr>
                <w:spacing w:val="-14"/>
                <w:sz w:val="21"/>
              </w:rPr>
              <w:t> 所能提供的与确认保险事故的性质、原因、伤害程度等有关的其它证明和</w:t>
            </w:r>
            <w:r>
              <w:rPr>
                <w:spacing w:val="-11"/>
                <w:sz w:val="21"/>
              </w:rPr>
              <w:t>资料。</w:t>
            </w:r>
            <w:r>
              <w:rPr>
                <w:sz w:val="21"/>
              </w:rPr>
              <w:t> </w:t>
            </w:r>
          </w:p>
          <w:p>
            <w:pPr>
              <w:pStyle w:val="TableParagraph"/>
              <w:spacing w:line="237" w:lineRule="auto" w:before="1"/>
              <w:ind w:left="50" w:right="786"/>
              <w:rPr>
                <w:sz w:val="21"/>
              </w:rPr>
            </w:pPr>
            <w:r>
              <w:rPr>
                <w:sz w:val="21"/>
              </w:rPr>
              <w:t>以上证明和资料不完整的，本公司将及时一次性通知申请人补充提供有关证明和资料。 </w:t>
            </w:r>
          </w:p>
        </w:tc>
      </w:tr>
      <w:tr>
        <w:trPr>
          <w:trHeight w:val="303" w:hRule="atLeast"/>
        </w:trPr>
        <w:tc>
          <w:tcPr>
            <w:tcW w:w="796" w:type="dxa"/>
          </w:tcPr>
          <w:p>
            <w:pPr>
              <w:pStyle w:val="TableParagraph"/>
              <w:spacing w:line="249" w:lineRule="exact"/>
              <w:ind w:left="48"/>
              <w:jc w:val="center"/>
              <w:rPr>
                <w:b/>
                <w:sz w:val="21"/>
              </w:rPr>
            </w:pPr>
            <w:r>
              <w:rPr>
                <w:b/>
                <w:w w:val="99"/>
                <w:sz w:val="21"/>
              </w:rPr>
              <w:t> </w:t>
            </w:r>
          </w:p>
        </w:tc>
        <w:tc>
          <w:tcPr>
            <w:tcW w:w="1787" w:type="dxa"/>
          </w:tcPr>
          <w:p>
            <w:pPr>
              <w:pStyle w:val="TableParagraph"/>
              <w:spacing w:line="249" w:lineRule="exact"/>
              <w:ind w:left="48"/>
              <w:rPr>
                <w:b/>
                <w:sz w:val="21"/>
              </w:rPr>
            </w:pPr>
            <w:r>
              <w:rPr>
                <w:b/>
                <w:w w:val="99"/>
                <w:sz w:val="21"/>
              </w:rPr>
              <w:t> </w:t>
            </w:r>
          </w:p>
        </w:tc>
        <w:tc>
          <w:tcPr>
            <w:tcW w:w="8019" w:type="dxa"/>
          </w:tcPr>
          <w:p>
            <w:pPr>
              <w:pStyle w:val="TableParagraph"/>
              <w:spacing w:line="249" w:lineRule="exact"/>
              <w:ind w:left="49"/>
              <w:rPr>
                <w:sz w:val="21"/>
              </w:rPr>
            </w:pPr>
            <w:r>
              <w:rPr>
                <w:w w:val="100"/>
                <w:sz w:val="21"/>
              </w:rPr>
              <w:t> </w:t>
            </w:r>
          </w:p>
        </w:tc>
      </w:tr>
      <w:tr>
        <w:trPr>
          <w:trHeight w:val="623" w:hRule="atLeast"/>
        </w:trPr>
        <w:tc>
          <w:tcPr>
            <w:tcW w:w="796" w:type="dxa"/>
          </w:tcPr>
          <w:p>
            <w:pPr>
              <w:pStyle w:val="TableParagraph"/>
              <w:ind w:left="211"/>
              <w:rPr>
                <w:b/>
                <w:sz w:val="21"/>
              </w:rPr>
            </w:pPr>
            <w:r>
              <w:rPr>
                <w:b/>
                <w:sz w:val="21"/>
              </w:rPr>
              <w:t>3.2 </w:t>
            </w:r>
          </w:p>
        </w:tc>
        <w:tc>
          <w:tcPr>
            <w:tcW w:w="1787" w:type="dxa"/>
          </w:tcPr>
          <w:p>
            <w:pPr>
              <w:pStyle w:val="TableParagraph"/>
              <w:ind w:left="48"/>
              <w:rPr>
                <w:b/>
                <w:sz w:val="21"/>
              </w:rPr>
            </w:pPr>
            <w:r>
              <w:rPr>
                <w:b/>
                <w:sz w:val="21"/>
              </w:rPr>
              <w:t>诉讼时效</w:t>
            </w:r>
            <w:r>
              <w:rPr>
                <w:b/>
                <w:w w:val="99"/>
                <w:sz w:val="21"/>
              </w:rPr>
              <w:t>        </w:t>
            </w:r>
          </w:p>
        </w:tc>
        <w:tc>
          <w:tcPr>
            <w:tcW w:w="8019" w:type="dxa"/>
          </w:tcPr>
          <w:p>
            <w:pPr>
              <w:pStyle w:val="TableParagraph"/>
              <w:ind w:left="49"/>
              <w:rPr>
                <w:sz w:val="21"/>
              </w:rPr>
            </w:pPr>
            <w:r>
              <w:rPr>
                <w:sz w:val="21"/>
              </w:rPr>
              <w:t>被保险人或其他有权领取重大疾病保险金的人向本公司请求给付重大疾病保险</w:t>
            </w:r>
          </w:p>
          <w:p>
            <w:pPr>
              <w:pStyle w:val="TableParagraph"/>
              <w:spacing w:line="240" w:lineRule="auto" w:before="37"/>
              <w:ind w:left="49"/>
              <w:rPr>
                <w:sz w:val="21"/>
              </w:rPr>
            </w:pPr>
            <w:r>
              <w:rPr>
                <w:sz w:val="21"/>
              </w:rPr>
              <w:t>金的诉讼时效期间为 2 年，自其知道或者应当知道保险事故发生之日起计算。 </w:t>
            </w:r>
          </w:p>
        </w:tc>
      </w:tr>
      <w:tr>
        <w:trPr>
          <w:trHeight w:val="324" w:hRule="atLeast"/>
        </w:trPr>
        <w:tc>
          <w:tcPr>
            <w:tcW w:w="796" w:type="dxa"/>
          </w:tcPr>
          <w:p>
            <w:pPr>
              <w:pStyle w:val="TableParagraph"/>
              <w:ind w:left="48"/>
              <w:jc w:val="center"/>
              <w:rPr>
                <w:b/>
                <w:sz w:val="21"/>
              </w:rPr>
            </w:pPr>
            <w:r>
              <w:rPr>
                <w:b/>
                <w:w w:val="99"/>
                <w:sz w:val="21"/>
              </w:rPr>
              <w:t> </w:t>
            </w:r>
          </w:p>
        </w:tc>
        <w:tc>
          <w:tcPr>
            <w:tcW w:w="1787" w:type="dxa"/>
          </w:tcPr>
          <w:p>
            <w:pPr>
              <w:pStyle w:val="TableParagraph"/>
              <w:ind w:left="48"/>
              <w:rPr>
                <w:b/>
                <w:sz w:val="21"/>
              </w:rPr>
            </w:pPr>
            <w:r>
              <w:rPr>
                <w:b/>
                <w:w w:val="99"/>
                <w:sz w:val="21"/>
              </w:rPr>
              <w:t> </w:t>
            </w:r>
          </w:p>
        </w:tc>
        <w:tc>
          <w:tcPr>
            <w:tcW w:w="8019" w:type="dxa"/>
          </w:tcPr>
          <w:p>
            <w:pPr>
              <w:pStyle w:val="TableParagraph"/>
              <w:ind w:left="49"/>
              <w:rPr>
                <w:b/>
                <w:sz w:val="21"/>
              </w:rPr>
            </w:pPr>
            <w:r>
              <w:rPr>
                <w:b/>
                <w:w w:val="99"/>
                <w:sz w:val="21"/>
              </w:rPr>
              <w:t> </w:t>
            </w:r>
          </w:p>
        </w:tc>
      </w:tr>
      <w:tr>
        <w:trPr>
          <w:trHeight w:val="610" w:hRule="atLeast"/>
        </w:trPr>
        <w:tc>
          <w:tcPr>
            <w:tcW w:w="796" w:type="dxa"/>
            <w:tcBorders>
              <w:bottom w:val="single" w:sz="8" w:space="0" w:color="000000"/>
            </w:tcBorders>
          </w:tcPr>
          <w:p>
            <w:pPr>
              <w:pStyle w:val="TableParagraph"/>
              <w:spacing w:line="240" w:lineRule="auto" w:before="46"/>
              <w:ind w:right="46"/>
              <w:jc w:val="right"/>
              <w:rPr>
                <w:b/>
                <w:sz w:val="40"/>
              </w:rPr>
            </w:pPr>
            <w:r>
              <w:rPr>
                <w:rFonts w:ascii="Arial"/>
                <w:b/>
                <w:w w:val="90"/>
                <w:sz w:val="40"/>
              </w:rPr>
              <w:t>x</w:t>
            </w:r>
            <w:r>
              <w:rPr>
                <w:rFonts w:ascii="Arial"/>
                <w:b/>
                <w:sz w:val="40"/>
              </w:rPr>
              <w:t> </w:t>
            </w:r>
            <w:r>
              <w:rPr>
                <w:b/>
                <w:w w:val="99"/>
                <w:sz w:val="40"/>
              </w:rPr>
              <w:t> </w:t>
            </w:r>
          </w:p>
        </w:tc>
        <w:tc>
          <w:tcPr>
            <w:tcW w:w="9806" w:type="dxa"/>
            <w:gridSpan w:val="2"/>
          </w:tcPr>
          <w:p>
            <w:pPr>
              <w:pStyle w:val="TableParagraph"/>
              <w:spacing w:line="240" w:lineRule="auto" w:before="98"/>
              <w:ind w:left="48"/>
              <w:rPr>
                <w:b/>
                <w:sz w:val="24"/>
              </w:rPr>
            </w:pPr>
            <w:r>
              <w:rPr>
                <w:b/>
                <w:sz w:val="24"/>
              </w:rPr>
              <w:t>保险费的交纳</w:t>
            </w:r>
            <w:r>
              <w:rPr>
                <w:b/>
                <w:w w:val="99"/>
                <w:sz w:val="24"/>
              </w:rPr>
              <w:t>                                                               </w:t>
            </w:r>
          </w:p>
        </w:tc>
      </w:tr>
      <w:tr>
        <w:trPr>
          <w:trHeight w:val="312" w:hRule="atLeast"/>
        </w:trPr>
        <w:tc>
          <w:tcPr>
            <w:tcW w:w="796" w:type="dxa"/>
            <w:tcBorders>
              <w:top w:val="single" w:sz="8" w:space="0" w:color="000000"/>
            </w:tcBorders>
          </w:tcPr>
          <w:p>
            <w:pPr>
              <w:pStyle w:val="TableParagraph"/>
              <w:spacing w:line="258" w:lineRule="exact"/>
              <w:ind w:left="48"/>
              <w:jc w:val="center"/>
              <w:rPr>
                <w:b/>
                <w:sz w:val="21"/>
              </w:rPr>
            </w:pPr>
            <w:r>
              <w:rPr>
                <w:b/>
                <w:w w:val="99"/>
                <w:sz w:val="21"/>
              </w:rPr>
              <w:t> </w:t>
            </w:r>
          </w:p>
        </w:tc>
        <w:tc>
          <w:tcPr>
            <w:tcW w:w="1787" w:type="dxa"/>
            <w:tcBorders>
              <w:top w:val="single" w:sz="8" w:space="0" w:color="000000"/>
            </w:tcBorders>
          </w:tcPr>
          <w:p>
            <w:pPr>
              <w:pStyle w:val="TableParagraph"/>
              <w:spacing w:line="258" w:lineRule="exact"/>
              <w:ind w:left="48"/>
              <w:rPr>
                <w:b/>
                <w:sz w:val="21"/>
              </w:rPr>
            </w:pPr>
            <w:r>
              <w:rPr>
                <w:b/>
                <w:w w:val="99"/>
                <w:sz w:val="21"/>
              </w:rPr>
              <w:t> </w:t>
            </w:r>
          </w:p>
        </w:tc>
        <w:tc>
          <w:tcPr>
            <w:tcW w:w="8019" w:type="dxa"/>
            <w:tcBorders>
              <w:top w:val="single" w:sz="8" w:space="0" w:color="000000"/>
            </w:tcBorders>
          </w:tcPr>
          <w:p>
            <w:pPr>
              <w:pStyle w:val="TableParagraph"/>
              <w:spacing w:line="258" w:lineRule="exact"/>
              <w:ind w:left="49"/>
              <w:rPr>
                <w:sz w:val="21"/>
              </w:rPr>
            </w:pPr>
            <w:r>
              <w:rPr>
                <w:w w:val="100"/>
                <w:sz w:val="21"/>
              </w:rPr>
              <w:t> </w:t>
            </w:r>
          </w:p>
        </w:tc>
      </w:tr>
      <w:tr>
        <w:trPr>
          <w:trHeight w:val="935" w:hRule="atLeast"/>
        </w:trPr>
        <w:tc>
          <w:tcPr>
            <w:tcW w:w="796" w:type="dxa"/>
          </w:tcPr>
          <w:p>
            <w:pPr>
              <w:pStyle w:val="TableParagraph"/>
              <w:ind w:left="211"/>
              <w:rPr>
                <w:b/>
                <w:sz w:val="21"/>
              </w:rPr>
            </w:pPr>
            <w:r>
              <w:rPr>
                <w:b/>
                <w:sz w:val="21"/>
              </w:rPr>
              <w:t>4.1 </w:t>
            </w:r>
          </w:p>
        </w:tc>
        <w:tc>
          <w:tcPr>
            <w:tcW w:w="1787" w:type="dxa"/>
          </w:tcPr>
          <w:p>
            <w:pPr>
              <w:pStyle w:val="TableParagraph"/>
              <w:ind w:left="48"/>
              <w:rPr>
                <w:b/>
                <w:sz w:val="21"/>
              </w:rPr>
            </w:pPr>
            <w:r>
              <w:rPr>
                <w:b/>
                <w:sz w:val="21"/>
              </w:rPr>
              <w:t>保险费的交纳</w:t>
            </w:r>
            <w:r>
              <w:rPr>
                <w:b/>
                <w:w w:val="99"/>
                <w:sz w:val="21"/>
              </w:rPr>
              <w:t> </w:t>
            </w:r>
          </w:p>
        </w:tc>
        <w:tc>
          <w:tcPr>
            <w:tcW w:w="8019" w:type="dxa"/>
          </w:tcPr>
          <w:p>
            <w:pPr>
              <w:pStyle w:val="TableParagraph"/>
              <w:ind w:left="49"/>
              <w:rPr>
                <w:sz w:val="21"/>
              </w:rPr>
            </w:pPr>
            <w:r>
              <w:rPr>
                <w:sz w:val="21"/>
              </w:rPr>
              <w:t>本附加合同的保险费是按保单年度计算的。本附加合同的交费方式和交费期间</w:t>
            </w:r>
          </w:p>
          <w:p>
            <w:pPr>
              <w:pStyle w:val="TableParagraph"/>
              <w:spacing w:line="273" w:lineRule="auto" w:before="37"/>
              <w:ind w:left="49" w:right="824"/>
              <w:rPr>
                <w:sz w:val="21"/>
              </w:rPr>
            </w:pPr>
            <w:r>
              <w:rPr>
                <w:sz w:val="21"/>
              </w:rPr>
              <w:t>与主合同相同。本附加合同的保险费必须与主合同的保险费同时交纳，不能单独交纳。 </w:t>
            </w:r>
          </w:p>
        </w:tc>
      </w:tr>
      <w:tr>
        <w:trPr>
          <w:trHeight w:val="324" w:hRule="atLeast"/>
        </w:trPr>
        <w:tc>
          <w:tcPr>
            <w:tcW w:w="796" w:type="dxa"/>
          </w:tcPr>
          <w:p>
            <w:pPr>
              <w:pStyle w:val="TableParagraph"/>
              <w:ind w:left="48"/>
              <w:jc w:val="center"/>
              <w:rPr>
                <w:b/>
                <w:sz w:val="21"/>
              </w:rPr>
            </w:pPr>
            <w:r>
              <w:rPr>
                <w:b/>
                <w:w w:val="99"/>
                <w:sz w:val="21"/>
              </w:rPr>
              <w:t> </w:t>
            </w:r>
          </w:p>
        </w:tc>
        <w:tc>
          <w:tcPr>
            <w:tcW w:w="1787" w:type="dxa"/>
          </w:tcPr>
          <w:p>
            <w:pPr>
              <w:pStyle w:val="TableParagraph"/>
              <w:ind w:left="48"/>
              <w:rPr>
                <w:b/>
                <w:sz w:val="21"/>
              </w:rPr>
            </w:pPr>
            <w:r>
              <w:rPr>
                <w:b/>
                <w:w w:val="99"/>
                <w:sz w:val="21"/>
              </w:rPr>
              <w:t> </w:t>
            </w:r>
          </w:p>
        </w:tc>
        <w:tc>
          <w:tcPr>
            <w:tcW w:w="8019" w:type="dxa"/>
          </w:tcPr>
          <w:p>
            <w:pPr>
              <w:pStyle w:val="TableParagraph"/>
              <w:ind w:left="49"/>
              <w:rPr>
                <w:sz w:val="21"/>
              </w:rPr>
            </w:pPr>
            <w:r>
              <w:rPr>
                <w:w w:val="100"/>
                <w:sz w:val="21"/>
              </w:rPr>
              <w:t> </w:t>
            </w:r>
          </w:p>
        </w:tc>
      </w:tr>
      <w:tr>
        <w:trPr>
          <w:trHeight w:val="610" w:hRule="atLeast"/>
        </w:trPr>
        <w:tc>
          <w:tcPr>
            <w:tcW w:w="796" w:type="dxa"/>
            <w:tcBorders>
              <w:bottom w:val="single" w:sz="8" w:space="0" w:color="000000"/>
            </w:tcBorders>
          </w:tcPr>
          <w:p>
            <w:pPr>
              <w:pStyle w:val="TableParagraph"/>
              <w:spacing w:line="240" w:lineRule="auto" w:before="46"/>
              <w:ind w:right="57"/>
              <w:jc w:val="center"/>
              <w:rPr>
                <w:rFonts w:ascii="Arial"/>
                <w:b/>
                <w:sz w:val="40"/>
              </w:rPr>
            </w:pPr>
            <w:r>
              <w:rPr>
                <w:rFonts w:ascii="Arial"/>
                <w:b/>
                <w:w w:val="90"/>
                <w:sz w:val="40"/>
              </w:rPr>
              <w:t>y</w:t>
            </w:r>
          </w:p>
        </w:tc>
        <w:tc>
          <w:tcPr>
            <w:tcW w:w="9806" w:type="dxa"/>
            <w:gridSpan w:val="2"/>
          </w:tcPr>
          <w:p>
            <w:pPr>
              <w:pStyle w:val="TableParagraph"/>
              <w:spacing w:line="240" w:lineRule="auto" w:before="98"/>
              <w:ind w:left="48"/>
              <w:rPr>
                <w:sz w:val="21"/>
              </w:rPr>
            </w:pPr>
            <w:r>
              <w:rPr>
                <w:b/>
                <w:sz w:val="24"/>
              </w:rPr>
              <w:t>合同解除</w:t>
            </w:r>
            <w:r>
              <w:rPr>
                <w:b/>
                <w:w w:val="99"/>
                <w:sz w:val="24"/>
              </w:rPr>
              <w:t>                                                              </w:t>
            </w:r>
            <w:r>
              <w:rPr>
                <w:w w:val="100"/>
                <w:sz w:val="21"/>
              </w:rPr>
              <w:t> </w:t>
            </w:r>
          </w:p>
        </w:tc>
      </w:tr>
      <w:tr>
        <w:trPr>
          <w:trHeight w:val="312" w:hRule="atLeast"/>
        </w:trPr>
        <w:tc>
          <w:tcPr>
            <w:tcW w:w="796" w:type="dxa"/>
            <w:tcBorders>
              <w:top w:val="single" w:sz="8" w:space="0" w:color="000000"/>
            </w:tcBorders>
          </w:tcPr>
          <w:p>
            <w:pPr>
              <w:pStyle w:val="TableParagraph"/>
              <w:spacing w:line="258" w:lineRule="exact"/>
              <w:ind w:left="48"/>
              <w:jc w:val="center"/>
              <w:rPr>
                <w:sz w:val="21"/>
              </w:rPr>
            </w:pPr>
            <w:r>
              <w:rPr>
                <w:w w:val="100"/>
                <w:sz w:val="21"/>
              </w:rPr>
              <w:t> </w:t>
            </w:r>
          </w:p>
        </w:tc>
        <w:tc>
          <w:tcPr>
            <w:tcW w:w="1787" w:type="dxa"/>
            <w:tcBorders>
              <w:top w:val="single" w:sz="8" w:space="0" w:color="000000"/>
            </w:tcBorders>
          </w:tcPr>
          <w:p>
            <w:pPr>
              <w:pStyle w:val="TableParagraph"/>
              <w:spacing w:line="258" w:lineRule="exact"/>
              <w:ind w:left="48"/>
              <w:rPr>
                <w:sz w:val="21"/>
              </w:rPr>
            </w:pPr>
            <w:r>
              <w:rPr>
                <w:w w:val="100"/>
                <w:sz w:val="21"/>
              </w:rPr>
              <w:t> </w:t>
            </w:r>
          </w:p>
        </w:tc>
        <w:tc>
          <w:tcPr>
            <w:tcW w:w="8019" w:type="dxa"/>
            <w:tcBorders>
              <w:top w:val="single" w:sz="8" w:space="0" w:color="000000"/>
            </w:tcBorders>
          </w:tcPr>
          <w:p>
            <w:pPr>
              <w:pStyle w:val="TableParagraph"/>
              <w:spacing w:line="258" w:lineRule="exact"/>
              <w:ind w:left="49"/>
              <w:rPr>
                <w:sz w:val="21"/>
              </w:rPr>
            </w:pPr>
            <w:r>
              <w:rPr>
                <w:w w:val="100"/>
                <w:sz w:val="21"/>
              </w:rPr>
              <w:t> </w:t>
            </w:r>
          </w:p>
        </w:tc>
      </w:tr>
      <w:tr>
        <w:trPr>
          <w:trHeight w:val="312" w:hRule="atLeast"/>
        </w:trPr>
        <w:tc>
          <w:tcPr>
            <w:tcW w:w="796" w:type="dxa"/>
          </w:tcPr>
          <w:p>
            <w:pPr>
              <w:pStyle w:val="TableParagraph"/>
              <w:ind w:left="211"/>
              <w:rPr>
                <w:b/>
                <w:sz w:val="21"/>
              </w:rPr>
            </w:pPr>
            <w:r>
              <w:rPr>
                <w:b/>
                <w:sz w:val="21"/>
              </w:rPr>
              <w:t>5.1 </w:t>
            </w:r>
          </w:p>
        </w:tc>
        <w:tc>
          <w:tcPr>
            <w:tcW w:w="1787" w:type="dxa"/>
          </w:tcPr>
          <w:p>
            <w:pPr>
              <w:pStyle w:val="TableParagraph"/>
              <w:ind w:left="48"/>
              <w:rPr>
                <w:b/>
                <w:sz w:val="21"/>
              </w:rPr>
            </w:pPr>
            <w:r>
              <w:rPr>
                <w:b/>
                <w:sz w:val="21"/>
              </w:rPr>
              <w:t>合同解除</w:t>
            </w:r>
            <w:r>
              <w:rPr>
                <w:b/>
                <w:w w:val="99"/>
                <w:sz w:val="21"/>
              </w:rPr>
              <w:t>        </w:t>
            </w:r>
          </w:p>
        </w:tc>
        <w:tc>
          <w:tcPr>
            <w:tcW w:w="8019" w:type="dxa"/>
          </w:tcPr>
          <w:p>
            <w:pPr>
              <w:pStyle w:val="TableParagraph"/>
              <w:ind w:left="49"/>
              <w:rPr>
                <w:sz w:val="21"/>
              </w:rPr>
            </w:pPr>
            <w:r>
              <w:rPr>
                <w:sz w:val="21"/>
              </w:rPr>
              <w:t>本附加合同不能单独解除，随主合同解除而一并解除。 </w:t>
            </w:r>
          </w:p>
        </w:tc>
      </w:tr>
      <w:tr>
        <w:trPr>
          <w:trHeight w:val="324" w:hRule="atLeast"/>
        </w:trPr>
        <w:tc>
          <w:tcPr>
            <w:tcW w:w="796" w:type="dxa"/>
          </w:tcPr>
          <w:p>
            <w:pPr>
              <w:pStyle w:val="TableParagraph"/>
              <w:ind w:left="48"/>
              <w:jc w:val="center"/>
              <w:rPr>
                <w:b/>
                <w:sz w:val="21"/>
              </w:rPr>
            </w:pPr>
            <w:r>
              <w:rPr>
                <w:b/>
                <w:w w:val="99"/>
                <w:sz w:val="21"/>
              </w:rPr>
              <w:t> </w:t>
            </w:r>
          </w:p>
        </w:tc>
        <w:tc>
          <w:tcPr>
            <w:tcW w:w="1787" w:type="dxa"/>
          </w:tcPr>
          <w:p>
            <w:pPr>
              <w:pStyle w:val="TableParagraph"/>
              <w:ind w:left="48"/>
              <w:rPr>
                <w:b/>
                <w:sz w:val="21"/>
              </w:rPr>
            </w:pPr>
            <w:r>
              <w:rPr>
                <w:b/>
                <w:w w:val="99"/>
                <w:sz w:val="21"/>
              </w:rPr>
              <w:t> </w:t>
            </w:r>
          </w:p>
        </w:tc>
        <w:tc>
          <w:tcPr>
            <w:tcW w:w="8019" w:type="dxa"/>
          </w:tcPr>
          <w:p>
            <w:pPr>
              <w:pStyle w:val="TableParagraph"/>
              <w:ind w:left="49"/>
              <w:rPr>
                <w:sz w:val="21"/>
              </w:rPr>
            </w:pPr>
            <w:r>
              <w:rPr>
                <w:w w:val="100"/>
                <w:sz w:val="21"/>
              </w:rPr>
              <w:t> </w:t>
            </w:r>
          </w:p>
        </w:tc>
      </w:tr>
      <w:tr>
        <w:trPr>
          <w:trHeight w:val="610" w:hRule="atLeast"/>
        </w:trPr>
        <w:tc>
          <w:tcPr>
            <w:tcW w:w="796" w:type="dxa"/>
            <w:tcBorders>
              <w:bottom w:val="single" w:sz="8" w:space="0" w:color="000000"/>
            </w:tcBorders>
          </w:tcPr>
          <w:p>
            <w:pPr>
              <w:pStyle w:val="TableParagraph"/>
              <w:spacing w:line="240" w:lineRule="auto" w:before="46"/>
              <w:ind w:right="46"/>
              <w:jc w:val="right"/>
              <w:rPr>
                <w:b/>
                <w:sz w:val="40"/>
              </w:rPr>
            </w:pPr>
            <w:r>
              <w:rPr>
                <w:rFonts w:ascii="Arial"/>
                <w:b/>
                <w:sz w:val="40"/>
              </w:rPr>
              <w:t>z </w:t>
            </w:r>
            <w:r>
              <w:rPr>
                <w:b/>
                <w:w w:val="99"/>
                <w:sz w:val="40"/>
              </w:rPr>
              <w:t> </w:t>
            </w:r>
          </w:p>
        </w:tc>
        <w:tc>
          <w:tcPr>
            <w:tcW w:w="9806" w:type="dxa"/>
            <w:gridSpan w:val="2"/>
          </w:tcPr>
          <w:p>
            <w:pPr>
              <w:pStyle w:val="TableParagraph"/>
              <w:spacing w:line="240" w:lineRule="auto" w:before="98"/>
              <w:ind w:left="48"/>
              <w:rPr>
                <w:sz w:val="21"/>
              </w:rPr>
            </w:pPr>
            <w:r>
              <w:rPr>
                <w:b/>
                <w:sz w:val="24"/>
              </w:rPr>
              <w:t>重大疾病释义</w:t>
            </w:r>
            <w:r>
              <w:rPr>
                <w:b/>
                <w:w w:val="99"/>
                <w:sz w:val="24"/>
              </w:rPr>
              <w:t>                                                          </w:t>
            </w:r>
            <w:r>
              <w:rPr>
                <w:w w:val="100"/>
                <w:sz w:val="21"/>
              </w:rPr>
              <w:t> </w:t>
            </w:r>
          </w:p>
        </w:tc>
      </w:tr>
      <w:tr>
        <w:trPr>
          <w:trHeight w:val="314" w:hRule="atLeast"/>
        </w:trPr>
        <w:tc>
          <w:tcPr>
            <w:tcW w:w="796" w:type="dxa"/>
            <w:tcBorders>
              <w:top w:val="single" w:sz="8" w:space="0" w:color="000000"/>
            </w:tcBorders>
          </w:tcPr>
          <w:p>
            <w:pPr>
              <w:pStyle w:val="TableParagraph"/>
              <w:spacing w:line="260" w:lineRule="exact"/>
              <w:ind w:left="48"/>
              <w:jc w:val="center"/>
              <w:rPr>
                <w:sz w:val="21"/>
              </w:rPr>
            </w:pPr>
            <w:r>
              <w:rPr>
                <w:w w:val="100"/>
                <w:sz w:val="21"/>
              </w:rPr>
              <w:t> </w:t>
            </w:r>
          </w:p>
        </w:tc>
        <w:tc>
          <w:tcPr>
            <w:tcW w:w="1787" w:type="dxa"/>
            <w:tcBorders>
              <w:top w:val="single" w:sz="8" w:space="0" w:color="000000"/>
            </w:tcBorders>
          </w:tcPr>
          <w:p>
            <w:pPr>
              <w:pStyle w:val="TableParagraph"/>
              <w:spacing w:line="260" w:lineRule="exact"/>
              <w:ind w:left="48"/>
              <w:rPr>
                <w:sz w:val="21"/>
              </w:rPr>
            </w:pPr>
            <w:r>
              <w:rPr>
                <w:w w:val="100"/>
                <w:sz w:val="21"/>
              </w:rPr>
              <w:t> </w:t>
            </w:r>
          </w:p>
        </w:tc>
        <w:tc>
          <w:tcPr>
            <w:tcW w:w="8019" w:type="dxa"/>
            <w:tcBorders>
              <w:top w:val="single" w:sz="8" w:space="0" w:color="000000"/>
            </w:tcBorders>
          </w:tcPr>
          <w:p>
            <w:pPr>
              <w:pStyle w:val="TableParagraph"/>
              <w:spacing w:line="260" w:lineRule="exact"/>
              <w:ind w:left="49"/>
              <w:rPr>
                <w:sz w:val="21"/>
              </w:rPr>
            </w:pPr>
            <w:r>
              <w:rPr>
                <w:w w:val="100"/>
                <w:sz w:val="21"/>
              </w:rPr>
              <w:t> </w:t>
            </w:r>
          </w:p>
        </w:tc>
      </w:tr>
      <w:tr>
        <w:trPr>
          <w:trHeight w:val="285" w:hRule="atLeast"/>
        </w:trPr>
        <w:tc>
          <w:tcPr>
            <w:tcW w:w="796" w:type="dxa"/>
          </w:tcPr>
          <w:p>
            <w:pPr>
              <w:pStyle w:val="TableParagraph"/>
              <w:ind w:left="211"/>
              <w:rPr>
                <w:b/>
                <w:sz w:val="21"/>
              </w:rPr>
            </w:pPr>
            <w:r>
              <w:rPr>
                <w:b/>
                <w:sz w:val="21"/>
              </w:rPr>
              <w:t>6.1 </w:t>
            </w:r>
          </w:p>
        </w:tc>
        <w:tc>
          <w:tcPr>
            <w:tcW w:w="1787" w:type="dxa"/>
          </w:tcPr>
          <w:p>
            <w:pPr>
              <w:pStyle w:val="TableParagraph"/>
              <w:ind w:left="48"/>
              <w:rPr>
                <w:b/>
                <w:sz w:val="21"/>
              </w:rPr>
            </w:pPr>
            <w:r>
              <w:rPr>
                <w:b/>
                <w:sz w:val="21"/>
              </w:rPr>
              <w:t>重大疾病介绍</w:t>
            </w:r>
            <w:r>
              <w:rPr>
                <w:b/>
                <w:w w:val="99"/>
                <w:sz w:val="21"/>
              </w:rPr>
              <w:t>    </w:t>
            </w:r>
          </w:p>
        </w:tc>
        <w:tc>
          <w:tcPr>
            <w:tcW w:w="8019" w:type="dxa"/>
          </w:tcPr>
          <w:p>
            <w:pPr>
              <w:pStyle w:val="TableParagraph"/>
              <w:spacing w:line="259" w:lineRule="exact" w:before="6"/>
              <w:ind w:left="49"/>
              <w:rPr>
                <w:sz w:val="21"/>
              </w:rPr>
            </w:pPr>
            <w:r>
              <w:rPr>
                <w:sz w:val="21"/>
              </w:rPr>
              <w:t>本附加合同所指的重大疾病共有 35 种。其中，第 1 种至第 25 种重大疾病均采</w:t>
            </w:r>
          </w:p>
        </w:tc>
      </w:tr>
    </w:tbl>
    <w:p>
      <w:pPr>
        <w:spacing w:after="0" w:line="259" w:lineRule="exact"/>
        <w:rPr>
          <w:sz w:val="21"/>
        </w:rPr>
        <w:sectPr>
          <w:pgSz w:w="11910" w:h="16840"/>
          <w:pgMar w:header="0" w:footer="380"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1917"/>
        <w:gridCol w:w="8027"/>
      </w:tblGrid>
      <w:tr>
        <w:trPr>
          <w:trHeight w:val="2568" w:hRule="atLeast"/>
        </w:trPr>
        <w:tc>
          <w:tcPr>
            <w:tcW w:w="581" w:type="dxa"/>
            <w:tcBorders>
              <w:top w:val="single" w:sz="6" w:space="0" w:color="000000"/>
            </w:tcBorders>
          </w:tcPr>
          <w:p>
            <w:pPr>
              <w:pStyle w:val="TableParagraph"/>
              <w:spacing w:line="240" w:lineRule="auto"/>
              <w:rPr>
                <w:rFonts w:ascii="Times New Roman"/>
                <w:sz w:val="20"/>
              </w:rPr>
            </w:pPr>
          </w:p>
        </w:tc>
        <w:tc>
          <w:tcPr>
            <w:tcW w:w="1917" w:type="dxa"/>
            <w:tcBorders>
              <w:top w:val="single" w:sz="6" w:space="0" w:color="000000"/>
            </w:tcBorders>
          </w:tcPr>
          <w:p>
            <w:pPr>
              <w:pStyle w:val="TableParagraph"/>
              <w:spacing w:line="240" w:lineRule="auto"/>
              <w:rPr>
                <w:rFonts w:ascii="Times New Roman"/>
                <w:sz w:val="20"/>
              </w:rPr>
            </w:pPr>
          </w:p>
        </w:tc>
        <w:tc>
          <w:tcPr>
            <w:tcW w:w="8027" w:type="dxa"/>
            <w:tcBorders>
              <w:top w:val="single" w:sz="6" w:space="0" w:color="000000"/>
            </w:tcBorders>
          </w:tcPr>
          <w:p>
            <w:pPr>
              <w:pStyle w:val="TableParagraph"/>
              <w:spacing w:line="240" w:lineRule="auto" w:before="7"/>
              <w:ind w:left="55"/>
              <w:rPr>
                <w:sz w:val="21"/>
              </w:rPr>
            </w:pPr>
            <w:r>
              <w:rPr>
                <w:sz w:val="21"/>
              </w:rPr>
              <w:t>用中国保险行业协会 2007 年 3 月发布的《重大疾病保险的疾病定义使用规范》</w:t>
            </w:r>
          </w:p>
          <w:p>
            <w:pPr>
              <w:pStyle w:val="TableParagraph"/>
              <w:spacing w:line="280" w:lineRule="auto" w:before="44"/>
              <w:ind w:left="55" w:right="786" w:hanging="1"/>
              <w:rPr>
                <w:sz w:val="21"/>
              </w:rPr>
            </w:pPr>
            <w:r>
              <w:rPr>
                <w:spacing w:val="-7"/>
                <w:sz w:val="21"/>
              </w:rPr>
              <w:t>中规定的重大疾病种类及定义；第 </w:t>
            </w:r>
            <w:r>
              <w:rPr>
                <w:sz w:val="21"/>
              </w:rPr>
              <w:t>26</w:t>
            </w:r>
            <w:r>
              <w:rPr>
                <w:spacing w:val="-20"/>
                <w:sz w:val="21"/>
              </w:rPr>
              <w:t> 种至第 </w:t>
            </w:r>
            <w:r>
              <w:rPr>
                <w:sz w:val="21"/>
              </w:rPr>
              <w:t>35</w:t>
            </w:r>
            <w:r>
              <w:rPr>
                <w:spacing w:val="-11"/>
                <w:sz w:val="21"/>
              </w:rPr>
              <w:t> 种重大疾病为本公司增加的 </w:t>
            </w:r>
            <w:r>
              <w:rPr>
                <w:sz w:val="21"/>
              </w:rPr>
              <w:t>10 </w:t>
            </w:r>
            <w:r>
              <w:rPr>
                <w:spacing w:val="-3"/>
                <w:sz w:val="21"/>
              </w:rPr>
              <w:t>种重大疾病。</w:t>
            </w:r>
            <w:r>
              <w:rPr>
                <w:sz w:val="21"/>
              </w:rPr>
              <w:t> </w:t>
            </w:r>
          </w:p>
          <w:p>
            <w:pPr>
              <w:pStyle w:val="TableParagraph"/>
              <w:spacing w:line="288" w:lineRule="exact"/>
              <w:ind w:left="55"/>
              <w:rPr>
                <w:rFonts w:ascii="黑体" w:eastAsia="黑体" w:hint="eastAsia"/>
                <w:sz w:val="24"/>
              </w:rPr>
            </w:pPr>
            <w:r>
              <w:rPr>
                <w:rFonts w:ascii="黑体" w:eastAsia="黑体" w:hint="eastAsia"/>
                <w:sz w:val="24"/>
              </w:rPr>
              <w:t>本附加合同的重大疾病定义可能与临床医学在概念和范围上有所不</w:t>
            </w:r>
          </w:p>
          <w:p>
            <w:pPr>
              <w:pStyle w:val="TableParagraph"/>
              <w:spacing w:line="244" w:lineRule="auto" w:before="5"/>
              <w:ind w:left="55" w:right="738"/>
              <w:rPr>
                <w:rFonts w:ascii="黑体" w:eastAsia="黑体" w:hint="eastAsia"/>
                <w:sz w:val="24"/>
              </w:rPr>
            </w:pPr>
            <w:r>
              <w:rPr>
                <w:rFonts w:ascii="黑体" w:eastAsia="黑体" w:hint="eastAsia"/>
                <w:sz w:val="24"/>
              </w:rPr>
              <w:t>同，您投保本附加合同即表明其认可并遵从本附加合同条款中对重大疾病的定义。</w:t>
            </w:r>
          </w:p>
          <w:p>
            <w:pPr>
              <w:pStyle w:val="TableParagraph"/>
              <w:spacing w:line="320" w:lineRule="exact" w:before="24"/>
              <w:ind w:left="56" w:right="680" w:hanging="1"/>
              <w:rPr>
                <w:sz w:val="21"/>
              </w:rPr>
            </w:pPr>
            <w:r>
              <w:rPr>
                <w:spacing w:val="-5"/>
                <w:sz w:val="21"/>
              </w:rPr>
              <w:t>本附加合同所指的重大疾病为符合下列定义的 </w:t>
            </w:r>
            <w:r>
              <w:rPr>
                <w:sz w:val="21"/>
              </w:rPr>
              <w:t>35</w:t>
            </w:r>
            <w:r>
              <w:rPr>
                <w:spacing w:val="-13"/>
                <w:sz w:val="21"/>
              </w:rPr>
              <w:t> 种疾病、疾病状态或手术。被</w:t>
            </w:r>
            <w:r>
              <w:rPr>
                <w:spacing w:val="-9"/>
                <w:sz w:val="21"/>
              </w:rPr>
              <w:t>保险人发生符合以下疾病定义所述条件的重大疾病，应当由专科医生明确诊断。</w:t>
            </w:r>
            <w:r>
              <w:rPr>
                <w:sz w:val="21"/>
              </w:rPr>
              <w:t> </w:t>
            </w:r>
          </w:p>
        </w:tc>
      </w:tr>
      <w:tr>
        <w:trPr>
          <w:trHeight w:val="320" w:hRule="atLeast"/>
        </w:trPr>
        <w:tc>
          <w:tcPr>
            <w:tcW w:w="581" w:type="dxa"/>
          </w:tcPr>
          <w:p>
            <w:pPr>
              <w:pStyle w:val="TableParagraph"/>
              <w:spacing w:line="250" w:lineRule="exact"/>
              <w:ind w:right="184"/>
              <w:jc w:val="right"/>
              <w:rPr>
                <w:b/>
                <w:sz w:val="21"/>
              </w:rPr>
            </w:pPr>
            <w:r>
              <w:rPr>
                <w:b/>
                <w:w w:val="99"/>
                <w:sz w:val="21"/>
              </w:rPr>
              <w:t> </w:t>
            </w:r>
          </w:p>
        </w:tc>
        <w:tc>
          <w:tcPr>
            <w:tcW w:w="1917" w:type="dxa"/>
          </w:tcPr>
          <w:p>
            <w:pPr>
              <w:pStyle w:val="TableParagraph"/>
              <w:spacing w:line="250" w:lineRule="exact"/>
              <w:ind w:left="184"/>
              <w:rPr>
                <w:b/>
                <w:sz w:val="21"/>
              </w:rPr>
            </w:pPr>
            <w:r>
              <w:rPr>
                <w:b/>
                <w:w w:val="99"/>
                <w:sz w:val="21"/>
              </w:rPr>
              <w:t> </w:t>
            </w:r>
          </w:p>
        </w:tc>
        <w:tc>
          <w:tcPr>
            <w:tcW w:w="8027" w:type="dxa"/>
          </w:tcPr>
          <w:p>
            <w:pPr>
              <w:pStyle w:val="TableParagraph"/>
              <w:spacing w:line="274" w:lineRule="exact"/>
              <w:ind w:left="55"/>
              <w:rPr>
                <w:sz w:val="21"/>
              </w:rPr>
            </w:pPr>
            <w:r>
              <w:rPr>
                <w:w w:val="100"/>
                <w:sz w:val="21"/>
              </w:rPr>
              <w:t> </w:t>
            </w:r>
          </w:p>
        </w:tc>
      </w:tr>
      <w:tr>
        <w:trPr>
          <w:trHeight w:val="3521" w:hRule="atLeast"/>
        </w:trPr>
        <w:tc>
          <w:tcPr>
            <w:tcW w:w="581" w:type="dxa"/>
          </w:tcPr>
          <w:p>
            <w:pPr>
              <w:pStyle w:val="TableParagraph"/>
              <w:spacing w:line="249" w:lineRule="exact"/>
              <w:ind w:right="184"/>
              <w:jc w:val="right"/>
              <w:rPr>
                <w:b/>
                <w:sz w:val="21"/>
              </w:rPr>
            </w:pPr>
            <w:r>
              <w:rPr>
                <w:b/>
                <w:w w:val="99"/>
                <w:sz w:val="21"/>
              </w:rPr>
              <w:t> </w:t>
            </w:r>
          </w:p>
        </w:tc>
        <w:tc>
          <w:tcPr>
            <w:tcW w:w="1917" w:type="dxa"/>
          </w:tcPr>
          <w:p>
            <w:pPr>
              <w:pStyle w:val="TableParagraph"/>
              <w:spacing w:line="273" w:lineRule="exact"/>
              <w:ind w:left="184"/>
              <w:rPr>
                <w:sz w:val="21"/>
              </w:rPr>
            </w:pPr>
            <w:r>
              <w:rPr>
                <w:sz w:val="21"/>
              </w:rPr>
              <w:t>1、恶性肿瘤 </w:t>
            </w:r>
          </w:p>
        </w:tc>
        <w:tc>
          <w:tcPr>
            <w:tcW w:w="8027" w:type="dxa"/>
          </w:tcPr>
          <w:p>
            <w:pPr>
              <w:pStyle w:val="TableParagraph"/>
              <w:spacing w:line="280" w:lineRule="auto"/>
              <w:ind w:left="55" w:right="824"/>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40" w:lineRule="auto" w:before="10"/>
              <w:ind w:left="55"/>
              <w:jc w:val="both"/>
              <w:rPr>
                <w:sz w:val="21"/>
              </w:rPr>
            </w:pPr>
            <w:r>
              <w:rPr>
                <w:sz w:val="21"/>
              </w:rPr>
              <w:t>（ICD-10）的恶性肿瘤范畴。                                           </w:t>
            </w:r>
          </w:p>
          <w:p>
            <w:pPr>
              <w:pStyle w:val="TableParagraph"/>
              <w:spacing w:line="240" w:lineRule="auto" w:before="9"/>
              <w:ind w:left="55"/>
              <w:jc w:val="both"/>
              <w:rPr>
                <w:rFonts w:ascii="黑体" w:eastAsia="黑体" w:hint="eastAsia"/>
                <w:sz w:val="24"/>
              </w:rPr>
            </w:pPr>
            <w:r>
              <w:rPr>
                <w:rFonts w:ascii="黑体" w:eastAsia="黑体" w:hint="eastAsia"/>
                <w:sz w:val="24"/>
              </w:rPr>
              <w:t>下列疾病不在保障范围内：</w:t>
            </w:r>
          </w:p>
          <w:p>
            <w:pPr>
              <w:pStyle w:val="TableParagraph"/>
              <w:spacing w:line="240" w:lineRule="auto" w:before="7"/>
              <w:ind w:left="55"/>
              <w:jc w:val="both"/>
              <w:rPr>
                <w:rFonts w:ascii="黑体" w:eastAsia="黑体" w:hint="eastAsia"/>
                <w:sz w:val="24"/>
              </w:rPr>
            </w:pPr>
            <w:r>
              <w:rPr>
                <w:rFonts w:ascii="黑体" w:eastAsia="黑体" w:hint="eastAsia"/>
                <w:sz w:val="24"/>
              </w:rPr>
              <w:t>（1）原位癌；</w:t>
            </w:r>
          </w:p>
          <w:p>
            <w:pPr>
              <w:pStyle w:val="TableParagraph"/>
              <w:spacing w:line="240" w:lineRule="auto" w:before="4"/>
              <w:ind w:left="55"/>
              <w:jc w:val="both"/>
              <w:rPr>
                <w:rFonts w:ascii="黑体" w:eastAsia="黑体" w:hint="eastAsia"/>
                <w:sz w:val="24"/>
              </w:rPr>
            </w:pPr>
            <w:r>
              <w:rPr>
                <w:rFonts w:ascii="黑体" w:eastAsia="黑体" w:hint="eastAsia"/>
                <w:sz w:val="24"/>
              </w:rPr>
              <w:t>（2）相当于 Binet 分期方案 A 期程度的慢性淋巴细胞白血病；</w:t>
            </w:r>
          </w:p>
          <w:p>
            <w:pPr>
              <w:pStyle w:val="TableParagraph"/>
              <w:spacing w:line="240" w:lineRule="auto" w:before="4"/>
              <w:ind w:left="55"/>
              <w:jc w:val="both"/>
              <w:rPr>
                <w:rFonts w:ascii="黑体" w:eastAsia="黑体" w:hint="eastAsia"/>
                <w:sz w:val="24"/>
              </w:rPr>
            </w:pPr>
            <w:r>
              <w:rPr>
                <w:rFonts w:ascii="黑体" w:eastAsia="黑体" w:hint="eastAsia"/>
                <w:sz w:val="24"/>
              </w:rPr>
              <w:t>（3）相当于 Ann Arbor 分期方案 I 期程度的何杰金氏病；</w:t>
            </w:r>
          </w:p>
          <w:p>
            <w:pPr>
              <w:pStyle w:val="TableParagraph"/>
              <w:spacing w:line="240" w:lineRule="auto" w:before="7"/>
              <w:ind w:left="55"/>
              <w:jc w:val="both"/>
              <w:rPr>
                <w:rFonts w:ascii="黑体" w:eastAsia="黑体" w:hint="eastAsia"/>
                <w:sz w:val="24"/>
              </w:rPr>
            </w:pPr>
            <w:r>
              <w:rPr>
                <w:rFonts w:ascii="黑体" w:eastAsia="黑体" w:hint="eastAsia"/>
                <w:sz w:val="24"/>
              </w:rPr>
              <w:t>（4）皮肤癌（不包括恶性黑色素瘤及已发生转移的皮肤癌</w:t>
            </w:r>
            <w:r>
              <w:rPr>
                <w:rFonts w:ascii="黑体" w:eastAsia="黑体" w:hint="eastAsia"/>
                <w:spacing w:val="-120"/>
                <w:sz w:val="24"/>
              </w:rPr>
              <w:t>）</w:t>
            </w:r>
            <w:r>
              <w:rPr>
                <w:rFonts w:ascii="黑体" w:eastAsia="黑体" w:hint="eastAsia"/>
                <w:sz w:val="24"/>
              </w:rPr>
              <w:t>；</w:t>
            </w:r>
          </w:p>
          <w:p>
            <w:pPr>
              <w:pStyle w:val="TableParagraph"/>
              <w:spacing w:line="240" w:lineRule="auto" w:before="4"/>
              <w:ind w:left="55"/>
              <w:jc w:val="both"/>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pStyle w:val="TableParagraph"/>
              <w:spacing w:line="240" w:lineRule="auto" w:before="2"/>
              <w:ind w:left="55"/>
              <w:jc w:val="both"/>
              <w:rPr>
                <w:sz w:val="21"/>
              </w:rPr>
            </w:pPr>
            <w:r>
              <w:rPr>
                <w:rFonts w:ascii="黑体" w:eastAsia="黑体" w:hint="eastAsia"/>
                <w:sz w:val="24"/>
              </w:rPr>
              <w:t>（6）感染艾滋病病毒或患艾滋病期间所患恶性肿瘤。</w:t>
            </w:r>
            <w:r>
              <w:rPr>
                <w:w w:val="100"/>
                <w:sz w:val="21"/>
              </w:rPr>
              <w:t> </w:t>
            </w:r>
          </w:p>
        </w:tc>
      </w:tr>
      <w:tr>
        <w:trPr>
          <w:trHeight w:val="318" w:hRule="atLeast"/>
        </w:trPr>
        <w:tc>
          <w:tcPr>
            <w:tcW w:w="581" w:type="dxa"/>
          </w:tcPr>
          <w:p>
            <w:pPr>
              <w:pStyle w:val="TableParagraph"/>
              <w:spacing w:line="248" w:lineRule="exact"/>
              <w:ind w:right="184"/>
              <w:jc w:val="right"/>
              <w:rPr>
                <w:b/>
                <w:sz w:val="21"/>
              </w:rPr>
            </w:pPr>
            <w:r>
              <w:rPr>
                <w:b/>
                <w:w w:val="99"/>
                <w:sz w:val="21"/>
              </w:rPr>
              <w:t> </w:t>
            </w:r>
          </w:p>
        </w:tc>
        <w:tc>
          <w:tcPr>
            <w:tcW w:w="1917" w:type="dxa"/>
          </w:tcPr>
          <w:p>
            <w:pPr>
              <w:pStyle w:val="TableParagraph"/>
              <w:spacing w:line="272" w:lineRule="exact"/>
              <w:ind w:left="184"/>
              <w:rPr>
                <w:sz w:val="21"/>
              </w:rPr>
            </w:pPr>
            <w:r>
              <w:rPr>
                <w:w w:val="100"/>
                <w:sz w:val="21"/>
              </w:rPr>
              <w:t> </w:t>
            </w:r>
          </w:p>
        </w:tc>
        <w:tc>
          <w:tcPr>
            <w:tcW w:w="8027" w:type="dxa"/>
          </w:tcPr>
          <w:p>
            <w:pPr>
              <w:pStyle w:val="TableParagraph"/>
              <w:spacing w:line="272" w:lineRule="exact"/>
              <w:ind w:left="55"/>
              <w:rPr>
                <w:sz w:val="21"/>
              </w:rPr>
            </w:pPr>
            <w:r>
              <w:rPr>
                <w:w w:val="100"/>
                <w:sz w:val="21"/>
              </w:rPr>
              <w:t> </w:t>
            </w:r>
          </w:p>
        </w:tc>
      </w:tr>
      <w:tr>
        <w:trPr>
          <w:trHeight w:val="2239" w:hRule="atLeast"/>
        </w:trPr>
        <w:tc>
          <w:tcPr>
            <w:tcW w:w="581" w:type="dxa"/>
          </w:tcPr>
          <w:p>
            <w:pPr>
              <w:pStyle w:val="TableParagraph"/>
              <w:spacing w:line="249" w:lineRule="exact"/>
              <w:ind w:right="184"/>
              <w:jc w:val="right"/>
              <w:rPr>
                <w:b/>
                <w:sz w:val="21"/>
              </w:rPr>
            </w:pPr>
            <w:r>
              <w:rPr>
                <w:b/>
                <w:w w:val="99"/>
                <w:sz w:val="21"/>
              </w:rPr>
              <w:t> </w:t>
            </w:r>
          </w:p>
        </w:tc>
        <w:tc>
          <w:tcPr>
            <w:tcW w:w="1917" w:type="dxa"/>
          </w:tcPr>
          <w:p>
            <w:pPr>
              <w:pStyle w:val="TableParagraph"/>
              <w:spacing w:line="249" w:lineRule="exact"/>
              <w:ind w:left="184"/>
              <w:rPr>
                <w:sz w:val="21"/>
              </w:rPr>
            </w:pPr>
            <w:r>
              <w:rPr>
                <w:sz w:val="21"/>
              </w:rPr>
              <w:t>2、急性心肌梗塞 </w:t>
            </w:r>
          </w:p>
        </w:tc>
        <w:tc>
          <w:tcPr>
            <w:tcW w:w="8027" w:type="dxa"/>
          </w:tcPr>
          <w:p>
            <w:pPr>
              <w:pStyle w:val="TableParagraph"/>
              <w:spacing w:line="278" w:lineRule="auto"/>
              <w:ind w:left="55" w:right="823"/>
              <w:rPr>
                <w:sz w:val="21"/>
              </w:rPr>
            </w:pPr>
            <w:r>
              <w:rPr>
                <w:sz w:val="21"/>
              </w:rPr>
              <w:t>指因冠状动脉阻塞导致的相应区域供血不足造成部分心肌坏死。须满足下列至少三项条件：  </w:t>
            </w:r>
          </w:p>
          <w:p>
            <w:pPr>
              <w:pStyle w:val="TableParagraph"/>
              <w:spacing w:line="240" w:lineRule="auto" w:before="15"/>
              <w:ind w:left="55"/>
              <w:rPr>
                <w:sz w:val="21"/>
              </w:rPr>
            </w:pPr>
            <w:r>
              <w:rPr>
                <w:sz w:val="21"/>
              </w:rPr>
              <w:t>（1） 典型临床表现，例如急性胸痛等；  </w:t>
            </w:r>
          </w:p>
          <w:p>
            <w:pPr>
              <w:pStyle w:val="TableParagraph"/>
              <w:spacing w:line="240" w:lineRule="auto" w:before="44"/>
              <w:ind w:left="55"/>
              <w:rPr>
                <w:sz w:val="21"/>
              </w:rPr>
            </w:pPr>
            <w:r>
              <w:rPr>
                <w:sz w:val="21"/>
              </w:rPr>
              <w:t>（2） 新近的心电图改变提示急性心肌梗塞；  </w:t>
            </w:r>
          </w:p>
          <w:p>
            <w:pPr>
              <w:pStyle w:val="TableParagraph"/>
              <w:spacing w:line="280" w:lineRule="auto" w:before="44"/>
              <w:ind w:left="600" w:right="780" w:hanging="545"/>
              <w:rPr>
                <w:sz w:val="21"/>
              </w:rPr>
            </w:pPr>
            <w:r>
              <w:rPr>
                <w:sz w:val="21"/>
              </w:rPr>
              <w:t>（3）</w:t>
            </w:r>
            <w:r>
              <w:rPr>
                <w:spacing w:val="-15"/>
                <w:sz w:val="21"/>
              </w:rPr>
              <w:t> 心肌酶或肌钙蛋白有诊断意义的升高，或呈符合急性心肌梗塞的动态性变化；</w:t>
            </w:r>
            <w:r>
              <w:rPr>
                <w:spacing w:val="-3"/>
                <w:sz w:val="21"/>
              </w:rPr>
              <w:t> </w:t>
            </w:r>
            <w:r>
              <w:rPr>
                <w:sz w:val="21"/>
              </w:rPr>
              <w:t> </w:t>
            </w:r>
          </w:p>
          <w:p>
            <w:pPr>
              <w:pStyle w:val="TableParagraph"/>
              <w:spacing w:line="240" w:lineRule="auto" w:before="8"/>
              <w:ind w:left="55"/>
              <w:rPr>
                <w:sz w:val="21"/>
              </w:rPr>
            </w:pPr>
            <w:r>
              <w:rPr>
                <w:sz w:val="21"/>
              </w:rPr>
              <w:t>（4）</w:t>
            </w:r>
            <w:r>
              <w:rPr>
                <w:spacing w:val="-32"/>
                <w:sz w:val="21"/>
              </w:rPr>
              <w:t> 发病 </w:t>
            </w:r>
            <w:r>
              <w:rPr>
                <w:sz w:val="21"/>
              </w:rPr>
              <w:t>90</w:t>
            </w:r>
            <w:r>
              <w:rPr>
                <w:spacing w:val="-13"/>
                <w:sz w:val="21"/>
              </w:rPr>
              <w:t> 天后，经检查证实左心室功能降低，如左心室射血分数低于 </w:t>
            </w:r>
            <w:r>
              <w:rPr>
                <w:sz w:val="21"/>
              </w:rPr>
              <w:t>50</w:t>
            </w:r>
            <w:r>
              <w:rPr>
                <w:spacing w:val="-53"/>
                <w:sz w:val="21"/>
              </w:rPr>
              <w:t>%。</w:t>
            </w:r>
            <w:r>
              <w:rPr>
                <w:sz w:val="21"/>
              </w:rPr>
              <w:t> </w:t>
            </w:r>
          </w:p>
        </w:tc>
      </w:tr>
      <w:tr>
        <w:trPr>
          <w:trHeight w:val="320" w:hRule="atLeast"/>
        </w:trPr>
        <w:tc>
          <w:tcPr>
            <w:tcW w:w="581" w:type="dxa"/>
          </w:tcPr>
          <w:p>
            <w:pPr>
              <w:pStyle w:val="TableParagraph"/>
              <w:spacing w:line="249" w:lineRule="exact"/>
              <w:ind w:right="184"/>
              <w:jc w:val="right"/>
              <w:rPr>
                <w:b/>
                <w:sz w:val="21"/>
              </w:rPr>
            </w:pPr>
            <w:r>
              <w:rPr>
                <w:b/>
                <w:w w:val="99"/>
                <w:sz w:val="21"/>
              </w:rPr>
              <w:t> </w:t>
            </w:r>
          </w:p>
        </w:tc>
        <w:tc>
          <w:tcPr>
            <w:tcW w:w="1917" w:type="dxa"/>
          </w:tcPr>
          <w:p>
            <w:pPr>
              <w:pStyle w:val="TableParagraph"/>
              <w:spacing w:line="273" w:lineRule="exact"/>
              <w:ind w:left="184"/>
              <w:rPr>
                <w:sz w:val="21"/>
              </w:rPr>
            </w:pPr>
            <w:r>
              <w:rPr>
                <w:w w:val="100"/>
                <w:sz w:val="21"/>
              </w:rPr>
              <w:t> </w:t>
            </w:r>
          </w:p>
        </w:tc>
        <w:tc>
          <w:tcPr>
            <w:tcW w:w="8027" w:type="dxa"/>
          </w:tcPr>
          <w:p>
            <w:pPr>
              <w:pStyle w:val="TableParagraph"/>
              <w:spacing w:line="273" w:lineRule="exact"/>
              <w:ind w:left="55"/>
              <w:rPr>
                <w:sz w:val="21"/>
              </w:rPr>
            </w:pPr>
            <w:r>
              <w:rPr>
                <w:w w:val="100"/>
                <w:sz w:val="21"/>
              </w:rPr>
              <w:t> </w:t>
            </w:r>
          </w:p>
        </w:tc>
      </w:tr>
      <w:tr>
        <w:trPr>
          <w:trHeight w:val="2216" w:hRule="atLeast"/>
        </w:trPr>
        <w:tc>
          <w:tcPr>
            <w:tcW w:w="581" w:type="dxa"/>
          </w:tcPr>
          <w:p>
            <w:pPr>
              <w:pStyle w:val="TableParagraph"/>
              <w:spacing w:line="250" w:lineRule="exact"/>
              <w:ind w:right="184"/>
              <w:jc w:val="right"/>
              <w:rPr>
                <w:b/>
                <w:sz w:val="21"/>
              </w:rPr>
            </w:pPr>
            <w:r>
              <w:rPr>
                <w:b/>
                <w:w w:val="99"/>
                <w:sz w:val="21"/>
              </w:rPr>
              <w:t> </w:t>
            </w:r>
          </w:p>
        </w:tc>
        <w:tc>
          <w:tcPr>
            <w:tcW w:w="1917" w:type="dxa"/>
          </w:tcPr>
          <w:p>
            <w:pPr>
              <w:pStyle w:val="TableParagraph"/>
              <w:spacing w:line="278" w:lineRule="auto"/>
              <w:ind w:left="184" w:right="362"/>
              <w:rPr>
                <w:sz w:val="21"/>
              </w:rPr>
            </w:pPr>
            <w:r>
              <w:rPr>
                <w:sz w:val="21"/>
              </w:rPr>
              <w:t>3. 脑中风后遗症 </w:t>
            </w:r>
          </w:p>
        </w:tc>
        <w:tc>
          <w:tcPr>
            <w:tcW w:w="8027" w:type="dxa"/>
          </w:tcPr>
          <w:p>
            <w:pPr>
              <w:pStyle w:val="TableParagraph"/>
              <w:spacing w:line="250" w:lineRule="exact"/>
              <w:ind w:left="55"/>
              <w:rPr>
                <w:sz w:val="21"/>
              </w:rPr>
            </w:pPr>
            <w:r>
              <w:rPr>
                <w:sz w:val="21"/>
              </w:rPr>
              <w:t>指因脑血管的突发病变引起脑血管出血、栓塞或梗塞，并导致神经系统永久性</w:t>
            </w:r>
          </w:p>
          <w:p>
            <w:pPr>
              <w:pStyle w:val="TableParagraph"/>
              <w:spacing w:line="273" w:lineRule="auto" w:before="37"/>
              <w:ind w:left="55" w:right="785"/>
              <w:rPr>
                <w:sz w:val="21"/>
              </w:rPr>
            </w:pPr>
            <w:r>
              <w:rPr>
                <w:spacing w:val="-7"/>
                <w:sz w:val="21"/>
              </w:rPr>
              <w:t>的功能障碍。神经系统永久性的功能障碍，指疾病确诊</w:t>
            </w:r>
            <w:r>
              <w:rPr>
                <w:sz w:val="21"/>
              </w:rPr>
              <w:t>180</w:t>
            </w:r>
            <w:r>
              <w:rPr>
                <w:spacing w:val="-6"/>
                <w:sz w:val="21"/>
              </w:rPr>
              <w:t>天后，仍遗留下列一</w:t>
            </w:r>
            <w:r>
              <w:rPr>
                <w:spacing w:val="-3"/>
                <w:sz w:val="21"/>
              </w:rPr>
              <w:t>种或一种以上障碍： </w:t>
            </w:r>
            <w:r>
              <w:rPr>
                <w:sz w:val="21"/>
              </w:rPr>
              <w:t> </w:t>
            </w:r>
          </w:p>
          <w:p>
            <w:pPr>
              <w:pStyle w:val="TableParagraph"/>
              <w:spacing w:line="240" w:lineRule="auto" w:before="32"/>
              <w:ind w:left="55"/>
              <w:rPr>
                <w:sz w:val="21"/>
              </w:rPr>
            </w:pPr>
            <w:r>
              <w:rPr>
                <w:sz w:val="21"/>
              </w:rPr>
              <w:t>（1） 一肢或一肢以上</w:t>
            </w:r>
            <w:r>
              <w:rPr>
                <w:b/>
                <w:sz w:val="21"/>
              </w:rPr>
              <w:t>肢体机能完全丧失</w:t>
            </w:r>
            <w:r>
              <w:rPr>
                <w:sz w:val="21"/>
              </w:rPr>
              <w:t>；</w:t>
            </w:r>
          </w:p>
          <w:p>
            <w:pPr>
              <w:pStyle w:val="TableParagraph"/>
              <w:spacing w:line="240" w:lineRule="auto" w:before="44"/>
              <w:ind w:left="55"/>
              <w:rPr>
                <w:sz w:val="21"/>
              </w:rPr>
            </w:pPr>
            <w:r>
              <w:rPr>
                <w:sz w:val="21"/>
              </w:rPr>
              <w:t>（2）</w:t>
            </w:r>
            <w:r>
              <w:rPr>
                <w:spacing w:val="-81"/>
                <w:sz w:val="21"/>
              </w:rPr>
              <w:t> </w:t>
            </w:r>
            <w:r>
              <w:rPr>
                <w:b/>
                <w:spacing w:val="-2"/>
                <w:sz w:val="21"/>
              </w:rPr>
              <w:t>语言能力或咀嚼吞咽能力完全丧失</w:t>
            </w:r>
            <w:r>
              <w:rPr>
                <w:sz w:val="21"/>
              </w:rPr>
              <w:t>；</w:t>
            </w:r>
          </w:p>
          <w:p>
            <w:pPr>
              <w:pStyle w:val="TableParagraph"/>
              <w:spacing w:line="322" w:lineRule="exact" w:before="31"/>
              <w:ind w:left="600" w:right="783" w:hanging="545"/>
              <w:rPr>
                <w:sz w:val="21"/>
              </w:rPr>
            </w:pPr>
            <w:r>
              <w:rPr>
                <w:sz w:val="21"/>
              </w:rPr>
              <w:t>（3）</w:t>
            </w:r>
            <w:r>
              <w:rPr>
                <w:spacing w:val="-14"/>
                <w:sz w:val="21"/>
              </w:rPr>
              <w:t> 自主生活能力完全丧失，无法独立完成</w:t>
            </w:r>
            <w:r>
              <w:rPr>
                <w:b/>
                <w:spacing w:val="-1"/>
                <w:sz w:val="21"/>
              </w:rPr>
              <w:t>六项基本日常生活活动</w:t>
            </w:r>
            <w:r>
              <w:rPr>
                <w:spacing w:val="-3"/>
                <w:sz w:val="21"/>
              </w:rPr>
              <w:t>中的三项或三项以上。</w:t>
            </w:r>
            <w:r>
              <w:rPr>
                <w:sz w:val="21"/>
              </w:rPr>
              <w:t> </w:t>
            </w:r>
          </w:p>
        </w:tc>
      </w:tr>
      <w:tr>
        <w:trPr>
          <w:trHeight w:val="319" w:hRule="atLeast"/>
        </w:trPr>
        <w:tc>
          <w:tcPr>
            <w:tcW w:w="581" w:type="dxa"/>
          </w:tcPr>
          <w:p>
            <w:pPr>
              <w:pStyle w:val="TableParagraph"/>
              <w:spacing w:line="249" w:lineRule="exact"/>
              <w:ind w:right="184"/>
              <w:jc w:val="right"/>
              <w:rPr>
                <w:b/>
                <w:sz w:val="21"/>
              </w:rPr>
            </w:pPr>
            <w:r>
              <w:rPr>
                <w:b/>
                <w:w w:val="99"/>
                <w:sz w:val="21"/>
              </w:rPr>
              <w:t> </w:t>
            </w:r>
          </w:p>
        </w:tc>
        <w:tc>
          <w:tcPr>
            <w:tcW w:w="1917" w:type="dxa"/>
          </w:tcPr>
          <w:p>
            <w:pPr>
              <w:pStyle w:val="TableParagraph"/>
              <w:spacing w:line="273" w:lineRule="exact"/>
              <w:ind w:left="184"/>
              <w:rPr>
                <w:sz w:val="21"/>
              </w:rPr>
            </w:pPr>
            <w:r>
              <w:rPr>
                <w:w w:val="100"/>
                <w:sz w:val="21"/>
              </w:rPr>
              <w:t> </w:t>
            </w:r>
          </w:p>
        </w:tc>
        <w:tc>
          <w:tcPr>
            <w:tcW w:w="8027" w:type="dxa"/>
          </w:tcPr>
          <w:p>
            <w:pPr>
              <w:pStyle w:val="TableParagraph"/>
              <w:spacing w:line="273" w:lineRule="exact"/>
              <w:ind w:left="55"/>
              <w:rPr>
                <w:sz w:val="21"/>
              </w:rPr>
            </w:pPr>
            <w:r>
              <w:rPr>
                <w:w w:val="100"/>
                <w:sz w:val="21"/>
              </w:rPr>
              <w:t> </w:t>
            </w:r>
          </w:p>
        </w:tc>
      </w:tr>
      <w:tr>
        <w:trPr>
          <w:trHeight w:val="1583" w:hRule="atLeast"/>
        </w:trPr>
        <w:tc>
          <w:tcPr>
            <w:tcW w:w="581" w:type="dxa"/>
          </w:tcPr>
          <w:p>
            <w:pPr>
              <w:pStyle w:val="TableParagraph"/>
              <w:spacing w:line="249" w:lineRule="exact"/>
              <w:ind w:right="184"/>
              <w:jc w:val="right"/>
              <w:rPr>
                <w:b/>
                <w:sz w:val="21"/>
              </w:rPr>
            </w:pPr>
            <w:r>
              <w:rPr>
                <w:b/>
                <w:w w:val="99"/>
                <w:sz w:val="21"/>
              </w:rPr>
              <w:t> </w:t>
            </w:r>
          </w:p>
        </w:tc>
        <w:tc>
          <w:tcPr>
            <w:tcW w:w="1917" w:type="dxa"/>
          </w:tcPr>
          <w:p>
            <w:pPr>
              <w:pStyle w:val="TableParagraph"/>
              <w:spacing w:line="280" w:lineRule="auto"/>
              <w:ind w:left="184" w:right="256"/>
              <w:rPr>
                <w:sz w:val="21"/>
              </w:rPr>
            </w:pPr>
            <w:r>
              <w:rPr>
                <w:sz w:val="21"/>
              </w:rPr>
              <w:t>4. 重大器官移植术或造血干细胞移植术 </w:t>
            </w:r>
          </w:p>
        </w:tc>
        <w:tc>
          <w:tcPr>
            <w:tcW w:w="8027" w:type="dxa"/>
          </w:tcPr>
          <w:p>
            <w:pPr>
              <w:pStyle w:val="TableParagraph"/>
              <w:spacing w:line="249" w:lineRule="exact"/>
              <w:ind w:left="55"/>
              <w:rPr>
                <w:sz w:val="21"/>
              </w:rPr>
            </w:pPr>
            <w:r>
              <w:rPr>
                <w:sz w:val="21"/>
              </w:rPr>
              <w:t>重大器官移植术，指因相应器官功能衰竭，已经实施了肾脏、肝脏、心脏或肺</w:t>
            </w:r>
          </w:p>
          <w:p>
            <w:pPr>
              <w:pStyle w:val="TableParagraph"/>
              <w:spacing w:line="240" w:lineRule="auto" w:before="37"/>
              <w:ind w:left="55"/>
              <w:rPr>
                <w:sz w:val="21"/>
              </w:rPr>
            </w:pPr>
            <w:r>
              <w:rPr>
                <w:sz w:val="21"/>
              </w:rPr>
              <w:t>脏的异体移植手术。  </w:t>
            </w:r>
          </w:p>
          <w:p>
            <w:pPr>
              <w:pStyle w:val="TableParagraph"/>
              <w:spacing w:line="240" w:lineRule="auto" w:before="61"/>
              <w:ind w:left="55"/>
              <w:rPr>
                <w:sz w:val="21"/>
              </w:rPr>
            </w:pPr>
            <w:r>
              <w:rPr>
                <w:sz w:val="21"/>
              </w:rPr>
              <w:t>造血干细胞移植术，指因造血功能损害或造血系统恶性肿瘤，已经实施了造血</w:t>
            </w:r>
          </w:p>
          <w:p>
            <w:pPr>
              <w:pStyle w:val="TableParagraph"/>
              <w:spacing w:line="320" w:lineRule="atLeast" w:before="1"/>
              <w:ind w:left="55" w:right="823"/>
              <w:rPr>
                <w:sz w:val="21"/>
              </w:rPr>
            </w:pPr>
            <w:r>
              <w:rPr>
                <w:sz w:val="21"/>
              </w:rPr>
              <w:t>干细胞（包括骨髓造血干细胞、外周血造血干细胞和脐血造血干细胞）的异体移植手术。 </w:t>
            </w:r>
          </w:p>
        </w:tc>
      </w:tr>
      <w:tr>
        <w:trPr>
          <w:trHeight w:val="320" w:hRule="atLeast"/>
        </w:trPr>
        <w:tc>
          <w:tcPr>
            <w:tcW w:w="581" w:type="dxa"/>
          </w:tcPr>
          <w:p>
            <w:pPr>
              <w:pStyle w:val="TableParagraph"/>
              <w:spacing w:line="249" w:lineRule="exact"/>
              <w:ind w:right="184"/>
              <w:jc w:val="right"/>
              <w:rPr>
                <w:b/>
                <w:sz w:val="21"/>
              </w:rPr>
            </w:pPr>
            <w:r>
              <w:rPr>
                <w:b/>
                <w:w w:val="99"/>
                <w:sz w:val="21"/>
              </w:rPr>
              <w:t> </w:t>
            </w:r>
          </w:p>
        </w:tc>
        <w:tc>
          <w:tcPr>
            <w:tcW w:w="1917" w:type="dxa"/>
          </w:tcPr>
          <w:p>
            <w:pPr>
              <w:pStyle w:val="TableParagraph"/>
              <w:spacing w:line="273" w:lineRule="exact"/>
              <w:ind w:left="184"/>
              <w:rPr>
                <w:sz w:val="21"/>
              </w:rPr>
            </w:pPr>
            <w:r>
              <w:rPr>
                <w:w w:val="100"/>
                <w:sz w:val="21"/>
              </w:rPr>
              <w:t> </w:t>
            </w:r>
          </w:p>
        </w:tc>
        <w:tc>
          <w:tcPr>
            <w:tcW w:w="8027" w:type="dxa"/>
          </w:tcPr>
          <w:p>
            <w:pPr>
              <w:pStyle w:val="TableParagraph"/>
              <w:spacing w:line="273" w:lineRule="exact"/>
              <w:ind w:left="55"/>
              <w:rPr>
                <w:sz w:val="21"/>
              </w:rPr>
            </w:pPr>
            <w:r>
              <w:rPr>
                <w:w w:val="100"/>
                <w:sz w:val="21"/>
              </w:rPr>
              <w:t> </w:t>
            </w:r>
          </w:p>
        </w:tc>
      </w:tr>
      <w:tr>
        <w:trPr>
          <w:trHeight w:val="1240" w:hRule="atLeast"/>
        </w:trPr>
        <w:tc>
          <w:tcPr>
            <w:tcW w:w="581" w:type="dxa"/>
          </w:tcPr>
          <w:p>
            <w:pPr>
              <w:pStyle w:val="TableParagraph"/>
              <w:spacing w:line="250" w:lineRule="exact"/>
              <w:ind w:right="184"/>
              <w:jc w:val="right"/>
              <w:rPr>
                <w:b/>
                <w:sz w:val="21"/>
              </w:rPr>
            </w:pPr>
            <w:r>
              <w:rPr>
                <w:b/>
                <w:w w:val="99"/>
                <w:sz w:val="21"/>
              </w:rPr>
              <w:t> </w:t>
            </w:r>
          </w:p>
        </w:tc>
        <w:tc>
          <w:tcPr>
            <w:tcW w:w="1917" w:type="dxa"/>
          </w:tcPr>
          <w:p>
            <w:pPr>
              <w:pStyle w:val="TableParagraph"/>
              <w:spacing w:line="250" w:lineRule="exact"/>
              <w:ind w:left="184"/>
              <w:rPr>
                <w:sz w:val="21"/>
              </w:rPr>
            </w:pPr>
            <w:r>
              <w:rPr>
                <w:sz w:val="21"/>
              </w:rPr>
              <w:t>5. 冠状动脉搭 </w:t>
            </w:r>
          </w:p>
          <w:p>
            <w:pPr>
              <w:pStyle w:val="TableParagraph"/>
              <w:spacing w:line="273" w:lineRule="auto" w:before="37"/>
              <w:ind w:left="184" w:right="98"/>
              <w:jc w:val="both"/>
              <w:rPr>
                <w:sz w:val="21"/>
              </w:rPr>
            </w:pPr>
            <w:r>
              <w:rPr>
                <w:sz w:val="21"/>
              </w:rPr>
              <w:t>桥术（或称冠状动 脉旁路 移植术） </w:t>
            </w:r>
          </w:p>
        </w:tc>
        <w:tc>
          <w:tcPr>
            <w:tcW w:w="8027" w:type="dxa"/>
          </w:tcPr>
          <w:p>
            <w:pPr>
              <w:pStyle w:val="TableParagraph"/>
              <w:spacing w:line="250" w:lineRule="exact"/>
              <w:ind w:left="55"/>
              <w:rPr>
                <w:sz w:val="21"/>
              </w:rPr>
            </w:pPr>
            <w:r>
              <w:rPr>
                <w:sz w:val="21"/>
              </w:rPr>
              <w:t>指为治疗严重的冠心病，实际实施了开胸进行的冠状动脉血管旁路移植的手术。 </w:t>
            </w:r>
          </w:p>
          <w:p>
            <w:pPr>
              <w:pStyle w:val="TableParagraph"/>
              <w:spacing w:line="237" w:lineRule="auto" w:before="12"/>
              <w:ind w:left="55" w:right="739"/>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tc>
      </w:tr>
      <w:tr>
        <w:trPr>
          <w:trHeight w:val="261" w:hRule="atLeast"/>
        </w:trPr>
        <w:tc>
          <w:tcPr>
            <w:tcW w:w="581" w:type="dxa"/>
          </w:tcPr>
          <w:p>
            <w:pPr>
              <w:pStyle w:val="TableParagraph"/>
              <w:spacing w:line="242" w:lineRule="exact"/>
              <w:ind w:right="184"/>
              <w:jc w:val="right"/>
              <w:rPr>
                <w:b/>
                <w:sz w:val="21"/>
              </w:rPr>
            </w:pPr>
            <w:r>
              <w:rPr>
                <w:b/>
                <w:w w:val="99"/>
                <w:sz w:val="21"/>
              </w:rPr>
              <w:t> </w:t>
            </w:r>
          </w:p>
        </w:tc>
        <w:tc>
          <w:tcPr>
            <w:tcW w:w="1917" w:type="dxa"/>
          </w:tcPr>
          <w:p>
            <w:pPr>
              <w:pStyle w:val="TableParagraph"/>
              <w:spacing w:line="242" w:lineRule="exact"/>
              <w:ind w:left="184"/>
              <w:rPr>
                <w:sz w:val="21"/>
              </w:rPr>
            </w:pPr>
            <w:r>
              <w:rPr>
                <w:w w:val="100"/>
                <w:sz w:val="21"/>
              </w:rPr>
              <w:t> </w:t>
            </w:r>
          </w:p>
        </w:tc>
        <w:tc>
          <w:tcPr>
            <w:tcW w:w="8027" w:type="dxa"/>
          </w:tcPr>
          <w:p>
            <w:pPr>
              <w:pStyle w:val="TableParagraph"/>
              <w:spacing w:line="242" w:lineRule="exact"/>
              <w:ind w:left="55"/>
              <w:rPr>
                <w:sz w:val="21"/>
              </w:rPr>
            </w:pPr>
            <w:r>
              <w:rPr>
                <w:w w:val="100"/>
                <w:sz w:val="21"/>
              </w:rPr>
              <w:t> </w:t>
            </w:r>
          </w:p>
        </w:tc>
      </w:tr>
    </w:tbl>
    <w:p>
      <w:pPr>
        <w:spacing w:after="0" w:line="242"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1895"/>
        <w:gridCol w:w="8049"/>
      </w:tblGrid>
      <w:tr>
        <w:trPr>
          <w:trHeight w:val="1248" w:hRule="atLeast"/>
        </w:trPr>
        <w:tc>
          <w:tcPr>
            <w:tcW w:w="581" w:type="dxa"/>
            <w:tcBorders>
              <w:top w:val="single" w:sz="6" w:space="0" w:color="000000"/>
            </w:tcBorders>
          </w:tcPr>
          <w:p>
            <w:pPr>
              <w:pStyle w:val="TableParagraph"/>
              <w:spacing w:line="258" w:lineRule="exact"/>
              <w:ind w:right="184"/>
              <w:jc w:val="right"/>
              <w:rPr>
                <w:b/>
                <w:sz w:val="21"/>
              </w:rPr>
            </w:pPr>
            <w:r>
              <w:rPr>
                <w:b/>
                <w:w w:val="99"/>
                <w:sz w:val="21"/>
              </w:rPr>
              <w:t> </w:t>
            </w:r>
          </w:p>
        </w:tc>
        <w:tc>
          <w:tcPr>
            <w:tcW w:w="1895" w:type="dxa"/>
            <w:tcBorders>
              <w:top w:val="single" w:sz="6" w:space="0" w:color="000000"/>
            </w:tcBorders>
          </w:tcPr>
          <w:p>
            <w:pPr>
              <w:pStyle w:val="TableParagraph"/>
              <w:spacing w:line="258" w:lineRule="exact"/>
              <w:ind w:left="184"/>
              <w:rPr>
                <w:sz w:val="21"/>
              </w:rPr>
            </w:pPr>
            <w:r>
              <w:rPr>
                <w:sz w:val="21"/>
              </w:rPr>
              <w:t>6. 终末期肾病 </w:t>
            </w:r>
          </w:p>
          <w:p>
            <w:pPr>
              <w:pStyle w:val="TableParagraph"/>
              <w:spacing w:line="273" w:lineRule="auto" w:before="37"/>
              <w:ind w:left="184" w:right="76"/>
              <w:jc w:val="both"/>
              <w:rPr>
                <w:sz w:val="21"/>
              </w:rPr>
            </w:pPr>
            <w:r>
              <w:rPr>
                <w:sz w:val="21"/>
              </w:rPr>
              <w:t>（或称慢性肾功能 衰竭尿 毒症期） </w:t>
            </w:r>
          </w:p>
        </w:tc>
        <w:tc>
          <w:tcPr>
            <w:tcW w:w="8049" w:type="dxa"/>
            <w:tcBorders>
              <w:top w:val="single" w:sz="6" w:space="0" w:color="000000"/>
            </w:tcBorders>
          </w:tcPr>
          <w:p>
            <w:pPr>
              <w:pStyle w:val="TableParagraph"/>
              <w:spacing w:line="258" w:lineRule="exact"/>
              <w:ind w:left="77"/>
              <w:rPr>
                <w:sz w:val="21"/>
              </w:rPr>
            </w:pPr>
            <w:r>
              <w:rPr>
                <w:sz w:val="21"/>
              </w:rPr>
              <w:t>指双肾功能慢性不可逆性衰竭，达到尿毒症期，经诊断后已经进行了至少90天</w:t>
            </w:r>
          </w:p>
          <w:p>
            <w:pPr>
              <w:pStyle w:val="TableParagraph"/>
              <w:spacing w:line="240" w:lineRule="auto" w:before="37"/>
              <w:ind w:left="77"/>
              <w:rPr>
                <w:sz w:val="21"/>
              </w:rPr>
            </w:pPr>
            <w:r>
              <w:rPr>
                <w:sz w:val="21"/>
              </w:rPr>
              <w:t>的规律性透析治疗或实施了肾脏移植手术。 </w:t>
            </w:r>
          </w:p>
        </w:tc>
      </w:tr>
      <w:tr>
        <w:trPr>
          <w:trHeight w:val="312" w:hRule="atLeast"/>
        </w:trPr>
        <w:tc>
          <w:tcPr>
            <w:tcW w:w="581" w:type="dxa"/>
          </w:tcPr>
          <w:p>
            <w:pPr>
              <w:pStyle w:val="TableParagraph"/>
              <w:spacing w:line="258" w:lineRule="exact"/>
              <w:ind w:right="184"/>
              <w:jc w:val="right"/>
              <w:rPr>
                <w:b/>
                <w:sz w:val="21"/>
              </w:rPr>
            </w:pPr>
            <w:r>
              <w:rPr>
                <w:b/>
                <w:w w:val="99"/>
                <w:sz w:val="21"/>
              </w:rPr>
              <w:t> </w:t>
            </w:r>
          </w:p>
        </w:tc>
        <w:tc>
          <w:tcPr>
            <w:tcW w:w="1895" w:type="dxa"/>
          </w:tcPr>
          <w:p>
            <w:pPr>
              <w:pStyle w:val="TableParagraph"/>
              <w:spacing w:line="258" w:lineRule="exact"/>
              <w:ind w:left="184"/>
              <w:rPr>
                <w:sz w:val="21"/>
              </w:rPr>
            </w:pPr>
            <w:r>
              <w:rPr>
                <w:w w:val="100"/>
                <w:sz w:val="21"/>
              </w:rPr>
              <w:t> </w:t>
            </w:r>
          </w:p>
        </w:tc>
        <w:tc>
          <w:tcPr>
            <w:tcW w:w="8049" w:type="dxa"/>
          </w:tcPr>
          <w:p>
            <w:pPr>
              <w:pStyle w:val="TableParagraph"/>
              <w:spacing w:line="258" w:lineRule="exact"/>
              <w:ind w:left="77"/>
              <w:rPr>
                <w:sz w:val="21"/>
              </w:rPr>
            </w:pPr>
            <w:r>
              <w:rPr>
                <w:w w:val="100"/>
                <w:sz w:val="21"/>
              </w:rPr>
              <w:t> </w:t>
            </w:r>
          </w:p>
        </w:tc>
      </w:tr>
      <w:tr>
        <w:trPr>
          <w:trHeight w:val="623"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sz w:val="21"/>
              </w:rPr>
              <w:t>7. 多个肢体缺 </w:t>
            </w:r>
          </w:p>
          <w:p>
            <w:pPr>
              <w:pStyle w:val="TableParagraph"/>
              <w:spacing w:line="240" w:lineRule="auto" w:before="37"/>
              <w:ind w:left="184"/>
              <w:rPr>
                <w:sz w:val="21"/>
              </w:rPr>
            </w:pPr>
            <w:r>
              <w:rPr>
                <w:sz w:val="21"/>
              </w:rPr>
              <w:t>失 </w:t>
            </w:r>
          </w:p>
        </w:tc>
        <w:tc>
          <w:tcPr>
            <w:tcW w:w="8049" w:type="dxa"/>
          </w:tcPr>
          <w:p>
            <w:pPr>
              <w:pStyle w:val="TableParagraph"/>
              <w:ind w:left="77"/>
              <w:rPr>
                <w:sz w:val="21"/>
              </w:rPr>
            </w:pPr>
            <w:r>
              <w:rPr>
                <w:sz w:val="21"/>
              </w:rPr>
              <w:t>指因疾病或意外伤害导致两个或两个以上肢体自腕关节或踝关节近端（靠近躯</w:t>
            </w:r>
          </w:p>
          <w:p>
            <w:pPr>
              <w:pStyle w:val="TableParagraph"/>
              <w:spacing w:line="240" w:lineRule="auto" w:before="37"/>
              <w:ind w:left="77"/>
              <w:rPr>
                <w:sz w:val="21"/>
              </w:rPr>
            </w:pPr>
            <w:r>
              <w:rPr>
                <w:sz w:val="21"/>
              </w:rPr>
              <w:t>干端）以上完全性断离。 </w:t>
            </w:r>
          </w:p>
        </w:tc>
      </w:tr>
      <w:tr>
        <w:trPr>
          <w:trHeight w:val="312"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w w:val="100"/>
                <w:sz w:val="21"/>
              </w:rPr>
              <w:t> </w:t>
            </w:r>
          </w:p>
        </w:tc>
        <w:tc>
          <w:tcPr>
            <w:tcW w:w="8049" w:type="dxa"/>
          </w:tcPr>
          <w:p>
            <w:pPr>
              <w:pStyle w:val="TableParagraph"/>
              <w:ind w:left="77"/>
              <w:rPr>
                <w:sz w:val="21"/>
              </w:rPr>
            </w:pPr>
            <w:r>
              <w:rPr>
                <w:w w:val="100"/>
                <w:sz w:val="21"/>
              </w:rPr>
              <w:t> </w:t>
            </w:r>
          </w:p>
        </w:tc>
      </w:tr>
      <w:tr>
        <w:trPr>
          <w:trHeight w:val="1911"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sz w:val="21"/>
              </w:rPr>
              <w:t>8. 急性或亚急 </w:t>
            </w:r>
          </w:p>
          <w:p>
            <w:pPr>
              <w:pStyle w:val="TableParagraph"/>
              <w:spacing w:line="240" w:lineRule="auto" w:before="37"/>
              <w:ind w:left="184"/>
              <w:rPr>
                <w:sz w:val="21"/>
              </w:rPr>
            </w:pPr>
            <w:r>
              <w:rPr>
                <w:sz w:val="21"/>
              </w:rPr>
              <w:t>性重症肝炎 </w:t>
            </w:r>
          </w:p>
        </w:tc>
        <w:tc>
          <w:tcPr>
            <w:tcW w:w="8049" w:type="dxa"/>
          </w:tcPr>
          <w:p>
            <w:pPr>
              <w:pStyle w:val="TableParagraph"/>
              <w:ind w:left="77"/>
              <w:rPr>
                <w:sz w:val="21"/>
              </w:rPr>
            </w:pPr>
            <w:r>
              <w:rPr>
                <w:sz w:val="21"/>
              </w:rPr>
              <w:t>指因肝炎病毒感染引起肝脏组织弥漫性坏死，导致急性肝功能衰竭，且经血清</w:t>
            </w:r>
          </w:p>
          <w:p>
            <w:pPr>
              <w:pStyle w:val="TableParagraph"/>
              <w:spacing w:line="240" w:lineRule="auto" w:before="37"/>
              <w:ind w:left="77"/>
              <w:rPr>
                <w:sz w:val="21"/>
              </w:rPr>
            </w:pPr>
            <w:r>
              <w:rPr>
                <w:sz w:val="21"/>
              </w:rPr>
              <w:t>学或病毒学检查证实，并须满足下列全部条件：  </w:t>
            </w:r>
          </w:p>
          <w:p>
            <w:pPr>
              <w:pStyle w:val="TableParagraph"/>
              <w:spacing w:line="240" w:lineRule="auto" w:before="61"/>
              <w:ind w:left="77"/>
              <w:rPr>
                <w:sz w:val="21"/>
              </w:rPr>
            </w:pPr>
            <w:r>
              <w:rPr>
                <w:sz w:val="21"/>
              </w:rPr>
              <w:t>（1） 重度黄疸或黄疸迅速加重；  </w:t>
            </w:r>
          </w:p>
          <w:p>
            <w:pPr>
              <w:pStyle w:val="TableParagraph"/>
              <w:spacing w:line="240" w:lineRule="auto" w:before="44"/>
              <w:ind w:left="77"/>
              <w:rPr>
                <w:sz w:val="21"/>
              </w:rPr>
            </w:pPr>
            <w:r>
              <w:rPr>
                <w:sz w:val="21"/>
              </w:rPr>
              <w:t>（2） 肝性脑病；  </w:t>
            </w:r>
          </w:p>
          <w:p>
            <w:pPr>
              <w:pStyle w:val="TableParagraph"/>
              <w:spacing w:line="240" w:lineRule="auto" w:before="46"/>
              <w:ind w:left="78"/>
              <w:rPr>
                <w:sz w:val="21"/>
              </w:rPr>
            </w:pPr>
            <w:r>
              <w:rPr>
                <w:sz w:val="21"/>
              </w:rPr>
              <w:t>（3）</w:t>
            </w:r>
            <w:r>
              <w:rPr>
                <w:spacing w:val="-80"/>
                <w:sz w:val="21"/>
              </w:rPr>
              <w:t> </w:t>
            </w:r>
            <w:r>
              <w:rPr>
                <w:sz w:val="21"/>
              </w:rPr>
              <w:t>B</w:t>
            </w:r>
            <w:r>
              <w:rPr>
                <w:spacing w:val="-7"/>
                <w:sz w:val="21"/>
              </w:rPr>
              <w:t> 超或其它影像学检查显示肝脏体积急速萎缩；</w:t>
            </w:r>
            <w:r>
              <w:rPr>
                <w:spacing w:val="-4"/>
                <w:sz w:val="21"/>
              </w:rPr>
              <w:t> </w:t>
            </w:r>
            <w:r>
              <w:rPr>
                <w:sz w:val="21"/>
              </w:rPr>
              <w:t> </w:t>
            </w:r>
          </w:p>
          <w:p>
            <w:pPr>
              <w:pStyle w:val="TableParagraph"/>
              <w:spacing w:line="240" w:lineRule="auto" w:before="44"/>
              <w:ind w:left="77"/>
              <w:rPr>
                <w:sz w:val="21"/>
              </w:rPr>
            </w:pPr>
            <w:r>
              <w:rPr>
                <w:sz w:val="21"/>
              </w:rPr>
              <w:t>（4） 肝功能指标进行性恶化。</w:t>
            </w:r>
          </w:p>
        </w:tc>
      </w:tr>
      <w:tr>
        <w:trPr>
          <w:trHeight w:val="303" w:hRule="atLeast"/>
        </w:trPr>
        <w:tc>
          <w:tcPr>
            <w:tcW w:w="581" w:type="dxa"/>
          </w:tcPr>
          <w:p>
            <w:pPr>
              <w:pStyle w:val="TableParagraph"/>
              <w:spacing w:line="249" w:lineRule="exact"/>
              <w:ind w:right="184"/>
              <w:jc w:val="right"/>
              <w:rPr>
                <w:b/>
                <w:sz w:val="21"/>
              </w:rPr>
            </w:pPr>
            <w:r>
              <w:rPr>
                <w:b/>
                <w:w w:val="99"/>
                <w:sz w:val="21"/>
              </w:rPr>
              <w:t> </w:t>
            </w:r>
          </w:p>
        </w:tc>
        <w:tc>
          <w:tcPr>
            <w:tcW w:w="1895" w:type="dxa"/>
          </w:tcPr>
          <w:p>
            <w:pPr>
              <w:pStyle w:val="TableParagraph"/>
              <w:spacing w:line="249" w:lineRule="exact"/>
              <w:ind w:left="184"/>
              <w:rPr>
                <w:sz w:val="21"/>
              </w:rPr>
            </w:pPr>
            <w:r>
              <w:rPr>
                <w:w w:val="100"/>
                <w:sz w:val="21"/>
              </w:rPr>
              <w:t> </w:t>
            </w:r>
          </w:p>
        </w:tc>
        <w:tc>
          <w:tcPr>
            <w:tcW w:w="8049" w:type="dxa"/>
          </w:tcPr>
          <w:p>
            <w:pPr>
              <w:pStyle w:val="TableParagraph"/>
              <w:spacing w:line="249" w:lineRule="exact"/>
              <w:ind w:left="77"/>
              <w:rPr>
                <w:sz w:val="21"/>
              </w:rPr>
            </w:pPr>
            <w:r>
              <w:rPr>
                <w:w w:val="100"/>
                <w:sz w:val="21"/>
              </w:rPr>
              <w:t> </w:t>
            </w:r>
          </w:p>
        </w:tc>
      </w:tr>
      <w:tr>
        <w:trPr>
          <w:trHeight w:val="2206"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sz w:val="21"/>
              </w:rPr>
              <w:t>9. 良性脑肿瘤 </w:t>
            </w:r>
          </w:p>
        </w:tc>
        <w:tc>
          <w:tcPr>
            <w:tcW w:w="8049" w:type="dxa"/>
          </w:tcPr>
          <w:p>
            <w:pPr>
              <w:pStyle w:val="TableParagraph"/>
              <w:ind w:left="77"/>
              <w:rPr>
                <w:sz w:val="21"/>
              </w:rPr>
            </w:pPr>
            <w:r>
              <w:rPr>
                <w:sz w:val="21"/>
              </w:rPr>
              <w:t>指脑的良性肿瘤，已经引起颅内压增高，临床表现为视神经乳头水肿、精神症</w:t>
            </w:r>
          </w:p>
          <w:p>
            <w:pPr>
              <w:pStyle w:val="TableParagraph"/>
              <w:spacing w:line="273" w:lineRule="auto" w:before="37"/>
              <w:ind w:left="77" w:right="786"/>
              <w:jc w:val="both"/>
              <w:rPr>
                <w:sz w:val="21"/>
              </w:rPr>
            </w:pPr>
            <w:r>
              <w:rPr>
                <w:sz w:val="21"/>
              </w:rPr>
              <w:t>状、癫痫及运动感觉障碍等，并危及生命。须由头颅断层扫描（CT）、核磁共振检查（MRI）或正电子发射断层扫描（PET）等影像学检查证实，并须满足下列至少一项条件：  </w:t>
            </w:r>
          </w:p>
          <w:p>
            <w:pPr>
              <w:pStyle w:val="TableParagraph"/>
              <w:spacing w:line="240" w:lineRule="auto" w:before="31"/>
              <w:ind w:left="77"/>
              <w:jc w:val="both"/>
              <w:rPr>
                <w:sz w:val="21"/>
              </w:rPr>
            </w:pPr>
            <w:r>
              <w:rPr>
                <w:sz w:val="21"/>
              </w:rPr>
              <w:t>（1） 实际实施了开颅进行的脑肿瘤完全切除或部分切除的手术；</w:t>
            </w:r>
          </w:p>
          <w:p>
            <w:pPr>
              <w:pStyle w:val="TableParagraph"/>
              <w:spacing w:line="271" w:lineRule="exact" w:before="46"/>
              <w:ind w:left="77"/>
              <w:jc w:val="both"/>
              <w:rPr>
                <w:sz w:val="21"/>
              </w:rPr>
            </w:pPr>
            <w:r>
              <w:rPr>
                <w:sz w:val="21"/>
              </w:rPr>
              <w:t>（2） 实际实施了对脑肿瘤进行的放射治疗。</w:t>
            </w:r>
          </w:p>
          <w:p>
            <w:pPr>
              <w:pStyle w:val="TableParagraph"/>
              <w:spacing w:line="310" w:lineRule="exact"/>
              <w:ind w:left="77"/>
              <w:jc w:val="both"/>
              <w:rPr>
                <w:sz w:val="21"/>
              </w:rPr>
            </w:pPr>
            <w:r>
              <w:rPr>
                <w:rFonts w:ascii="黑体" w:eastAsia="黑体" w:hint="eastAsia"/>
                <w:sz w:val="24"/>
              </w:rPr>
              <w:t>脑垂体瘤、脑囊肿、脑血管性疾病不在保障范围内。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95" w:type="dxa"/>
          </w:tcPr>
          <w:p>
            <w:pPr>
              <w:pStyle w:val="TableParagraph"/>
              <w:spacing w:line="252" w:lineRule="exact"/>
              <w:ind w:left="184"/>
              <w:rPr>
                <w:sz w:val="21"/>
              </w:rPr>
            </w:pPr>
            <w:r>
              <w:rPr>
                <w:w w:val="100"/>
                <w:sz w:val="21"/>
              </w:rPr>
              <w:t> </w:t>
            </w:r>
          </w:p>
        </w:tc>
        <w:tc>
          <w:tcPr>
            <w:tcW w:w="8049" w:type="dxa"/>
          </w:tcPr>
          <w:p>
            <w:pPr>
              <w:pStyle w:val="TableParagraph"/>
              <w:spacing w:line="252" w:lineRule="exact"/>
              <w:ind w:left="77"/>
              <w:rPr>
                <w:sz w:val="21"/>
              </w:rPr>
            </w:pPr>
            <w:r>
              <w:rPr>
                <w:w w:val="100"/>
                <w:sz w:val="21"/>
              </w:rPr>
              <w:t> </w:t>
            </w:r>
          </w:p>
        </w:tc>
      </w:tr>
      <w:tr>
        <w:trPr>
          <w:trHeight w:val="1908"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sz w:val="21"/>
              </w:rPr>
              <w:t>10. 慢性肝功能</w:t>
            </w:r>
          </w:p>
          <w:p>
            <w:pPr>
              <w:pStyle w:val="TableParagraph"/>
              <w:spacing w:line="240" w:lineRule="auto" w:before="37"/>
              <w:ind w:left="184"/>
              <w:rPr>
                <w:sz w:val="21"/>
              </w:rPr>
            </w:pPr>
            <w:r>
              <w:rPr>
                <w:sz w:val="21"/>
              </w:rPr>
              <w:t>衰竭失代偿期 </w:t>
            </w:r>
          </w:p>
        </w:tc>
        <w:tc>
          <w:tcPr>
            <w:tcW w:w="8049" w:type="dxa"/>
          </w:tcPr>
          <w:p>
            <w:pPr>
              <w:pStyle w:val="TableParagraph"/>
              <w:ind w:left="77"/>
              <w:rPr>
                <w:sz w:val="21"/>
              </w:rPr>
            </w:pPr>
            <w:r>
              <w:rPr>
                <w:sz w:val="21"/>
              </w:rPr>
              <w:t>指因慢性肝脏疾病导致肝功能衰竭。须满足下列全部条件：  </w:t>
            </w:r>
          </w:p>
          <w:p>
            <w:pPr>
              <w:pStyle w:val="TableParagraph"/>
              <w:spacing w:line="240" w:lineRule="auto" w:before="61"/>
              <w:ind w:left="77"/>
              <w:rPr>
                <w:sz w:val="21"/>
              </w:rPr>
            </w:pPr>
            <w:r>
              <w:rPr>
                <w:sz w:val="21"/>
              </w:rPr>
              <w:t>（1） 持续性黄疸；</w:t>
            </w:r>
          </w:p>
          <w:p>
            <w:pPr>
              <w:pStyle w:val="TableParagraph"/>
              <w:spacing w:line="240" w:lineRule="auto" w:before="44"/>
              <w:ind w:left="77"/>
              <w:rPr>
                <w:sz w:val="21"/>
              </w:rPr>
            </w:pPr>
            <w:r>
              <w:rPr>
                <w:sz w:val="21"/>
              </w:rPr>
              <w:t>（2） 腹水；</w:t>
            </w:r>
          </w:p>
          <w:p>
            <w:pPr>
              <w:pStyle w:val="TableParagraph"/>
              <w:spacing w:line="240" w:lineRule="auto" w:before="46"/>
              <w:ind w:left="77"/>
              <w:rPr>
                <w:sz w:val="21"/>
              </w:rPr>
            </w:pPr>
            <w:r>
              <w:rPr>
                <w:sz w:val="21"/>
              </w:rPr>
              <w:t>（3） 肝性脑病；</w:t>
            </w:r>
          </w:p>
          <w:p>
            <w:pPr>
              <w:pStyle w:val="TableParagraph"/>
              <w:spacing w:line="271" w:lineRule="exact" w:before="43"/>
              <w:ind w:left="77"/>
              <w:rPr>
                <w:sz w:val="21"/>
              </w:rPr>
            </w:pPr>
            <w:r>
              <w:rPr>
                <w:sz w:val="21"/>
              </w:rPr>
              <w:t>（4） 充血性脾肿大伴脾功能亢进或食管胃底静脉曲张。</w:t>
            </w:r>
          </w:p>
          <w:p>
            <w:pPr>
              <w:pStyle w:val="TableParagraph"/>
              <w:spacing w:line="310" w:lineRule="exact"/>
              <w:ind w:left="77"/>
              <w:rPr>
                <w:sz w:val="21"/>
              </w:rPr>
            </w:pPr>
            <w:r>
              <w:rPr>
                <w:rFonts w:ascii="黑体" w:eastAsia="黑体" w:hint="eastAsia"/>
                <w:sz w:val="24"/>
              </w:rPr>
              <w:t>因酗酒或药物滥用导致的肝功能衰竭不在保障范围内。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95" w:type="dxa"/>
          </w:tcPr>
          <w:p>
            <w:pPr>
              <w:pStyle w:val="TableParagraph"/>
              <w:spacing w:line="252" w:lineRule="exact"/>
              <w:ind w:left="184"/>
              <w:rPr>
                <w:sz w:val="21"/>
              </w:rPr>
            </w:pPr>
            <w:r>
              <w:rPr>
                <w:w w:val="100"/>
                <w:sz w:val="21"/>
              </w:rPr>
              <w:t> </w:t>
            </w:r>
          </w:p>
        </w:tc>
        <w:tc>
          <w:tcPr>
            <w:tcW w:w="8049" w:type="dxa"/>
          </w:tcPr>
          <w:p>
            <w:pPr>
              <w:pStyle w:val="TableParagraph"/>
              <w:spacing w:line="252" w:lineRule="exact"/>
              <w:ind w:left="77"/>
              <w:rPr>
                <w:sz w:val="21"/>
              </w:rPr>
            </w:pPr>
            <w:r>
              <w:rPr>
                <w:w w:val="100"/>
                <w:sz w:val="21"/>
              </w:rPr>
              <w:t> </w:t>
            </w:r>
          </w:p>
        </w:tc>
      </w:tr>
      <w:tr>
        <w:trPr>
          <w:trHeight w:val="1912"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sz w:val="21"/>
              </w:rPr>
              <w:t>11. 脑炎后遗症</w:t>
            </w:r>
          </w:p>
          <w:p>
            <w:pPr>
              <w:pStyle w:val="TableParagraph"/>
              <w:spacing w:line="240" w:lineRule="auto" w:before="37"/>
              <w:ind w:left="184"/>
              <w:rPr>
                <w:sz w:val="21"/>
              </w:rPr>
            </w:pPr>
            <w:r>
              <w:rPr>
                <w:sz w:val="21"/>
              </w:rPr>
              <w:t>或脑膜炎后遗症 </w:t>
            </w:r>
          </w:p>
        </w:tc>
        <w:tc>
          <w:tcPr>
            <w:tcW w:w="8049" w:type="dxa"/>
          </w:tcPr>
          <w:p>
            <w:pPr>
              <w:pStyle w:val="TableParagraph"/>
              <w:ind w:left="77"/>
              <w:rPr>
                <w:sz w:val="21"/>
              </w:rPr>
            </w:pPr>
            <w:r>
              <w:rPr>
                <w:sz w:val="21"/>
              </w:rPr>
              <w:t>指因患脑炎或脑膜炎导致的神经系统永久性的功能障碍。神经系统永久性的功</w:t>
            </w:r>
          </w:p>
          <w:p>
            <w:pPr>
              <w:pStyle w:val="TableParagraph"/>
              <w:spacing w:line="240" w:lineRule="auto" w:before="37"/>
              <w:ind w:left="77"/>
              <w:rPr>
                <w:sz w:val="21"/>
              </w:rPr>
            </w:pPr>
            <w:r>
              <w:rPr>
                <w:sz w:val="21"/>
              </w:rPr>
              <w:t>能障碍，指疾病确诊180天后，仍遗留下列一种或一种以上障碍：  </w:t>
            </w:r>
          </w:p>
          <w:p>
            <w:pPr>
              <w:pStyle w:val="TableParagraph"/>
              <w:spacing w:line="240" w:lineRule="auto" w:before="61"/>
              <w:ind w:left="77"/>
              <w:rPr>
                <w:sz w:val="21"/>
              </w:rPr>
            </w:pPr>
            <w:r>
              <w:rPr>
                <w:sz w:val="21"/>
              </w:rPr>
              <w:t>（1） 一肢或一肢以上肢体机能完全丧失；</w:t>
            </w:r>
          </w:p>
          <w:p>
            <w:pPr>
              <w:pStyle w:val="TableParagraph"/>
              <w:spacing w:line="240" w:lineRule="auto" w:before="46"/>
              <w:ind w:left="77"/>
              <w:rPr>
                <w:sz w:val="21"/>
              </w:rPr>
            </w:pPr>
            <w:r>
              <w:rPr>
                <w:sz w:val="21"/>
              </w:rPr>
              <w:t>（2） 语言能力或咀嚼吞咽能力完全丧失；</w:t>
            </w:r>
          </w:p>
          <w:p>
            <w:pPr>
              <w:pStyle w:val="TableParagraph"/>
              <w:spacing w:line="320" w:lineRule="atLeast"/>
              <w:ind w:left="622" w:right="780" w:hanging="545"/>
              <w:rPr>
                <w:sz w:val="21"/>
              </w:rPr>
            </w:pPr>
            <w:r>
              <w:rPr>
                <w:sz w:val="21"/>
              </w:rPr>
              <w:t>（3）</w:t>
            </w:r>
            <w:r>
              <w:rPr>
                <w:spacing w:val="-14"/>
                <w:sz w:val="21"/>
              </w:rPr>
              <w:t> 自主生活能力完全丧失，无法独立完成六项基本日常生活活动中的三项或</w:t>
            </w:r>
            <w:r>
              <w:rPr>
                <w:spacing w:val="-8"/>
                <w:sz w:val="21"/>
              </w:rPr>
              <w:t>三项以上。</w:t>
            </w:r>
          </w:p>
        </w:tc>
      </w:tr>
      <w:tr>
        <w:trPr>
          <w:trHeight w:val="304" w:hRule="atLeast"/>
        </w:trPr>
        <w:tc>
          <w:tcPr>
            <w:tcW w:w="581" w:type="dxa"/>
          </w:tcPr>
          <w:p>
            <w:pPr>
              <w:pStyle w:val="TableParagraph"/>
              <w:spacing w:line="250" w:lineRule="exact"/>
              <w:ind w:right="184"/>
              <w:jc w:val="right"/>
              <w:rPr>
                <w:b/>
                <w:sz w:val="21"/>
              </w:rPr>
            </w:pPr>
            <w:r>
              <w:rPr>
                <w:b/>
                <w:w w:val="99"/>
                <w:sz w:val="21"/>
              </w:rPr>
              <w:t> </w:t>
            </w:r>
          </w:p>
        </w:tc>
        <w:tc>
          <w:tcPr>
            <w:tcW w:w="1895" w:type="dxa"/>
          </w:tcPr>
          <w:p>
            <w:pPr>
              <w:pStyle w:val="TableParagraph"/>
              <w:spacing w:line="250" w:lineRule="exact"/>
              <w:ind w:left="184"/>
              <w:rPr>
                <w:sz w:val="21"/>
              </w:rPr>
            </w:pPr>
            <w:r>
              <w:rPr>
                <w:w w:val="100"/>
                <w:sz w:val="21"/>
              </w:rPr>
              <w:t> </w:t>
            </w:r>
          </w:p>
        </w:tc>
        <w:tc>
          <w:tcPr>
            <w:tcW w:w="8049" w:type="dxa"/>
          </w:tcPr>
          <w:p>
            <w:pPr>
              <w:pStyle w:val="TableParagraph"/>
              <w:spacing w:line="250" w:lineRule="exact"/>
              <w:ind w:left="77"/>
              <w:rPr>
                <w:sz w:val="21"/>
              </w:rPr>
            </w:pPr>
            <w:r>
              <w:rPr>
                <w:w w:val="100"/>
                <w:sz w:val="21"/>
              </w:rPr>
              <w:t> </w:t>
            </w:r>
          </w:p>
        </w:tc>
      </w:tr>
      <w:tr>
        <w:trPr>
          <w:trHeight w:val="1253"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sz w:val="21"/>
              </w:rPr>
              <w:t>12. 深度昏迷 </w:t>
            </w:r>
          </w:p>
        </w:tc>
        <w:tc>
          <w:tcPr>
            <w:tcW w:w="8049" w:type="dxa"/>
          </w:tcPr>
          <w:p>
            <w:pPr>
              <w:pStyle w:val="TableParagraph"/>
              <w:ind w:left="77"/>
              <w:rPr>
                <w:sz w:val="21"/>
              </w:rPr>
            </w:pPr>
            <w:r>
              <w:rPr>
                <w:sz w:val="21"/>
              </w:rPr>
              <w:t>指因疾病或意外伤害导致意识丧失,对外界刺激和体内需求均无反应,昏迷程度</w:t>
            </w:r>
          </w:p>
          <w:p>
            <w:pPr>
              <w:pStyle w:val="TableParagraph"/>
              <w:spacing w:line="273" w:lineRule="auto" w:before="37"/>
              <w:ind w:left="77" w:right="827"/>
              <w:rPr>
                <w:sz w:val="21"/>
              </w:rPr>
            </w:pPr>
            <w:r>
              <w:rPr>
                <w:sz w:val="21"/>
              </w:rPr>
              <w:t>按照格拉斯哥昏迷分级（Glasgow coma scale）结果为5分或5分以下，且已经持续使用呼吸机及其它生命维持系统96小时以上。  </w:t>
            </w:r>
          </w:p>
          <w:p>
            <w:pPr>
              <w:pStyle w:val="TableParagraph"/>
              <w:spacing w:line="294" w:lineRule="exact"/>
              <w:ind w:left="77"/>
              <w:rPr>
                <w:sz w:val="21"/>
              </w:rPr>
            </w:pPr>
            <w:r>
              <w:rPr>
                <w:rFonts w:ascii="黑体" w:eastAsia="黑体" w:hint="eastAsia"/>
                <w:sz w:val="24"/>
              </w:rPr>
              <w:t>因酗酒或药物滥用导致的深度昏迷不在保障范围内。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95" w:type="dxa"/>
          </w:tcPr>
          <w:p>
            <w:pPr>
              <w:pStyle w:val="TableParagraph"/>
              <w:spacing w:line="252" w:lineRule="exact"/>
              <w:ind w:left="184"/>
              <w:rPr>
                <w:sz w:val="21"/>
              </w:rPr>
            </w:pPr>
            <w:r>
              <w:rPr>
                <w:w w:val="100"/>
                <w:sz w:val="21"/>
              </w:rPr>
              <w:t> </w:t>
            </w:r>
          </w:p>
        </w:tc>
        <w:tc>
          <w:tcPr>
            <w:tcW w:w="8049" w:type="dxa"/>
          </w:tcPr>
          <w:p>
            <w:pPr>
              <w:pStyle w:val="TableParagraph"/>
              <w:spacing w:line="252" w:lineRule="exact"/>
              <w:ind w:left="77"/>
              <w:rPr>
                <w:sz w:val="21"/>
              </w:rPr>
            </w:pPr>
            <w:r>
              <w:rPr>
                <w:w w:val="100"/>
                <w:sz w:val="21"/>
              </w:rPr>
              <w:t> </w:t>
            </w:r>
          </w:p>
        </w:tc>
      </w:tr>
      <w:tr>
        <w:trPr>
          <w:trHeight w:val="935"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sz w:val="21"/>
              </w:rPr>
              <w:t>13. 双耳失聪 </w:t>
            </w:r>
          </w:p>
        </w:tc>
        <w:tc>
          <w:tcPr>
            <w:tcW w:w="8049" w:type="dxa"/>
          </w:tcPr>
          <w:p>
            <w:pPr>
              <w:pStyle w:val="TableParagraph"/>
              <w:ind w:left="77"/>
              <w:rPr>
                <w:sz w:val="21"/>
              </w:rPr>
            </w:pPr>
            <w:r>
              <w:rPr>
                <w:sz w:val="21"/>
              </w:rPr>
              <w:t>指因疾病或意外伤害导致双耳听力</w:t>
            </w:r>
            <w:r>
              <w:rPr>
                <w:b/>
                <w:sz w:val="21"/>
              </w:rPr>
              <w:t>永久不可逆</w:t>
            </w:r>
            <w:r>
              <w:rPr>
                <w:sz w:val="21"/>
              </w:rPr>
              <w:t>性丧失，在500赫兹、1000赫兹和</w:t>
            </w:r>
          </w:p>
          <w:p>
            <w:pPr>
              <w:pStyle w:val="TableParagraph"/>
              <w:spacing w:line="273" w:lineRule="auto" w:before="37"/>
              <w:ind w:left="77" w:right="783"/>
              <w:rPr>
                <w:sz w:val="21"/>
              </w:rPr>
            </w:pPr>
            <w:r>
              <w:rPr>
                <w:sz w:val="21"/>
              </w:rPr>
              <w:t>2000赫兹语音频率下，平均听阈大于90分贝，且经纯音听力测试、声导抗检测或听觉诱发电位检测等证实。 </w:t>
            </w:r>
          </w:p>
        </w:tc>
      </w:tr>
      <w:tr>
        <w:trPr>
          <w:trHeight w:val="312"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w w:val="100"/>
                <w:sz w:val="21"/>
              </w:rPr>
              <w:t> </w:t>
            </w:r>
          </w:p>
        </w:tc>
        <w:tc>
          <w:tcPr>
            <w:tcW w:w="8049" w:type="dxa"/>
          </w:tcPr>
          <w:p>
            <w:pPr>
              <w:pStyle w:val="TableParagraph"/>
              <w:ind w:left="77"/>
              <w:rPr>
                <w:sz w:val="21"/>
              </w:rPr>
            </w:pPr>
            <w:r>
              <w:rPr>
                <w:w w:val="100"/>
                <w:sz w:val="21"/>
              </w:rPr>
              <w:t> </w:t>
            </w:r>
          </w:p>
        </w:tc>
      </w:tr>
      <w:tr>
        <w:trPr>
          <w:trHeight w:val="573" w:hRule="atLeast"/>
        </w:trPr>
        <w:tc>
          <w:tcPr>
            <w:tcW w:w="581" w:type="dxa"/>
          </w:tcPr>
          <w:p>
            <w:pPr>
              <w:pStyle w:val="TableParagraph"/>
              <w:ind w:right="184"/>
              <w:jc w:val="right"/>
              <w:rPr>
                <w:b/>
                <w:sz w:val="21"/>
              </w:rPr>
            </w:pPr>
            <w:r>
              <w:rPr>
                <w:b/>
                <w:w w:val="99"/>
                <w:sz w:val="21"/>
              </w:rPr>
              <w:t> </w:t>
            </w:r>
          </w:p>
        </w:tc>
        <w:tc>
          <w:tcPr>
            <w:tcW w:w="1895" w:type="dxa"/>
          </w:tcPr>
          <w:p>
            <w:pPr>
              <w:pStyle w:val="TableParagraph"/>
              <w:ind w:left="184"/>
              <w:rPr>
                <w:sz w:val="21"/>
              </w:rPr>
            </w:pPr>
            <w:r>
              <w:rPr>
                <w:sz w:val="21"/>
              </w:rPr>
              <w:t>14. 双目失明 </w:t>
            </w:r>
          </w:p>
        </w:tc>
        <w:tc>
          <w:tcPr>
            <w:tcW w:w="8049" w:type="dxa"/>
          </w:tcPr>
          <w:p>
            <w:pPr>
              <w:pStyle w:val="TableParagraph"/>
              <w:ind w:left="77"/>
              <w:rPr>
                <w:sz w:val="21"/>
              </w:rPr>
            </w:pPr>
            <w:r>
              <w:rPr>
                <w:sz w:val="21"/>
              </w:rPr>
              <w:t>指因疾病或意外伤害导致双眼视力永久不可逆性丧失，双眼中较好眼须满足下</w:t>
            </w:r>
          </w:p>
          <w:p>
            <w:pPr>
              <w:pStyle w:val="TableParagraph"/>
              <w:spacing w:line="259" w:lineRule="exact" w:before="37"/>
              <w:ind w:left="77"/>
              <w:rPr>
                <w:sz w:val="21"/>
              </w:rPr>
            </w:pPr>
            <w:r>
              <w:rPr>
                <w:sz w:val="21"/>
              </w:rPr>
              <w:t>列至少一项条件： </w:t>
            </w:r>
          </w:p>
        </w:tc>
      </w:tr>
    </w:tbl>
    <w:p>
      <w:pPr>
        <w:spacing w:after="0" w:line="259"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1868"/>
        <w:gridCol w:w="8077"/>
      </w:tblGrid>
      <w:tr>
        <w:trPr>
          <w:trHeight w:val="1288" w:hRule="atLeast"/>
        </w:trPr>
        <w:tc>
          <w:tcPr>
            <w:tcW w:w="581" w:type="dxa"/>
            <w:tcBorders>
              <w:top w:val="single" w:sz="6" w:space="0" w:color="000000"/>
            </w:tcBorders>
          </w:tcPr>
          <w:p>
            <w:pPr>
              <w:pStyle w:val="TableParagraph"/>
              <w:spacing w:line="240" w:lineRule="auto"/>
              <w:rPr>
                <w:rFonts w:ascii="Times New Roman"/>
                <w:sz w:val="20"/>
              </w:rPr>
            </w:pPr>
          </w:p>
        </w:tc>
        <w:tc>
          <w:tcPr>
            <w:tcW w:w="1868" w:type="dxa"/>
            <w:tcBorders>
              <w:top w:val="single" w:sz="6" w:space="0" w:color="000000"/>
            </w:tcBorders>
          </w:tcPr>
          <w:p>
            <w:pPr>
              <w:pStyle w:val="TableParagraph"/>
              <w:spacing w:line="240" w:lineRule="auto"/>
              <w:rPr>
                <w:rFonts w:ascii="Times New Roman"/>
                <w:sz w:val="20"/>
              </w:rPr>
            </w:pPr>
          </w:p>
        </w:tc>
        <w:tc>
          <w:tcPr>
            <w:tcW w:w="8077" w:type="dxa"/>
            <w:tcBorders>
              <w:top w:val="single" w:sz="6" w:space="0" w:color="000000"/>
            </w:tcBorders>
          </w:tcPr>
          <w:p>
            <w:pPr>
              <w:pStyle w:val="TableParagraph"/>
              <w:spacing w:line="240" w:lineRule="auto" w:before="7"/>
              <w:ind w:left="104"/>
              <w:rPr>
                <w:sz w:val="21"/>
              </w:rPr>
            </w:pPr>
            <w:r>
              <w:rPr>
                <w:sz w:val="21"/>
              </w:rPr>
              <w:t>（1） 眼球缺失或摘除；  </w:t>
            </w:r>
          </w:p>
          <w:p>
            <w:pPr>
              <w:pStyle w:val="TableParagraph"/>
              <w:spacing w:line="280" w:lineRule="auto" w:before="44"/>
              <w:ind w:left="649" w:right="858" w:hanging="545"/>
              <w:rPr>
                <w:sz w:val="21"/>
              </w:rPr>
            </w:pPr>
            <w:r>
              <w:rPr>
                <w:sz w:val="21"/>
              </w:rPr>
              <w:t>（2）</w:t>
            </w:r>
            <w:r>
              <w:rPr>
                <w:spacing w:val="-16"/>
                <w:sz w:val="21"/>
              </w:rPr>
              <w:t> 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r>
              <w:rPr>
                <w:spacing w:val="-3"/>
                <w:w w:val="100"/>
                <w:sz w:val="21"/>
              </w:rPr>
              <w:t> </w:t>
            </w:r>
            <w:r>
              <w:rPr>
                <w:w w:val="100"/>
                <w:sz w:val="21"/>
              </w:rPr>
              <w:t> </w:t>
            </w:r>
          </w:p>
          <w:p>
            <w:pPr>
              <w:pStyle w:val="TableParagraph"/>
              <w:spacing w:line="240" w:lineRule="auto" w:before="8"/>
              <w:ind w:left="104"/>
              <w:rPr>
                <w:sz w:val="20"/>
              </w:rPr>
            </w:pPr>
            <w:r>
              <w:rPr>
                <w:sz w:val="20"/>
              </w:rPr>
              <w:t>（3）</w:t>
            </w:r>
            <w:r>
              <w:rPr>
                <w:spacing w:val="-52"/>
                <w:sz w:val="20"/>
              </w:rPr>
              <w:t> </w:t>
            </w:r>
            <w:r>
              <w:rPr>
                <w:spacing w:val="-9"/>
                <w:sz w:val="21"/>
              </w:rPr>
              <w:t>视野半径小于 </w:t>
            </w:r>
            <w:r>
              <w:rPr>
                <w:sz w:val="21"/>
              </w:rPr>
              <w:t>5</w:t>
            </w:r>
            <w:r>
              <w:rPr>
                <w:spacing w:val="-19"/>
                <w:sz w:val="21"/>
              </w:rPr>
              <w:t> 度。</w:t>
            </w:r>
            <w:r>
              <w:rPr>
                <w:w w:val="99"/>
                <w:sz w:val="20"/>
              </w:rPr>
              <w:t> </w:t>
            </w:r>
          </w:p>
        </w:tc>
      </w:tr>
      <w:tr>
        <w:trPr>
          <w:trHeight w:val="303" w:hRule="atLeast"/>
        </w:trPr>
        <w:tc>
          <w:tcPr>
            <w:tcW w:w="581" w:type="dxa"/>
          </w:tcPr>
          <w:p>
            <w:pPr>
              <w:pStyle w:val="TableParagraph"/>
              <w:spacing w:line="249" w:lineRule="exact"/>
              <w:ind w:right="184"/>
              <w:jc w:val="right"/>
              <w:rPr>
                <w:b/>
                <w:sz w:val="21"/>
              </w:rPr>
            </w:pPr>
            <w:r>
              <w:rPr>
                <w:b/>
                <w:w w:val="99"/>
                <w:sz w:val="21"/>
              </w:rPr>
              <w:t> </w:t>
            </w:r>
          </w:p>
        </w:tc>
        <w:tc>
          <w:tcPr>
            <w:tcW w:w="1868" w:type="dxa"/>
          </w:tcPr>
          <w:p>
            <w:pPr>
              <w:pStyle w:val="TableParagraph"/>
              <w:spacing w:line="249" w:lineRule="exact"/>
              <w:ind w:left="184"/>
              <w:rPr>
                <w:sz w:val="21"/>
              </w:rPr>
            </w:pPr>
            <w:r>
              <w:rPr>
                <w:w w:val="100"/>
                <w:sz w:val="21"/>
              </w:rPr>
              <w:t> </w:t>
            </w:r>
          </w:p>
        </w:tc>
        <w:tc>
          <w:tcPr>
            <w:tcW w:w="8077" w:type="dxa"/>
          </w:tcPr>
          <w:p>
            <w:pPr>
              <w:pStyle w:val="TableParagraph"/>
              <w:spacing w:line="249" w:lineRule="exact"/>
              <w:ind w:left="104"/>
              <w:rPr>
                <w:sz w:val="21"/>
              </w:rPr>
            </w:pPr>
            <w:r>
              <w:rPr>
                <w:w w:val="100"/>
                <w:sz w:val="21"/>
              </w:rPr>
              <w:t> </w:t>
            </w:r>
          </w:p>
        </w:tc>
      </w:tr>
      <w:tr>
        <w:trPr>
          <w:trHeight w:val="935"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sz w:val="21"/>
              </w:rPr>
              <w:t>15. 瘫痪 </w:t>
            </w:r>
          </w:p>
        </w:tc>
        <w:tc>
          <w:tcPr>
            <w:tcW w:w="8077" w:type="dxa"/>
          </w:tcPr>
          <w:p>
            <w:pPr>
              <w:pStyle w:val="TableParagraph"/>
              <w:ind w:left="104"/>
              <w:rPr>
                <w:sz w:val="21"/>
              </w:rPr>
            </w:pPr>
            <w:r>
              <w:rPr>
                <w:sz w:val="21"/>
              </w:rPr>
              <w:t>指因疾病或意外伤害导致两肢或两肢以上肢体机能永久完全丧失。肢体机能永</w:t>
            </w:r>
          </w:p>
          <w:p>
            <w:pPr>
              <w:pStyle w:val="TableParagraph"/>
              <w:spacing w:line="273" w:lineRule="auto" w:before="37"/>
              <w:ind w:left="104" w:right="787"/>
              <w:rPr>
                <w:sz w:val="21"/>
              </w:rPr>
            </w:pPr>
            <w:r>
              <w:rPr>
                <w:sz w:val="21"/>
              </w:rPr>
              <w:t>久完全丧失，指疾病确诊180天后或意外伤害发生180天后，每肢三大关节中的两大关节仍然完全僵硬，或不能随意识活动。 </w:t>
            </w:r>
          </w:p>
        </w:tc>
      </w:tr>
      <w:tr>
        <w:trPr>
          <w:trHeight w:val="312"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w w:val="100"/>
                <w:sz w:val="21"/>
              </w:rPr>
              <w:t> </w:t>
            </w:r>
          </w:p>
        </w:tc>
        <w:tc>
          <w:tcPr>
            <w:tcW w:w="8077" w:type="dxa"/>
          </w:tcPr>
          <w:p>
            <w:pPr>
              <w:pStyle w:val="TableParagraph"/>
              <w:ind w:left="104"/>
              <w:rPr>
                <w:sz w:val="21"/>
              </w:rPr>
            </w:pPr>
            <w:r>
              <w:rPr>
                <w:w w:val="100"/>
                <w:sz w:val="21"/>
              </w:rPr>
              <w:t> </w:t>
            </w:r>
          </w:p>
        </w:tc>
      </w:tr>
      <w:tr>
        <w:trPr>
          <w:trHeight w:val="623"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sz w:val="21"/>
              </w:rPr>
              <w:t>16. 心脏瓣膜手</w:t>
            </w:r>
          </w:p>
          <w:p>
            <w:pPr>
              <w:pStyle w:val="TableParagraph"/>
              <w:spacing w:line="240" w:lineRule="auto" w:before="37"/>
              <w:ind w:left="184"/>
              <w:rPr>
                <w:sz w:val="21"/>
              </w:rPr>
            </w:pPr>
            <w:r>
              <w:rPr>
                <w:sz w:val="21"/>
              </w:rPr>
              <w:t>术 </w:t>
            </w:r>
          </w:p>
        </w:tc>
        <w:tc>
          <w:tcPr>
            <w:tcW w:w="8077" w:type="dxa"/>
          </w:tcPr>
          <w:p>
            <w:pPr>
              <w:pStyle w:val="TableParagraph"/>
              <w:ind w:left="104"/>
              <w:rPr>
                <w:sz w:val="21"/>
              </w:rPr>
            </w:pPr>
            <w:r>
              <w:rPr>
                <w:sz w:val="21"/>
              </w:rPr>
              <w:t>指为治疗心脏瓣膜疾病，实际实施了开胸进行的心脏瓣膜置换或修复的手术。 </w:t>
            </w:r>
          </w:p>
        </w:tc>
      </w:tr>
      <w:tr>
        <w:trPr>
          <w:trHeight w:val="312"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w w:val="100"/>
                <w:sz w:val="21"/>
              </w:rPr>
              <w:t> </w:t>
            </w:r>
          </w:p>
        </w:tc>
        <w:tc>
          <w:tcPr>
            <w:tcW w:w="8077" w:type="dxa"/>
          </w:tcPr>
          <w:p>
            <w:pPr>
              <w:pStyle w:val="TableParagraph"/>
              <w:ind w:left="104"/>
              <w:rPr>
                <w:sz w:val="21"/>
              </w:rPr>
            </w:pPr>
            <w:r>
              <w:rPr>
                <w:w w:val="100"/>
                <w:sz w:val="21"/>
              </w:rPr>
              <w:t> </w:t>
            </w:r>
          </w:p>
        </w:tc>
      </w:tr>
      <w:tr>
        <w:trPr>
          <w:trHeight w:val="1877"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sz w:val="21"/>
              </w:rPr>
              <w:t>17. 严重阿尔茨</w:t>
            </w:r>
          </w:p>
          <w:p>
            <w:pPr>
              <w:pStyle w:val="TableParagraph"/>
              <w:spacing w:line="240" w:lineRule="auto" w:before="37"/>
              <w:ind w:left="184"/>
              <w:rPr>
                <w:sz w:val="21"/>
              </w:rPr>
            </w:pPr>
            <w:r>
              <w:rPr>
                <w:sz w:val="21"/>
              </w:rPr>
              <w:t>海默病 </w:t>
            </w:r>
          </w:p>
        </w:tc>
        <w:tc>
          <w:tcPr>
            <w:tcW w:w="8077" w:type="dxa"/>
          </w:tcPr>
          <w:p>
            <w:pPr>
              <w:pStyle w:val="TableParagraph"/>
              <w:ind w:left="104"/>
              <w:rPr>
                <w:sz w:val="21"/>
              </w:rPr>
            </w:pPr>
            <w:r>
              <w:rPr>
                <w:sz w:val="21"/>
              </w:rPr>
              <w:t>指因大脑进行性、不可逆性改变导致智能严重衰退或丧失，临床表现为明显的</w:t>
            </w:r>
          </w:p>
          <w:p>
            <w:pPr>
              <w:pStyle w:val="TableParagraph"/>
              <w:spacing w:line="273" w:lineRule="auto" w:before="37"/>
              <w:ind w:left="104" w:right="680"/>
              <w:rPr>
                <w:sz w:val="21"/>
              </w:rPr>
            </w:pPr>
            <w:r>
              <w:rPr>
                <w:spacing w:val="-10"/>
                <w:sz w:val="21"/>
              </w:rPr>
              <w:t>认知能力障碍、行为异常和社交能力减退，其日常生活必须持续受到他人监护。</w:t>
            </w:r>
            <w:r>
              <w:rPr>
                <w:spacing w:val="-6"/>
                <w:sz w:val="21"/>
              </w:rPr>
              <w:t>须由头颅断层扫描</w:t>
            </w:r>
            <w:r>
              <w:rPr>
                <w:spacing w:val="-4"/>
                <w:sz w:val="21"/>
              </w:rPr>
              <w:t>（CT）</w:t>
            </w:r>
            <w:r>
              <w:rPr>
                <w:spacing w:val="-6"/>
                <w:sz w:val="21"/>
              </w:rPr>
              <w:t>、核磁共振检查</w:t>
            </w:r>
            <w:r>
              <w:rPr>
                <w:spacing w:val="-4"/>
                <w:sz w:val="21"/>
              </w:rPr>
              <w:t>（MRI）或正电子发射断层扫描</w:t>
            </w:r>
            <w:r>
              <w:rPr>
                <w:sz w:val="21"/>
              </w:rPr>
              <w:t>（PET） 等影像学检查证实，且自主生活能力完全丧失，无法独立完成六项基本日常生</w:t>
            </w:r>
            <w:r>
              <w:rPr>
                <w:spacing w:val="-3"/>
                <w:sz w:val="21"/>
              </w:rPr>
              <w:t>活活动中的三项或三项以上。 </w:t>
            </w:r>
            <w:r>
              <w:rPr>
                <w:sz w:val="21"/>
              </w:rPr>
              <w:t> </w:t>
            </w:r>
          </w:p>
          <w:p>
            <w:pPr>
              <w:pStyle w:val="TableParagraph"/>
              <w:spacing w:line="294" w:lineRule="exact"/>
              <w:ind w:left="104"/>
              <w:rPr>
                <w:sz w:val="21"/>
              </w:rPr>
            </w:pPr>
            <w:r>
              <w:rPr>
                <w:rFonts w:ascii="黑体" w:eastAsia="黑体" w:hint="eastAsia"/>
                <w:sz w:val="24"/>
              </w:rPr>
              <w:t>神经官能症和精神疾病不在保障范围内。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68" w:type="dxa"/>
          </w:tcPr>
          <w:p>
            <w:pPr>
              <w:pStyle w:val="TableParagraph"/>
              <w:spacing w:line="252" w:lineRule="exact"/>
              <w:ind w:left="184"/>
              <w:rPr>
                <w:sz w:val="21"/>
              </w:rPr>
            </w:pPr>
            <w:r>
              <w:rPr>
                <w:w w:val="100"/>
                <w:sz w:val="21"/>
              </w:rPr>
              <w:t> </w:t>
            </w:r>
          </w:p>
        </w:tc>
        <w:tc>
          <w:tcPr>
            <w:tcW w:w="8077" w:type="dxa"/>
          </w:tcPr>
          <w:p>
            <w:pPr>
              <w:pStyle w:val="TableParagraph"/>
              <w:spacing w:line="252" w:lineRule="exact"/>
              <w:ind w:left="104"/>
              <w:rPr>
                <w:sz w:val="21"/>
              </w:rPr>
            </w:pPr>
            <w:r>
              <w:rPr>
                <w:w w:val="100"/>
                <w:sz w:val="21"/>
              </w:rPr>
              <w:t> </w:t>
            </w:r>
          </w:p>
        </w:tc>
      </w:tr>
      <w:tr>
        <w:trPr>
          <w:trHeight w:val="2536"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sz w:val="21"/>
              </w:rPr>
              <w:t>18. 严重脑损伤 </w:t>
            </w:r>
          </w:p>
        </w:tc>
        <w:tc>
          <w:tcPr>
            <w:tcW w:w="8077" w:type="dxa"/>
          </w:tcPr>
          <w:p>
            <w:pPr>
              <w:pStyle w:val="TableParagraph"/>
              <w:ind w:left="104"/>
              <w:rPr>
                <w:sz w:val="21"/>
              </w:rPr>
            </w:pPr>
            <w:r>
              <w:rPr>
                <w:sz w:val="21"/>
              </w:rPr>
              <w:t>指因头部遭受机械性外力，引起脑重要部位损伤，导致神经系统永久性的功能</w:t>
            </w:r>
          </w:p>
          <w:p>
            <w:pPr>
              <w:pStyle w:val="TableParagraph"/>
              <w:spacing w:line="240" w:lineRule="auto" w:before="37"/>
              <w:ind w:left="104"/>
              <w:rPr>
                <w:sz w:val="21"/>
              </w:rPr>
            </w:pPr>
            <w:r>
              <w:rPr>
                <w:sz w:val="21"/>
              </w:rPr>
              <w:t>障碍。须由头颅断层扫描（CT）、核磁共振检查（MRI）或正电子发射断层扫描</w:t>
            </w:r>
          </w:p>
          <w:p>
            <w:pPr>
              <w:pStyle w:val="TableParagraph"/>
              <w:spacing w:line="273" w:lineRule="auto" w:before="37"/>
              <w:ind w:left="104" w:right="829"/>
              <w:rPr>
                <w:sz w:val="21"/>
              </w:rPr>
            </w:pPr>
            <w:r>
              <w:rPr>
                <w:sz w:val="21"/>
              </w:rPr>
              <w:t>（PET）等影像学检查证实。神经系统永久性的功能障碍，指脑损伤180天后， 仍遗留下列一种或一种以上障碍：  </w:t>
            </w:r>
          </w:p>
          <w:p>
            <w:pPr>
              <w:pStyle w:val="TableParagraph"/>
              <w:spacing w:line="240" w:lineRule="auto" w:before="32"/>
              <w:ind w:left="104"/>
              <w:rPr>
                <w:sz w:val="21"/>
              </w:rPr>
            </w:pPr>
            <w:r>
              <w:rPr>
                <w:sz w:val="21"/>
              </w:rPr>
              <w:t>（1） 一肢或一肢以上肢体机能完全丧失；  </w:t>
            </w:r>
          </w:p>
          <w:p>
            <w:pPr>
              <w:pStyle w:val="TableParagraph"/>
              <w:spacing w:line="240" w:lineRule="auto" w:before="47"/>
              <w:ind w:left="104"/>
              <w:rPr>
                <w:sz w:val="21"/>
              </w:rPr>
            </w:pPr>
            <w:r>
              <w:rPr>
                <w:sz w:val="21"/>
              </w:rPr>
              <w:t>（2） 语言能力或咀嚼吞咽能力完全丧失；  </w:t>
            </w:r>
          </w:p>
          <w:p>
            <w:pPr>
              <w:pStyle w:val="TableParagraph"/>
              <w:spacing w:line="320" w:lineRule="atLeast"/>
              <w:ind w:left="649" w:right="908" w:hanging="545"/>
              <w:rPr>
                <w:sz w:val="21"/>
              </w:rPr>
            </w:pPr>
            <w:r>
              <w:rPr>
                <w:sz w:val="21"/>
              </w:rPr>
              <w:t>（3）</w:t>
            </w:r>
            <w:r>
              <w:rPr>
                <w:spacing w:val="-10"/>
                <w:sz w:val="21"/>
              </w:rPr>
              <w:t> 自主生活能力完全丧失，无法独立完成六项基本日常生活活动中的三项</w:t>
            </w:r>
            <w:r>
              <w:rPr>
                <w:spacing w:val="-5"/>
                <w:sz w:val="21"/>
              </w:rPr>
              <w:t>或三项以上。</w:t>
            </w:r>
          </w:p>
        </w:tc>
      </w:tr>
      <w:tr>
        <w:trPr>
          <w:trHeight w:val="304" w:hRule="atLeast"/>
        </w:trPr>
        <w:tc>
          <w:tcPr>
            <w:tcW w:w="581" w:type="dxa"/>
          </w:tcPr>
          <w:p>
            <w:pPr>
              <w:pStyle w:val="TableParagraph"/>
              <w:spacing w:line="250" w:lineRule="exact"/>
              <w:ind w:right="184"/>
              <w:jc w:val="right"/>
              <w:rPr>
                <w:b/>
                <w:sz w:val="21"/>
              </w:rPr>
            </w:pPr>
            <w:r>
              <w:rPr>
                <w:b/>
                <w:w w:val="99"/>
                <w:sz w:val="21"/>
              </w:rPr>
              <w:t> </w:t>
            </w:r>
          </w:p>
        </w:tc>
        <w:tc>
          <w:tcPr>
            <w:tcW w:w="1868" w:type="dxa"/>
          </w:tcPr>
          <w:p>
            <w:pPr>
              <w:pStyle w:val="TableParagraph"/>
              <w:spacing w:line="250" w:lineRule="exact"/>
              <w:ind w:left="184"/>
              <w:rPr>
                <w:sz w:val="21"/>
              </w:rPr>
            </w:pPr>
            <w:r>
              <w:rPr>
                <w:w w:val="100"/>
                <w:sz w:val="21"/>
              </w:rPr>
              <w:t> </w:t>
            </w:r>
          </w:p>
        </w:tc>
        <w:tc>
          <w:tcPr>
            <w:tcW w:w="8077" w:type="dxa"/>
          </w:tcPr>
          <w:p>
            <w:pPr>
              <w:pStyle w:val="TableParagraph"/>
              <w:spacing w:line="250" w:lineRule="exact"/>
              <w:ind w:left="104"/>
              <w:rPr>
                <w:sz w:val="21"/>
              </w:rPr>
            </w:pPr>
            <w:r>
              <w:rPr>
                <w:w w:val="100"/>
                <w:sz w:val="21"/>
              </w:rPr>
              <w:t> </w:t>
            </w:r>
          </w:p>
        </w:tc>
      </w:tr>
      <w:tr>
        <w:trPr>
          <w:trHeight w:val="1877"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sz w:val="21"/>
              </w:rPr>
              <w:t>19. 严重帕金森</w:t>
            </w:r>
          </w:p>
          <w:p>
            <w:pPr>
              <w:pStyle w:val="TableParagraph"/>
              <w:spacing w:line="240" w:lineRule="auto" w:before="37"/>
              <w:ind w:left="184"/>
              <w:rPr>
                <w:sz w:val="21"/>
              </w:rPr>
            </w:pPr>
            <w:r>
              <w:rPr>
                <w:sz w:val="21"/>
              </w:rPr>
              <w:t>病 </w:t>
            </w:r>
          </w:p>
        </w:tc>
        <w:tc>
          <w:tcPr>
            <w:tcW w:w="8077" w:type="dxa"/>
          </w:tcPr>
          <w:p>
            <w:pPr>
              <w:pStyle w:val="TableParagraph"/>
              <w:ind w:left="104"/>
              <w:rPr>
                <w:sz w:val="21"/>
              </w:rPr>
            </w:pPr>
            <w:r>
              <w:rPr>
                <w:sz w:val="21"/>
              </w:rPr>
              <w:t>是一种中枢神经系统的退行性疾病，临床表现为震颤麻痹、共济失调等。须满</w:t>
            </w:r>
          </w:p>
          <w:p>
            <w:pPr>
              <w:pStyle w:val="TableParagraph"/>
              <w:spacing w:line="240" w:lineRule="auto" w:before="37"/>
              <w:ind w:left="104"/>
              <w:rPr>
                <w:sz w:val="21"/>
              </w:rPr>
            </w:pPr>
            <w:r>
              <w:rPr>
                <w:sz w:val="21"/>
              </w:rPr>
              <w:t>足下列全部条件：  </w:t>
            </w:r>
          </w:p>
          <w:p>
            <w:pPr>
              <w:pStyle w:val="TableParagraph"/>
              <w:spacing w:line="240" w:lineRule="auto" w:before="37"/>
              <w:ind w:left="104"/>
              <w:rPr>
                <w:sz w:val="21"/>
              </w:rPr>
            </w:pPr>
            <w:r>
              <w:rPr>
                <w:sz w:val="21"/>
              </w:rPr>
              <w:t>（1） 药物治疗无法控制病情；  </w:t>
            </w:r>
          </w:p>
          <w:p>
            <w:pPr>
              <w:pStyle w:val="TableParagraph"/>
              <w:spacing w:line="273" w:lineRule="auto" w:before="37"/>
              <w:ind w:left="644" w:right="781" w:hanging="540"/>
              <w:rPr>
                <w:sz w:val="21"/>
              </w:rPr>
            </w:pPr>
            <w:r>
              <w:rPr>
                <w:sz w:val="21"/>
              </w:rPr>
              <w:t>（2）</w:t>
            </w:r>
            <w:r>
              <w:rPr>
                <w:spacing w:val="-14"/>
                <w:sz w:val="21"/>
              </w:rPr>
              <w:t> 自主生活能力完全丧失，无法独立完成六项基本日常生活活动中的三项或</w:t>
            </w:r>
            <w:r>
              <w:rPr>
                <w:spacing w:val="-8"/>
                <w:sz w:val="21"/>
              </w:rPr>
              <w:t>三项以上。 </w:t>
            </w:r>
            <w:r>
              <w:rPr>
                <w:sz w:val="21"/>
              </w:rPr>
              <w:t> </w:t>
            </w:r>
          </w:p>
          <w:p>
            <w:pPr>
              <w:pStyle w:val="TableParagraph"/>
              <w:spacing w:line="294" w:lineRule="exact"/>
              <w:ind w:left="104"/>
              <w:rPr>
                <w:sz w:val="21"/>
              </w:rPr>
            </w:pPr>
            <w:r>
              <w:rPr>
                <w:rFonts w:ascii="黑体" w:eastAsia="黑体" w:hint="eastAsia"/>
                <w:sz w:val="24"/>
              </w:rPr>
              <w:t>继发性帕金森综合征不在保障范围内。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68" w:type="dxa"/>
          </w:tcPr>
          <w:p>
            <w:pPr>
              <w:pStyle w:val="TableParagraph"/>
              <w:spacing w:line="252" w:lineRule="exact"/>
              <w:ind w:left="184"/>
              <w:rPr>
                <w:sz w:val="21"/>
              </w:rPr>
            </w:pPr>
            <w:r>
              <w:rPr>
                <w:w w:val="100"/>
                <w:sz w:val="21"/>
              </w:rPr>
              <w:t> </w:t>
            </w:r>
          </w:p>
        </w:tc>
        <w:tc>
          <w:tcPr>
            <w:tcW w:w="8077" w:type="dxa"/>
          </w:tcPr>
          <w:p>
            <w:pPr>
              <w:pStyle w:val="TableParagraph"/>
              <w:spacing w:line="252" w:lineRule="exact"/>
              <w:ind w:left="104"/>
              <w:rPr>
                <w:sz w:val="21"/>
              </w:rPr>
            </w:pPr>
            <w:r>
              <w:rPr>
                <w:w w:val="100"/>
                <w:sz w:val="21"/>
              </w:rPr>
              <w:t> </w:t>
            </w:r>
          </w:p>
        </w:tc>
      </w:tr>
      <w:tr>
        <w:trPr>
          <w:trHeight w:val="623"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sz w:val="21"/>
              </w:rPr>
              <w:t>20. 严重Ⅲ度烧</w:t>
            </w:r>
          </w:p>
          <w:p>
            <w:pPr>
              <w:pStyle w:val="TableParagraph"/>
              <w:spacing w:line="240" w:lineRule="auto" w:before="37"/>
              <w:ind w:left="184"/>
              <w:rPr>
                <w:sz w:val="21"/>
              </w:rPr>
            </w:pPr>
            <w:r>
              <w:rPr>
                <w:sz w:val="21"/>
              </w:rPr>
              <w:t>伤 </w:t>
            </w:r>
          </w:p>
        </w:tc>
        <w:tc>
          <w:tcPr>
            <w:tcW w:w="8077" w:type="dxa"/>
          </w:tcPr>
          <w:p>
            <w:pPr>
              <w:pStyle w:val="TableParagraph"/>
              <w:ind w:left="104"/>
              <w:rPr>
                <w:sz w:val="21"/>
              </w:rPr>
            </w:pPr>
            <w:r>
              <w:rPr>
                <w:sz w:val="21"/>
              </w:rPr>
              <w:t>指烧伤程度为Ⅲ度，且Ⅲ度烧伤的面积达到全身体表面积的20％或20％以上。</w:t>
            </w:r>
          </w:p>
          <w:p>
            <w:pPr>
              <w:pStyle w:val="TableParagraph"/>
              <w:spacing w:line="240" w:lineRule="auto" w:before="37"/>
              <w:ind w:left="104"/>
              <w:rPr>
                <w:sz w:val="21"/>
              </w:rPr>
            </w:pPr>
            <w:r>
              <w:rPr>
                <w:sz w:val="21"/>
              </w:rPr>
              <w:t>体表面积根据《中国新九分法》计算。 </w:t>
            </w:r>
          </w:p>
        </w:tc>
      </w:tr>
      <w:tr>
        <w:trPr>
          <w:trHeight w:val="312"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w w:val="100"/>
                <w:sz w:val="21"/>
              </w:rPr>
              <w:t> </w:t>
            </w:r>
          </w:p>
        </w:tc>
        <w:tc>
          <w:tcPr>
            <w:tcW w:w="8077" w:type="dxa"/>
          </w:tcPr>
          <w:p>
            <w:pPr>
              <w:pStyle w:val="TableParagraph"/>
              <w:ind w:left="104"/>
              <w:rPr>
                <w:sz w:val="21"/>
              </w:rPr>
            </w:pPr>
            <w:r>
              <w:rPr>
                <w:w w:val="100"/>
                <w:sz w:val="21"/>
              </w:rPr>
              <w:t> </w:t>
            </w:r>
          </w:p>
        </w:tc>
      </w:tr>
      <w:tr>
        <w:trPr>
          <w:trHeight w:val="935"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sz w:val="21"/>
              </w:rPr>
              <w:t>21. 严重原发性</w:t>
            </w:r>
          </w:p>
          <w:p>
            <w:pPr>
              <w:pStyle w:val="TableParagraph"/>
              <w:spacing w:line="240" w:lineRule="auto" w:before="37"/>
              <w:ind w:left="184"/>
              <w:rPr>
                <w:sz w:val="21"/>
              </w:rPr>
            </w:pPr>
            <w:r>
              <w:rPr>
                <w:sz w:val="21"/>
              </w:rPr>
              <w:t>肺动脉高压 </w:t>
            </w:r>
          </w:p>
        </w:tc>
        <w:tc>
          <w:tcPr>
            <w:tcW w:w="8077" w:type="dxa"/>
          </w:tcPr>
          <w:p>
            <w:pPr>
              <w:pStyle w:val="TableParagraph"/>
              <w:ind w:left="104"/>
              <w:rPr>
                <w:sz w:val="21"/>
              </w:rPr>
            </w:pPr>
            <w:r>
              <w:rPr>
                <w:sz w:val="21"/>
              </w:rPr>
              <w:t>指不明原因的肺动脉压力持续性增高，进行性发展而导致的慢性疾病，已经造</w:t>
            </w:r>
          </w:p>
          <w:p>
            <w:pPr>
              <w:pStyle w:val="TableParagraph"/>
              <w:spacing w:line="273" w:lineRule="auto" w:before="37"/>
              <w:ind w:left="104" w:right="789"/>
              <w:rPr>
                <w:sz w:val="21"/>
              </w:rPr>
            </w:pPr>
            <w:r>
              <w:rPr>
                <w:sz w:val="21"/>
              </w:rPr>
              <w:t>成永久不可逆性的体力活动能力受限，达到美国纽约心脏病学会心功能状态分级IV级，且静息状态下肺动脉平均压超过30mmHg。 </w:t>
            </w:r>
          </w:p>
        </w:tc>
      </w:tr>
      <w:tr>
        <w:trPr>
          <w:trHeight w:val="312"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w w:val="100"/>
                <w:sz w:val="21"/>
              </w:rPr>
              <w:t> </w:t>
            </w:r>
          </w:p>
        </w:tc>
        <w:tc>
          <w:tcPr>
            <w:tcW w:w="8077" w:type="dxa"/>
          </w:tcPr>
          <w:p>
            <w:pPr>
              <w:pStyle w:val="TableParagraph"/>
              <w:ind w:left="104"/>
              <w:rPr>
                <w:sz w:val="21"/>
              </w:rPr>
            </w:pPr>
            <w:r>
              <w:rPr>
                <w:w w:val="100"/>
                <w:sz w:val="21"/>
              </w:rPr>
              <w:t> </w:t>
            </w:r>
          </w:p>
        </w:tc>
      </w:tr>
      <w:tr>
        <w:trPr>
          <w:trHeight w:val="1247" w:hRule="atLeast"/>
        </w:trPr>
        <w:tc>
          <w:tcPr>
            <w:tcW w:w="581" w:type="dxa"/>
          </w:tcPr>
          <w:p>
            <w:pPr>
              <w:pStyle w:val="TableParagraph"/>
              <w:ind w:right="184"/>
              <w:jc w:val="right"/>
              <w:rPr>
                <w:b/>
                <w:sz w:val="21"/>
              </w:rPr>
            </w:pPr>
            <w:r>
              <w:rPr>
                <w:b/>
                <w:w w:val="99"/>
                <w:sz w:val="21"/>
              </w:rPr>
              <w:t> </w:t>
            </w:r>
          </w:p>
        </w:tc>
        <w:tc>
          <w:tcPr>
            <w:tcW w:w="1868" w:type="dxa"/>
          </w:tcPr>
          <w:p>
            <w:pPr>
              <w:pStyle w:val="TableParagraph"/>
              <w:ind w:left="184"/>
              <w:rPr>
                <w:sz w:val="21"/>
              </w:rPr>
            </w:pPr>
            <w:r>
              <w:rPr>
                <w:sz w:val="21"/>
              </w:rPr>
              <w:t>22. 严重运动神</w:t>
            </w:r>
          </w:p>
          <w:p>
            <w:pPr>
              <w:pStyle w:val="TableParagraph"/>
              <w:spacing w:line="240" w:lineRule="auto" w:before="37"/>
              <w:ind w:left="184"/>
              <w:rPr>
                <w:sz w:val="21"/>
              </w:rPr>
            </w:pPr>
            <w:r>
              <w:rPr>
                <w:sz w:val="21"/>
              </w:rPr>
              <w:t>经元病 </w:t>
            </w:r>
          </w:p>
        </w:tc>
        <w:tc>
          <w:tcPr>
            <w:tcW w:w="8077" w:type="dxa"/>
          </w:tcPr>
          <w:p>
            <w:pPr>
              <w:pStyle w:val="TableParagraph"/>
              <w:ind w:left="104"/>
              <w:rPr>
                <w:sz w:val="21"/>
              </w:rPr>
            </w:pPr>
            <w:r>
              <w:rPr>
                <w:sz w:val="21"/>
              </w:rPr>
              <w:t>是一组中枢神经系统运动神经元的进行性变性疾病，包括进行性脊肌萎缩症、</w:t>
            </w:r>
          </w:p>
          <w:p>
            <w:pPr>
              <w:pStyle w:val="TableParagraph"/>
              <w:spacing w:line="273" w:lineRule="auto" w:before="37"/>
              <w:ind w:left="104" w:right="789"/>
              <w:jc w:val="both"/>
              <w:rPr>
                <w:sz w:val="21"/>
              </w:rPr>
            </w:pPr>
            <w:r>
              <w:rPr>
                <w:sz w:val="21"/>
              </w:rPr>
              <w:t>进行性延髓麻痹症、原发性侧索硬化症、肌萎缩性侧索硬化症。须满足自主生活能力完全丧失，无法独立完成六项基本日常生活活动中的三项或三项以上的条件。 </w:t>
            </w:r>
          </w:p>
        </w:tc>
      </w:tr>
      <w:tr>
        <w:trPr>
          <w:trHeight w:val="312" w:hRule="atLeast"/>
        </w:trPr>
        <w:tc>
          <w:tcPr>
            <w:tcW w:w="581" w:type="dxa"/>
          </w:tcPr>
          <w:p>
            <w:pPr>
              <w:pStyle w:val="TableParagraph"/>
              <w:spacing w:line="258" w:lineRule="exact"/>
              <w:ind w:right="184"/>
              <w:jc w:val="right"/>
              <w:rPr>
                <w:b/>
                <w:sz w:val="21"/>
              </w:rPr>
            </w:pPr>
            <w:r>
              <w:rPr>
                <w:b/>
                <w:w w:val="99"/>
                <w:sz w:val="21"/>
              </w:rPr>
              <w:t> </w:t>
            </w:r>
          </w:p>
        </w:tc>
        <w:tc>
          <w:tcPr>
            <w:tcW w:w="1868" w:type="dxa"/>
          </w:tcPr>
          <w:p>
            <w:pPr>
              <w:pStyle w:val="TableParagraph"/>
              <w:spacing w:line="258" w:lineRule="exact"/>
              <w:ind w:left="184"/>
              <w:rPr>
                <w:sz w:val="21"/>
              </w:rPr>
            </w:pPr>
            <w:r>
              <w:rPr>
                <w:w w:val="100"/>
                <w:sz w:val="21"/>
              </w:rPr>
              <w:t> </w:t>
            </w:r>
          </w:p>
        </w:tc>
        <w:tc>
          <w:tcPr>
            <w:tcW w:w="8077" w:type="dxa"/>
          </w:tcPr>
          <w:p>
            <w:pPr>
              <w:pStyle w:val="TableParagraph"/>
              <w:spacing w:line="258" w:lineRule="exact"/>
              <w:ind w:left="104"/>
              <w:rPr>
                <w:sz w:val="21"/>
              </w:rPr>
            </w:pPr>
            <w:r>
              <w:rPr>
                <w:w w:val="100"/>
                <w:sz w:val="21"/>
              </w:rPr>
              <w:t> </w:t>
            </w:r>
          </w:p>
        </w:tc>
      </w:tr>
      <w:tr>
        <w:trPr>
          <w:trHeight w:val="261" w:hRule="atLeast"/>
        </w:trPr>
        <w:tc>
          <w:tcPr>
            <w:tcW w:w="581" w:type="dxa"/>
          </w:tcPr>
          <w:p>
            <w:pPr>
              <w:pStyle w:val="TableParagraph"/>
              <w:spacing w:line="242" w:lineRule="exact"/>
              <w:ind w:right="184"/>
              <w:jc w:val="right"/>
              <w:rPr>
                <w:b/>
                <w:sz w:val="21"/>
              </w:rPr>
            </w:pPr>
            <w:r>
              <w:rPr>
                <w:b/>
                <w:w w:val="99"/>
                <w:sz w:val="21"/>
              </w:rPr>
              <w:t> </w:t>
            </w:r>
          </w:p>
        </w:tc>
        <w:tc>
          <w:tcPr>
            <w:tcW w:w="1868" w:type="dxa"/>
          </w:tcPr>
          <w:p>
            <w:pPr>
              <w:pStyle w:val="TableParagraph"/>
              <w:spacing w:line="242" w:lineRule="exact"/>
              <w:ind w:left="184"/>
              <w:rPr>
                <w:sz w:val="21"/>
              </w:rPr>
            </w:pPr>
            <w:r>
              <w:rPr>
                <w:sz w:val="21"/>
              </w:rPr>
              <w:t>23. 语言能力丧</w:t>
            </w:r>
          </w:p>
        </w:tc>
        <w:tc>
          <w:tcPr>
            <w:tcW w:w="8077" w:type="dxa"/>
          </w:tcPr>
          <w:p>
            <w:pPr>
              <w:pStyle w:val="TableParagraph"/>
              <w:spacing w:line="242" w:lineRule="exact"/>
              <w:ind w:left="104"/>
              <w:rPr>
                <w:sz w:val="21"/>
              </w:rPr>
            </w:pPr>
            <w:r>
              <w:rPr>
                <w:sz w:val="21"/>
              </w:rPr>
              <w:t>指因疾病或意外伤害导致完全丧失语言能力，经过积极治疗至少12个月（声带</w:t>
            </w:r>
          </w:p>
        </w:tc>
      </w:tr>
    </w:tbl>
    <w:p>
      <w:pPr>
        <w:spacing w:after="0" w:line="242"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1884"/>
        <w:gridCol w:w="8059"/>
      </w:tblGrid>
      <w:tr>
        <w:trPr>
          <w:trHeight w:val="630" w:hRule="atLeast"/>
        </w:trPr>
        <w:tc>
          <w:tcPr>
            <w:tcW w:w="581" w:type="dxa"/>
            <w:tcBorders>
              <w:top w:val="single" w:sz="6" w:space="0" w:color="000000"/>
            </w:tcBorders>
          </w:tcPr>
          <w:p>
            <w:pPr>
              <w:pStyle w:val="TableParagraph"/>
              <w:spacing w:line="240" w:lineRule="auto"/>
              <w:rPr>
                <w:rFonts w:ascii="Times New Roman"/>
                <w:sz w:val="20"/>
              </w:rPr>
            </w:pPr>
          </w:p>
        </w:tc>
        <w:tc>
          <w:tcPr>
            <w:tcW w:w="1884" w:type="dxa"/>
            <w:tcBorders>
              <w:top w:val="single" w:sz="6" w:space="0" w:color="000000"/>
            </w:tcBorders>
          </w:tcPr>
          <w:p>
            <w:pPr>
              <w:pStyle w:val="TableParagraph"/>
              <w:spacing w:line="258" w:lineRule="exact"/>
              <w:ind w:left="184"/>
              <w:rPr>
                <w:sz w:val="21"/>
              </w:rPr>
            </w:pPr>
            <w:r>
              <w:rPr>
                <w:sz w:val="21"/>
              </w:rPr>
              <w:t>失 </w:t>
            </w:r>
          </w:p>
        </w:tc>
        <w:tc>
          <w:tcPr>
            <w:tcW w:w="8059" w:type="dxa"/>
            <w:tcBorders>
              <w:top w:val="single" w:sz="6" w:space="0" w:color="000000"/>
            </w:tcBorders>
          </w:tcPr>
          <w:p>
            <w:pPr>
              <w:pStyle w:val="TableParagraph"/>
              <w:spacing w:line="258" w:lineRule="exact"/>
              <w:ind w:left="88"/>
              <w:rPr>
                <w:sz w:val="21"/>
              </w:rPr>
            </w:pPr>
            <w:r>
              <w:rPr>
                <w:sz w:val="21"/>
              </w:rPr>
              <w:t>完全切除不受此时间限制），仍无法通过现有医疗手段恢复。  </w:t>
            </w:r>
          </w:p>
          <w:p>
            <w:pPr>
              <w:pStyle w:val="TableParagraph"/>
              <w:spacing w:line="240" w:lineRule="auto" w:before="9"/>
              <w:ind w:left="88"/>
              <w:rPr>
                <w:sz w:val="21"/>
              </w:rPr>
            </w:pPr>
            <w:r>
              <w:rPr>
                <w:rFonts w:ascii="黑体" w:eastAsia="黑体" w:hint="eastAsia"/>
                <w:sz w:val="24"/>
              </w:rPr>
              <w:t>精神心理因素所致的语言能力丧失不在保障范围内。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84" w:type="dxa"/>
          </w:tcPr>
          <w:p>
            <w:pPr>
              <w:pStyle w:val="TableParagraph"/>
              <w:spacing w:line="252" w:lineRule="exact"/>
              <w:ind w:left="184"/>
              <w:rPr>
                <w:sz w:val="21"/>
              </w:rPr>
            </w:pPr>
            <w:r>
              <w:rPr>
                <w:w w:val="100"/>
                <w:sz w:val="21"/>
              </w:rPr>
              <w:t> </w:t>
            </w:r>
          </w:p>
        </w:tc>
        <w:tc>
          <w:tcPr>
            <w:tcW w:w="8059" w:type="dxa"/>
          </w:tcPr>
          <w:p>
            <w:pPr>
              <w:pStyle w:val="TableParagraph"/>
              <w:spacing w:line="252" w:lineRule="exact"/>
              <w:ind w:left="88"/>
              <w:rPr>
                <w:sz w:val="21"/>
              </w:rPr>
            </w:pPr>
            <w:r>
              <w:rPr>
                <w:w w:val="100"/>
                <w:sz w:val="21"/>
              </w:rPr>
              <w:t> </w:t>
            </w:r>
          </w:p>
        </w:tc>
      </w:tr>
      <w:tr>
        <w:trPr>
          <w:trHeight w:val="2744" w:hRule="atLeast"/>
        </w:trPr>
        <w:tc>
          <w:tcPr>
            <w:tcW w:w="581" w:type="dxa"/>
          </w:tcPr>
          <w:p>
            <w:pPr>
              <w:pStyle w:val="TableParagraph"/>
              <w:ind w:right="184"/>
              <w:jc w:val="right"/>
              <w:rPr>
                <w:b/>
                <w:sz w:val="21"/>
              </w:rPr>
            </w:pPr>
            <w:r>
              <w:rPr>
                <w:b/>
                <w:w w:val="99"/>
                <w:sz w:val="21"/>
              </w:rPr>
              <w:t> </w:t>
            </w:r>
          </w:p>
        </w:tc>
        <w:tc>
          <w:tcPr>
            <w:tcW w:w="1884" w:type="dxa"/>
          </w:tcPr>
          <w:p>
            <w:pPr>
              <w:pStyle w:val="TableParagraph"/>
              <w:ind w:left="184"/>
              <w:rPr>
                <w:sz w:val="21"/>
              </w:rPr>
            </w:pPr>
            <w:r>
              <w:rPr>
                <w:sz w:val="21"/>
              </w:rPr>
              <w:t>24. 重型再生障</w:t>
            </w:r>
          </w:p>
          <w:p>
            <w:pPr>
              <w:pStyle w:val="TableParagraph"/>
              <w:spacing w:line="240" w:lineRule="auto" w:before="37"/>
              <w:ind w:left="184"/>
              <w:rPr>
                <w:sz w:val="21"/>
              </w:rPr>
            </w:pPr>
            <w:r>
              <w:rPr>
                <w:sz w:val="21"/>
              </w:rPr>
              <w:t>碍性贫血 </w:t>
            </w:r>
          </w:p>
        </w:tc>
        <w:tc>
          <w:tcPr>
            <w:tcW w:w="8059" w:type="dxa"/>
          </w:tcPr>
          <w:p>
            <w:pPr>
              <w:pStyle w:val="TableParagraph"/>
              <w:ind w:left="88"/>
              <w:rPr>
                <w:sz w:val="21"/>
              </w:rPr>
            </w:pPr>
            <w:r>
              <w:rPr>
                <w:sz w:val="21"/>
              </w:rPr>
              <w:t>指因骨髓造血功能慢性持续性衰竭导致的贫血、中性粒细胞减少及血小板减少。</w:t>
            </w:r>
          </w:p>
          <w:p>
            <w:pPr>
              <w:pStyle w:val="TableParagraph"/>
              <w:spacing w:line="240" w:lineRule="auto" w:before="37"/>
              <w:ind w:left="88"/>
              <w:rPr>
                <w:sz w:val="21"/>
              </w:rPr>
            </w:pPr>
            <w:r>
              <w:rPr>
                <w:sz w:val="21"/>
              </w:rPr>
              <w:t>须满足下列全部条件：  </w:t>
            </w:r>
          </w:p>
          <w:p>
            <w:pPr>
              <w:pStyle w:val="TableParagraph"/>
              <w:spacing w:line="240" w:lineRule="auto" w:before="37"/>
              <w:ind w:left="88"/>
              <w:rPr>
                <w:sz w:val="21"/>
              </w:rPr>
            </w:pPr>
            <w:r>
              <w:rPr>
                <w:sz w:val="21"/>
              </w:rPr>
              <w:t>（1） 骨髓穿刺检查或骨髓活检结果支持诊断；  </w:t>
            </w:r>
          </w:p>
          <w:p>
            <w:pPr>
              <w:pStyle w:val="TableParagraph"/>
              <w:spacing w:line="240" w:lineRule="auto" w:before="37"/>
              <w:ind w:left="88"/>
              <w:rPr>
                <w:sz w:val="21"/>
              </w:rPr>
            </w:pPr>
            <w:r>
              <w:rPr>
                <w:sz w:val="21"/>
              </w:rPr>
              <w:t>（2） 外周血象须具备以下三项条件： </w:t>
            </w:r>
          </w:p>
          <w:p>
            <w:pPr>
              <w:pStyle w:val="TableParagraph"/>
              <w:spacing w:line="99" w:lineRule="exact" w:before="168"/>
              <w:ind w:right="888"/>
              <w:jc w:val="center"/>
              <w:rPr>
                <w:sz w:val="11"/>
              </w:rPr>
            </w:pPr>
            <w:r>
              <w:rPr>
                <w:w w:val="100"/>
                <w:sz w:val="11"/>
              </w:rPr>
              <w:t>9</w:t>
            </w:r>
          </w:p>
          <w:p>
            <w:pPr>
              <w:pStyle w:val="TableParagraph"/>
              <w:spacing w:line="230" w:lineRule="exact"/>
              <w:ind w:left="89"/>
              <w:rPr>
                <w:sz w:val="21"/>
              </w:rPr>
            </w:pPr>
            <w:r>
              <w:rPr>
                <w:w w:val="100"/>
                <w:sz w:val="21"/>
              </w:rPr>
              <w:t>     </w:t>
            </w:r>
            <w:r>
              <w:rPr>
                <w:sz w:val="21"/>
              </w:rPr>
              <w:t>① 中性粒细胞绝对值≤0.5×10 /L ；  </w:t>
            </w:r>
          </w:p>
          <w:p>
            <w:pPr>
              <w:pStyle w:val="TableParagraph"/>
              <w:spacing w:line="240" w:lineRule="auto" w:before="165"/>
              <w:ind w:left="88"/>
              <w:rPr>
                <w:sz w:val="21"/>
              </w:rPr>
            </w:pPr>
            <w:r>
              <w:rPr>
                <w:w w:val="100"/>
                <w:sz w:val="21"/>
              </w:rPr>
              <w:t>     </w:t>
            </w:r>
            <w:r>
              <w:rPr>
                <w:sz w:val="21"/>
              </w:rPr>
              <w:t>② 网织红细胞＜1%；  </w:t>
            </w:r>
          </w:p>
          <w:p>
            <w:pPr>
              <w:pStyle w:val="TableParagraph"/>
              <w:spacing w:line="99" w:lineRule="exact" w:before="168"/>
              <w:ind w:right="1939"/>
              <w:jc w:val="center"/>
              <w:rPr>
                <w:sz w:val="11"/>
              </w:rPr>
            </w:pPr>
            <w:r>
              <w:rPr>
                <w:w w:val="100"/>
                <w:sz w:val="11"/>
              </w:rPr>
              <w:t>9</w:t>
            </w:r>
          </w:p>
          <w:p>
            <w:pPr>
              <w:pStyle w:val="TableParagraph"/>
              <w:spacing w:line="230" w:lineRule="exact"/>
              <w:ind w:left="88"/>
              <w:rPr>
                <w:sz w:val="21"/>
              </w:rPr>
            </w:pPr>
            <w:r>
              <w:rPr>
                <w:w w:val="100"/>
                <w:sz w:val="21"/>
              </w:rPr>
              <w:t>     </w:t>
            </w:r>
            <w:r>
              <w:rPr>
                <w:spacing w:val="-2"/>
                <w:sz w:val="21"/>
              </w:rPr>
              <w:t>③ 血小板绝对值</w:t>
            </w:r>
            <w:r>
              <w:rPr>
                <w:sz w:val="21"/>
              </w:rPr>
              <w:t>≤20×10</w:t>
            </w:r>
            <w:r>
              <w:rPr>
                <w:spacing w:val="-51"/>
                <w:sz w:val="21"/>
              </w:rPr>
              <w:t> </w:t>
            </w:r>
            <w:r>
              <w:rPr>
                <w:sz w:val="21"/>
              </w:rPr>
              <w:t>/L</w:t>
            </w:r>
            <w:r>
              <w:rPr>
                <w:spacing w:val="-3"/>
                <w:sz w:val="21"/>
              </w:rPr>
              <w:t>。</w:t>
            </w:r>
            <w:r>
              <w:rPr>
                <w:sz w:val="21"/>
              </w:rPr>
              <w:t> </w:t>
            </w:r>
          </w:p>
        </w:tc>
      </w:tr>
      <w:tr>
        <w:trPr>
          <w:trHeight w:val="375" w:hRule="atLeast"/>
        </w:trPr>
        <w:tc>
          <w:tcPr>
            <w:tcW w:w="581" w:type="dxa"/>
          </w:tcPr>
          <w:p>
            <w:pPr>
              <w:pStyle w:val="TableParagraph"/>
              <w:spacing w:line="240" w:lineRule="auto" w:before="46"/>
              <w:ind w:right="184"/>
              <w:jc w:val="right"/>
              <w:rPr>
                <w:b/>
                <w:sz w:val="21"/>
              </w:rPr>
            </w:pPr>
            <w:r>
              <w:rPr>
                <w:b/>
                <w:w w:val="99"/>
                <w:sz w:val="21"/>
              </w:rPr>
              <w:t> </w:t>
            </w:r>
          </w:p>
        </w:tc>
        <w:tc>
          <w:tcPr>
            <w:tcW w:w="1884" w:type="dxa"/>
          </w:tcPr>
          <w:p>
            <w:pPr>
              <w:pStyle w:val="TableParagraph"/>
              <w:spacing w:line="240" w:lineRule="auto" w:before="46"/>
              <w:ind w:left="184"/>
              <w:rPr>
                <w:sz w:val="21"/>
              </w:rPr>
            </w:pPr>
            <w:r>
              <w:rPr>
                <w:w w:val="100"/>
                <w:sz w:val="21"/>
              </w:rPr>
              <w:t> </w:t>
            </w:r>
          </w:p>
        </w:tc>
        <w:tc>
          <w:tcPr>
            <w:tcW w:w="8059" w:type="dxa"/>
          </w:tcPr>
          <w:p>
            <w:pPr>
              <w:pStyle w:val="TableParagraph"/>
              <w:spacing w:line="240" w:lineRule="auto" w:before="46"/>
              <w:ind w:left="88"/>
              <w:rPr>
                <w:sz w:val="21"/>
              </w:rPr>
            </w:pPr>
            <w:r>
              <w:rPr>
                <w:w w:val="100"/>
                <w:sz w:val="21"/>
              </w:rPr>
              <w:t> </w:t>
            </w:r>
          </w:p>
        </w:tc>
      </w:tr>
      <w:tr>
        <w:trPr>
          <w:trHeight w:val="1253" w:hRule="atLeast"/>
        </w:trPr>
        <w:tc>
          <w:tcPr>
            <w:tcW w:w="581" w:type="dxa"/>
          </w:tcPr>
          <w:p>
            <w:pPr>
              <w:pStyle w:val="TableParagraph"/>
              <w:ind w:right="184"/>
              <w:jc w:val="right"/>
              <w:rPr>
                <w:b/>
                <w:sz w:val="21"/>
              </w:rPr>
            </w:pPr>
            <w:r>
              <w:rPr>
                <w:b/>
                <w:w w:val="99"/>
                <w:sz w:val="21"/>
              </w:rPr>
              <w:t> </w:t>
            </w:r>
          </w:p>
        </w:tc>
        <w:tc>
          <w:tcPr>
            <w:tcW w:w="1884" w:type="dxa"/>
          </w:tcPr>
          <w:p>
            <w:pPr>
              <w:pStyle w:val="TableParagraph"/>
              <w:ind w:left="184"/>
              <w:rPr>
                <w:sz w:val="21"/>
              </w:rPr>
            </w:pPr>
            <w:r>
              <w:rPr>
                <w:sz w:val="21"/>
              </w:rPr>
              <w:t>25. 主动脉手术 </w:t>
            </w:r>
          </w:p>
        </w:tc>
        <w:tc>
          <w:tcPr>
            <w:tcW w:w="8059" w:type="dxa"/>
          </w:tcPr>
          <w:p>
            <w:pPr>
              <w:pStyle w:val="TableParagraph"/>
              <w:ind w:left="88"/>
              <w:rPr>
                <w:sz w:val="21"/>
              </w:rPr>
            </w:pPr>
            <w:r>
              <w:rPr>
                <w:sz w:val="21"/>
              </w:rPr>
              <w:t>指为治疗主动脉疾病，实际实施了开胸或开腹进行的切除、置换、修补病损主</w:t>
            </w:r>
          </w:p>
          <w:p>
            <w:pPr>
              <w:pStyle w:val="TableParagraph"/>
              <w:spacing w:line="273" w:lineRule="auto" w:before="37"/>
              <w:ind w:left="88" w:right="787"/>
              <w:rPr>
                <w:sz w:val="21"/>
              </w:rPr>
            </w:pPr>
            <w:r>
              <w:rPr>
                <w:sz w:val="21"/>
              </w:rPr>
              <w:t>动脉血管的手术。主动脉指胸主动脉和腹主动脉，不包括胸主动脉和腹主动脉的分支血管。  </w:t>
            </w:r>
          </w:p>
          <w:p>
            <w:pPr>
              <w:pStyle w:val="TableParagraph"/>
              <w:spacing w:line="294" w:lineRule="exact"/>
              <w:ind w:left="88"/>
              <w:rPr>
                <w:sz w:val="21"/>
              </w:rPr>
            </w:pPr>
            <w:r>
              <w:rPr>
                <w:rFonts w:ascii="黑体" w:eastAsia="黑体" w:hint="eastAsia"/>
                <w:sz w:val="24"/>
              </w:rPr>
              <w:t>动脉内血管成形术不在保障范围内。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84" w:type="dxa"/>
          </w:tcPr>
          <w:p>
            <w:pPr>
              <w:pStyle w:val="TableParagraph"/>
              <w:spacing w:line="252" w:lineRule="exact"/>
              <w:ind w:left="184"/>
              <w:rPr>
                <w:sz w:val="21"/>
              </w:rPr>
            </w:pPr>
            <w:r>
              <w:rPr>
                <w:w w:val="100"/>
                <w:sz w:val="21"/>
              </w:rPr>
              <w:t> </w:t>
            </w:r>
          </w:p>
        </w:tc>
        <w:tc>
          <w:tcPr>
            <w:tcW w:w="8059" w:type="dxa"/>
          </w:tcPr>
          <w:p>
            <w:pPr>
              <w:pStyle w:val="TableParagraph"/>
              <w:spacing w:line="252" w:lineRule="exact"/>
              <w:ind w:left="88"/>
              <w:rPr>
                <w:sz w:val="21"/>
              </w:rPr>
            </w:pPr>
            <w:r>
              <w:rPr>
                <w:w w:val="100"/>
                <w:sz w:val="21"/>
              </w:rPr>
              <w:t> </w:t>
            </w:r>
          </w:p>
        </w:tc>
      </w:tr>
      <w:tr>
        <w:trPr>
          <w:trHeight w:val="2183" w:hRule="atLeast"/>
        </w:trPr>
        <w:tc>
          <w:tcPr>
            <w:tcW w:w="581" w:type="dxa"/>
          </w:tcPr>
          <w:p>
            <w:pPr>
              <w:pStyle w:val="TableParagraph"/>
              <w:ind w:right="184"/>
              <w:jc w:val="right"/>
              <w:rPr>
                <w:b/>
                <w:sz w:val="21"/>
              </w:rPr>
            </w:pPr>
            <w:r>
              <w:rPr>
                <w:b/>
                <w:w w:val="99"/>
                <w:sz w:val="21"/>
              </w:rPr>
              <w:t> </w:t>
            </w:r>
          </w:p>
        </w:tc>
        <w:tc>
          <w:tcPr>
            <w:tcW w:w="1884" w:type="dxa"/>
          </w:tcPr>
          <w:p>
            <w:pPr>
              <w:pStyle w:val="TableParagraph"/>
              <w:ind w:left="184"/>
              <w:rPr>
                <w:sz w:val="21"/>
              </w:rPr>
            </w:pPr>
            <w:r>
              <w:rPr>
                <w:sz w:val="21"/>
              </w:rPr>
              <w:t>26. 严重的多发</w:t>
            </w:r>
          </w:p>
          <w:p>
            <w:pPr>
              <w:pStyle w:val="TableParagraph"/>
              <w:spacing w:line="240" w:lineRule="auto" w:before="37"/>
              <w:ind w:left="184"/>
              <w:rPr>
                <w:sz w:val="21"/>
              </w:rPr>
            </w:pPr>
            <w:r>
              <w:rPr>
                <w:sz w:val="21"/>
              </w:rPr>
              <w:t>性硬化 </w:t>
            </w:r>
          </w:p>
        </w:tc>
        <w:tc>
          <w:tcPr>
            <w:tcW w:w="8059" w:type="dxa"/>
          </w:tcPr>
          <w:p>
            <w:pPr>
              <w:pStyle w:val="TableParagraph"/>
              <w:ind w:left="88"/>
              <w:rPr>
                <w:sz w:val="21"/>
              </w:rPr>
            </w:pPr>
            <w:r>
              <w:rPr>
                <w:sz w:val="21"/>
              </w:rPr>
              <w:t>指因中枢神经系统脱髓鞘而导致的不可逆的身体部位的功能障碍，需由神经科</w:t>
            </w:r>
          </w:p>
          <w:p>
            <w:pPr>
              <w:pStyle w:val="TableParagraph"/>
              <w:spacing w:line="256" w:lineRule="auto" w:before="37"/>
              <w:ind w:left="88" w:right="873"/>
              <w:rPr>
                <w:sz w:val="21"/>
              </w:rPr>
            </w:pPr>
            <w:r>
              <w:rPr>
                <w:sz w:val="21"/>
              </w:rPr>
              <w:t>专科医生提供明确诊断，并有</w:t>
            </w:r>
            <w:r>
              <w:rPr>
                <w:rFonts w:ascii="Times New Roman" w:eastAsia="Times New Roman"/>
                <w:sz w:val="21"/>
              </w:rPr>
              <w:t>CT </w:t>
            </w:r>
            <w:r>
              <w:rPr>
                <w:sz w:val="21"/>
              </w:rPr>
              <w:t>或核磁共振检查结果诊断报告。不可逆的身体部位功能障碍指诊断为功能障碍后需已经持续</w:t>
            </w:r>
            <w:r>
              <w:rPr>
                <w:rFonts w:ascii="Times New Roman" w:eastAsia="Times New Roman"/>
                <w:sz w:val="21"/>
              </w:rPr>
              <w:t>180</w:t>
            </w:r>
            <w:r>
              <w:rPr>
                <w:sz w:val="21"/>
              </w:rPr>
              <w:t>天以上。</w:t>
            </w:r>
          </w:p>
          <w:p>
            <w:pPr>
              <w:pStyle w:val="TableParagraph"/>
              <w:spacing w:line="240" w:lineRule="auto" w:before="5"/>
              <w:ind w:left="88"/>
              <w:rPr>
                <w:sz w:val="21"/>
              </w:rPr>
            </w:pPr>
            <w:r>
              <w:rPr>
                <w:sz w:val="21"/>
              </w:rPr>
              <w:t>由神经科专科医生提供的明确诊断必须同时包含下列内容：</w:t>
            </w:r>
          </w:p>
          <w:p>
            <w:pPr>
              <w:pStyle w:val="TableParagraph"/>
              <w:spacing w:line="240" w:lineRule="auto" w:before="37"/>
              <w:ind w:left="88"/>
              <w:rPr>
                <w:sz w:val="21"/>
              </w:rPr>
            </w:pPr>
            <w:r>
              <w:rPr>
                <w:sz w:val="21"/>
              </w:rPr>
              <w:t>（1） 明确出现因视神经、脑干和脊髓损伤而导致的临床表现； </w:t>
            </w:r>
          </w:p>
          <w:p>
            <w:pPr>
              <w:pStyle w:val="TableParagraph"/>
              <w:spacing w:line="240" w:lineRule="auto" w:before="37"/>
              <w:ind w:left="88"/>
              <w:rPr>
                <w:sz w:val="21"/>
              </w:rPr>
            </w:pPr>
            <w:r>
              <w:rPr>
                <w:sz w:val="21"/>
              </w:rPr>
              <w:t>（2） 神经系统散在的多部位病变； </w:t>
            </w:r>
          </w:p>
          <w:p>
            <w:pPr>
              <w:pStyle w:val="TableParagraph"/>
              <w:spacing w:line="240" w:lineRule="auto" w:before="37"/>
              <w:ind w:left="88"/>
              <w:rPr>
                <w:sz w:val="21"/>
              </w:rPr>
            </w:pPr>
            <w:r>
              <w:rPr>
                <w:sz w:val="21"/>
              </w:rPr>
              <w:t>（3） 有明确的上述症状及神经损伤反复恶化、减轻的病史记录。</w:t>
            </w:r>
          </w:p>
        </w:tc>
      </w:tr>
      <w:tr>
        <w:trPr>
          <w:trHeight w:val="312" w:hRule="atLeast"/>
        </w:trPr>
        <w:tc>
          <w:tcPr>
            <w:tcW w:w="581" w:type="dxa"/>
          </w:tcPr>
          <w:p>
            <w:pPr>
              <w:pStyle w:val="TableParagraph"/>
              <w:spacing w:line="258" w:lineRule="exact"/>
              <w:ind w:right="184"/>
              <w:jc w:val="right"/>
              <w:rPr>
                <w:b/>
                <w:sz w:val="21"/>
              </w:rPr>
            </w:pPr>
            <w:r>
              <w:rPr>
                <w:b/>
                <w:w w:val="99"/>
                <w:sz w:val="21"/>
              </w:rPr>
              <w:t> </w:t>
            </w:r>
          </w:p>
        </w:tc>
        <w:tc>
          <w:tcPr>
            <w:tcW w:w="1884" w:type="dxa"/>
          </w:tcPr>
          <w:p>
            <w:pPr>
              <w:pStyle w:val="TableParagraph"/>
              <w:spacing w:line="258" w:lineRule="exact"/>
              <w:ind w:left="184"/>
              <w:rPr>
                <w:sz w:val="21"/>
              </w:rPr>
            </w:pPr>
            <w:r>
              <w:rPr>
                <w:w w:val="100"/>
                <w:sz w:val="21"/>
              </w:rPr>
              <w:t> </w:t>
            </w:r>
          </w:p>
        </w:tc>
        <w:tc>
          <w:tcPr>
            <w:tcW w:w="8059" w:type="dxa"/>
          </w:tcPr>
          <w:p>
            <w:pPr>
              <w:pStyle w:val="TableParagraph"/>
              <w:spacing w:line="258" w:lineRule="exact"/>
              <w:ind w:left="88"/>
              <w:rPr>
                <w:sz w:val="21"/>
              </w:rPr>
            </w:pPr>
            <w:r>
              <w:rPr>
                <w:w w:val="100"/>
                <w:sz w:val="21"/>
              </w:rPr>
              <w:t> </w:t>
            </w:r>
          </w:p>
        </w:tc>
      </w:tr>
      <w:tr>
        <w:trPr>
          <w:trHeight w:val="2813" w:hRule="atLeast"/>
        </w:trPr>
        <w:tc>
          <w:tcPr>
            <w:tcW w:w="581" w:type="dxa"/>
          </w:tcPr>
          <w:p>
            <w:pPr>
              <w:pStyle w:val="TableParagraph"/>
              <w:spacing w:line="258" w:lineRule="exact"/>
              <w:ind w:right="184"/>
              <w:jc w:val="right"/>
              <w:rPr>
                <w:b/>
                <w:sz w:val="21"/>
              </w:rPr>
            </w:pPr>
            <w:r>
              <w:rPr>
                <w:b/>
                <w:w w:val="99"/>
                <w:sz w:val="21"/>
              </w:rPr>
              <w:t> </w:t>
            </w:r>
          </w:p>
        </w:tc>
        <w:tc>
          <w:tcPr>
            <w:tcW w:w="1884" w:type="dxa"/>
          </w:tcPr>
          <w:p>
            <w:pPr>
              <w:pStyle w:val="TableParagraph"/>
              <w:spacing w:line="258" w:lineRule="exact"/>
              <w:ind w:left="184"/>
              <w:rPr>
                <w:sz w:val="21"/>
              </w:rPr>
            </w:pPr>
            <w:r>
              <w:rPr>
                <w:sz w:val="21"/>
              </w:rPr>
              <w:t>27. 经输血导致</w:t>
            </w:r>
          </w:p>
          <w:p>
            <w:pPr>
              <w:pStyle w:val="TableParagraph"/>
              <w:spacing w:line="273" w:lineRule="auto" w:before="37"/>
              <w:ind w:left="184" w:right="111"/>
              <w:rPr>
                <w:sz w:val="21"/>
              </w:rPr>
            </w:pPr>
            <w:r>
              <w:rPr>
                <w:sz w:val="21"/>
              </w:rPr>
              <w:t>的艾滋病病毒感染 </w:t>
            </w:r>
          </w:p>
        </w:tc>
        <w:tc>
          <w:tcPr>
            <w:tcW w:w="8059" w:type="dxa"/>
          </w:tcPr>
          <w:p>
            <w:pPr>
              <w:pStyle w:val="TableParagraph"/>
              <w:ind w:left="88"/>
              <w:rPr>
                <w:sz w:val="21"/>
              </w:rPr>
            </w:pPr>
            <w:r>
              <w:rPr>
                <w:sz w:val="21"/>
              </w:rPr>
              <w:t>指被保险人感染上人类免疫缺陷病毒（HIV）并且符合下列所有条件： </w:t>
            </w:r>
          </w:p>
          <w:p>
            <w:pPr>
              <w:pStyle w:val="TableParagraph"/>
              <w:spacing w:line="273" w:lineRule="auto" w:before="37"/>
              <w:ind w:left="628" w:right="780" w:hanging="541"/>
              <w:rPr>
                <w:sz w:val="21"/>
              </w:rPr>
            </w:pPr>
            <w:r>
              <w:rPr>
                <w:sz w:val="21"/>
              </w:rPr>
              <w:t>（1）</w:t>
            </w:r>
            <w:r>
              <w:rPr>
                <w:spacing w:val="-12"/>
                <w:sz w:val="21"/>
              </w:rPr>
              <w:t> 在合同生效日或最后复效日</w:t>
            </w:r>
            <w:r>
              <w:rPr>
                <w:spacing w:val="-3"/>
                <w:sz w:val="21"/>
              </w:rPr>
              <w:t>（以较迟者为准</w:t>
            </w:r>
            <w:r>
              <w:rPr>
                <w:spacing w:val="-29"/>
                <w:sz w:val="21"/>
              </w:rPr>
              <w:t>）</w:t>
            </w:r>
            <w:r>
              <w:rPr>
                <w:sz w:val="21"/>
              </w:rPr>
              <w:t>起60</w:t>
            </w:r>
            <w:r>
              <w:rPr>
                <w:spacing w:val="-6"/>
                <w:sz w:val="21"/>
              </w:rPr>
              <w:t>日之后，被保险人因治</w:t>
            </w:r>
            <w:r>
              <w:rPr>
                <w:spacing w:val="-3"/>
                <w:sz w:val="21"/>
              </w:rPr>
              <w:t>疗必需而接受输血，并且因输血而感染</w:t>
            </w:r>
            <w:r>
              <w:rPr>
                <w:sz w:val="21"/>
              </w:rPr>
              <w:t>HIV； </w:t>
            </w:r>
          </w:p>
          <w:p>
            <w:pPr>
              <w:pStyle w:val="TableParagraph"/>
              <w:spacing w:line="273" w:lineRule="auto" w:before="7"/>
              <w:ind w:left="628" w:right="783" w:hanging="541"/>
              <w:rPr>
                <w:sz w:val="21"/>
              </w:rPr>
            </w:pPr>
            <w:r>
              <w:rPr>
                <w:sz w:val="21"/>
              </w:rPr>
              <w:t>（2）</w:t>
            </w:r>
            <w:r>
              <w:rPr>
                <w:spacing w:val="-6"/>
                <w:sz w:val="21"/>
              </w:rPr>
              <w:t> 提供输血治疗的输血中心或医院出具该项输血感染属医疗责任事故的报</w:t>
            </w:r>
            <w:r>
              <w:rPr>
                <w:spacing w:val="-4"/>
                <w:sz w:val="21"/>
              </w:rPr>
              <w:t>告，或者法院终审判决为医疗责任；</w:t>
            </w:r>
            <w:r>
              <w:rPr>
                <w:sz w:val="21"/>
              </w:rPr>
              <w:t> </w:t>
            </w:r>
          </w:p>
          <w:p>
            <w:pPr>
              <w:pStyle w:val="TableParagraph"/>
              <w:spacing w:line="240" w:lineRule="auto" w:before="7"/>
              <w:ind w:left="88"/>
              <w:rPr>
                <w:sz w:val="21"/>
              </w:rPr>
            </w:pPr>
            <w:r>
              <w:rPr>
                <w:sz w:val="21"/>
              </w:rPr>
              <w:t>（3） 提供输血治疗的输血中心或医院必须拥有合法经营执照； </w:t>
            </w:r>
          </w:p>
          <w:p>
            <w:pPr>
              <w:pStyle w:val="TableParagraph"/>
              <w:spacing w:line="240" w:lineRule="auto" w:before="37"/>
              <w:ind w:left="88"/>
              <w:rPr>
                <w:sz w:val="21"/>
              </w:rPr>
            </w:pPr>
            <w:r>
              <w:rPr>
                <w:sz w:val="21"/>
              </w:rPr>
              <w:t>（4） 受感染的被保险人不是血友病患者。 </w:t>
            </w:r>
          </w:p>
          <w:p>
            <w:pPr>
              <w:pStyle w:val="TableParagraph"/>
              <w:spacing w:line="237" w:lineRule="auto" w:before="13"/>
              <w:ind w:left="88" w:right="785"/>
              <w:rPr>
                <w:sz w:val="21"/>
              </w:rPr>
            </w:pPr>
            <w:r>
              <w:rPr>
                <w:rFonts w:ascii="黑体" w:eastAsia="黑体" w:hint="eastAsia"/>
                <w:sz w:val="24"/>
              </w:rPr>
              <w:t>任何因其他传播方式（包括：性传播或静脉注射毒品）导致的HIV感染不在保障范围内。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84" w:type="dxa"/>
          </w:tcPr>
          <w:p>
            <w:pPr>
              <w:pStyle w:val="TableParagraph"/>
              <w:spacing w:line="252" w:lineRule="exact"/>
              <w:ind w:left="184"/>
              <w:rPr>
                <w:sz w:val="21"/>
              </w:rPr>
            </w:pPr>
            <w:r>
              <w:rPr>
                <w:w w:val="100"/>
                <w:sz w:val="21"/>
              </w:rPr>
              <w:t> </w:t>
            </w:r>
          </w:p>
        </w:tc>
        <w:tc>
          <w:tcPr>
            <w:tcW w:w="8059" w:type="dxa"/>
          </w:tcPr>
          <w:p>
            <w:pPr>
              <w:pStyle w:val="TableParagraph"/>
              <w:spacing w:line="252" w:lineRule="exact"/>
              <w:ind w:left="88"/>
              <w:rPr>
                <w:sz w:val="21"/>
              </w:rPr>
            </w:pPr>
            <w:r>
              <w:rPr>
                <w:w w:val="100"/>
                <w:sz w:val="21"/>
              </w:rPr>
              <w:t> </w:t>
            </w:r>
          </w:p>
        </w:tc>
      </w:tr>
      <w:tr>
        <w:trPr>
          <w:trHeight w:val="2189" w:hRule="atLeast"/>
        </w:trPr>
        <w:tc>
          <w:tcPr>
            <w:tcW w:w="581" w:type="dxa"/>
          </w:tcPr>
          <w:p>
            <w:pPr>
              <w:pStyle w:val="TableParagraph"/>
              <w:ind w:right="184"/>
              <w:jc w:val="right"/>
              <w:rPr>
                <w:b/>
                <w:sz w:val="21"/>
              </w:rPr>
            </w:pPr>
            <w:r>
              <w:rPr>
                <w:b/>
                <w:w w:val="99"/>
                <w:sz w:val="21"/>
              </w:rPr>
              <w:t> </w:t>
            </w:r>
          </w:p>
        </w:tc>
        <w:tc>
          <w:tcPr>
            <w:tcW w:w="1884" w:type="dxa"/>
          </w:tcPr>
          <w:p>
            <w:pPr>
              <w:pStyle w:val="TableParagraph"/>
              <w:ind w:left="184"/>
              <w:rPr>
                <w:sz w:val="21"/>
              </w:rPr>
            </w:pPr>
            <w:r>
              <w:rPr>
                <w:sz w:val="21"/>
              </w:rPr>
              <w:t>28. 严重的原发</w:t>
            </w:r>
          </w:p>
          <w:p>
            <w:pPr>
              <w:pStyle w:val="TableParagraph"/>
              <w:spacing w:line="240" w:lineRule="auto" w:before="37"/>
              <w:ind w:left="184"/>
              <w:rPr>
                <w:sz w:val="21"/>
              </w:rPr>
            </w:pPr>
            <w:r>
              <w:rPr>
                <w:sz w:val="21"/>
              </w:rPr>
              <w:t>性心肌病 </w:t>
            </w:r>
          </w:p>
        </w:tc>
        <w:tc>
          <w:tcPr>
            <w:tcW w:w="8059" w:type="dxa"/>
          </w:tcPr>
          <w:p>
            <w:pPr>
              <w:pStyle w:val="TableParagraph"/>
              <w:ind w:left="88"/>
              <w:rPr>
                <w:sz w:val="21"/>
              </w:rPr>
            </w:pPr>
            <w:r>
              <w:rPr>
                <w:sz w:val="21"/>
              </w:rPr>
              <w:t>指不明原因引起的一类心肌病变，包括原发性扩张型心肌病、原发性肥厚型心</w:t>
            </w:r>
          </w:p>
          <w:p>
            <w:pPr>
              <w:pStyle w:val="TableParagraph"/>
              <w:spacing w:line="264" w:lineRule="auto" w:before="37"/>
              <w:ind w:left="88" w:right="754"/>
              <w:rPr>
                <w:sz w:val="21"/>
              </w:rPr>
            </w:pPr>
            <w:r>
              <w:rPr>
                <w:sz w:val="21"/>
              </w:rPr>
              <w:t>肌病及原发性限制型心肌病三种，病变必须已造成事实上心室功能障碍而出现明显的心功能衰竭（指按照美国纽约心脏病学会心功能分类标准心功能达</w:t>
            </w:r>
            <w:r>
              <w:rPr>
                <w:rFonts w:ascii="Times New Roman" w:eastAsia="Times New Roman"/>
                <w:sz w:val="21"/>
              </w:rPr>
              <w:t>IV </w:t>
            </w:r>
            <w:r>
              <w:rPr>
                <w:sz w:val="21"/>
              </w:rPr>
              <w:t>级），且有相关住院医疗记录显示</w:t>
            </w:r>
            <w:r>
              <w:rPr>
                <w:rFonts w:ascii="Times New Roman" w:eastAsia="Times New Roman"/>
                <w:sz w:val="21"/>
              </w:rPr>
              <w:t>IV</w:t>
            </w:r>
            <w:r>
              <w:rPr>
                <w:sz w:val="21"/>
              </w:rPr>
              <w:t>级心功能衰竭状态持续至少180天。 </w:t>
            </w:r>
          </w:p>
          <w:p>
            <w:pPr>
              <w:pStyle w:val="TableParagraph"/>
              <w:spacing w:line="273" w:lineRule="exact"/>
              <w:ind w:left="88"/>
              <w:rPr>
                <w:sz w:val="21"/>
              </w:rPr>
            </w:pPr>
            <w:r>
              <w:rPr>
                <w:sz w:val="21"/>
              </w:rPr>
              <w:t>本病须经专科医生明确诊断。 </w:t>
            </w:r>
          </w:p>
          <w:p>
            <w:pPr>
              <w:pStyle w:val="TableParagraph"/>
              <w:spacing w:line="237" w:lineRule="auto" w:before="13"/>
              <w:ind w:left="88" w:right="779"/>
              <w:rPr>
                <w:sz w:val="21"/>
              </w:rPr>
            </w:pPr>
            <w:r>
              <w:rPr>
                <w:rFonts w:ascii="黑体" w:eastAsia="黑体" w:hint="eastAsia"/>
                <w:sz w:val="24"/>
              </w:rPr>
              <w:t>继发于全身性疾病或其它器官系统疾病造成的心肌病变不在保障范围内。</w:t>
            </w:r>
            <w:r>
              <w:rPr>
                <w:w w:val="100"/>
                <w:sz w:val="21"/>
              </w:rPr>
              <w:t> </w:t>
            </w:r>
          </w:p>
        </w:tc>
      </w:tr>
      <w:tr>
        <w:trPr>
          <w:trHeight w:val="306" w:hRule="atLeast"/>
        </w:trPr>
        <w:tc>
          <w:tcPr>
            <w:tcW w:w="581" w:type="dxa"/>
          </w:tcPr>
          <w:p>
            <w:pPr>
              <w:pStyle w:val="TableParagraph"/>
              <w:spacing w:line="252" w:lineRule="exact"/>
              <w:ind w:right="184"/>
              <w:jc w:val="right"/>
              <w:rPr>
                <w:b/>
                <w:sz w:val="21"/>
              </w:rPr>
            </w:pPr>
            <w:r>
              <w:rPr>
                <w:b/>
                <w:w w:val="99"/>
                <w:sz w:val="21"/>
              </w:rPr>
              <w:t> </w:t>
            </w:r>
          </w:p>
        </w:tc>
        <w:tc>
          <w:tcPr>
            <w:tcW w:w="1884" w:type="dxa"/>
          </w:tcPr>
          <w:p>
            <w:pPr>
              <w:pStyle w:val="TableParagraph"/>
              <w:spacing w:line="252" w:lineRule="exact"/>
              <w:ind w:left="184"/>
              <w:rPr>
                <w:sz w:val="21"/>
              </w:rPr>
            </w:pPr>
            <w:r>
              <w:rPr>
                <w:w w:val="100"/>
                <w:sz w:val="21"/>
              </w:rPr>
              <w:t> </w:t>
            </w:r>
          </w:p>
        </w:tc>
        <w:tc>
          <w:tcPr>
            <w:tcW w:w="8059" w:type="dxa"/>
          </w:tcPr>
          <w:p>
            <w:pPr>
              <w:pStyle w:val="TableParagraph"/>
              <w:spacing w:line="252" w:lineRule="exact"/>
              <w:ind w:left="88"/>
              <w:rPr>
                <w:sz w:val="21"/>
              </w:rPr>
            </w:pPr>
            <w:r>
              <w:rPr>
                <w:w w:val="100"/>
                <w:sz w:val="21"/>
              </w:rPr>
              <w:t> </w:t>
            </w:r>
          </w:p>
        </w:tc>
      </w:tr>
      <w:tr>
        <w:trPr>
          <w:trHeight w:val="1509" w:hRule="atLeast"/>
        </w:trPr>
        <w:tc>
          <w:tcPr>
            <w:tcW w:w="581" w:type="dxa"/>
          </w:tcPr>
          <w:p>
            <w:pPr>
              <w:pStyle w:val="TableParagraph"/>
              <w:ind w:right="184"/>
              <w:jc w:val="right"/>
              <w:rPr>
                <w:b/>
                <w:sz w:val="21"/>
              </w:rPr>
            </w:pPr>
            <w:r>
              <w:rPr>
                <w:b/>
                <w:w w:val="99"/>
                <w:sz w:val="21"/>
              </w:rPr>
              <w:t> </w:t>
            </w:r>
          </w:p>
        </w:tc>
        <w:tc>
          <w:tcPr>
            <w:tcW w:w="1884" w:type="dxa"/>
          </w:tcPr>
          <w:p>
            <w:pPr>
              <w:pStyle w:val="TableParagraph"/>
              <w:ind w:left="184"/>
              <w:rPr>
                <w:sz w:val="21"/>
              </w:rPr>
            </w:pPr>
            <w:r>
              <w:rPr>
                <w:sz w:val="21"/>
              </w:rPr>
              <w:t>29. 系统性硬化 </w:t>
            </w:r>
          </w:p>
          <w:p>
            <w:pPr>
              <w:pStyle w:val="TableParagraph"/>
              <w:spacing w:line="240" w:lineRule="auto" w:before="37"/>
              <w:ind w:left="184"/>
              <w:rPr>
                <w:sz w:val="21"/>
              </w:rPr>
            </w:pPr>
            <w:r>
              <w:rPr>
                <w:sz w:val="21"/>
              </w:rPr>
              <w:t>症 </w:t>
            </w:r>
          </w:p>
        </w:tc>
        <w:tc>
          <w:tcPr>
            <w:tcW w:w="8059" w:type="dxa"/>
          </w:tcPr>
          <w:p>
            <w:pPr>
              <w:pStyle w:val="TableParagraph"/>
              <w:ind w:left="88"/>
              <w:rPr>
                <w:sz w:val="21"/>
              </w:rPr>
            </w:pPr>
            <w:r>
              <w:rPr>
                <w:sz w:val="21"/>
              </w:rPr>
              <w:t>指一种以皮肤、血管和内脏器官的进行性、弥漫性纤维化为特点的系统性结缔</w:t>
            </w:r>
          </w:p>
          <w:p>
            <w:pPr>
              <w:pStyle w:val="TableParagraph"/>
              <w:spacing w:line="273" w:lineRule="auto" w:before="37"/>
              <w:ind w:left="88" w:right="787"/>
              <w:rPr>
                <w:sz w:val="21"/>
              </w:rPr>
            </w:pPr>
            <w:r>
              <w:rPr>
                <w:sz w:val="21"/>
              </w:rPr>
              <w:t>组织病。须经专科医生根据组织活检和血清学检查结果作出明确诊断并提供下列一项或一项以上内脏器官受累的检查报告及诊疗记录： </w:t>
            </w:r>
          </w:p>
          <w:p>
            <w:pPr>
              <w:pStyle w:val="TableParagraph"/>
              <w:spacing w:line="240" w:lineRule="auto" w:before="7"/>
              <w:ind w:left="88"/>
              <w:rPr>
                <w:sz w:val="21"/>
              </w:rPr>
            </w:pPr>
            <w:r>
              <w:rPr>
                <w:sz w:val="21"/>
              </w:rPr>
              <w:t>（1） 肺脏：肺纤维化，已经发展为肺动脉高压、肺心病； </w:t>
            </w:r>
          </w:p>
          <w:p>
            <w:pPr>
              <w:pStyle w:val="TableParagraph"/>
              <w:spacing w:line="259" w:lineRule="exact" w:before="36"/>
              <w:ind w:left="88"/>
              <w:rPr>
                <w:sz w:val="21"/>
              </w:rPr>
            </w:pPr>
            <w:r>
              <w:rPr>
                <w:sz w:val="21"/>
              </w:rPr>
              <w:t>（2） 心脏：心室功能受损，至少达到美国纽约心脏病学会心功能状态分级Ⅲ级； </w:t>
            </w:r>
          </w:p>
        </w:tc>
      </w:tr>
    </w:tbl>
    <w:p>
      <w:pPr>
        <w:spacing w:after="0" w:line="259"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77"/>
        <w:gridCol w:w="8076"/>
      </w:tblGrid>
      <w:tr>
        <w:trPr>
          <w:trHeight w:val="1566" w:hRule="atLeast"/>
        </w:trPr>
        <w:tc>
          <w:tcPr>
            <w:tcW w:w="750" w:type="dxa"/>
            <w:tcBorders>
              <w:top w:val="single" w:sz="6" w:space="0" w:color="000000"/>
            </w:tcBorders>
          </w:tcPr>
          <w:p>
            <w:pPr>
              <w:pStyle w:val="TableParagraph"/>
              <w:spacing w:line="240" w:lineRule="auto"/>
              <w:rPr>
                <w:rFonts w:ascii="Times New Roman"/>
                <w:sz w:val="20"/>
              </w:rPr>
            </w:pPr>
          </w:p>
        </w:tc>
        <w:tc>
          <w:tcPr>
            <w:tcW w:w="1777" w:type="dxa"/>
            <w:tcBorders>
              <w:top w:val="single" w:sz="6" w:space="0" w:color="000000"/>
            </w:tcBorders>
          </w:tcPr>
          <w:p>
            <w:pPr>
              <w:pStyle w:val="TableParagraph"/>
              <w:spacing w:line="240" w:lineRule="auto"/>
              <w:rPr>
                <w:rFonts w:ascii="Times New Roman"/>
                <w:sz w:val="20"/>
              </w:rPr>
            </w:pPr>
          </w:p>
        </w:tc>
        <w:tc>
          <w:tcPr>
            <w:tcW w:w="8076" w:type="dxa"/>
            <w:tcBorders>
              <w:top w:val="single" w:sz="6" w:space="0" w:color="000000"/>
            </w:tcBorders>
          </w:tcPr>
          <w:p>
            <w:pPr>
              <w:pStyle w:val="TableParagraph"/>
              <w:spacing w:line="258" w:lineRule="exact"/>
              <w:ind w:left="105"/>
              <w:rPr>
                <w:b/>
                <w:sz w:val="21"/>
              </w:rPr>
            </w:pPr>
            <w:r>
              <w:rPr>
                <w:sz w:val="21"/>
              </w:rPr>
              <w:t>（3） 肾脏：肾脏受损，已经出现肾功能不全。</w:t>
            </w:r>
            <w:r>
              <w:rPr>
                <w:b/>
                <w:color w:val="008000"/>
                <w:w w:val="99"/>
                <w:sz w:val="21"/>
              </w:rPr>
              <w:t> </w:t>
            </w:r>
          </w:p>
          <w:p>
            <w:pPr>
              <w:pStyle w:val="TableParagraph"/>
              <w:spacing w:line="313" w:lineRule="exact" w:before="9"/>
              <w:ind w:left="105"/>
              <w:rPr>
                <w:rFonts w:ascii="黑体" w:eastAsia="黑体" w:hint="eastAsia"/>
                <w:sz w:val="24"/>
              </w:rPr>
            </w:pPr>
            <w:r>
              <w:rPr>
                <w:rFonts w:ascii="黑体" w:eastAsia="黑体" w:hint="eastAsia"/>
                <w:sz w:val="24"/>
              </w:rPr>
              <w:t>下列疾病不在保障范围内：</w:t>
            </w:r>
          </w:p>
          <w:p>
            <w:pPr>
              <w:pStyle w:val="TableParagraph"/>
              <w:spacing w:line="312" w:lineRule="exact"/>
              <w:ind w:left="105"/>
              <w:rPr>
                <w:rFonts w:ascii="黑体" w:eastAsia="黑体" w:hint="eastAsia"/>
                <w:sz w:val="24"/>
              </w:rPr>
            </w:pPr>
            <w:r>
              <w:rPr>
                <w:rFonts w:ascii="黑体" w:eastAsia="黑体" w:hint="eastAsia"/>
                <w:sz w:val="24"/>
              </w:rPr>
              <w:t>（1）</w:t>
            </w:r>
            <w:r>
              <w:rPr>
                <w:sz w:val="24"/>
              </w:rPr>
              <w:t>  </w:t>
            </w:r>
            <w:r>
              <w:rPr>
                <w:rFonts w:ascii="黑体" w:eastAsia="黑体" w:hint="eastAsia"/>
                <w:sz w:val="24"/>
              </w:rPr>
              <w:t>局部性硬皮病（如：带状硬皮病、硬斑病</w:t>
            </w:r>
            <w:r>
              <w:rPr>
                <w:rFonts w:ascii="黑体" w:eastAsia="黑体" w:hint="eastAsia"/>
                <w:spacing w:val="-120"/>
                <w:sz w:val="24"/>
              </w:rPr>
              <w:t>）</w:t>
            </w:r>
            <w:r>
              <w:rPr>
                <w:rFonts w:ascii="黑体" w:eastAsia="黑体" w:hint="eastAsia"/>
                <w:sz w:val="24"/>
              </w:rPr>
              <w:t>；</w:t>
            </w:r>
          </w:p>
          <w:p>
            <w:pPr>
              <w:pStyle w:val="TableParagraph"/>
              <w:spacing w:line="312" w:lineRule="exact"/>
              <w:ind w:left="105"/>
              <w:rPr>
                <w:rFonts w:ascii="黑体" w:eastAsia="黑体" w:hint="eastAsia"/>
                <w:sz w:val="24"/>
              </w:rPr>
            </w:pPr>
            <w:r>
              <w:rPr>
                <w:rFonts w:ascii="黑体" w:eastAsia="黑体" w:hint="eastAsia"/>
                <w:sz w:val="24"/>
              </w:rPr>
              <w:t>（2）  嗜酸性粒细胞性筋膜炎；</w:t>
            </w:r>
          </w:p>
          <w:p>
            <w:pPr>
              <w:pStyle w:val="TableParagraph"/>
              <w:spacing w:line="313" w:lineRule="exact"/>
              <w:ind w:left="105"/>
              <w:rPr>
                <w:sz w:val="21"/>
              </w:rPr>
            </w:pPr>
            <w:r>
              <w:rPr>
                <w:rFonts w:ascii="黑体" w:eastAsia="黑体" w:hint="eastAsia"/>
                <w:sz w:val="24"/>
              </w:rPr>
              <w:t>（3）  CREST综合征。</w:t>
            </w:r>
            <w:r>
              <w:rPr>
                <w:w w:val="100"/>
                <w:sz w:val="21"/>
              </w:rPr>
              <w:t> </w:t>
            </w:r>
          </w:p>
        </w:tc>
      </w:tr>
      <w:tr>
        <w:trPr>
          <w:trHeight w:val="306" w:hRule="atLeast"/>
        </w:trPr>
        <w:tc>
          <w:tcPr>
            <w:tcW w:w="750" w:type="dxa"/>
          </w:tcPr>
          <w:p>
            <w:pPr>
              <w:pStyle w:val="TableParagraph"/>
              <w:spacing w:line="252" w:lineRule="exact"/>
              <w:ind w:left="94"/>
              <w:jc w:val="center"/>
              <w:rPr>
                <w:b/>
                <w:sz w:val="21"/>
              </w:rPr>
            </w:pPr>
            <w:r>
              <w:rPr>
                <w:b/>
                <w:w w:val="99"/>
                <w:sz w:val="21"/>
              </w:rPr>
              <w:t> </w:t>
            </w:r>
          </w:p>
        </w:tc>
        <w:tc>
          <w:tcPr>
            <w:tcW w:w="1777" w:type="dxa"/>
          </w:tcPr>
          <w:p>
            <w:pPr>
              <w:pStyle w:val="TableParagraph"/>
              <w:spacing w:line="252" w:lineRule="exact"/>
              <w:ind w:left="94"/>
              <w:rPr>
                <w:sz w:val="21"/>
              </w:rPr>
            </w:pPr>
            <w:r>
              <w:rPr>
                <w:w w:val="100"/>
                <w:sz w:val="21"/>
              </w:rPr>
              <w:t> </w:t>
            </w:r>
          </w:p>
        </w:tc>
        <w:tc>
          <w:tcPr>
            <w:tcW w:w="8076" w:type="dxa"/>
          </w:tcPr>
          <w:p>
            <w:pPr>
              <w:pStyle w:val="TableParagraph"/>
              <w:spacing w:line="252" w:lineRule="exact"/>
              <w:ind w:left="105"/>
              <w:rPr>
                <w:sz w:val="21"/>
              </w:rPr>
            </w:pPr>
            <w:r>
              <w:rPr>
                <w:w w:val="100"/>
                <w:sz w:val="21"/>
              </w:rPr>
              <w:t> </w:t>
            </w:r>
          </w:p>
        </w:tc>
      </w:tr>
      <w:tr>
        <w:trPr>
          <w:trHeight w:val="2495"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sz w:val="21"/>
              </w:rPr>
              <w:t>30. 肌营养不良 </w:t>
            </w:r>
          </w:p>
        </w:tc>
        <w:tc>
          <w:tcPr>
            <w:tcW w:w="8076" w:type="dxa"/>
          </w:tcPr>
          <w:p>
            <w:pPr>
              <w:pStyle w:val="TableParagraph"/>
              <w:ind w:left="105"/>
              <w:rPr>
                <w:sz w:val="21"/>
              </w:rPr>
            </w:pPr>
            <w:r>
              <w:rPr>
                <w:sz w:val="21"/>
              </w:rPr>
              <w:t>指一组遗传性肌肉变性病变，临床特征为与神经系统无关的骨骼肌对称地进行</w:t>
            </w:r>
          </w:p>
          <w:p>
            <w:pPr>
              <w:pStyle w:val="TableParagraph"/>
              <w:spacing w:line="240" w:lineRule="auto" w:before="37"/>
              <w:ind w:left="105"/>
              <w:rPr>
                <w:sz w:val="21"/>
              </w:rPr>
            </w:pPr>
            <w:r>
              <w:rPr>
                <w:sz w:val="21"/>
              </w:rPr>
              <w:t>性无力和萎缩，其诊断需满足下列全部条件： </w:t>
            </w:r>
          </w:p>
          <w:p>
            <w:pPr>
              <w:pStyle w:val="TableParagraph"/>
              <w:spacing w:line="240" w:lineRule="auto" w:before="37"/>
              <w:ind w:left="105"/>
              <w:rPr>
                <w:sz w:val="21"/>
              </w:rPr>
            </w:pPr>
            <w:r>
              <w:rPr>
                <w:sz w:val="21"/>
              </w:rPr>
              <w:t>（1） 肌电图显示典型肌营养不良症的阳性改变； </w:t>
            </w:r>
          </w:p>
          <w:p>
            <w:pPr>
              <w:pStyle w:val="TableParagraph"/>
              <w:spacing w:line="240" w:lineRule="auto" w:before="37"/>
              <w:ind w:left="106"/>
              <w:rPr>
                <w:sz w:val="21"/>
              </w:rPr>
            </w:pPr>
            <w:r>
              <w:rPr>
                <w:sz w:val="21"/>
              </w:rPr>
              <w:t>（2） 血清肌酸磷酸激酶（CPK）升高； </w:t>
            </w:r>
          </w:p>
          <w:p>
            <w:pPr>
              <w:pStyle w:val="TableParagraph"/>
              <w:spacing w:line="273" w:lineRule="auto" w:before="37"/>
              <w:ind w:left="650" w:right="779" w:hanging="545"/>
              <w:rPr>
                <w:sz w:val="21"/>
              </w:rPr>
            </w:pPr>
            <w:r>
              <w:rPr>
                <w:sz w:val="21"/>
              </w:rPr>
              <w:t>（3）</w:t>
            </w:r>
            <w:r>
              <w:rPr>
                <w:spacing w:val="-13"/>
                <w:sz w:val="21"/>
              </w:rPr>
              <w:t> 肌肉活检的病理学诊断符合肌营养不良症的肌肉细胞变性、坏死等阳性改</w:t>
            </w:r>
            <w:r>
              <w:rPr>
                <w:spacing w:val="-8"/>
                <w:sz w:val="21"/>
              </w:rPr>
              <w:t>变；</w:t>
            </w:r>
            <w:r>
              <w:rPr>
                <w:sz w:val="21"/>
              </w:rPr>
              <w:t> </w:t>
            </w:r>
          </w:p>
          <w:p>
            <w:pPr>
              <w:pStyle w:val="TableParagraph"/>
              <w:spacing w:line="273" w:lineRule="auto" w:before="7"/>
              <w:ind w:left="650" w:right="783" w:hanging="545"/>
              <w:rPr>
                <w:sz w:val="21"/>
              </w:rPr>
            </w:pPr>
            <w:r>
              <w:rPr>
                <w:sz w:val="21"/>
              </w:rPr>
              <w:t>（4）</w:t>
            </w:r>
            <w:r>
              <w:rPr>
                <w:spacing w:val="-5"/>
                <w:sz w:val="21"/>
              </w:rPr>
              <w:t> 已导致被保险人持续超过三个月无法独立完成六项基本日常生活活动中</w:t>
            </w:r>
            <w:r>
              <w:rPr>
                <w:spacing w:val="-4"/>
                <w:sz w:val="21"/>
              </w:rPr>
              <w:t>的三项或三项以上。</w:t>
            </w:r>
            <w:r>
              <w:rPr>
                <w:sz w:val="21"/>
              </w:rPr>
              <w:t> </w:t>
            </w:r>
          </w:p>
        </w:tc>
      </w:tr>
      <w:tr>
        <w:trPr>
          <w:trHeight w:val="312"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w w:val="100"/>
                <w:sz w:val="21"/>
              </w:rPr>
              <w:t> </w:t>
            </w:r>
          </w:p>
        </w:tc>
        <w:tc>
          <w:tcPr>
            <w:tcW w:w="8076" w:type="dxa"/>
          </w:tcPr>
          <w:p>
            <w:pPr>
              <w:pStyle w:val="TableParagraph"/>
              <w:ind w:left="105"/>
              <w:rPr>
                <w:sz w:val="21"/>
              </w:rPr>
            </w:pPr>
            <w:r>
              <w:rPr>
                <w:w w:val="100"/>
                <w:sz w:val="21"/>
              </w:rPr>
              <w:t> </w:t>
            </w:r>
          </w:p>
        </w:tc>
      </w:tr>
      <w:tr>
        <w:trPr>
          <w:trHeight w:val="1247"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sz w:val="21"/>
              </w:rPr>
              <w:t>31. 严重溃疡性</w:t>
            </w:r>
          </w:p>
          <w:p>
            <w:pPr>
              <w:pStyle w:val="TableParagraph"/>
              <w:spacing w:line="240" w:lineRule="auto" w:before="37"/>
              <w:ind w:left="94"/>
              <w:rPr>
                <w:sz w:val="21"/>
              </w:rPr>
            </w:pPr>
            <w:r>
              <w:rPr>
                <w:sz w:val="21"/>
              </w:rPr>
              <w:t>结肠炎 </w:t>
            </w:r>
          </w:p>
        </w:tc>
        <w:tc>
          <w:tcPr>
            <w:tcW w:w="8076" w:type="dxa"/>
          </w:tcPr>
          <w:p>
            <w:pPr>
              <w:pStyle w:val="TableParagraph"/>
              <w:ind w:left="105"/>
              <w:rPr>
                <w:sz w:val="21"/>
              </w:rPr>
            </w:pPr>
            <w:r>
              <w:rPr>
                <w:sz w:val="21"/>
              </w:rPr>
              <w:t>指伴有致命性电解质紊乱的急性暴发性溃疡性结肠炎，病变累及全结肠，表现</w:t>
            </w:r>
          </w:p>
          <w:p>
            <w:pPr>
              <w:pStyle w:val="TableParagraph"/>
              <w:spacing w:line="273" w:lineRule="auto" w:before="37"/>
              <w:ind w:left="105" w:right="787"/>
              <w:jc w:val="both"/>
              <w:rPr>
                <w:sz w:val="21"/>
              </w:rPr>
            </w:pPr>
            <w:r>
              <w:rPr>
                <w:sz w:val="21"/>
              </w:rPr>
              <w:t>为严重的血便和系统性症状体征，治疗通常采取全结肠切除和回肠造瘘术。溃疡性结肠炎必须根据组织病理学特点诊断，并且被保险人已经接受了结肠切除和回肠造瘘术。 </w:t>
            </w:r>
          </w:p>
        </w:tc>
      </w:tr>
      <w:tr>
        <w:trPr>
          <w:trHeight w:val="312" w:hRule="atLeast"/>
        </w:trPr>
        <w:tc>
          <w:tcPr>
            <w:tcW w:w="750" w:type="dxa"/>
          </w:tcPr>
          <w:p>
            <w:pPr>
              <w:pStyle w:val="TableParagraph"/>
              <w:spacing w:line="258" w:lineRule="exact"/>
              <w:ind w:left="94"/>
              <w:jc w:val="center"/>
              <w:rPr>
                <w:b/>
                <w:sz w:val="21"/>
              </w:rPr>
            </w:pPr>
            <w:r>
              <w:rPr>
                <w:b/>
                <w:w w:val="99"/>
                <w:sz w:val="21"/>
              </w:rPr>
              <w:t> </w:t>
            </w:r>
          </w:p>
        </w:tc>
        <w:tc>
          <w:tcPr>
            <w:tcW w:w="1777" w:type="dxa"/>
          </w:tcPr>
          <w:p>
            <w:pPr>
              <w:pStyle w:val="TableParagraph"/>
              <w:spacing w:line="258" w:lineRule="exact"/>
              <w:ind w:left="94"/>
              <w:rPr>
                <w:sz w:val="21"/>
              </w:rPr>
            </w:pPr>
            <w:r>
              <w:rPr>
                <w:w w:val="100"/>
                <w:sz w:val="21"/>
              </w:rPr>
              <w:t> </w:t>
            </w:r>
          </w:p>
        </w:tc>
        <w:tc>
          <w:tcPr>
            <w:tcW w:w="8076" w:type="dxa"/>
          </w:tcPr>
          <w:p>
            <w:pPr>
              <w:pStyle w:val="TableParagraph"/>
              <w:spacing w:line="258" w:lineRule="exact"/>
              <w:ind w:left="105"/>
              <w:rPr>
                <w:sz w:val="21"/>
              </w:rPr>
            </w:pPr>
            <w:r>
              <w:rPr>
                <w:w w:val="100"/>
                <w:sz w:val="21"/>
              </w:rPr>
              <w:t> </w:t>
            </w:r>
          </w:p>
        </w:tc>
      </w:tr>
      <w:tr>
        <w:trPr>
          <w:trHeight w:val="1871"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sz w:val="21"/>
              </w:rPr>
              <w:t>32. 严重慢性呼</w:t>
            </w:r>
          </w:p>
          <w:p>
            <w:pPr>
              <w:pStyle w:val="TableParagraph"/>
              <w:spacing w:line="240" w:lineRule="auto" w:before="37"/>
              <w:ind w:left="94"/>
              <w:rPr>
                <w:sz w:val="21"/>
              </w:rPr>
            </w:pPr>
            <w:r>
              <w:rPr>
                <w:sz w:val="21"/>
              </w:rPr>
              <w:t>吸功能衰竭 </w:t>
            </w:r>
          </w:p>
        </w:tc>
        <w:tc>
          <w:tcPr>
            <w:tcW w:w="8076" w:type="dxa"/>
          </w:tcPr>
          <w:p>
            <w:pPr>
              <w:pStyle w:val="TableParagraph"/>
              <w:ind w:left="105"/>
              <w:rPr>
                <w:sz w:val="21"/>
              </w:rPr>
            </w:pPr>
            <w:r>
              <w:rPr>
                <w:sz w:val="21"/>
              </w:rPr>
              <w:t>指慢性肺部疾病导致永久不可逆性的慢性呼吸功能衰竭，必须由呼吸专科医生</w:t>
            </w:r>
          </w:p>
          <w:p>
            <w:pPr>
              <w:pStyle w:val="TableParagraph"/>
              <w:spacing w:line="240" w:lineRule="auto" w:before="37"/>
              <w:ind w:left="105"/>
              <w:rPr>
                <w:sz w:val="21"/>
              </w:rPr>
            </w:pPr>
            <w:r>
              <w:rPr>
                <w:sz w:val="21"/>
              </w:rPr>
              <w:t>确认并符合下列所有条件： </w:t>
            </w:r>
          </w:p>
          <w:p>
            <w:pPr>
              <w:pStyle w:val="TableParagraph"/>
              <w:spacing w:line="240" w:lineRule="auto" w:before="37"/>
              <w:ind w:left="105"/>
              <w:rPr>
                <w:sz w:val="21"/>
              </w:rPr>
            </w:pPr>
            <w:r>
              <w:rPr>
                <w:sz w:val="21"/>
              </w:rPr>
              <w:t>（1） 休息时出现呼吸困难； </w:t>
            </w:r>
          </w:p>
          <w:p>
            <w:pPr>
              <w:pStyle w:val="TableParagraph"/>
              <w:spacing w:line="240" w:lineRule="auto" w:before="37"/>
              <w:ind w:left="105"/>
              <w:rPr>
                <w:sz w:val="21"/>
              </w:rPr>
            </w:pPr>
            <w:r>
              <w:rPr>
                <w:sz w:val="21"/>
              </w:rPr>
              <w:t>（2） 动脉血氧分压（PaO2）＜ 50mmHg； </w:t>
            </w:r>
          </w:p>
          <w:p>
            <w:pPr>
              <w:pStyle w:val="TableParagraph"/>
              <w:spacing w:line="240" w:lineRule="auto" w:before="37"/>
              <w:ind w:left="106"/>
              <w:rPr>
                <w:sz w:val="21"/>
              </w:rPr>
            </w:pPr>
            <w:r>
              <w:rPr>
                <w:sz w:val="21"/>
              </w:rPr>
              <w:t>（3） 动脉血氧饱和度（SaO2）＜ 80％； </w:t>
            </w:r>
          </w:p>
          <w:p>
            <w:pPr>
              <w:pStyle w:val="TableParagraph"/>
              <w:spacing w:line="240" w:lineRule="auto" w:before="37"/>
              <w:ind w:left="106"/>
              <w:rPr>
                <w:sz w:val="21"/>
              </w:rPr>
            </w:pPr>
            <w:r>
              <w:rPr>
                <w:sz w:val="21"/>
              </w:rPr>
              <w:t>（4） 因缺氧必须接受持续的输氧治疗。 </w:t>
            </w:r>
          </w:p>
        </w:tc>
      </w:tr>
      <w:tr>
        <w:trPr>
          <w:trHeight w:val="312" w:hRule="atLeast"/>
        </w:trPr>
        <w:tc>
          <w:tcPr>
            <w:tcW w:w="750" w:type="dxa"/>
          </w:tcPr>
          <w:p>
            <w:pPr>
              <w:pStyle w:val="TableParagraph"/>
              <w:spacing w:line="258" w:lineRule="exact"/>
              <w:ind w:left="94"/>
              <w:jc w:val="center"/>
              <w:rPr>
                <w:b/>
                <w:sz w:val="21"/>
              </w:rPr>
            </w:pPr>
            <w:r>
              <w:rPr>
                <w:b/>
                <w:w w:val="99"/>
                <w:sz w:val="21"/>
              </w:rPr>
              <w:t> </w:t>
            </w:r>
          </w:p>
        </w:tc>
        <w:tc>
          <w:tcPr>
            <w:tcW w:w="1777" w:type="dxa"/>
          </w:tcPr>
          <w:p>
            <w:pPr>
              <w:pStyle w:val="TableParagraph"/>
              <w:spacing w:line="258" w:lineRule="exact"/>
              <w:ind w:left="94"/>
              <w:rPr>
                <w:sz w:val="21"/>
              </w:rPr>
            </w:pPr>
            <w:r>
              <w:rPr>
                <w:w w:val="100"/>
                <w:sz w:val="21"/>
              </w:rPr>
              <w:t> </w:t>
            </w:r>
          </w:p>
        </w:tc>
        <w:tc>
          <w:tcPr>
            <w:tcW w:w="8076" w:type="dxa"/>
          </w:tcPr>
          <w:p>
            <w:pPr>
              <w:pStyle w:val="TableParagraph"/>
              <w:spacing w:line="258" w:lineRule="exact"/>
              <w:ind w:left="105"/>
              <w:rPr>
                <w:sz w:val="21"/>
              </w:rPr>
            </w:pPr>
            <w:r>
              <w:rPr>
                <w:w w:val="100"/>
                <w:sz w:val="21"/>
              </w:rPr>
              <w:t> </w:t>
            </w:r>
          </w:p>
        </w:tc>
      </w:tr>
      <w:tr>
        <w:trPr>
          <w:trHeight w:val="1248"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sz w:val="21"/>
              </w:rPr>
              <w:t>33. 冠状动脉成</w:t>
            </w:r>
          </w:p>
          <w:p>
            <w:pPr>
              <w:pStyle w:val="TableParagraph"/>
              <w:spacing w:line="240" w:lineRule="auto" w:before="37"/>
              <w:ind w:left="94"/>
              <w:rPr>
                <w:sz w:val="21"/>
              </w:rPr>
            </w:pPr>
            <w:r>
              <w:rPr>
                <w:sz w:val="21"/>
              </w:rPr>
              <w:t>形术 </w:t>
            </w:r>
          </w:p>
        </w:tc>
        <w:tc>
          <w:tcPr>
            <w:tcW w:w="8076" w:type="dxa"/>
          </w:tcPr>
          <w:p>
            <w:pPr>
              <w:pStyle w:val="TableParagraph"/>
              <w:ind w:left="105"/>
              <w:rPr>
                <w:sz w:val="21"/>
              </w:rPr>
            </w:pPr>
            <w:r>
              <w:rPr>
                <w:sz w:val="21"/>
              </w:rPr>
              <w:t>指有心绞痛等心脏不适症状，经过血管造影技术检查证实同时存在两支(其中一</w:t>
            </w:r>
          </w:p>
          <w:p>
            <w:pPr>
              <w:pStyle w:val="TableParagraph"/>
              <w:spacing w:line="273" w:lineRule="auto" w:before="37"/>
              <w:ind w:left="105" w:right="679"/>
              <w:jc w:val="both"/>
              <w:rPr>
                <w:sz w:val="21"/>
              </w:rPr>
            </w:pPr>
            <w:r>
              <w:rPr>
                <w:spacing w:val="-10"/>
                <w:sz w:val="21"/>
              </w:rPr>
              <w:t>支为左冠状动脉主干、左前降支或左回旋支)或更多支的冠状动脉血管发生严重</w:t>
            </w:r>
            <w:r>
              <w:rPr>
                <w:sz w:val="21"/>
              </w:rPr>
              <w:t>的狭窄（狭窄程度在70％以上），需要并且已实施冠状动脉气囊扩张以改善血</w:t>
            </w:r>
            <w:r>
              <w:rPr>
                <w:spacing w:val="-11"/>
                <w:sz w:val="21"/>
              </w:rPr>
              <w:t>管的血流状况。索赔时必须提供血管造影的影像资料、报告、手术记录和病历。</w:t>
            </w:r>
            <w:r>
              <w:rPr>
                <w:sz w:val="21"/>
              </w:rPr>
              <w:t> </w:t>
            </w:r>
          </w:p>
        </w:tc>
      </w:tr>
      <w:tr>
        <w:trPr>
          <w:trHeight w:val="311"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w w:val="100"/>
                <w:sz w:val="21"/>
              </w:rPr>
              <w:t> </w:t>
            </w:r>
          </w:p>
        </w:tc>
        <w:tc>
          <w:tcPr>
            <w:tcW w:w="8076" w:type="dxa"/>
          </w:tcPr>
          <w:p>
            <w:pPr>
              <w:pStyle w:val="TableParagraph"/>
              <w:ind w:left="105"/>
              <w:rPr>
                <w:sz w:val="21"/>
              </w:rPr>
            </w:pPr>
            <w:r>
              <w:rPr>
                <w:w w:val="100"/>
                <w:sz w:val="21"/>
              </w:rPr>
              <w:t> </w:t>
            </w:r>
          </w:p>
        </w:tc>
      </w:tr>
      <w:tr>
        <w:trPr>
          <w:trHeight w:val="1559"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sz w:val="21"/>
              </w:rPr>
              <w:t>34. 冠状动脉粥</w:t>
            </w:r>
          </w:p>
          <w:p>
            <w:pPr>
              <w:pStyle w:val="TableParagraph"/>
              <w:spacing w:line="240" w:lineRule="auto" w:before="37"/>
              <w:ind w:left="94"/>
              <w:rPr>
                <w:sz w:val="21"/>
              </w:rPr>
            </w:pPr>
            <w:r>
              <w:rPr>
                <w:sz w:val="21"/>
              </w:rPr>
              <w:t>样斑块切除术 </w:t>
            </w:r>
          </w:p>
        </w:tc>
        <w:tc>
          <w:tcPr>
            <w:tcW w:w="8076" w:type="dxa"/>
          </w:tcPr>
          <w:p>
            <w:pPr>
              <w:pStyle w:val="TableParagraph"/>
              <w:ind w:left="105"/>
              <w:rPr>
                <w:sz w:val="21"/>
              </w:rPr>
            </w:pPr>
            <w:r>
              <w:rPr>
                <w:sz w:val="21"/>
              </w:rPr>
              <w:t>指有心绞痛等心脏不适症状，经过血管造影技术检查证实同时存在两支(其中一</w:t>
            </w:r>
          </w:p>
          <w:p>
            <w:pPr>
              <w:pStyle w:val="TableParagraph"/>
              <w:spacing w:line="273" w:lineRule="auto" w:before="37"/>
              <w:ind w:left="105" w:right="786"/>
              <w:jc w:val="both"/>
              <w:rPr>
                <w:sz w:val="21"/>
              </w:rPr>
            </w:pPr>
            <w:r>
              <w:rPr>
                <w:spacing w:val="-10"/>
                <w:sz w:val="21"/>
              </w:rPr>
              <w:t>支为左冠状动脉主干、左前降支或左回旋支)或更多支的冠状动脉血管发生严重</w:t>
            </w:r>
            <w:r>
              <w:rPr>
                <w:sz w:val="21"/>
              </w:rPr>
              <w:t>的狭窄（狭窄程度在70％以上），需要并且已实施冠状动脉粥样斑块切除术以改善血管的血流状况。索赔时必须提供血管造影的影像资料、报告、手术记录</w:t>
            </w:r>
            <w:r>
              <w:rPr>
                <w:spacing w:val="-2"/>
                <w:sz w:val="21"/>
              </w:rPr>
              <w:t>和病历。</w:t>
            </w:r>
            <w:r>
              <w:rPr>
                <w:sz w:val="21"/>
              </w:rPr>
              <w:t> </w:t>
            </w:r>
          </w:p>
        </w:tc>
      </w:tr>
      <w:tr>
        <w:trPr>
          <w:trHeight w:val="312" w:hRule="atLeast"/>
        </w:trPr>
        <w:tc>
          <w:tcPr>
            <w:tcW w:w="750" w:type="dxa"/>
          </w:tcPr>
          <w:p>
            <w:pPr>
              <w:pStyle w:val="TableParagraph"/>
              <w:spacing w:line="258" w:lineRule="exact"/>
              <w:ind w:left="94"/>
              <w:jc w:val="center"/>
              <w:rPr>
                <w:b/>
                <w:sz w:val="21"/>
              </w:rPr>
            </w:pPr>
            <w:r>
              <w:rPr>
                <w:b/>
                <w:w w:val="99"/>
                <w:sz w:val="21"/>
              </w:rPr>
              <w:t> </w:t>
            </w:r>
          </w:p>
        </w:tc>
        <w:tc>
          <w:tcPr>
            <w:tcW w:w="1777" w:type="dxa"/>
          </w:tcPr>
          <w:p>
            <w:pPr>
              <w:pStyle w:val="TableParagraph"/>
              <w:spacing w:line="258" w:lineRule="exact"/>
              <w:ind w:left="94"/>
              <w:rPr>
                <w:sz w:val="21"/>
              </w:rPr>
            </w:pPr>
            <w:r>
              <w:rPr>
                <w:w w:val="100"/>
                <w:sz w:val="21"/>
              </w:rPr>
              <w:t> </w:t>
            </w:r>
          </w:p>
        </w:tc>
        <w:tc>
          <w:tcPr>
            <w:tcW w:w="8076" w:type="dxa"/>
          </w:tcPr>
          <w:p>
            <w:pPr>
              <w:pStyle w:val="TableParagraph"/>
              <w:spacing w:line="258" w:lineRule="exact"/>
              <w:ind w:left="105"/>
              <w:rPr>
                <w:sz w:val="21"/>
              </w:rPr>
            </w:pPr>
            <w:r>
              <w:rPr>
                <w:w w:val="100"/>
                <w:sz w:val="21"/>
              </w:rPr>
              <w:t> </w:t>
            </w:r>
          </w:p>
        </w:tc>
      </w:tr>
      <w:tr>
        <w:trPr>
          <w:trHeight w:val="623"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sz w:val="21"/>
              </w:rPr>
              <w:t>35. 植物人状态 </w:t>
            </w:r>
          </w:p>
        </w:tc>
        <w:tc>
          <w:tcPr>
            <w:tcW w:w="8076" w:type="dxa"/>
          </w:tcPr>
          <w:p>
            <w:pPr>
              <w:pStyle w:val="TableParagraph"/>
              <w:ind w:left="105"/>
              <w:rPr>
                <w:sz w:val="21"/>
              </w:rPr>
            </w:pPr>
            <w:r>
              <w:rPr>
                <w:sz w:val="21"/>
              </w:rPr>
              <w:t>指经神经科医生确诊，CT、MRI等证实大脑皮质全面坏死。患者临床表现意识完</w:t>
            </w:r>
          </w:p>
          <w:p>
            <w:pPr>
              <w:pStyle w:val="TableParagraph"/>
              <w:spacing w:line="240" w:lineRule="auto" w:before="37"/>
              <w:ind w:left="105"/>
              <w:rPr>
                <w:sz w:val="21"/>
              </w:rPr>
            </w:pPr>
            <w:r>
              <w:rPr>
                <w:sz w:val="21"/>
              </w:rPr>
              <w:t>全丧失，但脑干功能仍保持完好，且此情况持续一个月或一个月以上。 </w:t>
            </w:r>
          </w:p>
        </w:tc>
      </w:tr>
      <w:tr>
        <w:trPr>
          <w:trHeight w:val="324" w:hRule="atLeast"/>
        </w:trPr>
        <w:tc>
          <w:tcPr>
            <w:tcW w:w="750" w:type="dxa"/>
          </w:tcPr>
          <w:p>
            <w:pPr>
              <w:pStyle w:val="TableParagraph"/>
              <w:ind w:left="94"/>
              <w:jc w:val="center"/>
              <w:rPr>
                <w:b/>
                <w:sz w:val="21"/>
              </w:rPr>
            </w:pPr>
            <w:r>
              <w:rPr>
                <w:b/>
                <w:w w:val="99"/>
                <w:sz w:val="21"/>
              </w:rPr>
              <w:t> </w:t>
            </w:r>
          </w:p>
        </w:tc>
        <w:tc>
          <w:tcPr>
            <w:tcW w:w="1777" w:type="dxa"/>
          </w:tcPr>
          <w:p>
            <w:pPr>
              <w:pStyle w:val="TableParagraph"/>
              <w:ind w:left="94"/>
              <w:rPr>
                <w:sz w:val="21"/>
              </w:rPr>
            </w:pPr>
            <w:r>
              <w:rPr>
                <w:w w:val="100"/>
                <w:sz w:val="21"/>
              </w:rPr>
              <w:t> </w:t>
            </w:r>
          </w:p>
        </w:tc>
        <w:tc>
          <w:tcPr>
            <w:tcW w:w="8076" w:type="dxa"/>
          </w:tcPr>
          <w:p>
            <w:pPr>
              <w:pStyle w:val="TableParagraph"/>
              <w:ind w:left="105"/>
              <w:rPr>
                <w:sz w:val="21"/>
              </w:rPr>
            </w:pPr>
            <w:r>
              <w:rPr>
                <w:w w:val="100"/>
                <w:sz w:val="21"/>
              </w:rPr>
              <w:t> </w:t>
            </w:r>
          </w:p>
        </w:tc>
      </w:tr>
      <w:tr>
        <w:trPr>
          <w:trHeight w:val="610" w:hRule="atLeast"/>
        </w:trPr>
        <w:tc>
          <w:tcPr>
            <w:tcW w:w="750" w:type="dxa"/>
            <w:tcBorders>
              <w:bottom w:val="single" w:sz="8" w:space="0" w:color="000000"/>
            </w:tcBorders>
          </w:tcPr>
          <w:p>
            <w:pPr>
              <w:pStyle w:val="TableParagraph"/>
              <w:spacing w:line="240" w:lineRule="auto" w:before="46"/>
              <w:ind w:right="11"/>
              <w:jc w:val="center"/>
              <w:rPr>
                <w:rFonts w:ascii="Arial"/>
                <w:b/>
                <w:sz w:val="40"/>
              </w:rPr>
            </w:pPr>
            <w:r>
              <w:rPr>
                <w:rFonts w:ascii="Arial"/>
                <w:b/>
                <w:w w:val="85"/>
                <w:sz w:val="40"/>
              </w:rPr>
              <w:t>{</w:t>
            </w:r>
          </w:p>
        </w:tc>
        <w:tc>
          <w:tcPr>
            <w:tcW w:w="9853" w:type="dxa"/>
            <w:gridSpan w:val="2"/>
          </w:tcPr>
          <w:p>
            <w:pPr>
              <w:pStyle w:val="TableParagraph"/>
              <w:spacing w:line="240" w:lineRule="auto" w:before="98"/>
              <w:ind w:left="94"/>
              <w:rPr>
                <w:b/>
                <w:sz w:val="24"/>
              </w:rPr>
            </w:pPr>
            <w:r>
              <w:rPr>
                <w:b/>
                <w:sz w:val="24"/>
              </w:rPr>
              <w:t>释义</w:t>
            </w:r>
            <w:r>
              <w:rPr>
                <w:b/>
                <w:w w:val="99"/>
                <w:sz w:val="24"/>
              </w:rPr>
              <w:t>                                                                       </w:t>
            </w:r>
          </w:p>
        </w:tc>
      </w:tr>
      <w:tr>
        <w:trPr>
          <w:trHeight w:val="312" w:hRule="atLeast"/>
        </w:trPr>
        <w:tc>
          <w:tcPr>
            <w:tcW w:w="750" w:type="dxa"/>
            <w:tcBorders>
              <w:top w:val="single" w:sz="8" w:space="0" w:color="000000"/>
            </w:tcBorders>
          </w:tcPr>
          <w:p>
            <w:pPr>
              <w:pStyle w:val="TableParagraph"/>
              <w:spacing w:line="258" w:lineRule="exact"/>
              <w:ind w:left="94"/>
              <w:jc w:val="center"/>
              <w:rPr>
                <w:sz w:val="21"/>
              </w:rPr>
            </w:pPr>
            <w:r>
              <w:rPr>
                <w:w w:val="100"/>
                <w:sz w:val="21"/>
              </w:rPr>
              <w:t> </w:t>
            </w:r>
          </w:p>
        </w:tc>
        <w:tc>
          <w:tcPr>
            <w:tcW w:w="1777" w:type="dxa"/>
            <w:tcBorders>
              <w:top w:val="single" w:sz="8" w:space="0" w:color="000000"/>
            </w:tcBorders>
          </w:tcPr>
          <w:p>
            <w:pPr>
              <w:pStyle w:val="TableParagraph"/>
              <w:spacing w:line="258" w:lineRule="exact"/>
              <w:ind w:left="94"/>
              <w:rPr>
                <w:sz w:val="21"/>
              </w:rPr>
            </w:pPr>
            <w:r>
              <w:rPr>
                <w:w w:val="100"/>
                <w:sz w:val="21"/>
              </w:rPr>
              <w:t> </w:t>
            </w:r>
          </w:p>
        </w:tc>
        <w:tc>
          <w:tcPr>
            <w:tcW w:w="8076" w:type="dxa"/>
            <w:tcBorders>
              <w:top w:val="single" w:sz="8" w:space="0" w:color="000000"/>
            </w:tcBorders>
          </w:tcPr>
          <w:p>
            <w:pPr>
              <w:pStyle w:val="TableParagraph"/>
              <w:spacing w:line="258" w:lineRule="exact"/>
              <w:ind w:left="105"/>
              <w:rPr>
                <w:sz w:val="21"/>
              </w:rPr>
            </w:pPr>
            <w:r>
              <w:rPr>
                <w:w w:val="100"/>
                <w:sz w:val="21"/>
              </w:rPr>
              <w:t> </w:t>
            </w:r>
          </w:p>
        </w:tc>
      </w:tr>
      <w:tr>
        <w:trPr>
          <w:trHeight w:val="1509" w:hRule="atLeast"/>
        </w:trPr>
        <w:tc>
          <w:tcPr>
            <w:tcW w:w="750" w:type="dxa"/>
          </w:tcPr>
          <w:p>
            <w:pPr>
              <w:pStyle w:val="TableParagraph"/>
              <w:ind w:left="189"/>
              <w:rPr>
                <w:b/>
                <w:sz w:val="21"/>
              </w:rPr>
            </w:pPr>
            <w:r>
              <w:rPr>
                <w:b/>
                <w:sz w:val="21"/>
              </w:rPr>
              <w:t>7.1 </w:t>
            </w:r>
            <w:r>
              <w:rPr>
                <w:b/>
                <w:w w:val="99"/>
                <w:sz w:val="21"/>
              </w:rPr>
              <w:t> </w:t>
            </w:r>
          </w:p>
        </w:tc>
        <w:tc>
          <w:tcPr>
            <w:tcW w:w="1777" w:type="dxa"/>
          </w:tcPr>
          <w:p>
            <w:pPr>
              <w:pStyle w:val="TableParagraph"/>
              <w:ind w:left="94"/>
              <w:rPr>
                <w:b/>
                <w:sz w:val="21"/>
              </w:rPr>
            </w:pPr>
            <w:r>
              <w:rPr>
                <w:b/>
                <w:sz w:val="21"/>
              </w:rPr>
              <w:t>专科医生</w:t>
            </w:r>
            <w:r>
              <w:rPr>
                <w:b/>
                <w:w w:val="99"/>
                <w:sz w:val="21"/>
              </w:rPr>
              <w:t> </w:t>
            </w:r>
          </w:p>
        </w:tc>
        <w:tc>
          <w:tcPr>
            <w:tcW w:w="8076" w:type="dxa"/>
          </w:tcPr>
          <w:p>
            <w:pPr>
              <w:pStyle w:val="TableParagraph"/>
              <w:ind w:left="105"/>
              <w:rPr>
                <w:sz w:val="21"/>
              </w:rPr>
            </w:pPr>
            <w:r>
              <w:rPr>
                <w:spacing w:val="-3"/>
                <w:w w:val="100"/>
                <w:sz w:val="21"/>
              </w:rPr>
              <w:t>专科医生应当同时满足以下四项资格条件</w:t>
            </w:r>
            <w:r>
              <w:rPr>
                <w:spacing w:val="-164"/>
                <w:w w:val="100"/>
                <w:sz w:val="21"/>
              </w:rPr>
              <w:t>：</w:t>
            </w:r>
            <w:r>
              <w:rPr>
                <w:w w:val="100"/>
                <w:sz w:val="21"/>
              </w:rPr>
              <w:t>（</w:t>
            </w:r>
            <w:r>
              <w:rPr>
                <w:spacing w:val="-3"/>
                <w:w w:val="100"/>
                <w:sz w:val="21"/>
              </w:rPr>
              <w:t>1</w:t>
            </w:r>
            <w:r>
              <w:rPr>
                <w:spacing w:val="-56"/>
                <w:w w:val="100"/>
                <w:sz w:val="21"/>
              </w:rPr>
              <w:t>）</w:t>
            </w:r>
            <w:r>
              <w:rPr>
                <w:spacing w:val="-8"/>
                <w:w w:val="100"/>
                <w:sz w:val="21"/>
              </w:rPr>
              <w:t>具有有效的中华人民共和国《医</w:t>
            </w:r>
          </w:p>
          <w:p>
            <w:pPr>
              <w:pStyle w:val="TableParagraph"/>
              <w:spacing w:line="310" w:lineRule="atLeast" w:before="2"/>
              <w:ind w:left="105" w:right="781"/>
              <w:jc w:val="both"/>
              <w:rPr>
                <w:sz w:val="21"/>
              </w:rPr>
            </w:pPr>
            <w:r>
              <w:rPr>
                <w:spacing w:val="-33"/>
                <w:w w:val="100"/>
                <w:sz w:val="21"/>
              </w:rPr>
              <w:t>师资格证书》；</w:t>
            </w:r>
            <w:r>
              <w:rPr>
                <w:spacing w:val="-3"/>
                <w:w w:val="100"/>
                <w:sz w:val="21"/>
              </w:rPr>
              <w:t>（</w:t>
            </w:r>
            <w:r>
              <w:rPr>
                <w:w w:val="100"/>
                <w:sz w:val="21"/>
              </w:rPr>
              <w:t>2</w:t>
            </w:r>
            <w:r>
              <w:rPr>
                <w:spacing w:val="-3"/>
                <w:w w:val="100"/>
                <w:sz w:val="21"/>
              </w:rPr>
              <w:t>）</w:t>
            </w:r>
            <w:r>
              <w:rPr>
                <w:spacing w:val="-9"/>
                <w:w w:val="100"/>
                <w:sz w:val="21"/>
              </w:rPr>
              <w:t>具有有效的中华人民共和国《医师执业证书》，并按期到相</w:t>
            </w:r>
            <w:r>
              <w:rPr>
                <w:spacing w:val="-16"/>
                <w:w w:val="100"/>
                <w:sz w:val="21"/>
              </w:rPr>
              <w:t>关部门登记注册；</w:t>
            </w:r>
            <w:r>
              <w:rPr>
                <w:w w:val="100"/>
                <w:sz w:val="21"/>
              </w:rPr>
              <w:t>（</w:t>
            </w:r>
            <w:r>
              <w:rPr>
                <w:spacing w:val="-3"/>
                <w:w w:val="100"/>
                <w:sz w:val="21"/>
              </w:rPr>
              <w:t>3</w:t>
            </w:r>
            <w:r>
              <w:rPr>
                <w:w w:val="100"/>
                <w:sz w:val="21"/>
              </w:rPr>
              <w:t>）</w:t>
            </w:r>
            <w:r>
              <w:rPr>
                <w:spacing w:val="-3"/>
                <w:w w:val="100"/>
                <w:sz w:val="21"/>
              </w:rPr>
              <w:t>具有有效的中华人民共和国主治医师或主治医师以上职</w:t>
            </w:r>
            <w:r>
              <w:rPr>
                <w:spacing w:val="-28"/>
                <w:w w:val="100"/>
                <w:sz w:val="21"/>
              </w:rPr>
              <w:t>称的《医师职称证书》；</w:t>
            </w:r>
            <w:r>
              <w:rPr>
                <w:w w:val="100"/>
                <w:sz w:val="21"/>
              </w:rPr>
              <w:t>（</w:t>
            </w:r>
            <w:r>
              <w:rPr>
                <w:spacing w:val="-3"/>
                <w:w w:val="100"/>
                <w:sz w:val="21"/>
              </w:rPr>
              <w:t>4</w:t>
            </w:r>
            <w:r>
              <w:rPr>
                <w:spacing w:val="-22"/>
                <w:w w:val="100"/>
                <w:sz w:val="21"/>
              </w:rPr>
              <w:t>）</w:t>
            </w:r>
            <w:r>
              <w:rPr>
                <w:spacing w:val="-3"/>
                <w:w w:val="100"/>
                <w:sz w:val="21"/>
              </w:rPr>
              <w:t>在二级或二级以上医院的相应科室从事临床工作三</w:t>
            </w:r>
            <w:r>
              <w:rPr>
                <w:spacing w:val="-3"/>
                <w:sz w:val="21"/>
              </w:rPr>
              <w:t>年以上。</w:t>
            </w:r>
            <w:r>
              <w:rPr>
                <w:sz w:val="21"/>
              </w:rPr>
              <w:t> </w:t>
            </w:r>
          </w:p>
        </w:tc>
      </w:tr>
    </w:tbl>
    <w:p>
      <w:pPr>
        <w:spacing w:after="0" w:line="310" w:lineRule="atLeast"/>
        <w:jc w:val="both"/>
        <w:rPr>
          <w:sz w:val="21"/>
        </w:rPr>
        <w:sectPr>
          <w:pgSz w:w="11910" w:h="16840"/>
          <w:pgMar w:header="0" w:footer="380"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780"/>
        <w:gridCol w:w="8074"/>
      </w:tblGrid>
      <w:tr>
        <w:trPr>
          <w:trHeight w:val="312" w:hRule="atLeast"/>
        </w:trPr>
        <w:tc>
          <w:tcPr>
            <w:tcW w:w="671" w:type="dxa"/>
            <w:tcBorders>
              <w:top w:val="single" w:sz="6" w:space="0" w:color="000000"/>
            </w:tcBorders>
          </w:tcPr>
          <w:p>
            <w:pPr>
              <w:pStyle w:val="TableParagraph"/>
              <w:spacing w:line="258" w:lineRule="exact"/>
              <w:ind w:left="15"/>
              <w:jc w:val="center"/>
              <w:rPr>
                <w:b/>
                <w:sz w:val="21"/>
              </w:rPr>
            </w:pPr>
            <w:r>
              <w:rPr>
                <w:b/>
                <w:w w:val="99"/>
                <w:sz w:val="21"/>
              </w:rPr>
              <w:t> </w:t>
            </w:r>
          </w:p>
        </w:tc>
        <w:tc>
          <w:tcPr>
            <w:tcW w:w="1780" w:type="dxa"/>
            <w:tcBorders>
              <w:top w:val="single" w:sz="6" w:space="0" w:color="000000"/>
            </w:tcBorders>
          </w:tcPr>
          <w:p>
            <w:pPr>
              <w:pStyle w:val="TableParagraph"/>
              <w:spacing w:line="258" w:lineRule="exact"/>
              <w:ind w:left="94"/>
              <w:rPr>
                <w:b/>
                <w:sz w:val="21"/>
              </w:rPr>
            </w:pPr>
            <w:r>
              <w:rPr>
                <w:b/>
                <w:w w:val="99"/>
                <w:sz w:val="21"/>
              </w:rPr>
              <w:t> </w:t>
            </w:r>
          </w:p>
        </w:tc>
        <w:tc>
          <w:tcPr>
            <w:tcW w:w="8074" w:type="dxa"/>
            <w:tcBorders>
              <w:top w:val="single" w:sz="6" w:space="0" w:color="000000"/>
            </w:tcBorders>
          </w:tcPr>
          <w:p>
            <w:pPr>
              <w:pStyle w:val="TableParagraph"/>
              <w:spacing w:line="258" w:lineRule="exact"/>
              <w:ind w:left="102"/>
              <w:rPr>
                <w:sz w:val="21"/>
              </w:rPr>
            </w:pPr>
            <w:r>
              <w:rPr>
                <w:w w:val="100"/>
                <w:sz w:val="21"/>
              </w:rPr>
              <w:t> </w:t>
            </w:r>
          </w:p>
        </w:tc>
      </w:tr>
      <w:tr>
        <w:trPr>
          <w:trHeight w:val="1559" w:hRule="atLeast"/>
        </w:trPr>
        <w:tc>
          <w:tcPr>
            <w:tcW w:w="671" w:type="dxa"/>
          </w:tcPr>
          <w:p>
            <w:pPr>
              <w:pStyle w:val="TableParagraph"/>
              <w:ind w:left="110"/>
              <w:rPr>
                <w:b/>
                <w:sz w:val="21"/>
              </w:rPr>
            </w:pPr>
            <w:r>
              <w:rPr>
                <w:b/>
                <w:sz w:val="21"/>
              </w:rPr>
              <w:t>7.2 </w:t>
            </w:r>
            <w:r>
              <w:rPr>
                <w:b/>
                <w:w w:val="99"/>
                <w:sz w:val="21"/>
              </w:rPr>
              <w:t> </w:t>
            </w:r>
          </w:p>
        </w:tc>
        <w:tc>
          <w:tcPr>
            <w:tcW w:w="1780" w:type="dxa"/>
          </w:tcPr>
          <w:p>
            <w:pPr>
              <w:pStyle w:val="TableParagraph"/>
              <w:ind w:left="94"/>
              <w:rPr>
                <w:b/>
                <w:sz w:val="21"/>
              </w:rPr>
            </w:pPr>
            <w:r>
              <w:rPr>
                <w:b/>
                <w:sz w:val="21"/>
              </w:rPr>
              <w:t>感染艾滋病病毒</w:t>
            </w:r>
          </w:p>
          <w:p>
            <w:pPr>
              <w:pStyle w:val="TableParagraph"/>
              <w:spacing w:line="240" w:lineRule="auto" w:before="37"/>
              <w:ind w:left="94"/>
              <w:rPr>
                <w:b/>
                <w:sz w:val="21"/>
              </w:rPr>
            </w:pPr>
            <w:r>
              <w:rPr>
                <w:b/>
                <w:sz w:val="21"/>
              </w:rPr>
              <w:t>或患艾滋病</w:t>
            </w:r>
            <w:r>
              <w:rPr>
                <w:b/>
                <w:w w:val="99"/>
                <w:sz w:val="21"/>
              </w:rPr>
              <w:t> </w:t>
            </w:r>
          </w:p>
        </w:tc>
        <w:tc>
          <w:tcPr>
            <w:tcW w:w="8074" w:type="dxa"/>
          </w:tcPr>
          <w:p>
            <w:pPr>
              <w:pStyle w:val="TableParagraph"/>
              <w:ind w:left="102"/>
              <w:rPr>
                <w:sz w:val="21"/>
              </w:rPr>
            </w:pPr>
            <w:r>
              <w:rPr>
                <w:sz w:val="21"/>
              </w:rPr>
              <w:t>艾滋病病毒指人类免疫缺陷病毒，英文缩写为 HIV。艾滋病指人类免疫缺陷病</w:t>
            </w:r>
          </w:p>
          <w:p>
            <w:pPr>
              <w:pStyle w:val="TableParagraph"/>
              <w:spacing w:line="240" w:lineRule="auto" w:before="37"/>
              <w:ind w:left="102"/>
              <w:rPr>
                <w:sz w:val="21"/>
              </w:rPr>
            </w:pPr>
            <w:r>
              <w:rPr>
                <w:sz w:val="21"/>
              </w:rPr>
              <w:t>毒引起的获得性免疫缺陷综合征，英文缩写为AIDS。 </w:t>
            </w:r>
          </w:p>
          <w:p>
            <w:pPr>
              <w:pStyle w:val="TableParagraph"/>
              <w:spacing w:line="273" w:lineRule="auto" w:before="37"/>
              <w:ind w:left="102" w:right="823"/>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12" w:hRule="atLeast"/>
        </w:trPr>
        <w:tc>
          <w:tcPr>
            <w:tcW w:w="671" w:type="dxa"/>
          </w:tcPr>
          <w:p>
            <w:pPr>
              <w:pStyle w:val="TableParagraph"/>
              <w:spacing w:line="258" w:lineRule="exact"/>
              <w:ind w:left="15"/>
              <w:jc w:val="center"/>
              <w:rPr>
                <w:b/>
                <w:sz w:val="21"/>
              </w:rPr>
            </w:pPr>
            <w:r>
              <w:rPr>
                <w:b/>
                <w:w w:val="99"/>
                <w:sz w:val="21"/>
              </w:rPr>
              <w:t> </w:t>
            </w:r>
          </w:p>
        </w:tc>
        <w:tc>
          <w:tcPr>
            <w:tcW w:w="1780" w:type="dxa"/>
          </w:tcPr>
          <w:p>
            <w:pPr>
              <w:pStyle w:val="TableParagraph"/>
              <w:spacing w:line="258" w:lineRule="exact"/>
              <w:ind w:left="94"/>
              <w:rPr>
                <w:b/>
                <w:sz w:val="21"/>
              </w:rPr>
            </w:pPr>
            <w:r>
              <w:rPr>
                <w:b/>
                <w:w w:val="99"/>
                <w:sz w:val="21"/>
              </w:rPr>
              <w:t> </w:t>
            </w:r>
          </w:p>
        </w:tc>
        <w:tc>
          <w:tcPr>
            <w:tcW w:w="8074" w:type="dxa"/>
          </w:tcPr>
          <w:p>
            <w:pPr>
              <w:pStyle w:val="TableParagraph"/>
              <w:spacing w:line="258" w:lineRule="exact"/>
              <w:ind w:left="102"/>
              <w:rPr>
                <w:sz w:val="21"/>
              </w:rPr>
            </w:pPr>
            <w:r>
              <w:rPr>
                <w:w w:val="100"/>
                <w:sz w:val="21"/>
              </w:rPr>
              <w:t> </w:t>
            </w:r>
          </w:p>
        </w:tc>
      </w:tr>
      <w:tr>
        <w:trPr>
          <w:trHeight w:val="623" w:hRule="atLeast"/>
        </w:trPr>
        <w:tc>
          <w:tcPr>
            <w:tcW w:w="671" w:type="dxa"/>
          </w:tcPr>
          <w:p>
            <w:pPr>
              <w:pStyle w:val="TableParagraph"/>
              <w:ind w:left="110"/>
              <w:rPr>
                <w:b/>
                <w:sz w:val="21"/>
              </w:rPr>
            </w:pPr>
            <w:r>
              <w:rPr>
                <w:b/>
                <w:sz w:val="21"/>
              </w:rPr>
              <w:t>7.3 </w:t>
            </w:r>
            <w:r>
              <w:rPr>
                <w:b/>
                <w:w w:val="99"/>
                <w:sz w:val="21"/>
              </w:rPr>
              <w:t> </w:t>
            </w:r>
          </w:p>
        </w:tc>
        <w:tc>
          <w:tcPr>
            <w:tcW w:w="1780" w:type="dxa"/>
          </w:tcPr>
          <w:p>
            <w:pPr>
              <w:pStyle w:val="TableParagraph"/>
              <w:ind w:left="94"/>
              <w:rPr>
                <w:b/>
                <w:sz w:val="21"/>
              </w:rPr>
            </w:pPr>
            <w:r>
              <w:rPr>
                <w:b/>
                <w:sz w:val="21"/>
              </w:rPr>
              <w:t>遗传性疾病</w:t>
            </w:r>
            <w:r>
              <w:rPr>
                <w:b/>
                <w:w w:val="99"/>
                <w:sz w:val="21"/>
              </w:rPr>
              <w:t> </w:t>
            </w:r>
          </w:p>
        </w:tc>
        <w:tc>
          <w:tcPr>
            <w:tcW w:w="8074" w:type="dxa"/>
          </w:tcPr>
          <w:p>
            <w:pPr>
              <w:pStyle w:val="TableParagraph"/>
              <w:ind w:left="102"/>
              <w:rPr>
                <w:sz w:val="21"/>
              </w:rPr>
            </w:pPr>
            <w:r>
              <w:rPr>
                <w:sz w:val="21"/>
              </w:rPr>
              <w:t>指生殖细胞或受精卵的遗传物质（染色体和基因）发生突变或畸变所引起的疾</w:t>
            </w:r>
          </w:p>
          <w:p>
            <w:pPr>
              <w:pStyle w:val="TableParagraph"/>
              <w:spacing w:line="240" w:lineRule="auto" w:before="37"/>
              <w:ind w:left="102"/>
              <w:rPr>
                <w:sz w:val="21"/>
              </w:rPr>
            </w:pPr>
            <w:r>
              <w:rPr>
                <w:sz w:val="21"/>
              </w:rPr>
              <w:t>病，通常具有由亲代传至后代的垂直传递的特征。 </w:t>
            </w:r>
          </w:p>
        </w:tc>
      </w:tr>
      <w:tr>
        <w:trPr>
          <w:trHeight w:val="312" w:hRule="atLeast"/>
        </w:trPr>
        <w:tc>
          <w:tcPr>
            <w:tcW w:w="671" w:type="dxa"/>
          </w:tcPr>
          <w:p>
            <w:pPr>
              <w:pStyle w:val="TableParagraph"/>
              <w:ind w:left="15"/>
              <w:jc w:val="center"/>
              <w:rPr>
                <w:b/>
                <w:sz w:val="21"/>
              </w:rPr>
            </w:pPr>
            <w:r>
              <w:rPr>
                <w:b/>
                <w:w w:val="99"/>
                <w:sz w:val="21"/>
              </w:rPr>
              <w:t> </w:t>
            </w:r>
          </w:p>
        </w:tc>
        <w:tc>
          <w:tcPr>
            <w:tcW w:w="1780" w:type="dxa"/>
          </w:tcPr>
          <w:p>
            <w:pPr>
              <w:pStyle w:val="TableParagraph"/>
              <w:ind w:left="94"/>
              <w:rPr>
                <w:b/>
                <w:sz w:val="21"/>
              </w:rPr>
            </w:pPr>
            <w:r>
              <w:rPr>
                <w:b/>
                <w:w w:val="99"/>
                <w:sz w:val="21"/>
              </w:rPr>
              <w:t> </w:t>
            </w:r>
          </w:p>
        </w:tc>
        <w:tc>
          <w:tcPr>
            <w:tcW w:w="8074" w:type="dxa"/>
          </w:tcPr>
          <w:p>
            <w:pPr>
              <w:pStyle w:val="TableParagraph"/>
              <w:ind w:left="102"/>
              <w:rPr>
                <w:sz w:val="21"/>
              </w:rPr>
            </w:pPr>
            <w:r>
              <w:rPr>
                <w:w w:val="100"/>
                <w:sz w:val="21"/>
              </w:rPr>
              <w:t> </w:t>
            </w:r>
          </w:p>
        </w:tc>
      </w:tr>
      <w:tr>
        <w:trPr>
          <w:trHeight w:val="935" w:hRule="atLeast"/>
        </w:trPr>
        <w:tc>
          <w:tcPr>
            <w:tcW w:w="671" w:type="dxa"/>
          </w:tcPr>
          <w:p>
            <w:pPr>
              <w:pStyle w:val="TableParagraph"/>
              <w:ind w:left="110"/>
              <w:rPr>
                <w:b/>
                <w:sz w:val="21"/>
              </w:rPr>
            </w:pPr>
            <w:r>
              <w:rPr>
                <w:b/>
                <w:sz w:val="21"/>
              </w:rPr>
              <w:t>7.4 </w:t>
            </w:r>
            <w:r>
              <w:rPr>
                <w:b/>
                <w:w w:val="99"/>
                <w:sz w:val="21"/>
              </w:rPr>
              <w:t> </w:t>
            </w:r>
          </w:p>
        </w:tc>
        <w:tc>
          <w:tcPr>
            <w:tcW w:w="1780" w:type="dxa"/>
          </w:tcPr>
          <w:p>
            <w:pPr>
              <w:pStyle w:val="TableParagraph"/>
              <w:ind w:left="94"/>
              <w:rPr>
                <w:b/>
                <w:sz w:val="21"/>
              </w:rPr>
            </w:pPr>
            <w:r>
              <w:rPr>
                <w:b/>
                <w:sz w:val="21"/>
              </w:rPr>
              <w:t>先天性畸形、变</w:t>
            </w:r>
          </w:p>
          <w:p>
            <w:pPr>
              <w:pStyle w:val="TableParagraph"/>
              <w:spacing w:line="240" w:lineRule="auto" w:before="37"/>
              <w:ind w:left="94"/>
              <w:rPr>
                <w:b/>
                <w:sz w:val="21"/>
              </w:rPr>
            </w:pPr>
            <w:r>
              <w:rPr>
                <w:b/>
                <w:sz w:val="21"/>
              </w:rPr>
              <w:t>形或染色体异常</w:t>
            </w:r>
            <w:r>
              <w:rPr>
                <w:b/>
                <w:w w:val="99"/>
                <w:sz w:val="21"/>
              </w:rPr>
              <w:t> </w:t>
            </w:r>
          </w:p>
        </w:tc>
        <w:tc>
          <w:tcPr>
            <w:tcW w:w="8074" w:type="dxa"/>
          </w:tcPr>
          <w:p>
            <w:pPr>
              <w:pStyle w:val="TableParagraph"/>
              <w:ind w:left="102"/>
              <w:rPr>
                <w:sz w:val="21"/>
              </w:rPr>
            </w:pPr>
            <w:r>
              <w:rPr>
                <w:sz w:val="21"/>
              </w:rPr>
              <w:t>指被保险人出生时就具有的畸形、变形或染色体异常。先天性畸形、变形和染</w:t>
            </w:r>
          </w:p>
          <w:p>
            <w:pPr>
              <w:pStyle w:val="TableParagraph"/>
              <w:spacing w:line="273" w:lineRule="auto" w:before="37"/>
              <w:ind w:left="102" w:right="721"/>
              <w:rPr>
                <w:sz w:val="21"/>
              </w:rPr>
            </w:pPr>
            <w:r>
              <w:rPr>
                <w:spacing w:val="-7"/>
                <w:sz w:val="21"/>
              </w:rPr>
              <w:t>色体异常依照世界卫生组织《疾病和有关健康问题的国际统计分类》</w:t>
            </w:r>
            <w:r>
              <w:rPr>
                <w:sz w:val="21"/>
              </w:rPr>
              <w:t>（ICD-10） </w:t>
            </w:r>
            <w:r>
              <w:rPr>
                <w:spacing w:val="-1"/>
                <w:sz w:val="21"/>
              </w:rPr>
              <w:t>确定。</w:t>
            </w:r>
            <w:r>
              <w:rPr>
                <w:sz w:val="21"/>
              </w:rPr>
              <w:t> </w:t>
            </w:r>
          </w:p>
        </w:tc>
      </w:tr>
      <w:tr>
        <w:trPr>
          <w:trHeight w:val="312" w:hRule="atLeast"/>
        </w:trPr>
        <w:tc>
          <w:tcPr>
            <w:tcW w:w="671" w:type="dxa"/>
          </w:tcPr>
          <w:p>
            <w:pPr>
              <w:pStyle w:val="TableParagraph"/>
              <w:ind w:left="15"/>
              <w:jc w:val="center"/>
              <w:rPr>
                <w:b/>
                <w:sz w:val="21"/>
              </w:rPr>
            </w:pPr>
            <w:r>
              <w:rPr>
                <w:b/>
                <w:w w:val="99"/>
                <w:sz w:val="21"/>
              </w:rPr>
              <w:t> </w:t>
            </w:r>
          </w:p>
        </w:tc>
        <w:tc>
          <w:tcPr>
            <w:tcW w:w="1780" w:type="dxa"/>
          </w:tcPr>
          <w:p>
            <w:pPr>
              <w:pStyle w:val="TableParagraph"/>
              <w:ind w:left="94"/>
              <w:rPr>
                <w:b/>
                <w:sz w:val="21"/>
              </w:rPr>
            </w:pPr>
            <w:r>
              <w:rPr>
                <w:b/>
                <w:w w:val="99"/>
                <w:sz w:val="21"/>
              </w:rPr>
              <w:t> </w:t>
            </w:r>
          </w:p>
        </w:tc>
        <w:tc>
          <w:tcPr>
            <w:tcW w:w="8074" w:type="dxa"/>
          </w:tcPr>
          <w:p>
            <w:pPr>
              <w:pStyle w:val="TableParagraph"/>
              <w:ind w:left="102"/>
              <w:rPr>
                <w:sz w:val="21"/>
              </w:rPr>
            </w:pPr>
            <w:r>
              <w:rPr>
                <w:w w:val="100"/>
                <w:sz w:val="21"/>
              </w:rPr>
              <w:t> </w:t>
            </w:r>
          </w:p>
        </w:tc>
      </w:tr>
      <w:tr>
        <w:trPr>
          <w:trHeight w:val="626" w:hRule="atLeast"/>
        </w:trPr>
        <w:tc>
          <w:tcPr>
            <w:tcW w:w="671" w:type="dxa"/>
          </w:tcPr>
          <w:p>
            <w:pPr>
              <w:pStyle w:val="TableParagraph"/>
              <w:ind w:left="110"/>
              <w:rPr>
                <w:b/>
                <w:sz w:val="21"/>
              </w:rPr>
            </w:pPr>
            <w:r>
              <w:rPr>
                <w:b/>
                <w:sz w:val="21"/>
              </w:rPr>
              <w:t>7.5 </w:t>
            </w:r>
            <w:r>
              <w:rPr>
                <w:b/>
                <w:w w:val="99"/>
                <w:sz w:val="21"/>
              </w:rPr>
              <w:t> </w:t>
            </w:r>
          </w:p>
        </w:tc>
        <w:tc>
          <w:tcPr>
            <w:tcW w:w="1780" w:type="dxa"/>
          </w:tcPr>
          <w:p>
            <w:pPr>
              <w:pStyle w:val="TableParagraph"/>
              <w:ind w:left="94"/>
              <w:rPr>
                <w:b/>
                <w:sz w:val="21"/>
              </w:rPr>
            </w:pPr>
            <w:r>
              <w:rPr>
                <w:b/>
                <w:sz w:val="21"/>
              </w:rPr>
              <w:t>肢体机能完全丧</w:t>
            </w:r>
          </w:p>
          <w:p>
            <w:pPr>
              <w:pStyle w:val="TableParagraph"/>
              <w:spacing w:line="240" w:lineRule="auto" w:before="37"/>
              <w:ind w:left="94"/>
              <w:rPr>
                <w:b/>
                <w:sz w:val="21"/>
              </w:rPr>
            </w:pPr>
            <w:r>
              <w:rPr>
                <w:b/>
                <w:sz w:val="21"/>
              </w:rPr>
              <w:t>失</w:t>
            </w:r>
            <w:r>
              <w:rPr>
                <w:b/>
                <w:w w:val="99"/>
                <w:sz w:val="21"/>
              </w:rPr>
              <w:t> </w:t>
            </w:r>
          </w:p>
        </w:tc>
        <w:tc>
          <w:tcPr>
            <w:tcW w:w="8074" w:type="dxa"/>
          </w:tcPr>
          <w:p>
            <w:pPr>
              <w:pStyle w:val="TableParagraph"/>
              <w:ind w:left="102"/>
              <w:rPr>
                <w:sz w:val="21"/>
              </w:rPr>
            </w:pPr>
            <w:r>
              <w:rPr>
                <w:sz w:val="21"/>
              </w:rPr>
              <w:t>指肢体的三大关节中的两大关节僵硬，或不能随意识活动。肢体是指包括肩关</w:t>
            </w:r>
          </w:p>
          <w:p>
            <w:pPr>
              <w:pStyle w:val="TableParagraph"/>
              <w:spacing w:line="240" w:lineRule="auto" w:before="37"/>
              <w:ind w:left="102"/>
              <w:rPr>
                <w:sz w:val="24"/>
              </w:rPr>
            </w:pPr>
            <w:r>
              <w:rPr>
                <w:sz w:val="21"/>
              </w:rPr>
              <w:t>节的整个上肢或包括髋关节的整个下肢。</w:t>
            </w:r>
            <w:r>
              <w:rPr>
                <w:sz w:val="24"/>
              </w:rPr>
              <w:t> </w:t>
            </w:r>
          </w:p>
        </w:tc>
      </w:tr>
      <w:tr>
        <w:trPr>
          <w:trHeight w:val="309" w:hRule="atLeast"/>
        </w:trPr>
        <w:tc>
          <w:tcPr>
            <w:tcW w:w="671" w:type="dxa"/>
          </w:tcPr>
          <w:p>
            <w:pPr>
              <w:pStyle w:val="TableParagraph"/>
              <w:spacing w:line="255" w:lineRule="exact"/>
              <w:ind w:left="15"/>
              <w:jc w:val="center"/>
              <w:rPr>
                <w:b/>
                <w:sz w:val="21"/>
              </w:rPr>
            </w:pPr>
            <w:r>
              <w:rPr>
                <w:b/>
                <w:w w:val="99"/>
                <w:sz w:val="21"/>
              </w:rPr>
              <w:t> </w:t>
            </w:r>
          </w:p>
        </w:tc>
        <w:tc>
          <w:tcPr>
            <w:tcW w:w="1780" w:type="dxa"/>
          </w:tcPr>
          <w:p>
            <w:pPr>
              <w:pStyle w:val="TableParagraph"/>
              <w:spacing w:line="255" w:lineRule="exact"/>
              <w:ind w:left="94"/>
              <w:rPr>
                <w:b/>
                <w:sz w:val="21"/>
              </w:rPr>
            </w:pPr>
            <w:r>
              <w:rPr>
                <w:b/>
                <w:w w:val="99"/>
                <w:sz w:val="21"/>
              </w:rPr>
              <w:t> </w:t>
            </w:r>
          </w:p>
        </w:tc>
        <w:tc>
          <w:tcPr>
            <w:tcW w:w="8074" w:type="dxa"/>
          </w:tcPr>
          <w:p>
            <w:pPr>
              <w:pStyle w:val="TableParagraph"/>
              <w:spacing w:line="255" w:lineRule="exact"/>
              <w:ind w:left="102"/>
              <w:rPr>
                <w:sz w:val="21"/>
              </w:rPr>
            </w:pPr>
            <w:r>
              <w:rPr>
                <w:w w:val="100"/>
                <w:sz w:val="21"/>
              </w:rPr>
              <w:t> </w:t>
            </w:r>
          </w:p>
        </w:tc>
      </w:tr>
      <w:tr>
        <w:trPr>
          <w:trHeight w:val="624" w:hRule="atLeast"/>
        </w:trPr>
        <w:tc>
          <w:tcPr>
            <w:tcW w:w="671" w:type="dxa"/>
          </w:tcPr>
          <w:p>
            <w:pPr>
              <w:pStyle w:val="TableParagraph"/>
              <w:ind w:left="110"/>
              <w:rPr>
                <w:b/>
                <w:sz w:val="21"/>
              </w:rPr>
            </w:pPr>
            <w:r>
              <w:rPr>
                <w:b/>
                <w:sz w:val="21"/>
              </w:rPr>
              <w:t>7.6 </w:t>
            </w:r>
            <w:r>
              <w:rPr>
                <w:b/>
                <w:w w:val="99"/>
                <w:sz w:val="21"/>
              </w:rPr>
              <w:t> </w:t>
            </w:r>
          </w:p>
        </w:tc>
        <w:tc>
          <w:tcPr>
            <w:tcW w:w="1780" w:type="dxa"/>
          </w:tcPr>
          <w:p>
            <w:pPr>
              <w:pStyle w:val="TableParagraph"/>
              <w:ind w:left="94"/>
              <w:rPr>
                <w:b/>
                <w:sz w:val="21"/>
              </w:rPr>
            </w:pPr>
            <w:r>
              <w:rPr>
                <w:b/>
                <w:sz w:val="21"/>
              </w:rPr>
              <w:t>语言能力完全丧</w:t>
            </w:r>
          </w:p>
          <w:p>
            <w:pPr>
              <w:pStyle w:val="TableParagraph"/>
              <w:spacing w:line="240" w:lineRule="auto" w:before="37"/>
              <w:ind w:left="94"/>
              <w:rPr>
                <w:b/>
                <w:sz w:val="21"/>
              </w:rPr>
            </w:pPr>
            <w:r>
              <w:rPr>
                <w:b/>
                <w:sz w:val="21"/>
              </w:rPr>
              <w:t>失</w:t>
            </w:r>
            <w:r>
              <w:rPr>
                <w:b/>
                <w:w w:val="99"/>
                <w:sz w:val="21"/>
              </w:rPr>
              <w:t> </w:t>
            </w:r>
          </w:p>
        </w:tc>
        <w:tc>
          <w:tcPr>
            <w:tcW w:w="8074" w:type="dxa"/>
          </w:tcPr>
          <w:p>
            <w:pPr>
              <w:pStyle w:val="TableParagraph"/>
              <w:ind w:left="102"/>
              <w:rPr>
                <w:sz w:val="21"/>
              </w:rPr>
            </w:pPr>
            <w:r>
              <w:rPr>
                <w:sz w:val="21"/>
              </w:rPr>
              <w:t>指无法发出四种语音（包括口唇音、齿舌音、口盖音和喉头音）中的任何三种、</w:t>
            </w:r>
          </w:p>
          <w:p>
            <w:pPr>
              <w:pStyle w:val="TableParagraph"/>
              <w:spacing w:line="240" w:lineRule="auto" w:before="37"/>
              <w:ind w:left="102"/>
              <w:rPr>
                <w:sz w:val="21"/>
              </w:rPr>
            </w:pPr>
            <w:r>
              <w:rPr>
                <w:sz w:val="21"/>
              </w:rPr>
              <w:t>或声带全部切除，或因大脑语言中枢受伤害而患失语症。  </w:t>
            </w:r>
          </w:p>
        </w:tc>
      </w:tr>
      <w:tr>
        <w:trPr>
          <w:trHeight w:val="312" w:hRule="atLeast"/>
        </w:trPr>
        <w:tc>
          <w:tcPr>
            <w:tcW w:w="671" w:type="dxa"/>
          </w:tcPr>
          <w:p>
            <w:pPr>
              <w:pStyle w:val="TableParagraph"/>
              <w:ind w:left="15"/>
              <w:jc w:val="center"/>
              <w:rPr>
                <w:b/>
                <w:sz w:val="21"/>
              </w:rPr>
            </w:pPr>
            <w:r>
              <w:rPr>
                <w:b/>
                <w:w w:val="99"/>
                <w:sz w:val="21"/>
              </w:rPr>
              <w:t> </w:t>
            </w:r>
          </w:p>
        </w:tc>
        <w:tc>
          <w:tcPr>
            <w:tcW w:w="1780" w:type="dxa"/>
          </w:tcPr>
          <w:p>
            <w:pPr>
              <w:pStyle w:val="TableParagraph"/>
              <w:ind w:left="94"/>
              <w:rPr>
                <w:b/>
                <w:sz w:val="21"/>
              </w:rPr>
            </w:pPr>
            <w:r>
              <w:rPr>
                <w:b/>
                <w:w w:val="99"/>
                <w:sz w:val="21"/>
              </w:rPr>
              <w:t> </w:t>
            </w:r>
          </w:p>
        </w:tc>
        <w:tc>
          <w:tcPr>
            <w:tcW w:w="8074" w:type="dxa"/>
          </w:tcPr>
          <w:p>
            <w:pPr>
              <w:pStyle w:val="TableParagraph"/>
              <w:ind w:left="102"/>
              <w:rPr>
                <w:sz w:val="21"/>
              </w:rPr>
            </w:pPr>
            <w:r>
              <w:rPr>
                <w:w w:val="100"/>
                <w:sz w:val="21"/>
              </w:rPr>
              <w:t> </w:t>
            </w:r>
          </w:p>
        </w:tc>
      </w:tr>
      <w:tr>
        <w:trPr>
          <w:trHeight w:val="623" w:hRule="atLeast"/>
        </w:trPr>
        <w:tc>
          <w:tcPr>
            <w:tcW w:w="671" w:type="dxa"/>
          </w:tcPr>
          <w:p>
            <w:pPr>
              <w:pStyle w:val="TableParagraph"/>
              <w:ind w:left="110"/>
              <w:rPr>
                <w:b/>
                <w:sz w:val="21"/>
              </w:rPr>
            </w:pPr>
            <w:r>
              <w:rPr>
                <w:b/>
                <w:sz w:val="21"/>
              </w:rPr>
              <w:t>7.7 </w:t>
            </w:r>
            <w:r>
              <w:rPr>
                <w:b/>
                <w:w w:val="99"/>
                <w:sz w:val="21"/>
              </w:rPr>
              <w:t> </w:t>
            </w:r>
          </w:p>
        </w:tc>
        <w:tc>
          <w:tcPr>
            <w:tcW w:w="1780" w:type="dxa"/>
          </w:tcPr>
          <w:p>
            <w:pPr>
              <w:pStyle w:val="TableParagraph"/>
              <w:ind w:left="94"/>
              <w:rPr>
                <w:b/>
                <w:sz w:val="21"/>
              </w:rPr>
            </w:pPr>
            <w:r>
              <w:rPr>
                <w:b/>
                <w:sz w:val="21"/>
              </w:rPr>
              <w:t>咀嚼吞咽能力完</w:t>
            </w:r>
          </w:p>
          <w:p>
            <w:pPr>
              <w:pStyle w:val="TableParagraph"/>
              <w:spacing w:line="240" w:lineRule="auto" w:before="37"/>
              <w:ind w:left="94"/>
              <w:rPr>
                <w:b/>
                <w:sz w:val="21"/>
              </w:rPr>
            </w:pPr>
            <w:r>
              <w:rPr>
                <w:b/>
                <w:sz w:val="21"/>
              </w:rPr>
              <w:t>全丧失</w:t>
            </w:r>
            <w:r>
              <w:rPr>
                <w:b/>
                <w:w w:val="99"/>
                <w:sz w:val="21"/>
              </w:rPr>
              <w:t> </w:t>
            </w:r>
          </w:p>
        </w:tc>
        <w:tc>
          <w:tcPr>
            <w:tcW w:w="8074" w:type="dxa"/>
          </w:tcPr>
          <w:p>
            <w:pPr>
              <w:pStyle w:val="TableParagraph"/>
              <w:ind w:left="102"/>
              <w:rPr>
                <w:sz w:val="21"/>
              </w:rPr>
            </w:pPr>
            <w:r>
              <w:rPr>
                <w:sz w:val="21"/>
              </w:rPr>
              <w:t>指因牙齿以外的原因导致器质障碍或机能障碍，以致不能作咀嚼吞咽运动，除</w:t>
            </w:r>
          </w:p>
          <w:p>
            <w:pPr>
              <w:pStyle w:val="TableParagraph"/>
              <w:spacing w:line="240" w:lineRule="auto" w:before="37"/>
              <w:ind w:left="102"/>
              <w:rPr>
                <w:sz w:val="21"/>
              </w:rPr>
            </w:pPr>
            <w:r>
              <w:rPr>
                <w:sz w:val="21"/>
              </w:rPr>
              <w:t>流质食物外不能摄取或吞咽的状态。 </w:t>
            </w:r>
          </w:p>
        </w:tc>
      </w:tr>
      <w:tr>
        <w:trPr>
          <w:trHeight w:val="311" w:hRule="atLeast"/>
        </w:trPr>
        <w:tc>
          <w:tcPr>
            <w:tcW w:w="671" w:type="dxa"/>
          </w:tcPr>
          <w:p>
            <w:pPr>
              <w:pStyle w:val="TableParagraph"/>
              <w:ind w:left="15"/>
              <w:jc w:val="center"/>
              <w:rPr>
                <w:b/>
                <w:sz w:val="21"/>
              </w:rPr>
            </w:pPr>
            <w:r>
              <w:rPr>
                <w:b/>
                <w:w w:val="99"/>
                <w:sz w:val="21"/>
              </w:rPr>
              <w:t> </w:t>
            </w:r>
          </w:p>
        </w:tc>
        <w:tc>
          <w:tcPr>
            <w:tcW w:w="1780" w:type="dxa"/>
          </w:tcPr>
          <w:p>
            <w:pPr>
              <w:pStyle w:val="TableParagraph"/>
              <w:ind w:left="94"/>
              <w:rPr>
                <w:b/>
                <w:sz w:val="21"/>
              </w:rPr>
            </w:pPr>
            <w:r>
              <w:rPr>
                <w:b/>
                <w:w w:val="99"/>
                <w:sz w:val="21"/>
              </w:rPr>
              <w:t> </w:t>
            </w:r>
          </w:p>
        </w:tc>
        <w:tc>
          <w:tcPr>
            <w:tcW w:w="8074" w:type="dxa"/>
          </w:tcPr>
          <w:p>
            <w:pPr>
              <w:pStyle w:val="TableParagraph"/>
              <w:ind w:left="102"/>
              <w:rPr>
                <w:sz w:val="21"/>
              </w:rPr>
            </w:pPr>
            <w:r>
              <w:rPr>
                <w:w w:val="100"/>
                <w:sz w:val="21"/>
              </w:rPr>
              <w:t> </w:t>
            </w:r>
          </w:p>
        </w:tc>
      </w:tr>
      <w:tr>
        <w:trPr>
          <w:trHeight w:val="1247" w:hRule="atLeast"/>
        </w:trPr>
        <w:tc>
          <w:tcPr>
            <w:tcW w:w="671" w:type="dxa"/>
          </w:tcPr>
          <w:p>
            <w:pPr>
              <w:pStyle w:val="TableParagraph"/>
              <w:ind w:left="110"/>
              <w:rPr>
                <w:b/>
                <w:sz w:val="21"/>
              </w:rPr>
            </w:pPr>
            <w:r>
              <w:rPr>
                <w:b/>
                <w:sz w:val="21"/>
              </w:rPr>
              <w:t>7.8 </w:t>
            </w:r>
            <w:r>
              <w:rPr>
                <w:b/>
                <w:w w:val="99"/>
                <w:sz w:val="21"/>
              </w:rPr>
              <w:t> </w:t>
            </w:r>
          </w:p>
        </w:tc>
        <w:tc>
          <w:tcPr>
            <w:tcW w:w="1780" w:type="dxa"/>
          </w:tcPr>
          <w:p>
            <w:pPr>
              <w:pStyle w:val="TableParagraph"/>
              <w:ind w:left="94"/>
              <w:rPr>
                <w:b/>
                <w:sz w:val="21"/>
              </w:rPr>
            </w:pPr>
            <w:r>
              <w:rPr>
                <w:b/>
                <w:sz w:val="21"/>
              </w:rPr>
              <w:t>六项基本日常生</w:t>
            </w:r>
          </w:p>
          <w:p>
            <w:pPr>
              <w:pStyle w:val="TableParagraph"/>
              <w:spacing w:line="240" w:lineRule="auto" w:before="37"/>
              <w:ind w:left="94"/>
              <w:rPr>
                <w:b/>
                <w:sz w:val="21"/>
              </w:rPr>
            </w:pPr>
            <w:r>
              <w:rPr>
                <w:b/>
                <w:sz w:val="21"/>
              </w:rPr>
              <w:t>活活动</w:t>
            </w:r>
            <w:r>
              <w:rPr>
                <w:b/>
                <w:w w:val="99"/>
                <w:sz w:val="21"/>
              </w:rPr>
              <w:t> </w:t>
            </w:r>
          </w:p>
        </w:tc>
        <w:tc>
          <w:tcPr>
            <w:tcW w:w="8074" w:type="dxa"/>
          </w:tcPr>
          <w:p>
            <w:pPr>
              <w:pStyle w:val="TableParagraph"/>
              <w:ind w:left="102"/>
              <w:rPr>
                <w:sz w:val="21"/>
              </w:rPr>
            </w:pPr>
            <w:r>
              <w:rPr>
                <w:sz w:val="21"/>
              </w:rPr>
              <w:t>六项基本日常生活活动是指：（1）穿衣：自己能够穿衣及脱衣；（2）移动：</w:t>
            </w:r>
          </w:p>
          <w:p>
            <w:pPr>
              <w:pStyle w:val="TableParagraph"/>
              <w:spacing w:line="273" w:lineRule="auto" w:before="37"/>
              <w:ind w:left="102" w:right="781"/>
              <w:jc w:val="both"/>
              <w:rPr>
                <w:sz w:val="21"/>
              </w:rPr>
            </w:pPr>
            <w:r>
              <w:rPr>
                <w:sz w:val="21"/>
              </w:rPr>
              <w:t>自己从一个房间到另一个房间；（3）行动：自己上下床或上下轮椅；（4）如</w:t>
            </w:r>
            <w:r>
              <w:rPr>
                <w:spacing w:val="-6"/>
                <w:sz w:val="21"/>
              </w:rPr>
              <w:t>厕：自己控制进行大小便；</w:t>
            </w:r>
            <w:r>
              <w:rPr>
                <w:spacing w:val="-11"/>
                <w:sz w:val="21"/>
              </w:rPr>
              <w:t>（5）</w:t>
            </w:r>
            <w:r>
              <w:rPr>
                <w:spacing w:val="-5"/>
                <w:sz w:val="21"/>
              </w:rPr>
              <w:t>进食：自己从已准备好的碗或碟中取食物放入</w:t>
            </w:r>
            <w:r>
              <w:rPr>
                <w:spacing w:val="-1"/>
                <w:sz w:val="21"/>
              </w:rPr>
              <w:t>口中；（6）</w:t>
            </w:r>
            <w:r>
              <w:rPr>
                <w:spacing w:val="-3"/>
                <w:sz w:val="21"/>
              </w:rPr>
              <w:t>洗澡：自己进行淋浴或盆浴。 </w:t>
            </w:r>
            <w:r>
              <w:rPr>
                <w:sz w:val="21"/>
              </w:rPr>
              <w:t> </w:t>
            </w:r>
          </w:p>
        </w:tc>
      </w:tr>
      <w:tr>
        <w:trPr>
          <w:trHeight w:val="312" w:hRule="atLeast"/>
        </w:trPr>
        <w:tc>
          <w:tcPr>
            <w:tcW w:w="671" w:type="dxa"/>
          </w:tcPr>
          <w:p>
            <w:pPr>
              <w:pStyle w:val="TableParagraph"/>
              <w:spacing w:line="258" w:lineRule="exact"/>
              <w:ind w:left="15"/>
              <w:jc w:val="center"/>
              <w:rPr>
                <w:b/>
                <w:sz w:val="21"/>
              </w:rPr>
            </w:pPr>
            <w:r>
              <w:rPr>
                <w:b/>
                <w:w w:val="99"/>
                <w:sz w:val="21"/>
              </w:rPr>
              <w:t> </w:t>
            </w:r>
          </w:p>
        </w:tc>
        <w:tc>
          <w:tcPr>
            <w:tcW w:w="1780" w:type="dxa"/>
          </w:tcPr>
          <w:p>
            <w:pPr>
              <w:pStyle w:val="TableParagraph"/>
              <w:spacing w:line="258" w:lineRule="exact"/>
              <w:ind w:left="94"/>
              <w:rPr>
                <w:b/>
                <w:sz w:val="21"/>
              </w:rPr>
            </w:pPr>
            <w:r>
              <w:rPr>
                <w:b/>
                <w:w w:val="99"/>
                <w:sz w:val="21"/>
              </w:rPr>
              <w:t> </w:t>
            </w:r>
          </w:p>
        </w:tc>
        <w:tc>
          <w:tcPr>
            <w:tcW w:w="8074" w:type="dxa"/>
          </w:tcPr>
          <w:p>
            <w:pPr>
              <w:pStyle w:val="TableParagraph"/>
              <w:spacing w:line="258" w:lineRule="exact"/>
              <w:ind w:left="102"/>
              <w:rPr>
                <w:sz w:val="21"/>
              </w:rPr>
            </w:pPr>
            <w:r>
              <w:rPr>
                <w:w w:val="100"/>
                <w:sz w:val="21"/>
              </w:rPr>
              <w:t> </w:t>
            </w:r>
          </w:p>
        </w:tc>
      </w:tr>
      <w:tr>
        <w:trPr>
          <w:trHeight w:val="573" w:hRule="atLeast"/>
        </w:trPr>
        <w:tc>
          <w:tcPr>
            <w:tcW w:w="671" w:type="dxa"/>
          </w:tcPr>
          <w:p>
            <w:pPr>
              <w:pStyle w:val="TableParagraph"/>
              <w:ind w:left="110"/>
              <w:rPr>
                <w:b/>
                <w:sz w:val="21"/>
              </w:rPr>
            </w:pPr>
            <w:r>
              <w:rPr>
                <w:b/>
                <w:sz w:val="21"/>
              </w:rPr>
              <w:t>7.9 </w:t>
            </w:r>
            <w:r>
              <w:rPr>
                <w:b/>
                <w:w w:val="99"/>
                <w:sz w:val="21"/>
              </w:rPr>
              <w:t> </w:t>
            </w:r>
          </w:p>
        </w:tc>
        <w:tc>
          <w:tcPr>
            <w:tcW w:w="1780" w:type="dxa"/>
          </w:tcPr>
          <w:p>
            <w:pPr>
              <w:pStyle w:val="TableParagraph"/>
              <w:ind w:left="94"/>
              <w:rPr>
                <w:b/>
                <w:sz w:val="21"/>
              </w:rPr>
            </w:pPr>
            <w:r>
              <w:rPr>
                <w:b/>
                <w:sz w:val="21"/>
              </w:rPr>
              <w:t>永久不可逆</w:t>
            </w:r>
            <w:r>
              <w:rPr>
                <w:b/>
                <w:w w:val="99"/>
                <w:sz w:val="21"/>
              </w:rPr>
              <w:t> </w:t>
            </w:r>
          </w:p>
        </w:tc>
        <w:tc>
          <w:tcPr>
            <w:tcW w:w="8074" w:type="dxa"/>
          </w:tcPr>
          <w:p>
            <w:pPr>
              <w:pStyle w:val="TableParagraph"/>
              <w:ind w:left="102"/>
              <w:rPr>
                <w:sz w:val="21"/>
              </w:rPr>
            </w:pPr>
            <w:r>
              <w:rPr>
                <w:sz w:val="21"/>
              </w:rPr>
              <w:t>指自疾病确诊或意外伤害发生之日起，经过积极治疗 180 天后，仍无法通过现</w:t>
            </w:r>
          </w:p>
          <w:p>
            <w:pPr>
              <w:pStyle w:val="TableParagraph"/>
              <w:spacing w:line="259" w:lineRule="exact" w:before="37"/>
              <w:ind w:left="102"/>
              <w:rPr>
                <w:sz w:val="21"/>
              </w:rPr>
            </w:pPr>
            <w:r>
              <w:rPr>
                <w:sz w:val="21"/>
              </w:rPr>
              <w:t>有医疗手段恢复。 </w:t>
            </w:r>
          </w:p>
        </w:tc>
      </w:tr>
    </w:tbl>
    <w:p>
      <w:pPr>
        <w:pStyle w:val="BodyText"/>
        <w:spacing w:before="33"/>
        <w:ind w:left="140"/>
      </w:pPr>
      <w:r>
        <w:rPr>
          <w:w w:val="100"/>
        </w:rPr>
        <w:t> </w:t>
      </w:r>
    </w:p>
    <w:sectPr>
      <w:pgSz w:w="11910" w:h="16840"/>
      <w:pgMar w:header="0" w:footer="380" w:top="780" w:bottom="56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S UI Gothic">
    <w:altName w:val="MS UI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807.939941pt;width:34.050pt;height:12pt;mso-position-horizontal-relative:page;mso-position-vertical-relative:page;z-index:-38896" type="#_x0000_t202" filled="false" stroked="false">
          <v:textbox inset="0,0,0,0">
            <w:txbxContent>
              <w:p>
                <w:pPr>
                  <w:spacing w:before="12"/>
                  <w:ind w:left="20" w:right="0" w:firstLine="0"/>
                  <w:jc w:val="left"/>
                  <w:rPr>
                    <w:rFonts w:ascii="Times New Roman"/>
                    <w:sz w:val="18"/>
                  </w:rPr>
                </w:pPr>
                <w:r>
                  <w:rPr>
                    <w:rFonts w:ascii="Times New Roman"/>
                    <w:sz w:val="18"/>
                  </w:rPr>
                  <w:t>PUBLIC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32.15pt;height:12pt;mso-position-horizontal-relative:page;mso-position-vertical-relative:page;z-index:-38872" type="#_x0000_t202" filled="false" stroked="false">
          <v:textbox inset="0,0,0,0">
            <w:txbxContent>
              <w:p>
                <w:pPr>
                  <w:spacing w:before="12"/>
                  <w:ind w:left="20" w:right="0" w:firstLine="0"/>
                  <w:jc w:val="left"/>
                  <w:rPr>
                    <w:rFonts w:ascii="Times New Roman"/>
                    <w:sz w:val="18"/>
                  </w:rPr>
                </w:pPr>
                <w:r>
                  <w:rPr>
                    <w:rFonts w:ascii="Times New Roman"/>
                    <w:sz w:val="18"/>
                  </w:rPr>
                  <w:t>2012-02</w:t>
                </w:r>
              </w:p>
            </w:txbxContent>
          </v:textbox>
          <w10:wrap type="none"/>
        </v:shape>
      </w:pict>
    </w:r>
    <w:r>
      <w:rPr/>
      <w:pict>
        <v:shape style="position:absolute;margin-left:226.636993pt;margin-top:807.939941pt;width:34.050pt;height:12pt;mso-position-horizontal-relative:page;mso-position-vertical-relative:page;z-index:-38848" type="#_x0000_t202" filled="false" stroked="false">
          <v:textbox inset="0,0,0,0">
            <w:txbxContent>
              <w:p>
                <w:pPr>
                  <w:spacing w:before="12"/>
                  <w:ind w:left="20" w:right="0" w:firstLine="0"/>
                  <w:jc w:val="left"/>
                  <w:rPr>
                    <w:rFonts w:ascii="Times New Roman"/>
                    <w:sz w:val="18"/>
                  </w:rPr>
                </w:pPr>
                <w:r>
                  <w:rPr>
                    <w:rFonts w:ascii="Times New Roman"/>
                    <w:sz w:val="18"/>
                  </w:rPr>
                  <w:t>PUBLIC</w:t>
                </w:r>
              </w:p>
            </w:txbxContent>
          </v:textbox>
          <w10:wrap type="none"/>
        </v:shape>
      </w:pict>
    </w:r>
    <w:r>
      <w:rPr/>
      <w:pict>
        <v:shape style="position:absolute;margin-left:516.984985pt;margin-top:807.939941pt;width:8.5pt;height:12pt;mso-position-horizontal-relative:page;mso-position-vertical-relative:page;z-index:-38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32" w:hanging="420"/>
      </w:pPr>
      <w:rPr>
        <w:rFonts w:hint="default"/>
      </w:rPr>
    </w:lvl>
    <w:lvl w:ilvl="8">
      <w:start w:val="0"/>
      <w:numFmt w:val="bullet"/>
      <w:lvlText w:val="•"/>
      <w:lvlJc w:val="left"/>
      <w:pPr>
        <w:ind w:left="8937" w:hanging="420"/>
      </w:pPr>
      <w:rPr>
        <w:rFonts w:hint="default"/>
      </w:rPr>
    </w:lvl>
  </w:abstractNum>
  <w:abstractNum w:abstractNumId="0">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32" w:hanging="420"/>
      </w:pPr>
      <w:rPr>
        <w:rFonts w:hint="default"/>
      </w:rPr>
    </w:lvl>
    <w:lvl w:ilvl="8">
      <w:start w:val="0"/>
      <w:numFmt w:val="bullet"/>
      <w:lvlText w:val="•"/>
      <w:lvlJc w:val="left"/>
      <w:pPr>
        <w:ind w:left="8937"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29" w:lineRule="exact"/>
      <w:ind w:left="2245"/>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before="21"/>
      <w:ind w:left="362"/>
      <w:outlineLvl w:val="2"/>
    </w:pPr>
    <w:rPr>
      <w:rFonts w:ascii="宋体" w:hAnsi="宋体" w:eastAsia="宋体" w:cs="宋体"/>
      <w:b/>
      <w:bCs/>
      <w:sz w:val="21"/>
      <w:szCs w:val="21"/>
    </w:rPr>
  </w:style>
  <w:style w:styleId="ListParagraph" w:type="paragraph">
    <w:name w:val="List Paragraph"/>
    <w:basedOn w:val="Normal"/>
    <w:uiPriority w:val="1"/>
    <w:qFormat/>
    <w:pPr>
      <w:spacing w:before="25"/>
      <w:ind w:left="1697" w:hanging="420"/>
    </w:pPr>
    <w:rPr>
      <w:rFonts w:ascii="宋体" w:hAnsi="宋体" w:eastAsia="宋体" w:cs="宋体"/>
    </w:rPr>
  </w:style>
  <w:style w:styleId="TableParagraph" w:type="paragraph">
    <w:name w:val="Table Paragraph"/>
    <w:basedOn w:val="Normal"/>
    <w:uiPriority w:val="1"/>
    <w:qFormat/>
    <w:pPr>
      <w:spacing w:line="257"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cp:keywords>PUBLIC</cp:keywords>
  <dc:title>阅 读 指 引</dc:title>
  <dcterms:created xsi:type="dcterms:W3CDTF">2018-10-19T23:50:08Z</dcterms:created>
  <dcterms:modified xsi:type="dcterms:W3CDTF">2018-10-19T23:50:08Z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