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223" w:right="101" w:firstLine="0"/>
        <w:jc w:val="center"/>
        <w:rPr>
          <w:b/>
          <w:sz w:val="30"/>
        </w:rPr>
      </w:pPr>
      <w:r>
        <w:rPr>
          <w:b/>
          <w:w w:val="95"/>
          <w:sz w:val="30"/>
        </w:rPr>
        <w:t>太平福临岁祐终身重大疾病保险条款</w:t>
      </w:r>
    </w:p>
    <w:p>
      <w:pPr>
        <w:pStyle w:val="BodyText"/>
        <w:ind w:left="0"/>
        <w:rPr>
          <w:b/>
          <w:sz w:val="30"/>
        </w:rPr>
      </w:pPr>
    </w:p>
    <w:p>
      <w:pPr>
        <w:pStyle w:val="BodyText"/>
        <w:spacing w:before="6"/>
        <w:ind w:left="0"/>
        <w:rPr>
          <w:b/>
          <w:sz w:val="44"/>
        </w:rPr>
      </w:pPr>
    </w:p>
    <w:p>
      <w:pPr>
        <w:spacing w:before="0"/>
        <w:ind w:left="3221" w:right="101"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019 </w:t>
      </w:r>
      <w:r>
        <w:rPr>
          <w:sz w:val="18"/>
        </w:rPr>
        <w:t>号</w:t>
      </w:r>
    </w:p>
    <w:p>
      <w:pPr>
        <w:pStyle w:val="BodyText"/>
        <w:spacing w:before="3"/>
        <w:ind w:left="0"/>
        <w:rPr>
          <w:sz w:val="5"/>
        </w:rPr>
      </w:pPr>
    </w:p>
    <w:p>
      <w:pPr>
        <w:pStyle w:val="BodyText"/>
        <w:ind w:left="781"/>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25"/>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2" w:space="526"/>
            <w:col w:w="2682"/>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15</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第二十一条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第二十二条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5"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spacing w:before="62"/>
            <w:rPr>
              <w:rFonts w:ascii="Times New Roman" w:eastAsia="Times New Roman"/>
            </w:rPr>
          </w:pPr>
          <w:hyperlink w:history="true" w:anchor="_bookmark23">
            <w:r>
              <w:rPr/>
              <w:t>第十九条</w:t>
              <w:tab/>
              <w:t>合同内容的变更权</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4">
            <w:r>
              <w:rPr/>
              <w:t>第二十条</w:t>
              <w:tab/>
              <w:t>合同效力的中止与恢复</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5">
            <w:r>
              <w:rPr/>
              <w:t>第二十一条</w:t>
              <w:tab/>
              <w:t>犹豫期</w:t>
              <w:tab/>
            </w:r>
            <w:r>
              <w:rPr>
                <w:rFonts w:ascii="Times New Roman" w:eastAsia="Times New Roman"/>
              </w:rPr>
              <w:t>9</w:t>
            </w:r>
          </w:hyperlink>
        </w:p>
        <w:p>
          <w:pPr>
            <w:pStyle w:val="TOC2"/>
            <w:tabs>
              <w:tab w:pos="1742" w:val="left" w:leader="none"/>
              <w:tab w:pos="10013" w:val="right" w:leader="dot"/>
            </w:tabs>
            <w:spacing w:before="62"/>
            <w:rPr>
              <w:rFonts w:ascii="Times New Roman" w:eastAsia="Times New Roman"/>
            </w:rPr>
          </w:pPr>
          <w:hyperlink w:history="true" w:anchor="_bookmark26">
            <w:r>
              <w:rPr/>
              <w:t>第二十二条</w:t>
              <w:tab/>
              <w:t>您解除合同的手续及风险</w:t>
              <w:tab/>
            </w:r>
            <w:r>
              <w:rPr>
                <w:rFonts w:ascii="Times New Roman" w:eastAsia="Times New Roman"/>
              </w:rPr>
              <w:t>9</w:t>
            </w:r>
          </w:hyperlink>
        </w:p>
        <w:p>
          <w:pPr>
            <w:pStyle w:val="TOC1"/>
            <w:tabs>
              <w:tab w:pos="1377" w:val="left" w:leader="none"/>
              <w:tab w:pos="10015" w:val="right" w:leader="dot"/>
            </w:tabs>
            <w:rPr>
              <w:rFonts w:ascii="Times New Roman" w:eastAsia="Times New Roman"/>
            </w:rPr>
          </w:pPr>
          <w:hyperlink w:history="true" w:anchor="_bookmark27">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1"/>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742" w:val="left" w:leader="none"/>
              <w:tab w:pos="10017" w:val="right" w:leader="dot"/>
            </w:tabs>
            <w:spacing w:before="62"/>
            <w:rPr>
              <w:rFonts w:ascii="Times New Roman" w:eastAsia="Times New Roman"/>
            </w:rPr>
          </w:pPr>
          <w:hyperlink w:history="true" w:anchor="_bookmark29">
            <w:r>
              <w:rPr/>
              <w:t>第二十四条</w:t>
              <w:tab/>
              <w:t>我们合同解除权的限制</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0">
            <w:r>
              <w:rPr/>
              <w:t>第二十五条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1">
            <w:r>
              <w:rPr/>
              <w:t>第二十六条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未还款项</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742" w:val="left" w:leader="none"/>
              <w:tab w:pos="10010" w:val="right" w:leader="dot"/>
            </w:tabs>
            <w:rPr>
              <w:rFonts w:ascii="Times New Roman" w:eastAsia="Times New Roman"/>
            </w:rPr>
          </w:pPr>
          <w:hyperlink w:history="true" w:anchor="_bookmark35">
            <w:r>
              <w:rPr/>
              <w:t>第三十条</w:t>
              <w:tab/>
              <w:t>争议处理</w:t>
              <w:tab/>
            </w:r>
            <w:r>
              <w:rPr>
                <w:rFonts w:ascii="Times New Roman" w:eastAsia="Times New Roman"/>
                <w:spacing w:val="-6"/>
              </w:rPr>
              <w:t>11</w:t>
            </w:r>
          </w:hyperlink>
        </w:p>
        <w:p>
          <w:pPr>
            <w:pStyle w:val="TOC2"/>
            <w:tabs>
              <w:tab w:pos="1742" w:val="left" w:leader="none"/>
              <w:tab w:pos="10010" w:val="right" w:leader="dot"/>
            </w:tabs>
            <w:rPr>
              <w:rFonts w:ascii="Times New Roman" w:eastAsia="Times New Roman"/>
            </w:rPr>
          </w:pPr>
          <w:hyperlink w:history="true" w:anchor="_bookmark36">
            <w:r>
              <w:rPr/>
              <w:t>第三十一条</w:t>
              <w:tab/>
              <w:t>重大疾病的种类及定义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7">
            <w:r>
              <w:rPr/>
              <w:t>第三十二条</w:t>
              <w:tab/>
              <w:t>原位癌的定义</w:t>
              <w:tab/>
            </w:r>
            <w:r>
              <w:rPr>
                <w:rFonts w:ascii="Times New Roman" w:eastAsia="Times New Roman"/>
              </w:rPr>
              <w:t>19</w:t>
            </w:r>
          </w:hyperlink>
        </w:p>
        <w:p>
          <w:pPr>
            <w:pStyle w:val="TOC2"/>
            <w:tabs>
              <w:tab w:pos="1742" w:val="left" w:leader="none"/>
              <w:tab w:pos="10017" w:val="right" w:leader="dot"/>
            </w:tabs>
            <w:rPr>
              <w:rFonts w:ascii="Times New Roman" w:eastAsia="Times New Roman"/>
            </w:rPr>
          </w:pPr>
          <w:hyperlink w:history="true" w:anchor="_bookmark38">
            <w:r>
              <w:rPr/>
              <w:t>第三十三条</w:t>
              <w:tab/>
              <w:t>全残定义</w:t>
              <w:tab/>
            </w:r>
            <w:r>
              <w:rPr>
                <w:rFonts w:ascii="Times New Roman" w:eastAsia="Times New Roman"/>
              </w:rPr>
              <w:t>19</w:t>
            </w:r>
          </w:hyperlink>
        </w:p>
        <w:p>
          <w:pPr/>
          <w:r>
            <w:fldChar w:fldCharType="end"/>
          </w:r>
        </w:p>
      </w:sdtContent>
    </w:sdt>
    <w:p>
      <w:pPr>
        <w:spacing w:after="0"/>
        <w:sectPr>
          <w:footerReference w:type="default" r:id="rId8"/>
          <w:pgSz w:w="11910" w:h="16160"/>
          <w:pgMar w:footer="631" w:header="0" w:top="152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2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spacing w:before="1"/>
        <w:ind w:right="10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2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before="36"/>
        <w:ind w:left="538"/>
      </w:pPr>
      <w:r>
        <w:rPr/>
        <w:t>自本合同生效日零时起 </w:t>
      </w:r>
      <w:r>
        <w:rPr>
          <w:rFonts w:ascii="Times New Roman" w:eastAsia="Times New Roman"/>
        </w:rPr>
        <w:t>90 </w:t>
      </w:r>
      <w:r>
        <w:rPr/>
        <w:t>日为等待期。如果本合同曾一次或多次恢复效力，则自每次合同效力恢复之日</w:t>
      </w:r>
    </w:p>
    <w:p>
      <w:pPr>
        <w:pStyle w:val="BodyText"/>
        <w:spacing w:before="21"/>
      </w:pPr>
      <w:r>
        <w:rPr/>
        <w:t>零时起 </w:t>
      </w:r>
      <w:r>
        <w:rPr>
          <w:rFonts w:ascii="Times New Roman" w:eastAsia="Times New Roman"/>
        </w:rPr>
        <w:t>90 </w:t>
      </w:r>
      <w:r>
        <w:rPr/>
        <w:t>日均为等待期。</w:t>
      </w:r>
    </w:p>
    <w:p>
      <w:pPr>
        <w:pStyle w:val="BodyText"/>
        <w:spacing w:before="6"/>
        <w:ind w:left="0"/>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1928"/>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64" w:lineRule="auto" w:before="8" w:after="0"/>
        <w:ind w:left="117" w:right="106" w:firstLine="421"/>
        <w:jc w:val="left"/>
        <w:rPr>
          <w:b/>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 </w:t>
      </w:r>
      <w:r>
        <w:rPr>
          <w:spacing w:val="-6"/>
          <w:sz w:val="21"/>
          <w:vertAlign w:val="baseline"/>
        </w:rPr>
        <w:t>初次患上一种或多种本合同第三十一条所定义的重大疾病，我们按本合同基本保险金额给付重大疾病保险金， </w:t>
      </w:r>
      <w:r>
        <w:rPr>
          <w:b/>
          <w:spacing w:val="-1"/>
          <w:sz w:val="21"/>
          <w:vertAlign w:val="baseline"/>
        </w:rPr>
        <w:t>同时本合同终止。</w:t>
      </w:r>
    </w:p>
    <w:p>
      <w:pPr>
        <w:pStyle w:val="BodyText"/>
        <w:spacing w:before="10"/>
        <w:ind w:left="0"/>
        <w:rPr>
          <w:b/>
          <w:sz w:val="10"/>
        </w:rPr>
      </w:pPr>
      <w:r>
        <w:rPr/>
        <w:pict>
          <v:line style="position:absolute;mso-position-horizontal-relative:page;mso-position-vertical-relative:paragraph;z-index:1072;mso-wrap-distance-left:0;mso-wrap-distance-right:0" from="53.880001pt,9.268651pt" to="197.930001pt,9.268651pt" stroked="true" strokeweight=".47998pt" strokecolor="#000000">
            <v:stroke dashstyle="solid"/>
            <w10:wrap type="topAndBottom"/>
          </v:line>
        </w:pict>
      </w:r>
    </w:p>
    <w:p>
      <w:pPr>
        <w:pStyle w:val="BodyText"/>
        <w:spacing w:line="321" w:lineRule="exact"/>
      </w:pPr>
      <w:r>
        <w:rPr>
          <w:rFonts w:ascii="Times New Roman" w:eastAsia="Times New Roman"/>
          <w:position w:val="10"/>
          <w:sz w:val="14"/>
        </w:rPr>
        <w:t>1</w:t>
      </w:r>
      <w:r>
        <w:rPr>
          <w:rFonts w:ascii="Microsoft JhengHei" w:eastAsia="Microsoft JhengHei" w:hint="eastAsia"/>
          <w:b/>
        </w:rPr>
        <w:t>周岁：</w:t>
      </w:r>
      <w:r>
        <w:rPr/>
        <w:t>指按照居民身份证、军官证、警官证、士兵证等有效身份证件中记载的出生日期计算的年龄，自出生</w:t>
      </w:r>
    </w:p>
    <w:p>
      <w:pPr>
        <w:pStyle w:val="BodyText"/>
        <w:spacing w:line="227" w:lineRule="exact"/>
      </w:pPr>
      <w:r>
        <w:rPr/>
        <w:t>之日起为零周岁，每经过一年增加一岁，不足一年的不计。</w:t>
      </w:r>
    </w:p>
    <w:p>
      <w:pPr>
        <w:pStyle w:val="BodyText"/>
        <w:spacing w:line="317"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指在本合同交费期限内，保险单或批注上列明的合同生效日在每月、每季、每半年或每</w:t>
      </w:r>
    </w:p>
    <w:p>
      <w:pPr>
        <w:pStyle w:val="BodyText"/>
        <w:spacing w:line="227" w:lineRule="exact"/>
      </w:pPr>
      <w:r>
        <w:rPr/>
        <w:t>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指被保险人出现本合同所界定疾病的前兆或异常的身体状况，且已经显现足以使一般人士引起注意并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pPr>
      <w:r>
        <w:rPr/>
        <w:t>酒、戒毒或相类似的医疗机构。同时该医院必须具有符合有关医院管理规定设置标准的医疗设备，并且提供</w:t>
      </w:r>
    </w:p>
    <w:p>
      <w:pPr>
        <w:pStyle w:val="BodyText"/>
        <w:spacing w:line="289" w:lineRule="exact"/>
      </w:pPr>
      <w:r>
        <w:rPr>
          <w:rFonts w:ascii="Times New Roman" w:eastAsia="Times New Roman"/>
        </w:rPr>
        <w:t>24 </w:t>
      </w:r>
      <w:r>
        <w:rPr/>
        <w:t>小时有合格医师及护士驻院的医疗和护理等服务。</w:t>
      </w:r>
    </w:p>
    <w:p>
      <w:pPr>
        <w:spacing w:after="0" w:line="289" w:lineRule="exact"/>
        <w:sectPr>
          <w:pgSz w:w="11910" w:h="16160"/>
          <w:pgMar w:header="0" w:footer="631" w:top="1520" w:bottom="860" w:left="960" w:right="700"/>
        </w:sectPr>
      </w:pPr>
    </w:p>
    <w:p>
      <w:pPr>
        <w:pStyle w:val="ListParagraph"/>
        <w:numPr>
          <w:ilvl w:val="0"/>
          <w:numId w:val="2"/>
        </w:numPr>
        <w:tabs>
          <w:tab w:pos="807" w:val="left" w:leader="none"/>
        </w:tabs>
        <w:spacing w:line="264" w:lineRule="auto" w:before="27" w:after="0"/>
        <w:ind w:left="117" w:right="157" w:firstLine="421"/>
        <w:jc w:val="both"/>
        <w:rPr>
          <w:b/>
          <w:sz w:val="21"/>
        </w:rPr>
      </w:pPr>
      <w:r>
        <w:rPr>
          <w:sz w:val="21"/>
        </w:rPr>
        <w:t>如果被保险人因意外伤害事故以外的原因经医院确诊初次患上一种或多种本合同第三十一条所定义</w:t>
      </w:r>
      <w:r>
        <w:rPr>
          <w:spacing w:val="-3"/>
          <w:sz w:val="21"/>
        </w:rPr>
        <w:t>的重大疾病，并且首次发病时间在等待期内，我们按本合同的已交保险费给付重大疾病保险金，</w:t>
      </w:r>
      <w:r>
        <w:rPr>
          <w:b/>
          <w:sz w:val="21"/>
        </w:rPr>
        <w:t>同时本合同终止。</w:t>
      </w:r>
    </w:p>
    <w:p>
      <w:pPr>
        <w:pStyle w:val="BodyText"/>
        <w:spacing w:before="15"/>
        <w:ind w:left="538"/>
      </w:pPr>
      <w:r>
        <w:rPr/>
        <w:t>二、原位癌保险金</w:t>
      </w:r>
    </w:p>
    <w:p>
      <w:pPr>
        <w:pStyle w:val="ListParagraph"/>
        <w:numPr>
          <w:ilvl w:val="0"/>
          <w:numId w:val="3"/>
        </w:numPr>
        <w:tabs>
          <w:tab w:pos="803" w:val="left" w:leader="none"/>
        </w:tabs>
        <w:spacing w:line="256" w:lineRule="auto" w:before="36" w:after="0"/>
        <w:ind w:left="117" w:right="154" w:firstLine="421"/>
        <w:jc w:val="both"/>
        <w:rPr>
          <w:b/>
          <w:sz w:val="21"/>
        </w:rPr>
      </w:pPr>
      <w:r>
        <w:rPr>
          <w:spacing w:val="-4"/>
          <w:sz w:val="21"/>
        </w:rPr>
        <w:t>如果被保险人等待期后首次发病并经医院确诊初次患上本合同第三十二条所定义的原位癌，我们按本合同基本保险金额的 </w:t>
      </w:r>
      <w:r>
        <w:rPr>
          <w:rFonts w:ascii="Times New Roman" w:eastAsia="Times New Roman"/>
          <w:sz w:val="21"/>
        </w:rPr>
        <w:t>10%</w:t>
      </w:r>
      <w:r>
        <w:rPr>
          <w:spacing w:val="-3"/>
          <w:sz w:val="21"/>
        </w:rPr>
        <w:t>额外给付原位癌保险金，</w:t>
      </w:r>
      <w:r>
        <w:rPr>
          <w:b/>
          <w:spacing w:val="-3"/>
          <w:sz w:val="21"/>
        </w:rPr>
        <w:t>给付以一次为限，给付金额最高为人民币 </w:t>
      </w:r>
      <w:r>
        <w:rPr>
          <w:rFonts w:ascii="Times New Roman" w:eastAsia="Times New Roman"/>
          <w:b/>
          <w:sz w:val="21"/>
        </w:rPr>
        <w:t>10</w:t>
      </w:r>
      <w:r>
        <w:rPr>
          <w:rFonts w:ascii="Times New Roman" w:eastAsia="Times New Roman"/>
          <w:b/>
          <w:spacing w:val="40"/>
          <w:sz w:val="21"/>
        </w:rPr>
        <w:t> </w:t>
      </w:r>
      <w:r>
        <w:rPr>
          <w:b/>
          <w:sz w:val="21"/>
        </w:rPr>
        <w:t>万元，同时本项责任终止。</w:t>
      </w:r>
    </w:p>
    <w:p>
      <w:pPr>
        <w:pStyle w:val="ListParagraph"/>
        <w:numPr>
          <w:ilvl w:val="0"/>
          <w:numId w:val="3"/>
        </w:numPr>
        <w:tabs>
          <w:tab w:pos="803" w:val="left" w:leader="none"/>
        </w:tabs>
        <w:spacing w:line="256" w:lineRule="auto" w:before="22" w:after="0"/>
        <w:ind w:left="117" w:right="346" w:firstLine="421"/>
        <w:jc w:val="left"/>
        <w:rPr>
          <w:b/>
          <w:sz w:val="21"/>
        </w:rPr>
      </w:pPr>
      <w:r>
        <w:rPr>
          <w:spacing w:val="-3"/>
          <w:sz w:val="21"/>
        </w:rPr>
        <w:t>如果被保险人经医院确诊初次患上本合同第三十二条所定义的原位癌，并且首次发病时间在等待期内，我们不承担本项责任，</w:t>
      </w:r>
      <w:r>
        <w:rPr>
          <w:b/>
          <w:sz w:val="21"/>
        </w:rPr>
        <w:t>同时本项责任终止。</w:t>
      </w:r>
    </w:p>
    <w:p>
      <w:pPr>
        <w:pStyle w:val="BodyText"/>
        <w:spacing w:before="22"/>
        <w:ind w:left="538"/>
      </w:pPr>
      <w:r>
        <w:rPr/>
        <w:t>三、身故保险金</w:t>
      </w:r>
    </w:p>
    <w:p>
      <w:pPr>
        <w:pStyle w:val="ListParagraph"/>
        <w:numPr>
          <w:ilvl w:val="0"/>
          <w:numId w:val="4"/>
        </w:numPr>
        <w:tabs>
          <w:tab w:pos="803" w:val="left" w:leader="none"/>
        </w:tabs>
        <w:spacing w:line="247" w:lineRule="auto" w:before="44" w:after="0"/>
        <w:ind w:left="117" w:right="154" w:firstLine="421"/>
        <w:jc w:val="both"/>
        <w:rPr>
          <w:sz w:val="21"/>
        </w:rPr>
      </w:pPr>
      <w:r>
        <w:rPr>
          <w:spacing w:val="-4"/>
          <w:sz w:val="21"/>
        </w:rPr>
        <w:t>如果被保险人投保时年龄未满 </w:t>
      </w:r>
      <w:r>
        <w:rPr>
          <w:rFonts w:ascii="Times New Roman" w:eastAsia="Times New Roman"/>
          <w:sz w:val="21"/>
        </w:rPr>
        <w:t>18</w:t>
      </w:r>
      <w:r>
        <w:rPr>
          <w:rFonts w:ascii="Times New Roman" w:eastAsia="Times New Roman"/>
          <w:spacing w:val="37"/>
          <w:sz w:val="21"/>
        </w:rPr>
        <w:t> </w:t>
      </w:r>
      <w:r>
        <w:rPr>
          <w:spacing w:val="-5"/>
          <w:sz w:val="21"/>
        </w:rPr>
        <w:t>周岁且被保险人在年满 </w:t>
      </w:r>
      <w:r>
        <w:rPr>
          <w:rFonts w:ascii="Times New Roman" w:eastAsia="Times New Roman"/>
          <w:sz w:val="21"/>
        </w:rPr>
        <w:t>18</w:t>
      </w:r>
      <w:r>
        <w:rPr>
          <w:rFonts w:ascii="Times New Roman" w:eastAsia="Times New Roman"/>
          <w:spacing w:val="37"/>
          <w:sz w:val="21"/>
        </w:rPr>
        <w:t> </w:t>
      </w:r>
      <w:r>
        <w:rPr>
          <w:spacing w:val="-3"/>
          <w:sz w:val="21"/>
        </w:rPr>
        <w:t>周岁后的首个</w:t>
      </w:r>
      <w:r>
        <w:rPr>
          <w:b/>
          <w:sz w:val="21"/>
        </w:rPr>
        <w:t>保险单周年日</w:t>
      </w:r>
      <w:r>
        <w:rPr>
          <w:rFonts w:ascii="Times New Roman" w:eastAsia="Times New Roman"/>
          <w:b/>
          <w:sz w:val="21"/>
          <w:vertAlign w:val="superscript"/>
        </w:rPr>
        <w:t>7</w:t>
      </w:r>
      <w:r>
        <w:rPr>
          <w:rFonts w:ascii="Times New Roman" w:eastAsia="Times New Roman"/>
          <w:b/>
          <w:sz w:val="21"/>
          <w:vertAlign w:val="baseline"/>
        </w:rPr>
      </w:r>
      <w:r>
        <w:rPr>
          <w:spacing w:val="-3"/>
          <w:sz w:val="21"/>
          <w:vertAlign w:val="baseline"/>
        </w:rPr>
        <w:t>零时之前身</w:t>
      </w:r>
      <w:r>
        <w:rPr>
          <w:spacing w:val="-7"/>
          <w:sz w:val="21"/>
          <w:vertAlign w:val="baseline"/>
        </w:rPr>
        <w:t>故，我们按本合同的</w:t>
      </w:r>
      <w:r>
        <w:rPr>
          <w:b/>
          <w:sz w:val="21"/>
          <w:vertAlign w:val="baseline"/>
        </w:rPr>
        <w:t>标准体</w:t>
      </w:r>
      <w:r>
        <w:rPr>
          <w:rFonts w:ascii="Times New Roman" w:eastAsia="Times New Roman"/>
          <w:b/>
          <w:sz w:val="21"/>
          <w:vertAlign w:val="superscript"/>
        </w:rPr>
        <w:t>8</w:t>
      </w:r>
      <w:r>
        <w:rPr>
          <w:rFonts w:ascii="Times New Roman" w:eastAsia="Times New Roman"/>
          <w:b/>
          <w:sz w:val="21"/>
          <w:vertAlign w:val="baseline"/>
        </w:rPr>
      </w:r>
      <w:r>
        <w:rPr>
          <w:spacing w:val="-3"/>
          <w:sz w:val="21"/>
          <w:vertAlign w:val="baseline"/>
        </w:rPr>
        <w:t>年交保险费与被保险人身故时本合同的</w:t>
      </w:r>
      <w:r>
        <w:rPr>
          <w:b/>
          <w:spacing w:val="-1"/>
          <w:sz w:val="21"/>
          <w:vertAlign w:val="baseline"/>
        </w:rPr>
        <w:t>保单年度数</w:t>
      </w:r>
      <w:r>
        <w:rPr>
          <w:rFonts w:ascii="Times New Roman" w:eastAsia="Times New Roman"/>
          <w:b/>
          <w:sz w:val="21"/>
          <w:vertAlign w:val="superscript"/>
        </w:rPr>
        <w:t>9</w:t>
      </w:r>
      <w:r>
        <w:rPr>
          <w:rFonts w:ascii="Times New Roman" w:eastAsia="Times New Roman"/>
          <w:b/>
          <w:sz w:val="21"/>
          <w:vertAlign w:val="baseline"/>
        </w:rPr>
      </w:r>
      <w:r>
        <w:rPr>
          <w:spacing w:val="-3"/>
          <w:sz w:val="21"/>
          <w:vertAlign w:val="baseline"/>
        </w:rPr>
        <w:t>或</w:t>
      </w:r>
      <w:r>
        <w:rPr>
          <w:b/>
          <w:sz w:val="21"/>
          <w:vertAlign w:val="baseline"/>
        </w:rPr>
        <w:t>交费年期数</w:t>
      </w:r>
      <w:r>
        <w:rPr>
          <w:rFonts w:ascii="Times New Roman" w:eastAsia="Times New Roman"/>
          <w:b/>
          <w:spacing w:val="-9"/>
          <w:sz w:val="21"/>
          <w:vertAlign w:val="superscript"/>
        </w:rPr>
        <w:t>1</w:t>
      </w:r>
      <w:r>
        <w:rPr>
          <w:rFonts w:ascii="Times New Roman" w:eastAsia="Times New Roman"/>
          <w:b/>
          <w:spacing w:val="-9"/>
          <w:sz w:val="21"/>
          <w:vertAlign w:val="baseline"/>
        </w:rPr>
      </w:r>
      <w:r>
        <w:rPr>
          <w:rFonts w:ascii="Times New Roman" w:eastAsia="Times New Roman"/>
          <w:b/>
          <w:spacing w:val="-9"/>
          <w:sz w:val="21"/>
          <w:vertAlign w:val="superscript"/>
        </w:rPr>
        <w:t>0</w:t>
      </w:r>
      <w:r>
        <w:rPr>
          <w:rFonts w:ascii="Times New Roman" w:eastAsia="Times New Roman"/>
          <w:b/>
          <w:spacing w:val="-9"/>
          <w:sz w:val="21"/>
          <w:vertAlign w:val="baseline"/>
        </w:rPr>
      </w:r>
      <w:r>
        <w:rPr>
          <w:spacing w:val="-9"/>
          <w:sz w:val="21"/>
          <w:vertAlign w:val="baseline"/>
        </w:rPr>
        <w:t>（</w:t>
      </w:r>
      <w:r>
        <w:rPr>
          <w:spacing w:val="-3"/>
          <w:sz w:val="21"/>
          <w:vertAlign w:val="baseline"/>
        </w:rPr>
        <w:t>以较小者为准）的乘积给付身故保险金，</w:t>
      </w:r>
      <w:r>
        <w:rPr>
          <w:b/>
          <w:sz w:val="21"/>
          <w:vertAlign w:val="baseline"/>
        </w:rPr>
        <w:t>同时本合同终止</w:t>
      </w:r>
      <w:r>
        <w:rPr>
          <w:sz w:val="21"/>
          <w:vertAlign w:val="baseline"/>
        </w:rPr>
        <w:t>。</w:t>
      </w:r>
    </w:p>
    <w:p>
      <w:pPr>
        <w:pStyle w:val="BodyText"/>
        <w:spacing w:line="261" w:lineRule="auto" w:before="19"/>
        <w:ind w:right="159" w:firstLine="420"/>
        <w:jc w:val="both"/>
      </w:pPr>
      <w:r>
        <w:rPr/>
        <w:t>上述本合同的标准体年交保险费根据被保险人在年交的交费方式下对应的标准体保险费率，以被保险人身故时的基本保险金额为基础，按投保时被保险人的年龄计算。</w:t>
      </w:r>
    </w:p>
    <w:p>
      <w:pPr>
        <w:pStyle w:val="ListParagraph"/>
        <w:numPr>
          <w:ilvl w:val="0"/>
          <w:numId w:val="4"/>
        </w:numPr>
        <w:tabs>
          <w:tab w:pos="803" w:val="left" w:leader="none"/>
        </w:tabs>
        <w:spacing w:line="247" w:lineRule="auto" w:before="6" w:after="0"/>
        <w:ind w:left="117" w:right="155" w:firstLine="421"/>
        <w:jc w:val="both"/>
        <w:rPr>
          <w:sz w:val="21"/>
        </w:rPr>
      </w:pPr>
      <w:r>
        <w:rPr>
          <w:spacing w:val="-3"/>
          <w:sz w:val="21"/>
        </w:rPr>
        <w:t>如果被保险人投保时年龄未满 </w:t>
      </w:r>
      <w:r>
        <w:rPr>
          <w:rFonts w:ascii="Times New Roman" w:eastAsia="Times New Roman"/>
          <w:sz w:val="21"/>
        </w:rPr>
        <w:t>18</w:t>
      </w:r>
      <w:r>
        <w:rPr>
          <w:rFonts w:ascii="Times New Roman" w:eastAsia="Times New Roman"/>
          <w:spacing w:val="6"/>
          <w:sz w:val="21"/>
        </w:rPr>
        <w:t> </w:t>
      </w:r>
      <w:r>
        <w:rPr>
          <w:spacing w:val="-3"/>
          <w:sz w:val="21"/>
        </w:rPr>
        <w:t>周岁且被保险人在年满 </w:t>
      </w:r>
      <w:r>
        <w:rPr>
          <w:rFonts w:ascii="Times New Roman" w:eastAsia="Times New Roman"/>
          <w:sz w:val="21"/>
        </w:rPr>
        <w:t>18</w:t>
      </w:r>
      <w:r>
        <w:rPr>
          <w:rFonts w:ascii="Times New Roman" w:eastAsia="Times New Roman"/>
          <w:spacing w:val="3"/>
          <w:sz w:val="21"/>
        </w:rPr>
        <w:t> </w:t>
      </w:r>
      <w:r>
        <w:rPr>
          <w:spacing w:val="-3"/>
          <w:sz w:val="21"/>
        </w:rPr>
        <w:t>周岁后的首个保险单周年日零时之后身</w:t>
      </w:r>
      <w:r>
        <w:rPr>
          <w:spacing w:val="-10"/>
          <w:sz w:val="21"/>
        </w:rPr>
        <w:t>故，或被保险人投保时年龄已满 </w:t>
      </w:r>
      <w:r>
        <w:rPr>
          <w:rFonts w:ascii="Times New Roman" w:eastAsia="Times New Roman"/>
          <w:sz w:val="21"/>
        </w:rPr>
        <w:t>18</w:t>
      </w:r>
      <w:r>
        <w:rPr>
          <w:rFonts w:ascii="Times New Roman" w:eastAsia="Times New Roman"/>
          <w:spacing w:val="18"/>
          <w:sz w:val="21"/>
        </w:rPr>
        <w:t> </w:t>
      </w:r>
      <w:r>
        <w:rPr>
          <w:spacing w:val="-6"/>
          <w:sz w:val="21"/>
        </w:rPr>
        <w:t>周岁且在本合同保险期间内身故，我们按被保险人身故时本合同的基本保</w:t>
      </w:r>
      <w:r>
        <w:rPr>
          <w:spacing w:val="-3"/>
          <w:sz w:val="21"/>
        </w:rPr>
        <w:t>险金额给付身故保险金，</w:t>
      </w:r>
      <w:r>
        <w:rPr>
          <w:b/>
          <w:sz w:val="21"/>
        </w:rPr>
        <w:t>同时本合同终止</w:t>
      </w:r>
      <w:r>
        <w:rPr>
          <w:sz w:val="21"/>
        </w:rPr>
        <w:t>。</w:t>
      </w:r>
    </w:p>
    <w:p>
      <w:pPr>
        <w:pStyle w:val="BodyText"/>
        <w:spacing w:before="11"/>
        <w:ind w:left="538"/>
      </w:pPr>
      <w:r>
        <w:rPr/>
        <w:t>四、被保险人确诊原位癌豁免保险费</w:t>
      </w:r>
    </w:p>
    <w:p>
      <w:pPr>
        <w:pStyle w:val="BodyText"/>
        <w:spacing w:line="273" w:lineRule="auto" w:before="36"/>
        <w:ind w:right="157" w:firstLine="420"/>
        <w:jc w:val="both"/>
      </w:pPr>
      <w:r>
        <w:rPr/>
        <w:t>如果被保险人等待期后首次发病并经医院确诊初次患上本合同第三十二条所定义的原位癌，则我们将豁免被保险人确诊原位癌后的首个保险费约定支付日至交费期满之间本合同剩余的各期保险费，但不包括被保险人确诊原位癌之前所欠交的保险费及利息。</w:t>
      </w:r>
    </w:p>
    <w:p>
      <w:pPr>
        <w:spacing w:line="273" w:lineRule="auto" w:before="7"/>
        <w:ind w:left="117" w:right="159" w:firstLine="422"/>
        <w:jc w:val="both"/>
        <w:rPr>
          <w:b/>
          <w:sz w:val="21"/>
        </w:rPr>
      </w:pPr>
      <w:r>
        <w:rPr>
          <w:b/>
          <w:sz w:val="21"/>
        </w:rPr>
        <w:t>如果被保险人在等待期内首次发病并经医院确诊初次患上本合同第三十二条所定义的原位癌，我们将不予豁免保险费。</w:t>
      </w:r>
    </w:p>
    <w:p>
      <w:pPr>
        <w:pStyle w:val="BodyText"/>
        <w:spacing w:before="7"/>
        <w:ind w:left="538"/>
      </w:pPr>
      <w:r>
        <w:rPr/>
        <w:t>五、投保人意外身故或全残豁免保险费</w:t>
      </w:r>
    </w:p>
    <w:p>
      <w:pPr>
        <w:pStyle w:val="BodyText"/>
        <w:spacing w:before="37"/>
        <w:ind w:left="538"/>
      </w:pPr>
      <w:r>
        <w:rPr/>
        <w:t>当投保人与本合同的被保险人不为同一人时，如果投保人在年满 </w:t>
      </w:r>
      <w:r>
        <w:rPr>
          <w:rFonts w:ascii="Times New Roman" w:eastAsia="Times New Roman"/>
        </w:rPr>
        <w:t>70 </w:t>
      </w:r>
      <w:r>
        <w:rPr/>
        <w:t>周岁前遭受意外伤害事故</w:t>
      </w:r>
      <w:r>
        <w:rPr>
          <w:b/>
        </w:rPr>
        <w:t>，</w:t>
      </w:r>
      <w:r>
        <w:rPr/>
        <w:t>且自该事</w:t>
      </w:r>
    </w:p>
    <w:p>
      <w:pPr>
        <w:pStyle w:val="BodyText"/>
        <w:spacing w:line="264" w:lineRule="auto" w:before="21"/>
        <w:ind w:right="152"/>
        <w:jc w:val="both"/>
      </w:pPr>
      <w:r>
        <w:rPr>
          <w:spacing w:val="-7"/>
        </w:rPr>
        <w:t>故发生之日起 </w:t>
      </w:r>
      <w:r>
        <w:rPr>
          <w:rFonts w:ascii="Times New Roman" w:eastAsia="Times New Roman"/>
        </w:rPr>
        <w:t>180 </w:t>
      </w:r>
      <w:r>
        <w:rPr>
          <w:spacing w:val="-5"/>
        </w:rPr>
        <w:t>日内因该事故导致身故或全残</w:t>
      </w:r>
      <w:r>
        <w:rPr/>
        <w:t>（</w:t>
      </w:r>
      <w:r>
        <w:rPr>
          <w:spacing w:val="-6"/>
        </w:rPr>
        <w:t>有关全残定义，请参照本合同第三十三条</w:t>
      </w:r>
      <w:r>
        <w:rPr>
          <w:spacing w:val="-66"/>
        </w:rPr>
        <w:t>）</w:t>
      </w:r>
      <w:r>
        <w:rPr>
          <w:spacing w:val="-12"/>
        </w:rPr>
        <w:t>，则我们将豁免</w:t>
      </w:r>
      <w:r>
        <w:rPr>
          <w:spacing w:val="-10"/>
        </w:rPr>
        <w:t>投保人身故或全残后的首个保险费约定支付日至交费期满之间本合同剩余的各期保险费，但不包括投保人身</w:t>
      </w:r>
      <w:r>
        <w:rPr>
          <w:spacing w:val="-3"/>
        </w:rPr>
        <w:t>故或全残之前所欠交的保险费及利息。</w:t>
      </w:r>
    </w:p>
    <w:p>
      <w:pPr>
        <w:pStyle w:val="BodyText"/>
        <w:spacing w:before="15"/>
        <w:ind w:left="538"/>
      </w:pPr>
      <w:r>
        <w:rPr/>
        <w:t>当投保人与本合同的被保险人为同一人时，如果投保人在年满 </w:t>
      </w:r>
      <w:r>
        <w:rPr>
          <w:rFonts w:ascii="Times New Roman" w:eastAsia="Times New Roman"/>
        </w:rPr>
        <w:t>70 </w:t>
      </w:r>
      <w:r>
        <w:rPr/>
        <w:t>周岁前遭受意外伤害事故</w:t>
      </w:r>
      <w:r>
        <w:rPr>
          <w:b/>
        </w:rPr>
        <w:t>，</w:t>
      </w:r>
      <w:r>
        <w:rPr/>
        <w:t>且自该事故</w:t>
      </w:r>
    </w:p>
    <w:p>
      <w:pPr>
        <w:pStyle w:val="BodyText"/>
        <w:spacing w:line="256" w:lineRule="auto" w:before="20"/>
        <w:ind w:right="152"/>
        <w:jc w:val="both"/>
      </w:pPr>
      <w:r>
        <w:rPr>
          <w:spacing w:val="-4"/>
        </w:rPr>
        <w:t>发生之日起 </w:t>
      </w:r>
      <w:r>
        <w:rPr>
          <w:rFonts w:ascii="Times New Roman" w:eastAsia="Times New Roman"/>
        </w:rPr>
        <w:t>180 </w:t>
      </w:r>
      <w:r>
        <w:rPr>
          <w:spacing w:val="-3"/>
        </w:rPr>
        <w:t>日内因该事故导致全残，则我们将豁免投保人全残后的首个保险费约定支付日至交费期满之间本合同剩余的各期保险费，但不包括投保人全残之前所欠交的保险费及利息。</w:t>
      </w:r>
    </w:p>
    <w:p>
      <w:pPr>
        <w:spacing w:before="22"/>
        <w:ind w:left="540" w:right="0" w:firstLine="0"/>
        <w:jc w:val="left"/>
        <w:rPr>
          <w:b/>
          <w:sz w:val="21"/>
        </w:rPr>
      </w:pPr>
      <w:r>
        <w:rPr>
          <w:b/>
          <w:sz w:val="21"/>
        </w:rPr>
        <w:t>在保险期间内变更投保人的，我们将不予豁免保险费。</w:t>
      </w:r>
    </w:p>
    <w:p>
      <w:pPr>
        <w:pStyle w:val="BodyText"/>
        <w:spacing w:before="9"/>
        <w:ind w:left="0"/>
        <w:rPr>
          <w:b/>
          <w:sz w:val="26"/>
        </w:rPr>
      </w:pPr>
    </w:p>
    <w:p>
      <w:pPr>
        <w:spacing w:before="0"/>
        <w:ind w:left="538" w:right="0" w:firstLine="0"/>
        <w:jc w:val="left"/>
        <w:rPr>
          <w:b/>
          <w:sz w:val="21"/>
        </w:rPr>
      </w:pPr>
      <w:r>
        <w:rPr>
          <w:b/>
          <w:sz w:val="21"/>
        </w:rPr>
        <w:t>我们只给付本合同保险责任中约定的身故保险金和重大疾病保险金的其中一项保险金，且以一次为限。</w:t>
      </w:r>
    </w:p>
    <w:p>
      <w:pPr>
        <w:pStyle w:val="BodyText"/>
        <w:ind w:left="0"/>
        <w:rPr>
          <w:b/>
          <w:sz w:val="20"/>
        </w:rPr>
      </w:pPr>
    </w:p>
    <w:p>
      <w:pPr>
        <w:pStyle w:val="BodyText"/>
        <w:spacing w:before="6"/>
        <w:ind w:left="0"/>
        <w:rPr>
          <w:b/>
          <w:sz w:val="14"/>
        </w:rPr>
      </w:pPr>
      <w:r>
        <w:rPr/>
        <w:pict>
          <v:line style="position:absolute;mso-position-horizontal-relative:page;mso-position-vertical-relative:paragraph;z-index:1096;mso-wrap-distance-left:0;mso-wrap-distance-right:0" from="53.880001pt,11.68509pt" to="197.930001pt,11.68509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7</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日，则以该月最后一日为对应日。</w:t>
      </w:r>
    </w:p>
    <w:p>
      <w:pPr>
        <w:pStyle w:val="BodyText"/>
        <w:spacing w:line="318" w:lineRule="exact"/>
      </w:pPr>
      <w:r>
        <w:rPr>
          <w:rFonts w:ascii="Times New Roman" w:eastAsia="Times New Roman"/>
          <w:position w:val="10"/>
          <w:sz w:val="14"/>
        </w:rPr>
        <w:t>8</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7" w:lineRule="exact"/>
      </w:pPr>
      <w:r>
        <w:rPr/>
        <w:t>申请的被保险人。</w:t>
      </w:r>
    </w:p>
    <w:p>
      <w:pPr>
        <w:pStyle w:val="BodyText"/>
        <w:spacing w:line="220" w:lineRule="auto"/>
        <w:ind w:right="169"/>
        <w:rPr>
          <w:rFonts w:ascii="Times New Roman" w:eastAsia="Times New Roman"/>
        </w:rPr>
      </w:pPr>
      <w:r>
        <w:rPr>
          <w:rFonts w:ascii="Times New Roman" w:eastAsia="Times New Roman"/>
          <w:position w:val="10"/>
          <w:sz w:val="14"/>
        </w:rPr>
        <w:t>9</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8"/>
        </w:rPr>
        <w:t>日，保单年度数增加 </w:t>
      </w:r>
      <w:r>
        <w:rPr>
          <w:rFonts w:ascii="Times New Roman" w:eastAsia="Times New Roman"/>
        </w:rPr>
        <w:t>1</w:t>
      </w:r>
      <w:r>
        <w:rPr>
          <w:spacing w:val="-7"/>
        </w:rPr>
        <w:t>。例如，若本合同生效日为 </w:t>
      </w:r>
      <w:r>
        <w:rPr>
          <w:rFonts w:ascii="Times New Roman" w:eastAsia="Times New Roman"/>
        </w:rPr>
        <w:t>2003 </w:t>
      </w:r>
      <w:r>
        <w:rPr>
          <w:spacing w:val="-26"/>
        </w:rPr>
        <w:t>年 </w:t>
      </w:r>
      <w:r>
        <w:rPr>
          <w:rFonts w:ascii="Times New Roman" w:eastAsia="Times New Roman"/>
        </w:rPr>
        <w:t>7 </w:t>
      </w:r>
      <w:r>
        <w:rPr>
          <w:spacing w:val="-26"/>
        </w:rPr>
        <w:t>月 </w:t>
      </w:r>
      <w:r>
        <w:rPr>
          <w:rFonts w:ascii="Times New Roman" w:eastAsia="Times New Roman"/>
        </w:rPr>
        <w:t>1 </w:t>
      </w:r>
      <w:r>
        <w:rPr>
          <w:spacing w:val="-15"/>
        </w:rPr>
        <w:t>日，自 </w:t>
      </w:r>
      <w:r>
        <w:rPr>
          <w:rFonts w:ascii="Times New Roman" w:eastAsia="Times New Roman"/>
        </w:rPr>
        <w:t>2003 </w:t>
      </w:r>
      <w:r>
        <w:rPr>
          <w:spacing w:val="-26"/>
        </w:rPr>
        <w:t>年 </w:t>
      </w:r>
      <w:r>
        <w:rPr>
          <w:rFonts w:ascii="Times New Roman" w:eastAsia="Times New Roman"/>
        </w:rPr>
        <w:t>7 </w:t>
      </w:r>
      <w:r>
        <w:rPr>
          <w:spacing w:val="-26"/>
        </w:rPr>
        <w:t>月 </w:t>
      </w:r>
      <w:r>
        <w:rPr>
          <w:rFonts w:ascii="Times New Roman" w:eastAsia="Times New Roman"/>
        </w:rPr>
        <w:t>1 </w:t>
      </w:r>
      <w:r>
        <w:rPr>
          <w:spacing w:val="-18"/>
        </w:rPr>
        <w:t>日至 </w:t>
      </w:r>
      <w:r>
        <w:rPr>
          <w:rFonts w:ascii="Times New Roman" w:eastAsia="Times New Roman"/>
        </w:rPr>
        <w:t>2004 </w:t>
      </w:r>
      <w:r>
        <w:rPr>
          <w:spacing w:val="-27"/>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4"/>
        <w:ind w:right="154"/>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spacing w:line="296" w:lineRule="exact" w:before="0"/>
        <w:ind w:left="117" w:right="0" w:firstLine="0"/>
        <w:jc w:val="left"/>
        <w:rPr>
          <w:sz w:val="21"/>
        </w:rPr>
      </w:pPr>
      <w:r>
        <w:rPr>
          <w:rFonts w:ascii="Times New Roman" w:eastAsia="Times New Roman"/>
          <w:position w:val="10"/>
          <w:sz w:val="14"/>
        </w:rPr>
        <w:t>10</w:t>
      </w:r>
      <w:r>
        <w:rPr>
          <w:rFonts w:ascii="Microsoft JhengHei" w:eastAsia="Microsoft JhengHei" w:hint="eastAsia"/>
          <w:b/>
          <w:sz w:val="21"/>
        </w:rPr>
        <w:t>交费年期数：</w:t>
      </w:r>
      <w:r>
        <w:rPr>
          <w:sz w:val="21"/>
        </w:rPr>
        <w:t>指保险单中约定的交费年期的数值。</w:t>
      </w:r>
    </w:p>
    <w:p>
      <w:pPr>
        <w:spacing w:after="0" w:line="296" w:lineRule="exact"/>
        <w:jc w:val="left"/>
        <w:rPr>
          <w:sz w:val="21"/>
        </w:rPr>
        <w:sectPr>
          <w:pgSz w:w="11910" w:h="16160"/>
          <w:pgMar w:header="0" w:footer="631" w:top="1340" w:bottom="880" w:left="960" w:right="760"/>
        </w:sectPr>
      </w:pPr>
    </w:p>
    <w:p>
      <w:pPr>
        <w:pStyle w:val="Heading2"/>
        <w:tabs>
          <w:tab w:pos="969" w:val="left" w:leader="none"/>
        </w:tabs>
        <w:spacing w:before="7"/>
      </w:pPr>
      <w:bookmarkStart w:name="_bookmark9" w:id="10"/>
      <w:bookmarkEnd w:id="10"/>
      <w:r>
        <w:rPr>
          <w:b w:val="0"/>
        </w:rPr>
      </w:r>
      <w:r>
        <w:rPr/>
        <w:t>第八条</w:t>
        <w:tab/>
        <w:t>责任免除</w:t>
      </w:r>
    </w:p>
    <w:p>
      <w:pPr>
        <w:pStyle w:val="BodyText"/>
        <w:spacing w:line="273" w:lineRule="auto" w:before="37"/>
        <w:ind w:right="219" w:firstLine="420"/>
        <w:rPr>
          <w:rFonts w:ascii="黑体" w:eastAsia="黑体" w:hint="eastAsia"/>
        </w:rPr>
      </w:pPr>
      <w:r>
        <w:rPr>
          <w:rFonts w:ascii="黑体" w:eastAsia="黑体" w:hint="eastAsia"/>
        </w:rPr>
        <w:t>一、因下列情形之一导致被保险人患上本合同所定义的重大疾病或原位癌的，我们不承担给付重大疾病保险金、原位癌保险金及被保险人确诊原位癌豁免保险费的责任：</w:t>
      </w:r>
    </w:p>
    <w:p>
      <w:pPr>
        <w:pStyle w:val="ListParagraph"/>
        <w:numPr>
          <w:ilvl w:val="0"/>
          <w:numId w:val="5"/>
        </w:numPr>
        <w:tabs>
          <w:tab w:pos="803" w:val="left" w:leader="none"/>
        </w:tabs>
        <w:spacing w:line="268"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BodyText"/>
        <w:spacing w:line="259" w:lineRule="auto" w:before="2"/>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rPr>
        <w:t>现金价值</w:t>
      </w:r>
      <w:r>
        <w:rPr>
          <w:rFonts w:ascii="Times New Roman" w:eastAsia="Times New Roman"/>
          <w:b/>
          <w:vertAlign w:val="superscript"/>
        </w:rPr>
        <w:t>19</w:t>
      </w:r>
      <w:r>
        <w:rPr>
          <w:rFonts w:ascii="Times New Roman" w:eastAsia="Times New Roman"/>
          <w:b/>
          <w:vertAlign w:val="baseline"/>
        </w:rPr>
      </w:r>
      <w:r>
        <w:rPr>
          <w:rFonts w:ascii="黑体" w:eastAsia="黑体" w:hint="eastAsia"/>
          <w:vertAlign w:val="baseline"/>
        </w:rPr>
        <w:t>。</w:t>
      </w:r>
    </w:p>
    <w:p>
      <w:pPr>
        <w:pStyle w:val="BodyText"/>
        <w:spacing w:line="274" w:lineRule="exact" w:before="7"/>
        <w:ind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line="268" w:lineRule="exact"/>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故意犯罪或者抗拒依法采取的刑事强制措施；</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5"/>
          <w:sz w:val="21"/>
        </w:rPr>
        <w:t>自本合同成立或者合同效力恢复之日起 </w:t>
      </w:r>
      <w:r>
        <w:rPr>
          <w:rFonts w:ascii="Times New Roman" w:eastAsia="Times New Roman"/>
          <w:sz w:val="21"/>
        </w:rPr>
        <w:t>2</w:t>
      </w:r>
      <w:r>
        <w:rPr>
          <w:rFonts w:ascii="Times New Roman" w:eastAsia="Times New Roman"/>
          <w:spacing w:val="16"/>
          <w:sz w:val="21"/>
        </w:rPr>
        <w:t> </w:t>
      </w:r>
      <w:r>
        <w:rPr>
          <w:rFonts w:ascii="黑体" w:eastAsia="黑体" w:hint="eastAsia"/>
          <w:spacing w:val="-6"/>
          <w:sz w:val="21"/>
        </w:rPr>
        <w:t>年内自杀，但自杀时为</w:t>
      </w:r>
      <w:r>
        <w:rPr>
          <w:rFonts w:ascii="黑体" w:eastAsia="黑体" w:hint="eastAsia"/>
          <w:b/>
          <w:sz w:val="21"/>
        </w:rPr>
        <w:t>无民事行为能力人</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主动吸食或注射毒品；</w:t>
      </w:r>
    </w:p>
    <w:p>
      <w:pPr>
        <w:pStyle w:val="ListParagraph"/>
        <w:numPr>
          <w:ilvl w:val="0"/>
          <w:numId w:val="6"/>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酒后驾驶，无合法有效驾驶证驾驶，或驾驶无有效行驶证的机动车；</w:t>
      </w:r>
    </w:p>
    <w:p>
      <w:pPr>
        <w:pStyle w:val="BodyText"/>
        <w:ind w:left="0"/>
        <w:rPr>
          <w:rFonts w:ascii="黑体"/>
          <w:sz w:val="29"/>
        </w:rPr>
      </w:pPr>
      <w:r>
        <w:rPr/>
        <w:pict>
          <v:line style="position:absolute;mso-position-horizontal-relative:page;mso-position-vertical-relative:paragraph;z-index:1120;mso-wrap-distance-left:0;mso-wrap-distance-right:0" from="53.880001pt,21.212065pt" to="197.930001pt,21.212065pt" stroked="true" strokeweight=".48001pt" strokecolor="#000000">
            <v:stroke dashstyle="solid"/>
            <w10:wrap type="topAndBottom"/>
          </v:line>
        </w:pict>
      </w:r>
    </w:p>
    <w:p>
      <w:pPr>
        <w:pStyle w:val="BodyText"/>
        <w:spacing w:line="320" w:lineRule="exact"/>
      </w:pPr>
      <w:r>
        <w:rPr>
          <w:rFonts w:ascii="Times New Roman" w:eastAsia="Times New Roman"/>
          <w:position w:val="10"/>
          <w:sz w:val="14"/>
        </w:rPr>
        <w:t>11</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8"/>
        </w:rPr>
        <w:t>）</w:t>
      </w:r>
      <w:r>
        <w:rPr>
          <w:spacing w:val="-3"/>
        </w:rPr>
        <w:t>、吗啡、大麻、可卡因以及国</w:t>
      </w:r>
    </w:p>
    <w:p>
      <w:pPr>
        <w:pStyle w:val="BodyText"/>
        <w:spacing w:line="274" w:lineRule="exact" w:before="12"/>
        <w:ind w:right="246"/>
      </w:pPr>
      <w:r>
        <w:rPr/>
        <w:t>家规定管制的其他能够使人形成瘾癖的麻醉药品和精神药品，但不包括由医生开具并遵医嘱使用的用于治疗疾病但含有毒品成分的处方药品。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12</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公安机关交通管理部门依据《道路交通安全法》的规定认定为饮酒后驾驶或醉酒驾驶。</w:t>
      </w:r>
    </w:p>
    <w:p>
      <w:pPr>
        <w:spacing w:line="318" w:lineRule="exact" w:before="0"/>
        <w:ind w:left="117" w:right="0" w:firstLine="0"/>
        <w:jc w:val="left"/>
        <w:rPr>
          <w:sz w:val="21"/>
        </w:rPr>
      </w:pPr>
      <w:r>
        <w:rPr>
          <w:rFonts w:ascii="Times New Roman" w:eastAsia="Times New Roman"/>
          <w:w w:val="99"/>
          <w:position w:val="10"/>
          <w:sz w:val="14"/>
        </w:rPr>
        <w:t>13</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8"/>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pPr>
      <w:r>
        <w:rPr>
          <w:rFonts w:ascii="Times New Roman" w:eastAsia="Times New Roman"/>
          <w:position w:val="10"/>
          <w:sz w:val="14"/>
        </w:rPr>
        <w:t>14</w:t>
      </w:r>
      <w:r>
        <w:rPr>
          <w:rFonts w:ascii="Microsoft JhengHei" w:eastAsia="Microsoft JhengHei" w:hint="eastAsia"/>
          <w:b/>
        </w:rPr>
        <w:t>无有效行驶证：</w:t>
      </w:r>
      <w:r>
        <w:rPr/>
        <w:t>指发生保险事故时没有按照公安机关交通管理部门机动车登记制度的规定进行登记并领取</w:t>
      </w:r>
    </w:p>
    <w:p>
      <w:pPr>
        <w:pStyle w:val="BodyText"/>
        <w:spacing w:line="225" w:lineRule="auto" w:before="4"/>
        <w:ind w:right="24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spacing w:val="-1"/>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84" w:lineRule="exact"/>
      </w:pPr>
      <w:r>
        <w:rPr>
          <w:rFonts w:ascii="Times New Roman" w:eastAsia="Times New Roman"/>
          <w:position w:val="10"/>
          <w:sz w:val="14"/>
        </w:rPr>
        <w:t>15</w:t>
      </w:r>
      <w:r>
        <w:rPr>
          <w:rFonts w:ascii="Microsoft JhengHei" w:eastAsia="Microsoft JhengHei" w:hint="eastAsia"/>
          <w:b/>
        </w:rPr>
        <w:t>机动车：</w:t>
      </w:r>
      <w:r>
        <w:rPr/>
        <w:t>指以动力装置驱动或者牵引，上道路行驶的供人员乘用或者用于运送物品以及进行工程专项作业</w:t>
      </w:r>
    </w:p>
    <w:p>
      <w:pPr>
        <w:pStyle w:val="BodyText"/>
        <w:spacing w:line="227" w:lineRule="exact"/>
      </w:pPr>
      <w:r>
        <w:rPr/>
        <w:t>的轮式车辆。</w:t>
      </w:r>
    </w:p>
    <w:p>
      <w:pPr>
        <w:pStyle w:val="BodyText"/>
        <w:spacing w:line="220" w:lineRule="auto"/>
        <w:ind w:right="212"/>
      </w:pPr>
      <w:r>
        <w:rPr>
          <w:rFonts w:ascii="Times New Roman" w:eastAsia="Times New Roman"/>
          <w:position w:val="10"/>
          <w:sz w:val="14"/>
        </w:rPr>
        <w:t>16</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w:t>
      </w:r>
    </w:p>
    <w:p>
      <w:pPr>
        <w:pStyle w:val="BodyText"/>
        <w:spacing w:line="236" w:lineRule="exact" w:before="4"/>
      </w:pPr>
      <w:r>
        <w:rPr/>
        <w:t>滋病。</w:t>
      </w:r>
    </w:p>
    <w:p>
      <w:pPr>
        <w:pStyle w:val="BodyText"/>
        <w:spacing w:line="318" w:lineRule="exact"/>
      </w:pPr>
      <w:r>
        <w:rPr>
          <w:rFonts w:ascii="Times New Roman" w:eastAsia="Times New Roman"/>
          <w:position w:val="10"/>
          <w:sz w:val="14"/>
        </w:rPr>
        <w:t>17</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19</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pPr>
      <w:r>
        <w:rPr/>
        <w:t>金额。保单年度末本合同所具有的现金价值在保险单或批注上列明。每个保单年度中，本合同所具有的现金价值根据本合同实际经过的日数计算。</w:t>
      </w:r>
    </w:p>
    <w:p>
      <w:pPr>
        <w:spacing w:line="284" w:lineRule="exact" w:before="9"/>
        <w:ind w:left="117" w:right="0" w:firstLine="0"/>
        <w:jc w:val="left"/>
        <w:rPr>
          <w:sz w:val="21"/>
        </w:rPr>
      </w:pPr>
      <w:r>
        <w:rPr>
          <w:rFonts w:ascii="Times New Roman" w:eastAsia="Times New Roman"/>
          <w:spacing w:val="-1"/>
          <w:position w:val="10"/>
          <w:sz w:val="14"/>
        </w:rPr>
        <w:t>20</w:t>
      </w:r>
      <w:r>
        <w:rPr>
          <w:rFonts w:ascii="Microsoft JhengHei" w:eastAsia="Microsoft JhengHei" w:hint="eastAsia"/>
          <w:b/>
          <w:spacing w:val="-8"/>
          <w:sz w:val="21"/>
        </w:rPr>
        <w:t>无民事行为能力人：</w:t>
      </w:r>
      <w:r>
        <w:rPr>
          <w:spacing w:val="-7"/>
          <w:sz w:val="21"/>
        </w:rPr>
        <w:t>一种是指不满十周岁的未成年人，另一种是指不能辨认自己行为的精神病人</w:t>
      </w:r>
      <w:r>
        <w:rPr>
          <w:spacing w:val="-161"/>
          <w:sz w:val="21"/>
        </w:rPr>
        <w:t>。</w:t>
      </w:r>
      <w:r>
        <w:rPr>
          <w:sz w:val="21"/>
        </w:rPr>
        <w:t>（</w:t>
      </w:r>
      <w:r>
        <w:rPr>
          <w:spacing w:val="-15"/>
          <w:sz w:val="21"/>
        </w:rPr>
        <w:t>根据《中</w:t>
      </w:r>
    </w:p>
    <w:p>
      <w:pPr>
        <w:pStyle w:val="BodyText"/>
        <w:spacing w:line="261" w:lineRule="exact"/>
      </w:pPr>
      <w:r>
        <w:rPr/>
        <w:t>华人民共和国民法通则》第十二条及第十三条规定）</w:t>
      </w:r>
    </w:p>
    <w:p>
      <w:pPr>
        <w:spacing w:after="0" w:line="261" w:lineRule="exact"/>
        <w:sectPr>
          <w:pgSz w:w="11910" w:h="16160"/>
          <w:pgMar w:header="0" w:footer="631" w:top="1360" w:bottom="880" w:left="960" w:right="700"/>
        </w:sectPr>
      </w:pPr>
    </w:p>
    <w:p>
      <w:pPr>
        <w:pStyle w:val="ListParagraph"/>
        <w:numPr>
          <w:ilvl w:val="0"/>
          <w:numId w:val="6"/>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line="256" w:lineRule="auto" w:before="36"/>
        <w:ind w:right="44" w:firstLine="420"/>
        <w:rPr>
          <w:rFonts w:ascii="黑体" w:eastAsia="黑体" w:hint="eastAsia"/>
        </w:rPr>
      </w:pPr>
      <w:r>
        <w:rPr>
          <w:rFonts w:ascii="黑体" w:eastAsia="黑体" w:hint="eastAsia"/>
        </w:rPr>
        <w:t>投保人因发Th上述第 </w:t>
      </w:r>
      <w:r>
        <w:rPr>
          <w:rFonts w:ascii="Times New Roman" w:eastAsia="Times New Roman"/>
        </w:rPr>
        <w:t>2 </w:t>
      </w:r>
      <w:r>
        <w:rPr>
          <w:rFonts w:ascii="黑体" w:eastAsia="黑体" w:hint="eastAsia"/>
        </w:rPr>
        <w:t>至 </w:t>
      </w:r>
      <w:r>
        <w:rPr>
          <w:rFonts w:ascii="Times New Roman" w:eastAsia="Times New Roman"/>
        </w:rPr>
        <w:t>7 </w:t>
      </w:r>
      <w:r>
        <w:rPr>
          <w:rFonts w:ascii="黑体" w:eastAsia="黑体" w:hint="eastAsia"/>
        </w:rPr>
        <w:t>项情形导致身故或全残的，或因被保险人对投保人的故意杀害、故意伤害导致投保人身故或全残的，我们将不予豁免保险费。</w:t>
      </w:r>
    </w:p>
    <w:p>
      <w:pPr>
        <w:pStyle w:val="BodyText"/>
        <w:spacing w:before="4"/>
        <w:ind w:left="0"/>
        <w:rPr>
          <w:rFonts w:ascii="黑体"/>
          <w:sz w:val="23"/>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before="37"/>
        <w:ind w:left="538"/>
      </w:pPr>
      <w:r>
        <w:rPr/>
        <w:t>您在支付了首期保险费后，应按本合同的约定在每个保险费约定支付日支付当期应支付的保险费。</w:t>
      </w:r>
    </w:p>
    <w:p>
      <w:pPr>
        <w:pStyle w:val="BodyText"/>
        <w:spacing w:before="8"/>
        <w:ind w:left="0"/>
        <w:rPr>
          <w:sz w:val="26"/>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6"/>
        <w:ind w:right="1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21</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6"/>
        <w:ind w:left="538" w:right="2669"/>
      </w:pPr>
      <w:r>
        <w:rPr/>
        <w:t>除另有约定外，重大疾病保险金、原位癌保险金的受益人为被保险人本人。您或者被保险人可以指定一人或多人为身故保险金受益人。</w:t>
      </w:r>
    </w:p>
    <w:p>
      <w:pPr>
        <w:pStyle w:val="BodyText"/>
        <w:spacing w:line="273" w:lineRule="auto" w:before="7"/>
        <w:ind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3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pStyle w:val="BodyText"/>
        <w:spacing w:before="11"/>
        <w:ind w:left="0"/>
        <w:rPr>
          <w:sz w:val="13"/>
        </w:rPr>
      </w:pPr>
      <w:r>
        <w:rPr/>
        <w:pict>
          <v:line style="position:absolute;mso-position-horizontal-relative:page;mso-position-vertical-relative:paragraph;z-index:1144;mso-wrap-distance-left:0;mso-wrap-distance-right:0" from="53.880001pt,11.256924pt" to="197.930001pt,11.256924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spacing w:val="-1"/>
          <w:position w:val="10"/>
          <w:sz w:val="14"/>
        </w:rPr>
        <w:t>22</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pacing w:val="-3"/>
          <w:sz w:val="21"/>
        </w:rPr>
        <w:t>（</w:t>
      </w:r>
      <w:r>
        <w:rPr>
          <w:sz w:val="21"/>
        </w:rPr>
        <w:t>根</w:t>
      </w:r>
    </w:p>
    <w:p>
      <w:pPr>
        <w:pStyle w:val="BodyText"/>
        <w:spacing w:line="261" w:lineRule="exact"/>
      </w:pPr>
      <w:r>
        <w:rPr/>
        <w:t>据《中华人民共和国民法通则》第十二条及第十三条规定）</w:t>
      </w:r>
    </w:p>
    <w:p>
      <w:pPr>
        <w:spacing w:after="0" w:line="261" w:lineRule="exact"/>
        <w:sectPr>
          <w:pgSz w:w="11910" w:h="16160"/>
          <w:pgMar w:header="0" w:footer="631" w:top="1320" w:bottom="880" w:left="960" w:right="800"/>
        </w:sectPr>
      </w:pPr>
    </w:p>
    <w:p>
      <w:pPr>
        <w:spacing w:line="273" w:lineRule="auto" w:before="7"/>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37"/>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pStyle w:val="BodyText"/>
        <w:spacing w:before="21"/>
      </w:pPr>
      <w:r>
        <w:rPr/>
        <w:t>年，自其知道或者应当知道保险事故发生之日起计算。</w:t>
      </w:r>
    </w:p>
    <w:p>
      <w:pPr>
        <w:pStyle w:val="BodyText"/>
        <w:spacing w:line="247" w:lineRule="auto" w:before="44"/>
        <w:ind w:right="1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7"/>
        <w:ind w:left="538"/>
      </w:pPr>
      <w:r>
        <w:rPr/>
        <w:t>一、重大疾病保险金、原位癌保险金的申请</w:t>
      </w:r>
    </w:p>
    <w:p>
      <w:pPr>
        <w:pStyle w:val="BodyText"/>
        <w:spacing w:line="273" w:lineRule="auto" w:before="37"/>
        <w:ind w:right="219" w:firstLine="420"/>
      </w:pPr>
      <w:r>
        <w:rPr/>
        <w:t>在申请重大疾病保险金、原位癌保险金时，由相应保险金的受益人作为申请人填写保险金给付申请书， 并提供下列证明和资料：</w:t>
      </w:r>
    </w:p>
    <w:p>
      <w:pPr>
        <w:pStyle w:val="ListParagraph"/>
        <w:numPr>
          <w:ilvl w:val="0"/>
          <w:numId w:val="7"/>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所能提供的与确认保险事故的性质、原因等有关的其他证明和资料。三、豁免保险费的申请</w:t>
      </w:r>
    </w:p>
    <w:p>
      <w:pPr>
        <w:pStyle w:val="BodyText"/>
        <w:spacing w:before="22"/>
        <w:ind w:left="540"/>
      </w:pPr>
      <w:r>
        <w:rPr/>
        <w:t>在申请豁免保险费时，由您或被保险人作为申请人填写豁免保险费申请书，并提供下列证明和资料：</w:t>
      </w:r>
    </w:p>
    <w:p>
      <w:pPr>
        <w:pStyle w:val="ListParagraph"/>
        <w:numPr>
          <w:ilvl w:val="0"/>
          <w:numId w:val="9"/>
        </w:numPr>
        <w:tabs>
          <w:tab w:pos="803" w:val="left" w:leader="none"/>
        </w:tabs>
        <w:spacing w:line="240" w:lineRule="auto" w:before="36" w:after="0"/>
        <w:ind w:left="117" w:right="0" w:firstLine="421"/>
        <w:jc w:val="left"/>
        <w:rPr>
          <w:sz w:val="21"/>
        </w:rPr>
      </w:pPr>
      <w:r>
        <w:rPr>
          <w:spacing w:val="-3"/>
          <w:sz w:val="21"/>
        </w:rPr>
        <w:t>保险合同；</w:t>
      </w:r>
    </w:p>
    <w:p>
      <w:pPr>
        <w:pStyle w:val="ListParagraph"/>
        <w:numPr>
          <w:ilvl w:val="0"/>
          <w:numId w:val="9"/>
        </w:numPr>
        <w:tabs>
          <w:tab w:pos="803" w:val="left" w:leader="none"/>
        </w:tabs>
        <w:spacing w:line="240" w:lineRule="auto" w:before="20" w:after="0"/>
        <w:ind w:left="117" w:right="0" w:firstLine="421"/>
        <w:jc w:val="left"/>
        <w:rPr>
          <w:sz w:val="21"/>
        </w:rPr>
      </w:pPr>
      <w:r>
        <w:rPr>
          <w:spacing w:val="-3"/>
          <w:sz w:val="21"/>
        </w:rPr>
        <w:t>申请人的有效身份证件；</w:t>
      </w:r>
    </w:p>
    <w:p>
      <w:pPr>
        <w:pStyle w:val="ListParagraph"/>
        <w:numPr>
          <w:ilvl w:val="0"/>
          <w:numId w:val="9"/>
        </w:numPr>
        <w:tabs>
          <w:tab w:pos="803" w:val="left" w:leader="none"/>
        </w:tabs>
        <w:spacing w:line="256" w:lineRule="auto" w:before="20" w:after="0"/>
        <w:ind w:left="117" w:right="217" w:firstLine="421"/>
        <w:jc w:val="left"/>
        <w:rPr>
          <w:sz w:val="21"/>
        </w:rPr>
      </w:pPr>
      <w:r>
        <w:rPr>
          <w:spacing w:val="-5"/>
          <w:sz w:val="21"/>
        </w:rPr>
        <w:t>医院出具的附有被保险人病理、血液及其他科学方法检验报告等诊断证明文件</w:t>
      </w:r>
      <w:r>
        <w:rPr>
          <w:sz w:val="21"/>
        </w:rPr>
        <w:t>（</w:t>
      </w:r>
      <w:r>
        <w:rPr>
          <w:spacing w:val="-3"/>
          <w:sz w:val="21"/>
        </w:rPr>
        <w:t>申请被保险人确诊原位癌豁免保险费时需要提供</w:t>
      </w:r>
      <w:r>
        <w:rPr>
          <w:sz w:val="21"/>
        </w:rPr>
        <w:t>）；</w:t>
      </w:r>
    </w:p>
    <w:p>
      <w:pPr>
        <w:pStyle w:val="ListParagraph"/>
        <w:numPr>
          <w:ilvl w:val="0"/>
          <w:numId w:val="9"/>
        </w:numPr>
        <w:tabs>
          <w:tab w:pos="803" w:val="left" w:leader="none"/>
        </w:tabs>
        <w:spacing w:line="266" w:lineRule="auto" w:before="22" w:after="0"/>
        <w:ind w:left="117" w:right="217" w:firstLine="421"/>
        <w:jc w:val="both"/>
        <w:rPr>
          <w:sz w:val="21"/>
        </w:rPr>
      </w:pPr>
      <w:r>
        <w:rPr>
          <w:spacing w:val="-4"/>
          <w:sz w:val="21"/>
        </w:rPr>
        <w:t>本合同投保人的有效身份证件、由双方认可的医疗机构或有资质的鉴定机构出具的本合同投保人伤残</w:t>
      </w:r>
      <w:r>
        <w:rPr>
          <w:spacing w:val="-2"/>
          <w:sz w:val="21"/>
        </w:rPr>
        <w:t>程度的资料或身体伤残程度评定书</w:t>
      </w:r>
      <w:r>
        <w:rPr>
          <w:sz w:val="21"/>
        </w:rPr>
        <w:t>（</w:t>
      </w:r>
      <w:r>
        <w:rPr>
          <w:spacing w:val="-3"/>
          <w:sz w:val="21"/>
        </w:rPr>
        <w:t>申请投保人意外全残豁免保险费时需要提供</w:t>
      </w:r>
      <w:r>
        <w:rPr>
          <w:sz w:val="21"/>
        </w:rPr>
        <w:t>）；</w:t>
      </w:r>
      <w:r>
        <w:rPr>
          <w:spacing w:val="-2"/>
          <w:sz w:val="21"/>
        </w:rPr>
        <w:t>国务院卫生行政部门规</w:t>
      </w:r>
      <w:r>
        <w:rPr>
          <w:spacing w:val="-3"/>
          <w:sz w:val="21"/>
        </w:rPr>
        <w:t>定的医疗机构、公安机关或其他相关机构出具的本合同投保人的死亡证明（</w:t>
      </w:r>
      <w:r>
        <w:rPr>
          <w:spacing w:val="-2"/>
          <w:sz w:val="21"/>
        </w:rPr>
        <w:t>申请投保人意外身故豁免保险费</w:t>
      </w:r>
      <w:r>
        <w:rPr>
          <w:spacing w:val="-3"/>
          <w:sz w:val="21"/>
        </w:rPr>
        <w:t>时需要提供</w:t>
      </w:r>
      <w:r>
        <w:rPr>
          <w:sz w:val="21"/>
        </w:rPr>
        <w:t>）；</w:t>
      </w:r>
    </w:p>
    <w:p>
      <w:pPr>
        <w:pStyle w:val="ListParagraph"/>
        <w:numPr>
          <w:ilvl w:val="0"/>
          <w:numId w:val="9"/>
        </w:numPr>
        <w:tabs>
          <w:tab w:pos="803" w:val="left" w:leader="none"/>
        </w:tabs>
        <w:spacing w:line="240" w:lineRule="auto" w:before="14"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before="21"/>
        <w:ind w:right="218" w:firstLine="420"/>
        <w:jc w:val="both"/>
      </w:pPr>
      <w:r>
        <w:rPr/>
        <w:t>对于因投保人意外全残申请豁免保险费的，保险费的豁免生效后，我们有权要求投保人提供投保人持续全残证明，或到双方认可的医疗机构或有资质的鉴定机构接受体检，检查费由我们承担。如果投保人不能提供持续全残证明且未能按我们的要求进行体检，以证实其持续全残的，我们有权停止豁免保险费。</w:t>
      </w:r>
    </w:p>
    <w:p>
      <w:pPr>
        <w:pStyle w:val="BodyText"/>
        <w:spacing w:before="5"/>
        <w:ind w:left="0"/>
        <w:rPr>
          <w:sz w:val="24"/>
        </w:rPr>
      </w:pPr>
    </w:p>
    <w:p>
      <w:pPr>
        <w:pStyle w:val="BodyText"/>
        <w:ind w:left="538"/>
      </w:pPr>
      <w:r>
        <w:rPr/>
        <w:t>如果委托他人代为申请，除上述证明和资料外，还须提供相关保险金受益人的授权委托书、受托人有效</w:t>
      </w:r>
    </w:p>
    <w:p>
      <w:pPr>
        <w:pStyle w:val="BodyText"/>
        <w:ind w:left="0"/>
        <w:rPr>
          <w:sz w:val="20"/>
        </w:rPr>
      </w:pPr>
    </w:p>
    <w:p>
      <w:pPr>
        <w:pStyle w:val="BodyText"/>
        <w:spacing w:before="7"/>
        <w:ind w:left="0"/>
        <w:rPr>
          <w:sz w:val="11"/>
        </w:rPr>
      </w:pPr>
      <w:r>
        <w:rPr/>
        <w:pict>
          <v:line style="position:absolute;mso-position-horizontal-relative:page;mso-position-vertical-relative:paragraph;z-index:1168;mso-wrap-distance-left:0;mso-wrap-distance-right:0" from="53.880001pt,9.759735pt" to="197.930001pt,9.759735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23</w:t>
      </w:r>
      <w:r>
        <w:rPr>
          <w:rFonts w:ascii="Microsoft JhengHei" w:eastAsia="Microsoft JhengHei" w:hint="eastAsia"/>
          <w:b/>
        </w:rPr>
        <w:t>有效身份证件：</w:t>
      </w:r>
      <w:r>
        <w:rPr/>
        <w:t>指由政府主管部门规定的证明其身份的证件，如居民身份证、军官证、警官证、士兵证等</w:t>
      </w:r>
    </w:p>
    <w:p>
      <w:pPr>
        <w:pStyle w:val="BodyText"/>
        <w:spacing w:line="261" w:lineRule="exact"/>
      </w:pPr>
      <w:r>
        <w:rPr/>
        <w:t>证件。</w:t>
      </w:r>
    </w:p>
    <w:p>
      <w:pPr>
        <w:spacing w:after="0" w:line="261" w:lineRule="exact"/>
        <w:sectPr>
          <w:pgSz w:w="11910" w:h="16160"/>
          <w:pgMar w:header="0" w:footer="631" w:top="1360" w:bottom="880" w:left="960" w:right="700"/>
        </w:sectPr>
      </w:pPr>
    </w:p>
    <w:p>
      <w:pPr>
        <w:pStyle w:val="BodyText"/>
        <w:spacing w:line="273" w:lineRule="auto" w:before="7"/>
        <w:ind w:right="157"/>
        <w:jc w:val="both"/>
      </w:pPr>
      <w:r>
        <w:rPr/>
        <w:t>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2"/>
        <w:ind w:right="15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6"/>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7"/>
        <w:ind w:right="15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8"/>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日内，向我们退还已领取的身故保险金。退还保险金后，本合同的效力由您和我们协商处理。</w:t>
      </w:r>
    </w:p>
    <w:p>
      <w:pPr>
        <w:pStyle w:val="BodyText"/>
        <w:spacing w:before="7"/>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6"/>
        <w:ind w:right="99" w:firstLine="420"/>
        <w:jc w:val="both"/>
      </w:pPr>
      <w:r>
        <w:rPr>
          <w:spacing w:val="-3"/>
        </w:rPr>
        <w:t>在本合同犹豫期之后，如果本合同具有现金价值，经被保险人书面同意，您可以向我们申请保单贷款。保单贷款的最高金额不超过本合同当时所具有的</w:t>
      </w:r>
      <w:r>
        <w:rPr>
          <w:b/>
          <w:spacing w:val="-1"/>
        </w:rPr>
        <w:t>现金价值净额</w:t>
      </w:r>
      <w:r>
        <w:rPr>
          <w:rFonts w:ascii="Times New Roman" w:eastAsia="Times New Roman"/>
          <w:b/>
          <w:vertAlign w:val="superscript"/>
        </w:rPr>
        <w:t>24</w:t>
      </w:r>
      <w:r>
        <w:rPr>
          <w:rFonts w:ascii="Times New Roman" w:eastAsia="Times New Roman"/>
          <w:b/>
          <w:vertAlign w:val="baseline"/>
        </w:rPr>
      </w:r>
      <w:r>
        <w:rPr>
          <w:spacing w:val="-21"/>
          <w:vertAlign w:val="baseline"/>
        </w:rPr>
        <w:t>的 </w:t>
      </w:r>
      <w:r>
        <w:rPr>
          <w:rFonts w:ascii="Times New Roman" w:eastAsia="Times New Roman"/>
          <w:vertAlign w:val="baseline"/>
        </w:rPr>
        <w:t>90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7"/>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1"/>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7"/>
        <w:ind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7"/>
        <w:ind w:right="15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before="7"/>
        <w:ind w:left="0"/>
        <w:rPr>
          <w:sz w:val="29"/>
        </w:rPr>
      </w:pPr>
      <w:r>
        <w:rPr/>
        <w:pict>
          <v:line style="position:absolute;mso-position-horizontal-relative:page;mso-position-vertical-relative:paragraph;z-index:1192;mso-wrap-distance-left:0;mso-wrap-distance-right:0" from="53.880001pt,21.52528pt" to="197.930001pt,21.52528pt" stroked="true" strokeweight=".47998pt" strokecolor="#000000">
            <v:stroke dashstyle="solid"/>
            <w10:wrap type="topAndBottom"/>
          </v:line>
        </w:pict>
      </w:r>
    </w:p>
    <w:p>
      <w:pPr>
        <w:pStyle w:val="BodyText"/>
        <w:spacing w:line="355" w:lineRule="exact"/>
      </w:pPr>
      <w:r>
        <w:rPr>
          <w:rFonts w:ascii="Times New Roman" w:eastAsia="Times New Roman"/>
          <w:position w:val="10"/>
          <w:sz w:val="14"/>
        </w:rPr>
        <w:t>24</w:t>
      </w:r>
      <w:r>
        <w:rPr>
          <w:rFonts w:ascii="Microsoft JhengHei" w:eastAsia="Microsoft JhengHei" w:hint="eastAsia"/>
          <w:b/>
        </w:rPr>
        <w:t>现金价值净额：</w:t>
      </w:r>
      <w:r>
        <w:rPr/>
        <w:t>指现金价值在扣除尚未偿还的保单贷款、欠交的保险费、累积利息和其他未还款项后的余</w:t>
      </w:r>
    </w:p>
    <w:p>
      <w:pPr>
        <w:pStyle w:val="BodyText"/>
        <w:spacing w:line="249" w:lineRule="exact" w:before="13"/>
      </w:pPr>
      <w:r>
        <w:rPr/>
        <w:t>额。</w:t>
      </w:r>
    </w:p>
    <w:p>
      <w:pPr>
        <w:pStyle w:val="BodyText"/>
        <w:spacing w:line="326" w:lineRule="exact"/>
      </w:pPr>
      <w:r>
        <w:rPr>
          <w:rFonts w:ascii="Times New Roman" w:eastAsia="Times New Roman"/>
          <w:position w:val="10"/>
          <w:sz w:val="14"/>
        </w:rPr>
        <w:t>25</w:t>
      </w:r>
      <w:r>
        <w:rPr>
          <w:rFonts w:ascii="Microsoft JhengHei" w:eastAsia="Microsoft JhengHei" w:hint="eastAsia"/>
          <w:b/>
        </w:rPr>
        <w:t>累积利息：</w:t>
      </w:r>
      <w:r>
        <w:rPr/>
        <w:t>指根据我们确定的保单贷款利率计算的金额。如果本合同有欠交的保险费或保单贷款，我们将</w:t>
      </w:r>
    </w:p>
    <w:p>
      <w:pPr>
        <w:pStyle w:val="BodyText"/>
        <w:spacing w:line="261" w:lineRule="exact"/>
      </w:pPr>
      <w:r>
        <w:rPr/>
        <w:t>每半年复利计息一次。</w:t>
      </w:r>
    </w:p>
    <w:p>
      <w:pPr>
        <w:spacing w:after="0" w:line="261" w:lineRule="exact"/>
        <w:sectPr>
          <w:pgSz w:w="11910" w:h="16160"/>
          <w:pgMar w:header="0" w:footer="631" w:top="1360" w:bottom="880" w:left="960" w:right="760"/>
        </w:sectPr>
      </w:pPr>
    </w:p>
    <w:p>
      <w:pPr>
        <w:pStyle w:val="BodyText"/>
        <w:spacing w:line="273" w:lineRule="auto" w:before="7"/>
        <w:ind w:right="12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合同内容的变更权</w:t>
      </w:r>
    </w:p>
    <w:p>
      <w:pPr>
        <w:pStyle w:val="BodyText"/>
        <w:spacing w:line="273" w:lineRule="auto" w:before="36"/>
        <w:ind w:right="1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4" w:id="25"/>
      <w:bookmarkEnd w:id="25"/>
      <w:r>
        <w:rPr>
          <w:b w:val="0"/>
        </w:rPr>
      </w:r>
      <w:r>
        <w:rPr/>
        <w:t>第二十条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9" w:lineRule="auto" w:before="37"/>
        <w:ind w:left="117" w:right="114"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关如实告知义务的具体内容及相应责任，参见本合同第二十三条</w:t>
      </w:r>
      <w:r>
        <w:rPr>
          <w:spacing w:val="-108"/>
          <w:sz w:val="21"/>
        </w:rPr>
        <w:t>）。</w:t>
      </w:r>
    </w:p>
    <w:p>
      <w:pPr>
        <w:pStyle w:val="BodyText"/>
        <w:spacing w:line="273" w:lineRule="auto" w:before="20"/>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1"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tabs>
          <w:tab w:pos="1394" w:val="left" w:leader="none"/>
        </w:tabs>
      </w:pPr>
      <w:bookmarkStart w:name="_bookmark25" w:id="26"/>
      <w:bookmarkEnd w:id="26"/>
      <w:r>
        <w:rPr>
          <w:b w:val="0"/>
        </w:rPr>
      </w:r>
      <w:r>
        <w:rPr/>
        <w:t>第二十一条</w:t>
        <w:tab/>
        <w:t>犹豫期</w:t>
      </w:r>
    </w:p>
    <w:p>
      <w:pPr>
        <w:pStyle w:val="BodyText"/>
        <w:spacing w:before="37"/>
        <w:ind w:left="538"/>
      </w:pPr>
      <w:r>
        <w:rPr/>
        <w:t>您在收到本合同并书面签收之日起可享有 </w:t>
      </w:r>
      <w:r>
        <w:rPr>
          <w:rFonts w:ascii="Times New Roman" w:eastAsia="Times New Roman"/>
        </w:rPr>
        <w:t>15 </w:t>
      </w:r>
      <w:r>
        <w:rPr/>
        <w:t>日的犹豫期，在犹豫期内要求解除本合同的，在我们收齐相</w:t>
      </w:r>
    </w:p>
    <w:p>
      <w:pPr>
        <w:pStyle w:val="BodyText"/>
        <w:spacing w:line="256" w:lineRule="auto" w:before="21"/>
        <w:ind w:right="114"/>
      </w:pPr>
      <w:r>
        <w:rPr>
          <w:spacing w:val="-8"/>
        </w:rPr>
        <w:t>关文件和资料的次日零时，本合同即被解除，我们自始不承担保险责任。我们在扣除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tabs>
          <w:tab w:pos="1394" w:val="left" w:leader="none"/>
        </w:tabs>
      </w:pPr>
      <w:bookmarkStart w:name="_bookmark26" w:id="27"/>
      <w:bookmarkEnd w:id="27"/>
      <w:r>
        <w:rPr>
          <w:b w:val="0"/>
        </w:rPr>
      </w:r>
      <w:r>
        <w:rPr/>
        <w:t>第二十二条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7" w:id="28"/>
      <w:bookmarkEnd w:id="28"/>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spacing w:before="1"/>
      </w:pPr>
      <w:bookmarkStart w:name="_bookmark28" w:id="29"/>
      <w:bookmarkEnd w:id="29"/>
      <w:r>
        <w:rPr>
          <w:b w:val="0"/>
        </w:rPr>
      </w:r>
      <w:r>
        <w:rPr/>
        <w:t>第二十三条</w:t>
        <w:tab/>
        <w:t>明确说明与如实告知</w:t>
      </w:r>
    </w:p>
    <w:p>
      <w:pPr>
        <w:pStyle w:val="BodyText"/>
        <w:spacing w:before="44"/>
        <w:ind w:left="538"/>
      </w:pPr>
      <w:r>
        <w:rPr/>
        <w:t>订立本合同时，我们应向您说明本合同的内容。</w:t>
      </w:r>
    </w:p>
    <w:p>
      <w:pPr>
        <w:pStyle w:val="BodyText"/>
        <w:spacing w:line="261" w:lineRule="auto" w:before="24"/>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538"/>
      </w:pPr>
      <w:r>
        <w:rPr/>
        <w:t>我们就您和被保险人的有关情况提出询问，您应当如实告知。</w:t>
      </w:r>
    </w:p>
    <w:p>
      <w:pPr>
        <w:spacing w:line="261" w:lineRule="auto" w:before="24"/>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5"/>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after="0" w:line="261" w:lineRule="auto"/>
        <w:jc w:val="left"/>
        <w:rPr>
          <w:sz w:val="21"/>
        </w:rPr>
        <w:sectPr>
          <w:pgSz w:w="11910" w:h="16160"/>
          <w:pgMar w:header="0" w:footer="631" w:top="1360" w:bottom="900" w:left="960" w:right="800"/>
        </w:sectPr>
      </w:pPr>
    </w:p>
    <w:p>
      <w:pPr>
        <w:spacing w:line="261" w:lineRule="auto" w:before="14"/>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7"/>
        <w:ind w:left="0"/>
        <w:rPr>
          <w:sz w:val="24"/>
        </w:rPr>
      </w:pPr>
    </w:p>
    <w:p>
      <w:pPr>
        <w:pStyle w:val="Heading2"/>
        <w:tabs>
          <w:tab w:pos="1394" w:val="left" w:leader="none"/>
        </w:tabs>
      </w:pPr>
      <w:bookmarkStart w:name="_bookmark29" w:id="30"/>
      <w:bookmarkEnd w:id="30"/>
      <w:r>
        <w:rPr>
          <w:b w:val="0"/>
        </w:rPr>
      </w:r>
      <w:r>
        <w:rPr/>
        <w:t>第二十四条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94" w:val="left" w:leader="none"/>
        </w:tabs>
      </w:pPr>
      <w:bookmarkStart w:name="_bookmark30" w:id="31"/>
      <w:bookmarkEnd w:id="31"/>
      <w:r>
        <w:rPr>
          <w:b w:val="0"/>
        </w:rPr>
      </w:r>
      <w:r>
        <w:rPr/>
        <w:t>第二十五条</w:t>
        <w:tab/>
        <w:t>年龄错误</w:t>
      </w:r>
    </w:p>
    <w:p>
      <w:pPr>
        <w:pStyle w:val="BodyText"/>
        <w:spacing w:line="273" w:lineRule="auto" w:before="36"/>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1" w:id="32"/>
      <w:bookmarkEnd w:id="32"/>
      <w:r>
        <w:rPr>
          <w:b w:val="0"/>
        </w:rPr>
      </w:r>
      <w:r>
        <w:rPr/>
        <w:t>第二十六条</w:t>
        <w:tab/>
        <w:t>性别错误</w:t>
      </w:r>
    </w:p>
    <w:p>
      <w:pPr>
        <w:pStyle w:val="BodyText"/>
        <w:spacing w:line="273" w:lineRule="auto" w:before="36"/>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pStyle w:val="BodyText"/>
        <w:spacing w:before="4"/>
        <w:ind w:left="0"/>
        <w:rPr>
          <w:sz w:val="24"/>
        </w:rPr>
      </w:pPr>
    </w:p>
    <w:p>
      <w:pPr>
        <w:pStyle w:val="Heading2"/>
        <w:tabs>
          <w:tab w:pos="1394" w:val="left" w:leader="none"/>
        </w:tabs>
        <w:spacing w:before="1"/>
      </w:pPr>
      <w:bookmarkStart w:name="_bookmark32" w:id="33"/>
      <w:bookmarkEnd w:id="33"/>
      <w:r>
        <w:rPr>
          <w:b w:val="0"/>
        </w:rPr>
      </w:r>
      <w:r>
        <w:rPr/>
        <w:t>第二十七条</w:t>
        <w:tab/>
        <w:t>未还款项</w:t>
      </w:r>
    </w:p>
    <w:p>
      <w:pPr>
        <w:pStyle w:val="BodyText"/>
        <w:spacing w:line="273" w:lineRule="auto" w:before="37"/>
        <w:ind w:right="1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6"/>
        <w:ind w:left="0"/>
        <w:rPr>
          <w:sz w:val="24"/>
        </w:rPr>
      </w:pPr>
    </w:p>
    <w:p>
      <w:pPr>
        <w:pStyle w:val="Heading2"/>
        <w:tabs>
          <w:tab w:pos="1394" w:val="left" w:leader="none"/>
        </w:tabs>
      </w:pPr>
      <w:bookmarkStart w:name="_bookmark33" w:id="34"/>
      <w:bookmarkEnd w:id="34"/>
      <w:r>
        <w:rPr>
          <w:b w:val="0"/>
        </w:rPr>
      </w:r>
      <w:r>
        <w:rPr/>
        <w:t>第二十八条</w:t>
        <w:tab/>
        <w:t>保险合同的终止</w:t>
      </w:r>
    </w:p>
    <w:p>
      <w:pPr>
        <w:pStyle w:val="BodyText"/>
        <w:spacing w:line="273" w:lineRule="auto" w:before="37"/>
        <w:ind w:left="538" w:right="3720"/>
      </w:pPr>
      <w:r>
        <w:rPr/>
        <w:t>除本合同另有约定外，本合同在发生下列情况之一时自动终止： 一、我们已按本合同的约定给付重大疾病保险金；</w:t>
      </w:r>
    </w:p>
    <w:p>
      <w:pPr>
        <w:pStyle w:val="BodyText"/>
        <w:spacing w:line="273" w:lineRule="auto" w:before="7"/>
        <w:ind w:left="538" w:right="5400"/>
      </w:pPr>
      <w:r>
        <w:rPr/>
        <w:t>二、我们已按本合同的约定给付身故保险金； 三、本合同内约定的其他终止情况。</w:t>
      </w:r>
    </w:p>
    <w:p>
      <w:pPr>
        <w:pStyle w:val="BodyText"/>
        <w:spacing w:before="5"/>
        <w:ind w:left="0"/>
        <w:rPr>
          <w:sz w:val="24"/>
        </w:rPr>
      </w:pPr>
    </w:p>
    <w:p>
      <w:pPr>
        <w:pStyle w:val="Heading2"/>
        <w:tabs>
          <w:tab w:pos="1394" w:val="left" w:leader="none"/>
        </w:tabs>
      </w:pPr>
      <w:bookmarkStart w:name="_bookmark34" w:id="35"/>
      <w:bookmarkEnd w:id="35"/>
      <w:r>
        <w:rPr>
          <w:b w:val="0"/>
        </w:rPr>
      </w:r>
      <w:r>
        <w:rPr/>
        <w:t>第二十九条</w:t>
        <w:tab/>
        <w:t>联系方式的变更</w:t>
      </w:r>
    </w:p>
    <w:p>
      <w:pPr>
        <w:pStyle w:val="BodyText"/>
        <w:spacing w:line="273" w:lineRule="auto" w:before="37"/>
        <w:ind w:right="148" w:firstLine="420"/>
        <w:jc w:val="both"/>
      </w:pPr>
      <w:r>
        <w:rPr/>
        <w:t>为了保障您的权益，如果您的联系方式（如联系地址、联系电话、电子邮箱等）发生变化，请及时通知我们。否则，我们将按已知的最后联系方式与您联系。</w:t>
      </w:r>
    </w:p>
    <w:p>
      <w:pPr>
        <w:spacing w:after="0" w:line="273" w:lineRule="auto"/>
        <w:jc w:val="both"/>
        <w:sectPr>
          <w:pgSz w:w="11910" w:h="16160"/>
          <w:pgMar w:header="0" w:footer="631" w:top="1360" w:bottom="900" w:left="960" w:right="800"/>
        </w:sectPr>
      </w:pPr>
    </w:p>
    <w:p>
      <w:pPr>
        <w:pStyle w:val="Heading2"/>
        <w:tabs>
          <w:tab w:pos="1450" w:val="left" w:leader="none"/>
        </w:tabs>
        <w:spacing w:before="7"/>
        <w:ind w:left="317"/>
      </w:pPr>
      <w:bookmarkStart w:name="_bookmark35" w:id="36"/>
      <w:bookmarkEnd w:id="36"/>
      <w:r>
        <w:rPr>
          <w:b w:val="0"/>
        </w:rPr>
      </w:r>
      <w:r>
        <w:rPr/>
        <w:t>第三十条</w:t>
        <w:tab/>
        <w:t>争议处理</w:t>
      </w:r>
    </w:p>
    <w:p>
      <w:pPr>
        <w:pStyle w:val="BodyText"/>
        <w:spacing w:before="44"/>
        <w:ind w:left="738"/>
      </w:pPr>
      <w:r>
        <w:rPr/>
        <w:t>在合同履行过程中，双方发生争议时，可以从下列两种方式中选择一种争议处理方式：</w:t>
      </w:r>
    </w:p>
    <w:p>
      <w:pPr>
        <w:pStyle w:val="BodyText"/>
        <w:spacing w:line="261" w:lineRule="auto" w:before="25"/>
        <w:ind w:left="738" w:right="57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3"/>
        <w:ind w:left="0"/>
        <w:rPr>
          <w:sz w:val="24"/>
        </w:rPr>
      </w:pPr>
    </w:p>
    <w:p>
      <w:pPr>
        <w:pStyle w:val="Heading2"/>
        <w:tabs>
          <w:tab w:pos="1594" w:val="left" w:leader="none"/>
        </w:tabs>
        <w:ind w:left="317"/>
      </w:pPr>
      <w:bookmarkStart w:name="_bookmark36" w:id="37"/>
      <w:bookmarkEnd w:id="37"/>
      <w:r>
        <w:rPr>
          <w:b w:val="0"/>
        </w:rPr>
      </w:r>
      <w:r>
        <w:rPr/>
        <w:t>第三十一条</w:t>
        <w:tab/>
        <w:t>重大疾病的种类及</w:t>
      </w:r>
      <w:r>
        <w:rPr>
          <w:spacing w:val="-3"/>
        </w:rPr>
        <w:t>定</w:t>
      </w:r>
      <w:r>
        <w:rPr/>
        <w:t>义</w:t>
      </w:r>
    </w:p>
    <w:p>
      <w:pPr>
        <w:pStyle w:val="BodyText"/>
        <w:spacing w:line="256" w:lineRule="auto" w:before="36"/>
        <w:ind w:left="317" w:right="338"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32" w:firstLine="420"/>
      </w:pPr>
      <w:r>
        <w:rPr>
          <w:spacing w:val="-7"/>
        </w:rPr>
        <w:t>本合同所保障的重大疾病共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104"/>
        <w:gridCol w:w="7761"/>
      </w:tblGrid>
      <w:tr>
        <w:trPr>
          <w:trHeight w:val="3707" w:hRule="atLeast"/>
        </w:trPr>
        <w:tc>
          <w:tcPr>
            <w:tcW w:w="465" w:type="dxa"/>
          </w:tcPr>
          <w:p>
            <w:pPr>
              <w:pStyle w:val="TableParagraph"/>
              <w:spacing w:line="234" w:lineRule="exact"/>
              <w:ind w:left="180" w:right="87"/>
              <w:jc w:val="center"/>
              <w:rPr>
                <w:rFonts w:ascii="Times New Roman"/>
                <w:sz w:val="21"/>
              </w:rPr>
            </w:pPr>
            <w:r>
              <w:rPr>
                <w:rFonts w:ascii="Times New Roman"/>
                <w:sz w:val="21"/>
              </w:rPr>
              <w:t>1.</w:t>
            </w:r>
          </w:p>
        </w:tc>
        <w:tc>
          <w:tcPr>
            <w:tcW w:w="2104" w:type="dxa"/>
          </w:tcPr>
          <w:p>
            <w:pPr>
              <w:pStyle w:val="TableParagraph"/>
              <w:spacing w:line="220" w:lineRule="exact"/>
              <w:ind w:left="107"/>
              <w:rPr>
                <w:sz w:val="21"/>
              </w:rPr>
            </w:pPr>
            <w:r>
              <w:rPr>
                <w:sz w:val="21"/>
              </w:rPr>
              <w:t>恶性肿瘤</w:t>
            </w:r>
          </w:p>
        </w:tc>
        <w:tc>
          <w:tcPr>
            <w:tcW w:w="7761" w:type="dxa"/>
          </w:tcPr>
          <w:p>
            <w:pPr>
              <w:pStyle w:val="TableParagraph"/>
              <w:spacing w:line="220" w:lineRule="exact"/>
              <w:ind w:left="735"/>
              <w:rPr>
                <w:sz w:val="21"/>
              </w:rPr>
            </w:pPr>
            <w:r>
              <w:rPr>
                <w:sz w:val="21"/>
              </w:rPr>
              <w:t>指恶性细胞不受控制的进行性增长和扩散，浸润和破坏周围正常组织，可</w:t>
            </w:r>
          </w:p>
          <w:p>
            <w:pPr>
              <w:pStyle w:val="TableParagraph"/>
              <w:spacing w:line="273" w:lineRule="auto" w:before="37"/>
              <w:ind w:left="735" w:right="202"/>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735"/>
              <w:jc w:val="both"/>
              <w:rPr>
                <w:b/>
                <w:sz w:val="21"/>
              </w:rPr>
            </w:pPr>
            <w:r>
              <w:rPr>
                <w:b/>
                <w:sz w:val="21"/>
              </w:rPr>
              <w:t>下列疾病不在保障范围内：</w:t>
            </w:r>
          </w:p>
          <w:p>
            <w:pPr>
              <w:pStyle w:val="TableParagraph"/>
              <w:spacing w:before="38"/>
              <w:ind w:left="73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3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3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3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35" w:right="200"/>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3"/>
              <w:ind w:left="735"/>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65" w:type="dxa"/>
          </w:tcPr>
          <w:p>
            <w:pPr>
              <w:pStyle w:val="TableParagraph"/>
              <w:spacing w:before="30"/>
              <w:ind w:left="180" w:right="87"/>
              <w:jc w:val="center"/>
              <w:rPr>
                <w:rFonts w:ascii="Times New Roman"/>
                <w:sz w:val="21"/>
              </w:rPr>
            </w:pPr>
            <w:r>
              <w:rPr>
                <w:rFonts w:ascii="Times New Roman"/>
                <w:sz w:val="21"/>
              </w:rPr>
              <w:t>2.</w:t>
            </w:r>
          </w:p>
        </w:tc>
        <w:tc>
          <w:tcPr>
            <w:tcW w:w="2104" w:type="dxa"/>
          </w:tcPr>
          <w:p>
            <w:pPr>
              <w:pStyle w:val="TableParagraph"/>
              <w:spacing w:line="258" w:lineRule="exact"/>
              <w:ind w:left="107"/>
              <w:rPr>
                <w:sz w:val="21"/>
              </w:rPr>
            </w:pPr>
            <w:r>
              <w:rPr>
                <w:sz w:val="21"/>
              </w:rPr>
              <w:t>急性心肌梗塞</w:t>
            </w:r>
          </w:p>
        </w:tc>
        <w:tc>
          <w:tcPr>
            <w:tcW w:w="7761" w:type="dxa"/>
          </w:tcPr>
          <w:p>
            <w:pPr>
              <w:pStyle w:val="TableParagraph"/>
              <w:spacing w:line="258" w:lineRule="exact"/>
              <w:ind w:left="735"/>
              <w:rPr>
                <w:sz w:val="21"/>
              </w:rPr>
            </w:pPr>
            <w:r>
              <w:rPr>
                <w:sz w:val="21"/>
              </w:rPr>
              <w:t>指因冠状动脉阻塞导致的相应区域供血不足造成部分心肌坏死。须满足下</w:t>
            </w:r>
          </w:p>
          <w:p>
            <w:pPr>
              <w:pStyle w:val="TableParagraph"/>
              <w:spacing w:before="37"/>
              <w:ind w:left="735"/>
              <w:rPr>
                <w:sz w:val="21"/>
              </w:rPr>
            </w:pPr>
            <w:r>
              <w:rPr>
                <w:sz w:val="21"/>
              </w:rPr>
              <w:t>列至少三项条件：</w:t>
            </w:r>
          </w:p>
          <w:p>
            <w:pPr>
              <w:pStyle w:val="TableParagraph"/>
              <w:spacing w:before="37"/>
              <w:ind w:left="735"/>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35"/>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35"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3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35"/>
              <w:rPr>
                <w:sz w:val="21"/>
              </w:rPr>
            </w:pPr>
            <w:r>
              <w:rPr>
                <w:rFonts w:ascii="Times New Roman" w:eastAsia="Times New Roman"/>
                <w:sz w:val="21"/>
              </w:rPr>
              <w:t>50%</w:t>
            </w:r>
            <w:r>
              <w:rPr>
                <w:sz w:val="21"/>
              </w:rPr>
              <w:t>。</w:t>
            </w:r>
          </w:p>
        </w:tc>
      </w:tr>
      <w:tr>
        <w:trPr>
          <w:trHeight w:val="1522" w:hRule="atLeast"/>
        </w:trPr>
        <w:tc>
          <w:tcPr>
            <w:tcW w:w="465" w:type="dxa"/>
          </w:tcPr>
          <w:p>
            <w:pPr>
              <w:pStyle w:val="TableParagraph"/>
              <w:spacing w:before="30"/>
              <w:ind w:left="180" w:right="87"/>
              <w:jc w:val="center"/>
              <w:rPr>
                <w:rFonts w:ascii="Times New Roman"/>
                <w:sz w:val="21"/>
              </w:rPr>
            </w:pPr>
            <w:r>
              <w:rPr>
                <w:rFonts w:ascii="Times New Roman"/>
                <w:sz w:val="21"/>
              </w:rPr>
              <w:t>3.</w:t>
            </w:r>
          </w:p>
        </w:tc>
        <w:tc>
          <w:tcPr>
            <w:tcW w:w="2104" w:type="dxa"/>
          </w:tcPr>
          <w:p>
            <w:pPr>
              <w:pStyle w:val="TableParagraph"/>
              <w:spacing w:line="258" w:lineRule="exact"/>
              <w:ind w:left="107"/>
              <w:rPr>
                <w:sz w:val="21"/>
              </w:rPr>
            </w:pPr>
            <w:r>
              <w:rPr>
                <w:sz w:val="21"/>
              </w:rPr>
              <w:t>脑中风后遗症</w:t>
            </w:r>
          </w:p>
        </w:tc>
        <w:tc>
          <w:tcPr>
            <w:tcW w:w="7761" w:type="dxa"/>
          </w:tcPr>
          <w:p>
            <w:pPr>
              <w:pStyle w:val="TableParagraph"/>
              <w:spacing w:line="258" w:lineRule="exact"/>
              <w:ind w:left="735"/>
              <w:rPr>
                <w:sz w:val="21"/>
              </w:rPr>
            </w:pPr>
            <w:r>
              <w:rPr>
                <w:sz w:val="21"/>
              </w:rPr>
              <w:t>指因脑血管的突发病变引起脑血管出血、栓塞或梗塞，并导致神经系统永</w:t>
            </w:r>
          </w:p>
          <w:p>
            <w:pPr>
              <w:pStyle w:val="TableParagraph"/>
              <w:spacing w:line="259" w:lineRule="auto" w:before="37"/>
              <w:ind w:left="735" w:right="196"/>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0"/>
              <w:ind w:left="735"/>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w:t>
            </w:r>
          </w:p>
          <w:p>
            <w:pPr>
              <w:pStyle w:val="TableParagraph"/>
              <w:spacing w:line="271" w:lineRule="exact" w:before="21"/>
              <w:ind w:left="735"/>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w:t>
            </w:r>
          </w:p>
        </w:tc>
      </w:tr>
    </w:tbl>
    <w:p>
      <w:pPr>
        <w:pStyle w:val="BodyText"/>
        <w:spacing w:before="6"/>
        <w:ind w:left="0"/>
        <w:rPr>
          <w:sz w:val="27"/>
        </w:rPr>
      </w:pPr>
      <w:r>
        <w:rPr/>
        <w:pict>
          <v:line style="position:absolute;mso-position-horizontal-relative:page;mso-position-vertical-relative:paragraph;z-index:1216;mso-wrap-distance-left:0;mso-wrap-distance-right:0" from="53.880001pt,20.199364pt" to="197.930001pt,20.199364pt" stroked="true" strokeweight=".47998pt" strokecolor="#000000">
            <v:stroke dashstyle="solid"/>
            <w10:wrap type="topAndBottom"/>
          </v:line>
        </w:pict>
      </w:r>
    </w:p>
    <w:p>
      <w:pPr>
        <w:pStyle w:val="BodyText"/>
        <w:spacing w:line="320" w:lineRule="exact"/>
        <w:ind w:left="317"/>
      </w:pPr>
      <w:r>
        <w:rPr>
          <w:rFonts w:ascii="Times New Roman" w:eastAsia="Times New Roman"/>
          <w:w w:val="99"/>
          <w:position w:val="10"/>
          <w:sz w:val="14"/>
        </w:rPr>
        <w:t>26</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317" w:right="33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line="284" w:lineRule="exact" w:before="0"/>
        <w:ind w:left="317" w:right="0" w:firstLine="0"/>
        <w:jc w:val="left"/>
        <w:rPr>
          <w:sz w:val="21"/>
        </w:rPr>
      </w:pPr>
      <w:r>
        <w:rPr>
          <w:rFonts w:ascii="Times New Roman" w:eastAsia="Times New Roman"/>
          <w:position w:val="10"/>
          <w:sz w:val="14"/>
        </w:rPr>
        <w:t>27</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28</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61" w:lineRule="exact"/>
        <w:ind w:left="317"/>
      </w:pPr>
      <w:r>
        <w:rPr/>
        <w:t>盖音和喉头音）中的任何三种、或声带全部切除，或因大脑语言中枢受伤害而患失语症。咀嚼吞咽能力完全</w:t>
      </w:r>
    </w:p>
    <w:p>
      <w:pPr>
        <w:spacing w:after="0" w:line="261" w:lineRule="exact"/>
        <w:sectPr>
          <w:pgSz w:w="11910" w:h="16160"/>
          <w:pgMar w:header="0" w:footer="631" w:top="136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7"/>
        <w:gridCol w:w="7214"/>
      </w:tblGrid>
      <w:tr>
        <w:trPr>
          <w:trHeight w:val="612" w:hRule="atLeast"/>
        </w:trPr>
        <w:tc>
          <w:tcPr>
            <w:tcW w:w="518" w:type="dxa"/>
          </w:tcPr>
          <w:p>
            <w:pPr>
              <w:pStyle w:val="TableParagraph"/>
              <w:rPr>
                <w:rFonts w:ascii="Times New Roman"/>
                <w:sz w:val="20"/>
              </w:rPr>
            </w:pPr>
          </w:p>
        </w:tc>
        <w:tc>
          <w:tcPr>
            <w:tcW w:w="2637" w:type="dxa"/>
          </w:tcPr>
          <w:p>
            <w:pPr>
              <w:pStyle w:val="TableParagraph"/>
              <w:rPr>
                <w:rFonts w:ascii="Times New Roman"/>
                <w:sz w:val="20"/>
              </w:rPr>
            </w:pPr>
          </w:p>
        </w:tc>
        <w:tc>
          <w:tcPr>
            <w:tcW w:w="7214" w:type="dxa"/>
          </w:tcPr>
          <w:p>
            <w:pPr>
              <w:pStyle w:val="TableParagraph"/>
              <w:spacing w:line="270" w:lineRule="exact"/>
              <w:ind w:left="149"/>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中的</w:t>
            </w:r>
          </w:p>
          <w:p>
            <w:pPr>
              <w:pStyle w:val="TableParagraph"/>
              <w:spacing w:before="21"/>
              <w:ind w:left="149"/>
              <w:rPr>
                <w:sz w:val="21"/>
              </w:rPr>
            </w:pPr>
            <w:r>
              <w:rPr>
                <w:sz w:val="21"/>
              </w:rPr>
              <w:t>三项或三项以上。</w:t>
            </w:r>
          </w:p>
        </w:tc>
      </w:tr>
      <w:tr>
        <w:trPr>
          <w:trHeight w:val="1560" w:hRule="atLeast"/>
        </w:trPr>
        <w:tc>
          <w:tcPr>
            <w:tcW w:w="518" w:type="dxa"/>
          </w:tcPr>
          <w:p>
            <w:pPr>
              <w:pStyle w:val="TableParagraph"/>
              <w:spacing w:before="38"/>
              <w:ind w:left="200"/>
              <w:rPr>
                <w:rFonts w:ascii="Times New Roman"/>
                <w:sz w:val="21"/>
              </w:rPr>
            </w:pPr>
            <w:r>
              <w:rPr>
                <w:rFonts w:ascii="Times New Roman"/>
                <w:sz w:val="21"/>
              </w:rPr>
              <w:t>4.</w:t>
            </w:r>
          </w:p>
        </w:tc>
        <w:tc>
          <w:tcPr>
            <w:tcW w:w="2637" w:type="dxa"/>
          </w:tcPr>
          <w:p>
            <w:pPr>
              <w:pStyle w:val="TableParagraph"/>
              <w:spacing w:line="273" w:lineRule="auto"/>
              <w:ind w:left="54" w:right="149"/>
              <w:rPr>
                <w:sz w:val="21"/>
              </w:rPr>
            </w:pPr>
            <w:r>
              <w:rPr>
                <w:sz w:val="21"/>
              </w:rPr>
              <w:t>重大器官移植术或造血干细胞移植术</w:t>
            </w:r>
          </w:p>
        </w:tc>
        <w:tc>
          <w:tcPr>
            <w:tcW w:w="7214" w:type="dxa"/>
          </w:tcPr>
          <w:p>
            <w:pPr>
              <w:pStyle w:val="TableParagraph"/>
              <w:spacing w:line="273" w:lineRule="auto"/>
              <w:ind w:left="149" w:right="241"/>
              <w:rPr>
                <w:sz w:val="21"/>
              </w:rPr>
            </w:pPr>
            <w:r>
              <w:rPr>
                <w:sz w:val="21"/>
              </w:rPr>
              <w:t>重大器官移植术，指因相应器官功能衰竭，已经实施了肾脏、肝脏、心脏或肺脏的异体移植手术。</w:t>
            </w:r>
          </w:p>
          <w:p>
            <w:pPr>
              <w:pStyle w:val="TableParagraph"/>
              <w:spacing w:line="312" w:lineRule="exact" w:before="12"/>
              <w:ind w:left="149" w:right="241"/>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518" w:type="dxa"/>
          </w:tcPr>
          <w:p>
            <w:pPr>
              <w:pStyle w:val="TableParagraph"/>
              <w:spacing w:before="38"/>
              <w:ind w:left="200"/>
              <w:rPr>
                <w:rFonts w:ascii="Times New Roman"/>
                <w:sz w:val="21"/>
              </w:rPr>
            </w:pPr>
            <w:r>
              <w:rPr>
                <w:rFonts w:ascii="Times New Roman"/>
                <w:sz w:val="21"/>
              </w:rPr>
              <w:t>5.</w:t>
            </w:r>
          </w:p>
        </w:tc>
        <w:tc>
          <w:tcPr>
            <w:tcW w:w="2637" w:type="dxa"/>
          </w:tcPr>
          <w:p>
            <w:pPr>
              <w:pStyle w:val="TableParagraph"/>
              <w:spacing w:line="273" w:lineRule="auto"/>
              <w:ind w:left="54" w:right="146"/>
              <w:rPr>
                <w:sz w:val="21"/>
              </w:rPr>
            </w:pPr>
            <w:r>
              <w:rPr>
                <w:spacing w:val="-15"/>
                <w:sz w:val="21"/>
              </w:rPr>
              <w:t>冠状动脉搭桥术</w:t>
            </w:r>
            <w:r>
              <w:rPr>
                <w:spacing w:val="-3"/>
                <w:sz w:val="21"/>
              </w:rPr>
              <w:t>（</w:t>
            </w:r>
            <w:r>
              <w:rPr>
                <w:spacing w:val="-2"/>
                <w:sz w:val="21"/>
              </w:rPr>
              <w:t>或称冠状</w:t>
            </w:r>
            <w:r>
              <w:rPr>
                <w:spacing w:val="-3"/>
                <w:sz w:val="21"/>
              </w:rPr>
              <w:t>动脉旁路移植术</w:t>
            </w:r>
            <w:r>
              <w:rPr>
                <w:sz w:val="21"/>
              </w:rPr>
              <w:t>）</w:t>
            </w:r>
          </w:p>
        </w:tc>
        <w:tc>
          <w:tcPr>
            <w:tcW w:w="7214" w:type="dxa"/>
          </w:tcPr>
          <w:p>
            <w:pPr>
              <w:pStyle w:val="TableParagraph"/>
              <w:spacing w:line="273" w:lineRule="auto"/>
              <w:ind w:left="149" w:right="241"/>
              <w:rPr>
                <w:sz w:val="21"/>
              </w:rPr>
            </w:pPr>
            <w:r>
              <w:rPr>
                <w:sz w:val="21"/>
              </w:rPr>
              <w:t>指为治疗严重的冠心病，实际实施了开胸进行的冠状动脉血管旁路移植的手术。</w:t>
            </w:r>
          </w:p>
          <w:p>
            <w:pPr>
              <w:pStyle w:val="TableParagraph"/>
              <w:spacing w:line="312" w:lineRule="exact" w:before="12"/>
              <w:ind w:left="149" w:right="241"/>
              <w:rPr>
                <w:b/>
                <w:sz w:val="21"/>
              </w:rPr>
            </w:pPr>
            <w:r>
              <w:rPr>
                <w:b/>
                <w:sz w:val="21"/>
              </w:rPr>
              <w:t>冠状动脉支架植入术、心导管球囊扩张术、激光射频技术及其他非开胸的介入手术、腔镜手术不在保障范围内。</w:t>
            </w:r>
          </w:p>
        </w:tc>
      </w:tr>
      <w:tr>
        <w:trPr>
          <w:trHeight w:val="632" w:hRule="atLeast"/>
        </w:trPr>
        <w:tc>
          <w:tcPr>
            <w:tcW w:w="518" w:type="dxa"/>
          </w:tcPr>
          <w:p>
            <w:pPr>
              <w:pStyle w:val="TableParagraph"/>
              <w:spacing w:before="38"/>
              <w:ind w:left="200"/>
              <w:rPr>
                <w:rFonts w:ascii="Times New Roman"/>
                <w:sz w:val="21"/>
              </w:rPr>
            </w:pPr>
            <w:r>
              <w:rPr>
                <w:rFonts w:ascii="Times New Roman"/>
                <w:sz w:val="21"/>
              </w:rPr>
              <w:t>6.</w:t>
            </w:r>
          </w:p>
        </w:tc>
        <w:tc>
          <w:tcPr>
            <w:tcW w:w="2637" w:type="dxa"/>
          </w:tcPr>
          <w:p>
            <w:pPr>
              <w:pStyle w:val="TableParagraph"/>
              <w:spacing w:line="273" w:lineRule="auto"/>
              <w:ind w:left="54" w:right="146"/>
              <w:rPr>
                <w:sz w:val="21"/>
              </w:rPr>
            </w:pPr>
            <w:r>
              <w:rPr>
                <w:spacing w:val="-20"/>
                <w:sz w:val="21"/>
              </w:rPr>
              <w:t>终末期肾病</w:t>
            </w:r>
            <w:r>
              <w:rPr>
                <w:spacing w:val="-3"/>
                <w:sz w:val="21"/>
              </w:rPr>
              <w:t>（或称慢性肾功能衰竭尿毒症期</w:t>
            </w:r>
            <w:r>
              <w:rPr>
                <w:sz w:val="21"/>
              </w:rPr>
              <w:t>）</w:t>
            </w:r>
          </w:p>
        </w:tc>
        <w:tc>
          <w:tcPr>
            <w:tcW w:w="7214" w:type="dxa"/>
          </w:tcPr>
          <w:p>
            <w:pPr>
              <w:pStyle w:val="TableParagraph"/>
              <w:spacing w:line="266" w:lineRule="exact"/>
              <w:ind w:left="149"/>
              <w:rPr>
                <w:sz w:val="21"/>
              </w:rPr>
            </w:pPr>
            <w:r>
              <w:rPr>
                <w:sz w:val="21"/>
              </w:rPr>
              <w:t>指双肾功能慢性不可逆性衰竭，达到尿毒症期，经诊断后已经进行了至少</w:t>
            </w:r>
          </w:p>
          <w:p>
            <w:pPr>
              <w:pStyle w:val="TableParagraph"/>
              <w:spacing w:before="37"/>
              <w:ind w:left="149"/>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18" w:type="dxa"/>
          </w:tcPr>
          <w:p>
            <w:pPr>
              <w:pStyle w:val="TableParagraph"/>
              <w:spacing w:before="30"/>
              <w:ind w:left="200"/>
              <w:rPr>
                <w:rFonts w:ascii="Times New Roman"/>
                <w:sz w:val="21"/>
              </w:rPr>
            </w:pPr>
            <w:r>
              <w:rPr>
                <w:rFonts w:ascii="Times New Roman"/>
                <w:sz w:val="21"/>
              </w:rPr>
              <w:t>7.</w:t>
            </w:r>
          </w:p>
        </w:tc>
        <w:tc>
          <w:tcPr>
            <w:tcW w:w="2637" w:type="dxa"/>
          </w:tcPr>
          <w:p>
            <w:pPr>
              <w:pStyle w:val="TableParagraph"/>
              <w:spacing w:line="258" w:lineRule="exact"/>
              <w:ind w:left="54"/>
              <w:rPr>
                <w:sz w:val="21"/>
              </w:rPr>
            </w:pPr>
            <w:r>
              <w:rPr>
                <w:sz w:val="21"/>
              </w:rPr>
              <w:t>多个肢体缺失</w:t>
            </w:r>
          </w:p>
        </w:tc>
        <w:tc>
          <w:tcPr>
            <w:tcW w:w="7214" w:type="dxa"/>
          </w:tcPr>
          <w:p>
            <w:pPr>
              <w:pStyle w:val="TableParagraph"/>
              <w:spacing w:line="258" w:lineRule="exact"/>
              <w:ind w:left="149"/>
              <w:rPr>
                <w:sz w:val="21"/>
              </w:rPr>
            </w:pPr>
            <w:r>
              <w:rPr>
                <w:sz w:val="21"/>
              </w:rPr>
              <w:t>指因疾病或意外伤害导致两个或两个以上肢体自腕关节或踝关节近端（靠</w:t>
            </w:r>
          </w:p>
          <w:p>
            <w:pPr>
              <w:pStyle w:val="TableParagraph"/>
              <w:spacing w:before="37"/>
              <w:ind w:left="149"/>
              <w:rPr>
                <w:sz w:val="21"/>
              </w:rPr>
            </w:pPr>
            <w:r>
              <w:rPr>
                <w:sz w:val="21"/>
              </w:rPr>
              <w:t>近躯干端）以上完全性断离。</w:t>
            </w:r>
          </w:p>
        </w:tc>
      </w:tr>
      <w:tr>
        <w:trPr>
          <w:trHeight w:val="1879" w:hRule="atLeast"/>
        </w:trPr>
        <w:tc>
          <w:tcPr>
            <w:tcW w:w="518" w:type="dxa"/>
          </w:tcPr>
          <w:p>
            <w:pPr>
              <w:pStyle w:val="TableParagraph"/>
              <w:spacing w:before="38"/>
              <w:ind w:left="200"/>
              <w:rPr>
                <w:rFonts w:ascii="Times New Roman"/>
                <w:sz w:val="21"/>
              </w:rPr>
            </w:pPr>
            <w:r>
              <w:rPr>
                <w:rFonts w:ascii="Times New Roman"/>
                <w:sz w:val="21"/>
              </w:rPr>
              <w:t>8.</w:t>
            </w:r>
          </w:p>
        </w:tc>
        <w:tc>
          <w:tcPr>
            <w:tcW w:w="2637" w:type="dxa"/>
          </w:tcPr>
          <w:p>
            <w:pPr>
              <w:pStyle w:val="TableParagraph"/>
              <w:spacing w:line="266" w:lineRule="exact"/>
              <w:ind w:left="54"/>
              <w:rPr>
                <w:sz w:val="21"/>
              </w:rPr>
            </w:pPr>
            <w:r>
              <w:rPr>
                <w:sz w:val="21"/>
              </w:rPr>
              <w:t>急性或亚急性重症肝炎</w:t>
            </w:r>
          </w:p>
        </w:tc>
        <w:tc>
          <w:tcPr>
            <w:tcW w:w="7214" w:type="dxa"/>
          </w:tcPr>
          <w:p>
            <w:pPr>
              <w:pStyle w:val="TableParagraph"/>
              <w:spacing w:line="273" w:lineRule="auto"/>
              <w:ind w:left="149" w:right="241"/>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49"/>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9"/>
              <w:rPr>
                <w:sz w:val="21"/>
              </w:rPr>
            </w:pPr>
            <w:r>
              <w:rPr>
                <w:sz w:val="21"/>
              </w:rPr>
              <w:t>（</w:t>
            </w:r>
            <w:r>
              <w:rPr>
                <w:rFonts w:ascii="Times New Roman" w:eastAsia="Times New Roman"/>
                <w:sz w:val="21"/>
              </w:rPr>
              <w:t>2</w:t>
            </w:r>
            <w:r>
              <w:rPr>
                <w:sz w:val="21"/>
              </w:rPr>
              <w:t>）肝性脑病；</w:t>
            </w:r>
          </w:p>
          <w:p>
            <w:pPr>
              <w:pStyle w:val="TableParagraph"/>
              <w:spacing w:before="20"/>
              <w:ind w:left="14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9"/>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8" w:type="dxa"/>
          </w:tcPr>
          <w:p>
            <w:pPr>
              <w:pStyle w:val="TableParagraph"/>
              <w:spacing w:before="30"/>
              <w:ind w:left="200"/>
              <w:rPr>
                <w:rFonts w:ascii="Times New Roman"/>
                <w:sz w:val="21"/>
              </w:rPr>
            </w:pPr>
            <w:r>
              <w:rPr>
                <w:rFonts w:ascii="Times New Roman"/>
                <w:sz w:val="21"/>
              </w:rPr>
              <w:t>9.</w:t>
            </w:r>
          </w:p>
        </w:tc>
        <w:tc>
          <w:tcPr>
            <w:tcW w:w="2637" w:type="dxa"/>
          </w:tcPr>
          <w:p>
            <w:pPr>
              <w:pStyle w:val="TableParagraph"/>
              <w:spacing w:line="258" w:lineRule="exact"/>
              <w:ind w:left="54"/>
              <w:rPr>
                <w:sz w:val="21"/>
              </w:rPr>
            </w:pPr>
            <w:r>
              <w:rPr>
                <w:sz w:val="21"/>
              </w:rPr>
              <w:t>良性脑肿瘤</w:t>
            </w:r>
          </w:p>
        </w:tc>
        <w:tc>
          <w:tcPr>
            <w:tcW w:w="7214" w:type="dxa"/>
          </w:tcPr>
          <w:p>
            <w:pPr>
              <w:pStyle w:val="TableParagraph"/>
              <w:spacing w:line="258" w:lineRule="exact"/>
              <w:ind w:left="149"/>
              <w:rPr>
                <w:sz w:val="21"/>
              </w:rPr>
            </w:pPr>
            <w:r>
              <w:rPr>
                <w:sz w:val="21"/>
              </w:rPr>
              <w:t>指脑的良性肿瘤，已经引起颅内压增高，临床表现为视神经乳头水肿、精</w:t>
            </w:r>
          </w:p>
          <w:p>
            <w:pPr>
              <w:pStyle w:val="TableParagraph"/>
              <w:spacing w:line="256" w:lineRule="auto" w:before="37"/>
              <w:ind w:left="149" w:right="197"/>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9"/>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9"/>
              <w:rPr>
                <w:b/>
                <w:sz w:val="21"/>
              </w:rPr>
            </w:pPr>
            <w:r>
              <w:rPr>
                <w:b/>
                <w:sz w:val="21"/>
              </w:rPr>
              <w:t>脑垂体瘤、脑囊肿、脑血管性疾病不在保障范围内。</w:t>
            </w:r>
          </w:p>
        </w:tc>
      </w:tr>
      <w:tr>
        <w:trPr>
          <w:trHeight w:val="1872" w:hRule="atLeast"/>
        </w:trPr>
        <w:tc>
          <w:tcPr>
            <w:tcW w:w="518" w:type="dxa"/>
          </w:tcPr>
          <w:p>
            <w:pPr>
              <w:pStyle w:val="TableParagraph"/>
              <w:spacing w:before="38"/>
              <w:ind w:left="200"/>
              <w:rPr>
                <w:rFonts w:ascii="Times New Roman"/>
                <w:sz w:val="21"/>
              </w:rPr>
            </w:pPr>
            <w:r>
              <w:rPr>
                <w:rFonts w:ascii="Times New Roman"/>
                <w:sz w:val="21"/>
              </w:rPr>
              <w:t>10.</w:t>
            </w:r>
          </w:p>
        </w:tc>
        <w:tc>
          <w:tcPr>
            <w:tcW w:w="2637" w:type="dxa"/>
          </w:tcPr>
          <w:p>
            <w:pPr>
              <w:pStyle w:val="TableParagraph"/>
              <w:spacing w:line="266" w:lineRule="exact"/>
              <w:ind w:left="54"/>
              <w:rPr>
                <w:sz w:val="21"/>
              </w:rPr>
            </w:pPr>
            <w:r>
              <w:rPr>
                <w:sz w:val="21"/>
              </w:rPr>
              <w:t>慢性肝功能衰竭失代偿期</w:t>
            </w:r>
          </w:p>
        </w:tc>
        <w:tc>
          <w:tcPr>
            <w:tcW w:w="7214" w:type="dxa"/>
          </w:tcPr>
          <w:p>
            <w:pPr>
              <w:pStyle w:val="TableParagraph"/>
              <w:spacing w:line="266" w:lineRule="exact"/>
              <w:ind w:left="149"/>
              <w:rPr>
                <w:sz w:val="21"/>
              </w:rPr>
            </w:pPr>
            <w:r>
              <w:rPr>
                <w:sz w:val="21"/>
              </w:rPr>
              <w:t>指因慢性肝脏疾病导致肝功能衰竭。须满足下列全部条件：</w:t>
            </w:r>
          </w:p>
          <w:p>
            <w:pPr>
              <w:pStyle w:val="TableParagraph"/>
              <w:spacing w:before="37"/>
              <w:ind w:left="149"/>
              <w:rPr>
                <w:sz w:val="21"/>
              </w:rPr>
            </w:pPr>
            <w:r>
              <w:rPr>
                <w:sz w:val="21"/>
              </w:rPr>
              <w:t>（</w:t>
            </w:r>
            <w:r>
              <w:rPr>
                <w:rFonts w:ascii="Times New Roman" w:eastAsia="Times New Roman"/>
                <w:sz w:val="21"/>
              </w:rPr>
              <w:t>1</w:t>
            </w:r>
            <w:r>
              <w:rPr>
                <w:sz w:val="21"/>
              </w:rPr>
              <w:t>）持续性黄疸；</w:t>
            </w:r>
          </w:p>
          <w:p>
            <w:pPr>
              <w:pStyle w:val="TableParagraph"/>
              <w:spacing w:before="21"/>
              <w:ind w:left="149"/>
              <w:rPr>
                <w:sz w:val="21"/>
              </w:rPr>
            </w:pPr>
            <w:r>
              <w:rPr>
                <w:sz w:val="21"/>
              </w:rPr>
              <w:t>（</w:t>
            </w:r>
            <w:r>
              <w:rPr>
                <w:rFonts w:ascii="Times New Roman" w:eastAsia="Times New Roman"/>
                <w:sz w:val="21"/>
              </w:rPr>
              <w:t>2</w:t>
            </w:r>
            <w:r>
              <w:rPr>
                <w:sz w:val="21"/>
              </w:rPr>
              <w:t>）腹水；</w:t>
            </w:r>
          </w:p>
          <w:p>
            <w:pPr>
              <w:pStyle w:val="TableParagraph"/>
              <w:spacing w:before="21"/>
              <w:ind w:left="149"/>
              <w:rPr>
                <w:sz w:val="21"/>
              </w:rPr>
            </w:pPr>
            <w:r>
              <w:rPr>
                <w:sz w:val="21"/>
              </w:rPr>
              <w:t>（</w:t>
            </w:r>
            <w:r>
              <w:rPr>
                <w:rFonts w:ascii="Times New Roman" w:eastAsia="Times New Roman"/>
                <w:sz w:val="21"/>
              </w:rPr>
              <w:t>3</w:t>
            </w:r>
            <w:r>
              <w:rPr>
                <w:sz w:val="21"/>
              </w:rPr>
              <w:t>）肝性脑病；</w:t>
            </w:r>
          </w:p>
          <w:p>
            <w:pPr>
              <w:pStyle w:val="TableParagraph"/>
              <w:spacing w:line="259" w:lineRule="auto" w:before="21"/>
              <w:ind w:left="149" w:right="191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26" w:hRule="atLeast"/>
        </w:trPr>
        <w:tc>
          <w:tcPr>
            <w:tcW w:w="518" w:type="dxa"/>
          </w:tcPr>
          <w:p>
            <w:pPr>
              <w:pStyle w:val="TableParagraph"/>
              <w:spacing w:before="38"/>
              <w:ind w:left="200"/>
              <w:rPr>
                <w:rFonts w:ascii="Times New Roman"/>
                <w:sz w:val="21"/>
              </w:rPr>
            </w:pPr>
            <w:r>
              <w:rPr>
                <w:rFonts w:ascii="Times New Roman"/>
                <w:sz w:val="21"/>
              </w:rPr>
              <w:t>11.</w:t>
            </w:r>
          </w:p>
        </w:tc>
        <w:tc>
          <w:tcPr>
            <w:tcW w:w="2637" w:type="dxa"/>
          </w:tcPr>
          <w:p>
            <w:pPr>
              <w:pStyle w:val="TableParagraph"/>
              <w:spacing w:line="273" w:lineRule="auto"/>
              <w:ind w:left="54" w:right="149"/>
              <w:rPr>
                <w:sz w:val="21"/>
              </w:rPr>
            </w:pPr>
            <w:r>
              <w:rPr>
                <w:sz w:val="21"/>
              </w:rPr>
              <w:t>脑炎后遗症或脑膜炎后遗症</w:t>
            </w:r>
          </w:p>
        </w:tc>
        <w:tc>
          <w:tcPr>
            <w:tcW w:w="7214" w:type="dxa"/>
          </w:tcPr>
          <w:p>
            <w:pPr>
              <w:pStyle w:val="TableParagraph"/>
              <w:spacing w:line="273" w:lineRule="auto"/>
              <w:ind w:left="149" w:right="24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4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9"/>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left="149" w:right="23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ind w:left="0"/>
        <w:rPr>
          <w:sz w:val="20"/>
        </w:rPr>
      </w:pPr>
    </w:p>
    <w:p>
      <w:pPr>
        <w:pStyle w:val="BodyText"/>
        <w:spacing w:before="6"/>
        <w:ind w:left="0"/>
        <w:rPr>
          <w:sz w:val="13"/>
        </w:rPr>
      </w:pPr>
      <w:r>
        <w:rPr/>
        <w:pict>
          <v:line style="position:absolute;mso-position-horizontal-relative:page;mso-position-vertical-relative:paragraph;z-index:1240;mso-wrap-distance-left:0;mso-wrap-distance-right:0" from="53.880001pt,11.022924pt" to="197.930001pt,11.022924pt" stroked="true" strokeweight=".47998pt" strokecolor="#000000">
            <v:stroke dashstyle="solid"/>
            <w10:wrap type="topAndBottom"/>
          </v:line>
        </w:pict>
      </w:r>
    </w:p>
    <w:p>
      <w:pPr>
        <w:pStyle w:val="BodyText"/>
        <w:spacing w:before="32"/>
        <w:ind w:left="317" w:right="378"/>
      </w:pPr>
      <w:r>
        <w:rPr/>
        <w:t>丧失，指因牙齿以外的原因导致器质障碍或机能障碍，以致不能作咀嚼吞咽运动，除流质食物外不能摄取或吞咽的状态。</w:t>
      </w:r>
    </w:p>
    <w:p>
      <w:pPr>
        <w:spacing w:line="296" w:lineRule="exact" w:before="0"/>
        <w:ind w:left="317" w:right="0" w:firstLine="0"/>
        <w:jc w:val="left"/>
        <w:rPr>
          <w:sz w:val="21"/>
        </w:rPr>
      </w:pPr>
      <w:r>
        <w:rPr>
          <w:rFonts w:ascii="Times New Roman" w:eastAsia="Times New Roman"/>
          <w:position w:val="10"/>
          <w:sz w:val="14"/>
        </w:rPr>
        <w:t>29</w:t>
      </w:r>
      <w:r>
        <w:rPr>
          <w:rFonts w:ascii="Microsoft JhengHei" w:eastAsia="Microsoft JhengHei" w:hint="eastAsia"/>
          <w:b/>
          <w:sz w:val="21"/>
        </w:rPr>
        <w:t>六项基本日常生活活动：</w:t>
      </w:r>
      <w:r>
        <w:rPr>
          <w:sz w:val="21"/>
        </w:rPr>
        <w:t>指食物摄取、大小便始末、穿脱衣服、起居、步行、入浴。</w:t>
      </w:r>
    </w:p>
    <w:p>
      <w:pPr>
        <w:spacing w:after="0" w:line="296" w:lineRule="exact"/>
        <w:jc w:val="left"/>
        <w:rPr>
          <w:sz w:val="21"/>
        </w:rPr>
        <w:sectPr>
          <w:pgSz w:w="11910" w:h="16160"/>
          <w:pgMar w:header="0" w:footer="631" w:top="138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508"/>
        <w:gridCol w:w="7302"/>
      </w:tblGrid>
      <w:tr>
        <w:trPr>
          <w:trHeight w:val="1185" w:hRule="atLeast"/>
        </w:trPr>
        <w:tc>
          <w:tcPr>
            <w:tcW w:w="518" w:type="dxa"/>
          </w:tcPr>
          <w:p>
            <w:pPr>
              <w:pStyle w:val="TableParagraph"/>
              <w:spacing w:line="234" w:lineRule="exact"/>
              <w:ind w:right="53"/>
              <w:jc w:val="right"/>
              <w:rPr>
                <w:rFonts w:ascii="Times New Roman"/>
                <w:sz w:val="21"/>
              </w:rPr>
            </w:pPr>
            <w:r>
              <w:rPr>
                <w:rFonts w:ascii="Times New Roman"/>
                <w:sz w:val="21"/>
              </w:rPr>
              <w:t>12.</w:t>
            </w:r>
          </w:p>
        </w:tc>
        <w:tc>
          <w:tcPr>
            <w:tcW w:w="2508" w:type="dxa"/>
          </w:tcPr>
          <w:p>
            <w:pPr>
              <w:pStyle w:val="TableParagraph"/>
              <w:spacing w:line="220" w:lineRule="exact"/>
              <w:ind w:left="54"/>
              <w:rPr>
                <w:sz w:val="21"/>
              </w:rPr>
            </w:pPr>
            <w:r>
              <w:rPr>
                <w:sz w:val="21"/>
              </w:rPr>
              <w:t>深度昏迷</w:t>
            </w:r>
          </w:p>
        </w:tc>
        <w:tc>
          <w:tcPr>
            <w:tcW w:w="7302" w:type="dxa"/>
          </w:tcPr>
          <w:p>
            <w:pPr>
              <w:pStyle w:val="TableParagraph"/>
              <w:spacing w:line="220" w:lineRule="exact"/>
              <w:ind w:left="278"/>
              <w:rPr>
                <w:sz w:val="21"/>
              </w:rPr>
            </w:pPr>
            <w:r>
              <w:rPr>
                <w:sz w:val="21"/>
              </w:rPr>
              <w:t>指因疾病或意外伤害导致意识丧失，对外界刺激和体内需求均无反应，昏</w:t>
            </w:r>
          </w:p>
          <w:p>
            <w:pPr>
              <w:pStyle w:val="TableParagraph"/>
              <w:spacing w:line="256" w:lineRule="auto" w:before="37"/>
              <w:ind w:left="278" w:right="134"/>
              <w:rPr>
                <w:sz w:val="21"/>
              </w:rPr>
            </w:pPr>
            <w:r>
              <w:rPr>
                <w:sz w:val="21"/>
              </w:rPr>
              <w:t>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4"/>
              <w:ind w:left="278"/>
              <w:rPr>
                <w:b/>
                <w:sz w:val="21"/>
              </w:rPr>
            </w:pPr>
            <w:r>
              <w:rPr>
                <w:b/>
                <w:sz w:val="21"/>
              </w:rPr>
              <w:t>因酗酒或药物滥用导致的深度昏迷不在保障范围内。</w:t>
            </w:r>
          </w:p>
        </w:tc>
      </w:tr>
      <w:tr>
        <w:trPr>
          <w:trHeight w:val="1577" w:hRule="atLeast"/>
        </w:trPr>
        <w:tc>
          <w:tcPr>
            <w:tcW w:w="518" w:type="dxa"/>
          </w:tcPr>
          <w:p>
            <w:pPr>
              <w:pStyle w:val="TableParagraph"/>
              <w:spacing w:before="55"/>
              <w:ind w:right="53"/>
              <w:jc w:val="right"/>
              <w:rPr>
                <w:rFonts w:ascii="Times New Roman"/>
                <w:sz w:val="21"/>
              </w:rPr>
            </w:pPr>
            <w:r>
              <w:rPr>
                <w:rFonts w:ascii="Times New Roman"/>
                <w:sz w:val="21"/>
              </w:rPr>
              <w:t>13.</w:t>
            </w:r>
          </w:p>
        </w:tc>
        <w:tc>
          <w:tcPr>
            <w:tcW w:w="2508" w:type="dxa"/>
          </w:tcPr>
          <w:p>
            <w:pPr>
              <w:pStyle w:val="TableParagraph"/>
              <w:spacing w:before="8"/>
              <w:ind w:left="54"/>
              <w:rPr>
                <w:b/>
                <w:sz w:val="21"/>
              </w:rPr>
            </w:pPr>
            <w:r>
              <w:rPr>
                <w:sz w:val="21"/>
              </w:rPr>
              <w:t>双耳失聪 </w:t>
            </w:r>
            <w:r>
              <w:rPr>
                <w:rFonts w:ascii="Times New Roman" w:eastAsia="Times New Roman"/>
                <w:sz w:val="21"/>
              </w:rPr>
              <w:t>-  </w:t>
            </w:r>
            <w:r>
              <w:rPr>
                <w:b/>
                <w:sz w:val="21"/>
              </w:rPr>
              <w:t>三岁始理赔</w:t>
            </w:r>
          </w:p>
        </w:tc>
        <w:tc>
          <w:tcPr>
            <w:tcW w:w="7302" w:type="dxa"/>
          </w:tcPr>
          <w:p>
            <w:pPr>
              <w:pStyle w:val="TableParagraph"/>
              <w:spacing w:before="8"/>
              <w:ind w:left="278"/>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278" w:right="302"/>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312" w:lineRule="exact" w:before="18"/>
              <w:ind w:left="278" w:right="202"/>
              <w:rPr>
                <w:sz w:val="21"/>
              </w:rPr>
            </w:pPr>
            <w:r>
              <w:rPr>
                <w:sz w:val="21"/>
              </w:rPr>
              <w:t>被保险人申请理赔时年龄必须在三周岁以上，并且提供理赔当时的听力丧失诊断及检查证据。</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14.</w:t>
            </w:r>
          </w:p>
        </w:tc>
        <w:tc>
          <w:tcPr>
            <w:tcW w:w="2508" w:type="dxa"/>
          </w:tcPr>
          <w:p>
            <w:pPr>
              <w:pStyle w:val="TableParagraph"/>
              <w:spacing w:line="282" w:lineRule="exact"/>
              <w:ind w:left="54"/>
              <w:rPr>
                <w:b/>
                <w:sz w:val="21"/>
              </w:rPr>
            </w:pPr>
            <w:r>
              <w:rPr>
                <w:sz w:val="21"/>
              </w:rPr>
              <w:t>双目失明 </w:t>
            </w:r>
            <w:r>
              <w:rPr>
                <w:rFonts w:ascii="Times New Roman" w:eastAsia="Times New Roman"/>
                <w:sz w:val="21"/>
              </w:rPr>
              <w:t>-  </w:t>
            </w:r>
            <w:r>
              <w:rPr>
                <w:b/>
                <w:sz w:val="21"/>
              </w:rPr>
              <w:t>三岁始理赔</w:t>
            </w:r>
          </w:p>
        </w:tc>
        <w:tc>
          <w:tcPr>
            <w:tcW w:w="7302" w:type="dxa"/>
          </w:tcPr>
          <w:p>
            <w:pPr>
              <w:pStyle w:val="TableParagraph"/>
              <w:spacing w:line="273" w:lineRule="auto"/>
              <w:ind w:left="278" w:right="200"/>
              <w:rPr>
                <w:sz w:val="21"/>
              </w:rPr>
            </w:pPr>
            <w:r>
              <w:rPr>
                <w:sz w:val="21"/>
              </w:rPr>
              <w:t>指因疾病或意外伤害导致双眼视力永久不可逆性丧失，双眼中较好眼须满足下列至少一项条件：</w:t>
            </w:r>
          </w:p>
          <w:p>
            <w:pPr>
              <w:pStyle w:val="TableParagraph"/>
              <w:spacing w:before="17"/>
              <w:ind w:left="27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278" w:right="197"/>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27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278" w:right="200"/>
              <w:rPr>
                <w:sz w:val="21"/>
              </w:rPr>
            </w:pPr>
            <w:r>
              <w:rPr>
                <w:sz w:val="21"/>
              </w:rPr>
              <w:t>被保险人申请理赔时年龄必须在三周岁以上，并且提供理赔当时的视力丧失诊断及检查证据。</w:t>
            </w:r>
          </w:p>
        </w:tc>
      </w:tr>
      <w:tr>
        <w:trPr>
          <w:trHeight w:val="935" w:hRule="atLeast"/>
        </w:trPr>
        <w:tc>
          <w:tcPr>
            <w:tcW w:w="518" w:type="dxa"/>
          </w:tcPr>
          <w:p>
            <w:pPr>
              <w:pStyle w:val="TableParagraph"/>
              <w:spacing w:before="38"/>
              <w:ind w:right="53"/>
              <w:jc w:val="right"/>
              <w:rPr>
                <w:rFonts w:ascii="Times New Roman"/>
                <w:sz w:val="21"/>
              </w:rPr>
            </w:pPr>
            <w:r>
              <w:rPr>
                <w:rFonts w:ascii="Times New Roman"/>
                <w:sz w:val="21"/>
              </w:rPr>
              <w:t>15.</w:t>
            </w:r>
          </w:p>
        </w:tc>
        <w:tc>
          <w:tcPr>
            <w:tcW w:w="2508" w:type="dxa"/>
          </w:tcPr>
          <w:p>
            <w:pPr>
              <w:pStyle w:val="TableParagraph"/>
              <w:spacing w:line="266" w:lineRule="exact"/>
              <w:ind w:left="54"/>
              <w:rPr>
                <w:sz w:val="21"/>
              </w:rPr>
            </w:pPr>
            <w:r>
              <w:rPr>
                <w:sz w:val="21"/>
              </w:rPr>
              <w:t>瘫痪</w:t>
            </w:r>
          </w:p>
        </w:tc>
        <w:tc>
          <w:tcPr>
            <w:tcW w:w="7302" w:type="dxa"/>
          </w:tcPr>
          <w:p>
            <w:pPr>
              <w:pStyle w:val="TableParagraph"/>
              <w:spacing w:line="264" w:lineRule="auto"/>
              <w:ind w:left="278" w:right="197"/>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4" w:hRule="atLeast"/>
        </w:trPr>
        <w:tc>
          <w:tcPr>
            <w:tcW w:w="518" w:type="dxa"/>
          </w:tcPr>
          <w:p>
            <w:pPr>
              <w:pStyle w:val="TableParagraph"/>
              <w:spacing w:before="38"/>
              <w:ind w:right="53"/>
              <w:jc w:val="right"/>
              <w:rPr>
                <w:rFonts w:ascii="Times New Roman"/>
                <w:sz w:val="21"/>
              </w:rPr>
            </w:pPr>
            <w:r>
              <w:rPr>
                <w:rFonts w:ascii="Times New Roman"/>
                <w:sz w:val="21"/>
              </w:rPr>
              <w:t>16.</w:t>
            </w:r>
          </w:p>
        </w:tc>
        <w:tc>
          <w:tcPr>
            <w:tcW w:w="2508" w:type="dxa"/>
          </w:tcPr>
          <w:p>
            <w:pPr>
              <w:pStyle w:val="TableParagraph"/>
              <w:spacing w:line="266" w:lineRule="exact"/>
              <w:ind w:left="54"/>
              <w:rPr>
                <w:sz w:val="21"/>
              </w:rPr>
            </w:pPr>
            <w:r>
              <w:rPr>
                <w:sz w:val="21"/>
              </w:rPr>
              <w:t>心脏瓣膜手术</w:t>
            </w:r>
          </w:p>
        </w:tc>
        <w:tc>
          <w:tcPr>
            <w:tcW w:w="7302" w:type="dxa"/>
          </w:tcPr>
          <w:p>
            <w:pPr>
              <w:pStyle w:val="TableParagraph"/>
              <w:spacing w:line="266" w:lineRule="exact"/>
              <w:ind w:left="278"/>
              <w:rPr>
                <w:sz w:val="21"/>
              </w:rPr>
            </w:pPr>
            <w:r>
              <w:rPr>
                <w:sz w:val="21"/>
              </w:rPr>
              <w:t>指为治疗心脏瓣膜疾病，实际实施了开胸进行的心脏瓣膜置换或修复的手</w:t>
            </w:r>
          </w:p>
          <w:p>
            <w:pPr>
              <w:pStyle w:val="TableParagraph"/>
              <w:spacing w:before="37"/>
              <w:ind w:left="278"/>
              <w:rPr>
                <w:sz w:val="21"/>
              </w:rPr>
            </w:pPr>
            <w:r>
              <w:rPr>
                <w:sz w:val="21"/>
              </w:rPr>
              <w:t>术。</w:t>
            </w:r>
          </w:p>
        </w:tc>
      </w:tr>
      <w:tr>
        <w:trPr>
          <w:trHeight w:val="1872" w:hRule="atLeast"/>
        </w:trPr>
        <w:tc>
          <w:tcPr>
            <w:tcW w:w="518" w:type="dxa"/>
          </w:tcPr>
          <w:p>
            <w:pPr>
              <w:pStyle w:val="TableParagraph"/>
              <w:spacing w:before="38"/>
              <w:ind w:right="53"/>
              <w:jc w:val="right"/>
              <w:rPr>
                <w:rFonts w:ascii="Times New Roman"/>
                <w:sz w:val="21"/>
              </w:rPr>
            </w:pPr>
            <w:r>
              <w:rPr>
                <w:rFonts w:ascii="Times New Roman"/>
                <w:sz w:val="21"/>
              </w:rPr>
              <w:t>17.</w:t>
            </w:r>
          </w:p>
        </w:tc>
        <w:tc>
          <w:tcPr>
            <w:tcW w:w="2508" w:type="dxa"/>
          </w:tcPr>
          <w:p>
            <w:pPr>
              <w:pStyle w:val="TableParagraph"/>
              <w:spacing w:line="266" w:lineRule="exact"/>
              <w:ind w:left="54"/>
              <w:rPr>
                <w:sz w:val="21"/>
              </w:rPr>
            </w:pPr>
            <w:r>
              <w:rPr>
                <w:sz w:val="21"/>
              </w:rPr>
              <w:t>严重阿尔茨海默病</w:t>
            </w:r>
          </w:p>
        </w:tc>
        <w:tc>
          <w:tcPr>
            <w:tcW w:w="7302" w:type="dxa"/>
          </w:tcPr>
          <w:p>
            <w:pPr>
              <w:pStyle w:val="TableParagraph"/>
              <w:spacing w:line="264" w:lineRule="auto"/>
              <w:ind w:left="278" w:right="199"/>
              <w:jc w:val="both"/>
              <w:rPr>
                <w:sz w:val="21"/>
              </w:rPr>
            </w:pPr>
            <w:r>
              <w:rPr>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5"/>
              <w:ind w:left="278"/>
              <w:jc w:val="both"/>
              <w:rPr>
                <w:b/>
                <w:sz w:val="21"/>
              </w:rPr>
            </w:pPr>
            <w:r>
              <w:rPr>
                <w:b/>
                <w:sz w:val="21"/>
              </w:rPr>
              <w:t>神经官能症和精神疾病不在保障范围内。</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18.</w:t>
            </w:r>
          </w:p>
        </w:tc>
        <w:tc>
          <w:tcPr>
            <w:tcW w:w="2508" w:type="dxa"/>
          </w:tcPr>
          <w:p>
            <w:pPr>
              <w:pStyle w:val="TableParagraph"/>
              <w:spacing w:line="266" w:lineRule="exact"/>
              <w:ind w:left="54"/>
              <w:rPr>
                <w:sz w:val="21"/>
              </w:rPr>
            </w:pPr>
            <w:r>
              <w:rPr>
                <w:sz w:val="21"/>
              </w:rPr>
              <w:t>严重脑损伤</w:t>
            </w:r>
          </w:p>
        </w:tc>
        <w:tc>
          <w:tcPr>
            <w:tcW w:w="7302" w:type="dxa"/>
          </w:tcPr>
          <w:p>
            <w:pPr>
              <w:pStyle w:val="TableParagraph"/>
              <w:spacing w:line="261" w:lineRule="auto"/>
              <w:ind w:left="278" w:right="199"/>
              <w:jc w:val="both"/>
              <w:rPr>
                <w:sz w:val="21"/>
              </w:rPr>
            </w:pPr>
            <w:r>
              <w:rPr>
                <w:sz w:val="21"/>
              </w:rPr>
              <w:t>指因头部遭受机械性外力，引起脑重要部位损伤，导致神经系统永久性的</w:t>
            </w:r>
            <w:r>
              <w:rPr>
                <w:spacing w:val="-5"/>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9"/>
              <w:ind w:left="27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7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278" w:right="19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4" w:hRule="atLeast"/>
        </w:trPr>
        <w:tc>
          <w:tcPr>
            <w:tcW w:w="518" w:type="dxa"/>
          </w:tcPr>
          <w:p>
            <w:pPr>
              <w:pStyle w:val="TableParagraph"/>
              <w:spacing w:before="38"/>
              <w:ind w:right="53"/>
              <w:jc w:val="right"/>
              <w:rPr>
                <w:rFonts w:ascii="Times New Roman"/>
                <w:sz w:val="21"/>
              </w:rPr>
            </w:pPr>
            <w:r>
              <w:rPr>
                <w:rFonts w:ascii="Times New Roman"/>
                <w:sz w:val="21"/>
              </w:rPr>
              <w:t>19.</w:t>
            </w:r>
          </w:p>
        </w:tc>
        <w:tc>
          <w:tcPr>
            <w:tcW w:w="2508" w:type="dxa"/>
          </w:tcPr>
          <w:p>
            <w:pPr>
              <w:pStyle w:val="TableParagraph"/>
              <w:spacing w:line="266" w:lineRule="exact"/>
              <w:ind w:left="54"/>
              <w:rPr>
                <w:sz w:val="21"/>
              </w:rPr>
            </w:pPr>
            <w:r>
              <w:rPr>
                <w:sz w:val="21"/>
              </w:rPr>
              <w:t>严重帕金森病</w:t>
            </w:r>
          </w:p>
        </w:tc>
        <w:tc>
          <w:tcPr>
            <w:tcW w:w="7302" w:type="dxa"/>
          </w:tcPr>
          <w:p>
            <w:pPr>
              <w:pStyle w:val="TableParagraph"/>
              <w:spacing w:line="273" w:lineRule="auto"/>
              <w:ind w:left="278" w:right="206"/>
              <w:rPr>
                <w:sz w:val="21"/>
              </w:rPr>
            </w:pPr>
            <w:r>
              <w:rPr>
                <w:sz w:val="21"/>
              </w:rPr>
              <w:t>是一种中枢神经系统的退行性疾病，临床表现为震颤麻痹、共济失调等。须满足下列全部条件：</w:t>
            </w:r>
          </w:p>
          <w:p>
            <w:pPr>
              <w:pStyle w:val="TableParagraph"/>
              <w:spacing w:before="16"/>
              <w:ind w:left="278"/>
              <w:rPr>
                <w:sz w:val="21"/>
              </w:rPr>
            </w:pPr>
            <w:r>
              <w:rPr>
                <w:sz w:val="21"/>
              </w:rPr>
              <w:t>（</w:t>
            </w:r>
            <w:r>
              <w:rPr>
                <w:rFonts w:ascii="Times New Roman" w:eastAsia="Times New Roman"/>
                <w:sz w:val="21"/>
              </w:rPr>
              <w:t>1</w:t>
            </w:r>
            <w:r>
              <w:rPr>
                <w:sz w:val="21"/>
              </w:rPr>
              <w:t>）药物治疗无法控制病情；</w:t>
            </w:r>
          </w:p>
          <w:p>
            <w:pPr>
              <w:pStyle w:val="TableParagraph"/>
              <w:spacing w:line="290" w:lineRule="atLeast" w:before="20"/>
              <w:ind w:left="278" w:right="1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pStyle w:val="BodyText"/>
        <w:spacing w:before="12"/>
        <w:ind w:left="0"/>
        <w:rPr>
          <w:sz w:val="29"/>
        </w:rPr>
      </w:pPr>
      <w:r>
        <w:rPr/>
        <w:pict>
          <v:line style="position:absolute;mso-position-horizontal-relative:page;mso-position-vertical-relative:paragraph;z-index:1264;mso-wrap-distance-left:0;mso-wrap-distance-right:0" from="53.880001pt,21.780853pt" to="197.930001pt,21.780853pt" stroked="true" strokeweight=".47998pt" strokecolor="#000000">
            <v:stroke dashstyle="solid"/>
            <w10:wrap type="topAndBottom"/>
          </v:line>
        </w:pict>
      </w:r>
    </w:p>
    <w:p>
      <w:pPr>
        <w:pStyle w:val="BodyText"/>
        <w:spacing w:line="218" w:lineRule="auto" w:before="1"/>
        <w:ind w:left="317" w:right="312"/>
      </w:pPr>
      <w:r>
        <w:rPr>
          <w:rFonts w:ascii="Times New Roman" w:eastAsia="Times New Roman"/>
          <w:position w:val="10"/>
          <w:sz w:val="14"/>
        </w:rPr>
        <w:t>30</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4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788"/>
        <w:gridCol w:w="7022"/>
      </w:tblGrid>
      <w:tr>
        <w:trPr>
          <w:trHeight w:val="266" w:hRule="atLeast"/>
        </w:trPr>
        <w:tc>
          <w:tcPr>
            <w:tcW w:w="518" w:type="dxa"/>
          </w:tcPr>
          <w:p>
            <w:pPr>
              <w:pStyle w:val="TableParagraph"/>
              <w:rPr>
                <w:rFonts w:ascii="Times New Roman"/>
                <w:sz w:val="18"/>
              </w:rPr>
            </w:pPr>
          </w:p>
        </w:tc>
        <w:tc>
          <w:tcPr>
            <w:tcW w:w="2788" w:type="dxa"/>
          </w:tcPr>
          <w:p>
            <w:pPr>
              <w:pStyle w:val="TableParagraph"/>
              <w:rPr>
                <w:rFonts w:ascii="Times New Roman"/>
                <w:sz w:val="18"/>
              </w:rPr>
            </w:pPr>
          </w:p>
        </w:tc>
        <w:tc>
          <w:tcPr>
            <w:tcW w:w="7022" w:type="dxa"/>
          </w:tcPr>
          <w:p>
            <w:pPr>
              <w:pStyle w:val="TableParagraph"/>
              <w:spacing w:line="202" w:lineRule="exact"/>
              <w:ind w:left="-2"/>
              <w:rPr>
                <w:b/>
                <w:sz w:val="21"/>
              </w:rPr>
            </w:pPr>
            <w:r>
              <w:rPr>
                <w:b/>
                <w:sz w:val="21"/>
              </w:rPr>
              <w:t>继发性帕金森综合征不在保障范围内。</w:t>
            </w:r>
          </w:p>
        </w:tc>
      </w:tr>
      <w:tr>
        <w:trPr>
          <w:trHeight w:val="633" w:hRule="atLeast"/>
        </w:trPr>
        <w:tc>
          <w:tcPr>
            <w:tcW w:w="518" w:type="dxa"/>
          </w:tcPr>
          <w:p>
            <w:pPr>
              <w:pStyle w:val="TableParagraph"/>
              <w:spacing w:before="39"/>
              <w:ind w:right="53"/>
              <w:jc w:val="right"/>
              <w:rPr>
                <w:rFonts w:ascii="Times New Roman"/>
                <w:sz w:val="21"/>
              </w:rPr>
            </w:pPr>
            <w:r>
              <w:rPr>
                <w:rFonts w:ascii="Times New Roman"/>
                <w:sz w:val="21"/>
              </w:rPr>
              <w:t>20.</w:t>
            </w:r>
          </w:p>
        </w:tc>
        <w:tc>
          <w:tcPr>
            <w:tcW w:w="2788" w:type="dxa"/>
          </w:tcPr>
          <w:p>
            <w:pPr>
              <w:pStyle w:val="TableParagraph"/>
              <w:spacing w:line="267" w:lineRule="exact"/>
              <w:ind w:left="54"/>
              <w:rPr>
                <w:sz w:val="21"/>
              </w:rPr>
            </w:pPr>
            <w:r>
              <w:rPr>
                <w:sz w:val="21"/>
              </w:rPr>
              <w:t>严重Ⅲ度烧伤</w:t>
            </w:r>
          </w:p>
        </w:tc>
        <w:tc>
          <w:tcPr>
            <w:tcW w:w="7022" w:type="dxa"/>
          </w:tcPr>
          <w:p>
            <w:pPr>
              <w:pStyle w:val="TableParagraph"/>
              <w:spacing w:line="256" w:lineRule="auto"/>
              <w:ind w:left="-2" w:right="197"/>
              <w:rPr>
                <w:sz w:val="21"/>
              </w:rPr>
            </w:pPr>
            <w:r>
              <w:rPr>
                <w:spacing w:val="-6"/>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943" w:hRule="atLeast"/>
        </w:trPr>
        <w:tc>
          <w:tcPr>
            <w:tcW w:w="518" w:type="dxa"/>
          </w:tcPr>
          <w:p>
            <w:pPr>
              <w:pStyle w:val="TableParagraph"/>
              <w:spacing w:before="29"/>
              <w:ind w:right="53"/>
              <w:jc w:val="right"/>
              <w:rPr>
                <w:rFonts w:ascii="Times New Roman"/>
                <w:sz w:val="21"/>
              </w:rPr>
            </w:pPr>
            <w:r>
              <w:rPr>
                <w:rFonts w:ascii="Times New Roman"/>
                <w:sz w:val="21"/>
              </w:rPr>
              <w:t>21.</w:t>
            </w:r>
          </w:p>
        </w:tc>
        <w:tc>
          <w:tcPr>
            <w:tcW w:w="2788" w:type="dxa"/>
          </w:tcPr>
          <w:p>
            <w:pPr>
              <w:pStyle w:val="TableParagraph"/>
              <w:spacing w:line="257" w:lineRule="exact"/>
              <w:ind w:left="54"/>
              <w:rPr>
                <w:sz w:val="21"/>
              </w:rPr>
            </w:pPr>
            <w:r>
              <w:rPr>
                <w:sz w:val="21"/>
              </w:rPr>
              <w:t>严重原发性肺动脉高压</w:t>
            </w:r>
          </w:p>
        </w:tc>
        <w:tc>
          <w:tcPr>
            <w:tcW w:w="7022" w:type="dxa"/>
          </w:tcPr>
          <w:p>
            <w:pPr>
              <w:pStyle w:val="TableParagraph"/>
              <w:spacing w:line="257" w:lineRule="exact"/>
              <w:ind w:left="-2"/>
              <w:rPr>
                <w:sz w:val="21"/>
              </w:rPr>
            </w:pPr>
            <w:r>
              <w:rPr>
                <w:sz w:val="21"/>
              </w:rPr>
              <w:t>指不明原因的肺动脉压力持续性增高，进行性发展而导致的慢性疾病，已</w:t>
            </w:r>
          </w:p>
          <w:p>
            <w:pPr>
              <w:pStyle w:val="TableParagraph"/>
              <w:spacing w:line="273" w:lineRule="auto" w:before="37"/>
              <w:ind w:left="-2" w:right="199"/>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8" w:type="dxa"/>
          </w:tcPr>
          <w:p>
            <w:pPr>
              <w:pStyle w:val="TableParagraph"/>
              <w:spacing w:before="21"/>
              <w:ind w:right="53"/>
              <w:jc w:val="right"/>
              <w:rPr>
                <w:rFonts w:ascii="Times New Roman"/>
                <w:sz w:val="21"/>
              </w:rPr>
            </w:pPr>
            <w:r>
              <w:rPr>
                <w:rFonts w:ascii="Times New Roman"/>
                <w:sz w:val="21"/>
              </w:rPr>
              <w:t>22.</w:t>
            </w:r>
          </w:p>
        </w:tc>
        <w:tc>
          <w:tcPr>
            <w:tcW w:w="2788" w:type="dxa"/>
          </w:tcPr>
          <w:p>
            <w:pPr>
              <w:pStyle w:val="TableParagraph"/>
              <w:spacing w:line="249" w:lineRule="exact"/>
              <w:ind w:left="54"/>
              <w:rPr>
                <w:sz w:val="21"/>
              </w:rPr>
            </w:pPr>
            <w:r>
              <w:rPr>
                <w:sz w:val="21"/>
              </w:rPr>
              <w:t>严重运动神经元病</w:t>
            </w:r>
          </w:p>
        </w:tc>
        <w:tc>
          <w:tcPr>
            <w:tcW w:w="7022" w:type="dxa"/>
          </w:tcPr>
          <w:p>
            <w:pPr>
              <w:pStyle w:val="TableParagraph"/>
              <w:spacing w:line="249" w:lineRule="exact"/>
              <w:ind w:left="-2"/>
              <w:rPr>
                <w:sz w:val="21"/>
              </w:rPr>
            </w:pPr>
            <w:r>
              <w:rPr>
                <w:sz w:val="21"/>
              </w:rPr>
              <w:t>是一组中枢神经系统运动神经元的进行性变性疾病，包括进行性脊肌萎缩</w:t>
            </w:r>
          </w:p>
          <w:p>
            <w:pPr>
              <w:pStyle w:val="TableParagraph"/>
              <w:spacing w:line="273" w:lineRule="auto" w:before="37"/>
              <w:ind w:left="-2" w:right="200"/>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518" w:type="dxa"/>
          </w:tcPr>
          <w:p>
            <w:pPr>
              <w:pStyle w:val="TableParagraph"/>
              <w:spacing w:before="29"/>
              <w:ind w:right="53"/>
              <w:jc w:val="right"/>
              <w:rPr>
                <w:rFonts w:ascii="Times New Roman"/>
                <w:sz w:val="21"/>
              </w:rPr>
            </w:pPr>
            <w:r>
              <w:rPr>
                <w:rFonts w:ascii="Times New Roman"/>
                <w:sz w:val="21"/>
              </w:rPr>
              <w:t>23.</w:t>
            </w:r>
          </w:p>
        </w:tc>
        <w:tc>
          <w:tcPr>
            <w:tcW w:w="2788" w:type="dxa"/>
          </w:tcPr>
          <w:p>
            <w:pPr>
              <w:pStyle w:val="TableParagraph"/>
              <w:spacing w:line="273" w:lineRule="exact"/>
              <w:ind w:left="54"/>
              <w:rPr>
                <w:b/>
                <w:sz w:val="21"/>
              </w:rPr>
            </w:pPr>
            <w:r>
              <w:rPr>
                <w:sz w:val="21"/>
              </w:rPr>
              <w:t>语言能力丧失 </w:t>
            </w:r>
            <w:r>
              <w:rPr>
                <w:rFonts w:ascii="Times New Roman" w:eastAsia="Times New Roman"/>
                <w:sz w:val="21"/>
              </w:rPr>
              <w:t>-  </w:t>
            </w:r>
            <w:r>
              <w:rPr>
                <w:b/>
                <w:sz w:val="21"/>
              </w:rPr>
              <w:t>三岁始理</w:t>
            </w:r>
          </w:p>
          <w:p>
            <w:pPr>
              <w:pStyle w:val="TableParagraph"/>
              <w:spacing w:before="22"/>
              <w:ind w:left="54"/>
              <w:rPr>
                <w:b/>
                <w:sz w:val="21"/>
              </w:rPr>
            </w:pPr>
            <w:r>
              <w:rPr>
                <w:b/>
                <w:w w:val="100"/>
                <w:sz w:val="21"/>
              </w:rPr>
              <w:t>赔</w:t>
            </w:r>
          </w:p>
        </w:tc>
        <w:tc>
          <w:tcPr>
            <w:tcW w:w="7022" w:type="dxa"/>
          </w:tcPr>
          <w:p>
            <w:pPr>
              <w:pStyle w:val="TableParagraph"/>
              <w:spacing w:line="273" w:lineRule="exact"/>
              <w:ind w:left="-2"/>
              <w:rPr>
                <w:sz w:val="21"/>
              </w:rPr>
            </w:pPr>
            <w:r>
              <w:rPr>
                <w:spacing w:val="-10"/>
                <w:sz w:val="21"/>
              </w:rPr>
              <w:t>指因疾病或意外伤害导致完全丧失语言能力，经过积极治疗至少 </w:t>
            </w:r>
            <w:r>
              <w:rPr>
                <w:rFonts w:ascii="Times New Roman" w:eastAsia="Times New Roman"/>
                <w:sz w:val="21"/>
              </w:rPr>
              <w:t>12 </w:t>
            </w:r>
            <w:r>
              <w:rPr>
                <w:spacing w:val="-54"/>
                <w:sz w:val="21"/>
              </w:rPr>
              <w:t>个月</w:t>
            </w:r>
            <w:r>
              <w:rPr>
                <w:sz w:val="21"/>
              </w:rPr>
              <w:t>（声</w:t>
            </w:r>
          </w:p>
          <w:p>
            <w:pPr>
              <w:pStyle w:val="TableParagraph"/>
              <w:spacing w:line="273" w:lineRule="auto" w:before="22"/>
              <w:ind w:left="-2" w:right="1241"/>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8"/>
              <w:ind w:left="-2" w:right="200"/>
              <w:rPr>
                <w:sz w:val="21"/>
              </w:rPr>
            </w:pPr>
            <w:r>
              <w:rPr>
                <w:sz w:val="21"/>
              </w:rPr>
              <w:t>被保险人申请理赔时年龄必须在三周岁以上，并且提供理赔当时的语言能力丧失诊断及检查证据。</w:t>
            </w:r>
          </w:p>
        </w:tc>
      </w:tr>
      <w:tr>
        <w:trPr>
          <w:trHeight w:val="2192" w:hRule="atLeast"/>
        </w:trPr>
        <w:tc>
          <w:tcPr>
            <w:tcW w:w="518" w:type="dxa"/>
          </w:tcPr>
          <w:p>
            <w:pPr>
              <w:pStyle w:val="TableParagraph"/>
              <w:spacing w:before="29"/>
              <w:ind w:right="53"/>
              <w:jc w:val="right"/>
              <w:rPr>
                <w:rFonts w:ascii="Times New Roman"/>
                <w:sz w:val="21"/>
              </w:rPr>
            </w:pPr>
            <w:r>
              <w:rPr>
                <w:rFonts w:ascii="Times New Roman"/>
                <w:sz w:val="21"/>
              </w:rPr>
              <w:t>24.</w:t>
            </w:r>
          </w:p>
        </w:tc>
        <w:tc>
          <w:tcPr>
            <w:tcW w:w="2788" w:type="dxa"/>
          </w:tcPr>
          <w:p>
            <w:pPr>
              <w:pStyle w:val="TableParagraph"/>
              <w:spacing w:line="257" w:lineRule="exact"/>
              <w:ind w:left="54"/>
              <w:rPr>
                <w:sz w:val="21"/>
              </w:rPr>
            </w:pPr>
            <w:r>
              <w:rPr>
                <w:sz w:val="21"/>
              </w:rPr>
              <w:t>重型再生障碍性贫血</w:t>
            </w:r>
          </w:p>
        </w:tc>
        <w:tc>
          <w:tcPr>
            <w:tcW w:w="7022" w:type="dxa"/>
          </w:tcPr>
          <w:p>
            <w:pPr>
              <w:pStyle w:val="TableParagraph"/>
              <w:spacing w:line="257" w:lineRule="exact"/>
              <w:ind w:left="-2"/>
              <w:rPr>
                <w:sz w:val="21"/>
              </w:rPr>
            </w:pPr>
            <w:r>
              <w:rPr>
                <w:sz w:val="21"/>
              </w:rPr>
              <w:t>指因骨髓造血功能慢性持续性衰竭导致的贫血、中性粒细胞减少及血小板</w:t>
            </w:r>
          </w:p>
          <w:p>
            <w:pPr>
              <w:pStyle w:val="TableParagraph"/>
              <w:spacing w:before="37"/>
              <w:ind w:left="-2"/>
              <w:rPr>
                <w:sz w:val="21"/>
              </w:rPr>
            </w:pPr>
            <w:r>
              <w:rPr>
                <w:sz w:val="21"/>
              </w:rPr>
              <w:t>减少。须满足下列全部条件：</w:t>
            </w:r>
          </w:p>
          <w:p>
            <w:pPr>
              <w:pStyle w:val="TableParagraph"/>
              <w:spacing w:before="37"/>
              <w:ind w:left="-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2"/>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18" w:type="dxa"/>
          </w:tcPr>
          <w:p>
            <w:pPr>
              <w:pStyle w:val="TableParagraph"/>
              <w:spacing w:before="21"/>
              <w:ind w:right="53"/>
              <w:jc w:val="right"/>
              <w:rPr>
                <w:rFonts w:ascii="Times New Roman"/>
                <w:sz w:val="21"/>
              </w:rPr>
            </w:pPr>
            <w:r>
              <w:rPr>
                <w:rFonts w:ascii="Times New Roman"/>
                <w:sz w:val="21"/>
              </w:rPr>
              <w:t>25.</w:t>
            </w:r>
          </w:p>
        </w:tc>
        <w:tc>
          <w:tcPr>
            <w:tcW w:w="2788" w:type="dxa"/>
          </w:tcPr>
          <w:p>
            <w:pPr>
              <w:pStyle w:val="TableParagraph"/>
              <w:spacing w:line="249" w:lineRule="exact"/>
              <w:ind w:left="54"/>
              <w:rPr>
                <w:sz w:val="21"/>
              </w:rPr>
            </w:pPr>
            <w:r>
              <w:rPr>
                <w:sz w:val="21"/>
              </w:rPr>
              <w:t>主动脉手术</w:t>
            </w:r>
          </w:p>
        </w:tc>
        <w:tc>
          <w:tcPr>
            <w:tcW w:w="7022" w:type="dxa"/>
          </w:tcPr>
          <w:p>
            <w:pPr>
              <w:pStyle w:val="TableParagraph"/>
              <w:spacing w:line="249" w:lineRule="exact"/>
              <w:ind w:left="-2"/>
              <w:rPr>
                <w:sz w:val="21"/>
              </w:rPr>
            </w:pPr>
            <w:r>
              <w:rPr>
                <w:sz w:val="21"/>
              </w:rPr>
              <w:t>指为治疗主动脉疾病，实际实施了开胸或开腹进行的切除、置换、修补病</w:t>
            </w:r>
          </w:p>
          <w:p>
            <w:pPr>
              <w:pStyle w:val="TableParagraph"/>
              <w:spacing w:line="273" w:lineRule="auto" w:before="37"/>
              <w:ind w:left="-2" w:right="206"/>
              <w:rPr>
                <w:sz w:val="21"/>
              </w:rPr>
            </w:pPr>
            <w:r>
              <w:rPr>
                <w:sz w:val="21"/>
              </w:rPr>
              <w:t>损主动脉血管的手术。主动脉指胸主动脉和腹主动脉，不包括胸主动脉和腹主动脉的分支血管。</w:t>
            </w:r>
          </w:p>
          <w:p>
            <w:pPr>
              <w:pStyle w:val="TableParagraph"/>
              <w:spacing w:before="7"/>
              <w:ind w:left="-2"/>
              <w:rPr>
                <w:b/>
                <w:sz w:val="21"/>
              </w:rPr>
            </w:pPr>
            <w:r>
              <w:rPr>
                <w:b/>
                <w:sz w:val="21"/>
              </w:rPr>
              <w:t>动脉内血管成形术不在保障范围内。</w:t>
            </w:r>
          </w:p>
        </w:tc>
      </w:tr>
      <w:tr>
        <w:trPr>
          <w:trHeight w:val="2192" w:hRule="atLeast"/>
        </w:trPr>
        <w:tc>
          <w:tcPr>
            <w:tcW w:w="518" w:type="dxa"/>
          </w:tcPr>
          <w:p>
            <w:pPr>
              <w:pStyle w:val="TableParagraph"/>
              <w:spacing w:before="29"/>
              <w:ind w:right="53"/>
              <w:jc w:val="right"/>
              <w:rPr>
                <w:rFonts w:ascii="Times New Roman"/>
                <w:sz w:val="21"/>
              </w:rPr>
            </w:pPr>
            <w:r>
              <w:rPr>
                <w:rFonts w:ascii="Times New Roman"/>
                <w:sz w:val="21"/>
              </w:rPr>
              <w:t>26.</w:t>
            </w:r>
          </w:p>
        </w:tc>
        <w:tc>
          <w:tcPr>
            <w:tcW w:w="2788" w:type="dxa"/>
          </w:tcPr>
          <w:p>
            <w:pPr>
              <w:pStyle w:val="TableParagraph"/>
              <w:spacing w:line="257" w:lineRule="exact"/>
              <w:ind w:left="54"/>
              <w:rPr>
                <w:sz w:val="21"/>
              </w:rPr>
            </w:pPr>
            <w:r>
              <w:rPr>
                <w:sz w:val="21"/>
              </w:rPr>
              <w:t>严重多发性硬化</w:t>
            </w:r>
          </w:p>
        </w:tc>
        <w:tc>
          <w:tcPr>
            <w:tcW w:w="7022" w:type="dxa"/>
          </w:tcPr>
          <w:p>
            <w:pPr>
              <w:pStyle w:val="TableParagraph"/>
              <w:spacing w:line="257" w:lineRule="exact"/>
              <w:ind w:left="-2"/>
              <w:rPr>
                <w:sz w:val="21"/>
              </w:rPr>
            </w:pPr>
            <w:r>
              <w:rPr>
                <w:sz w:val="21"/>
              </w:rPr>
              <w:t>多发性硬化为中枢神经系统白质多灶性脱髓鞘病变，病变有时累及灰质。</w:t>
            </w:r>
          </w:p>
          <w:p>
            <w:pPr>
              <w:pStyle w:val="TableParagraph"/>
              <w:spacing w:line="261" w:lineRule="auto" w:before="37"/>
              <w:ind w:left="-2" w:right="197"/>
              <w:jc w:val="both"/>
              <w:rPr>
                <w:sz w:val="21"/>
              </w:rPr>
            </w:pPr>
            <w:r>
              <w:rPr>
                <w:spacing w:val="-6"/>
                <w:sz w:val="21"/>
              </w:rPr>
              <w:t>多发性硬化须由核磁共振</w:t>
            </w:r>
            <w:r>
              <w:rPr>
                <w:spacing w:val="-7"/>
                <w:sz w:val="21"/>
              </w:rPr>
              <w:t>（</w:t>
            </w:r>
            <w:r>
              <w:rPr>
                <w:rFonts w:ascii="Times New Roman" w:eastAsia="Times New Roman"/>
                <w:spacing w:val="-7"/>
                <w:sz w:val="21"/>
              </w:rPr>
              <w:t>MRI</w:t>
            </w:r>
            <w:r>
              <w:rPr>
                <w:spacing w:val="-7"/>
                <w:sz w:val="21"/>
              </w:rPr>
              <w:t>）</w:t>
            </w:r>
            <w:r>
              <w:rPr>
                <w:spacing w:val="-6"/>
                <w:sz w:val="21"/>
              </w:rPr>
              <w:t>等影像学检查证实，经三级医院神经科专科医生明确诊断，并且已经造成永久不可逆的神经系统功能损害。永久不</w:t>
            </w:r>
            <w:r>
              <w:rPr>
                <w:spacing w:val="-3"/>
                <w:sz w:val="21"/>
              </w:rPr>
              <w:t>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3185" w:hRule="atLeast"/>
        </w:trPr>
        <w:tc>
          <w:tcPr>
            <w:tcW w:w="518" w:type="dxa"/>
          </w:tcPr>
          <w:p>
            <w:pPr>
              <w:pStyle w:val="TableParagraph"/>
              <w:spacing w:before="21"/>
              <w:ind w:right="53"/>
              <w:jc w:val="right"/>
              <w:rPr>
                <w:rFonts w:ascii="Times New Roman"/>
                <w:sz w:val="21"/>
              </w:rPr>
            </w:pPr>
            <w:r>
              <w:rPr>
                <w:rFonts w:ascii="Times New Roman"/>
                <w:sz w:val="21"/>
              </w:rPr>
              <w:t>27.</w:t>
            </w:r>
          </w:p>
        </w:tc>
        <w:tc>
          <w:tcPr>
            <w:tcW w:w="2788" w:type="dxa"/>
            <w:tcBorders>
              <w:right w:val="single" w:sz="4" w:space="0" w:color="000000"/>
            </w:tcBorders>
          </w:tcPr>
          <w:p>
            <w:pPr>
              <w:pStyle w:val="TableParagraph"/>
              <w:spacing w:line="265" w:lineRule="exact"/>
              <w:ind w:left="54"/>
              <w:rPr>
                <w:sz w:val="21"/>
              </w:rPr>
            </w:pPr>
            <w:r>
              <w:rPr>
                <w:sz w:val="21"/>
              </w:rPr>
              <w:t>因职业关系导致的 </w:t>
            </w:r>
            <w:r>
              <w:rPr>
                <w:rFonts w:ascii="Times New Roman" w:eastAsia="Times New Roman"/>
                <w:sz w:val="21"/>
              </w:rPr>
              <w:t>HIV </w:t>
            </w:r>
            <w:r>
              <w:rPr>
                <w:sz w:val="21"/>
              </w:rPr>
              <w:t>感</w:t>
            </w:r>
          </w:p>
          <w:p>
            <w:pPr>
              <w:pStyle w:val="TableParagraph"/>
              <w:spacing w:before="21"/>
              <w:ind w:left="54"/>
              <w:rPr>
                <w:sz w:val="21"/>
              </w:rPr>
            </w:pPr>
            <w:r>
              <w:rPr>
                <w:w w:val="100"/>
                <w:sz w:val="21"/>
              </w:rPr>
              <w:t>染</w:t>
            </w:r>
          </w:p>
        </w:tc>
        <w:tc>
          <w:tcPr>
            <w:tcW w:w="7022" w:type="dxa"/>
            <w:tcBorders>
              <w:left w:val="single" w:sz="4" w:space="0" w:color="000000"/>
              <w:bottom w:val="single" w:sz="4" w:space="0" w:color="000000"/>
            </w:tcBorders>
          </w:tcPr>
          <w:p>
            <w:pPr>
              <w:pStyle w:val="TableParagraph"/>
              <w:spacing w:line="250" w:lineRule="exact"/>
              <w:ind w:left="-7"/>
              <w:rPr>
                <w:sz w:val="21"/>
              </w:rPr>
            </w:pPr>
            <w:r>
              <w:rPr>
                <w:sz w:val="21"/>
              </w:rPr>
              <w:t>被保险人在其常规职业工作过程中遭遇外伤，或者职业需要处理血液或者</w:t>
            </w:r>
          </w:p>
          <w:p>
            <w:pPr>
              <w:pStyle w:val="TableParagraph"/>
              <w:spacing w:line="256" w:lineRule="auto" w:before="37"/>
              <w:ind w:left="-7" w:right="2865"/>
              <w:rPr>
                <w:sz w:val="21"/>
              </w:rPr>
            </w:pPr>
            <w:r>
              <w:rPr>
                <w:spacing w:val="-3"/>
                <w:w w:val="100"/>
                <w:sz w:val="21"/>
              </w:rPr>
              <w:t>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p>
            <w:pPr>
              <w:pStyle w:val="TableParagraph"/>
              <w:spacing w:line="256" w:lineRule="auto" w:before="22"/>
              <w:ind w:left="-7" w:right="197"/>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1" w:val="left" w:leader="none"/>
              </w:tabs>
              <w:spacing w:before="31"/>
              <w:ind w:left="67"/>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1" w:val="left" w:leader="none"/>
              </w:tabs>
              <w:spacing w:before="51"/>
              <w:ind w:left="67"/>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1" w:val="left" w:leader="none"/>
              </w:tabs>
              <w:spacing w:line="288" w:lineRule="auto" w:before="51"/>
              <w:ind w:left="67" w:right="2749"/>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1" w:val="left" w:leader="none"/>
              </w:tabs>
              <w:spacing w:before="9"/>
              <w:ind w:left="67"/>
              <w:rPr>
                <w:sz w:val="21"/>
              </w:rPr>
            </w:pPr>
            <w:r>
              <w:rPr>
                <w:sz w:val="21"/>
              </w:rPr>
              <w:t>警察</w:t>
              <w:tab/>
              <w:t>狱警</w:t>
            </w:r>
          </w:p>
        </w:tc>
      </w:tr>
    </w:tbl>
    <w:p>
      <w:pPr>
        <w:rPr>
          <w:sz w:val="2"/>
          <w:szCs w:val="2"/>
        </w:rPr>
      </w:pPr>
      <w:r>
        <w:rPr/>
        <w:pict>
          <v:group style="position:absolute;margin-left:209.570007pt;margin-top:663.820007pt;width:278.1pt;height:81.5pt;mso-position-horizontal-relative:page;mso-position-vertical-relative:page;z-index:-33784" coordorigin="4191,13276" coordsize="5562,1630">
            <v:line style="position:absolute" from="4191,13281" to="6906,13281" stroked="true" strokeweight=".48004pt" strokecolor="#000000">
              <v:stroke dashstyle="solid"/>
            </v:line>
            <v:rect style="position:absolute;left:6906;top:13276;width:10;height:10" filled="true" fillcolor="#000000" stroked="false">
              <v:fill type="solid"/>
            </v:rect>
            <v:line style="position:absolute" from="6916,13281" to="9743,13281" stroked="true" strokeweight=".48004pt" strokecolor="#000000">
              <v:stroke dashstyle="solid"/>
            </v:line>
            <v:line style="position:absolute" from="4191,13605" to="6906,13605" stroked="true" strokeweight=".72003pt" strokecolor="#000000">
              <v:stroke dashstyle="solid"/>
            </v:line>
            <v:line style="position:absolute" from="6921,13605" to="9743,13605" stroked="true" strokeweight=".72003pt" strokecolor="#000000">
              <v:stroke dashstyle="solid"/>
            </v:line>
            <v:line style="position:absolute" from="4191,13932" to="6906,13932" stroked="true" strokeweight=".72003pt" strokecolor="#000000">
              <v:stroke dashstyle="solid"/>
            </v:line>
            <v:line style="position:absolute" from="6921,13932" to="9743,13932" stroked="true" strokeweight=".72003pt" strokecolor="#000000">
              <v:stroke dashstyle="solid"/>
            </v:line>
            <v:line style="position:absolute" from="4191,14258" to="6906,14258" stroked="true" strokeweight=".71997pt" strokecolor="#000000">
              <v:stroke dashstyle="solid"/>
            </v:line>
            <v:line style="position:absolute" from="6921,14258" to="9743,14258" stroked="true" strokeweight=".71997pt" strokecolor="#000000">
              <v:stroke dashstyle="solid"/>
            </v:line>
            <v:line style="position:absolute" from="4191,14587" to="6906,14587" stroked="true" strokeweight=".71997pt" strokecolor="#000000">
              <v:stroke dashstyle="solid"/>
            </v:line>
            <v:line style="position:absolute" from="6921,14587" to="9743,14587" stroked="true" strokeweight=".71997pt" strokecolor="#000000">
              <v:stroke dashstyle="solid"/>
            </v:line>
            <v:line style="position:absolute" from="6913,13286" to="6913,14906" stroked="true" strokeweight=".72pt" strokecolor="#000000">
              <v:stroke dashstyle="solid"/>
            </v:line>
            <v:line style="position:absolute" from="9748,13276" to="9748,14906" stroked="true" strokeweight=".48001pt" strokecolor="#000000">
              <v:stroke dashstyle="solid"/>
            </v:line>
            <w10:wrap type="none"/>
          </v:group>
        </w:pict>
      </w:r>
    </w:p>
    <w:p>
      <w:pPr>
        <w:spacing w:after="0"/>
        <w:rPr>
          <w:sz w:val="2"/>
          <w:szCs w:val="2"/>
        </w:rPr>
        <w:sectPr>
          <w:pgSz w:w="11910" w:h="16160"/>
          <w:pgMar w:header="0" w:footer="631" w:top="144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180"/>
      </w:tblGrid>
      <w:tr>
        <w:trPr>
          <w:trHeight w:val="1824" w:hRule="atLeast"/>
        </w:trPr>
        <w:tc>
          <w:tcPr>
            <w:tcW w:w="518" w:type="dxa"/>
          </w:tcPr>
          <w:p>
            <w:pPr>
              <w:pStyle w:val="TableParagraph"/>
              <w:rPr>
                <w:rFonts w:ascii="Times New Roman"/>
                <w:sz w:val="20"/>
              </w:rPr>
            </w:pPr>
          </w:p>
        </w:tc>
        <w:tc>
          <w:tcPr>
            <w:tcW w:w="2636" w:type="dxa"/>
          </w:tcPr>
          <w:p>
            <w:pPr>
              <w:pStyle w:val="TableParagraph"/>
              <w:rPr>
                <w:rFonts w:ascii="Times New Roman"/>
                <w:sz w:val="20"/>
              </w:rPr>
            </w:pPr>
          </w:p>
        </w:tc>
        <w:tc>
          <w:tcPr>
            <w:tcW w:w="7180" w:type="dxa"/>
          </w:tcPr>
          <w:p>
            <w:pPr>
              <w:pStyle w:val="TableParagraph"/>
              <w:spacing w:line="234" w:lineRule="exact"/>
              <w:ind w:left="15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w:t>
            </w:r>
          </w:p>
          <w:p>
            <w:pPr>
              <w:pStyle w:val="TableParagraph"/>
              <w:spacing w:before="21"/>
              <w:ind w:left="150"/>
              <w:rPr>
                <w:sz w:val="21"/>
              </w:rPr>
            </w:pPr>
            <w:r>
              <w:rPr>
                <w:sz w:val="21"/>
              </w:rPr>
              <w:t>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20"/>
              <w:ind w:left="150"/>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0"/>
              <w:ind w:left="150"/>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312" w:lineRule="exact" w:before="16"/>
              <w:ind w:left="150" w:right="301"/>
              <w:rPr>
                <w:sz w:val="21"/>
              </w:rPr>
            </w:pPr>
            <w:r>
              <w:rPr>
                <w:sz w:val="21"/>
              </w:rPr>
              <w:t>我们承担本项疾病责任不受本合同第八条“责任免除”中“被保险人感染艾滋病病毒或患艾滋病”的限制。</w:t>
            </w:r>
          </w:p>
        </w:tc>
      </w:tr>
      <w:tr>
        <w:trPr>
          <w:trHeight w:val="3744" w:hRule="atLeast"/>
        </w:trPr>
        <w:tc>
          <w:tcPr>
            <w:tcW w:w="518" w:type="dxa"/>
          </w:tcPr>
          <w:p>
            <w:pPr>
              <w:pStyle w:val="TableParagraph"/>
              <w:spacing w:before="38"/>
              <w:ind w:right="53"/>
              <w:jc w:val="right"/>
              <w:rPr>
                <w:rFonts w:ascii="Times New Roman"/>
                <w:sz w:val="21"/>
              </w:rPr>
            </w:pPr>
            <w:r>
              <w:rPr>
                <w:rFonts w:ascii="Times New Roman"/>
                <w:sz w:val="21"/>
              </w:rPr>
              <w:t>28.</w:t>
            </w:r>
          </w:p>
        </w:tc>
        <w:tc>
          <w:tcPr>
            <w:tcW w:w="2636" w:type="dxa"/>
          </w:tcPr>
          <w:p>
            <w:pPr>
              <w:pStyle w:val="TableParagraph"/>
              <w:spacing w:line="273" w:lineRule="auto"/>
              <w:ind w:left="54" w:right="148"/>
              <w:rPr>
                <w:sz w:val="21"/>
              </w:rPr>
            </w:pPr>
            <w:r>
              <w:rPr>
                <w:sz w:val="21"/>
              </w:rPr>
              <w:t>特发性慢性肾上腺皮质功能减退</w:t>
            </w:r>
          </w:p>
        </w:tc>
        <w:tc>
          <w:tcPr>
            <w:tcW w:w="7180" w:type="dxa"/>
          </w:tcPr>
          <w:p>
            <w:pPr>
              <w:pStyle w:val="TableParagraph"/>
              <w:spacing w:line="273" w:lineRule="auto"/>
              <w:ind w:left="150" w:right="213"/>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150"/>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675"/>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150" w:right="267" w:firstLine="525"/>
              <w:jc w:val="both"/>
              <w:rPr>
                <w:sz w:val="21"/>
              </w:rPr>
            </w:pPr>
            <w:r>
              <w:rPr>
                <w:spacing w:val="-1"/>
                <w:sz w:val="21"/>
              </w:rPr>
              <w:t>② 血浆和尿游离皮质醇及尿</w:t>
            </w:r>
            <w:r>
              <w:rPr>
                <w:sz w:val="21"/>
              </w:rPr>
              <w:t>17</w:t>
            </w:r>
            <w:r>
              <w:rPr>
                <w:spacing w:val="-24"/>
                <w:sz w:val="21"/>
              </w:rPr>
              <w:t> 羟皮质类固醇、</w:t>
            </w:r>
            <w:r>
              <w:rPr>
                <w:sz w:val="21"/>
              </w:rPr>
              <w:t>17</w:t>
            </w:r>
            <w:r>
              <w:rPr>
                <w:spacing w:val="-12"/>
                <w:sz w:val="21"/>
              </w:rPr>
              <w:t> 酮皮质类固醇测定</w:t>
            </w:r>
            <w:r>
              <w:rPr>
                <w:spacing w:val="-9"/>
                <w:sz w:val="21"/>
              </w:rPr>
              <w:t>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left="150" w:right="215" w:firstLine="525"/>
              <w:jc w:val="both"/>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50"/>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150" w:right="206"/>
              <w:rPr>
                <w:b/>
                <w:sz w:val="21"/>
              </w:rPr>
            </w:pPr>
            <w:r>
              <w:rPr>
                <w:b/>
                <w:sz w:val="21"/>
              </w:rPr>
              <w:t>肾上腺结核、</w:t>
            </w:r>
            <w:r>
              <w:rPr>
                <w:rFonts w:ascii="Times New Roman" w:eastAsia="Times New Roman"/>
                <w:b/>
                <w:sz w:val="21"/>
              </w:rPr>
              <w:t>HIV</w:t>
            </w:r>
            <w:r>
              <w:rPr>
                <w:rFonts w:ascii="Times New Roman" w:eastAsia="Times New Roman"/>
                <w:b/>
                <w:spacing w:val="51"/>
                <w:sz w:val="21"/>
              </w:rPr>
              <w:t> </w:t>
            </w:r>
            <w:r>
              <w:rPr>
                <w:b/>
                <w:spacing w:val="-3"/>
                <w:sz w:val="21"/>
              </w:rPr>
              <w:t>感染或艾滋病、感染、肿瘤所致的原发性肾上腺皮质功能减退和继发性肾上腺皮质功能减退不在保障范围内。</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29.</w:t>
            </w:r>
          </w:p>
        </w:tc>
        <w:tc>
          <w:tcPr>
            <w:tcW w:w="2636" w:type="dxa"/>
          </w:tcPr>
          <w:p>
            <w:pPr>
              <w:pStyle w:val="TableParagraph"/>
              <w:spacing w:line="273" w:lineRule="auto"/>
              <w:ind w:left="54" w:right="148"/>
              <w:rPr>
                <w:sz w:val="21"/>
              </w:rPr>
            </w:pPr>
            <w:r>
              <w:rPr>
                <w:sz w:val="21"/>
              </w:rPr>
              <w:t>严重冠状动脉粥样硬化性心脏病</w:t>
            </w:r>
          </w:p>
        </w:tc>
        <w:tc>
          <w:tcPr>
            <w:tcW w:w="7180" w:type="dxa"/>
          </w:tcPr>
          <w:p>
            <w:pPr>
              <w:pStyle w:val="TableParagraph"/>
              <w:spacing w:line="273" w:lineRule="auto"/>
              <w:ind w:left="150" w:right="206"/>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left="150" w:right="203"/>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50" w:right="203"/>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312" w:lineRule="exact" w:before="1"/>
              <w:ind w:left="150" w:right="206"/>
              <w:rPr>
                <w:b/>
                <w:sz w:val="21"/>
              </w:rPr>
            </w:pPr>
            <w:r>
              <w:rPr>
                <w:b/>
                <w:sz w:val="21"/>
              </w:rPr>
              <w:t>前降支的分支血管、左旋支的分支血管及右冠状动脉的分支血管的狭窄不作为本保障的衡量指标。</w:t>
            </w:r>
          </w:p>
        </w:tc>
      </w:tr>
      <w:tr>
        <w:trPr>
          <w:trHeight w:val="1560" w:hRule="atLeast"/>
        </w:trPr>
        <w:tc>
          <w:tcPr>
            <w:tcW w:w="518" w:type="dxa"/>
          </w:tcPr>
          <w:p>
            <w:pPr>
              <w:pStyle w:val="TableParagraph"/>
              <w:spacing w:before="38"/>
              <w:ind w:right="53"/>
              <w:jc w:val="right"/>
              <w:rPr>
                <w:rFonts w:ascii="Times New Roman"/>
                <w:sz w:val="21"/>
              </w:rPr>
            </w:pPr>
            <w:r>
              <w:rPr>
                <w:rFonts w:ascii="Times New Roman"/>
                <w:sz w:val="21"/>
              </w:rPr>
              <w:t>30.</w:t>
            </w:r>
          </w:p>
        </w:tc>
        <w:tc>
          <w:tcPr>
            <w:tcW w:w="2636" w:type="dxa"/>
          </w:tcPr>
          <w:p>
            <w:pPr>
              <w:pStyle w:val="TableParagraph"/>
              <w:spacing w:line="266" w:lineRule="exact"/>
              <w:ind w:left="54"/>
              <w:rPr>
                <w:sz w:val="21"/>
              </w:rPr>
            </w:pPr>
            <w:r>
              <w:rPr>
                <w:sz w:val="21"/>
              </w:rPr>
              <w:t>脊髓灰质炎</w:t>
            </w:r>
          </w:p>
        </w:tc>
        <w:tc>
          <w:tcPr>
            <w:tcW w:w="7180" w:type="dxa"/>
          </w:tcPr>
          <w:p>
            <w:pPr>
              <w:pStyle w:val="TableParagraph"/>
              <w:spacing w:line="268" w:lineRule="auto"/>
              <w:ind w:left="150" w:right="203"/>
              <w:jc w:val="both"/>
              <w:rPr>
                <w:sz w:val="21"/>
              </w:rPr>
            </w:pPr>
            <w:r>
              <w:rPr>
                <w:sz w:val="21"/>
              </w:rPr>
              <w:t>指由于脊髓灰质炎病毒感染所致的瘫痪性疾病，临床表现为运动功能损害或呼吸无力。脊髓灰质炎必须明确诊断。</w:t>
            </w:r>
            <w:r>
              <w:rPr>
                <w:b/>
                <w:sz w:val="21"/>
              </w:rPr>
              <w:t>本合同仅对脊髓灰质炎造成的神经系统功能损害导致被保险人一肢或一肢以上肢体机能永久完全丧失的情</w:t>
            </w:r>
            <w:r>
              <w:rPr>
                <w:b/>
                <w:spacing w:val="-1"/>
                <w:sz w:val="21"/>
              </w:rPr>
              <w:t>况予以理赔。</w:t>
            </w:r>
            <w:r>
              <w:rPr>
                <w:spacing w:val="-4"/>
                <w:sz w:val="21"/>
              </w:rPr>
              <w:t>肢体机能永久完全丧失，指疾病确诊</w:t>
            </w:r>
            <w:r>
              <w:rPr>
                <w:rFonts w:ascii="Times New Roman" w:eastAsia="Times New Roman"/>
                <w:sz w:val="21"/>
              </w:rPr>
              <w:t>180</w:t>
            </w:r>
            <w:r>
              <w:rPr>
                <w:spacing w:val="-3"/>
                <w:sz w:val="21"/>
              </w:rPr>
              <w:t>天后，每肢三大关节中的两大关节仍然完全僵硬，或不能随意识活动。</w:t>
            </w:r>
          </w:p>
        </w:tc>
      </w:tr>
      <w:tr>
        <w:trPr>
          <w:trHeight w:val="3120" w:hRule="atLeast"/>
        </w:trPr>
        <w:tc>
          <w:tcPr>
            <w:tcW w:w="518" w:type="dxa"/>
          </w:tcPr>
          <w:p>
            <w:pPr>
              <w:pStyle w:val="TableParagraph"/>
              <w:spacing w:before="38"/>
              <w:ind w:right="53"/>
              <w:jc w:val="right"/>
              <w:rPr>
                <w:rFonts w:ascii="Times New Roman"/>
                <w:sz w:val="21"/>
              </w:rPr>
            </w:pPr>
            <w:r>
              <w:rPr>
                <w:rFonts w:ascii="Times New Roman"/>
                <w:sz w:val="21"/>
              </w:rPr>
              <w:t>31.</w:t>
            </w:r>
          </w:p>
        </w:tc>
        <w:tc>
          <w:tcPr>
            <w:tcW w:w="2636" w:type="dxa"/>
          </w:tcPr>
          <w:p>
            <w:pPr>
              <w:pStyle w:val="TableParagraph"/>
              <w:spacing w:line="266" w:lineRule="exact"/>
              <w:ind w:left="54"/>
              <w:rPr>
                <w:sz w:val="21"/>
              </w:rPr>
            </w:pPr>
            <w:r>
              <w:rPr>
                <w:sz w:val="21"/>
              </w:rPr>
              <w:t>全身性（型）重症肌无力</w:t>
            </w:r>
          </w:p>
        </w:tc>
        <w:tc>
          <w:tcPr>
            <w:tcW w:w="7180" w:type="dxa"/>
          </w:tcPr>
          <w:p>
            <w:pPr>
              <w:pStyle w:val="TableParagraph"/>
              <w:spacing w:line="273" w:lineRule="auto"/>
              <w:ind w:left="150" w:right="206"/>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64" w:lineRule="auto" w:before="16"/>
              <w:ind w:left="150" w:right="200"/>
              <w:jc w:val="both"/>
              <w:rPr>
                <w:sz w:val="21"/>
              </w:rPr>
            </w:pPr>
            <w:r>
              <w:rPr>
                <w:spacing w:val="-19"/>
                <w:sz w:val="21"/>
              </w:rPr>
              <w:t>（</w:t>
            </w:r>
            <w:r>
              <w:rPr>
                <w:rFonts w:ascii="Times New Roman" w:eastAsia="Times New Roman"/>
                <w:spacing w:val="-19"/>
                <w:sz w:val="21"/>
              </w:rPr>
              <w:t>1</w:t>
            </w:r>
            <w:r>
              <w:rPr>
                <w:spacing w:val="-19"/>
                <w:sz w:val="21"/>
              </w:rPr>
              <w:t>）</w:t>
            </w:r>
            <w:r>
              <w:rPr>
                <w:spacing w:val="-14"/>
                <w:sz w:val="21"/>
              </w:rPr>
              <w:t>经药物、胸腺手术治疗一年以上无法控制病情，丧失正常工作能力</w:t>
            </w:r>
            <w:r>
              <w:rPr>
                <w:sz w:val="21"/>
              </w:rPr>
              <w:t>（为维持生命必要的日常生活活动，全需他人扶助，系指食物摄取、大小便始</w:t>
            </w:r>
            <w:r>
              <w:rPr>
                <w:spacing w:val="-17"/>
                <w:sz w:val="21"/>
              </w:rPr>
              <w:t>末、穿脱衣服、起居、步行、入浴等，皆不能自己为之，需要他人帮助。</w:t>
            </w:r>
            <w:r>
              <w:rPr>
                <w:sz w:val="21"/>
              </w:rPr>
              <w:t>）</w:t>
            </w:r>
          </w:p>
          <w:p>
            <w:pPr>
              <w:pStyle w:val="TableParagraph"/>
              <w:spacing w:line="256" w:lineRule="auto" w:before="15"/>
              <w:ind w:left="150" w:right="203"/>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50" w:right="203"/>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906" w:hRule="atLeast"/>
        </w:trPr>
        <w:tc>
          <w:tcPr>
            <w:tcW w:w="518" w:type="dxa"/>
          </w:tcPr>
          <w:p>
            <w:pPr>
              <w:pStyle w:val="TableParagraph"/>
              <w:spacing w:before="38"/>
              <w:ind w:right="53"/>
              <w:jc w:val="right"/>
              <w:rPr>
                <w:rFonts w:ascii="Times New Roman"/>
                <w:sz w:val="21"/>
              </w:rPr>
            </w:pPr>
            <w:r>
              <w:rPr>
                <w:rFonts w:ascii="Times New Roman"/>
                <w:sz w:val="21"/>
              </w:rPr>
              <w:t>32.</w:t>
            </w:r>
          </w:p>
        </w:tc>
        <w:tc>
          <w:tcPr>
            <w:tcW w:w="2636" w:type="dxa"/>
          </w:tcPr>
          <w:p>
            <w:pPr>
              <w:pStyle w:val="TableParagraph"/>
              <w:spacing w:line="266" w:lineRule="exact"/>
              <w:ind w:left="54"/>
              <w:rPr>
                <w:sz w:val="21"/>
              </w:rPr>
            </w:pPr>
            <w:r>
              <w:rPr>
                <w:sz w:val="21"/>
              </w:rPr>
              <w:t>严重心肌病</w:t>
            </w:r>
          </w:p>
        </w:tc>
        <w:tc>
          <w:tcPr>
            <w:tcW w:w="7180" w:type="dxa"/>
          </w:tcPr>
          <w:p>
            <w:pPr>
              <w:pStyle w:val="TableParagraph"/>
              <w:spacing w:line="273" w:lineRule="auto"/>
              <w:ind w:left="150" w:right="198"/>
              <w:rPr>
                <w:sz w:val="21"/>
              </w:rPr>
            </w:pPr>
            <w:r>
              <w:rPr>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级，且</w:t>
            </w:r>
          </w:p>
          <w:p>
            <w:pPr>
              <w:pStyle w:val="TableParagraph"/>
              <w:spacing w:line="260" w:lineRule="exact" w:before="9"/>
              <w:ind w:left="150"/>
              <w:rPr>
                <w:sz w:val="21"/>
              </w:rPr>
            </w:pPr>
            <w:r>
              <w:rPr>
                <w:sz w:val="21"/>
              </w:rPr>
              <w:t>心功能衰竭状态持续至少</w:t>
            </w:r>
            <w:r>
              <w:rPr>
                <w:rFonts w:ascii="Times New Roman" w:eastAsia="Times New Roman"/>
                <w:sz w:val="21"/>
              </w:rPr>
              <w:t>180</w:t>
            </w:r>
            <w:r>
              <w:rPr>
                <w:sz w:val="21"/>
              </w:rPr>
              <w:t>天。被保险人永久不可逆性的体力活动能力受</w:t>
            </w:r>
          </w:p>
        </w:tc>
      </w:tr>
    </w:tbl>
    <w:p>
      <w:pPr>
        <w:spacing w:after="0" w:line="260" w:lineRule="exact"/>
        <w:rPr>
          <w:sz w:val="21"/>
        </w:rPr>
        <w:sectPr>
          <w:pgSz w:w="11910" w:h="16160"/>
          <w:pgMar w:header="0" w:footer="631" w:top="1420" w:bottom="820" w:left="760" w:right="580"/>
        </w:sectPr>
      </w:pPr>
    </w:p>
    <w:p>
      <w:pPr>
        <w:pStyle w:val="BodyText"/>
        <w:spacing w:before="7"/>
        <w:ind w:left="3221"/>
      </w:pPr>
      <w:r>
        <w:rPr/>
        <w:t>限，且不能从事任何体力活动。</w:t>
      </w:r>
    </w:p>
    <w:p>
      <w:pPr>
        <w:pStyle w:val="ListParagraph"/>
        <w:numPr>
          <w:ilvl w:val="0"/>
          <w:numId w:val="10"/>
        </w:numPr>
        <w:tabs>
          <w:tab w:pos="491" w:val="left" w:leader="none"/>
          <w:tab w:pos="3221" w:val="left" w:leader="none"/>
        </w:tabs>
        <w:spacing w:line="240" w:lineRule="auto" w:before="49" w:after="0"/>
        <w:ind w:left="490" w:right="0" w:hanging="373"/>
        <w:jc w:val="left"/>
        <w:rPr>
          <w:sz w:val="21"/>
        </w:rPr>
      </w:pPr>
      <w:r>
        <w:rPr>
          <w:sz w:val="21"/>
        </w:rPr>
        <w:t>严重</w:t>
      </w:r>
      <w:r>
        <w:rPr>
          <w:spacing w:val="-3"/>
          <w:sz w:val="21"/>
        </w:rPr>
        <w:t>克</w:t>
      </w:r>
      <w:r>
        <w:rPr>
          <w:sz w:val="21"/>
        </w:rPr>
        <w:t>罗</w:t>
      </w:r>
      <w:r>
        <w:rPr>
          <w:spacing w:val="-3"/>
          <w:sz w:val="21"/>
        </w:rPr>
        <w:t>恩</w:t>
      </w:r>
      <w:r>
        <w:rPr>
          <w:spacing w:val="-73"/>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3"/>
          <w:sz w:val="21"/>
        </w:rPr>
        <w:t> </w:t>
      </w:r>
      <w:r>
        <w:rPr>
          <w:sz w:val="21"/>
        </w:rPr>
        <w:t>病</w:t>
        <w:tab/>
        <w:t>克罗恩病是一种慢性肉芽肿性肠炎，具有特征性的克罗恩病病理组织学变</w:t>
      </w:r>
    </w:p>
    <w:p>
      <w:pPr>
        <w:pStyle w:val="BodyText"/>
        <w:spacing w:line="273" w:lineRule="auto" w:before="21"/>
        <w:ind w:left="3221" w:right="181"/>
        <w:jc w:val="both"/>
      </w:pPr>
      <w:r>
        <w:rPr/>
        <w:t>化。诊断必须由病理检查结果证实。被保险人所患的克罗恩病必须已经造成瘘管形成并伴有肠梗阻或肠穿孔。</w:t>
      </w: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本合同所保障的溃疡性结肠炎是指伴有致命性电解质紊乱的急性暴发性溃</w:t>
      </w:r>
    </w:p>
    <w:p>
      <w:pPr>
        <w:pStyle w:val="BodyText"/>
        <w:spacing w:line="273" w:lineRule="auto" w:before="20"/>
        <w:ind w:left="3221" w:right="181"/>
        <w:jc w:val="both"/>
      </w:pPr>
      <w:r>
        <w:rPr/>
        <w:t>疡性结肠炎，病变累及全结肠，表现为严重的血便和系统性症状体征。溃疡性结肠炎必须根据组织病理学特点诊断，并且被保险人已经接受了结肠切除或回肠造瘘术。</w:t>
      </w: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植物</w:t>
      </w:r>
      <w:r>
        <w:rPr>
          <w:spacing w:val="-3"/>
          <w:sz w:val="21"/>
        </w:rPr>
        <w:t>人</w:t>
      </w:r>
      <w:r>
        <w:rPr>
          <w:sz w:val="21"/>
        </w:rPr>
        <w:t>状态</w:t>
        <w:tab/>
        <w:t>植物人状态是指由于严重颅脑外伤造成大脑和</w:t>
      </w:r>
      <w:r>
        <w:rPr>
          <w:rFonts w:ascii="Times New Roman" w:eastAsia="Times New Roman"/>
          <w:sz w:val="21"/>
        </w:rPr>
        <w:t>/</w:t>
      </w:r>
      <w:r>
        <w:rPr>
          <w:sz w:val="21"/>
        </w:rPr>
        <w:t>或脑干严重损害导致完全永</w:t>
      </w:r>
    </w:p>
    <w:p>
      <w:pPr>
        <w:pStyle w:val="BodyText"/>
        <w:spacing w:line="266" w:lineRule="auto" w:before="21"/>
        <w:ind w:left="3221" w:right="181"/>
        <w:jc w:val="both"/>
      </w:pPr>
      <w:r>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10"/>
        </w:numPr>
        <w:tabs>
          <w:tab w:pos="491" w:val="left" w:leader="none"/>
          <w:tab w:pos="3221" w:val="left" w:leader="none"/>
        </w:tabs>
        <w:spacing w:line="240" w:lineRule="auto" w:before="14" w:after="0"/>
        <w:ind w:left="490" w:right="0" w:hanging="373"/>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指由于胰岛素分泌绝对不足引起的慢性血糖升高，且已经持续性地依赖外</w:t>
      </w:r>
    </w:p>
    <w:p>
      <w:pPr>
        <w:pStyle w:val="BodyText"/>
        <w:spacing w:line="266" w:lineRule="auto" w:before="21"/>
        <w:ind w:left="3221" w:right="50"/>
      </w:pPr>
      <w:r>
        <w:rPr/>
        <w:t>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 结果异常，并由内分泌科专科医生明确诊断。并须在本合同有效期内，且已经接受下列治疗：因严重心律失常已经植入了心脏起搏器，或因坏疽需切除至少一个脚趾。</w:t>
      </w:r>
    </w:p>
    <w:p>
      <w:pPr>
        <w:spacing w:after="0" w:line="266" w:lineRule="auto"/>
        <w:sectPr>
          <w:pgSz w:w="11910" w:h="16160"/>
          <w:pgMar w:header="0" w:footer="631" w:top="1360" w:bottom="820" w:left="960" w:right="720"/>
        </w:sectPr>
      </w:pPr>
    </w:p>
    <w:p>
      <w:pPr>
        <w:pStyle w:val="ListParagraph"/>
        <w:numPr>
          <w:ilvl w:val="0"/>
          <w:numId w:val="10"/>
        </w:numPr>
        <w:tabs>
          <w:tab w:pos="491" w:val="left" w:leader="none"/>
        </w:tabs>
        <w:spacing w:line="240" w:lineRule="auto" w:before="13" w:after="0"/>
        <w:ind w:left="490" w:right="0" w:hanging="373"/>
        <w:jc w:val="left"/>
        <w:rPr>
          <w:sz w:val="21"/>
        </w:rPr>
      </w:pPr>
      <w:r>
        <w:rPr>
          <w:spacing w:val="-2"/>
          <w:w w:val="100"/>
          <w:sz w:val="21"/>
        </w:rPr>
        <w:t>系统性红斑狼疮</w:t>
      </w:r>
      <w:r>
        <w:rPr>
          <w:spacing w:val="-3"/>
          <w:sz w:val="21"/>
        </w:rPr>
        <w:t> </w:t>
      </w:r>
      <w:r>
        <w:rPr>
          <w:spacing w:val="-92"/>
          <w:w w:val="100"/>
          <w:sz w:val="21"/>
        </w:rPr>
        <w:t>－</w:t>
      </w:r>
      <w:r>
        <w:rPr>
          <w:w w:val="100"/>
          <w:sz w:val="21"/>
        </w:rPr>
        <w:t>（</w:t>
      </w:r>
      <w:r>
        <w:rPr>
          <w:spacing w:val="-2"/>
          <w:w w:val="100"/>
          <w:sz w:val="21"/>
        </w:rPr>
        <w:t>并发</w:t>
      </w:r>
    </w:p>
    <w:p>
      <w:pPr>
        <w:pStyle w:val="BodyText"/>
        <w:spacing w:before="20"/>
        <w:ind w:left="490"/>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2"/>
        <w:ind w:left="0"/>
        <w:rPr>
          <w:sz w:val="27"/>
        </w:rPr>
      </w:pPr>
    </w:p>
    <w:p>
      <w:pPr>
        <w:pStyle w:val="ListParagraph"/>
        <w:numPr>
          <w:ilvl w:val="0"/>
          <w:numId w:val="10"/>
        </w:numPr>
        <w:tabs>
          <w:tab w:pos="491" w:val="left" w:leader="none"/>
        </w:tabs>
        <w:spacing w:line="256" w:lineRule="auto" w:before="0" w:after="0"/>
        <w:ind w:left="490" w:right="0" w:hanging="373"/>
        <w:jc w:val="left"/>
        <w:rPr>
          <w:sz w:val="21"/>
        </w:rPr>
      </w:pPr>
      <w:r>
        <w:rPr>
          <w:spacing w:val="6"/>
          <w:sz w:val="21"/>
        </w:rPr>
        <w:t>非阿尔茨海默病所致严重痴呆</w:t>
      </w:r>
    </w:p>
    <w:p>
      <w:pPr>
        <w:pStyle w:val="BodyText"/>
        <w:spacing w:line="273" w:lineRule="auto" w:before="13"/>
        <w:ind w:right="276"/>
      </w:pPr>
      <w:r>
        <w:rPr/>
        <w:br w:type="column"/>
      </w:r>
      <w:r>
        <w:rPr/>
        <w:t>系统性红斑狼疮是由多种因素引起，累及多系统的自身免疫性疾病。其特点是生成自身抗体对抗多种自身抗原。多见于育龄妇女。</w:t>
      </w:r>
    </w:p>
    <w:p>
      <w:pPr>
        <w:pStyle w:val="BodyText"/>
        <w:spacing w:before="7"/>
      </w:pPr>
      <w:r>
        <w:rPr/>
        <w:t>本合同所指的系统性红斑狼疮仅限于累及肾脏（经肾脏活检确认的，符合</w:t>
      </w:r>
    </w:p>
    <w:p>
      <w:pPr>
        <w:spacing w:line="264" w:lineRule="auto" w:before="37"/>
        <w:ind w:left="117" w:right="180" w:firstLine="0"/>
        <w:jc w:val="both"/>
        <w:rPr>
          <w:b/>
          <w:sz w:val="21"/>
        </w:rPr>
      </w:pPr>
      <w:r>
        <w:rPr>
          <w:rFonts w:ascii="Times New Roman" w:eastAsia="Times New Roman"/>
          <w:sz w:val="21"/>
        </w:rPr>
        <w:t>WHO </w:t>
      </w:r>
      <w:r>
        <w:rPr>
          <w:spacing w:val="-10"/>
          <w:sz w:val="21"/>
        </w:rPr>
        <w:t>诊断标准定义 </w:t>
      </w:r>
      <w:r>
        <w:rPr>
          <w:rFonts w:ascii="Times New Roman" w:eastAsia="Times New Roman"/>
          <w:sz w:val="21"/>
        </w:rPr>
        <w:t>III </w:t>
      </w:r>
      <w:r>
        <w:rPr>
          <w:spacing w:val="-16"/>
          <w:sz w:val="21"/>
        </w:rPr>
        <w:t>型或 </w:t>
      </w:r>
      <w:r>
        <w:rPr>
          <w:rFonts w:ascii="Times New Roman" w:eastAsia="Times New Roman"/>
          <w:sz w:val="21"/>
        </w:rPr>
        <w:t>III </w:t>
      </w:r>
      <w:r>
        <w:rPr>
          <w:spacing w:val="-3"/>
          <w:sz w:val="21"/>
        </w:rPr>
        <w:t>型以上狼疮性肾炎</w:t>
      </w:r>
      <w:r>
        <w:rPr>
          <w:spacing w:val="-20"/>
          <w:sz w:val="21"/>
        </w:rPr>
        <w:t>）</w:t>
      </w:r>
      <w:r>
        <w:rPr>
          <w:spacing w:val="-5"/>
          <w:sz w:val="21"/>
        </w:rPr>
        <w:t>的系统性红斑狼疮。</w:t>
      </w:r>
      <w:r>
        <w:rPr>
          <w:b/>
          <w:sz w:val="21"/>
        </w:rPr>
        <w:t>其他类型的红斑性狼疮，如盘状狼疮、仅累及血液及关节的狼疮不在保障范围內。</w:t>
      </w:r>
    </w:p>
    <w:p>
      <w:pPr>
        <w:pStyle w:val="BodyText"/>
        <w:spacing w:before="16"/>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5"/>
              <w:rPr>
                <w:sz w:val="21"/>
              </w:rPr>
            </w:pPr>
            <w:r>
              <w:rPr>
                <w:sz w:val="21"/>
              </w:rPr>
              <w:t>微小病变型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 </w:t>
            </w:r>
            <w:r>
              <w:rPr>
                <w:sz w:val="21"/>
              </w:rPr>
              <w:t>型</w:t>
            </w:r>
          </w:p>
        </w:tc>
        <w:tc>
          <w:tcPr>
            <w:tcW w:w="1985" w:type="dxa"/>
          </w:tcPr>
          <w:p>
            <w:pPr>
              <w:pStyle w:val="TableParagraph"/>
              <w:spacing w:line="270" w:lineRule="exact"/>
              <w:ind w:left="105"/>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5"/>
              <w:rPr>
                <w:sz w:val="21"/>
              </w:rPr>
            </w:pPr>
            <w:r>
              <w:rPr>
                <w:sz w:val="21"/>
              </w:rPr>
              <w:t>局灶及节段增生型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IV </w:t>
            </w:r>
            <w:r>
              <w:rPr>
                <w:sz w:val="21"/>
              </w:rPr>
              <w:t>型</w:t>
            </w:r>
          </w:p>
        </w:tc>
        <w:tc>
          <w:tcPr>
            <w:tcW w:w="1985" w:type="dxa"/>
          </w:tcPr>
          <w:p>
            <w:pPr>
              <w:pStyle w:val="TableParagraph"/>
              <w:spacing w:line="272" w:lineRule="exact"/>
              <w:ind w:left="105"/>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5"/>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5"/>
              <w:rPr>
                <w:sz w:val="21"/>
              </w:rPr>
            </w:pPr>
            <w:r>
              <w:rPr>
                <w:sz w:val="21"/>
              </w:rPr>
              <w:t>肾小球硬化型</w:t>
            </w:r>
          </w:p>
        </w:tc>
      </w:tr>
    </w:tbl>
    <w:p>
      <w:pPr>
        <w:pStyle w:val="BodyText"/>
        <w:spacing w:line="273" w:lineRule="auto"/>
        <w:ind w:right="276"/>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type w:val="continuous"/>
          <w:pgSz w:w="11910" w:h="16160"/>
          <w:pgMar w:top="560" w:bottom="280" w:left="960" w:right="720"/>
          <w:cols w:num="2" w:equalWidth="0">
            <w:col w:w="2922" w:space="182"/>
            <w:col w:w="7126"/>
          </w:cols>
        </w:sectPr>
      </w:pPr>
    </w:p>
    <w:p>
      <w:pPr>
        <w:pStyle w:val="ListParagraph"/>
        <w:numPr>
          <w:ilvl w:val="0"/>
          <w:numId w:val="10"/>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0"/>
        <w:ind w:left="3221" w:right="175"/>
      </w:pPr>
      <w:r>
        <w:rPr>
          <w:spacing w:val="-2"/>
        </w:rPr>
        <w:t>个主要关节</w:t>
      </w:r>
      <w:r>
        <w:rPr/>
        <w:t>（</w:t>
      </w:r>
      <w:r>
        <w:rPr>
          <w:spacing w:val="-3"/>
        </w:rPr>
        <w:t>腕关节、肘关节、肩关节、踝关节、膝关节、髋关节</w:t>
      </w:r>
      <w:r>
        <w:rPr/>
        <w:t>）</w:t>
      </w:r>
      <w:r>
        <w:rPr>
          <w:spacing w:val="-2"/>
        </w:rPr>
        <w:t>或关</w:t>
      </w:r>
      <w:r>
        <w:rPr>
          <w:spacing w:val="-3"/>
        </w:rPr>
        <w:t>节组</w:t>
      </w:r>
      <w:r>
        <w:rPr/>
        <w:t>（</w:t>
      </w:r>
      <w:r>
        <w:rPr>
          <w:spacing w:val="-3"/>
        </w:rPr>
        <w:t>如手的多个指间、掌指关节，足的多个足趾、跖趾关节等</w:t>
      </w:r>
      <w:r>
        <w:rPr>
          <w:spacing w:val="-108"/>
        </w:rPr>
        <w:t>）</w:t>
      </w:r>
      <w:r>
        <w:rPr>
          <w:spacing w:val="-2"/>
        </w:rPr>
        <w:t>。类风湿</w:t>
      </w:r>
      <w:r>
        <w:rPr>
          <w:spacing w:val="-5"/>
        </w:rPr>
        <w:t>性关节炎须明确诊断，并已达到类风湿性关节炎功能活动分级</w:t>
      </w:r>
      <w:r>
        <w:rPr/>
        <w:t>（注</w:t>
      </w:r>
      <w:r>
        <w:rPr>
          <w:spacing w:val="-3"/>
        </w:rPr>
        <w:t>）</w:t>
      </w:r>
      <w:r>
        <w:rPr>
          <w:rFonts w:ascii="Times New Roman" w:eastAsia="Times New Roman"/>
          <w:spacing w:val="-3"/>
        </w:rPr>
        <w:t>IV </w:t>
      </w:r>
      <w:r>
        <w:rPr/>
        <w:t>级</w:t>
      </w:r>
      <w:r>
        <w:rPr>
          <w:spacing w:val="-3"/>
        </w:rPr>
        <w:t>的永久不可逆性关节功能障碍，且须满足下列全部条件：</w:t>
      </w:r>
    </w:p>
    <w:p>
      <w:pPr>
        <w:pStyle w:val="BodyText"/>
        <w:spacing w:before="13"/>
        <w:ind w:left="3221"/>
      </w:pPr>
      <w:r>
        <w:rPr/>
        <w:t>（</w:t>
      </w:r>
      <w:r>
        <w:rPr>
          <w:rFonts w:ascii="Times New Roman" w:eastAsia="Times New Roman"/>
        </w:rPr>
        <w:t>1</w:t>
      </w:r>
      <w:r>
        <w:rPr/>
        <w:t>）晨僵；</w:t>
      </w:r>
    </w:p>
    <w:p>
      <w:pPr>
        <w:pStyle w:val="BodyText"/>
        <w:spacing w:before="21"/>
        <w:ind w:left="3221"/>
      </w:pPr>
      <w:r>
        <w:rPr/>
        <w:t>（</w:t>
      </w:r>
      <w:r>
        <w:rPr>
          <w:rFonts w:ascii="Times New Roman" w:eastAsia="Times New Roman"/>
        </w:rPr>
        <w:t>2</w:t>
      </w:r>
      <w:r>
        <w:rPr/>
        <w:t>）对称性关节炎；</w:t>
      </w:r>
    </w:p>
    <w:p>
      <w:pPr>
        <w:spacing w:after="0"/>
        <w:sectPr>
          <w:type w:val="continuous"/>
          <w:pgSz w:w="11910" w:h="16160"/>
          <w:pgMar w:top="560" w:bottom="280" w:left="9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169"/>
      </w:tblGrid>
      <w:tr>
        <w:trPr>
          <w:trHeight w:val="2448" w:hRule="atLeast"/>
        </w:trPr>
        <w:tc>
          <w:tcPr>
            <w:tcW w:w="518" w:type="dxa"/>
          </w:tcPr>
          <w:p>
            <w:pPr>
              <w:pStyle w:val="TableParagraph"/>
              <w:rPr>
                <w:rFonts w:ascii="Times New Roman"/>
                <w:sz w:val="20"/>
              </w:rPr>
            </w:pPr>
          </w:p>
        </w:tc>
        <w:tc>
          <w:tcPr>
            <w:tcW w:w="2636" w:type="dxa"/>
          </w:tcPr>
          <w:p>
            <w:pPr>
              <w:pStyle w:val="TableParagraph"/>
              <w:rPr>
                <w:rFonts w:ascii="Times New Roman"/>
                <w:sz w:val="20"/>
              </w:rPr>
            </w:pPr>
          </w:p>
        </w:tc>
        <w:tc>
          <w:tcPr>
            <w:tcW w:w="7169" w:type="dxa"/>
          </w:tcPr>
          <w:p>
            <w:pPr>
              <w:pStyle w:val="TableParagraph"/>
              <w:spacing w:line="234" w:lineRule="exact"/>
              <w:ind w:left="150"/>
              <w:rPr>
                <w:sz w:val="21"/>
              </w:rPr>
            </w:pPr>
            <w:r>
              <w:rPr>
                <w:sz w:val="21"/>
              </w:rPr>
              <w:t>（</w:t>
            </w:r>
            <w:r>
              <w:rPr>
                <w:rFonts w:ascii="Times New Roman" w:eastAsia="Times New Roman"/>
                <w:sz w:val="21"/>
              </w:rPr>
              <w:t>3</w:t>
            </w:r>
            <w:r>
              <w:rPr>
                <w:sz w:val="21"/>
              </w:rPr>
              <w:t>）类风湿性皮下结节；</w:t>
            </w:r>
          </w:p>
          <w:p>
            <w:pPr>
              <w:pStyle w:val="TableParagraph"/>
              <w:spacing w:before="21"/>
              <w:ind w:left="150"/>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0"/>
              <w:ind w:left="150" w:right="1714"/>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150"/>
              <w:rPr>
                <w:sz w:val="21"/>
              </w:rPr>
            </w:pPr>
            <w:r>
              <w:rPr>
                <w:sz w:val="21"/>
              </w:rPr>
              <w:t>Ⅰ级：关节功能完整，一般活动无障碍。</w:t>
            </w:r>
          </w:p>
          <w:p>
            <w:pPr>
              <w:pStyle w:val="TableParagraph"/>
              <w:spacing w:before="37"/>
              <w:ind w:left="150"/>
              <w:rPr>
                <w:sz w:val="21"/>
              </w:rPr>
            </w:pPr>
            <w:r>
              <w:rPr>
                <w:sz w:val="21"/>
              </w:rPr>
              <w:t>Ⅱ级：有关节不适或障碍，但尚能完成一半活动。</w:t>
            </w:r>
          </w:p>
          <w:p>
            <w:pPr>
              <w:pStyle w:val="TableParagraph"/>
              <w:spacing w:before="37"/>
              <w:ind w:left="150"/>
              <w:rPr>
                <w:sz w:val="21"/>
              </w:rPr>
            </w:pPr>
            <w:r>
              <w:rPr>
                <w:sz w:val="21"/>
              </w:rPr>
              <w:t>Ⅲ级：功能活动明显受限，但大部分生活可自理。</w:t>
            </w:r>
          </w:p>
          <w:p>
            <w:pPr>
              <w:pStyle w:val="TableParagraph"/>
              <w:spacing w:before="37"/>
              <w:ind w:left="150"/>
              <w:rPr>
                <w:sz w:val="21"/>
              </w:rPr>
            </w:pPr>
            <w:r>
              <w:rPr>
                <w:sz w:val="21"/>
              </w:rPr>
              <w:t>Ⅳ级：生活不能自理或卧床。</w:t>
            </w:r>
          </w:p>
        </w:tc>
      </w:tr>
      <w:tr>
        <w:trPr>
          <w:trHeight w:val="2184" w:hRule="atLeast"/>
        </w:trPr>
        <w:tc>
          <w:tcPr>
            <w:tcW w:w="518" w:type="dxa"/>
          </w:tcPr>
          <w:p>
            <w:pPr>
              <w:pStyle w:val="TableParagraph"/>
              <w:spacing w:before="38"/>
              <w:ind w:right="51"/>
              <w:jc w:val="right"/>
              <w:rPr>
                <w:rFonts w:ascii="Times New Roman"/>
                <w:sz w:val="21"/>
              </w:rPr>
            </w:pPr>
            <w:r>
              <w:rPr>
                <w:rFonts w:ascii="Times New Roman"/>
                <w:sz w:val="21"/>
              </w:rPr>
              <w:t>40.</w:t>
            </w:r>
          </w:p>
        </w:tc>
        <w:tc>
          <w:tcPr>
            <w:tcW w:w="2636" w:type="dxa"/>
          </w:tcPr>
          <w:p>
            <w:pPr>
              <w:pStyle w:val="TableParagraph"/>
              <w:spacing w:line="256" w:lineRule="auto"/>
              <w:ind w:left="54" w:right="145"/>
              <w:rPr>
                <w:b/>
                <w:sz w:val="21"/>
              </w:rPr>
            </w:pPr>
            <w:r>
              <w:rPr>
                <w:sz w:val="21"/>
              </w:rPr>
              <w:t>严重哮喘 </w:t>
            </w:r>
            <w:r>
              <w:rPr>
                <w:rFonts w:ascii="Times New Roman" w:eastAsia="Times New Roman"/>
                <w:sz w:val="21"/>
              </w:rPr>
              <w:t>- </w:t>
            </w:r>
            <w:r>
              <w:rPr>
                <w:b/>
                <w:sz w:val="21"/>
              </w:rPr>
              <w:t>二十五岁前理赔</w:t>
            </w:r>
          </w:p>
        </w:tc>
        <w:tc>
          <w:tcPr>
            <w:tcW w:w="7169" w:type="dxa"/>
          </w:tcPr>
          <w:p>
            <w:pPr>
              <w:pStyle w:val="TableParagraph"/>
              <w:spacing w:line="273" w:lineRule="auto"/>
              <w:ind w:left="150" w:right="195"/>
              <w:rPr>
                <w:sz w:val="21"/>
              </w:rPr>
            </w:pPr>
            <w:r>
              <w:rPr>
                <w:sz w:val="21"/>
              </w:rPr>
              <w:t>指一种反复发作的严重支气管阻塞性疾病，经我们认可的专科医生确诊， 且必须同时符合下列标准：</w:t>
            </w:r>
          </w:p>
          <w:p>
            <w:pPr>
              <w:pStyle w:val="TableParagraph"/>
              <w:spacing w:before="16"/>
              <w:ind w:left="150"/>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50"/>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50"/>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150" w:right="1656"/>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18" w:type="dxa"/>
          </w:tcPr>
          <w:p>
            <w:pPr>
              <w:pStyle w:val="TableParagraph"/>
              <w:spacing w:before="38"/>
              <w:ind w:right="51"/>
              <w:jc w:val="right"/>
              <w:rPr>
                <w:rFonts w:ascii="Times New Roman"/>
                <w:sz w:val="21"/>
              </w:rPr>
            </w:pPr>
            <w:r>
              <w:rPr>
                <w:rFonts w:ascii="Times New Roman"/>
                <w:sz w:val="21"/>
              </w:rPr>
              <w:t>41.</w:t>
            </w:r>
          </w:p>
        </w:tc>
        <w:tc>
          <w:tcPr>
            <w:tcW w:w="2636" w:type="dxa"/>
          </w:tcPr>
          <w:p>
            <w:pPr>
              <w:pStyle w:val="TableParagraph"/>
              <w:spacing w:line="266" w:lineRule="exact"/>
              <w:ind w:left="54"/>
              <w:rPr>
                <w:sz w:val="21"/>
              </w:rPr>
            </w:pPr>
            <w:r>
              <w:rPr>
                <w:sz w:val="21"/>
              </w:rPr>
              <w:t>肾髓质囊性病</w:t>
            </w:r>
          </w:p>
        </w:tc>
        <w:tc>
          <w:tcPr>
            <w:tcW w:w="7169" w:type="dxa"/>
          </w:tcPr>
          <w:p>
            <w:pPr>
              <w:pStyle w:val="TableParagraph"/>
              <w:spacing w:line="266" w:lineRule="exact"/>
              <w:ind w:left="150"/>
              <w:rPr>
                <w:sz w:val="21"/>
              </w:rPr>
            </w:pPr>
            <w:r>
              <w:rPr>
                <w:sz w:val="21"/>
              </w:rPr>
              <w:t>肾髓质囊性病的诊断须同时符合下列要求：</w:t>
            </w:r>
          </w:p>
          <w:p>
            <w:pPr>
              <w:pStyle w:val="TableParagraph"/>
              <w:spacing w:before="37"/>
              <w:ind w:left="150"/>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150"/>
              <w:rPr>
                <w:sz w:val="21"/>
              </w:rPr>
            </w:pPr>
            <w:r>
              <w:rPr>
                <w:sz w:val="21"/>
              </w:rPr>
              <w:t>（</w:t>
            </w:r>
            <w:r>
              <w:rPr>
                <w:rFonts w:ascii="Times New Roman" w:eastAsia="Times New Roman"/>
                <w:sz w:val="21"/>
              </w:rPr>
              <w:t>2</w:t>
            </w:r>
            <w:r>
              <w:rPr>
                <w:sz w:val="21"/>
              </w:rPr>
              <w:t>）肾功能衰竭；</w:t>
            </w:r>
          </w:p>
          <w:p>
            <w:pPr>
              <w:pStyle w:val="TableParagraph"/>
              <w:spacing w:before="21"/>
              <w:ind w:left="150"/>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0" w:right="197"/>
              <w:rPr>
                <w:sz w:val="21"/>
              </w:rPr>
            </w:pPr>
            <w:r>
              <w:rPr>
                <w:sz w:val="21"/>
              </w:rPr>
              <w:t>我们承担本项疾病责任不受本合同第八条“责任免除”中“遗传性疾病， 先天性畸形、变形或染色体异常”的限制。</w:t>
            </w:r>
          </w:p>
        </w:tc>
      </w:tr>
      <w:tr>
        <w:trPr>
          <w:trHeight w:val="1880" w:hRule="atLeast"/>
        </w:trPr>
        <w:tc>
          <w:tcPr>
            <w:tcW w:w="518" w:type="dxa"/>
          </w:tcPr>
          <w:p>
            <w:pPr>
              <w:pStyle w:val="TableParagraph"/>
              <w:spacing w:before="38"/>
              <w:ind w:right="51"/>
              <w:jc w:val="right"/>
              <w:rPr>
                <w:rFonts w:ascii="Times New Roman"/>
                <w:sz w:val="21"/>
              </w:rPr>
            </w:pPr>
            <w:r>
              <w:rPr>
                <w:rFonts w:ascii="Times New Roman"/>
                <w:sz w:val="21"/>
              </w:rPr>
              <w:t>42.</w:t>
            </w:r>
          </w:p>
        </w:tc>
        <w:tc>
          <w:tcPr>
            <w:tcW w:w="2636" w:type="dxa"/>
          </w:tcPr>
          <w:p>
            <w:pPr>
              <w:pStyle w:val="TableParagraph"/>
              <w:spacing w:line="266" w:lineRule="exact"/>
              <w:ind w:left="54"/>
              <w:rPr>
                <w:sz w:val="21"/>
              </w:rPr>
            </w:pPr>
            <w:r>
              <w:rPr>
                <w:sz w:val="21"/>
              </w:rPr>
              <w:t>重症急性坏死性筋膜炎</w:t>
            </w:r>
          </w:p>
        </w:tc>
        <w:tc>
          <w:tcPr>
            <w:tcW w:w="7169" w:type="dxa"/>
          </w:tcPr>
          <w:p>
            <w:pPr>
              <w:pStyle w:val="TableParagraph"/>
              <w:spacing w:line="273" w:lineRule="auto"/>
              <w:ind w:left="150" w:right="195"/>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6"/>
              <w:ind w:left="150"/>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0"/>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0"/>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8" w:type="dxa"/>
          </w:tcPr>
          <w:p>
            <w:pPr>
              <w:pStyle w:val="TableParagraph"/>
              <w:spacing w:before="30"/>
              <w:ind w:right="51"/>
              <w:jc w:val="right"/>
              <w:rPr>
                <w:rFonts w:ascii="Times New Roman"/>
                <w:sz w:val="21"/>
              </w:rPr>
            </w:pPr>
            <w:r>
              <w:rPr>
                <w:rFonts w:ascii="Times New Roman"/>
                <w:sz w:val="21"/>
              </w:rPr>
              <w:t>43.</w:t>
            </w:r>
          </w:p>
        </w:tc>
        <w:tc>
          <w:tcPr>
            <w:tcW w:w="2636" w:type="dxa"/>
          </w:tcPr>
          <w:p>
            <w:pPr>
              <w:pStyle w:val="TableParagraph"/>
              <w:spacing w:line="258" w:lineRule="exact"/>
              <w:ind w:left="54"/>
              <w:rPr>
                <w:sz w:val="21"/>
              </w:rPr>
            </w:pPr>
            <w:r>
              <w:rPr>
                <w:sz w:val="21"/>
              </w:rPr>
              <w:t>慢性呼吸功能衰竭终末期</w:t>
            </w:r>
          </w:p>
          <w:p>
            <w:pPr>
              <w:pStyle w:val="TableParagraph"/>
              <w:spacing w:before="37"/>
              <w:ind w:left="54"/>
              <w:rPr>
                <w:sz w:val="21"/>
              </w:rPr>
            </w:pPr>
            <w:r>
              <w:rPr>
                <w:sz w:val="21"/>
              </w:rPr>
              <w:t>肺病</w:t>
            </w:r>
          </w:p>
        </w:tc>
        <w:tc>
          <w:tcPr>
            <w:tcW w:w="7169" w:type="dxa"/>
          </w:tcPr>
          <w:p>
            <w:pPr>
              <w:pStyle w:val="TableParagraph"/>
              <w:spacing w:line="258" w:lineRule="exact"/>
              <w:ind w:left="150"/>
              <w:rPr>
                <w:sz w:val="21"/>
              </w:rPr>
            </w:pPr>
            <w:r>
              <w:rPr>
                <w:sz w:val="21"/>
              </w:rPr>
              <w:t>指慢性肺部疾病导致永久不可逆性的慢性呼吸功能衰竭，必须由呼吸专科</w:t>
            </w:r>
          </w:p>
          <w:p>
            <w:pPr>
              <w:pStyle w:val="TableParagraph"/>
              <w:spacing w:before="37"/>
              <w:ind w:left="150"/>
              <w:rPr>
                <w:sz w:val="21"/>
              </w:rPr>
            </w:pPr>
            <w:r>
              <w:rPr>
                <w:sz w:val="21"/>
              </w:rPr>
              <w:t>医师确认并符合下列所有条件：</w:t>
            </w:r>
          </w:p>
          <w:p>
            <w:pPr>
              <w:pStyle w:val="TableParagraph"/>
              <w:spacing w:before="37"/>
              <w:ind w:left="150"/>
              <w:rPr>
                <w:sz w:val="21"/>
              </w:rPr>
            </w:pPr>
            <w:r>
              <w:rPr>
                <w:sz w:val="21"/>
              </w:rPr>
              <w:t>（</w:t>
            </w:r>
            <w:r>
              <w:rPr>
                <w:rFonts w:ascii="Times New Roman" w:eastAsia="Times New Roman"/>
                <w:sz w:val="21"/>
              </w:rPr>
              <w:t>1</w:t>
            </w:r>
            <w:r>
              <w:rPr>
                <w:sz w:val="21"/>
              </w:rPr>
              <w:t>）休息时出现呼吸困难；</w:t>
            </w:r>
          </w:p>
          <w:p>
            <w:pPr>
              <w:pStyle w:val="TableParagraph"/>
              <w:spacing w:before="21"/>
              <w:ind w:left="15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0"/>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8" w:type="dxa"/>
          </w:tcPr>
          <w:p>
            <w:pPr>
              <w:pStyle w:val="TableParagraph"/>
              <w:spacing w:before="30"/>
              <w:ind w:right="51"/>
              <w:jc w:val="right"/>
              <w:rPr>
                <w:rFonts w:ascii="Times New Roman"/>
                <w:sz w:val="21"/>
              </w:rPr>
            </w:pPr>
            <w:r>
              <w:rPr>
                <w:rFonts w:ascii="Times New Roman"/>
                <w:sz w:val="21"/>
              </w:rPr>
              <w:t>44.</w:t>
            </w:r>
          </w:p>
        </w:tc>
        <w:tc>
          <w:tcPr>
            <w:tcW w:w="2636" w:type="dxa"/>
          </w:tcPr>
          <w:p>
            <w:pPr>
              <w:pStyle w:val="TableParagraph"/>
              <w:spacing w:line="258" w:lineRule="exact"/>
              <w:ind w:left="54"/>
              <w:rPr>
                <w:sz w:val="21"/>
              </w:rPr>
            </w:pPr>
            <w:r>
              <w:rPr>
                <w:sz w:val="21"/>
              </w:rPr>
              <w:t>胰腺移植</w:t>
            </w:r>
          </w:p>
        </w:tc>
        <w:tc>
          <w:tcPr>
            <w:tcW w:w="7169" w:type="dxa"/>
          </w:tcPr>
          <w:p>
            <w:pPr>
              <w:pStyle w:val="TableParagraph"/>
              <w:spacing w:line="258" w:lineRule="exact"/>
              <w:ind w:left="150"/>
              <w:rPr>
                <w:sz w:val="21"/>
              </w:rPr>
            </w:pPr>
            <w:r>
              <w:rPr>
                <w:sz w:val="21"/>
              </w:rPr>
              <w:t>指因胰腺功能衰竭，已经实施了在全身麻醉下进行的胰腺的异体器官移植</w:t>
            </w:r>
          </w:p>
          <w:p>
            <w:pPr>
              <w:pStyle w:val="TableParagraph"/>
              <w:spacing w:before="37"/>
              <w:ind w:left="150"/>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0"/>
              <w:rPr>
                <w:b/>
                <w:sz w:val="21"/>
              </w:rPr>
            </w:pPr>
            <w:r>
              <w:rPr>
                <w:b/>
                <w:sz w:val="21"/>
              </w:rPr>
              <w:t>单纯胰岛移植、部分胰腺组织或细胞的移植不在保障范围内。</w:t>
            </w:r>
          </w:p>
        </w:tc>
      </w:tr>
      <w:tr>
        <w:trPr>
          <w:trHeight w:val="943" w:hRule="atLeast"/>
        </w:trPr>
        <w:tc>
          <w:tcPr>
            <w:tcW w:w="518" w:type="dxa"/>
          </w:tcPr>
          <w:p>
            <w:pPr>
              <w:pStyle w:val="TableParagraph"/>
              <w:spacing w:before="38"/>
              <w:ind w:right="53"/>
              <w:jc w:val="right"/>
              <w:rPr>
                <w:rFonts w:ascii="Times New Roman"/>
                <w:sz w:val="21"/>
              </w:rPr>
            </w:pPr>
            <w:r>
              <w:rPr>
                <w:rFonts w:ascii="Times New Roman"/>
                <w:sz w:val="21"/>
              </w:rPr>
              <w:t>45.</w:t>
            </w:r>
          </w:p>
        </w:tc>
        <w:tc>
          <w:tcPr>
            <w:tcW w:w="2636" w:type="dxa"/>
          </w:tcPr>
          <w:p>
            <w:pPr>
              <w:pStyle w:val="TableParagraph"/>
              <w:spacing w:line="266" w:lineRule="exact"/>
              <w:ind w:left="54"/>
              <w:rPr>
                <w:sz w:val="21"/>
              </w:rPr>
            </w:pPr>
            <w:r>
              <w:rPr>
                <w:sz w:val="21"/>
              </w:rPr>
              <w:t>埃博拉病毒感染</w:t>
            </w:r>
          </w:p>
        </w:tc>
        <w:tc>
          <w:tcPr>
            <w:tcW w:w="7169" w:type="dxa"/>
          </w:tcPr>
          <w:p>
            <w:pPr>
              <w:pStyle w:val="TableParagraph"/>
              <w:spacing w:line="266" w:lineRule="exact"/>
              <w:ind w:left="150"/>
              <w:rPr>
                <w:sz w:val="21"/>
              </w:rPr>
            </w:pPr>
            <w:r>
              <w:rPr>
                <w:sz w:val="21"/>
              </w:rPr>
              <w:t>指受埃博拉病毒感染导致出血性发热。埃博拉病必须经国家机关认可的有</w:t>
            </w:r>
          </w:p>
          <w:p>
            <w:pPr>
              <w:pStyle w:val="TableParagraph"/>
              <w:spacing w:line="312" w:lineRule="exact" w:before="33"/>
              <w:ind w:left="150" w:right="195"/>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39" w:hRule="atLeast"/>
        </w:trPr>
        <w:tc>
          <w:tcPr>
            <w:tcW w:w="518" w:type="dxa"/>
          </w:tcPr>
          <w:p>
            <w:pPr>
              <w:pStyle w:val="TableParagraph"/>
              <w:spacing w:before="30"/>
              <w:ind w:right="51"/>
              <w:jc w:val="right"/>
              <w:rPr>
                <w:rFonts w:ascii="Times New Roman"/>
                <w:sz w:val="21"/>
              </w:rPr>
            </w:pPr>
            <w:r>
              <w:rPr>
                <w:rFonts w:ascii="Times New Roman"/>
                <w:sz w:val="21"/>
              </w:rPr>
              <w:t>46.</w:t>
            </w:r>
          </w:p>
        </w:tc>
        <w:tc>
          <w:tcPr>
            <w:tcW w:w="2636" w:type="dxa"/>
          </w:tcPr>
          <w:p>
            <w:pPr>
              <w:pStyle w:val="TableParagraph"/>
              <w:spacing w:line="258" w:lineRule="exact"/>
              <w:ind w:left="54"/>
              <w:rPr>
                <w:sz w:val="21"/>
              </w:rPr>
            </w:pPr>
            <w:r>
              <w:rPr>
                <w:sz w:val="21"/>
              </w:rPr>
              <w:t>破裂脑动脉瘤夹闭手术</w:t>
            </w:r>
          </w:p>
        </w:tc>
        <w:tc>
          <w:tcPr>
            <w:tcW w:w="7169" w:type="dxa"/>
          </w:tcPr>
          <w:p>
            <w:pPr>
              <w:pStyle w:val="TableParagraph"/>
              <w:spacing w:line="258" w:lineRule="exact"/>
              <w:ind w:left="150"/>
              <w:rPr>
                <w:sz w:val="21"/>
              </w:rPr>
            </w:pPr>
            <w:r>
              <w:rPr>
                <w:sz w:val="21"/>
              </w:rPr>
              <w:t>指因脑动脉瘤破裂造成蛛网膜下腔出血，被保险人实际接受了在全麻下进</w:t>
            </w:r>
          </w:p>
          <w:p>
            <w:pPr>
              <w:pStyle w:val="TableParagraph"/>
              <w:spacing w:before="37"/>
              <w:ind w:left="150"/>
              <w:rPr>
                <w:sz w:val="21"/>
              </w:rPr>
            </w:pPr>
            <w:r>
              <w:rPr>
                <w:sz w:val="21"/>
              </w:rPr>
              <w:t>行的开颅动脉瘤夹闭手术。</w:t>
            </w:r>
          </w:p>
          <w:p>
            <w:pPr>
              <w:pStyle w:val="TableParagraph"/>
              <w:spacing w:line="310" w:lineRule="atLeast" w:before="1"/>
              <w:ind w:left="150" w:right="195"/>
              <w:rPr>
                <w:b/>
                <w:sz w:val="21"/>
              </w:rPr>
            </w:pPr>
            <w:r>
              <w:rPr>
                <w:b/>
                <w:sz w:val="21"/>
              </w:rPr>
              <w:t>脑动脉瘤（未破裂）预防性手术、颅骨打孔手术、动脉瘤栓塞手术、血管内手术及其他颅脑手术不在保障范围内。</w:t>
            </w:r>
          </w:p>
        </w:tc>
      </w:tr>
      <w:tr>
        <w:trPr>
          <w:trHeight w:val="279" w:hRule="atLeast"/>
        </w:trPr>
        <w:tc>
          <w:tcPr>
            <w:tcW w:w="518" w:type="dxa"/>
          </w:tcPr>
          <w:p>
            <w:pPr>
              <w:pStyle w:val="TableParagraph"/>
              <w:spacing w:line="222" w:lineRule="exact" w:before="38"/>
              <w:ind w:right="51"/>
              <w:jc w:val="right"/>
              <w:rPr>
                <w:rFonts w:ascii="Times New Roman"/>
                <w:sz w:val="21"/>
              </w:rPr>
            </w:pPr>
            <w:r>
              <w:rPr>
                <w:rFonts w:ascii="Times New Roman"/>
                <w:sz w:val="21"/>
              </w:rPr>
              <w:t>47.</w:t>
            </w:r>
          </w:p>
        </w:tc>
        <w:tc>
          <w:tcPr>
            <w:tcW w:w="2636" w:type="dxa"/>
          </w:tcPr>
          <w:p>
            <w:pPr>
              <w:pStyle w:val="TableParagraph"/>
              <w:spacing w:line="260" w:lineRule="exact"/>
              <w:ind w:left="54"/>
              <w:rPr>
                <w:sz w:val="21"/>
              </w:rPr>
            </w:pPr>
            <w:r>
              <w:rPr>
                <w:sz w:val="21"/>
              </w:rPr>
              <w:t>丝虫病所致象皮肿</w:t>
            </w:r>
          </w:p>
        </w:tc>
        <w:tc>
          <w:tcPr>
            <w:tcW w:w="7169" w:type="dxa"/>
          </w:tcPr>
          <w:p>
            <w:pPr>
              <w:pStyle w:val="TableParagraph"/>
              <w:spacing w:line="260" w:lineRule="exact"/>
              <w:ind w:left="150"/>
              <w:rPr>
                <w:sz w:val="21"/>
              </w:rPr>
            </w:pPr>
            <w:r>
              <w:rPr>
                <w:sz w:val="21"/>
              </w:rPr>
              <w:t>指因丝虫感染导致淋巴阻塞性出现严重淋巴水肿，达到国际淋巴学会淋巴</w:t>
            </w:r>
          </w:p>
        </w:tc>
      </w:tr>
    </w:tbl>
    <w:p>
      <w:pPr>
        <w:spacing w:after="0" w:line="260"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182"/>
      </w:tblGrid>
      <w:tr>
        <w:trPr>
          <w:trHeight w:val="576" w:hRule="atLeast"/>
        </w:trPr>
        <w:tc>
          <w:tcPr>
            <w:tcW w:w="518" w:type="dxa"/>
          </w:tcPr>
          <w:p>
            <w:pPr>
              <w:pStyle w:val="TableParagraph"/>
              <w:rPr>
                <w:rFonts w:ascii="Times New Roman"/>
                <w:sz w:val="20"/>
              </w:rPr>
            </w:pPr>
          </w:p>
        </w:tc>
        <w:tc>
          <w:tcPr>
            <w:tcW w:w="2635" w:type="dxa"/>
          </w:tcPr>
          <w:p>
            <w:pPr>
              <w:pStyle w:val="TableParagraph"/>
              <w:rPr>
                <w:rFonts w:ascii="Times New Roman"/>
                <w:sz w:val="20"/>
              </w:rPr>
            </w:pPr>
          </w:p>
        </w:tc>
        <w:tc>
          <w:tcPr>
            <w:tcW w:w="7182" w:type="dxa"/>
          </w:tcPr>
          <w:p>
            <w:pPr>
              <w:pStyle w:val="TableParagraph"/>
              <w:spacing w:line="234" w:lineRule="exact"/>
              <w:ind w:left="151"/>
              <w:rPr>
                <w:sz w:val="21"/>
              </w:rPr>
            </w:pPr>
            <w:r>
              <w:rPr>
                <w:sz w:val="21"/>
              </w:rPr>
              <w:t>水肿分期第 </w:t>
            </w:r>
            <w:r>
              <w:rPr>
                <w:rFonts w:ascii="Times New Roman" w:eastAsia="Times New Roman"/>
                <w:sz w:val="21"/>
              </w:rPr>
              <w:t>III </w:t>
            </w:r>
            <w:r>
              <w:rPr>
                <w:sz w:val="21"/>
              </w:rPr>
              <w:t>期，临床表现为肢体象皮肿，患肢较健肢增粗 </w:t>
            </w:r>
            <w:r>
              <w:rPr>
                <w:rFonts w:ascii="Times New Roman" w:eastAsia="Times New Roman"/>
                <w:sz w:val="21"/>
              </w:rPr>
              <w:t>30%</w:t>
            </w:r>
            <w:r>
              <w:rPr>
                <w:sz w:val="21"/>
              </w:rPr>
              <w:t>以上，日</w:t>
            </w:r>
          </w:p>
          <w:p>
            <w:pPr>
              <w:pStyle w:val="TableParagraph"/>
              <w:spacing w:before="21"/>
              <w:ind w:left="151"/>
              <w:rPr>
                <w:sz w:val="21"/>
              </w:rPr>
            </w:pPr>
            <w:r>
              <w:rPr>
                <w:sz w:val="21"/>
              </w:rPr>
              <w:t>常生活不能自理。</w:t>
            </w:r>
          </w:p>
        </w:tc>
      </w:tr>
      <w:tr>
        <w:trPr>
          <w:trHeight w:val="935" w:hRule="atLeast"/>
        </w:trPr>
        <w:tc>
          <w:tcPr>
            <w:tcW w:w="518" w:type="dxa"/>
          </w:tcPr>
          <w:p>
            <w:pPr>
              <w:pStyle w:val="TableParagraph"/>
              <w:spacing w:before="38"/>
              <w:ind w:right="51"/>
              <w:jc w:val="right"/>
              <w:rPr>
                <w:rFonts w:ascii="Times New Roman"/>
                <w:sz w:val="21"/>
              </w:rPr>
            </w:pPr>
            <w:r>
              <w:rPr>
                <w:rFonts w:ascii="Times New Roman"/>
                <w:sz w:val="21"/>
              </w:rPr>
              <w:t>48.</w:t>
            </w:r>
          </w:p>
        </w:tc>
        <w:tc>
          <w:tcPr>
            <w:tcW w:w="2635" w:type="dxa"/>
          </w:tcPr>
          <w:p>
            <w:pPr>
              <w:pStyle w:val="TableParagraph"/>
              <w:spacing w:line="273" w:lineRule="auto"/>
              <w:ind w:left="54" w:right="147"/>
              <w:rPr>
                <w:sz w:val="21"/>
              </w:rPr>
            </w:pPr>
            <w:r>
              <w:rPr>
                <w:sz w:val="21"/>
              </w:rPr>
              <w:t>急性坏死性胰腺炎开腹手术</w:t>
            </w:r>
          </w:p>
        </w:tc>
        <w:tc>
          <w:tcPr>
            <w:tcW w:w="7182" w:type="dxa"/>
          </w:tcPr>
          <w:p>
            <w:pPr>
              <w:pStyle w:val="TableParagraph"/>
              <w:spacing w:line="273" w:lineRule="auto"/>
              <w:ind w:left="151" w:right="302"/>
              <w:rPr>
                <w:sz w:val="21"/>
              </w:rPr>
            </w:pPr>
            <w:r>
              <w:rPr>
                <w:sz w:val="21"/>
              </w:rPr>
              <w:t>指为治疗急性坏死性胰腺炎，实际实施了开腹进行的坏死组织清除术、病灶切除术或胰腺部分切除术。</w:t>
            </w:r>
          </w:p>
          <w:p>
            <w:pPr>
              <w:pStyle w:val="TableParagraph"/>
              <w:spacing w:before="16"/>
              <w:ind w:left="151"/>
              <w:rPr>
                <w:sz w:val="21"/>
              </w:rPr>
            </w:pPr>
            <w:r>
              <w:rPr>
                <w:b/>
                <w:sz w:val="21"/>
              </w:rPr>
              <w:t>为治疗因酒精中毒引起的急性坏死性胰腺炎的开腹手术不在保障范围内</w:t>
            </w:r>
            <w:r>
              <w:rPr>
                <w:sz w:val="21"/>
              </w:rPr>
              <w:t>。</w:t>
            </w:r>
          </w:p>
        </w:tc>
      </w:tr>
      <w:tr>
        <w:trPr>
          <w:trHeight w:val="1560" w:hRule="atLeast"/>
        </w:trPr>
        <w:tc>
          <w:tcPr>
            <w:tcW w:w="518" w:type="dxa"/>
          </w:tcPr>
          <w:p>
            <w:pPr>
              <w:pStyle w:val="TableParagraph"/>
              <w:spacing w:before="38"/>
              <w:ind w:right="51"/>
              <w:jc w:val="right"/>
              <w:rPr>
                <w:rFonts w:ascii="Times New Roman"/>
                <w:sz w:val="21"/>
              </w:rPr>
            </w:pPr>
            <w:r>
              <w:rPr>
                <w:rFonts w:ascii="Times New Roman"/>
                <w:sz w:val="21"/>
              </w:rPr>
              <w:t>49.</w:t>
            </w:r>
          </w:p>
        </w:tc>
        <w:tc>
          <w:tcPr>
            <w:tcW w:w="2635" w:type="dxa"/>
          </w:tcPr>
          <w:p>
            <w:pPr>
              <w:pStyle w:val="TableParagraph"/>
              <w:spacing w:line="266" w:lineRule="exact"/>
              <w:ind w:left="54"/>
              <w:rPr>
                <w:sz w:val="21"/>
              </w:rPr>
            </w:pPr>
            <w:r>
              <w:rPr>
                <w:sz w:val="21"/>
              </w:rPr>
              <w:t>主动脉夹层血肿</w:t>
            </w:r>
          </w:p>
        </w:tc>
        <w:tc>
          <w:tcPr>
            <w:tcW w:w="7182" w:type="dxa"/>
          </w:tcPr>
          <w:p>
            <w:pPr>
              <w:pStyle w:val="TableParagraph"/>
              <w:spacing w:line="264" w:lineRule="auto"/>
              <w:ind w:left="151" w:right="205"/>
              <w:jc w:val="both"/>
              <w:rPr>
                <w:sz w:val="21"/>
              </w:rPr>
            </w:pPr>
            <w:r>
              <w:rPr>
                <w:sz w:val="21"/>
              </w:rPr>
              <w:t>是指主动脉壁在受到某些病理因素的破坏后，高速、高压的主动脉血流将其内膜撕裂，以致主动脉腔内的血流通过主动脉内膜的破裂口进入主动脉</w:t>
            </w:r>
            <w:r>
              <w:rPr>
                <w:spacing w:val="-6"/>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）或血管扫描等检查，并且实施了胸腹切开的直</w:t>
            </w:r>
            <w:r>
              <w:rPr>
                <w:spacing w:val="-2"/>
                <w:sz w:val="21"/>
              </w:rPr>
              <w:t>视主动脉手术。</w:t>
            </w:r>
          </w:p>
        </w:tc>
      </w:tr>
      <w:tr>
        <w:trPr>
          <w:trHeight w:val="1880" w:hRule="atLeast"/>
        </w:trPr>
        <w:tc>
          <w:tcPr>
            <w:tcW w:w="518" w:type="dxa"/>
          </w:tcPr>
          <w:p>
            <w:pPr>
              <w:pStyle w:val="TableParagraph"/>
              <w:spacing w:before="38"/>
              <w:ind w:right="51"/>
              <w:jc w:val="right"/>
              <w:rPr>
                <w:rFonts w:ascii="Times New Roman"/>
                <w:sz w:val="21"/>
              </w:rPr>
            </w:pPr>
            <w:r>
              <w:rPr>
                <w:rFonts w:ascii="Times New Roman"/>
                <w:sz w:val="21"/>
              </w:rPr>
              <w:t>50.</w:t>
            </w:r>
          </w:p>
        </w:tc>
        <w:tc>
          <w:tcPr>
            <w:tcW w:w="2635" w:type="dxa"/>
          </w:tcPr>
          <w:p>
            <w:pPr>
              <w:pStyle w:val="TableParagraph"/>
              <w:spacing w:line="266" w:lineRule="exact"/>
              <w:ind w:left="54"/>
              <w:rPr>
                <w:sz w:val="21"/>
              </w:rPr>
            </w:pPr>
            <w:r>
              <w:rPr>
                <w:sz w:val="21"/>
              </w:rPr>
              <w:t>系统性硬皮病</w:t>
            </w:r>
          </w:p>
        </w:tc>
        <w:tc>
          <w:tcPr>
            <w:tcW w:w="7182" w:type="dxa"/>
          </w:tcPr>
          <w:p>
            <w:pPr>
              <w:pStyle w:val="TableParagraph"/>
              <w:spacing w:line="273" w:lineRule="auto"/>
              <w:ind w:left="151" w:right="207"/>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151"/>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5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5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8" w:type="dxa"/>
          </w:tcPr>
          <w:p>
            <w:pPr>
              <w:pStyle w:val="TableParagraph"/>
              <w:spacing w:before="30"/>
              <w:ind w:right="51"/>
              <w:jc w:val="right"/>
              <w:rPr>
                <w:rFonts w:ascii="Times New Roman"/>
                <w:sz w:val="21"/>
              </w:rPr>
            </w:pPr>
            <w:r>
              <w:rPr>
                <w:rFonts w:ascii="Times New Roman"/>
                <w:sz w:val="21"/>
              </w:rPr>
              <w:t>51.</w:t>
            </w:r>
          </w:p>
        </w:tc>
        <w:tc>
          <w:tcPr>
            <w:tcW w:w="2635" w:type="dxa"/>
          </w:tcPr>
          <w:p>
            <w:pPr>
              <w:pStyle w:val="TableParagraph"/>
              <w:spacing w:line="258" w:lineRule="exact"/>
              <w:ind w:left="54"/>
              <w:rPr>
                <w:sz w:val="21"/>
              </w:rPr>
            </w:pPr>
            <w:r>
              <w:rPr>
                <w:sz w:val="21"/>
              </w:rPr>
              <w:t>原发性硬化性胆管炎</w:t>
            </w:r>
          </w:p>
        </w:tc>
        <w:tc>
          <w:tcPr>
            <w:tcW w:w="7182" w:type="dxa"/>
          </w:tcPr>
          <w:p>
            <w:pPr>
              <w:pStyle w:val="TableParagraph"/>
              <w:spacing w:line="258" w:lineRule="exact"/>
              <w:ind w:left="151"/>
              <w:rPr>
                <w:sz w:val="21"/>
              </w:rPr>
            </w:pPr>
            <w:r>
              <w:rPr>
                <w:sz w:val="21"/>
              </w:rPr>
              <w:t>指一种胆汁淤积综合征，其特征是肝内、肝外胆道因纤维化性炎症逐渐狭</w:t>
            </w:r>
          </w:p>
          <w:p>
            <w:pPr>
              <w:pStyle w:val="TableParagraph"/>
              <w:spacing w:line="273" w:lineRule="auto" w:before="37"/>
              <w:ind w:left="151" w:right="207"/>
              <w:rPr>
                <w:sz w:val="21"/>
              </w:rPr>
            </w:pPr>
            <w:r>
              <w:rPr>
                <w:sz w:val="21"/>
              </w:rPr>
              <w:t>窄，并最终导致完全阻塞而发展为肝硬化。本病须经内镜逆行胰胆管造影等影像学检查证实，并须满足下列全部条件：</w:t>
            </w:r>
          </w:p>
          <w:p>
            <w:pPr>
              <w:pStyle w:val="TableParagraph"/>
              <w:spacing w:before="7"/>
              <w:ind w:left="151"/>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1"/>
              <w:rPr>
                <w:sz w:val="21"/>
              </w:rPr>
            </w:pPr>
            <w:r>
              <w:rPr>
                <w:sz w:val="21"/>
              </w:rPr>
              <w:t>（</w:t>
            </w:r>
            <w:r>
              <w:rPr>
                <w:rFonts w:ascii="Times New Roman" w:eastAsia="Times New Roman"/>
                <w:sz w:val="21"/>
              </w:rPr>
              <w:t>2</w:t>
            </w:r>
            <w:r>
              <w:rPr>
                <w:sz w:val="21"/>
              </w:rPr>
              <w:t>）持续性黄疸病史；</w:t>
            </w:r>
          </w:p>
          <w:p>
            <w:pPr>
              <w:pStyle w:val="TableParagraph"/>
              <w:spacing w:before="20"/>
              <w:ind w:left="151"/>
              <w:rPr>
                <w:sz w:val="21"/>
              </w:rPr>
            </w:pPr>
            <w:r>
              <w:rPr>
                <w:sz w:val="21"/>
              </w:rPr>
              <w:t>（</w:t>
            </w:r>
            <w:r>
              <w:rPr>
                <w:rFonts w:ascii="Times New Roman" w:eastAsia="Times New Roman"/>
                <w:sz w:val="21"/>
              </w:rPr>
              <w:t>3</w:t>
            </w:r>
            <w:r>
              <w:rPr>
                <w:sz w:val="21"/>
              </w:rPr>
              <w:t>）出现胆汁性肝硬化或门脉高压。</w:t>
            </w:r>
          </w:p>
          <w:p>
            <w:pPr>
              <w:pStyle w:val="TableParagraph"/>
              <w:spacing w:before="21"/>
              <w:ind w:left="151"/>
              <w:rPr>
                <w:b/>
                <w:sz w:val="21"/>
              </w:rPr>
            </w:pPr>
            <w:r>
              <w:rPr>
                <w:b/>
                <w:sz w:val="21"/>
              </w:rPr>
              <w:t>因肿瘤或胆管损伤等继发性的硬化性胆管炎不在保障范围内。</w:t>
            </w:r>
          </w:p>
        </w:tc>
      </w:tr>
      <w:tr>
        <w:trPr>
          <w:trHeight w:val="3120" w:hRule="atLeast"/>
        </w:trPr>
        <w:tc>
          <w:tcPr>
            <w:tcW w:w="518" w:type="dxa"/>
          </w:tcPr>
          <w:p>
            <w:pPr>
              <w:pStyle w:val="TableParagraph"/>
              <w:spacing w:before="38"/>
              <w:ind w:right="51"/>
              <w:jc w:val="right"/>
              <w:rPr>
                <w:rFonts w:ascii="Times New Roman"/>
                <w:sz w:val="21"/>
              </w:rPr>
            </w:pPr>
            <w:r>
              <w:rPr>
                <w:rFonts w:ascii="Times New Roman"/>
                <w:sz w:val="21"/>
              </w:rPr>
              <w:t>52.</w:t>
            </w:r>
          </w:p>
        </w:tc>
        <w:tc>
          <w:tcPr>
            <w:tcW w:w="2635" w:type="dxa"/>
          </w:tcPr>
          <w:p>
            <w:pPr>
              <w:pStyle w:val="TableParagraph"/>
              <w:spacing w:line="282" w:lineRule="exact"/>
              <w:ind w:left="54"/>
              <w:rPr>
                <w:sz w:val="21"/>
              </w:rPr>
            </w:pPr>
            <w:r>
              <w:rPr>
                <w:sz w:val="21"/>
              </w:rPr>
              <w:t>经输血导致的 </w:t>
            </w:r>
            <w:r>
              <w:rPr>
                <w:rFonts w:ascii="Times New Roman" w:eastAsia="Times New Roman"/>
                <w:sz w:val="21"/>
              </w:rPr>
              <w:t>HIV </w:t>
            </w:r>
            <w:r>
              <w:rPr>
                <w:sz w:val="21"/>
              </w:rPr>
              <w:t>感染</w:t>
            </w:r>
          </w:p>
        </w:tc>
        <w:tc>
          <w:tcPr>
            <w:tcW w:w="7182" w:type="dxa"/>
          </w:tcPr>
          <w:p>
            <w:pPr>
              <w:pStyle w:val="TableParagraph"/>
              <w:spacing w:line="282" w:lineRule="exact"/>
              <w:ind w:left="151"/>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15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151" w:right="204"/>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151"/>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151" w:right="206"/>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left="151" w:right="211"/>
              <w:rPr>
                <w:sz w:val="21"/>
              </w:rPr>
            </w:pPr>
            <w:r>
              <w:rPr>
                <w:sz w:val="21"/>
              </w:rPr>
              <w:t>我们承担本项疾病责任不受本合同第八条“责任免除”中“被保险人感染艾滋病病毒或患艾滋病”的限制。</w:t>
            </w:r>
          </w:p>
        </w:tc>
      </w:tr>
      <w:tr>
        <w:trPr>
          <w:trHeight w:val="1248" w:hRule="atLeast"/>
        </w:trPr>
        <w:tc>
          <w:tcPr>
            <w:tcW w:w="518" w:type="dxa"/>
          </w:tcPr>
          <w:p>
            <w:pPr>
              <w:pStyle w:val="TableParagraph"/>
              <w:spacing w:before="38"/>
              <w:ind w:right="51"/>
              <w:jc w:val="right"/>
              <w:rPr>
                <w:rFonts w:ascii="Times New Roman"/>
                <w:sz w:val="21"/>
              </w:rPr>
            </w:pPr>
            <w:r>
              <w:rPr>
                <w:rFonts w:ascii="Times New Roman"/>
                <w:sz w:val="21"/>
              </w:rPr>
              <w:t>53.</w:t>
            </w:r>
          </w:p>
        </w:tc>
        <w:tc>
          <w:tcPr>
            <w:tcW w:w="2635" w:type="dxa"/>
          </w:tcPr>
          <w:p>
            <w:pPr>
              <w:pStyle w:val="TableParagraph"/>
              <w:spacing w:line="266" w:lineRule="exact"/>
              <w:ind w:left="54"/>
              <w:rPr>
                <w:sz w:val="21"/>
              </w:rPr>
            </w:pPr>
            <w:r>
              <w:rPr>
                <w:sz w:val="21"/>
              </w:rPr>
              <w:t>疯牛病</w:t>
            </w:r>
          </w:p>
        </w:tc>
        <w:tc>
          <w:tcPr>
            <w:tcW w:w="7182" w:type="dxa"/>
          </w:tcPr>
          <w:p>
            <w:pPr>
              <w:pStyle w:val="TableParagraph"/>
              <w:spacing w:line="273" w:lineRule="auto"/>
              <w:ind w:left="151" w:right="207"/>
              <w:rPr>
                <w:sz w:val="21"/>
              </w:rPr>
            </w:pPr>
            <w:r>
              <w:rPr>
                <w:sz w:val="21"/>
              </w:rPr>
              <w:t>一种由动物传染而来的中枢神经系统变性性疾病，大脑呈海绵状改变伴神经元缺失和胶质化。临床表现为进行性痴呆、不随意运动及抽搐、行动困</w:t>
            </w:r>
          </w:p>
          <w:p>
            <w:pPr>
              <w:pStyle w:val="TableParagraph"/>
              <w:spacing w:line="312" w:lineRule="exact" w:before="12"/>
              <w:ind w:left="151" w:right="511"/>
              <w:rPr>
                <w:b/>
                <w:sz w:val="21"/>
              </w:rPr>
            </w:pPr>
            <w:r>
              <w:rPr>
                <w:sz w:val="21"/>
              </w:rPr>
              <w:t>难等等。疯牛病必须由权威医疗机构根据致病蛋白的发现而明确诊断。</w:t>
            </w:r>
            <w:r>
              <w:rPr>
                <w:b/>
                <w:sz w:val="21"/>
              </w:rPr>
              <w:t>疑似诊断不作为理赔依据。</w:t>
            </w:r>
          </w:p>
        </w:tc>
      </w:tr>
      <w:tr>
        <w:trPr>
          <w:trHeight w:val="1559" w:hRule="atLeast"/>
        </w:trPr>
        <w:tc>
          <w:tcPr>
            <w:tcW w:w="518" w:type="dxa"/>
          </w:tcPr>
          <w:p>
            <w:pPr>
              <w:pStyle w:val="TableParagraph"/>
              <w:spacing w:before="38"/>
              <w:ind w:right="51"/>
              <w:jc w:val="right"/>
              <w:rPr>
                <w:rFonts w:ascii="Times New Roman"/>
                <w:sz w:val="21"/>
              </w:rPr>
            </w:pPr>
            <w:r>
              <w:rPr>
                <w:rFonts w:ascii="Times New Roman"/>
                <w:sz w:val="21"/>
              </w:rPr>
              <w:t>54.</w:t>
            </w:r>
          </w:p>
        </w:tc>
        <w:tc>
          <w:tcPr>
            <w:tcW w:w="2635" w:type="dxa"/>
          </w:tcPr>
          <w:p>
            <w:pPr>
              <w:pStyle w:val="TableParagraph"/>
              <w:spacing w:line="266" w:lineRule="exact"/>
              <w:ind w:left="54"/>
              <w:rPr>
                <w:sz w:val="21"/>
              </w:rPr>
            </w:pPr>
            <w:r>
              <w:rPr>
                <w:sz w:val="21"/>
              </w:rPr>
              <w:t>慢性复发性胰腺炎</w:t>
            </w:r>
          </w:p>
        </w:tc>
        <w:tc>
          <w:tcPr>
            <w:tcW w:w="7182" w:type="dxa"/>
          </w:tcPr>
          <w:p>
            <w:pPr>
              <w:pStyle w:val="TableParagraph"/>
              <w:spacing w:line="261" w:lineRule="auto"/>
              <w:ind w:left="151" w:right="196"/>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151"/>
              <w:jc w:val="both"/>
              <w:rPr>
                <w:b/>
                <w:sz w:val="21"/>
              </w:rPr>
            </w:pPr>
            <w:r>
              <w:rPr>
                <w:b/>
                <w:sz w:val="21"/>
              </w:rPr>
              <w:t>酒精导致的慢性复发性胰腺炎不在保障范围内。</w:t>
            </w:r>
          </w:p>
        </w:tc>
      </w:tr>
      <w:tr>
        <w:trPr>
          <w:trHeight w:val="578" w:hRule="atLeast"/>
        </w:trPr>
        <w:tc>
          <w:tcPr>
            <w:tcW w:w="518" w:type="dxa"/>
          </w:tcPr>
          <w:p>
            <w:pPr>
              <w:pStyle w:val="TableParagraph"/>
              <w:spacing w:before="38"/>
              <w:ind w:right="51"/>
              <w:jc w:val="right"/>
              <w:rPr>
                <w:rFonts w:ascii="Times New Roman"/>
                <w:sz w:val="21"/>
              </w:rPr>
            </w:pPr>
            <w:r>
              <w:rPr>
                <w:rFonts w:ascii="Times New Roman"/>
                <w:sz w:val="21"/>
              </w:rPr>
              <w:t>55.</w:t>
            </w:r>
          </w:p>
        </w:tc>
        <w:tc>
          <w:tcPr>
            <w:tcW w:w="2635" w:type="dxa"/>
          </w:tcPr>
          <w:p>
            <w:pPr>
              <w:pStyle w:val="TableParagraph"/>
              <w:spacing w:line="266" w:lineRule="exact"/>
              <w:ind w:left="54"/>
              <w:rPr>
                <w:sz w:val="21"/>
              </w:rPr>
            </w:pPr>
            <w:r>
              <w:rPr>
                <w:sz w:val="21"/>
              </w:rPr>
              <w:t>终末期疾病</w:t>
            </w:r>
          </w:p>
        </w:tc>
        <w:tc>
          <w:tcPr>
            <w:tcW w:w="7182" w:type="dxa"/>
          </w:tcPr>
          <w:p>
            <w:pPr>
              <w:pStyle w:val="TableParagraph"/>
              <w:spacing w:line="266" w:lineRule="exact"/>
              <w:ind w:left="151"/>
              <w:rPr>
                <w:sz w:val="21"/>
              </w:rPr>
            </w:pPr>
            <w:r>
              <w:rPr>
                <w:sz w:val="21"/>
              </w:rPr>
              <w:t>指被保险人被确诊为疾病的终末期状态，疾病已经无法以现有的医疗技术</w:t>
            </w:r>
          </w:p>
          <w:p>
            <w:pPr>
              <w:pStyle w:val="TableParagraph"/>
              <w:spacing w:line="255" w:lineRule="exact" w:before="37"/>
              <w:ind w:left="151"/>
              <w:rPr>
                <w:sz w:val="21"/>
              </w:rPr>
            </w:pPr>
            <w:r>
              <w:rPr>
                <w:sz w:val="21"/>
              </w:rPr>
              <w:t>医治缓解，并且根据临床医学经验判断被保险人将于未来六个月内死亡。</w:t>
            </w:r>
          </w:p>
        </w:tc>
      </w:tr>
    </w:tbl>
    <w:p>
      <w:pPr>
        <w:spacing w:after="0" w:line="255" w:lineRule="exact"/>
        <w:rPr>
          <w:sz w:val="21"/>
        </w:rPr>
        <w:sectPr>
          <w:pgSz w:w="11910" w:h="16160"/>
          <w:pgMar w:header="0" w:footer="631" w:top="142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261"/>
        <w:gridCol w:w="7549"/>
      </w:tblGrid>
      <w:tr>
        <w:trPr>
          <w:trHeight w:val="881" w:hRule="atLeast"/>
        </w:trPr>
        <w:tc>
          <w:tcPr>
            <w:tcW w:w="518" w:type="dxa"/>
          </w:tcPr>
          <w:p>
            <w:pPr>
              <w:pStyle w:val="TableParagraph"/>
              <w:rPr>
                <w:rFonts w:ascii="Times New Roman"/>
                <w:sz w:val="20"/>
              </w:rPr>
            </w:pPr>
          </w:p>
        </w:tc>
        <w:tc>
          <w:tcPr>
            <w:tcW w:w="2261" w:type="dxa"/>
          </w:tcPr>
          <w:p>
            <w:pPr>
              <w:pStyle w:val="TableParagraph"/>
              <w:rPr>
                <w:rFonts w:ascii="Times New Roman"/>
                <w:sz w:val="20"/>
              </w:rPr>
            </w:pPr>
          </w:p>
        </w:tc>
        <w:tc>
          <w:tcPr>
            <w:tcW w:w="7549" w:type="dxa"/>
          </w:tcPr>
          <w:p>
            <w:pPr>
              <w:pStyle w:val="TableParagraph"/>
              <w:spacing w:line="202" w:lineRule="exact"/>
              <w:ind w:left="525"/>
              <w:rPr>
                <w:sz w:val="21"/>
              </w:rPr>
            </w:pPr>
            <w:r>
              <w:rPr>
                <w:sz w:val="21"/>
              </w:rPr>
              <w:t>在家属及患者的要求和医师的同意下积极治疗已被放弃，所有治疗措施仅</w:t>
            </w:r>
          </w:p>
          <w:p>
            <w:pPr>
              <w:pStyle w:val="TableParagraph"/>
              <w:spacing w:line="273" w:lineRule="auto" w:before="37"/>
              <w:ind w:left="525" w:right="200"/>
              <w:rPr>
                <w:sz w:val="21"/>
              </w:rPr>
            </w:pPr>
            <w:r>
              <w:rPr>
                <w:sz w:val="21"/>
              </w:rPr>
              <w:t>以减轻患者痛苦为目的。此疾病状态必须在被保险人生前已经确诊并且具有医疗证明文件和临床检查依据。</w:t>
            </w:r>
          </w:p>
        </w:tc>
      </w:tr>
      <w:tr>
        <w:trPr>
          <w:trHeight w:val="2504" w:hRule="atLeast"/>
        </w:trPr>
        <w:tc>
          <w:tcPr>
            <w:tcW w:w="518" w:type="dxa"/>
          </w:tcPr>
          <w:p>
            <w:pPr>
              <w:pStyle w:val="TableParagraph"/>
              <w:spacing w:before="29"/>
              <w:ind w:right="53"/>
              <w:jc w:val="right"/>
              <w:rPr>
                <w:rFonts w:ascii="Times New Roman"/>
                <w:sz w:val="21"/>
              </w:rPr>
            </w:pPr>
            <w:r>
              <w:rPr>
                <w:rFonts w:ascii="Times New Roman"/>
                <w:sz w:val="21"/>
              </w:rPr>
              <w:t>56.</w:t>
            </w:r>
          </w:p>
        </w:tc>
        <w:tc>
          <w:tcPr>
            <w:tcW w:w="2261" w:type="dxa"/>
          </w:tcPr>
          <w:p>
            <w:pPr>
              <w:pStyle w:val="TableParagraph"/>
              <w:spacing w:line="257" w:lineRule="exact"/>
              <w:ind w:left="54"/>
              <w:rPr>
                <w:sz w:val="21"/>
              </w:rPr>
            </w:pPr>
            <w:r>
              <w:rPr>
                <w:sz w:val="21"/>
              </w:rPr>
              <w:t>肺源性心脏病</w:t>
            </w:r>
          </w:p>
        </w:tc>
        <w:tc>
          <w:tcPr>
            <w:tcW w:w="7549" w:type="dxa"/>
          </w:tcPr>
          <w:p>
            <w:pPr>
              <w:pStyle w:val="TableParagraph"/>
              <w:spacing w:line="257" w:lineRule="exact"/>
              <w:ind w:left="525"/>
              <w:rPr>
                <w:sz w:val="21"/>
              </w:rPr>
            </w:pPr>
            <w:r>
              <w:rPr>
                <w:sz w:val="21"/>
              </w:rPr>
              <w:t>指由于各种胸肺及支气管病变而继发的肺动脉高压，最后导致以右室肥大</w:t>
            </w:r>
          </w:p>
          <w:p>
            <w:pPr>
              <w:pStyle w:val="TableParagraph"/>
              <w:spacing w:before="37"/>
              <w:ind w:left="525"/>
              <w:rPr>
                <w:sz w:val="21"/>
              </w:rPr>
            </w:pPr>
            <w:r>
              <w:rPr>
                <w:sz w:val="21"/>
              </w:rPr>
              <w:t>为特征的心脏病。须经呼吸专科医生确诊，且必须同时满足如下诊断标准</w:t>
            </w:r>
          </w:p>
          <w:p>
            <w:pPr>
              <w:pStyle w:val="TableParagraph"/>
              <w:spacing w:before="37"/>
              <w:ind w:left="525"/>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25"/>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w:t>
            </w:r>
            <w:r>
              <w:rPr>
                <w:rFonts w:ascii="Times New Roman" w:eastAsia="Times New Roman"/>
                <w:spacing w:val="-1"/>
                <w:w w:val="100"/>
                <w:sz w:val="21"/>
              </w:rPr>
              <w:t>e</w:t>
            </w:r>
            <w:r>
              <w:rPr>
                <w:spacing w:val="-106"/>
                <w:w w:val="100"/>
                <w:sz w:val="21"/>
              </w:rPr>
              <w:t>）；</w:t>
            </w:r>
          </w:p>
          <w:p>
            <w:pPr>
              <w:pStyle w:val="TableParagraph"/>
              <w:spacing w:before="21"/>
              <w:ind w:left="525"/>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525"/>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525"/>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525"/>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8" w:type="dxa"/>
          </w:tcPr>
          <w:p>
            <w:pPr>
              <w:pStyle w:val="TableParagraph"/>
              <w:spacing w:before="21"/>
              <w:ind w:right="53"/>
              <w:jc w:val="right"/>
              <w:rPr>
                <w:rFonts w:ascii="Times New Roman"/>
                <w:sz w:val="21"/>
              </w:rPr>
            </w:pPr>
            <w:r>
              <w:rPr>
                <w:rFonts w:ascii="Times New Roman"/>
                <w:sz w:val="21"/>
              </w:rPr>
              <w:t>57.</w:t>
            </w:r>
          </w:p>
        </w:tc>
        <w:tc>
          <w:tcPr>
            <w:tcW w:w="2261" w:type="dxa"/>
          </w:tcPr>
          <w:p>
            <w:pPr>
              <w:pStyle w:val="TableParagraph"/>
              <w:spacing w:line="250" w:lineRule="exact"/>
              <w:ind w:left="54"/>
              <w:rPr>
                <w:sz w:val="21"/>
              </w:rPr>
            </w:pPr>
            <w:r>
              <w:rPr>
                <w:sz w:val="21"/>
              </w:rPr>
              <w:t>严重肌营养不良症</w:t>
            </w:r>
          </w:p>
        </w:tc>
        <w:tc>
          <w:tcPr>
            <w:tcW w:w="7549" w:type="dxa"/>
          </w:tcPr>
          <w:p>
            <w:pPr>
              <w:pStyle w:val="TableParagraph"/>
              <w:spacing w:line="250" w:lineRule="exact"/>
              <w:ind w:left="525"/>
              <w:rPr>
                <w:sz w:val="21"/>
              </w:rPr>
            </w:pPr>
            <w:r>
              <w:rPr>
                <w:sz w:val="21"/>
              </w:rPr>
              <w:t>指一组原发于肌肉的遗传性疾病，临床表现为与神经系统无关的肌肉无力</w:t>
            </w:r>
          </w:p>
          <w:p>
            <w:pPr>
              <w:pStyle w:val="TableParagraph"/>
              <w:spacing w:before="37"/>
              <w:ind w:left="525"/>
              <w:rPr>
                <w:sz w:val="21"/>
              </w:rPr>
            </w:pPr>
            <w:r>
              <w:rPr>
                <w:sz w:val="21"/>
              </w:rPr>
              <w:t>和肌肉萎缩。且须满足下列全部条件：</w:t>
            </w:r>
          </w:p>
          <w:p>
            <w:pPr>
              <w:pStyle w:val="TableParagraph"/>
              <w:spacing w:line="256" w:lineRule="auto" w:before="37"/>
              <w:ind w:left="525" w:right="197"/>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25" w:right="1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525" w:right="202"/>
              <w:rPr>
                <w:sz w:val="21"/>
              </w:rPr>
            </w:pPr>
            <w:r>
              <w:rPr>
                <w:sz w:val="21"/>
              </w:rPr>
              <w:t>我们承担本项疾病责任不受本合同第八条“责任免除”中“遗传性疾病， 先天性畸形、变形或染色体异常”的限制。</w:t>
            </w:r>
          </w:p>
        </w:tc>
      </w:tr>
      <w:tr>
        <w:trPr>
          <w:trHeight w:val="578" w:hRule="atLeast"/>
        </w:trPr>
        <w:tc>
          <w:tcPr>
            <w:tcW w:w="518" w:type="dxa"/>
          </w:tcPr>
          <w:p>
            <w:pPr>
              <w:pStyle w:val="TableParagraph"/>
              <w:spacing w:before="29"/>
              <w:ind w:right="51"/>
              <w:jc w:val="right"/>
              <w:rPr>
                <w:rFonts w:ascii="Times New Roman"/>
                <w:sz w:val="21"/>
              </w:rPr>
            </w:pPr>
            <w:r>
              <w:rPr>
                <w:rFonts w:ascii="Times New Roman"/>
                <w:sz w:val="21"/>
              </w:rPr>
              <w:t>58.</w:t>
            </w:r>
          </w:p>
        </w:tc>
        <w:tc>
          <w:tcPr>
            <w:tcW w:w="2261" w:type="dxa"/>
          </w:tcPr>
          <w:p>
            <w:pPr>
              <w:pStyle w:val="TableParagraph"/>
              <w:spacing w:line="257" w:lineRule="exact"/>
              <w:ind w:left="54"/>
              <w:rPr>
                <w:sz w:val="21"/>
              </w:rPr>
            </w:pPr>
            <w:r>
              <w:rPr>
                <w:sz w:val="21"/>
              </w:rPr>
              <w:t>严重川崎病</w:t>
            </w:r>
          </w:p>
        </w:tc>
        <w:tc>
          <w:tcPr>
            <w:tcW w:w="7549" w:type="dxa"/>
          </w:tcPr>
          <w:p>
            <w:pPr>
              <w:pStyle w:val="TableParagraph"/>
              <w:spacing w:line="257" w:lineRule="exact"/>
              <w:ind w:left="525"/>
              <w:rPr>
                <w:b/>
                <w:sz w:val="21"/>
              </w:rPr>
            </w:pPr>
            <w:r>
              <w:rPr>
                <w:sz w:val="21"/>
              </w:rPr>
              <w:t>为一种病因不明的系统性血管炎。</w:t>
            </w:r>
            <w:r>
              <w:rPr>
                <w:b/>
                <w:sz w:val="21"/>
              </w:rPr>
              <w:t>本合同仅对诊断性检查证实川崎病并发</w:t>
            </w:r>
          </w:p>
          <w:p>
            <w:pPr>
              <w:pStyle w:val="TableParagraph"/>
              <w:spacing w:line="264" w:lineRule="exact" w:before="37"/>
              <w:ind w:left="525"/>
              <w:rPr>
                <w:b/>
                <w:sz w:val="21"/>
              </w:rPr>
            </w:pPr>
            <w:r>
              <w:rPr>
                <w:b/>
                <w:sz w:val="21"/>
              </w:rPr>
              <w:t>动脉瘤或其他心血管异常并且实际接受了手术治疗的情况予以理赔。</w:t>
            </w:r>
          </w:p>
        </w:tc>
      </w:tr>
    </w:tbl>
    <w:p>
      <w:pPr>
        <w:pStyle w:val="BodyText"/>
        <w:spacing w:before="3"/>
        <w:ind w:left="0"/>
        <w:rPr>
          <w:sz w:val="23"/>
        </w:rPr>
      </w:pPr>
    </w:p>
    <w:p>
      <w:pPr>
        <w:pStyle w:val="Heading2"/>
        <w:tabs>
          <w:tab w:pos="1594" w:val="left" w:leader="none"/>
        </w:tabs>
        <w:spacing w:before="36"/>
        <w:ind w:left="317"/>
      </w:pPr>
      <w:bookmarkStart w:name="_bookmark37" w:id="38"/>
      <w:bookmarkEnd w:id="38"/>
      <w:r>
        <w:rPr>
          <w:b w:val="0"/>
        </w:rPr>
      </w:r>
      <w:r>
        <w:rPr/>
        <w:t>第三十二条</w:t>
        <w:tab/>
        <w:t>原位癌的定义</w:t>
      </w:r>
    </w:p>
    <w:p>
      <w:pPr>
        <w:pStyle w:val="BodyText"/>
        <w:spacing w:line="273" w:lineRule="auto" w:before="36"/>
        <w:ind w:left="317" w:right="320" w:firstLine="420"/>
      </w:pPr>
      <w:r>
        <w:rPr/>
        <w:t>原位癌是指恶性细胞局限于上皮内尚未穿破基底膜浸润周围正常组织的癌细胞新生物。原位癌必须经对固定活组织的组织病理学检查明确诊断。被保险人必须已经接受了针对原位癌病灶的积极治疗。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before="5"/>
        <w:ind w:left="0"/>
        <w:rPr>
          <w:sz w:val="24"/>
        </w:rPr>
      </w:pPr>
    </w:p>
    <w:p>
      <w:pPr>
        <w:pStyle w:val="Heading2"/>
        <w:tabs>
          <w:tab w:pos="1594" w:val="left" w:leader="none"/>
        </w:tabs>
        <w:ind w:left="317"/>
      </w:pPr>
      <w:bookmarkStart w:name="_bookmark38" w:id="39"/>
      <w:bookmarkEnd w:id="39"/>
      <w:r>
        <w:rPr>
          <w:b w:val="0"/>
        </w:rPr>
      </w:r>
      <w:r>
        <w:rPr/>
        <w:t>第三十三条</w:t>
        <w:tab/>
        <w:t>全残定义</w:t>
      </w:r>
    </w:p>
    <w:p>
      <w:pPr>
        <w:pStyle w:val="BodyText"/>
        <w:spacing w:line="273" w:lineRule="auto" w:before="37"/>
        <w:ind w:left="738" w:right="4760"/>
      </w:pPr>
      <w:r>
        <w:rPr>
          <w:spacing w:val="-3"/>
        </w:rPr>
        <w:t>本合同所指的全残，须满足下列一项或一项以上条件： </w:t>
      </w:r>
      <w:r>
        <w:rPr>
          <w:spacing w:val="-3"/>
          <w:w w:val="100"/>
        </w:rPr>
        <w:t>一、双目永久完全失明的</w:t>
      </w:r>
      <w:r>
        <w:rPr>
          <w:w w:val="100"/>
        </w:rPr>
        <w:t>（注</w:t>
      </w:r>
      <w:r>
        <w:rPr>
          <w:spacing w:val="-53"/>
        </w:rPr>
        <w:t> </w:t>
      </w:r>
      <w:r>
        <w:rPr>
          <w:rFonts w:ascii="Times New Roman" w:eastAsia="Times New Roman"/>
          <w:spacing w:val="-3"/>
          <w:w w:val="100"/>
        </w:rPr>
        <w:t>1</w:t>
      </w:r>
      <w:r>
        <w:rPr>
          <w:spacing w:val="-106"/>
          <w:w w:val="100"/>
        </w:rPr>
        <w:t>）；</w:t>
      </w:r>
    </w:p>
    <w:p>
      <w:pPr>
        <w:pStyle w:val="BodyText"/>
        <w:spacing w:line="273" w:lineRule="auto"/>
        <w:ind w:left="738" w:right="4971"/>
        <w:jc w:val="both"/>
      </w:pPr>
      <w:r>
        <w:rPr>
          <w:spacing w:val="-3"/>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rPr>
        <w:t>六、所有四肢关节机能永久完全丧失的（</w:t>
      </w:r>
      <w:r>
        <w:rPr>
          <w:w w:val="100"/>
        </w:rPr>
        <w:t>注</w:t>
      </w:r>
      <w:r>
        <w:rPr>
          <w:spacing w:val="-52"/>
        </w:rPr>
        <w:t> </w:t>
      </w:r>
      <w:r>
        <w:rPr>
          <w:rFonts w:ascii="Times New Roman" w:eastAsia="Times New Roman"/>
          <w:spacing w:val="-3"/>
          <w:w w:val="100"/>
        </w:rPr>
        <w:t>2</w:t>
      </w:r>
      <w:r>
        <w:rPr>
          <w:spacing w:val="-106"/>
          <w:w w:val="100"/>
        </w:rPr>
        <w:t>）；</w:t>
      </w:r>
    </w:p>
    <w:p>
      <w:pPr>
        <w:pStyle w:val="BodyText"/>
        <w:spacing w:line="279" w:lineRule="exact" w:before="11"/>
        <w:ind w:left="738"/>
      </w:pPr>
      <w:r>
        <w:rPr>
          <w:spacing w:val="-3"/>
          <w:w w:val="100"/>
        </w:rPr>
        <w:t>七、咀嚼、吞咽机能永久完全丧失的（</w:t>
      </w:r>
      <w:r>
        <w:rPr>
          <w:w w:val="100"/>
        </w:rPr>
        <w:t>注</w:t>
      </w:r>
      <w:r>
        <w:rPr>
          <w:spacing w:val="-53"/>
        </w:rPr>
        <w:t> </w:t>
      </w:r>
      <w:r>
        <w:rPr>
          <w:rFonts w:ascii="Times New Roman" w:eastAsia="Times New Roman"/>
          <w:w w:val="100"/>
        </w:rPr>
        <w:t>3</w:t>
      </w:r>
      <w:r>
        <w:rPr>
          <w:spacing w:val="-108"/>
          <w:w w:val="100"/>
        </w:rPr>
        <w:t>）；</w:t>
      </w:r>
    </w:p>
    <w:p>
      <w:pPr>
        <w:pStyle w:val="BodyText"/>
        <w:spacing w:line="273" w:lineRule="auto" w:before="21"/>
        <w:ind w:left="317" w:right="320" w:firstLine="420"/>
      </w:pPr>
      <w:r>
        <w:rPr>
          <w:spacing w:val="-3"/>
        </w:rPr>
        <w:t>八、中枢神经系统机能或胸、腹部脏器机能极度障碍，终身不能从事任何工作，为维持生命必要的日常</w:t>
      </w:r>
      <w:r>
        <w:rPr>
          <w:spacing w:val="-3"/>
          <w:w w:val="100"/>
        </w:rPr>
        <w:t>生活活动，全需他人扶助的（</w:t>
      </w:r>
      <w:r>
        <w:rPr>
          <w:w w:val="100"/>
        </w:rPr>
        <w:t>注</w:t>
      </w:r>
      <w:r>
        <w:rPr>
          <w:spacing w:val="-52"/>
        </w:rPr>
        <w:t> </w:t>
      </w:r>
      <w:r>
        <w:rPr>
          <w:rFonts w:ascii="Times New Roman" w:eastAsia="Times New Roman"/>
          <w:w w:val="100"/>
        </w:rPr>
        <w:t>4</w:t>
      </w:r>
      <w:r>
        <w:rPr>
          <w:spacing w:val="-108"/>
          <w:w w:val="100"/>
        </w:rPr>
        <w:t>）。</w:t>
      </w:r>
    </w:p>
    <w:p>
      <w:pPr>
        <w:pStyle w:val="BodyText"/>
        <w:spacing w:line="264" w:lineRule="exact"/>
        <w:ind w:left="738"/>
      </w:pPr>
      <w:r>
        <w:rPr/>
        <w:t>注释：</w:t>
      </w:r>
    </w:p>
    <w:p>
      <w:pPr>
        <w:pStyle w:val="ListParagraph"/>
        <w:numPr>
          <w:ilvl w:val="1"/>
          <w:numId w:val="10"/>
        </w:numPr>
        <w:tabs>
          <w:tab w:pos="1003" w:val="left" w:leader="none"/>
        </w:tabs>
        <w:spacing w:line="256" w:lineRule="auto" w:before="37" w:after="0"/>
        <w:ind w:left="317" w:right="312" w:firstLine="421"/>
        <w:jc w:val="both"/>
        <w:rPr>
          <w:sz w:val="21"/>
        </w:rPr>
      </w:pPr>
      <w:r>
        <w:rPr>
          <w:spacing w:val="-6"/>
          <w:sz w:val="21"/>
        </w:rPr>
        <w:t>失明包括眼球缺失或摘除，或不能辨别明暗，或仅能辨别眼前手动者，最佳矫正视力低于国际标准视</w:t>
      </w:r>
      <w:r>
        <w:rPr>
          <w:spacing w:val="-13"/>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25"/>
          <w:sz w:val="21"/>
        </w:rPr>
        <w:t> </w:t>
      </w:r>
      <w:r>
        <w:rPr>
          <w:spacing w:val="-3"/>
          <w:sz w:val="21"/>
        </w:rPr>
        <w:t>度，并由本公司指定的有资格的眼科医生出具医疗诊断证明。永久完全是指自</w:t>
      </w:r>
      <w:r>
        <w:rPr>
          <w:spacing w:val="-4"/>
          <w:sz w:val="21"/>
        </w:rPr>
        <w:t>上述残疾发生之日起经过 </w:t>
      </w:r>
      <w:r>
        <w:rPr>
          <w:rFonts w:ascii="Times New Roman" w:eastAsia="Times New Roman"/>
          <w:sz w:val="21"/>
        </w:rPr>
        <w:t>180</w:t>
      </w:r>
      <w:r>
        <w:rPr>
          <w:rFonts w:ascii="Times New Roman" w:eastAsia="Times New Roman"/>
          <w:spacing w:val="40"/>
          <w:sz w:val="21"/>
        </w:rPr>
        <w:t> </w:t>
      </w:r>
      <w:r>
        <w:rPr>
          <w:spacing w:val="-3"/>
          <w:sz w:val="21"/>
        </w:rPr>
        <w:t>日的所有可能恢复机能的治疗，机能仍然完全丧失。但眼球摘除等明显无法复原之情况，不在此限。</w:t>
      </w:r>
    </w:p>
    <w:p>
      <w:pPr>
        <w:pStyle w:val="ListParagraph"/>
        <w:numPr>
          <w:ilvl w:val="1"/>
          <w:numId w:val="10"/>
        </w:numPr>
        <w:tabs>
          <w:tab w:pos="1003" w:val="left" w:leader="none"/>
        </w:tabs>
        <w:spacing w:line="240" w:lineRule="auto" w:before="22" w:after="0"/>
        <w:ind w:left="317" w:right="0" w:firstLine="421"/>
        <w:jc w:val="left"/>
        <w:rPr>
          <w:sz w:val="21"/>
        </w:rPr>
      </w:pPr>
      <w:r>
        <w:rPr>
          <w:spacing w:val="-3"/>
          <w:sz w:val="21"/>
        </w:rPr>
        <w:t>关节机能的丧失是指关节永久完全僵硬或麻痹、或关节不能随意识活动。</w:t>
      </w:r>
    </w:p>
    <w:p>
      <w:pPr>
        <w:pStyle w:val="ListParagraph"/>
        <w:numPr>
          <w:ilvl w:val="1"/>
          <w:numId w:val="10"/>
        </w:numPr>
        <w:tabs>
          <w:tab w:pos="1003" w:val="left" w:leader="none"/>
        </w:tabs>
        <w:spacing w:line="240" w:lineRule="auto" w:before="21" w:after="0"/>
        <w:ind w:left="317" w:right="0" w:firstLine="421"/>
        <w:jc w:val="left"/>
        <w:rPr>
          <w:sz w:val="21"/>
        </w:rPr>
      </w:pPr>
      <w:r>
        <w:rPr>
          <w:spacing w:val="-5"/>
          <w:sz w:val="21"/>
        </w:rPr>
        <w:t>咀嚼、吞咽机能的丧失是指由于牙齿以外的原因引起器质障碍或机能障碍，以致不能作咀嚼、吞咽运</w:t>
      </w:r>
    </w:p>
    <w:p>
      <w:pPr>
        <w:spacing w:after="0" w:line="240" w:lineRule="auto"/>
        <w:jc w:val="left"/>
        <w:rPr>
          <w:sz w:val="21"/>
        </w:rPr>
        <w:sectPr>
          <w:pgSz w:w="11910" w:h="16160"/>
          <w:pgMar w:header="0" w:footer="631" w:top="1440" w:bottom="820" w:left="760" w:right="600"/>
        </w:sectPr>
      </w:pPr>
    </w:p>
    <w:p>
      <w:pPr>
        <w:pStyle w:val="BodyText"/>
        <w:spacing w:before="7"/>
      </w:pPr>
      <w:r>
        <w:rPr/>
        <w:t>动，除流质食物外不能摄取或吞咽的状态。</w:t>
      </w:r>
    </w:p>
    <w:p>
      <w:pPr>
        <w:pStyle w:val="ListParagraph"/>
        <w:numPr>
          <w:ilvl w:val="1"/>
          <w:numId w:val="10"/>
        </w:numPr>
        <w:tabs>
          <w:tab w:pos="803" w:val="left" w:leader="none"/>
        </w:tabs>
        <w:spacing w:line="256" w:lineRule="auto" w:before="37" w:after="0"/>
        <w:ind w:left="117" w:right="116" w:firstLine="421"/>
        <w:jc w:val="left"/>
        <w:rPr>
          <w:sz w:val="21"/>
        </w:rPr>
      </w:pPr>
      <w:r>
        <w:rPr>
          <w:spacing w:val="-9"/>
          <w:sz w:val="21"/>
        </w:rPr>
        <w:t>为维持生命必要的日常生活活动，全需他人扶助系指食物摄取、大小便始末、穿脱衣服、起居、步行、</w:t>
      </w:r>
      <w:r>
        <w:rPr>
          <w:spacing w:val="-3"/>
          <w:sz w:val="21"/>
        </w:rPr>
        <w:t>入浴等，皆不能自己为之，需要他人帮助。</w:t>
      </w:r>
    </w:p>
    <w:p>
      <w:pPr>
        <w:pStyle w:val="BodyText"/>
        <w:ind w:left="0"/>
        <w:rPr>
          <w:sz w:val="20"/>
        </w:rPr>
      </w:pPr>
    </w:p>
    <w:p>
      <w:pPr>
        <w:pStyle w:val="BodyText"/>
        <w:ind w:left="0"/>
        <w:rPr>
          <w:sz w:val="20"/>
        </w:rPr>
      </w:pPr>
    </w:p>
    <w:p>
      <w:pPr>
        <w:pStyle w:val="BodyText"/>
        <w:ind w:left="0"/>
        <w:rPr>
          <w:sz w:val="20"/>
        </w:rPr>
      </w:pPr>
    </w:p>
    <w:p>
      <w:pPr>
        <w:pStyle w:val="Heading2"/>
        <w:spacing w:before="173"/>
        <w:ind w:left="0" w:right="2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360" w:bottom="90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50003pt;margin-top:761.429871pt;width:233.3pt;height:13.7pt;mso-position-horizontal-relative:page;mso-position-vertical-relative:page;z-index:-34048" type="#_x0000_t202" filled="false" stroked="false">
          <v:textbox inset="0,0,0,0">
            <w:txbxContent>
              <w:p>
                <w:pPr>
                  <w:pStyle w:val="BodyText"/>
                  <w:spacing w:line="254" w:lineRule="exact"/>
                  <w:ind w:left="20"/>
                </w:pPr>
                <w:r>
                  <w:rPr/>
                  <w:t>太平福临岁祐终身重大疾病保险，第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33"/>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1"/>
      <w:numFmt w:val="decimal"/>
      <w:lvlText w:val="%2."/>
      <w:lvlJc w:val="left"/>
      <w:pPr>
        <w:ind w:left="317" w:hanging="264"/>
        <w:jc w:val="right"/>
      </w:pPr>
      <w:rPr>
        <w:rFonts w:hint="default" w:ascii="Times New Roman" w:hAnsi="Times New Roman" w:eastAsia="Times New Roman" w:cs="Times New Roman"/>
        <w:w w:val="100"/>
        <w:sz w:val="21"/>
        <w:szCs w:val="21"/>
      </w:rPr>
    </w:lvl>
    <w:lvl w:ilvl="2">
      <w:start w:val="0"/>
      <w:numFmt w:val="bullet"/>
      <w:lvlText w:val="•"/>
      <w:lvlJc w:val="left"/>
      <w:pPr>
        <w:ind w:left="740" w:hanging="264"/>
      </w:pPr>
      <w:rPr>
        <w:rFonts w:hint="default"/>
      </w:rPr>
    </w:lvl>
    <w:lvl w:ilvl="3">
      <w:start w:val="0"/>
      <w:numFmt w:val="bullet"/>
      <w:lvlText w:val="•"/>
      <w:lvlJc w:val="left"/>
      <w:pPr>
        <w:ind w:left="1012" w:hanging="264"/>
      </w:pPr>
      <w:rPr>
        <w:rFonts w:hint="default"/>
      </w:rPr>
    </w:lvl>
    <w:lvl w:ilvl="4">
      <w:start w:val="0"/>
      <w:numFmt w:val="bullet"/>
      <w:lvlText w:val="•"/>
      <w:lvlJc w:val="left"/>
      <w:pPr>
        <w:ind w:left="1285" w:hanging="264"/>
      </w:pPr>
      <w:rPr>
        <w:rFonts w:hint="default"/>
      </w:rPr>
    </w:lvl>
    <w:lvl w:ilvl="5">
      <w:start w:val="0"/>
      <w:numFmt w:val="bullet"/>
      <w:lvlText w:val="•"/>
      <w:lvlJc w:val="left"/>
      <w:pPr>
        <w:ind w:left="1558" w:hanging="264"/>
      </w:pPr>
      <w:rPr>
        <w:rFonts w:hint="default"/>
      </w:rPr>
    </w:lvl>
    <w:lvl w:ilvl="6">
      <w:start w:val="0"/>
      <w:numFmt w:val="bullet"/>
      <w:lvlText w:val="•"/>
      <w:lvlJc w:val="left"/>
      <w:pPr>
        <w:ind w:left="1830" w:hanging="264"/>
      </w:pPr>
      <w:rPr>
        <w:rFonts w:hint="default"/>
      </w:rPr>
    </w:lvl>
    <w:lvl w:ilvl="7">
      <w:start w:val="0"/>
      <w:numFmt w:val="bullet"/>
      <w:lvlText w:val="•"/>
      <w:lvlJc w:val="left"/>
      <w:pPr>
        <w:ind w:left="2103" w:hanging="264"/>
      </w:pPr>
      <w:rPr>
        <w:rFonts w:hint="default"/>
      </w:rPr>
    </w:lvl>
    <w:lvl w:ilvl="8">
      <w:start w:val="0"/>
      <w:numFmt w:val="bullet"/>
      <w:lvlText w:val="•"/>
      <w:lvlJc w:val="left"/>
      <w:pPr>
        <w:ind w:left="2376" w:hanging="264"/>
      </w:pPr>
      <w:rPr>
        <w:rFonts w:hint="default"/>
      </w:rPr>
    </w:lvl>
  </w:abstractNum>
  <w:abstractNum w:abstractNumId="8">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7">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2018-10-19T23:50:24Z</dcterms:created>
  <dcterms:modified xsi:type="dcterms:W3CDTF">2018-10-19T23:50:24Z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Word 2010</vt:lpwstr>
  </property>
  <property fmtid="{D5CDD505-2E9C-101B-9397-08002B2CF9AE}" pid="4" name="LastSaved">
    <vt:filetime>2018-10-19T00:00:00Z</vt:filetime>
  </property>
</Properties>
</file>