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[2015]</w:t>
      </w:r>
      <w:r>
        <w:rPr>
          <w:sz w:val="18"/>
        </w:rPr>
        <w:t>疾病保险 </w:t>
      </w:r>
      <w:r>
        <w:rPr>
          <w:rFonts w:ascii="Times New Roman" w:eastAsia="Times New Roman"/>
          <w:sz w:val="18"/>
        </w:rPr>
        <w:t>026 </w:t>
      </w:r>
      <w:r>
        <w:rPr>
          <w:sz w:val="18"/>
        </w:rPr>
        <w:t>号</w:t>
      </w:r>
    </w:p>
    <w:p>
      <w:pPr>
        <w:pStyle w:val="BodyText"/>
        <w:rPr>
          <w:sz w:val="6"/>
        </w:rPr>
      </w:pPr>
    </w:p>
    <w:p>
      <w:pPr>
        <w:spacing w:after="0"/>
        <w:rPr>
          <w:sz w:val="6"/>
        </w:rPr>
        <w:sectPr>
          <w:footerReference w:type="default" r:id="rId5"/>
          <w:type w:val="continuous"/>
          <w:pgSz w:w="11910" w:h="16840"/>
          <w:pgMar w:footer="915" w:top="1100" w:bottom="1100" w:left="1020" w:right="1100"/>
          <w:pgNumType w:start="3"/>
        </w:sectPr>
      </w:pPr>
    </w:p>
    <w:p>
      <w:pPr>
        <w:pStyle w:val="BodyText"/>
        <w:spacing w:before="7"/>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5"/>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4"/>
        <w:tabs>
          <w:tab w:pos="953" w:val="left" w:leader="none"/>
        </w:tabs>
        <w:spacing w:before="62"/>
        <w:ind w:left="112"/>
      </w:pPr>
      <w:r>
        <w:rPr>
          <w:rFonts w:ascii="Arial" w:hAnsi="Arial" w:eastAsia="Arial"/>
          <w:w w:val="105"/>
          <w:position w:val="-9"/>
          <w:sz w:val="44"/>
        </w:rPr>
        <w:t></w:t>
        <w:tab/>
      </w:r>
      <w:r>
        <w:rPr>
          <w:spacing w:val="-2"/>
        </w:rPr>
        <w:t>本阅读指引适用于《中华安康 </w:t>
      </w:r>
      <w:r>
        <w:rPr>
          <w:rFonts w:ascii="Times New Roman" w:hAnsi="Times New Roman" w:eastAsia="Times New Roman"/>
        </w:rPr>
        <w:t>100</w:t>
      </w:r>
      <w:r>
        <w:rPr>
          <w:rFonts w:ascii="Times New Roman" w:hAnsi="Times New Roman" w:eastAsia="Times New Roman"/>
          <w:spacing w:val="3"/>
        </w:rPr>
        <w:t> </w:t>
      </w:r>
      <w:r>
        <w:rPr>
          <w:spacing w:val="-2"/>
        </w:rPr>
        <w:t>团体重大疾病保险 </w:t>
      </w:r>
      <w:r>
        <w:rPr>
          <w:rFonts w:ascii="Times New Roman" w:hAnsi="Times New Roman" w:eastAsia="Times New Roman"/>
        </w:rPr>
        <w:t>B</w:t>
      </w:r>
      <w:r>
        <w:rPr>
          <w:rFonts w:ascii="Times New Roman" w:hAnsi="Times New Roman" w:eastAsia="Times New Roman"/>
          <w:spacing w:val="5"/>
        </w:rPr>
        <w:t> </w:t>
      </w:r>
      <w:r>
        <w:rPr/>
        <w:t>款条款》</w:t>
      </w:r>
    </w:p>
    <w:p>
      <w:pPr>
        <w:tabs>
          <w:tab w:pos="953" w:val="left" w:leader="none"/>
        </w:tabs>
        <w:spacing w:line="314" w:lineRule="auto" w:before="274"/>
        <w:ind w:left="953" w:right="1453" w:hanging="841"/>
        <w:jc w:val="left"/>
        <w:rPr>
          <w:sz w:val="21"/>
        </w:rPr>
      </w:pPr>
      <w:r>
        <w:rPr>
          <w:rFonts w:ascii="Arial" w:hAnsi="Arial" w:eastAsia="Arial"/>
          <w:b/>
          <w:w w:val="105"/>
          <w:position w:val="-9"/>
          <w:sz w:val="44"/>
        </w:rPr>
        <w:t></w:t>
        <w:tab/>
      </w:r>
      <w:r>
        <w:rPr>
          <w:rFonts w:ascii="微软雅黑" w:hAnsi="微软雅黑" w:eastAsia="微软雅黑" w:hint="eastAsia"/>
          <w:b/>
          <w:spacing w:val="-3"/>
          <w:sz w:val="21"/>
        </w:rPr>
        <w:t>为了方便投保人更好地理解本保险条款，我们介绍以下人身保险条款中常用术语 </w:t>
      </w:r>
      <w:r>
        <w:rPr>
          <w:rFonts w:ascii="微软雅黑" w:hAnsi="微软雅黑" w:eastAsia="微软雅黑" w:hint="eastAsia"/>
          <w:b/>
          <w:spacing w:val="-1"/>
          <w:sz w:val="21"/>
        </w:rPr>
        <w:t>投保人</w:t>
      </w:r>
      <w:r>
        <w:rPr>
          <w:spacing w:val="-3"/>
          <w:sz w:val="21"/>
        </w:rPr>
        <w:t>指与保险公司订立保险合同的人</w:t>
      </w:r>
    </w:p>
    <w:p>
      <w:pPr>
        <w:spacing w:line="201" w:lineRule="exact" w:before="0"/>
        <w:ind w:left="953" w:right="0" w:firstLine="0"/>
        <w:jc w:val="left"/>
        <w:rPr>
          <w:sz w:val="21"/>
        </w:rPr>
      </w:pPr>
      <w:r>
        <w:rPr>
          <w:rFonts w:ascii="微软雅黑" w:eastAsia="微软雅黑" w:hint="eastAsia"/>
          <w:b/>
          <w:sz w:val="21"/>
        </w:rPr>
        <w:t>被保险人</w:t>
      </w:r>
      <w:r>
        <w:rPr>
          <w:sz w:val="21"/>
        </w:rPr>
        <w:t>指受保险合同保障的人</w:t>
      </w:r>
    </w:p>
    <w:p>
      <w:pPr>
        <w:pStyle w:val="BodyText"/>
        <w:spacing w:line="337" w:lineRule="exact"/>
        <w:ind w:left="953"/>
      </w:pPr>
      <w:r>
        <w:rPr>
          <w:rFonts w:ascii="微软雅黑" w:eastAsia="微软雅黑" w:hint="eastAsia"/>
          <w:b/>
        </w:rPr>
        <w:t>受益人</w:t>
      </w:r>
      <w:r>
        <w:rPr/>
        <w:t>指由投保人或被保险人指定的，享有保险金请求权的人</w:t>
      </w:r>
    </w:p>
    <w:p>
      <w:pPr>
        <w:pStyle w:val="BodyText"/>
        <w:spacing w:before="10"/>
        <w:rPr>
          <w:sz w:val="16"/>
        </w:rPr>
      </w:pPr>
    </w:p>
    <w:p>
      <w:pPr>
        <w:pStyle w:val="Heading4"/>
        <w:tabs>
          <w:tab w:pos="953" w:val="left" w:leader="none"/>
        </w:tabs>
        <w:spacing w:before="0"/>
        <w:ind w:left="112"/>
      </w:pPr>
      <w:r>
        <w:rPr>
          <w:rFonts w:ascii="Arial" w:hAnsi="Arial" w:eastAsia="Arial"/>
          <w:w w:val="105"/>
          <w:position w:val="-9"/>
          <w:sz w:val="44"/>
        </w:rPr>
        <w:t></w:t>
        <w:tab/>
      </w:r>
      <w:r>
        <w:rPr>
          <w:spacing w:val="-2"/>
        </w:rPr>
        <w:t>投保人拥有的重要权益</w:t>
      </w:r>
    </w:p>
    <w:p>
      <w:pPr>
        <w:pStyle w:val="BodyText"/>
        <w:spacing w:before="221"/>
        <w:ind w:left="955"/>
        <w:rPr>
          <w:rFonts w:ascii="Times New Roman" w:eastAsia="Times New Roman"/>
        </w:rPr>
      </w:pPr>
      <w:r>
        <w:rPr/>
        <w:t>签收本合同之日起 </w:t>
      </w:r>
      <w:r>
        <w:rPr>
          <w:rFonts w:ascii="Times New Roman" w:eastAsia="Times New Roman"/>
        </w:rPr>
        <w:t>21 </w:t>
      </w:r>
      <w:r>
        <w:rPr/>
        <w:t>日内（即犹豫期）投保人若要求退保，我们无息退还所交纳保险费 .. </w:t>
      </w:r>
      <w:r>
        <w:rPr>
          <w:rFonts w:ascii="Times New Roman" w:eastAsia="Times New Roman"/>
        </w:rPr>
        <w:t>1.5</w:t>
      </w:r>
    </w:p>
    <w:p>
      <w:pPr>
        <w:pStyle w:val="BodyText"/>
        <w:tabs>
          <w:tab w:pos="9669" w:val="right" w:leader="dot"/>
        </w:tabs>
        <w:spacing w:before="21"/>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投保</w:t>
      </w:r>
      <w:r>
        <w:rPr>
          <w:spacing w:val="-3"/>
        </w:rPr>
        <w:t>人</w:t>
      </w:r>
      <w:r>
        <w:rPr/>
        <w:t>有</w:t>
      </w:r>
      <w:r>
        <w:rPr>
          <w:spacing w:val="-3"/>
        </w:rPr>
        <w:t>退</w:t>
      </w:r>
      <w:r>
        <w:rPr/>
        <w:t>保</w:t>
      </w:r>
      <w:r>
        <w:rPr>
          <w:spacing w:val="-3"/>
        </w:rPr>
        <w:t>的</w:t>
      </w:r>
      <w:r>
        <w:rPr/>
        <w:t>权利</w:t>
        <w:tab/>
      </w:r>
      <w:r>
        <w:rPr>
          <w:rFonts w:ascii="Times New Roman" w:eastAsia="Times New Roman"/>
        </w:rPr>
        <w:t>7.1</w:t>
      </w:r>
    </w:p>
    <w:p>
      <w:pPr>
        <w:pStyle w:val="Heading4"/>
        <w:tabs>
          <w:tab w:pos="953" w:val="left" w:leader="none"/>
        </w:tabs>
        <w:spacing w:before="229"/>
        <w:ind w:left="112"/>
      </w:pPr>
      <w:r>
        <w:rPr>
          <w:rFonts w:ascii="Arial" w:hAnsi="Arial" w:eastAsia="Arial"/>
          <w:w w:val="105"/>
          <w:position w:val="-9"/>
          <w:sz w:val="44"/>
        </w:rPr>
        <w:t></w:t>
        <w:tab/>
      </w:r>
      <w:r>
        <w:rPr>
          <w:spacing w:val="-3"/>
        </w:rPr>
        <w:t>投保人应当特别注意的事项</w:t>
      </w:r>
    </w:p>
    <w:p>
      <w:pPr>
        <w:pStyle w:val="Heading4"/>
        <w:tabs>
          <w:tab w:pos="9671" w:val="right" w:leader="dot"/>
        </w:tabs>
        <w:spacing w:line="337" w:lineRule="exact" w:before="158"/>
        <w:ind w:left="955"/>
        <w:rPr>
          <w:rFonts w:ascii="Times New Roman" w:eastAsia="Times New Roman"/>
        </w:rPr>
      </w:pPr>
      <w:r>
        <w:rPr/>
        <w:t>投保人应当及时签</w:t>
      </w:r>
      <w:r>
        <w:rPr>
          <w:spacing w:val="-3"/>
        </w:rPr>
        <w:t>收</w:t>
      </w:r>
      <w:r>
        <w:rPr/>
        <w:t>保</w:t>
      </w:r>
      <w:r>
        <w:rPr>
          <w:spacing w:val="-3"/>
        </w:rPr>
        <w:t>险</w:t>
      </w:r>
      <w:r>
        <w:rPr/>
        <w:t>合同</w:t>
        <w:tab/>
      </w:r>
      <w:r>
        <w:rPr>
          <w:rFonts w:ascii="Times New Roman" w:eastAsia="Times New Roman"/>
        </w:rPr>
        <w:t>1.4</w:t>
      </w:r>
    </w:p>
    <w:p>
      <w:pPr>
        <w:pStyle w:val="Heading4"/>
        <w:tabs>
          <w:tab w:pos="9671" w:val="right" w:leader="dot"/>
        </w:tabs>
        <w:spacing w:line="312" w:lineRule="exact" w:before="0"/>
        <w:ind w:left="955"/>
        <w:rPr>
          <w:rFonts w:ascii="Times New Roman" w:eastAsia="Times New Roman"/>
        </w:rPr>
      </w:pPr>
      <w:r>
        <w:rPr/>
        <w:t>本合同有</w:t>
      </w:r>
      <w:r>
        <w:rPr>
          <w:spacing w:val="-10"/>
        </w:rPr>
        <w:t> </w:t>
      </w:r>
      <w:r>
        <w:rPr>
          <w:rFonts w:ascii="Times New Roman" w:eastAsia="Times New Roman"/>
        </w:rPr>
        <w:t>90</w:t>
      </w:r>
      <w:r>
        <w:rPr>
          <w:rFonts w:ascii="Times New Roman" w:eastAsia="Times New Roman"/>
          <w:spacing w:val="-3"/>
        </w:rPr>
        <w:t> </w:t>
      </w:r>
      <w:r>
        <w:rPr/>
        <w:t>天的等待期</w:t>
      </w:r>
      <w:r>
        <w:rPr>
          <w:spacing w:val="-3"/>
        </w:rPr>
        <w:t>，</w:t>
      </w:r>
      <w:r>
        <w:rPr/>
        <w:t>请投保人或被保险人注意</w:t>
        <w:tab/>
      </w:r>
      <w:r>
        <w:rPr>
          <w:rFonts w:ascii="Times New Roman" w:eastAsia="Times New Roman"/>
        </w:rPr>
        <w:t>2.3</w:t>
      </w:r>
    </w:p>
    <w:p>
      <w:pPr>
        <w:pStyle w:val="Heading4"/>
        <w:spacing w:line="312" w:lineRule="exact" w:before="0"/>
        <w:ind w:left="955"/>
        <w:rPr>
          <w:rFonts w:ascii="Times New Roman" w:eastAsia="Times New Roman"/>
        </w:rPr>
      </w:pPr>
      <w:r>
        <w:rPr>
          <w:w w:val="110"/>
        </w:rPr>
        <w:t>在某些情况下，我们不承担保险责任     </w:t>
      </w:r>
      <w:r>
        <w:rPr>
          <w:w w:val="145"/>
        </w:rPr>
        <w:t>...........................................</w:t>
      </w:r>
      <w:r>
        <w:rPr>
          <w:rFonts w:ascii="Times New Roman" w:eastAsia="Times New Roman"/>
          <w:w w:val="145"/>
        </w:rPr>
        <w:t>2.4</w:t>
      </w:r>
      <w:r>
        <w:rPr>
          <w:w w:val="145"/>
        </w:rPr>
        <w:t>/</w:t>
      </w:r>
      <w:r>
        <w:rPr>
          <w:rFonts w:ascii="Times New Roman" w:eastAsia="Times New Roman"/>
          <w:w w:val="145"/>
        </w:rPr>
        <w:t>2.5</w:t>
      </w:r>
    </w:p>
    <w:p>
      <w:pPr>
        <w:pStyle w:val="Heading4"/>
        <w:tabs>
          <w:tab w:pos="9671" w:val="right" w:leader="dot"/>
        </w:tabs>
        <w:spacing w:line="312" w:lineRule="exact" w:before="0"/>
        <w:ind w:left="955"/>
        <w:rPr>
          <w:rFonts w:ascii="Times New Roman" w:eastAsia="Times New Roman"/>
        </w:rPr>
      </w:pPr>
      <w:r>
        <w:rPr>
          <w:w w:val="105"/>
        </w:rPr>
        <w:t>保险事故发生后请</w:t>
      </w:r>
      <w:r>
        <w:rPr>
          <w:spacing w:val="-3"/>
          <w:w w:val="105"/>
        </w:rPr>
        <w:t>及</w:t>
      </w:r>
      <w:r>
        <w:rPr>
          <w:w w:val="105"/>
        </w:rPr>
        <w:t>时</w:t>
      </w:r>
      <w:r>
        <w:rPr>
          <w:spacing w:val="-3"/>
          <w:w w:val="105"/>
        </w:rPr>
        <w:t>通</w:t>
      </w:r>
      <w:r>
        <w:rPr>
          <w:w w:val="105"/>
        </w:rPr>
        <w:t>知我们</w:t>
      </w:r>
      <w:r>
        <w:rPr>
          <w:w w:val="150"/>
        </w:rPr>
        <w:t>,</w:t>
      </w:r>
      <w:r>
        <w:rPr>
          <w:w w:val="105"/>
        </w:rPr>
        <w:t>否则可能影响</w:t>
      </w:r>
      <w:r>
        <w:rPr>
          <w:spacing w:val="-3"/>
          <w:w w:val="105"/>
        </w:rPr>
        <w:t>保险</w:t>
      </w:r>
      <w:r>
        <w:rPr>
          <w:w w:val="105"/>
        </w:rPr>
        <w:t>金的给付</w:t>
        <w:tab/>
      </w:r>
      <w:r>
        <w:rPr>
          <w:rFonts w:ascii="Times New Roman" w:eastAsia="Times New Roman"/>
          <w:w w:val="105"/>
        </w:rPr>
        <w:t>3.2</w:t>
      </w:r>
    </w:p>
    <w:p>
      <w:pPr>
        <w:pStyle w:val="Heading4"/>
        <w:spacing w:line="312" w:lineRule="exact" w:before="0"/>
        <w:ind w:left="955"/>
        <w:rPr>
          <w:rFonts w:ascii="Times New Roman" w:eastAsia="Times New Roman"/>
        </w:rPr>
      </w:pPr>
      <w:r>
        <w:rPr>
          <w:w w:val="110"/>
        </w:rPr>
        <w:t>请按时交纳保险费，否则会导致合同效力中止 </w:t>
      </w:r>
      <w:r>
        <w:rPr>
          <w:w w:val="160"/>
        </w:rPr>
        <w:t>.................................... </w:t>
      </w:r>
      <w:r>
        <w:rPr>
          <w:rFonts w:ascii="Times New Roman" w:eastAsia="Times New Roman"/>
          <w:w w:val="110"/>
        </w:rPr>
        <w:t>4</w:t>
      </w:r>
      <w:r>
        <w:rPr>
          <w:w w:val="110"/>
        </w:rPr>
        <w:t>/</w:t>
      </w:r>
      <w:r>
        <w:rPr>
          <w:rFonts w:ascii="Times New Roman" w:eastAsia="Times New Roman"/>
          <w:w w:val="110"/>
        </w:rPr>
        <w:t>6.1</w:t>
      </w:r>
    </w:p>
    <w:p>
      <w:pPr>
        <w:pStyle w:val="Heading4"/>
        <w:tabs>
          <w:tab w:pos="9671" w:val="right" w:leader="dot"/>
        </w:tabs>
        <w:spacing w:line="312" w:lineRule="exact" w:before="0"/>
        <w:ind w:left="955"/>
        <w:rPr>
          <w:rFonts w:ascii="Times New Roman" w:eastAsia="Times New Roman"/>
        </w:rPr>
      </w:pPr>
      <w:r>
        <w:rPr/>
        <w:t>退保会给投保人或</w:t>
      </w:r>
      <w:r>
        <w:rPr>
          <w:spacing w:val="-3"/>
        </w:rPr>
        <w:t>被</w:t>
      </w:r>
      <w:r>
        <w:rPr/>
        <w:t>保</w:t>
      </w:r>
      <w:r>
        <w:rPr>
          <w:spacing w:val="-3"/>
        </w:rPr>
        <w:t>险</w:t>
      </w:r>
      <w:r>
        <w:rPr/>
        <w:t>人造成一定的损失</w:t>
      </w:r>
      <w:r>
        <w:rPr>
          <w:spacing w:val="-3"/>
        </w:rPr>
        <w:t>，</w:t>
      </w:r>
      <w:r>
        <w:rPr/>
        <w:t>请</w:t>
      </w:r>
      <w:r>
        <w:rPr>
          <w:spacing w:val="-3"/>
        </w:rPr>
        <w:t>慎</w:t>
      </w:r>
      <w:r>
        <w:rPr/>
        <w:t>重决策</w:t>
        <w:tab/>
      </w:r>
      <w:r>
        <w:rPr>
          <w:rFonts w:ascii="Times New Roman" w:eastAsia="Times New Roman"/>
        </w:rPr>
        <w:t>7.1</w:t>
      </w:r>
    </w:p>
    <w:p>
      <w:pPr>
        <w:pStyle w:val="Heading4"/>
        <w:tabs>
          <w:tab w:pos="9671" w:val="right" w:leader="dot"/>
        </w:tabs>
        <w:spacing w:line="312" w:lineRule="exact" w:before="0"/>
        <w:ind w:left="955"/>
        <w:rPr>
          <w:rFonts w:ascii="Times New Roman" w:eastAsia="Times New Roman"/>
        </w:rPr>
      </w:pPr>
      <w:r>
        <w:rPr/>
        <w:t>投保人或被保险人</w:t>
      </w:r>
      <w:r>
        <w:rPr>
          <w:spacing w:val="-3"/>
        </w:rPr>
        <w:t>有</w:t>
      </w:r>
      <w:r>
        <w:rPr/>
        <w:t>如</w:t>
      </w:r>
      <w:r>
        <w:rPr>
          <w:spacing w:val="-3"/>
        </w:rPr>
        <w:t>实</w:t>
      </w:r>
      <w:r>
        <w:rPr/>
        <w:t>告知的义务</w:t>
        <w:tab/>
      </w:r>
      <w:r>
        <w:rPr>
          <w:rFonts w:ascii="Times New Roman" w:eastAsia="Times New Roman"/>
        </w:rPr>
        <w:t>8.1</w:t>
      </w:r>
    </w:p>
    <w:p>
      <w:pPr>
        <w:pStyle w:val="Heading4"/>
        <w:tabs>
          <w:tab w:pos="9669" w:val="right" w:leader="dot"/>
        </w:tabs>
        <w:spacing w:line="312" w:lineRule="exact" w:before="0"/>
        <w:ind w:left="955"/>
        <w:rPr>
          <w:rFonts w:ascii="Times New Roman" w:eastAsia="Times New Roman"/>
        </w:rPr>
      </w:pPr>
      <w:r>
        <w:rPr/>
        <w:t>保险条款有关于重</w:t>
      </w:r>
      <w:r>
        <w:rPr>
          <w:spacing w:val="-3"/>
        </w:rPr>
        <w:t>大</w:t>
      </w:r>
      <w:r>
        <w:rPr/>
        <w:t>疾</w:t>
      </w:r>
      <w:r>
        <w:rPr>
          <w:spacing w:val="-3"/>
        </w:rPr>
        <w:t>病</w:t>
      </w:r>
      <w:r>
        <w:rPr/>
        <w:t>的定义，请仔细阅读</w:t>
        <w:tab/>
      </w:r>
      <w:r>
        <w:rPr>
          <w:rFonts w:ascii="Times New Roman" w:eastAsia="Times New Roman"/>
        </w:rPr>
        <w:t>10</w:t>
      </w:r>
    </w:p>
    <w:p>
      <w:pPr>
        <w:pStyle w:val="Heading4"/>
        <w:tabs>
          <w:tab w:pos="9669" w:val="right" w:leader="dot"/>
        </w:tabs>
        <w:spacing w:line="337" w:lineRule="exact" w:before="0"/>
        <w:ind w:left="955"/>
        <w:rPr>
          <w:rFonts w:ascii="Times New Roman" w:eastAsia="Times New Roman"/>
        </w:rPr>
      </w:pPr>
      <w:r>
        <w:rPr/>
        <w:t>我们对一些重要术</w:t>
      </w:r>
      <w:r>
        <w:rPr>
          <w:spacing w:val="-3"/>
        </w:rPr>
        <w:t>语</w:t>
      </w:r>
      <w:r>
        <w:rPr/>
        <w:t>进</w:t>
      </w:r>
      <w:r>
        <w:rPr>
          <w:spacing w:val="-3"/>
        </w:rPr>
        <w:t>行</w:t>
      </w:r>
      <w:r>
        <w:rPr/>
        <w:t>了解释，请注意</w:t>
        <w:tab/>
      </w:r>
      <w:r>
        <w:rPr>
          <w:rFonts w:ascii="Times New Roman" w:eastAsia="Times New Roman"/>
          <w:spacing w:val="-6"/>
        </w:rPr>
        <w:t>11</w:t>
      </w:r>
    </w:p>
    <w:p>
      <w:pPr>
        <w:pStyle w:val="Heading4"/>
        <w:tabs>
          <w:tab w:pos="953" w:val="left" w:leader="none"/>
        </w:tabs>
        <w:spacing w:before="220"/>
        <w:ind w:left="112"/>
      </w:pPr>
      <w:r>
        <w:rPr>
          <w:rFonts w:ascii="Arial" w:hAnsi="Arial" w:eastAsia="Arial"/>
          <w:w w:val="105"/>
          <w:position w:val="-9"/>
          <w:sz w:val="44"/>
        </w:rPr>
        <w:t></w:t>
        <w:tab/>
      </w:r>
      <w:r>
        <w:rPr>
          <w:spacing w:val="-3"/>
        </w:rPr>
        <w:t>条款是保险合同的重要内容，为充分保障投保人或被保险人的权益，请仔细阅读本条款</w:t>
      </w:r>
    </w:p>
    <w:p>
      <w:pPr>
        <w:tabs>
          <w:tab w:pos="953" w:val="left" w:leader="none"/>
        </w:tabs>
        <w:spacing w:before="274"/>
        <w:ind w:left="112" w:right="0" w:firstLine="0"/>
        <w:jc w:val="left"/>
        <w:rPr>
          <w:rFonts w:ascii="微软雅黑" w:hAnsi="微软雅黑" w:eastAsia="微软雅黑" w:hint="eastAsia"/>
          <w:b/>
          <w:sz w:val="21"/>
        </w:rPr>
      </w:pPr>
      <w:r>
        <w:rPr/>
        <w:pict>
          <v:rect style="position:absolute;margin-left:288.529999pt;margin-top:11.695749pt;width:84.264pt;height:27.24pt;mso-position-horizontal-relative:page;mso-position-vertical-relative:paragraph;z-index:-56128" filled="true" fillcolor="#c0c0c0" stroked="false">
            <v:fill type="solid"/>
            <w10:wrap type="none"/>
          </v:rect>
        </w:pict>
      </w:r>
      <w:r>
        <w:rPr>
          <w:rFonts w:ascii="Arial" w:hAnsi="Arial" w:eastAsia="Arial"/>
          <w:b/>
          <w:w w:val="105"/>
          <w:position w:val="-9"/>
          <w:sz w:val="44"/>
        </w:rPr>
        <w:t></w:t>
        <w:tab/>
      </w:r>
      <w:r>
        <w:rPr>
          <w:rFonts w:ascii="微软雅黑" w:hAnsi="微软雅黑" w:eastAsia="微软雅黑" w:hint="eastAsia"/>
          <w:b/>
          <w:spacing w:val="-3"/>
          <w:sz w:val="21"/>
        </w:rPr>
        <w:t>请投保人特别留意条款中黑色加粗字体和灰色底纹背景字体的内容</w:t>
      </w:r>
    </w:p>
    <w:p>
      <w:pPr>
        <w:spacing w:after="0"/>
        <w:jc w:val="left"/>
        <w:rPr>
          <w:rFonts w:ascii="微软雅黑" w:hAnsi="微软雅黑" w:eastAsia="微软雅黑" w:hint="eastAsia"/>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4"/>
        <w:gridCol w:w="4114"/>
      </w:tblGrid>
      <w:tr>
        <w:trPr>
          <w:trHeight w:val="8658" w:hRule="atLeast"/>
        </w:trPr>
        <w:tc>
          <w:tcPr>
            <w:tcW w:w="3504" w:type="dxa"/>
          </w:tcPr>
          <w:p>
            <w:pPr>
              <w:pStyle w:val="TableParagraph"/>
              <w:numPr>
                <w:ilvl w:val="0"/>
                <w:numId w:val="1"/>
              </w:numPr>
              <w:tabs>
                <w:tab w:pos="464" w:val="left" w:leader="none"/>
              </w:tabs>
              <w:spacing w:line="243" w:lineRule="exact" w:before="0" w:after="0"/>
              <w:ind w:left="464" w:right="0" w:hanging="264"/>
              <w:jc w:val="left"/>
              <w:rPr>
                <w:rFonts w:ascii="微软雅黑" w:eastAsia="微软雅黑" w:hint="eastAsia"/>
                <w:b/>
                <w:sz w:val="21"/>
              </w:rPr>
            </w:pPr>
            <w:r>
              <w:rPr>
                <w:rFonts w:ascii="微软雅黑" w:eastAsia="微软雅黑" w:hint="eastAsia"/>
                <w:b/>
                <w:spacing w:val="-2"/>
                <w:sz w:val="21"/>
              </w:rPr>
              <w:t>投保人与我们订立的合同</w:t>
            </w:r>
          </w:p>
          <w:p>
            <w:pPr>
              <w:pStyle w:val="TableParagraph"/>
              <w:numPr>
                <w:ilvl w:val="1"/>
                <w:numId w:val="1"/>
              </w:numPr>
              <w:tabs>
                <w:tab w:pos="673" w:val="left" w:leader="none"/>
              </w:tabs>
              <w:spacing w:line="240" w:lineRule="auto" w:before="1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0"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投保年龄</w:t>
            </w:r>
          </w:p>
          <w:p>
            <w:pPr>
              <w:pStyle w:val="TableParagraph"/>
              <w:numPr>
                <w:ilvl w:val="1"/>
                <w:numId w:val="1"/>
              </w:numPr>
              <w:tabs>
                <w:tab w:pos="673" w:val="left" w:leader="none"/>
              </w:tabs>
              <w:spacing w:line="240" w:lineRule="auto" w:before="20"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犹豫期</w:t>
            </w:r>
          </w:p>
          <w:p>
            <w:pPr>
              <w:pStyle w:val="TableParagraph"/>
              <w:spacing w:before="11"/>
              <w:ind w:left="0"/>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pacing w:val="-1"/>
                <w:sz w:val="21"/>
              </w:rPr>
              <w:t>我们提供的保障</w:t>
            </w:r>
          </w:p>
          <w:p>
            <w:pPr>
              <w:pStyle w:val="TableParagraph"/>
              <w:numPr>
                <w:ilvl w:val="1"/>
                <w:numId w:val="1"/>
              </w:numPr>
              <w:tabs>
                <w:tab w:pos="673" w:val="left" w:leader="none"/>
              </w:tabs>
              <w:spacing w:line="240" w:lineRule="auto" w:before="1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保险期间</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其他免责条款</w:t>
            </w:r>
          </w:p>
          <w:p>
            <w:pPr>
              <w:pStyle w:val="TableParagraph"/>
              <w:spacing w:before="11"/>
              <w:ind w:left="0"/>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保险金的申请</w:t>
            </w:r>
          </w:p>
          <w:p>
            <w:pPr>
              <w:pStyle w:val="TableParagraph"/>
              <w:numPr>
                <w:ilvl w:val="1"/>
                <w:numId w:val="1"/>
              </w:numPr>
              <w:tabs>
                <w:tab w:pos="673" w:val="left" w:leader="none"/>
              </w:tabs>
              <w:spacing w:line="240" w:lineRule="auto" w:before="1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宣告死亡处理</w:t>
            </w:r>
          </w:p>
          <w:p>
            <w:pPr>
              <w:pStyle w:val="TableParagraph"/>
              <w:numPr>
                <w:ilvl w:val="1"/>
                <w:numId w:val="1"/>
              </w:numPr>
              <w:tabs>
                <w:tab w:pos="676" w:val="left" w:leader="none"/>
              </w:tabs>
              <w:spacing w:line="240" w:lineRule="auto" w:before="20" w:after="0"/>
              <w:ind w:left="675" w:right="0" w:hanging="370"/>
              <w:jc w:val="left"/>
              <w:rPr>
                <w:sz w:val="21"/>
              </w:rPr>
            </w:pPr>
            <w:r>
              <w:rPr>
                <w:spacing w:val="-3"/>
                <w:sz w:val="21"/>
              </w:rPr>
              <w:t>诉讼时效</w:t>
            </w:r>
          </w:p>
          <w:p>
            <w:pPr>
              <w:pStyle w:val="TableParagraph"/>
              <w:spacing w:before="11"/>
              <w:ind w:left="0"/>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保险费的交纳</w:t>
            </w:r>
          </w:p>
          <w:p>
            <w:pPr>
              <w:pStyle w:val="TableParagraph"/>
              <w:numPr>
                <w:ilvl w:val="1"/>
                <w:numId w:val="1"/>
              </w:numPr>
              <w:tabs>
                <w:tab w:pos="673" w:val="left" w:leader="none"/>
              </w:tabs>
              <w:spacing w:line="240" w:lineRule="auto" w:before="1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宽限期</w:t>
            </w:r>
          </w:p>
          <w:p>
            <w:pPr>
              <w:pStyle w:val="TableParagraph"/>
              <w:spacing w:before="11"/>
              <w:ind w:left="0"/>
              <w:rPr>
                <w:rFonts w:ascii="微软雅黑"/>
                <w:b/>
                <w:sz w:val="15"/>
              </w:rPr>
            </w:pPr>
          </w:p>
          <w:p>
            <w:pPr>
              <w:pStyle w:val="TableParagraph"/>
              <w:numPr>
                <w:ilvl w:val="0"/>
                <w:numId w:val="1"/>
              </w:numPr>
              <w:tabs>
                <w:tab w:pos="464" w:val="left" w:leader="none"/>
              </w:tabs>
              <w:spacing w:line="240" w:lineRule="auto" w:before="0" w:after="0"/>
              <w:ind w:left="464" w:right="0" w:hanging="264"/>
              <w:jc w:val="left"/>
              <w:rPr>
                <w:rFonts w:ascii="微软雅黑" w:eastAsia="微软雅黑" w:hint="eastAsia"/>
                <w:b/>
                <w:sz w:val="21"/>
              </w:rPr>
            </w:pPr>
            <w:r>
              <w:rPr>
                <w:rFonts w:ascii="微软雅黑" w:eastAsia="微软雅黑" w:hint="eastAsia"/>
                <w:b/>
                <w:sz w:val="21"/>
              </w:rPr>
              <w:t>现金价值权益</w:t>
            </w:r>
          </w:p>
          <w:p>
            <w:pPr>
              <w:pStyle w:val="TableParagraph"/>
              <w:numPr>
                <w:ilvl w:val="1"/>
                <w:numId w:val="1"/>
              </w:numPr>
              <w:tabs>
                <w:tab w:pos="676" w:val="left" w:leader="none"/>
              </w:tabs>
              <w:spacing w:line="271" w:lineRule="exact" w:before="11" w:after="0"/>
              <w:ind w:left="675" w:right="0" w:hanging="370"/>
              <w:jc w:val="left"/>
              <w:rPr>
                <w:sz w:val="21"/>
              </w:rPr>
            </w:pPr>
            <w:r>
              <w:rPr>
                <w:spacing w:val="-3"/>
                <w:sz w:val="21"/>
              </w:rPr>
              <w:t>现金价值</w:t>
            </w:r>
          </w:p>
        </w:tc>
        <w:tc>
          <w:tcPr>
            <w:tcW w:w="4114" w:type="dxa"/>
          </w:tcPr>
          <w:p>
            <w:pPr>
              <w:pStyle w:val="TableParagraph"/>
              <w:numPr>
                <w:ilvl w:val="0"/>
                <w:numId w:val="2"/>
              </w:numPr>
              <w:tabs>
                <w:tab w:pos="986" w:val="left" w:leader="none"/>
              </w:tabs>
              <w:spacing w:line="243" w:lineRule="exact" w:before="0" w:after="0"/>
              <w:ind w:left="985" w:right="0" w:hanging="264"/>
              <w:jc w:val="left"/>
              <w:rPr>
                <w:rFonts w:ascii="微软雅黑" w:eastAsia="微软雅黑" w:hint="eastAsia"/>
                <w:b/>
                <w:sz w:val="21"/>
              </w:rPr>
            </w:pPr>
            <w:r>
              <w:rPr>
                <w:rFonts w:ascii="微软雅黑" w:eastAsia="微软雅黑" w:hint="eastAsia"/>
                <w:b/>
                <w:spacing w:val="-1"/>
                <w:sz w:val="21"/>
              </w:rPr>
              <w:t>合同效力的中止及恢复</w:t>
            </w:r>
          </w:p>
          <w:p>
            <w:pPr>
              <w:pStyle w:val="TableParagraph"/>
              <w:numPr>
                <w:ilvl w:val="1"/>
                <w:numId w:val="2"/>
              </w:numPr>
              <w:tabs>
                <w:tab w:pos="1195" w:val="left" w:leader="none"/>
              </w:tabs>
              <w:spacing w:line="240" w:lineRule="auto" w:before="11" w:after="0"/>
              <w:ind w:left="1194" w:right="0" w:hanging="367"/>
              <w:jc w:val="left"/>
              <w:rPr>
                <w:sz w:val="21"/>
              </w:rPr>
            </w:pPr>
            <w:r>
              <w:rPr>
                <w:spacing w:val="-2"/>
                <w:sz w:val="21"/>
              </w:rPr>
              <w:t>效力中止</w:t>
            </w:r>
          </w:p>
          <w:p>
            <w:pPr>
              <w:pStyle w:val="TableParagraph"/>
              <w:numPr>
                <w:ilvl w:val="1"/>
                <w:numId w:val="2"/>
              </w:numPr>
              <w:tabs>
                <w:tab w:pos="1195" w:val="left" w:leader="none"/>
              </w:tabs>
              <w:spacing w:line="240" w:lineRule="auto" w:before="20" w:after="0"/>
              <w:ind w:left="1194" w:right="0" w:hanging="367"/>
              <w:jc w:val="left"/>
              <w:rPr>
                <w:sz w:val="21"/>
              </w:rPr>
            </w:pPr>
            <w:r>
              <w:rPr>
                <w:spacing w:val="-2"/>
                <w:sz w:val="21"/>
              </w:rPr>
              <w:t>效力恢复</w:t>
            </w:r>
          </w:p>
          <w:p>
            <w:pPr>
              <w:pStyle w:val="TableParagraph"/>
              <w:spacing w:before="11"/>
              <w:ind w:left="0"/>
              <w:rPr>
                <w:rFonts w:ascii="微软雅黑"/>
                <w:b/>
                <w:sz w:val="15"/>
              </w:rPr>
            </w:pPr>
          </w:p>
          <w:p>
            <w:pPr>
              <w:pStyle w:val="TableParagraph"/>
              <w:numPr>
                <w:ilvl w:val="0"/>
                <w:numId w:val="2"/>
              </w:numPr>
              <w:tabs>
                <w:tab w:pos="986" w:val="left" w:leader="none"/>
              </w:tabs>
              <w:spacing w:line="240" w:lineRule="auto" w:before="0" w:after="0"/>
              <w:ind w:left="985" w:right="0" w:hanging="264"/>
              <w:jc w:val="left"/>
              <w:rPr>
                <w:rFonts w:ascii="微软雅黑" w:eastAsia="微软雅黑" w:hint="eastAsia"/>
                <w:b/>
                <w:sz w:val="21"/>
              </w:rPr>
            </w:pPr>
            <w:r>
              <w:rPr>
                <w:rFonts w:ascii="微软雅黑" w:eastAsia="微软雅黑" w:hint="eastAsia"/>
                <w:b/>
                <w:sz w:val="21"/>
              </w:rPr>
              <w:t>合同解除</w:t>
            </w:r>
          </w:p>
          <w:p>
            <w:pPr>
              <w:pStyle w:val="TableParagraph"/>
              <w:numPr>
                <w:ilvl w:val="1"/>
                <w:numId w:val="2"/>
              </w:numPr>
              <w:tabs>
                <w:tab w:pos="1183" w:val="left" w:leader="none"/>
              </w:tabs>
              <w:spacing w:line="240" w:lineRule="auto" w:before="11" w:after="0"/>
              <w:ind w:left="1182" w:right="0" w:hanging="370"/>
              <w:jc w:val="left"/>
              <w:rPr>
                <w:sz w:val="21"/>
              </w:rPr>
            </w:pPr>
            <w:r>
              <w:rPr>
                <w:spacing w:val="-3"/>
                <w:sz w:val="21"/>
              </w:rPr>
              <w:t>投保人解除合同的手续及风险</w:t>
            </w:r>
          </w:p>
          <w:p>
            <w:pPr>
              <w:pStyle w:val="TableParagraph"/>
              <w:spacing w:before="11"/>
              <w:ind w:left="0"/>
              <w:rPr>
                <w:rFonts w:ascii="微软雅黑"/>
                <w:b/>
                <w:sz w:val="15"/>
              </w:rPr>
            </w:pPr>
          </w:p>
          <w:p>
            <w:pPr>
              <w:pStyle w:val="TableParagraph"/>
              <w:numPr>
                <w:ilvl w:val="0"/>
                <w:numId w:val="2"/>
              </w:numPr>
              <w:tabs>
                <w:tab w:pos="984" w:val="left" w:leader="none"/>
              </w:tabs>
              <w:spacing w:line="240" w:lineRule="auto" w:before="0" w:after="0"/>
              <w:ind w:left="983" w:right="0" w:hanging="262"/>
              <w:jc w:val="left"/>
              <w:rPr>
                <w:rFonts w:ascii="微软雅黑" w:eastAsia="微软雅黑" w:hint="eastAsia"/>
                <w:b/>
                <w:sz w:val="21"/>
              </w:rPr>
            </w:pPr>
            <w:r>
              <w:rPr>
                <w:rFonts w:ascii="微软雅黑" w:eastAsia="微软雅黑" w:hint="eastAsia"/>
                <w:b/>
                <w:sz w:val="21"/>
              </w:rPr>
              <w:t>如实告知</w:t>
            </w:r>
          </w:p>
          <w:p>
            <w:pPr>
              <w:pStyle w:val="TableParagraph"/>
              <w:numPr>
                <w:ilvl w:val="1"/>
                <w:numId w:val="2"/>
              </w:numPr>
              <w:tabs>
                <w:tab w:pos="1197" w:val="left" w:leader="none"/>
              </w:tabs>
              <w:spacing w:line="240" w:lineRule="auto" w:before="11" w:after="0"/>
              <w:ind w:left="1197" w:right="0" w:hanging="370"/>
              <w:jc w:val="left"/>
              <w:rPr>
                <w:sz w:val="21"/>
              </w:rPr>
            </w:pPr>
            <w:r>
              <w:rPr>
                <w:spacing w:val="-3"/>
                <w:sz w:val="21"/>
              </w:rPr>
              <w:t>明确说明与如实告知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本公司合同解除权的限制</w:t>
            </w:r>
          </w:p>
          <w:p>
            <w:pPr>
              <w:pStyle w:val="TableParagraph"/>
              <w:spacing w:before="11"/>
              <w:ind w:left="0"/>
              <w:rPr>
                <w:rFonts w:ascii="微软雅黑"/>
                <w:b/>
                <w:sz w:val="15"/>
              </w:rPr>
            </w:pPr>
          </w:p>
          <w:p>
            <w:pPr>
              <w:pStyle w:val="TableParagraph"/>
              <w:numPr>
                <w:ilvl w:val="0"/>
                <w:numId w:val="2"/>
              </w:numPr>
              <w:tabs>
                <w:tab w:pos="984" w:val="left" w:leader="none"/>
              </w:tabs>
              <w:spacing w:line="240" w:lineRule="auto" w:before="0" w:after="0"/>
              <w:ind w:left="983" w:right="0" w:hanging="262"/>
              <w:jc w:val="left"/>
              <w:rPr>
                <w:rFonts w:ascii="微软雅黑" w:eastAsia="微软雅黑" w:hint="eastAsia"/>
                <w:b/>
                <w:sz w:val="21"/>
              </w:rPr>
            </w:pPr>
            <w:r>
              <w:rPr>
                <w:rFonts w:ascii="微软雅黑" w:eastAsia="微软雅黑" w:hint="eastAsia"/>
                <w:b/>
                <w:sz w:val="21"/>
              </w:rPr>
              <w:t>其他需要关注的事项</w:t>
            </w:r>
          </w:p>
          <w:p>
            <w:pPr>
              <w:pStyle w:val="TableParagraph"/>
              <w:numPr>
                <w:ilvl w:val="1"/>
                <w:numId w:val="2"/>
              </w:numPr>
              <w:tabs>
                <w:tab w:pos="1197" w:val="left" w:leader="none"/>
              </w:tabs>
              <w:spacing w:line="240" w:lineRule="auto" w:before="11" w:after="0"/>
              <w:ind w:left="1197" w:right="0" w:hanging="370"/>
              <w:jc w:val="left"/>
              <w:rPr>
                <w:sz w:val="21"/>
              </w:rPr>
            </w:pPr>
            <w:r>
              <w:rPr>
                <w:spacing w:val="-3"/>
                <w:sz w:val="21"/>
              </w:rPr>
              <w:t>欠款的偿还</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年龄错误</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被保险人变动</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转账规定</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合同内容变更</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通讯方式变更的通知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争议处理</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身体检查与司法鉴定</w:t>
            </w:r>
          </w:p>
          <w:p>
            <w:pPr>
              <w:pStyle w:val="TableParagraph"/>
              <w:spacing w:before="11"/>
              <w:ind w:left="0"/>
              <w:rPr>
                <w:rFonts w:ascii="微软雅黑"/>
                <w:b/>
                <w:sz w:val="15"/>
              </w:rPr>
            </w:pPr>
          </w:p>
          <w:p>
            <w:pPr>
              <w:pStyle w:val="TableParagraph"/>
              <w:numPr>
                <w:ilvl w:val="0"/>
                <w:numId w:val="2"/>
              </w:numPr>
              <w:tabs>
                <w:tab w:pos="1089" w:val="left" w:leader="none"/>
              </w:tabs>
              <w:spacing w:line="240" w:lineRule="auto" w:before="0" w:after="0"/>
              <w:ind w:left="1089" w:right="0" w:hanging="368"/>
              <w:jc w:val="left"/>
              <w:rPr>
                <w:rFonts w:ascii="微软雅黑" w:eastAsia="微软雅黑" w:hint="eastAsia"/>
                <w:b/>
                <w:sz w:val="21"/>
              </w:rPr>
            </w:pPr>
            <w:r>
              <w:rPr>
                <w:rFonts w:ascii="微软雅黑" w:eastAsia="微软雅黑" w:hint="eastAsia"/>
                <w:b/>
                <w:sz w:val="21"/>
              </w:rPr>
              <w:t>疾病定义</w:t>
            </w:r>
          </w:p>
          <w:p>
            <w:pPr>
              <w:pStyle w:val="TableParagraph"/>
              <w:numPr>
                <w:ilvl w:val="1"/>
                <w:numId w:val="2"/>
              </w:numPr>
              <w:tabs>
                <w:tab w:pos="1301" w:val="left" w:leader="none"/>
              </w:tabs>
              <w:spacing w:line="240" w:lineRule="auto" w:before="11" w:after="0"/>
              <w:ind w:left="1300" w:right="0" w:hanging="473"/>
              <w:jc w:val="left"/>
              <w:rPr>
                <w:sz w:val="21"/>
              </w:rPr>
            </w:pPr>
            <w:r>
              <w:rPr>
                <w:spacing w:val="-3"/>
                <w:sz w:val="21"/>
              </w:rPr>
              <w:t>早期危重疾病</w:t>
            </w:r>
          </w:p>
          <w:p>
            <w:pPr>
              <w:pStyle w:val="TableParagraph"/>
              <w:numPr>
                <w:ilvl w:val="1"/>
                <w:numId w:val="2"/>
              </w:numPr>
              <w:tabs>
                <w:tab w:pos="1301" w:val="left" w:leader="none"/>
              </w:tabs>
              <w:spacing w:line="240" w:lineRule="auto" w:before="21" w:after="0"/>
              <w:ind w:left="1300" w:right="0" w:hanging="473"/>
              <w:jc w:val="left"/>
              <w:rPr>
                <w:sz w:val="21"/>
              </w:rPr>
            </w:pPr>
            <w:r>
              <w:rPr>
                <w:spacing w:val="-2"/>
                <w:sz w:val="21"/>
              </w:rPr>
              <w:t>重大疾病</w:t>
            </w:r>
          </w:p>
          <w:p>
            <w:pPr>
              <w:pStyle w:val="TableParagraph"/>
              <w:spacing w:before="11"/>
              <w:ind w:left="0"/>
              <w:rPr>
                <w:rFonts w:ascii="微软雅黑"/>
                <w:b/>
                <w:sz w:val="15"/>
              </w:rPr>
            </w:pPr>
          </w:p>
          <w:p>
            <w:pPr>
              <w:pStyle w:val="TableParagraph"/>
              <w:numPr>
                <w:ilvl w:val="0"/>
                <w:numId w:val="2"/>
              </w:numPr>
              <w:tabs>
                <w:tab w:pos="1077" w:val="left" w:leader="none"/>
              </w:tabs>
              <w:spacing w:line="240" w:lineRule="auto" w:before="0" w:after="0"/>
              <w:ind w:left="1077" w:right="0" w:hanging="356"/>
              <w:jc w:val="left"/>
              <w:rPr>
                <w:rFonts w:ascii="微软雅黑" w:eastAsia="微软雅黑" w:hint="eastAsia"/>
                <w:b/>
                <w:sz w:val="21"/>
              </w:rPr>
            </w:pPr>
            <w:r>
              <w:rPr>
                <w:rFonts w:ascii="微软雅黑" w:eastAsia="微软雅黑" w:hint="eastAsia"/>
                <w:b/>
                <w:sz w:val="21"/>
              </w:rPr>
              <w:t>释义</w:t>
            </w:r>
          </w:p>
          <w:p>
            <w:pPr>
              <w:pStyle w:val="TableParagraph"/>
              <w:spacing w:before="1"/>
              <w:ind w:left="0"/>
              <w:rPr>
                <w:rFonts w:ascii="微软雅黑"/>
                <w:b/>
                <w:sz w:val="15"/>
              </w:rPr>
            </w:pPr>
          </w:p>
          <w:p>
            <w:pPr>
              <w:pStyle w:val="TableParagraph"/>
              <w:spacing w:line="333" w:lineRule="exact"/>
              <w:ind w:left="721"/>
              <w:rPr>
                <w:rFonts w:ascii="微软雅黑" w:eastAsia="微软雅黑" w:hint="eastAsia"/>
                <w:b/>
                <w:sz w:val="21"/>
              </w:rPr>
            </w:pPr>
            <w:r>
              <w:rPr>
                <w:rFonts w:ascii="微软雅黑" w:eastAsia="微软雅黑" w:hint="eastAsia"/>
                <w:b/>
                <w:sz w:val="21"/>
              </w:rPr>
              <w:t>附表：疾病分组</w:t>
            </w:r>
          </w:p>
        </w:tc>
      </w:tr>
    </w:tbl>
    <w:p>
      <w:pPr>
        <w:pStyle w:val="BodyText"/>
        <w:rPr>
          <w:rFonts w:ascii="微软雅黑"/>
          <w:b/>
          <w:sz w:val="20"/>
        </w:rPr>
      </w:pPr>
    </w:p>
    <w:p>
      <w:pPr>
        <w:pStyle w:val="BodyText"/>
        <w:rPr>
          <w:rFonts w:ascii="微软雅黑"/>
          <w:b/>
          <w:sz w:val="20"/>
        </w:rPr>
      </w:pPr>
    </w:p>
    <w:p>
      <w:pPr>
        <w:pStyle w:val="BodyText"/>
        <w:rPr>
          <w:rFonts w:ascii="微软雅黑"/>
          <w:b/>
          <w:sz w:val="11"/>
        </w:rPr>
      </w:pPr>
    </w:p>
    <w:p>
      <w:pPr>
        <w:pStyle w:val="Heading4"/>
        <w:spacing w:line="206" w:lineRule="auto" w:before="0"/>
        <w:ind w:left="300" w:right="258" w:firstLine="2"/>
      </w:pPr>
      <w:r>
        <w:rPr/>
        <w:t>以上阅读指引和条款目录仅供辅助理解使用，不构成保险合同的组成部分，对本合同内容的解释以条款为准。</w:t>
      </w:r>
    </w:p>
    <w:p>
      <w:pPr>
        <w:spacing w:after="0" w:line="206" w:lineRule="auto"/>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109" w:right="0" w:firstLine="0"/>
        <w:jc w:val="left"/>
        <w:rPr>
          <w:rFonts w:ascii="微软雅黑" w:eastAsia="微软雅黑" w:hint="eastAsia"/>
          <w:b/>
          <w:sz w:val="32"/>
        </w:rPr>
      </w:pPr>
      <w:r>
        <w:rPr>
          <w:rFonts w:ascii="微软雅黑" w:eastAsia="微软雅黑" w:hint="eastAsia"/>
          <w:b/>
          <w:sz w:val="32"/>
        </w:rPr>
        <w:t>中华安康 </w:t>
      </w:r>
      <w:r>
        <w:rPr>
          <w:rFonts w:ascii="Times New Roman" w:eastAsia="Times New Roman"/>
          <w:b/>
          <w:sz w:val="32"/>
        </w:rPr>
        <w:t>100 </w:t>
      </w:r>
      <w:r>
        <w:rPr>
          <w:rFonts w:ascii="微软雅黑" w:eastAsia="微软雅黑" w:hint="eastAsia"/>
          <w:b/>
          <w:sz w:val="32"/>
        </w:rPr>
        <w:t>团体重大疾病保险 B 款条款</w:t>
      </w:r>
    </w:p>
    <w:p>
      <w:pPr>
        <w:pStyle w:val="BodyText"/>
        <w:spacing w:before="12"/>
        <w:rPr>
          <w:rFonts w:ascii="微软雅黑"/>
          <w:b/>
          <w:sz w:val="28"/>
        </w:rPr>
      </w:pPr>
    </w:p>
    <w:p>
      <w:pPr>
        <w:pStyle w:val="BodyText"/>
        <w:spacing w:line="264" w:lineRule="auto"/>
        <w:ind w:left="212" w:right="106"/>
        <w:jc w:val="both"/>
      </w:pPr>
      <w:r>
        <w:rPr>
          <w:spacing w:val="-8"/>
        </w:rPr>
        <w:t>在本条款中， “我们”、“本公司”均指在保险单上签章的中华联合人寿保险股份有限公司。“本合同” 指投保人与我们之间订立的“中华安康 </w:t>
      </w:r>
      <w:r>
        <w:rPr>
          <w:rFonts w:ascii="Times New Roman" w:hAnsi="Times New Roman" w:eastAsia="Times New Roman"/>
        </w:rPr>
        <w:t>100</w:t>
      </w:r>
      <w:r>
        <w:rPr>
          <w:rFonts w:ascii="Times New Roman" w:hAnsi="Times New Roman" w:eastAsia="Times New Roman"/>
          <w:spacing w:val="5"/>
        </w:rPr>
        <w:t> </w:t>
      </w:r>
      <w:r>
        <w:rPr>
          <w:spacing w:val="-8"/>
        </w:rPr>
        <w:t>团体重大疾病保险 </w:t>
      </w:r>
      <w:r>
        <w:rPr>
          <w:rFonts w:ascii="Times New Roman" w:hAnsi="Times New Roman" w:eastAsia="Times New Roman"/>
        </w:rPr>
        <w:t>B</w:t>
      </w:r>
      <w:r>
        <w:rPr>
          <w:rFonts w:ascii="Times New Roman" w:hAnsi="Times New Roman" w:eastAsia="Times New Roman"/>
          <w:spacing w:val="2"/>
        </w:rPr>
        <w:t> </w:t>
      </w:r>
      <w:r>
        <w:rPr>
          <w:spacing w:val="-3"/>
        </w:rPr>
        <w:t>款合同”， “被保险人”指本合同的被</w:t>
      </w:r>
      <w:r>
        <w:rPr>
          <w:spacing w:val="-1"/>
        </w:rPr>
        <w:t>保险人。</w:t>
      </w:r>
    </w:p>
    <w:p>
      <w:pPr>
        <w:pStyle w:val="BodyText"/>
        <w:rPr>
          <w:sz w:val="20"/>
        </w:rPr>
      </w:pPr>
    </w:p>
    <w:p>
      <w:pPr>
        <w:pStyle w:val="BodyText"/>
        <w:spacing w:before="1"/>
        <w:rPr>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487" w:hRule="atLeast"/>
        </w:trPr>
        <w:tc>
          <w:tcPr>
            <w:tcW w:w="635"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1.</w:t>
            </w:r>
          </w:p>
        </w:tc>
        <w:tc>
          <w:tcPr>
            <w:tcW w:w="9030" w:type="dxa"/>
            <w:gridSpan w:val="2"/>
            <w:tcBorders>
              <w:bottom w:val="single" w:sz="8" w:space="0" w:color="000000"/>
            </w:tcBorders>
          </w:tcPr>
          <w:p>
            <w:pPr>
              <w:pStyle w:val="TableParagraph"/>
              <w:spacing w:line="272" w:lineRule="exact"/>
              <w:ind w:left="263"/>
              <w:rPr>
                <w:rFonts w:ascii="微软雅黑" w:eastAsia="微软雅黑" w:hint="eastAsia"/>
                <w:b/>
                <w:sz w:val="24"/>
              </w:rPr>
            </w:pPr>
            <w:r>
              <w:rPr>
                <w:rFonts w:ascii="微软雅黑" w:eastAsia="微软雅黑" w:hint="eastAsia"/>
                <w:b/>
                <w:sz w:val="24"/>
              </w:rPr>
              <w:t>投保人与我们订立的合同</w:t>
            </w:r>
          </w:p>
        </w:tc>
      </w:tr>
      <w:tr>
        <w:trPr>
          <w:trHeight w:val="1962"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1.1</w:t>
            </w:r>
          </w:p>
        </w:tc>
        <w:tc>
          <w:tcPr>
            <w:tcW w:w="1653" w:type="dxa"/>
            <w:tcBorders>
              <w:top w:val="single" w:sz="8" w:space="0" w:color="000000"/>
            </w:tcBorders>
          </w:tcPr>
          <w:p>
            <w:pPr>
              <w:pStyle w:val="TableParagraph"/>
              <w:spacing w:before="76"/>
              <w:ind w:left="263"/>
              <w:rPr>
                <w:rFonts w:ascii="微软雅黑" w:eastAsia="微软雅黑" w:hint="eastAsia"/>
                <w:b/>
                <w:sz w:val="21"/>
              </w:rPr>
            </w:pPr>
            <w:r>
              <w:rPr>
                <w:rFonts w:ascii="微软雅黑" w:eastAsia="微软雅黑" w:hint="eastAsia"/>
                <w:b/>
                <w:sz w:val="21"/>
              </w:rPr>
              <w:t>合同构成</w:t>
            </w:r>
          </w:p>
        </w:tc>
        <w:tc>
          <w:tcPr>
            <w:tcW w:w="7377" w:type="dxa"/>
            <w:tcBorders>
              <w:top w:val="single" w:sz="8" w:space="0" w:color="000000"/>
            </w:tcBorders>
          </w:tcPr>
          <w:p>
            <w:pPr>
              <w:pStyle w:val="TableParagraph"/>
              <w:spacing w:line="312" w:lineRule="exact" w:before="134"/>
              <w:ind w:left="124" w:right="-15"/>
              <w:rPr>
                <w:sz w:val="21"/>
              </w:rPr>
            </w:pPr>
            <w:r>
              <w:rPr>
                <w:spacing w:val="-3"/>
                <w:sz w:val="21"/>
              </w:rPr>
              <w:t>本合同是投保人与我们约定保险权利义务关系的协议，包括本保险条款、保险单或其他有效的保险凭证、投保单、与保险合同有关的投保文件、合法有效的</w:t>
            </w:r>
            <w:r>
              <w:rPr>
                <w:spacing w:val="-10"/>
                <w:sz w:val="21"/>
              </w:rPr>
              <w:t>声明、批注、批单及其他约定投保人和我们之间权利义务关系的</w:t>
            </w:r>
            <w:r>
              <w:rPr>
                <w:rFonts w:ascii="微软雅黑" w:eastAsia="微软雅黑" w:hint="eastAsia"/>
                <w:b/>
                <w:spacing w:val="-16"/>
                <w:sz w:val="21"/>
              </w:rPr>
              <w:t>书面</w:t>
            </w:r>
            <w:r>
              <w:rPr>
                <w:spacing w:val="-3"/>
                <w:sz w:val="21"/>
              </w:rPr>
              <w:t>（</w:t>
            </w:r>
            <w:r>
              <w:rPr>
                <w:spacing w:val="-12"/>
                <w:sz w:val="21"/>
              </w:rPr>
              <w:t>见 </w:t>
            </w:r>
            <w:r>
              <w:rPr>
                <w:rFonts w:ascii="Times New Roman" w:eastAsia="Times New Roman"/>
                <w:spacing w:val="-3"/>
                <w:sz w:val="21"/>
              </w:rPr>
              <w:t>11.1</w:t>
            </w:r>
            <w:r>
              <w:rPr>
                <w:spacing w:val="-3"/>
                <w:sz w:val="21"/>
              </w:rPr>
              <w:t>） </w:t>
            </w:r>
            <w:r>
              <w:rPr>
                <w:sz w:val="21"/>
              </w:rPr>
              <w:t>文件。</w:t>
            </w:r>
          </w:p>
          <w:p>
            <w:pPr>
              <w:pStyle w:val="TableParagraph"/>
              <w:spacing w:before="95"/>
              <w:ind w:left="124"/>
              <w:rPr>
                <w:sz w:val="21"/>
              </w:rPr>
            </w:pPr>
            <w:r>
              <w:rPr>
                <w:sz w:val="21"/>
              </w:rPr>
              <w:t>阅读指引和条款目录仅供辅助理解使用，不构成保险合同的组成部分。</w:t>
            </w:r>
          </w:p>
        </w:tc>
      </w:tr>
      <w:tr>
        <w:trPr>
          <w:trHeight w:val="1668"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1.2</w:t>
            </w:r>
          </w:p>
        </w:tc>
        <w:tc>
          <w:tcPr>
            <w:tcW w:w="1653" w:type="dxa"/>
          </w:tcPr>
          <w:p>
            <w:pPr>
              <w:pStyle w:val="TableParagraph"/>
              <w:spacing w:line="206" w:lineRule="auto" w:before="141"/>
              <w:ind w:left="263" w:right="120"/>
              <w:rPr>
                <w:rFonts w:ascii="微软雅黑" w:eastAsia="微软雅黑" w:hint="eastAsia"/>
                <w:b/>
                <w:sz w:val="21"/>
              </w:rPr>
            </w:pPr>
            <w:r>
              <w:rPr>
                <w:rFonts w:ascii="微软雅黑" w:eastAsia="微软雅黑" w:hint="eastAsia"/>
                <w:b/>
                <w:sz w:val="21"/>
              </w:rPr>
              <w:t>合同成立及生效</w:t>
            </w:r>
          </w:p>
        </w:tc>
        <w:tc>
          <w:tcPr>
            <w:tcW w:w="7377" w:type="dxa"/>
          </w:tcPr>
          <w:p>
            <w:pPr>
              <w:pStyle w:val="TableParagraph"/>
              <w:spacing w:before="153"/>
              <w:ind w:left="124"/>
              <w:rPr>
                <w:sz w:val="21"/>
              </w:rPr>
            </w:pPr>
            <w:r>
              <w:rPr>
                <w:sz w:val="21"/>
              </w:rPr>
              <w:t>投保人向我们提出保险申请，我们同意承保，本合同成立。</w:t>
            </w:r>
          </w:p>
          <w:p>
            <w:pPr>
              <w:pStyle w:val="TableParagraph"/>
              <w:spacing w:line="273" w:lineRule="auto" w:before="130"/>
              <w:ind w:left="124" w:right="104"/>
              <w:jc w:val="both"/>
              <w:rPr>
                <w:sz w:val="21"/>
              </w:rPr>
            </w:pPr>
            <w:r>
              <w:rPr>
                <w:sz w:val="21"/>
              </w:rPr>
              <w:t>本合同自我们同意承保、收取保险费并签发保险合同后开始生效，具体的生效时间在保险合同上载明。保险合同周年日、保险费约定交纳日、保险合同期满日均以本合同生效时间的次日零时起计算。</w:t>
            </w:r>
          </w:p>
        </w:tc>
      </w:tr>
      <w:tr>
        <w:trPr>
          <w:trHeight w:val="3098"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1.3</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投保范围</w:t>
            </w:r>
          </w:p>
        </w:tc>
        <w:tc>
          <w:tcPr>
            <w:tcW w:w="7377" w:type="dxa"/>
          </w:tcPr>
          <w:p>
            <w:pPr>
              <w:pStyle w:val="TableParagraph"/>
              <w:spacing w:line="273" w:lineRule="auto" w:before="153"/>
              <w:ind w:left="124" w:right="104"/>
              <w:jc w:val="both"/>
              <w:rPr>
                <w:sz w:val="21"/>
              </w:rPr>
            </w:pPr>
            <w:r>
              <w:rPr>
                <w:sz w:val="21"/>
              </w:rPr>
              <w:t>投保人范围：</w:t>
            </w:r>
            <w:r>
              <w:rPr>
                <w:color w:val="0D0D0D"/>
                <w:sz w:val="21"/>
              </w:rPr>
              <w:t>机关、企业、事业单位和社会团体等可作为投保人，向我们投保本保险。投保人可以是特定团体中的自然人。</w:t>
            </w:r>
          </w:p>
          <w:p>
            <w:pPr>
              <w:pStyle w:val="TableParagraph"/>
              <w:spacing w:line="273" w:lineRule="auto" w:before="127"/>
              <w:ind w:left="124" w:right="104"/>
              <w:jc w:val="both"/>
              <w:rPr>
                <w:sz w:val="21"/>
              </w:rPr>
            </w:pPr>
            <w:r>
              <w:rPr>
                <w:sz w:val="21"/>
              </w:rPr>
              <w:t>被保险人范围：</w:t>
            </w:r>
            <w:r>
              <w:rPr>
                <w:color w:val="0D0D0D"/>
                <w:sz w:val="21"/>
              </w:rPr>
              <w:t>投保人可为其团体成员及成员父母、配偶、子女向我们投保本保险。投保时，参加本保险的团体成员及成员父母、配偶、子女须符合本公司当时规定的投保条件。另有约定的按约定内容执行。</w:t>
            </w:r>
          </w:p>
          <w:p>
            <w:pPr>
              <w:pStyle w:val="TableParagraph"/>
              <w:spacing w:line="273" w:lineRule="auto" w:before="163"/>
              <w:ind w:left="124" w:right="104"/>
              <w:jc w:val="both"/>
              <w:rPr>
                <w:sz w:val="21"/>
              </w:rPr>
            </w:pPr>
            <w:r>
              <w:rPr>
                <w:color w:val="0D0D0D"/>
                <w:sz w:val="21"/>
              </w:rPr>
              <w:t>参团的团体成员及成员的父母、配偶为主被保险人，随团体成员参保的子女为附属被保险人。父母作为主被保险人投保时，其子女方可作为附属被保险人进行投保。除特别指明外，本合同所述被保险人均包含附属被保险人。</w:t>
            </w:r>
          </w:p>
        </w:tc>
      </w:tr>
      <w:tr>
        <w:trPr>
          <w:trHeight w:val="679"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1.4</w:t>
            </w:r>
          </w:p>
        </w:tc>
        <w:tc>
          <w:tcPr>
            <w:tcW w:w="1653" w:type="dxa"/>
          </w:tcPr>
          <w:p>
            <w:pPr>
              <w:pStyle w:val="TableParagraph"/>
              <w:spacing w:before="91"/>
              <w:ind w:left="263"/>
              <w:rPr>
                <w:rFonts w:ascii="微软雅黑" w:eastAsia="微软雅黑" w:hint="eastAsia"/>
                <w:b/>
                <w:sz w:val="21"/>
              </w:rPr>
            </w:pPr>
            <w:r>
              <w:rPr>
                <w:rFonts w:ascii="微软雅黑" w:eastAsia="微软雅黑" w:hint="eastAsia"/>
                <w:b/>
                <w:sz w:val="21"/>
              </w:rPr>
              <w:t>合同的签收</w:t>
            </w:r>
          </w:p>
        </w:tc>
        <w:tc>
          <w:tcPr>
            <w:tcW w:w="7377" w:type="dxa"/>
          </w:tcPr>
          <w:p>
            <w:pPr>
              <w:pStyle w:val="TableParagraph"/>
              <w:spacing w:before="153"/>
              <w:ind w:left="124"/>
              <w:rPr>
                <w:sz w:val="21"/>
              </w:rPr>
            </w:pPr>
            <w:r>
              <w:rPr>
                <w:sz w:val="21"/>
              </w:rPr>
              <w:t>在投保人收到本合同时，投保人应当签署本合同的签收回执。</w:t>
            </w:r>
          </w:p>
        </w:tc>
      </w:tr>
      <w:tr>
        <w:trPr>
          <w:trHeight w:val="2333" w:hRule="atLeast"/>
        </w:trPr>
        <w:tc>
          <w:tcPr>
            <w:tcW w:w="635" w:type="dxa"/>
          </w:tcPr>
          <w:p>
            <w:pPr>
              <w:pStyle w:val="TableParagraph"/>
              <w:spacing w:before="4"/>
              <w:ind w:left="0"/>
              <w:rPr>
                <w:sz w:val="17"/>
              </w:rPr>
            </w:pPr>
          </w:p>
          <w:p>
            <w:pPr>
              <w:pStyle w:val="TableParagraph"/>
              <w:ind w:left="107"/>
              <w:rPr>
                <w:rFonts w:ascii="Times New Roman"/>
                <w:b/>
                <w:sz w:val="21"/>
              </w:rPr>
            </w:pPr>
            <w:r>
              <w:rPr>
                <w:rFonts w:ascii="Times New Roman"/>
                <w:b/>
                <w:sz w:val="21"/>
              </w:rPr>
              <w:t>1.5</w:t>
            </w:r>
          </w:p>
        </w:tc>
        <w:tc>
          <w:tcPr>
            <w:tcW w:w="1653" w:type="dxa"/>
          </w:tcPr>
          <w:p>
            <w:pPr>
              <w:pStyle w:val="TableParagraph"/>
              <w:spacing w:before="115"/>
              <w:ind w:left="263"/>
              <w:rPr>
                <w:rFonts w:ascii="微软雅黑" w:eastAsia="微软雅黑" w:hint="eastAsia"/>
                <w:b/>
                <w:sz w:val="21"/>
              </w:rPr>
            </w:pPr>
            <w:r>
              <w:rPr>
                <w:rFonts w:ascii="微软雅黑" w:eastAsia="微软雅黑" w:hint="eastAsia"/>
                <w:b/>
                <w:sz w:val="21"/>
              </w:rPr>
              <w:t>犹豫期</w:t>
            </w:r>
          </w:p>
        </w:tc>
        <w:tc>
          <w:tcPr>
            <w:tcW w:w="7377" w:type="dxa"/>
          </w:tcPr>
          <w:p>
            <w:pPr>
              <w:pStyle w:val="TableParagraph"/>
              <w:spacing w:line="264" w:lineRule="auto" w:before="177"/>
              <w:ind w:left="124" w:right="101"/>
              <w:jc w:val="both"/>
              <w:rPr>
                <w:sz w:val="21"/>
              </w:rPr>
            </w:pPr>
            <w:r>
              <w:rPr>
                <w:spacing w:val="-8"/>
                <w:sz w:val="21"/>
              </w:rPr>
              <w:t>自投保人签收本合同的次日起，有 </w:t>
            </w:r>
            <w:r>
              <w:rPr>
                <w:rFonts w:ascii="Times New Roman" w:eastAsia="Times New Roman"/>
                <w:sz w:val="21"/>
              </w:rPr>
              <w:t>21 </w:t>
            </w:r>
            <w:r>
              <w:rPr>
                <w:spacing w:val="-10"/>
                <w:sz w:val="21"/>
              </w:rPr>
              <w:t>日的犹豫期。在此期间，请投保人仔细阅</w:t>
            </w:r>
            <w:r>
              <w:rPr>
                <w:spacing w:val="-5"/>
                <w:sz w:val="21"/>
              </w:rPr>
              <w:t>读本合同，如果投保人认为本合同与投保人的需求不相符，投保人可以在犹豫</w:t>
            </w:r>
            <w:r>
              <w:rPr>
                <w:spacing w:val="-4"/>
                <w:sz w:val="21"/>
              </w:rPr>
              <w:t>期结束前解除本合同。</w:t>
            </w:r>
          </w:p>
          <w:p>
            <w:pPr>
              <w:pStyle w:val="TableParagraph"/>
              <w:spacing w:line="273" w:lineRule="auto" w:before="109"/>
              <w:ind w:left="124" w:right="104"/>
              <w:jc w:val="both"/>
              <w:rPr>
                <w:sz w:val="21"/>
              </w:rPr>
            </w:pPr>
            <w:r>
              <w:rPr>
                <w:sz w:val="21"/>
              </w:rPr>
              <w:t>若投保人申请解除本合同，投保人需要填写申请书，并提供投保人的保险合同或其他有效的保险凭证。</w:t>
            </w:r>
            <w:r>
              <w:rPr>
                <w:sz w:val="21"/>
                <w:shd w:fill="C0C0C0" w:color="auto" w:val="clear"/>
              </w:rPr>
              <w:t>自投保人申请解除合同时起，本合同即被解除，自本合同生效日起我们不承担保险责任，</w:t>
            </w:r>
            <w:r>
              <w:rPr>
                <w:sz w:val="21"/>
              </w:rPr>
              <w:t>我们将无息退还所交纳的保险费。</w:t>
            </w:r>
          </w:p>
        </w:tc>
      </w:tr>
      <w:tr>
        <w:trPr>
          <w:trHeight w:val="714" w:hRule="atLeast"/>
        </w:trPr>
        <w:tc>
          <w:tcPr>
            <w:tcW w:w="635" w:type="dxa"/>
            <w:tcBorders>
              <w:bottom w:val="single" w:sz="8" w:space="0" w:color="000000"/>
            </w:tcBorders>
          </w:tcPr>
          <w:p>
            <w:pPr>
              <w:pStyle w:val="TableParagraph"/>
              <w:spacing w:before="217"/>
              <w:ind w:left="107"/>
              <w:rPr>
                <w:rFonts w:ascii="Times New Roman"/>
                <w:b/>
                <w:sz w:val="24"/>
              </w:rPr>
            </w:pPr>
            <w:r>
              <w:rPr>
                <w:rFonts w:ascii="Times New Roman"/>
                <w:b/>
                <w:sz w:val="24"/>
              </w:rPr>
              <w:t>2.</w:t>
            </w:r>
          </w:p>
        </w:tc>
        <w:tc>
          <w:tcPr>
            <w:tcW w:w="9030" w:type="dxa"/>
            <w:gridSpan w:val="2"/>
            <w:tcBorders>
              <w:bottom w:val="single" w:sz="8" w:space="0" w:color="000000"/>
            </w:tcBorders>
          </w:tcPr>
          <w:p>
            <w:pPr>
              <w:pStyle w:val="TableParagraph"/>
              <w:spacing w:before="85"/>
              <w:ind w:left="263"/>
              <w:rPr>
                <w:rFonts w:ascii="微软雅黑" w:eastAsia="微软雅黑" w:hint="eastAsia"/>
                <w:b/>
                <w:sz w:val="24"/>
              </w:rPr>
            </w:pPr>
            <w:r>
              <w:rPr>
                <w:rFonts w:ascii="微软雅黑" w:eastAsia="微软雅黑" w:hint="eastAsia"/>
                <w:b/>
                <w:sz w:val="24"/>
              </w:rPr>
              <w:t>我们提供的保障</w:t>
            </w:r>
          </w:p>
        </w:tc>
      </w:tr>
    </w:tbl>
    <w:p>
      <w:pPr>
        <w:spacing w:after="0"/>
        <w:rPr>
          <w:rFonts w:ascii="微软雅黑" w:eastAsia="微软雅黑" w:hint="eastAsia"/>
          <w:sz w:val="24"/>
        </w:rPr>
        <w:sectPr>
          <w:pgSz w:w="11910" w:h="16840"/>
          <w:pgMar w:header="0" w:footer="915" w:top="1220" w:bottom="1180" w:left="920" w:right="1020"/>
        </w:sectPr>
      </w:pPr>
    </w:p>
    <w:p>
      <w:pPr>
        <w:pStyle w:val="ListParagraph"/>
        <w:numPr>
          <w:ilvl w:val="1"/>
          <w:numId w:val="3"/>
        </w:numPr>
        <w:tabs>
          <w:tab w:pos="903" w:val="left" w:leader="none"/>
        </w:tabs>
        <w:spacing w:line="312" w:lineRule="exact" w:before="17" w:after="0"/>
        <w:ind w:left="2417" w:right="223" w:hanging="2305"/>
        <w:jc w:val="both"/>
        <w:rPr>
          <w:sz w:val="21"/>
        </w:rPr>
      </w:pPr>
      <w:r>
        <w:rPr>
          <w:rFonts w:ascii="微软雅黑" w:eastAsia="微软雅黑" w:hint="eastAsia"/>
          <w:b/>
          <w:spacing w:val="5"/>
          <w:sz w:val="21"/>
        </w:rPr>
        <w:t>基本保险金额 </w:t>
      </w:r>
      <w:r>
        <w:rPr>
          <w:spacing w:val="-3"/>
          <w:sz w:val="21"/>
        </w:rPr>
        <w:t>本合同各被保险人名下的基本保险金额由投保人在投保时与我们约定并在保险</w:t>
      </w:r>
      <w:r>
        <w:rPr>
          <w:spacing w:val="-2"/>
          <w:sz w:val="21"/>
        </w:rPr>
        <w:t>合同上载明。</w:t>
      </w:r>
    </w:p>
    <w:p>
      <w:pPr>
        <w:pStyle w:val="BodyText"/>
        <w:spacing w:before="9"/>
        <w:rPr>
          <w:sz w:val="26"/>
        </w:rPr>
      </w:pPr>
    </w:p>
    <w:p>
      <w:pPr>
        <w:pStyle w:val="ListParagraph"/>
        <w:numPr>
          <w:ilvl w:val="1"/>
          <w:numId w:val="3"/>
        </w:numPr>
        <w:tabs>
          <w:tab w:pos="903" w:val="left" w:leader="none"/>
          <w:tab w:pos="2417" w:val="left" w:leader="none"/>
        </w:tabs>
        <w:spacing w:line="259" w:lineRule="auto" w:before="0" w:after="0"/>
        <w:ind w:left="2417" w:right="220" w:hanging="2305"/>
        <w:jc w:val="both"/>
        <w:rPr>
          <w:sz w:val="21"/>
        </w:rPr>
      </w:pPr>
      <w:r>
        <w:rPr>
          <w:rFonts w:ascii="微软雅黑" w:eastAsia="微软雅黑" w:hint="eastAsia"/>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时</w:t>
      </w:r>
      <w:r>
        <w:rPr>
          <w:spacing w:val="-3"/>
          <w:sz w:val="21"/>
        </w:rPr>
        <w:t>起</w:t>
      </w:r>
      <w:r>
        <w:rPr>
          <w:sz w:val="21"/>
        </w:rPr>
        <w:t>，</w:t>
      </w:r>
      <w:r>
        <w:rPr>
          <w:spacing w:val="-3"/>
          <w:sz w:val="21"/>
        </w:rPr>
        <w:t>至</w:t>
      </w:r>
      <w:r>
        <w:rPr>
          <w:sz w:val="21"/>
        </w:rPr>
        <w:t>本</w:t>
      </w:r>
      <w:r>
        <w:rPr>
          <w:spacing w:val="-3"/>
          <w:sz w:val="21"/>
        </w:rPr>
        <w:t>合</w:t>
      </w:r>
      <w:r>
        <w:rPr>
          <w:sz w:val="21"/>
        </w:rPr>
        <w:t>同</w:t>
      </w:r>
      <w:r>
        <w:rPr>
          <w:spacing w:val="-3"/>
          <w:sz w:val="21"/>
        </w:rPr>
        <w:t>项</w:t>
      </w:r>
      <w:r>
        <w:rPr>
          <w:sz w:val="21"/>
        </w:rPr>
        <w:t>下所</w:t>
      </w:r>
      <w:r>
        <w:rPr>
          <w:spacing w:val="-3"/>
          <w:sz w:val="21"/>
        </w:rPr>
        <w:t>有</w:t>
      </w:r>
      <w:r>
        <w:rPr>
          <w:sz w:val="21"/>
        </w:rPr>
        <w:t>被</w:t>
      </w:r>
      <w:r>
        <w:rPr>
          <w:spacing w:val="-3"/>
          <w:sz w:val="21"/>
        </w:rPr>
        <w:t>保</w:t>
      </w:r>
      <w:r>
        <w:rPr>
          <w:sz w:val="21"/>
        </w:rPr>
        <w:t>险</w:t>
      </w:r>
      <w:r>
        <w:rPr>
          <w:spacing w:val="-3"/>
          <w:sz w:val="21"/>
        </w:rPr>
        <w:t>人</w:t>
      </w:r>
      <w:r>
        <w:rPr>
          <w:sz w:val="21"/>
        </w:rPr>
        <w:t>的</w:t>
      </w:r>
      <w:r>
        <w:rPr>
          <w:spacing w:val="-3"/>
          <w:sz w:val="21"/>
        </w:rPr>
        <w:t>保</w:t>
      </w:r>
      <w:r>
        <w:rPr>
          <w:sz w:val="21"/>
        </w:rPr>
        <w:t>险</w:t>
      </w:r>
      <w:r>
        <w:rPr>
          <w:spacing w:val="-3"/>
          <w:sz w:val="21"/>
        </w:rPr>
        <w:t>责</w:t>
      </w:r>
      <w:r>
        <w:rPr>
          <w:sz w:val="21"/>
        </w:rPr>
        <w:t>任 终止</w:t>
      </w:r>
      <w:r>
        <w:rPr>
          <w:spacing w:val="-3"/>
          <w:sz w:val="21"/>
        </w:rPr>
        <w:t>时</w:t>
      </w:r>
      <w:r>
        <w:rPr>
          <w:sz w:val="21"/>
        </w:rPr>
        <w:t>止</w:t>
      </w:r>
      <w:r>
        <w:rPr>
          <w:spacing w:val="-3"/>
          <w:sz w:val="21"/>
        </w:rPr>
        <w:t>。</w:t>
      </w:r>
      <w:r>
        <w:rPr>
          <w:sz w:val="21"/>
        </w:rPr>
        <w:t>本</w:t>
      </w:r>
      <w:r>
        <w:rPr>
          <w:spacing w:val="-3"/>
          <w:sz w:val="21"/>
        </w:rPr>
        <w:t>合</w:t>
      </w:r>
      <w:r>
        <w:rPr>
          <w:sz w:val="21"/>
        </w:rPr>
        <w:t>同</w:t>
      </w:r>
      <w:r>
        <w:rPr>
          <w:spacing w:val="-3"/>
          <w:sz w:val="21"/>
        </w:rPr>
        <w:t>各</w:t>
      </w:r>
      <w:r>
        <w:rPr>
          <w:sz w:val="21"/>
        </w:rPr>
        <w:t>被</w:t>
      </w:r>
      <w:r>
        <w:rPr>
          <w:spacing w:val="-3"/>
          <w:sz w:val="21"/>
        </w:rPr>
        <w:t>保</w:t>
      </w:r>
      <w:r>
        <w:rPr>
          <w:sz w:val="21"/>
        </w:rPr>
        <w:t>险人</w:t>
      </w:r>
      <w:r>
        <w:rPr>
          <w:spacing w:val="-3"/>
          <w:sz w:val="21"/>
        </w:rPr>
        <w:t>名</w:t>
      </w:r>
      <w:r>
        <w:rPr>
          <w:sz w:val="21"/>
        </w:rPr>
        <w:t>下</w:t>
      </w:r>
      <w:r>
        <w:rPr>
          <w:spacing w:val="-3"/>
          <w:sz w:val="21"/>
        </w:rPr>
        <w:t>的</w:t>
      </w:r>
      <w:r>
        <w:rPr>
          <w:sz w:val="21"/>
        </w:rPr>
        <w:t>保</w:t>
      </w:r>
      <w:r>
        <w:rPr>
          <w:spacing w:val="-3"/>
          <w:sz w:val="21"/>
        </w:rPr>
        <w:t>险</w:t>
      </w:r>
      <w:r>
        <w:rPr>
          <w:sz w:val="21"/>
        </w:rPr>
        <w:t>期</w:t>
      </w:r>
      <w:r>
        <w:rPr>
          <w:spacing w:val="-3"/>
          <w:sz w:val="21"/>
        </w:rPr>
        <w:t>间</w:t>
      </w:r>
      <w:r>
        <w:rPr>
          <w:sz w:val="21"/>
        </w:rPr>
        <w:t>由</w:t>
      </w:r>
      <w:r>
        <w:rPr>
          <w:spacing w:val="-3"/>
          <w:sz w:val="21"/>
        </w:rPr>
        <w:t>投</w:t>
      </w:r>
      <w:r>
        <w:rPr>
          <w:sz w:val="21"/>
        </w:rPr>
        <w:t>保人</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在保险</w:t>
      </w:r>
      <w:r>
        <w:rPr>
          <w:spacing w:val="-3"/>
          <w:sz w:val="21"/>
        </w:rPr>
        <w:t>合</w:t>
      </w:r>
      <w:r>
        <w:rPr>
          <w:sz w:val="21"/>
        </w:rPr>
        <w:t>同</w:t>
      </w:r>
      <w:r>
        <w:rPr>
          <w:spacing w:val="-3"/>
          <w:sz w:val="21"/>
        </w:rPr>
        <w:t>上</w:t>
      </w:r>
      <w:r>
        <w:rPr>
          <w:sz w:val="21"/>
        </w:rPr>
        <w:t>载</w:t>
      </w:r>
      <w:r>
        <w:rPr>
          <w:spacing w:val="-3"/>
          <w:sz w:val="21"/>
        </w:rPr>
        <w:t>明</w:t>
      </w:r>
      <w:r>
        <w:rPr>
          <w:sz w:val="21"/>
        </w:rPr>
        <w:t>。</w:t>
      </w:r>
    </w:p>
    <w:p>
      <w:pPr>
        <w:pStyle w:val="BodyText"/>
        <w:spacing w:before="7"/>
      </w:pPr>
    </w:p>
    <w:p>
      <w:pPr>
        <w:pStyle w:val="ListParagraph"/>
        <w:numPr>
          <w:ilvl w:val="1"/>
          <w:numId w:val="3"/>
        </w:numPr>
        <w:tabs>
          <w:tab w:pos="902" w:val="left" w:leader="none"/>
          <w:tab w:pos="903" w:val="left" w:leader="none"/>
          <w:tab w:pos="2417" w:val="left" w:leader="none"/>
        </w:tabs>
        <w:spacing w:line="240" w:lineRule="auto" w:before="0" w:after="0"/>
        <w:ind w:left="2417" w:right="0" w:hanging="2305"/>
        <w:jc w:val="left"/>
        <w:rPr>
          <w:sz w:val="21"/>
        </w:rPr>
      </w:pPr>
      <w:r>
        <w:rPr>
          <w:rFonts w:ascii="微软雅黑" w:eastAsia="微软雅黑" w:hint="eastAsia"/>
          <w:b/>
          <w:sz w:val="21"/>
        </w:rPr>
        <w:t>保险责任</w:t>
        <w:tab/>
      </w:r>
      <w:r>
        <w:rPr>
          <w:spacing w:val="-1"/>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我</w:t>
      </w:r>
      <w:r>
        <w:rPr>
          <w:sz w:val="21"/>
        </w:rPr>
        <w:t>们承</w:t>
      </w:r>
      <w:r>
        <w:rPr>
          <w:spacing w:val="-3"/>
          <w:sz w:val="21"/>
        </w:rPr>
        <w:t>担</w:t>
      </w:r>
      <w:r>
        <w:rPr>
          <w:sz w:val="21"/>
        </w:rPr>
        <w:t>以下保</w:t>
      </w:r>
      <w:r>
        <w:rPr>
          <w:spacing w:val="-3"/>
          <w:sz w:val="21"/>
        </w:rPr>
        <w:t>险</w:t>
      </w:r>
      <w:r>
        <w:rPr>
          <w:sz w:val="21"/>
        </w:rPr>
        <w:t>责</w:t>
      </w:r>
      <w:r>
        <w:rPr>
          <w:spacing w:val="-3"/>
          <w:sz w:val="21"/>
        </w:rPr>
        <w:t>任</w:t>
      </w:r>
      <w:r>
        <w:rPr>
          <w:sz w:val="21"/>
        </w:rPr>
        <w:t>：</w:t>
      </w:r>
    </w:p>
    <w:p>
      <w:pPr>
        <w:pStyle w:val="BodyText"/>
        <w:tabs>
          <w:tab w:pos="2417" w:val="left" w:leader="none"/>
        </w:tabs>
        <w:spacing w:line="232" w:lineRule="auto" w:before="118"/>
        <w:ind w:left="2417" w:right="216" w:hanging="1515"/>
        <w:jc w:val="both"/>
      </w:pPr>
      <w:r>
        <w:rPr>
          <w:rFonts w:ascii="Microsoft JhengHei UI" w:hAnsi="Microsoft JhengHei UI" w:eastAsia="Microsoft JhengHei UI" w:hint="eastAsia"/>
          <w:b/>
          <w:position w:val="1"/>
        </w:rPr>
        <w:t>等待期</w:t>
        <w:tab/>
      </w:r>
      <w:r>
        <w:rPr>
          <w:shd w:fill="C0C0C0" w:color="auto" w:val="clear"/>
        </w:rPr>
        <w:t>自本</w:t>
      </w:r>
      <w:r>
        <w:rPr>
          <w:spacing w:val="-3"/>
          <w:shd w:fill="C0C0C0" w:color="auto" w:val="clear"/>
        </w:rPr>
        <w:t>合</w:t>
      </w:r>
      <w:r>
        <w:rPr>
          <w:shd w:fill="C0C0C0" w:color="auto" w:val="clear"/>
        </w:rPr>
        <w:t>同</w:t>
      </w:r>
      <w:r>
        <w:rPr>
          <w:spacing w:val="-3"/>
          <w:shd w:fill="C0C0C0" w:color="auto" w:val="clear"/>
        </w:rPr>
        <w:t>生</w:t>
      </w:r>
      <w:r>
        <w:rPr>
          <w:shd w:fill="C0C0C0" w:color="auto" w:val="clear"/>
        </w:rPr>
        <w:t>效</w:t>
      </w:r>
      <w:r>
        <w:rPr>
          <w:spacing w:val="-3"/>
          <w:shd w:fill="C0C0C0" w:color="auto" w:val="clear"/>
        </w:rPr>
        <w:t>（</w:t>
      </w:r>
      <w:r>
        <w:rPr>
          <w:shd w:fill="C0C0C0" w:color="auto" w:val="clear"/>
        </w:rPr>
        <w:t>或</w:t>
      </w:r>
      <w:r>
        <w:rPr>
          <w:spacing w:val="-3"/>
          <w:shd w:fill="C0C0C0" w:color="auto" w:val="clear"/>
        </w:rPr>
        <w:t>最</w:t>
      </w:r>
      <w:r>
        <w:rPr>
          <w:shd w:fill="C0C0C0" w:color="auto" w:val="clear"/>
        </w:rPr>
        <w:t>后</w:t>
      </w:r>
      <w:r>
        <w:rPr>
          <w:spacing w:val="-3"/>
          <w:shd w:fill="C0C0C0" w:color="auto" w:val="clear"/>
        </w:rPr>
        <w:t>复</w:t>
      </w:r>
      <w:r>
        <w:rPr>
          <w:shd w:fill="C0C0C0" w:color="auto" w:val="clear"/>
        </w:rPr>
        <w:t>效；</w:t>
      </w:r>
      <w:r>
        <w:rPr>
          <w:spacing w:val="-3"/>
          <w:shd w:fill="C0C0C0" w:color="auto" w:val="clear"/>
        </w:rPr>
        <w:t>若</w:t>
      </w:r>
      <w:r>
        <w:rPr>
          <w:shd w:fill="C0C0C0" w:color="auto" w:val="clear"/>
        </w:rPr>
        <w:t>为</w:t>
      </w:r>
      <w:r>
        <w:rPr>
          <w:spacing w:val="-3"/>
          <w:shd w:fill="C0C0C0" w:color="auto" w:val="clear"/>
        </w:rPr>
        <w:t>本</w:t>
      </w:r>
      <w:r>
        <w:rPr>
          <w:shd w:fill="C0C0C0" w:color="auto" w:val="clear"/>
        </w:rPr>
        <w:t>合</w:t>
      </w:r>
      <w:r>
        <w:rPr>
          <w:spacing w:val="-3"/>
          <w:shd w:fill="C0C0C0" w:color="auto" w:val="clear"/>
        </w:rPr>
        <w:t>同</w:t>
      </w:r>
      <w:r>
        <w:rPr>
          <w:shd w:fill="C0C0C0" w:color="auto" w:val="clear"/>
        </w:rPr>
        <w:t>生</w:t>
      </w:r>
      <w:r>
        <w:rPr>
          <w:spacing w:val="-3"/>
          <w:shd w:fill="C0C0C0" w:color="auto" w:val="clear"/>
        </w:rPr>
        <w:t>效</w:t>
      </w:r>
      <w:r>
        <w:rPr>
          <w:shd w:fill="C0C0C0" w:color="auto" w:val="clear"/>
        </w:rPr>
        <w:t>后</w:t>
      </w:r>
      <w:r>
        <w:rPr>
          <w:spacing w:val="-3"/>
          <w:shd w:fill="C0C0C0" w:color="auto" w:val="clear"/>
        </w:rPr>
        <w:t>新</w:t>
      </w:r>
      <w:r>
        <w:rPr>
          <w:shd w:fill="C0C0C0" w:color="auto" w:val="clear"/>
        </w:rPr>
        <w:t>增被</w:t>
      </w:r>
      <w:r>
        <w:rPr>
          <w:spacing w:val="-3"/>
          <w:shd w:fill="C0C0C0" w:color="auto" w:val="clear"/>
        </w:rPr>
        <w:t>保</w:t>
      </w:r>
      <w:r>
        <w:rPr>
          <w:shd w:fill="C0C0C0" w:color="auto" w:val="clear"/>
        </w:rPr>
        <w:t>险</w:t>
      </w:r>
      <w:r>
        <w:rPr>
          <w:spacing w:val="-3"/>
          <w:shd w:fill="C0C0C0" w:color="auto" w:val="clear"/>
        </w:rPr>
        <w:t>人</w:t>
      </w:r>
      <w:r>
        <w:rPr>
          <w:shd w:fill="C0C0C0" w:color="auto" w:val="clear"/>
        </w:rPr>
        <w:t>，</w:t>
      </w:r>
      <w:r>
        <w:rPr>
          <w:spacing w:val="-3"/>
          <w:shd w:fill="C0C0C0" w:color="auto" w:val="clear"/>
        </w:rPr>
        <w:t>则</w:t>
      </w:r>
      <w:r>
        <w:rPr>
          <w:shd w:fill="C0C0C0" w:color="auto" w:val="clear"/>
        </w:rPr>
        <w:t>自</w:t>
      </w:r>
      <w:r>
        <w:rPr>
          <w:spacing w:val="-3"/>
          <w:shd w:fill="C0C0C0" w:color="auto" w:val="clear"/>
        </w:rPr>
        <w:t>我</w:t>
      </w:r>
      <w:r>
        <w:rPr>
          <w:shd w:fill="C0C0C0" w:color="auto" w:val="clear"/>
        </w:rPr>
        <w:t>们</w:t>
      </w:r>
      <w:r>
        <w:rPr>
          <w:spacing w:val="-3"/>
          <w:shd w:fill="C0C0C0" w:color="auto" w:val="clear"/>
        </w:rPr>
        <w:t>对该 </w:t>
      </w:r>
      <w:r>
        <w:rPr>
          <w:shd w:fill="C0C0C0" w:color="auto" w:val="clear"/>
        </w:rPr>
        <w:t>新增</w:t>
      </w:r>
      <w:r>
        <w:rPr>
          <w:spacing w:val="-3"/>
          <w:shd w:fill="C0C0C0" w:color="auto" w:val="clear"/>
        </w:rPr>
        <w:t>被</w:t>
      </w:r>
      <w:r>
        <w:rPr>
          <w:shd w:fill="C0C0C0" w:color="auto" w:val="clear"/>
        </w:rPr>
        <w:t>保</w:t>
      </w:r>
      <w:r>
        <w:rPr>
          <w:spacing w:val="-3"/>
          <w:shd w:fill="C0C0C0" w:color="auto" w:val="clear"/>
        </w:rPr>
        <w:t>险</w:t>
      </w:r>
      <w:r>
        <w:rPr>
          <w:shd w:fill="C0C0C0" w:color="auto" w:val="clear"/>
        </w:rPr>
        <w:t>人</w:t>
      </w:r>
      <w:r>
        <w:rPr>
          <w:spacing w:val="-3"/>
          <w:shd w:fill="C0C0C0" w:color="auto" w:val="clear"/>
        </w:rPr>
        <w:t>开</w:t>
      </w:r>
      <w:r>
        <w:rPr>
          <w:shd w:fill="C0C0C0" w:color="auto" w:val="clear"/>
        </w:rPr>
        <w:t>始</w:t>
      </w:r>
      <w:r>
        <w:rPr>
          <w:spacing w:val="-3"/>
          <w:shd w:fill="C0C0C0" w:color="auto" w:val="clear"/>
        </w:rPr>
        <w:t>承</w:t>
      </w:r>
      <w:r>
        <w:rPr>
          <w:shd w:fill="C0C0C0" w:color="auto" w:val="clear"/>
        </w:rPr>
        <w:t>担</w:t>
      </w:r>
      <w:r>
        <w:rPr>
          <w:spacing w:val="-3"/>
          <w:shd w:fill="C0C0C0" w:color="auto" w:val="clear"/>
        </w:rPr>
        <w:t>保</w:t>
      </w:r>
      <w:r>
        <w:rPr>
          <w:shd w:fill="C0C0C0" w:color="auto" w:val="clear"/>
        </w:rPr>
        <w:t>险责</w:t>
      </w:r>
      <w:r>
        <w:rPr>
          <w:spacing w:val="-3"/>
          <w:shd w:fill="C0C0C0" w:color="auto" w:val="clear"/>
        </w:rPr>
        <w:t>任</w:t>
      </w:r>
      <w:r>
        <w:rPr>
          <w:shd w:fill="C0C0C0" w:color="auto" w:val="clear"/>
        </w:rPr>
        <w:t>或</w:t>
      </w:r>
      <w:r>
        <w:rPr>
          <w:spacing w:val="-3"/>
          <w:shd w:fill="C0C0C0" w:color="auto" w:val="clear"/>
        </w:rPr>
        <w:t>最</w:t>
      </w:r>
      <w:r>
        <w:rPr>
          <w:shd w:fill="C0C0C0" w:color="auto" w:val="clear"/>
        </w:rPr>
        <w:t>后</w:t>
      </w:r>
      <w:r>
        <w:rPr>
          <w:spacing w:val="-3"/>
          <w:shd w:fill="C0C0C0" w:color="auto" w:val="clear"/>
        </w:rPr>
        <w:t>复</w:t>
      </w:r>
      <w:r>
        <w:rPr>
          <w:shd w:fill="C0C0C0" w:color="auto" w:val="clear"/>
        </w:rPr>
        <w:t>效</w:t>
      </w:r>
      <w:r>
        <w:rPr>
          <w:spacing w:val="-53"/>
          <w:shd w:fill="C0C0C0" w:color="auto" w:val="clear"/>
        </w:rPr>
        <w:t>）</w:t>
      </w:r>
      <w:r>
        <w:rPr>
          <w:shd w:fill="C0C0C0" w:color="auto" w:val="clear"/>
        </w:rPr>
        <w:t>之</w:t>
      </w:r>
      <w:r>
        <w:rPr>
          <w:spacing w:val="-3"/>
          <w:shd w:fill="C0C0C0" w:color="auto" w:val="clear"/>
        </w:rPr>
        <w:t>日</w:t>
      </w:r>
      <w:r>
        <w:rPr>
          <w:shd w:fill="C0C0C0" w:color="auto" w:val="clear"/>
        </w:rPr>
        <w:t>起</w:t>
      </w:r>
      <w:r>
        <w:rPr>
          <w:spacing w:val="-37"/>
          <w:shd w:fill="C0C0C0" w:color="auto" w:val="clear"/>
        </w:rPr>
        <w:t> </w:t>
      </w:r>
      <w:r>
        <w:rPr>
          <w:rFonts w:ascii="Times New Roman" w:hAnsi="Times New Roman" w:eastAsia="Times New Roman"/>
          <w:shd w:fill="C0C0C0" w:color="auto" w:val="clear"/>
        </w:rPr>
        <w:t>90</w:t>
      </w:r>
      <w:r>
        <w:rPr>
          <w:rFonts w:ascii="Times New Roman" w:hAnsi="Times New Roman" w:eastAsia="Times New Roman"/>
          <w:spacing w:val="12"/>
          <w:shd w:fill="C0C0C0" w:color="auto" w:val="clear"/>
        </w:rPr>
        <w:t> </w:t>
      </w:r>
      <w:r>
        <w:rPr>
          <w:shd w:fill="C0C0C0" w:color="auto" w:val="clear"/>
        </w:rPr>
        <w:t>日</w:t>
      </w:r>
      <w:r>
        <w:rPr>
          <w:spacing w:val="-3"/>
          <w:shd w:fill="C0C0C0" w:color="auto" w:val="clear"/>
        </w:rPr>
        <w:t>内</w:t>
      </w:r>
      <w:r>
        <w:rPr>
          <w:spacing w:val="-51"/>
          <w:shd w:fill="C0C0C0" w:color="auto" w:val="clear"/>
        </w:rPr>
        <w:t>，</w:t>
      </w:r>
      <w:r>
        <w:rPr>
          <w:spacing w:val="-3"/>
          <w:shd w:fill="C0C0C0" w:color="auto" w:val="clear"/>
        </w:rPr>
        <w:t>被</w:t>
      </w:r>
      <w:r>
        <w:rPr>
          <w:shd w:fill="C0C0C0" w:color="auto" w:val="clear"/>
        </w:rPr>
        <w:t>保</w:t>
      </w:r>
      <w:r>
        <w:rPr>
          <w:spacing w:val="-3"/>
          <w:shd w:fill="C0C0C0" w:color="auto" w:val="clear"/>
        </w:rPr>
        <w:t>险</w:t>
      </w:r>
      <w:r>
        <w:rPr>
          <w:shd w:fill="C0C0C0" w:color="auto" w:val="clear"/>
        </w:rPr>
        <w:t>人</w:t>
      </w:r>
      <w:r>
        <w:rPr>
          <w:spacing w:val="-3"/>
          <w:shd w:fill="C0C0C0" w:color="auto" w:val="clear"/>
        </w:rPr>
        <w:t>因疾</w:t>
      </w:r>
      <w:r>
        <w:rPr>
          <w:shd w:fill="C0C0C0" w:color="auto" w:val="clear"/>
        </w:rPr>
        <w:t>病</w:t>
      </w:r>
      <w:r>
        <w:rPr>
          <w:w w:val="100"/>
          <w:shd w:fill="C0C0C0" w:color="auto" w:val="clear"/>
        </w:rPr>
        <w:t>发生</w:t>
      </w:r>
      <w:r>
        <w:rPr>
          <w:spacing w:val="-3"/>
          <w:w w:val="100"/>
          <w:shd w:fill="C0C0C0" w:color="auto" w:val="clear"/>
        </w:rPr>
        <w:t>下</w:t>
      </w:r>
      <w:r>
        <w:rPr>
          <w:w w:val="100"/>
          <w:shd w:fill="C0C0C0" w:color="auto" w:val="clear"/>
        </w:rPr>
        <w:t>列</w:t>
      </w:r>
      <w:r>
        <w:rPr>
          <w:spacing w:val="-204"/>
          <w:w w:val="100"/>
          <w:shd w:fill="C0C0C0" w:color="auto" w:val="clear"/>
        </w:rPr>
        <w:t>情</w:t>
      </w:r>
      <w:r>
        <w:rPr>
          <w:w w:val="100"/>
          <w:shd w:fill="C0C0C0" w:color="auto" w:val="clear"/>
        </w:rPr>
        <w:t>形</w:t>
      </w:r>
      <w:r>
        <w:rPr>
          <w:spacing w:val="-3"/>
          <w:w w:val="100"/>
          <w:shd w:fill="C0C0C0" w:color="auto" w:val="clear"/>
        </w:rPr>
        <w:t>之</w:t>
      </w:r>
      <w:r>
        <w:rPr>
          <w:w w:val="100"/>
          <w:shd w:fill="C0C0C0" w:color="auto" w:val="clear"/>
        </w:rPr>
        <w:t>一</w:t>
      </w:r>
      <w:r>
        <w:rPr>
          <w:spacing w:val="-3"/>
          <w:w w:val="100"/>
          <w:shd w:fill="C0C0C0" w:color="auto" w:val="clear"/>
        </w:rPr>
        <w:t>的</w:t>
      </w:r>
      <w:r>
        <w:rPr>
          <w:spacing w:val="-178"/>
          <w:w w:val="100"/>
          <w:shd w:fill="C0C0C0" w:color="auto" w:val="clear"/>
        </w:rPr>
        <w:t>：</w:t>
      </w:r>
      <w:r>
        <w:rPr>
          <w:w w:val="100"/>
          <w:shd w:fill="C0C0C0" w:color="auto" w:val="clear"/>
        </w:rPr>
        <w:t>（一</w:t>
      </w:r>
      <w:r>
        <w:rPr>
          <w:spacing w:val="-178"/>
          <w:w w:val="100"/>
          <w:shd w:fill="C0C0C0" w:color="auto" w:val="clear"/>
        </w:rPr>
        <w:t>）</w:t>
      </w:r>
      <w:r>
        <w:rPr>
          <w:spacing w:val="-3"/>
          <w:w w:val="100"/>
          <w:shd w:fill="C0C0C0" w:color="auto" w:val="clear"/>
        </w:rPr>
        <w:t>“</w:t>
      </w:r>
      <w:r>
        <w:rPr>
          <w:rFonts w:ascii="微软雅黑" w:hAnsi="微软雅黑" w:eastAsia="微软雅黑" w:hint="eastAsia"/>
          <w:b/>
          <w:w w:val="100"/>
          <w:shd w:fill="C0C0C0" w:color="auto" w:val="clear"/>
        </w:rPr>
        <w:t>早期危重疾病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1</w:t>
      </w:r>
      <w:r>
        <w:rPr>
          <w:spacing w:val="-73"/>
          <w:w w:val="100"/>
          <w:shd w:fill="C0C0C0" w:color="auto" w:val="clear"/>
        </w:rPr>
        <w:t>）</w:t>
      </w:r>
      <w:r>
        <w:rPr>
          <w:spacing w:val="-70"/>
          <w:w w:val="100"/>
          <w:shd w:fill="C0C0C0" w:color="auto" w:val="clear"/>
        </w:rPr>
        <w:t>或</w:t>
      </w:r>
      <w:r>
        <w:rPr>
          <w:spacing w:val="-3"/>
          <w:w w:val="100"/>
          <w:shd w:fill="C0C0C0" w:color="auto" w:val="clear"/>
        </w:rPr>
        <w:t>“</w:t>
      </w:r>
      <w:r>
        <w:rPr>
          <w:rFonts w:ascii="微软雅黑" w:hAnsi="微软雅黑" w:eastAsia="微软雅黑" w:hint="eastAsia"/>
          <w:b/>
          <w:w w:val="100"/>
          <w:shd w:fill="C0C0C0" w:color="auto" w:val="clear"/>
        </w:rPr>
        <w:t>重大疾病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2</w:t>
      </w:r>
      <w:r>
        <w:rPr>
          <w:spacing w:val="-106"/>
          <w:w w:val="100"/>
          <w:shd w:fill="C0C0C0" w:color="auto" w:val="clear"/>
        </w:rPr>
        <w:t>）；</w:t>
      </w:r>
    </w:p>
    <w:p>
      <w:pPr>
        <w:pStyle w:val="BodyText"/>
        <w:spacing w:line="312" w:lineRule="exact" w:before="8"/>
        <w:ind w:left="2417" w:right="112"/>
      </w:pPr>
      <w:r>
        <w:rPr>
          <w:w w:val="100"/>
          <w:shd w:fill="C0C0C0" w:color="auto" w:val="clear"/>
        </w:rPr>
        <w:t>（二</w:t>
      </w:r>
      <w:r>
        <w:rPr>
          <w:spacing w:val="-3"/>
          <w:w w:val="100"/>
          <w:shd w:fill="C0C0C0" w:color="auto" w:val="clear"/>
        </w:rPr>
        <w:t>）</w:t>
      </w:r>
      <w:r>
        <w:rPr>
          <w:spacing w:val="-8"/>
          <w:w w:val="100"/>
          <w:shd w:fill="C0C0C0" w:color="auto" w:val="clear"/>
        </w:rPr>
        <w:t>因导致“早期危重疾病”或“重大疾病”的相关疾病就诊；</w:t>
      </w:r>
      <w:r>
        <w:rPr>
          <w:w w:val="100"/>
          <w:shd w:fill="C0C0C0" w:color="auto" w:val="clear"/>
        </w:rPr>
        <w:t>（</w:t>
      </w:r>
      <w:r>
        <w:rPr>
          <w:spacing w:val="-3"/>
          <w:w w:val="100"/>
          <w:shd w:fill="C0C0C0" w:color="auto" w:val="clear"/>
        </w:rPr>
        <w:t>三</w:t>
      </w:r>
      <w:r>
        <w:rPr>
          <w:w w:val="100"/>
          <w:shd w:fill="C0C0C0" w:color="auto" w:val="clear"/>
        </w:rPr>
        <w:t>）</w:t>
      </w:r>
      <w:r>
        <w:rPr>
          <w:spacing w:val="-2"/>
          <w:w w:val="100"/>
          <w:shd w:fill="C0C0C0" w:color="auto" w:val="clear"/>
        </w:rPr>
        <w:t>身故，</w:t>
      </w:r>
      <w:r>
        <w:rPr>
          <w:spacing w:val="-3"/>
          <w:shd w:fill="C0C0C0" w:color="auto" w:val="clear"/>
        </w:rPr>
        <w:t>我们无息退还</w:t>
      </w:r>
      <w:r>
        <w:rPr>
          <w:spacing w:val="-20"/>
          <w:shd w:fill="C0C0C0" w:color="auto" w:val="clear"/>
        </w:rPr>
        <w:t>该被保险人名下已交保险费，我们对该被保险人的保险责任终止。这</w:t>
      </w:r>
      <w:r>
        <w:rPr>
          <w:rFonts w:ascii="Times New Roman" w:hAnsi="Times New Roman" w:eastAsia="Times New Roman"/>
          <w:spacing w:val="-20"/>
          <w:shd w:fill="C0C0C0" w:color="auto" w:val="clear"/>
        </w:rPr>
        <w:t>90</w:t>
      </w:r>
      <w:r>
        <w:rPr>
          <w:rFonts w:ascii="Times New Roman" w:hAnsi="Times New Roman" w:eastAsia="Times New Roman"/>
          <w:spacing w:val="5"/>
          <w:shd w:fill="C0C0C0" w:color="auto" w:val="clear"/>
        </w:rPr>
        <w:t> </w:t>
      </w:r>
      <w:r>
        <w:rPr>
          <w:spacing w:val="-6"/>
          <w:shd w:fill="C0C0C0" w:color="auto" w:val="clear"/>
        </w:rPr>
        <w:t>日的时间称为等待期；</w:t>
      </w:r>
      <w:r>
        <w:rPr>
          <w:spacing w:val="-3"/>
        </w:rPr>
        <w:t>被保险人因</w:t>
      </w:r>
      <w:r>
        <w:rPr>
          <w:rFonts w:ascii="微软雅黑" w:hAnsi="微软雅黑" w:eastAsia="微软雅黑" w:hint="eastAsia"/>
          <w:b/>
          <w:spacing w:val="-8"/>
        </w:rPr>
        <w:t>意外伤害</w:t>
      </w:r>
      <w:r>
        <w:rPr>
          <w:spacing w:val="-5"/>
        </w:rPr>
        <w:t>（</w:t>
      </w:r>
      <w:r>
        <w:rPr>
          <w:spacing w:val="-23"/>
        </w:rPr>
        <w:t>见 </w:t>
      </w:r>
      <w:r>
        <w:rPr>
          <w:rFonts w:ascii="Times New Roman" w:hAnsi="Times New Roman" w:eastAsia="Times New Roman"/>
          <w:spacing w:val="-10"/>
        </w:rPr>
        <w:t>11.2</w:t>
      </w:r>
      <w:r>
        <w:rPr>
          <w:spacing w:val="-10"/>
        </w:rPr>
        <w:t>）</w:t>
      </w:r>
      <w:r>
        <w:rPr>
          <w:spacing w:val="-3"/>
        </w:rPr>
        <w:t>发生上述三项情形之一的，无等待期。</w:t>
      </w:r>
    </w:p>
    <w:p>
      <w:pPr>
        <w:pStyle w:val="BodyText"/>
        <w:spacing w:before="98"/>
        <w:ind w:left="2417"/>
      </w:pPr>
      <w:r>
        <w:rPr/>
        <w:t>如果在等待期后发生保险事故，我们按照下列方式给付保险金：</w:t>
      </w:r>
    </w:p>
    <w:p>
      <w:pPr>
        <w:pStyle w:val="BodyText"/>
        <w:spacing w:before="11"/>
        <w:rPr>
          <w:sz w:val="8"/>
        </w:rPr>
      </w:pPr>
    </w:p>
    <w:p>
      <w:pPr>
        <w:spacing w:after="0"/>
        <w:rPr>
          <w:sz w:val="8"/>
        </w:rPr>
        <w:sectPr>
          <w:pgSz w:w="11910" w:h="16840"/>
          <w:pgMar w:header="0" w:footer="915" w:top="1080" w:bottom="1180" w:left="1020" w:right="1100"/>
        </w:sectPr>
      </w:pPr>
    </w:p>
    <w:p>
      <w:pPr>
        <w:pStyle w:val="Heading4"/>
        <w:spacing w:line="213" w:lineRule="auto" w:before="51"/>
        <w:ind w:left="902"/>
        <w:rPr>
          <w:rFonts w:ascii="Microsoft JhengHei UI" w:eastAsia="Microsoft JhengHei UI" w:hint="eastAsia"/>
        </w:rPr>
      </w:pPr>
      <w:r>
        <w:rPr>
          <w:rFonts w:ascii="Microsoft JhengHei UI" w:eastAsia="Microsoft JhengHei UI" w:hint="eastAsia"/>
        </w:rPr>
        <w:t>早期危重疾病保险金</w:t>
      </w:r>
    </w:p>
    <w:p>
      <w:pPr>
        <w:pStyle w:val="BodyText"/>
        <w:rPr>
          <w:rFonts w:ascii="Microsoft JhengHei UI"/>
          <w:b/>
          <w:sz w:val="26"/>
        </w:rPr>
      </w:pPr>
    </w:p>
    <w:p>
      <w:pPr>
        <w:pStyle w:val="BodyText"/>
        <w:rPr>
          <w:rFonts w:ascii="Microsoft JhengHei UI"/>
          <w:b/>
          <w:sz w:val="26"/>
        </w:rPr>
      </w:pPr>
    </w:p>
    <w:p>
      <w:pPr>
        <w:pStyle w:val="BodyText"/>
        <w:spacing w:before="7"/>
        <w:rPr>
          <w:rFonts w:ascii="Microsoft JhengHei UI"/>
          <w:b/>
          <w:sz w:val="19"/>
        </w:rPr>
      </w:pPr>
    </w:p>
    <w:p>
      <w:pPr>
        <w:spacing w:line="213" w:lineRule="auto" w:before="0"/>
        <w:ind w:left="902" w:right="0" w:firstLine="0"/>
        <w:jc w:val="left"/>
        <w:rPr>
          <w:rFonts w:ascii="Microsoft JhengHei UI" w:eastAsia="Microsoft JhengHei UI" w:hint="eastAsia"/>
          <w:b/>
          <w:sz w:val="21"/>
        </w:rPr>
      </w:pPr>
      <w:r>
        <w:rPr>
          <w:rFonts w:ascii="Microsoft JhengHei UI" w:eastAsia="Microsoft JhengHei UI" w:hint="eastAsia"/>
          <w:b/>
          <w:sz w:val="21"/>
        </w:rPr>
        <w:t>重大疾病保险金</w:t>
      </w:r>
    </w:p>
    <w:p>
      <w:pPr>
        <w:pStyle w:val="BodyText"/>
        <w:spacing w:line="312" w:lineRule="exact" w:before="73"/>
        <w:ind w:left="163" w:right="113"/>
      </w:pPr>
      <w:r>
        <w:rPr/>
        <w:br w:type="column"/>
      </w:r>
      <w:r>
        <w:rPr>
          <w:spacing w:val="-1"/>
        </w:rPr>
        <w:t>被保险人经</w:t>
      </w:r>
      <w:r>
        <w:rPr>
          <w:rFonts w:ascii="微软雅黑" w:eastAsia="微软雅黑" w:hint="eastAsia"/>
          <w:b/>
          <w:spacing w:val="-24"/>
        </w:rPr>
        <w:t>医院</w:t>
      </w:r>
      <w:r>
        <w:rPr>
          <w:spacing w:val="-3"/>
        </w:rPr>
        <w:t>（</w:t>
      </w:r>
      <w:r>
        <w:rPr>
          <w:spacing w:val="-11"/>
        </w:rPr>
        <w:t>见 </w:t>
      </w:r>
      <w:r>
        <w:rPr>
          <w:rFonts w:ascii="Times New Roman" w:eastAsia="Times New Roman"/>
          <w:spacing w:val="-13"/>
        </w:rPr>
        <w:t>11.3</w:t>
      </w:r>
      <w:r>
        <w:rPr>
          <w:spacing w:val="-13"/>
        </w:rPr>
        <w:t>）</w:t>
      </w:r>
      <w:r>
        <w:rPr>
          <w:spacing w:val="-3"/>
        </w:rPr>
        <w:t>确诊首次患本合同所列的一种或多种早期危重疾病， </w:t>
      </w:r>
      <w:r>
        <w:rPr>
          <w:spacing w:val="-6"/>
        </w:rPr>
        <w:t>我们按照该被保险人名下基本保险金额的 </w:t>
      </w:r>
      <w:r>
        <w:rPr>
          <w:rFonts w:ascii="Times New Roman" w:eastAsia="Times New Roman"/>
        </w:rPr>
        <w:t>20</w:t>
      </w:r>
      <w:r>
        <w:rPr>
          <w:spacing w:val="-3"/>
        </w:rPr>
        <w:t>%给付早期危重疾病保险金，</w:t>
      </w:r>
      <w:r>
        <w:rPr>
          <w:rFonts w:ascii="微软雅黑" w:eastAsia="微软雅黑" w:hint="eastAsia"/>
          <w:b/>
        </w:rPr>
        <w:t>我们</w:t>
      </w:r>
      <w:r>
        <w:rPr>
          <w:rFonts w:ascii="微软雅黑" w:eastAsia="微软雅黑" w:hint="eastAsia"/>
          <w:b/>
          <w:spacing w:val="-2"/>
        </w:rPr>
        <w:t>对该被保险人的本项保险责任终止</w:t>
      </w:r>
      <w:r>
        <w:rPr>
          <w:spacing w:val="-4"/>
        </w:rPr>
        <w:t>，我们对该被保险人继续承担给付重大疾病</w:t>
      </w:r>
      <w:r>
        <w:rPr>
          <w:spacing w:val="-3"/>
        </w:rPr>
        <w:t>保险金或身故保险金的责任。</w:t>
      </w:r>
    </w:p>
    <w:p>
      <w:pPr>
        <w:pStyle w:val="Heading4"/>
        <w:spacing w:before="35"/>
        <w:ind w:left="163"/>
      </w:pPr>
      <w:r>
        <w:rPr/>
        <w:t>我们对每个被保险人的早期危重疾病保险金仅限给付一次。</w:t>
      </w:r>
    </w:p>
    <w:p>
      <w:pPr>
        <w:pStyle w:val="BodyText"/>
        <w:spacing w:line="312" w:lineRule="exact" w:before="162"/>
        <w:ind w:left="163" w:right="220"/>
        <w:jc w:val="both"/>
      </w:pPr>
      <w:r>
        <w:rPr/>
        <w:t>被保险人经医院确诊首次患本合同所列的一种或多种重大疾病，我们按照该被保险人名下的基本保险金额给付重大疾病保险金，若我们已向该被保险人给付早期危重疾病保险金，则给付重大疾病保险金时扣除已给付的早期危重疾病保险金，</w:t>
      </w:r>
      <w:r>
        <w:rPr>
          <w:rFonts w:ascii="微软雅黑" w:eastAsia="微软雅黑" w:hint="eastAsia"/>
          <w:b/>
        </w:rPr>
        <w:t>我们对该被保险人的保险责任终止</w:t>
      </w:r>
      <w:r>
        <w:rPr/>
        <w:t>。</w:t>
      </w:r>
    </w:p>
    <w:p>
      <w:pPr>
        <w:spacing w:after="0" w:line="312" w:lineRule="exact"/>
        <w:jc w:val="both"/>
        <w:sectPr>
          <w:type w:val="continuous"/>
          <w:pgSz w:w="11910" w:h="16840"/>
          <w:pgMar w:top="1100" w:bottom="1100" w:left="1020" w:right="1100"/>
          <w:cols w:num="2" w:equalWidth="0">
            <w:col w:w="2214" w:space="40"/>
            <w:col w:w="7536"/>
          </w:cols>
        </w:sectPr>
      </w:pPr>
    </w:p>
    <w:p>
      <w:pPr>
        <w:spacing w:line="225" w:lineRule="auto" w:before="119"/>
        <w:ind w:left="2417" w:right="218" w:hanging="1515"/>
        <w:jc w:val="both"/>
        <w:rPr>
          <w:sz w:val="21"/>
        </w:rPr>
      </w:pPr>
      <w:r>
        <w:rPr>
          <w:rFonts w:ascii="Microsoft JhengHei UI" w:eastAsia="Microsoft JhengHei UI" w:hint="eastAsia"/>
          <w:b/>
          <w:position w:val="1"/>
          <w:sz w:val="21"/>
        </w:rPr>
        <w:t>身故保险金      </w:t>
      </w:r>
      <w:r>
        <w:rPr>
          <w:sz w:val="21"/>
        </w:rPr>
        <w:t>若被保险人在年满</w:t>
      </w:r>
      <w:r>
        <w:rPr>
          <w:rFonts w:ascii="Times New Roman" w:eastAsia="Times New Roman"/>
          <w:sz w:val="21"/>
        </w:rPr>
        <w:t>18</w:t>
      </w:r>
      <w:r>
        <w:rPr>
          <w:rFonts w:ascii="微软雅黑" w:eastAsia="微软雅黑" w:hint="eastAsia"/>
          <w:b/>
          <w:sz w:val="21"/>
        </w:rPr>
        <w:t>周岁</w:t>
      </w:r>
      <w:r>
        <w:rPr>
          <w:sz w:val="21"/>
        </w:rPr>
        <w:t>（见</w:t>
      </w:r>
      <w:r>
        <w:rPr>
          <w:rFonts w:ascii="Times New Roman" w:eastAsia="Times New Roman"/>
          <w:sz w:val="21"/>
        </w:rPr>
        <w:t>11.4</w:t>
      </w:r>
      <w:r>
        <w:rPr>
          <w:sz w:val="21"/>
        </w:rPr>
        <w:t>）之前身故，我们不承担保险责任，退还该被保险人名下累计已交保险费，若我们已向该被保险人给付早期危重疾病保险金，则退还累计已交保险费时扣除已给付的早期危重疾病保险金，</w:t>
      </w:r>
      <w:r>
        <w:rPr>
          <w:rFonts w:ascii="微软雅黑" w:eastAsia="微软雅黑" w:hint="eastAsia"/>
          <w:b/>
          <w:sz w:val="21"/>
        </w:rPr>
        <w:t>我们对该被保险人的保险责任终止</w:t>
      </w:r>
      <w:r>
        <w:rPr>
          <w:sz w:val="21"/>
        </w:rPr>
        <w:t>。</w:t>
      </w:r>
    </w:p>
    <w:p>
      <w:pPr>
        <w:pStyle w:val="BodyText"/>
        <w:spacing w:line="312" w:lineRule="exact" w:before="101"/>
        <w:ind w:left="2417" w:right="218"/>
        <w:jc w:val="both"/>
      </w:pPr>
      <w:r>
        <w:rPr/>
        <w:t>若被保险人年满</w:t>
      </w:r>
      <w:r>
        <w:rPr>
          <w:rFonts w:ascii="Times New Roman" w:eastAsia="Times New Roman"/>
        </w:rPr>
        <w:t>18</w:t>
      </w:r>
      <w:r>
        <w:rPr/>
        <w:t>周岁之后（含</w:t>
      </w:r>
      <w:r>
        <w:rPr>
          <w:rFonts w:ascii="Times New Roman" w:eastAsia="Times New Roman"/>
        </w:rPr>
        <w:t>18</w:t>
      </w:r>
      <w:r>
        <w:rPr/>
        <w:t>周岁生日当天）身故，我们按照该被保险人名下的基本保险金额给付身故保险金，若我们已向该被保险人给付早期危重疾病保险金，则给付身故保险金时扣除已给付的早期危重疾病保险金，</w:t>
      </w:r>
      <w:r>
        <w:rPr>
          <w:rFonts w:ascii="微软雅黑" w:eastAsia="微软雅黑" w:hint="eastAsia"/>
          <w:b/>
        </w:rPr>
        <w:t>我们对该被保险人的保险责任终止</w:t>
      </w:r>
      <w:r>
        <w:rPr/>
        <w:t>。</w:t>
      </w:r>
    </w:p>
    <w:p>
      <w:pPr>
        <w:pStyle w:val="Heading4"/>
        <w:spacing w:line="206" w:lineRule="auto" w:before="148"/>
        <w:ind w:left="2417" w:right="223"/>
        <w:jc w:val="both"/>
      </w:pPr>
      <w:r>
        <w:rPr/>
        <w:t>本合同的重大疾病保险金和身故保险金，我们在保险期间内对每个被保险人只给付一项，在给付其中任意一项后，我们对该被保险人的保险责任终止。</w:t>
      </w:r>
    </w:p>
    <w:p>
      <w:pPr>
        <w:pStyle w:val="BodyText"/>
        <w:spacing w:before="7"/>
        <w:rPr>
          <w:rFonts w:ascii="微软雅黑"/>
          <w:b/>
          <w:sz w:val="24"/>
        </w:rPr>
      </w:pPr>
    </w:p>
    <w:p>
      <w:pPr>
        <w:pStyle w:val="ListParagraph"/>
        <w:numPr>
          <w:ilvl w:val="1"/>
          <w:numId w:val="3"/>
        </w:numPr>
        <w:tabs>
          <w:tab w:pos="902" w:val="left" w:leader="none"/>
          <w:tab w:pos="903" w:val="left" w:leader="none"/>
          <w:tab w:pos="2417" w:val="left" w:leader="none"/>
        </w:tabs>
        <w:spacing w:line="247" w:lineRule="auto" w:before="0" w:after="0"/>
        <w:ind w:left="2417" w:right="223" w:hanging="2305"/>
        <w:jc w:val="left"/>
        <w:rPr>
          <w:sz w:val="21"/>
        </w:rPr>
      </w:pPr>
      <w:r>
        <w:rPr>
          <w:rFonts w:ascii="微软雅黑" w:eastAsia="微软雅黑" w:hint="eastAsia"/>
          <w:b/>
          <w:sz w:val="21"/>
        </w:rPr>
        <w:t>责任免除</w:t>
        <w:tab/>
      </w:r>
      <w:r>
        <w:rPr>
          <w:spacing w:val="-1"/>
          <w:sz w:val="21"/>
          <w:shd w:fill="C0C0C0" w:color="auto" w:val="clear"/>
        </w:rPr>
        <w:t>因下</w:t>
      </w:r>
      <w:r>
        <w:rPr>
          <w:spacing w:val="-3"/>
          <w:sz w:val="21"/>
          <w:shd w:fill="C0C0C0" w:color="auto" w:val="clear"/>
        </w:rPr>
        <w:t>列</w:t>
      </w:r>
      <w:r>
        <w:rPr>
          <w:spacing w:val="-1"/>
          <w:sz w:val="21"/>
          <w:shd w:fill="C0C0C0" w:color="auto" w:val="clear"/>
        </w:rPr>
        <w:t>情</w:t>
      </w:r>
      <w:r>
        <w:rPr>
          <w:spacing w:val="-3"/>
          <w:sz w:val="21"/>
          <w:shd w:fill="C0C0C0" w:color="auto" w:val="clear"/>
        </w:rPr>
        <w:t>形</w:t>
      </w:r>
      <w:r>
        <w:rPr>
          <w:sz w:val="21"/>
          <w:shd w:fill="C0C0C0" w:color="auto" w:val="clear"/>
        </w:rPr>
        <w:t>之</w:t>
      </w:r>
      <w:r>
        <w:rPr>
          <w:spacing w:val="-3"/>
          <w:sz w:val="21"/>
          <w:shd w:fill="C0C0C0" w:color="auto" w:val="clear"/>
        </w:rPr>
        <w:t>一</w:t>
      </w:r>
      <w:r>
        <w:rPr>
          <w:sz w:val="21"/>
          <w:shd w:fill="C0C0C0" w:color="auto" w:val="clear"/>
        </w:rPr>
        <w:t>导</w:t>
      </w:r>
      <w:r>
        <w:rPr>
          <w:spacing w:val="-3"/>
          <w:sz w:val="21"/>
          <w:shd w:fill="C0C0C0" w:color="auto" w:val="clear"/>
        </w:rPr>
        <w:t>致</w:t>
      </w:r>
      <w:r>
        <w:rPr>
          <w:sz w:val="21"/>
          <w:shd w:fill="C0C0C0" w:color="auto" w:val="clear"/>
        </w:rPr>
        <w:t>被</w:t>
      </w:r>
      <w:r>
        <w:rPr>
          <w:spacing w:val="-3"/>
          <w:sz w:val="21"/>
          <w:shd w:fill="C0C0C0" w:color="auto" w:val="clear"/>
        </w:rPr>
        <w:t>保</w:t>
      </w:r>
      <w:r>
        <w:rPr>
          <w:sz w:val="21"/>
          <w:shd w:fill="C0C0C0" w:color="auto" w:val="clear"/>
        </w:rPr>
        <w:t>险人首次</w:t>
      </w:r>
      <w:r>
        <w:rPr>
          <w:spacing w:val="-3"/>
          <w:sz w:val="21"/>
          <w:shd w:fill="C0C0C0" w:color="auto" w:val="clear"/>
        </w:rPr>
        <w:t>发</w:t>
      </w:r>
      <w:r>
        <w:rPr>
          <w:sz w:val="21"/>
          <w:shd w:fill="C0C0C0" w:color="auto" w:val="clear"/>
        </w:rPr>
        <w:t>生</w:t>
      </w:r>
      <w:r>
        <w:rPr>
          <w:spacing w:val="-3"/>
          <w:sz w:val="21"/>
          <w:shd w:fill="C0C0C0" w:color="auto" w:val="clear"/>
        </w:rPr>
        <w:t>早</w:t>
      </w:r>
      <w:r>
        <w:rPr>
          <w:sz w:val="21"/>
          <w:shd w:fill="C0C0C0" w:color="auto" w:val="clear"/>
        </w:rPr>
        <w:t>期</w:t>
      </w:r>
      <w:r>
        <w:rPr>
          <w:spacing w:val="-3"/>
          <w:sz w:val="21"/>
          <w:shd w:fill="C0C0C0" w:color="auto" w:val="clear"/>
        </w:rPr>
        <w:t>危</w:t>
      </w:r>
      <w:r>
        <w:rPr>
          <w:sz w:val="21"/>
          <w:shd w:fill="C0C0C0" w:color="auto" w:val="clear"/>
        </w:rPr>
        <w:t>重</w:t>
      </w:r>
      <w:r>
        <w:rPr>
          <w:spacing w:val="-3"/>
          <w:sz w:val="21"/>
          <w:shd w:fill="C0C0C0" w:color="auto" w:val="clear"/>
        </w:rPr>
        <w:t>疾</w:t>
      </w:r>
      <w:r>
        <w:rPr>
          <w:sz w:val="21"/>
          <w:shd w:fill="C0C0C0" w:color="auto" w:val="clear"/>
        </w:rPr>
        <w:t>病、</w:t>
      </w:r>
      <w:r>
        <w:rPr>
          <w:spacing w:val="-3"/>
          <w:sz w:val="21"/>
          <w:shd w:fill="C0C0C0" w:color="auto" w:val="clear"/>
        </w:rPr>
        <w:t>重</w:t>
      </w:r>
      <w:r>
        <w:rPr>
          <w:sz w:val="21"/>
          <w:shd w:fill="C0C0C0" w:color="auto" w:val="clear"/>
        </w:rPr>
        <w:t>大</w:t>
      </w:r>
      <w:r>
        <w:rPr>
          <w:spacing w:val="-3"/>
          <w:sz w:val="21"/>
          <w:shd w:fill="C0C0C0" w:color="auto" w:val="clear"/>
        </w:rPr>
        <w:t>疾</w:t>
      </w:r>
      <w:r>
        <w:rPr>
          <w:sz w:val="21"/>
          <w:shd w:fill="C0C0C0" w:color="auto" w:val="clear"/>
        </w:rPr>
        <w:t>病</w:t>
      </w:r>
      <w:r>
        <w:rPr>
          <w:spacing w:val="-3"/>
          <w:sz w:val="21"/>
          <w:shd w:fill="C0C0C0" w:color="auto" w:val="clear"/>
        </w:rPr>
        <w:t>或</w:t>
      </w:r>
      <w:r>
        <w:rPr>
          <w:sz w:val="21"/>
          <w:shd w:fill="C0C0C0" w:color="auto" w:val="clear"/>
        </w:rPr>
        <w:t>身</w:t>
      </w:r>
      <w:r>
        <w:rPr>
          <w:spacing w:val="-3"/>
          <w:sz w:val="21"/>
          <w:shd w:fill="C0C0C0" w:color="auto" w:val="clear"/>
        </w:rPr>
        <w:t>故</w:t>
      </w:r>
      <w:r>
        <w:rPr>
          <w:sz w:val="21"/>
          <w:shd w:fill="C0C0C0" w:color="auto" w:val="clear"/>
        </w:rPr>
        <w:t>的</w:t>
      </w:r>
      <w:r>
        <w:rPr>
          <w:spacing w:val="-3"/>
          <w:sz w:val="21"/>
          <w:shd w:fill="C0C0C0" w:color="auto" w:val="clear"/>
        </w:rPr>
        <w:t>，我 </w:t>
      </w:r>
      <w:r>
        <w:rPr>
          <w:sz w:val="21"/>
          <w:shd w:fill="C0C0C0" w:color="auto" w:val="clear"/>
        </w:rPr>
        <w:t>们不</w:t>
      </w:r>
      <w:r>
        <w:rPr>
          <w:spacing w:val="-3"/>
          <w:sz w:val="21"/>
          <w:shd w:fill="C0C0C0" w:color="auto" w:val="clear"/>
        </w:rPr>
        <w:t>承</w:t>
      </w:r>
      <w:r>
        <w:rPr>
          <w:sz w:val="21"/>
          <w:shd w:fill="C0C0C0" w:color="auto" w:val="clear"/>
        </w:rPr>
        <w:t>担</w:t>
      </w:r>
      <w:r>
        <w:rPr>
          <w:spacing w:val="-3"/>
          <w:sz w:val="21"/>
          <w:shd w:fill="C0C0C0" w:color="auto" w:val="clear"/>
        </w:rPr>
        <w:t>给</w:t>
      </w:r>
      <w:r>
        <w:rPr>
          <w:sz w:val="21"/>
          <w:shd w:fill="C0C0C0" w:color="auto" w:val="clear"/>
        </w:rPr>
        <w:t>付</w:t>
      </w:r>
      <w:r>
        <w:rPr>
          <w:spacing w:val="-3"/>
          <w:sz w:val="21"/>
          <w:shd w:fill="C0C0C0" w:color="auto" w:val="clear"/>
        </w:rPr>
        <w:t>保</w:t>
      </w:r>
      <w:r>
        <w:rPr>
          <w:sz w:val="21"/>
          <w:shd w:fill="C0C0C0" w:color="auto" w:val="clear"/>
        </w:rPr>
        <w:t>险</w:t>
      </w:r>
      <w:r>
        <w:rPr>
          <w:spacing w:val="-3"/>
          <w:sz w:val="21"/>
          <w:shd w:fill="C0C0C0" w:color="auto" w:val="clear"/>
        </w:rPr>
        <w:t>金</w:t>
      </w:r>
      <w:r>
        <w:rPr>
          <w:sz w:val="21"/>
          <w:shd w:fill="C0C0C0" w:color="auto" w:val="clear"/>
        </w:rPr>
        <w:t>的</w:t>
      </w:r>
      <w:r>
        <w:rPr>
          <w:spacing w:val="-3"/>
          <w:sz w:val="21"/>
          <w:shd w:fill="C0C0C0" w:color="auto" w:val="clear"/>
        </w:rPr>
        <w:t>责</w:t>
      </w:r>
      <w:r>
        <w:rPr>
          <w:sz w:val="21"/>
          <w:shd w:fill="C0C0C0" w:color="auto" w:val="clear"/>
        </w:rPr>
        <w:t>任：</w:t>
      </w:r>
    </w:p>
    <w:p>
      <w:pPr>
        <w:pStyle w:val="BodyText"/>
        <w:spacing w:before="124"/>
        <w:ind w:left="2417"/>
        <w:jc w:val="both"/>
      </w:pPr>
      <w:r>
        <w:rPr>
          <w:rFonts w:ascii="Times New Roman" w:eastAsia="Times New Roman"/>
          <w:shd w:fill="C0C0C0" w:color="auto" w:val="clear"/>
        </w:rPr>
        <w:t>1.</w:t>
      </w:r>
      <w:r>
        <w:rPr>
          <w:shd w:fill="C0C0C0" w:color="auto" w:val="clear"/>
        </w:rPr>
        <w:t>投保人对被保险人的故意杀害、故意伤害；</w:t>
      </w:r>
    </w:p>
    <w:p>
      <w:pPr>
        <w:pStyle w:val="BodyText"/>
        <w:spacing w:before="21"/>
        <w:ind w:left="2417"/>
        <w:jc w:val="both"/>
      </w:pPr>
      <w:r>
        <w:rPr>
          <w:rFonts w:ascii="Times New Roman" w:eastAsia="Times New Roman"/>
          <w:shd w:fill="C0C0C0" w:color="auto" w:val="clear"/>
        </w:rPr>
        <w:t>2.</w:t>
      </w:r>
      <w:r>
        <w:rPr>
          <w:shd w:fill="C0C0C0" w:color="auto" w:val="clear"/>
        </w:rPr>
        <w:t>被保险人故意犯罪或者抗拒依法采取的刑事强制措施；</w:t>
      </w:r>
    </w:p>
    <w:p>
      <w:pPr>
        <w:pStyle w:val="BodyText"/>
        <w:spacing w:before="21"/>
        <w:ind w:left="2417"/>
        <w:jc w:val="both"/>
      </w:pPr>
      <w:r>
        <w:rPr>
          <w:rFonts w:ascii="Times New Roman" w:eastAsia="Times New Roman"/>
          <w:shd w:fill="C0C0C0" w:color="auto" w:val="clear"/>
        </w:rPr>
        <w:t>3.</w:t>
      </w:r>
      <w:r>
        <w:rPr>
          <w:shd w:fill="C0C0C0" w:color="auto" w:val="clear"/>
        </w:rPr>
        <w:t>被保险人自伤, 或自本合同成立或者合同效力恢复之日起 </w:t>
      </w:r>
      <w:r>
        <w:rPr>
          <w:rFonts w:ascii="Times New Roman" w:eastAsia="Times New Roman"/>
          <w:shd w:fill="C0C0C0" w:color="auto" w:val="clear"/>
        </w:rPr>
        <w:t>2 </w:t>
      </w:r>
      <w:r>
        <w:rPr>
          <w:shd w:fill="C0C0C0" w:color="auto" w:val="clear"/>
        </w:rPr>
        <w:t>年内自杀</w:t>
      </w:r>
      <w:r>
        <w:rPr/>
        <w:t>（但被</w:t>
      </w:r>
    </w:p>
    <w:p>
      <w:pPr>
        <w:spacing w:after="0"/>
        <w:jc w:val="both"/>
        <w:sectPr>
          <w:type w:val="continuous"/>
          <w:pgSz w:w="11910" w:h="16840"/>
          <w:pgMar w:top="1100" w:bottom="1100" w:left="10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5289" w:hRule="atLeast"/>
        </w:trPr>
        <w:tc>
          <w:tcPr>
            <w:tcW w:w="635"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77" w:type="dxa"/>
          </w:tcPr>
          <w:p>
            <w:pPr>
              <w:pStyle w:val="TableParagraph"/>
              <w:spacing w:line="199" w:lineRule="exact"/>
              <w:ind w:left="124"/>
              <w:rPr>
                <w:sz w:val="21"/>
              </w:rPr>
            </w:pPr>
            <w:r>
              <w:rPr>
                <w:spacing w:val="-3"/>
                <w:w w:val="100"/>
                <w:sz w:val="21"/>
              </w:rPr>
              <w:t>保险人自杀时为无民事行为能力人的除外</w:t>
            </w:r>
            <w:r>
              <w:rPr>
                <w:spacing w:val="-106"/>
                <w:w w:val="100"/>
                <w:sz w:val="21"/>
              </w:rPr>
              <w:t>）</w:t>
            </w:r>
            <w:r>
              <w:rPr>
                <w:w w:val="100"/>
                <w:sz w:val="21"/>
              </w:rPr>
              <w:t>；</w:t>
            </w:r>
          </w:p>
          <w:p>
            <w:pPr>
              <w:pStyle w:val="TableParagraph"/>
              <w:spacing w:line="325" w:lineRule="exact"/>
              <w:ind w:left="124"/>
              <w:rPr>
                <w:rFonts w:ascii="微软雅黑" w:eastAsia="微软雅黑" w:hint="eastAsia"/>
                <w:b/>
                <w:sz w:val="21"/>
              </w:rPr>
            </w:pPr>
            <w:r>
              <w:rPr>
                <w:rFonts w:ascii="Times New Roman" w:eastAsia="Times New Roman"/>
                <w:w w:val="100"/>
                <w:sz w:val="21"/>
                <w:shd w:fill="C0C0C0" w:color="auto" w:val="clear"/>
              </w:rPr>
              <w:t>4.</w:t>
            </w:r>
            <w:r>
              <w:rPr>
                <w:spacing w:val="-3"/>
                <w:w w:val="100"/>
                <w:sz w:val="21"/>
                <w:shd w:fill="C0C0C0" w:color="auto" w:val="clear"/>
              </w:rPr>
              <w:t>被保险人主动吸食或注射</w:t>
            </w:r>
            <w:r>
              <w:rPr>
                <w:rFonts w:ascii="微软雅黑" w:eastAsia="微软雅黑" w:hint="eastAsia"/>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1.5</w:t>
            </w:r>
            <w:r>
              <w:rPr>
                <w:spacing w:val="-108"/>
                <w:w w:val="100"/>
                <w:sz w:val="21"/>
                <w:shd w:fill="C0C0C0" w:color="auto" w:val="clear"/>
              </w:rPr>
              <w:t>）</w:t>
            </w:r>
            <w:r>
              <w:rPr>
                <w:rFonts w:ascii="微软雅黑" w:eastAsia="微软雅黑" w:hint="eastAsia"/>
                <w:b/>
                <w:w w:val="100"/>
                <w:sz w:val="21"/>
                <w:shd w:fill="C0C0C0" w:color="auto" w:val="clear"/>
              </w:rPr>
              <w:t>；</w:t>
            </w:r>
          </w:p>
          <w:p>
            <w:pPr>
              <w:pStyle w:val="TableParagraph"/>
              <w:spacing w:line="206" w:lineRule="auto" w:before="25"/>
              <w:ind w:left="124" w:right="166"/>
              <w:rPr>
                <w:rFonts w:ascii="微软雅黑" w:eastAsia="微软雅黑" w:hint="eastAsia"/>
                <w:b/>
                <w:sz w:val="21"/>
              </w:rPr>
            </w:pPr>
            <w:r>
              <w:rPr>
                <w:rFonts w:ascii="Times New Roman" w:eastAsia="Times New Roman"/>
                <w:w w:val="100"/>
                <w:sz w:val="21"/>
                <w:shd w:fill="C0C0C0" w:color="auto" w:val="clear"/>
              </w:rPr>
              <w:t>5.</w:t>
            </w:r>
            <w:r>
              <w:rPr>
                <w:spacing w:val="-2"/>
                <w:w w:val="100"/>
                <w:sz w:val="21"/>
                <w:shd w:fill="C0C0C0" w:color="auto" w:val="clear"/>
              </w:rPr>
              <w:t>被保险人</w:t>
            </w:r>
            <w:r>
              <w:rPr>
                <w:rFonts w:ascii="微软雅黑" w:eastAsia="微软雅黑" w:hint="eastAsia"/>
                <w:b/>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1.6</w:t>
            </w:r>
            <w:r>
              <w:rPr>
                <w:spacing w:val="-106"/>
                <w:w w:val="100"/>
                <w:sz w:val="21"/>
                <w:shd w:fill="C0C0C0" w:color="auto" w:val="clear"/>
              </w:rPr>
              <w:t>）</w:t>
            </w:r>
            <w:r>
              <w:rPr>
                <w:spacing w:val="-2"/>
                <w:w w:val="100"/>
                <w:sz w:val="21"/>
                <w:shd w:fill="C0C0C0" w:color="auto" w:val="clear"/>
              </w:rPr>
              <w:t>，</w:t>
            </w:r>
            <w:r>
              <w:rPr>
                <w:rFonts w:ascii="微软雅黑" w:eastAsia="微软雅黑" w:hint="eastAsia"/>
                <w:b/>
                <w:spacing w:val="-2"/>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7</w:t>
            </w:r>
            <w:r>
              <w:rPr>
                <w:spacing w:val="-106"/>
                <w:w w:val="100"/>
                <w:sz w:val="21"/>
                <w:shd w:fill="C0C0C0" w:color="auto" w:val="clear"/>
              </w:rPr>
              <w:t>）</w:t>
            </w:r>
            <w:r>
              <w:rPr>
                <w:spacing w:val="-3"/>
                <w:w w:val="100"/>
                <w:sz w:val="21"/>
                <w:shd w:fill="C0C0C0" w:color="auto" w:val="clear"/>
              </w:rPr>
              <w:t>，或驾驶</w:t>
            </w:r>
            <w:r>
              <w:rPr>
                <w:rFonts w:ascii="微软雅黑" w:eastAsia="微软雅黑" w:hint="eastAsia"/>
                <w:b/>
                <w:w w:val="100"/>
                <w:sz w:val="21"/>
                <w:shd w:fill="C0C0C0" w:color="auto" w:val="clear"/>
              </w:rPr>
              <w:t>无有效行驶证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1.8</w:t>
            </w:r>
            <w:r>
              <w:rPr>
                <w:spacing w:val="-3"/>
                <w:w w:val="100"/>
                <w:sz w:val="21"/>
                <w:shd w:fill="C0C0C0" w:color="auto" w:val="clear"/>
              </w:rPr>
              <w:t>）的</w:t>
            </w:r>
            <w:r>
              <w:rPr>
                <w:rFonts w:ascii="微软雅黑" w:eastAsia="微软雅黑" w:hint="eastAsia"/>
                <w:b/>
                <w:w w:val="100"/>
                <w:sz w:val="21"/>
                <w:shd w:fill="C0C0C0" w:color="auto" w:val="clear"/>
              </w:rPr>
              <w:t>机动车</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9</w:t>
            </w:r>
            <w:r>
              <w:rPr>
                <w:spacing w:val="-108"/>
                <w:w w:val="100"/>
                <w:sz w:val="21"/>
                <w:shd w:fill="C0C0C0" w:color="auto" w:val="clear"/>
              </w:rPr>
              <w:t>）</w:t>
            </w:r>
            <w:r>
              <w:rPr>
                <w:rFonts w:ascii="微软雅黑" w:eastAsia="微软雅黑" w:hint="eastAsia"/>
                <w:b/>
                <w:w w:val="100"/>
                <w:sz w:val="21"/>
                <w:shd w:fill="C0C0C0" w:color="auto" w:val="clear"/>
              </w:rPr>
              <w:t>；</w:t>
            </w:r>
          </w:p>
          <w:p>
            <w:pPr>
              <w:pStyle w:val="TableParagraph"/>
              <w:spacing w:line="312" w:lineRule="exact" w:before="7"/>
              <w:ind w:left="124" w:right="106"/>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rFonts w:ascii="微软雅黑" w:hAnsi="微软雅黑" w:eastAsia="微软雅黑" w:hint="eastAsia"/>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1.1</w:t>
            </w:r>
            <w:r>
              <w:rPr>
                <w:rFonts w:ascii="Times New Roman" w:hAnsi="Times New Roman" w:eastAsia="Times New Roman"/>
                <w:spacing w:val="-3"/>
                <w:w w:val="100"/>
                <w:sz w:val="21"/>
                <w:shd w:fill="C0C0C0" w:color="auto" w:val="clear"/>
              </w:rPr>
              <w:t>0</w:t>
            </w:r>
            <w:r>
              <w:rPr>
                <w:spacing w:val="-108"/>
                <w:w w:val="100"/>
                <w:sz w:val="21"/>
                <w:shd w:fill="C0C0C0" w:color="auto" w:val="clear"/>
              </w:rPr>
              <w:t>）</w:t>
            </w:r>
            <w:r>
              <w:rPr>
                <w:w w:val="100"/>
                <w:sz w:val="21"/>
              </w:rPr>
              <w:t>（</w:t>
            </w:r>
            <w:r>
              <w:rPr>
                <w:spacing w:val="-2"/>
                <w:w w:val="100"/>
                <w:sz w:val="21"/>
              </w:rPr>
              <w:t>不包括“</w:t>
            </w:r>
            <w:r>
              <w:rPr>
                <w:rFonts w:ascii="Times New Roman" w:hAnsi="Times New Roman" w:eastAsia="Times New Roman"/>
                <w:w w:val="100"/>
                <w:sz w:val="21"/>
              </w:rPr>
              <w:t>10</w:t>
            </w:r>
            <w:r>
              <w:rPr>
                <w:rFonts w:ascii="Times New Roman" w:hAnsi="Times New Roman" w:eastAsia="Times New Roman"/>
                <w:spacing w:val="-3"/>
                <w:w w:val="100"/>
                <w:sz w:val="21"/>
              </w:rPr>
              <w:t>.</w:t>
            </w:r>
            <w:r>
              <w:rPr>
                <w:spacing w:val="-3"/>
                <w:w w:val="100"/>
                <w:sz w:val="21"/>
              </w:rPr>
              <w:t>疾病定义”中列明的疾病</w:t>
            </w:r>
            <w:r>
              <w:rPr>
                <w:spacing w:val="-106"/>
                <w:w w:val="100"/>
                <w:sz w:val="21"/>
              </w:rPr>
              <w:t>）</w:t>
            </w:r>
            <w:r>
              <w:rPr>
                <w:w w:val="100"/>
                <w:sz w:val="21"/>
              </w:rPr>
              <w:t>；</w:t>
            </w:r>
          </w:p>
          <w:p>
            <w:pPr>
              <w:pStyle w:val="TableParagraph"/>
              <w:spacing w:before="4"/>
              <w:ind w:left="124"/>
              <w:rPr>
                <w:sz w:val="21"/>
              </w:rPr>
            </w:pPr>
            <w:r>
              <w:rPr>
                <w:rFonts w:ascii="Times New Roman" w:eastAsia="Times New Roman"/>
                <w:sz w:val="21"/>
                <w:shd w:fill="C0C0C0" w:color="auto" w:val="clear"/>
              </w:rPr>
              <w:t>7.</w:t>
            </w:r>
            <w:r>
              <w:rPr>
                <w:sz w:val="21"/>
                <w:shd w:fill="C0C0C0" w:color="auto" w:val="clear"/>
              </w:rPr>
              <w:t>战争、军事冲突、暴乱或武装叛乱；</w:t>
            </w:r>
          </w:p>
          <w:p>
            <w:pPr>
              <w:pStyle w:val="TableParagraph"/>
              <w:spacing w:line="270" w:lineRule="exact" w:before="21"/>
              <w:ind w:left="124"/>
              <w:rPr>
                <w:sz w:val="21"/>
              </w:rPr>
            </w:pPr>
            <w:r>
              <w:rPr>
                <w:rFonts w:ascii="Times New Roman" w:eastAsia="Times New Roman"/>
                <w:sz w:val="21"/>
                <w:shd w:fill="C0C0C0" w:color="auto" w:val="clear"/>
              </w:rPr>
              <w:t>8.</w:t>
            </w:r>
            <w:r>
              <w:rPr>
                <w:sz w:val="21"/>
                <w:shd w:fill="C0C0C0" w:color="auto" w:val="clear"/>
              </w:rPr>
              <w:t>核爆炸、核辐射或核污染；</w:t>
            </w:r>
          </w:p>
          <w:p>
            <w:pPr>
              <w:pStyle w:val="TableParagraph"/>
              <w:spacing w:line="312" w:lineRule="exact" w:before="37"/>
              <w:ind w:left="124" w:right="168"/>
              <w:rPr>
                <w:sz w:val="21"/>
              </w:rPr>
            </w:pPr>
            <w:r>
              <w:rPr>
                <w:rFonts w:ascii="Times New Roman" w:hAnsi="Times New Roman" w:eastAsia="Times New Roman"/>
                <w:w w:val="100"/>
                <w:sz w:val="21"/>
                <w:shd w:fill="C0C0C0" w:color="auto" w:val="clear"/>
              </w:rPr>
              <w:t>9</w:t>
            </w:r>
            <w:r>
              <w:rPr>
                <w:rFonts w:ascii="Times New Roman" w:hAnsi="Times New Roman" w:eastAsia="Times New Roman"/>
                <w:spacing w:val="-3"/>
                <w:w w:val="100"/>
                <w:sz w:val="21"/>
                <w:shd w:fill="C0C0C0" w:color="auto" w:val="clear"/>
              </w:rPr>
              <w:t>.</w:t>
            </w:r>
            <w:r>
              <w:rPr>
                <w:rFonts w:ascii="微软雅黑" w:hAnsi="微软雅黑" w:eastAsia="微软雅黑" w:hint="eastAsia"/>
                <w:b/>
                <w:w w:val="100"/>
                <w:sz w:val="21"/>
                <w:shd w:fill="C0C0C0" w:color="auto" w:val="clear"/>
              </w:rPr>
              <w:t>遗传性疾病</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spacing w:val="-108"/>
                <w:w w:val="100"/>
                <w:sz w:val="21"/>
                <w:shd w:fill="C0C0C0" w:color="auto" w:val="clear"/>
              </w:rPr>
              <w:t>）</w:t>
            </w:r>
            <w:r>
              <w:rPr>
                <w:spacing w:val="-3"/>
                <w:w w:val="100"/>
                <w:sz w:val="21"/>
                <w:shd w:fill="C0C0C0" w:color="auto" w:val="clear"/>
              </w:rPr>
              <w:t>、</w:t>
            </w:r>
            <w:r>
              <w:rPr>
                <w:rFonts w:ascii="微软雅黑" w:hAnsi="微软雅黑" w:eastAsia="微软雅黑" w:hint="eastAsia"/>
                <w:b/>
                <w:spacing w:val="-2"/>
                <w:w w:val="100"/>
                <w:sz w:val="21"/>
                <w:shd w:fill="C0C0C0" w:color="auto" w:val="clear"/>
              </w:rPr>
              <w:t>先天性畸形、变形或染色体异常</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w:t>
            </w:r>
            <w:r>
              <w:rPr>
                <w:rFonts w:ascii="Times New Roman" w:hAnsi="Times New Roman" w:eastAsia="Times New Roman"/>
                <w:w w:val="100"/>
                <w:sz w:val="21"/>
                <w:shd w:fill="C0C0C0" w:color="auto" w:val="clear"/>
              </w:rPr>
              <w:t>12</w:t>
            </w:r>
            <w:r>
              <w:rPr>
                <w:spacing w:val="-108"/>
                <w:w w:val="100"/>
                <w:sz w:val="21"/>
                <w:shd w:fill="C0C0C0" w:color="auto" w:val="clear"/>
              </w:rPr>
              <w:t>）</w:t>
            </w:r>
            <w:r>
              <w:rPr>
                <w:w w:val="100"/>
                <w:sz w:val="21"/>
              </w:rPr>
              <w:t>（</w:t>
            </w:r>
            <w:r>
              <w:rPr>
                <w:spacing w:val="-2"/>
                <w:w w:val="100"/>
                <w:sz w:val="21"/>
              </w:rPr>
              <w:t>不包</w:t>
            </w:r>
            <w:r>
              <w:rPr>
                <w:spacing w:val="-1"/>
                <w:sz w:val="21"/>
              </w:rPr>
              <w:t>括“</w:t>
            </w:r>
            <w:r>
              <w:rPr>
                <w:rFonts w:ascii="Times New Roman" w:hAnsi="Times New Roman" w:eastAsia="Times New Roman"/>
                <w:spacing w:val="-1"/>
                <w:sz w:val="21"/>
              </w:rPr>
              <w:t>10.</w:t>
            </w:r>
            <w:r>
              <w:rPr>
                <w:spacing w:val="-3"/>
                <w:sz w:val="21"/>
              </w:rPr>
              <w:t>疾病定义”中列明的疾病</w:t>
            </w:r>
            <w:r>
              <w:rPr>
                <w:spacing w:val="-106"/>
                <w:sz w:val="21"/>
              </w:rPr>
              <w:t>）</w:t>
            </w:r>
            <w:r>
              <w:rPr>
                <w:sz w:val="21"/>
              </w:rPr>
              <w:t>。</w:t>
            </w:r>
          </w:p>
          <w:p>
            <w:pPr>
              <w:pStyle w:val="TableParagraph"/>
              <w:spacing w:line="259" w:lineRule="auto" w:before="97"/>
              <w:ind w:left="124" w:right="40"/>
              <w:rPr>
                <w:sz w:val="21"/>
              </w:rPr>
            </w:pPr>
            <w:r>
              <w:rPr>
                <w:sz w:val="21"/>
                <w:shd w:fill="C0C0C0" w:color="auto" w:val="clear"/>
              </w:rPr>
              <w:t>发生上述第 </w:t>
            </w:r>
            <w:r>
              <w:rPr>
                <w:rFonts w:ascii="Times New Roman" w:eastAsia="Times New Roman"/>
                <w:sz w:val="21"/>
                <w:shd w:fill="C0C0C0" w:color="auto" w:val="clear"/>
              </w:rPr>
              <w:t>1 </w:t>
            </w:r>
            <w:r>
              <w:rPr>
                <w:sz w:val="21"/>
                <w:shd w:fill="C0C0C0" w:color="auto" w:val="clear"/>
              </w:rPr>
              <w:t>项情形导致被保险人身故或患重大疾病的，我们对该被保险人的保险责任终止。导致被保险人身故的，我们向被保险人的继承人退还该被保险</w:t>
            </w:r>
          </w:p>
          <w:p>
            <w:pPr>
              <w:pStyle w:val="TableParagraph"/>
              <w:spacing w:line="312" w:lineRule="exact" w:before="15"/>
              <w:ind w:left="124" w:right="101"/>
              <w:rPr>
                <w:sz w:val="21"/>
              </w:rPr>
            </w:pPr>
            <w:r>
              <w:rPr>
                <w:spacing w:val="-2"/>
                <w:w w:val="100"/>
                <w:sz w:val="21"/>
                <w:shd w:fill="C0C0C0" w:color="auto" w:val="clear"/>
              </w:rPr>
              <w:t>人名下的</w:t>
            </w:r>
            <w:r>
              <w:rPr>
                <w:rFonts w:ascii="微软雅黑" w:eastAsia="微软雅黑" w:hint="eastAsia"/>
                <w:b/>
                <w:w w:val="100"/>
                <w:sz w:val="21"/>
                <w:shd w:fill="C0C0C0" w:color="auto" w:val="clear"/>
              </w:rPr>
              <w:t>现金价值</w:t>
            </w:r>
            <w:r>
              <w:rPr>
                <w:w w:val="100"/>
                <w:sz w:val="21"/>
                <w:shd w:fill="C0C0C0" w:color="auto" w:val="clear"/>
              </w:rPr>
              <w:t>（见</w:t>
            </w:r>
            <w:r>
              <w:rPr>
                <w:spacing w:val="-55"/>
                <w:sz w:val="21"/>
                <w:shd w:fill="C0C0C0" w:color="auto" w:val="clear"/>
              </w:rPr>
              <w:t> </w:t>
            </w:r>
            <w:r>
              <w:rPr>
                <w:rFonts w:ascii="Times New Roman" w:eastAsia="Times New Roman"/>
                <w:w w:val="100"/>
                <w:sz w:val="21"/>
                <w:shd w:fill="C0C0C0" w:color="auto" w:val="clear"/>
              </w:rPr>
              <w:t>5.</w:t>
            </w:r>
            <w:r>
              <w:rPr>
                <w:rFonts w:ascii="Times New Roman" w:eastAsia="Times New Roman"/>
                <w:spacing w:val="-3"/>
                <w:w w:val="100"/>
                <w:sz w:val="21"/>
                <w:shd w:fill="C0C0C0" w:color="auto" w:val="clear"/>
              </w:rPr>
              <w:t>1</w:t>
            </w:r>
            <w:r>
              <w:rPr>
                <w:spacing w:val="-106"/>
                <w:w w:val="100"/>
                <w:sz w:val="21"/>
                <w:shd w:fill="C0C0C0" w:color="auto" w:val="clear"/>
              </w:rPr>
              <w:t>）</w:t>
            </w:r>
            <w:r>
              <w:rPr>
                <w:spacing w:val="-3"/>
                <w:w w:val="100"/>
                <w:sz w:val="21"/>
                <w:shd w:fill="C0C0C0" w:color="auto" w:val="clear"/>
              </w:rPr>
              <w:t>；导致被保险人患重大疾病的，我们向该被保险人</w:t>
            </w:r>
            <w:r>
              <w:rPr>
                <w:spacing w:val="-3"/>
                <w:sz w:val="21"/>
                <w:shd w:fill="C0C0C0" w:color="auto" w:val="clear"/>
              </w:rPr>
              <w:t>退还其名下的现金价值。</w:t>
            </w:r>
          </w:p>
          <w:p>
            <w:pPr>
              <w:pStyle w:val="TableParagraph"/>
              <w:spacing w:line="273" w:lineRule="auto" w:before="97"/>
              <w:ind w:left="124" w:right="104"/>
              <w:rPr>
                <w:sz w:val="21"/>
              </w:rPr>
            </w:pPr>
            <w:r>
              <w:rPr>
                <w:sz w:val="21"/>
                <w:shd w:fill="C0C0C0" w:color="auto" w:val="clear"/>
              </w:rPr>
              <w:t>发生上述其他情形导致被保险人身故或患重大疾病的，我们对该被保险人的保险责任终止，我们退还该被保险人名下的现金价值。</w:t>
            </w:r>
          </w:p>
        </w:tc>
      </w:tr>
      <w:tr>
        <w:trPr>
          <w:trHeight w:val="975"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2.5</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其他免责条款</w:t>
            </w:r>
          </w:p>
        </w:tc>
        <w:tc>
          <w:tcPr>
            <w:tcW w:w="7377" w:type="dxa"/>
          </w:tcPr>
          <w:p>
            <w:pPr>
              <w:pStyle w:val="TableParagraph"/>
              <w:spacing w:before="153"/>
              <w:ind w:left="124"/>
              <w:rPr>
                <w:sz w:val="21"/>
              </w:rPr>
            </w:pPr>
            <w:r>
              <w:rPr>
                <w:sz w:val="21"/>
              </w:rPr>
              <w:t>除“</w:t>
            </w:r>
            <w:r>
              <w:rPr>
                <w:rFonts w:ascii="Times New Roman" w:hAnsi="Times New Roman" w:eastAsia="Times New Roman"/>
                <w:sz w:val="21"/>
              </w:rPr>
              <w:t>2.4  </w:t>
            </w:r>
            <w:r>
              <w:rPr>
                <w:sz w:val="21"/>
              </w:rPr>
              <w:t>责任免除”外，本合同中还有一些免除本公司责任的条款，详见 </w:t>
            </w:r>
            <w:r>
              <w:rPr>
                <w:rFonts w:ascii="Times New Roman" w:hAnsi="Times New Roman" w:eastAsia="Times New Roman"/>
                <w:sz w:val="21"/>
              </w:rPr>
              <w:t>1.5</w:t>
            </w:r>
            <w:r>
              <w:rPr>
                <w:sz w:val="21"/>
              </w:rPr>
              <w:t>、</w:t>
            </w:r>
          </w:p>
          <w:p>
            <w:pPr>
              <w:pStyle w:val="TableParagraph"/>
              <w:spacing w:before="21"/>
              <w:ind w:left="124"/>
              <w:rPr>
                <w:sz w:val="21"/>
              </w:rPr>
            </w:pP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706" w:hRule="atLeast"/>
        </w:trPr>
        <w:tc>
          <w:tcPr>
            <w:tcW w:w="635" w:type="dxa"/>
            <w:tcBorders>
              <w:bottom w:val="single" w:sz="8" w:space="0" w:color="000000"/>
            </w:tcBorders>
          </w:tcPr>
          <w:p>
            <w:pPr>
              <w:pStyle w:val="TableParagraph"/>
              <w:spacing w:before="209"/>
              <w:ind w:left="107"/>
              <w:rPr>
                <w:rFonts w:ascii="Times New Roman"/>
                <w:b/>
                <w:sz w:val="24"/>
              </w:rPr>
            </w:pPr>
            <w:r>
              <w:rPr>
                <w:rFonts w:ascii="Times New Roman"/>
                <w:b/>
                <w:sz w:val="24"/>
              </w:rPr>
              <w:t>3.</w:t>
            </w:r>
          </w:p>
        </w:tc>
        <w:tc>
          <w:tcPr>
            <w:tcW w:w="9030" w:type="dxa"/>
            <w:gridSpan w:val="2"/>
            <w:tcBorders>
              <w:bottom w:val="single" w:sz="8" w:space="0" w:color="000000"/>
            </w:tcBorders>
          </w:tcPr>
          <w:p>
            <w:pPr>
              <w:pStyle w:val="TableParagraph"/>
              <w:spacing w:before="76"/>
              <w:ind w:left="263"/>
              <w:rPr>
                <w:rFonts w:ascii="微软雅黑" w:eastAsia="微软雅黑" w:hint="eastAsia"/>
                <w:b/>
                <w:sz w:val="24"/>
              </w:rPr>
            </w:pPr>
            <w:r>
              <w:rPr>
                <w:rFonts w:ascii="微软雅黑" w:eastAsia="微软雅黑" w:hint="eastAsia"/>
                <w:b/>
                <w:sz w:val="24"/>
              </w:rPr>
              <w:t>保险金的申请</w:t>
            </w:r>
          </w:p>
        </w:tc>
      </w:tr>
      <w:tr>
        <w:trPr>
          <w:trHeight w:val="6670"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3.1</w:t>
            </w:r>
          </w:p>
        </w:tc>
        <w:tc>
          <w:tcPr>
            <w:tcW w:w="1653" w:type="dxa"/>
            <w:tcBorders>
              <w:top w:val="single" w:sz="8" w:space="0" w:color="000000"/>
            </w:tcBorders>
          </w:tcPr>
          <w:p>
            <w:pPr>
              <w:pStyle w:val="TableParagraph"/>
              <w:spacing w:before="76"/>
              <w:ind w:left="263"/>
              <w:rPr>
                <w:rFonts w:ascii="微软雅黑" w:eastAsia="微软雅黑" w:hint="eastAsia"/>
                <w:b/>
                <w:sz w:val="21"/>
              </w:rPr>
            </w:pPr>
            <w:r>
              <w:rPr>
                <w:rFonts w:ascii="微软雅黑" w:eastAsia="微软雅黑" w:hint="eastAsia"/>
                <w:b/>
                <w:sz w:val="21"/>
              </w:rPr>
              <w:t>受益人</w:t>
            </w:r>
          </w:p>
        </w:tc>
        <w:tc>
          <w:tcPr>
            <w:tcW w:w="7377" w:type="dxa"/>
            <w:tcBorders>
              <w:top w:val="single" w:sz="8" w:space="0" w:color="000000"/>
            </w:tcBorders>
          </w:tcPr>
          <w:p>
            <w:pPr>
              <w:pStyle w:val="TableParagraph"/>
              <w:spacing w:line="352" w:lineRule="auto" w:before="138"/>
              <w:ind w:left="124" w:right="524"/>
              <w:rPr>
                <w:sz w:val="21"/>
              </w:rPr>
            </w:pPr>
            <w:r>
              <w:rPr>
                <w:sz w:val="21"/>
              </w:rPr>
              <w:t>本合同的早期危重疾病保险金和重大疾病保险金受益人为被保险人本人。投保人或者被保险人可以指定一人或数人为身故保险金受益人。</w:t>
            </w:r>
          </w:p>
          <w:p>
            <w:pPr>
              <w:pStyle w:val="TableParagraph"/>
              <w:spacing w:line="273" w:lineRule="auto" w:before="31"/>
              <w:ind w:left="124" w:right="104"/>
              <w:rPr>
                <w:sz w:val="21"/>
              </w:rPr>
            </w:pPr>
            <w:r>
              <w:rPr>
                <w:sz w:val="21"/>
              </w:rPr>
              <w:t>身故保险金受益人为数人时，可以确定受益顺序和受益份额；如果没有确定份额，各受益人按照相等份额享有受益权。</w:t>
            </w:r>
          </w:p>
          <w:p>
            <w:pPr>
              <w:pStyle w:val="TableParagraph"/>
              <w:spacing w:line="273" w:lineRule="auto" w:before="100"/>
              <w:ind w:left="124" w:right="104"/>
              <w:rPr>
                <w:sz w:val="21"/>
              </w:rPr>
            </w:pPr>
            <w:r>
              <w:rPr>
                <w:sz w:val="21"/>
              </w:rPr>
              <w:t>被保险人为无民事行为能力人或限制民事行为能力人的，可以由其监护人指定受益人。</w:t>
            </w:r>
          </w:p>
          <w:p>
            <w:pPr>
              <w:pStyle w:val="TableParagraph"/>
              <w:spacing w:line="273" w:lineRule="auto" w:before="100"/>
              <w:ind w:left="124" w:right="104"/>
              <w:rPr>
                <w:sz w:val="21"/>
              </w:rPr>
            </w:pPr>
            <w:r>
              <w:rPr>
                <w:sz w:val="21"/>
              </w:rPr>
              <w:t>投保人或者被保险人可以变更身故保险金受益人并书面通知我们。我们收到变更受益人的书面通知后，在保险单或其他有效的保险凭证上批注或附贴批单。</w:t>
            </w:r>
          </w:p>
          <w:p>
            <w:pPr>
              <w:pStyle w:val="TableParagraph"/>
              <w:spacing w:before="99"/>
              <w:ind w:left="124"/>
              <w:rPr>
                <w:sz w:val="21"/>
              </w:rPr>
            </w:pPr>
            <w:r>
              <w:rPr>
                <w:sz w:val="21"/>
              </w:rPr>
              <w:t>投保人在指定和变更身故保险金受益人时，必须经过被保险人同意。</w:t>
            </w:r>
          </w:p>
          <w:p>
            <w:pPr>
              <w:pStyle w:val="TableParagraph"/>
              <w:spacing w:line="273" w:lineRule="auto" w:before="131"/>
              <w:ind w:left="124" w:right="104"/>
              <w:rPr>
                <w:sz w:val="21"/>
              </w:rPr>
            </w:pPr>
            <w:r>
              <w:rPr>
                <w:sz w:val="21"/>
              </w:rPr>
              <w:t>被保险人身故后，有下列情形之一的，保险金作为被保险人的遗产，由我们依照《中华人民共和国继承法》的规定履行给付保险金的义务：</w:t>
            </w:r>
          </w:p>
          <w:p>
            <w:pPr>
              <w:pStyle w:val="TableParagraph"/>
              <w:spacing w:before="8"/>
              <w:ind w:left="124"/>
              <w:rPr>
                <w:sz w:val="21"/>
              </w:rPr>
            </w:pPr>
            <w:r>
              <w:rPr>
                <w:rFonts w:ascii="Times New Roman" w:eastAsia="Times New Roman"/>
                <w:sz w:val="21"/>
              </w:rPr>
              <w:t>1.</w:t>
            </w:r>
            <w:r>
              <w:rPr>
                <w:sz w:val="21"/>
              </w:rPr>
              <w:t>没有指定受益人，或者受益人指定不明无法确定的；</w:t>
            </w:r>
          </w:p>
          <w:p>
            <w:pPr>
              <w:pStyle w:val="TableParagraph"/>
              <w:spacing w:before="21"/>
              <w:ind w:left="124"/>
              <w:rPr>
                <w:sz w:val="21"/>
              </w:rPr>
            </w:pPr>
            <w:r>
              <w:rPr>
                <w:rFonts w:ascii="Times New Roman" w:eastAsia="Times New Roman"/>
                <w:sz w:val="21"/>
              </w:rPr>
              <w:t>2.</w:t>
            </w:r>
            <w:r>
              <w:rPr>
                <w:sz w:val="21"/>
              </w:rPr>
              <w:t>受益人先于被保险人身故，没有其他受益人的；</w:t>
            </w:r>
          </w:p>
          <w:p>
            <w:pPr>
              <w:pStyle w:val="TableParagraph"/>
              <w:spacing w:before="21"/>
              <w:ind w:left="124"/>
              <w:rPr>
                <w:sz w:val="21"/>
              </w:rPr>
            </w:pPr>
            <w:r>
              <w:rPr>
                <w:rFonts w:ascii="Times New Roman" w:eastAsia="Times New Roman"/>
                <w:sz w:val="21"/>
              </w:rPr>
              <w:t>3.</w:t>
            </w:r>
            <w:r>
              <w:rPr>
                <w:sz w:val="21"/>
              </w:rPr>
              <w:t>受益人依法丧失受益权或者放弃受益权，没有其他受益人的。</w:t>
            </w:r>
          </w:p>
          <w:p>
            <w:pPr>
              <w:pStyle w:val="TableParagraph"/>
              <w:spacing w:line="273" w:lineRule="auto" w:before="115"/>
              <w:ind w:left="124" w:right="104"/>
              <w:rPr>
                <w:sz w:val="21"/>
              </w:rPr>
            </w:pPr>
            <w:r>
              <w:rPr>
                <w:sz w:val="21"/>
              </w:rPr>
              <w:t>受益人与被保险人在同一事件中身故，且不能确定身故先后顺序的，推定受益人身故在先。</w:t>
            </w:r>
          </w:p>
          <w:p>
            <w:pPr>
              <w:pStyle w:val="TableParagraph"/>
              <w:spacing w:line="273" w:lineRule="auto" w:before="101"/>
              <w:ind w:left="124" w:right="-15"/>
              <w:rPr>
                <w:sz w:val="21"/>
              </w:rPr>
            </w:pPr>
            <w:r>
              <w:rPr>
                <w:spacing w:val="-10"/>
                <w:sz w:val="21"/>
              </w:rPr>
              <w:t>受益人故意造成被保险人身故、伤残、疾病的，或者故意杀害被保险人未遂的， </w:t>
            </w:r>
            <w:r>
              <w:rPr>
                <w:spacing w:val="-3"/>
                <w:sz w:val="21"/>
              </w:rPr>
              <w:t>该受益人丧失受益权。</w:t>
            </w:r>
          </w:p>
        </w:tc>
      </w:tr>
      <w:tr>
        <w:trPr>
          <w:trHeight w:val="445" w:hRule="atLeast"/>
        </w:trPr>
        <w:tc>
          <w:tcPr>
            <w:tcW w:w="635" w:type="dxa"/>
          </w:tcPr>
          <w:p>
            <w:pPr>
              <w:pStyle w:val="TableParagraph"/>
              <w:spacing w:before="7"/>
              <w:ind w:left="0"/>
              <w:rPr>
                <w:sz w:val="15"/>
              </w:rPr>
            </w:pPr>
          </w:p>
          <w:p>
            <w:pPr>
              <w:pStyle w:val="TableParagraph"/>
              <w:spacing w:line="222" w:lineRule="exact"/>
              <w:ind w:left="107"/>
              <w:rPr>
                <w:rFonts w:ascii="Times New Roman"/>
                <w:b/>
                <w:sz w:val="21"/>
              </w:rPr>
            </w:pPr>
            <w:r>
              <w:rPr>
                <w:rFonts w:ascii="Times New Roman"/>
                <w:b/>
                <w:sz w:val="21"/>
              </w:rPr>
              <w:t>3.2</w:t>
            </w:r>
          </w:p>
        </w:tc>
        <w:tc>
          <w:tcPr>
            <w:tcW w:w="1653" w:type="dxa"/>
          </w:tcPr>
          <w:p>
            <w:pPr>
              <w:pStyle w:val="TableParagraph"/>
              <w:spacing w:line="333" w:lineRule="exact" w:before="92"/>
              <w:ind w:left="263"/>
              <w:rPr>
                <w:rFonts w:ascii="微软雅黑" w:eastAsia="微软雅黑" w:hint="eastAsia"/>
                <w:b/>
                <w:sz w:val="21"/>
              </w:rPr>
            </w:pPr>
            <w:r>
              <w:rPr>
                <w:rFonts w:ascii="微软雅黑" w:eastAsia="微软雅黑" w:hint="eastAsia"/>
                <w:b/>
                <w:sz w:val="21"/>
              </w:rPr>
              <w:t>保险事故通知</w:t>
            </w:r>
          </w:p>
        </w:tc>
        <w:tc>
          <w:tcPr>
            <w:tcW w:w="7377" w:type="dxa"/>
          </w:tcPr>
          <w:p>
            <w:pPr>
              <w:pStyle w:val="TableParagraph"/>
              <w:spacing w:line="283" w:lineRule="exact" w:before="143"/>
              <w:ind w:left="124"/>
              <w:rPr>
                <w:sz w:val="22"/>
              </w:rPr>
            </w:pPr>
            <w:r>
              <w:rPr>
                <w:sz w:val="21"/>
              </w:rPr>
              <w:t>投保人、被保险人或受益人知道保险事故后应当在 </w:t>
            </w:r>
            <w:r>
              <w:rPr>
                <w:rFonts w:ascii="Times New Roman" w:eastAsia="Times New Roman"/>
                <w:sz w:val="21"/>
              </w:rPr>
              <w:t>10 </w:t>
            </w:r>
            <w:r>
              <w:rPr>
                <w:sz w:val="21"/>
              </w:rPr>
              <w:t>日内通知我们</w:t>
            </w:r>
            <w:r>
              <w:rPr>
                <w:sz w:val="22"/>
              </w:rPr>
              <w:t>。</w:t>
            </w:r>
          </w:p>
        </w:tc>
      </w:tr>
    </w:tbl>
    <w:p>
      <w:pPr>
        <w:spacing w:after="0" w:line="283" w:lineRule="exact"/>
        <w:rPr>
          <w:sz w:val="22"/>
        </w:rPr>
        <w:sectPr>
          <w:pgSz w:w="11910" w:h="16840"/>
          <w:pgMar w:header="0" w:footer="915" w:top="116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653"/>
        <w:gridCol w:w="7472"/>
      </w:tblGrid>
      <w:tr>
        <w:trPr>
          <w:trHeight w:val="1669" w:hRule="atLeast"/>
        </w:trPr>
        <w:tc>
          <w:tcPr>
            <w:tcW w:w="727"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472" w:type="dxa"/>
          </w:tcPr>
          <w:p>
            <w:pPr>
              <w:pStyle w:val="TableParagraph"/>
              <w:spacing w:line="211" w:lineRule="exact"/>
              <w:ind w:left="124"/>
              <w:rPr>
                <w:sz w:val="21"/>
              </w:rPr>
            </w:pPr>
            <w:r>
              <w:rPr>
                <w:sz w:val="21"/>
                <w:shd w:fill="C0C0C0" w:color="auto" w:val="clear"/>
              </w:rPr>
              <w:t>如果投保人、被保险人或受益人故意或者因重大过失未及时通知，致使保险事</w:t>
            </w:r>
          </w:p>
          <w:p>
            <w:pPr>
              <w:pStyle w:val="TableParagraph"/>
              <w:spacing w:line="273" w:lineRule="auto" w:before="37"/>
              <w:ind w:left="124" w:right="199"/>
              <w:jc w:val="both"/>
              <w:rPr>
                <w:sz w:val="21"/>
              </w:rPr>
            </w:pPr>
            <w:r>
              <w:rPr>
                <w:spacing w:val="-3"/>
                <w:sz w:val="21"/>
                <w:shd w:fill="C0C0C0" w:color="auto" w:val="clear"/>
              </w:rPr>
              <w:t>故的性质、原因、损失程度等难以确定的，我们对无法确定的部分，不承担给</w:t>
            </w:r>
            <w:r>
              <w:rPr>
                <w:spacing w:val="-208"/>
                <w:sz w:val="21"/>
                <w:shd w:fill="C0C0C0" w:color="auto" w:val="clear"/>
              </w:rPr>
              <w:t>付</w:t>
            </w:r>
            <w:r>
              <w:rPr>
                <w:spacing w:val="-3"/>
                <w:sz w:val="21"/>
                <w:shd w:fill="C0C0C0" w:color="auto" w:val="clear"/>
              </w:rPr>
              <w:t>保险金的责任，</w:t>
            </w:r>
            <w:r>
              <w:rPr>
                <w:spacing w:val="-3"/>
                <w:sz w:val="21"/>
              </w:rPr>
              <w:t>但我们通过其他途径已经及时知道或者应当及时知道保险事故发生或者虽未及时通知但不影响我们确定保险事故的性质、原因、损失程度的</w:t>
            </w:r>
            <w:r>
              <w:rPr>
                <w:spacing w:val="-2"/>
                <w:sz w:val="21"/>
              </w:rPr>
              <w:t>除外。</w:t>
            </w:r>
          </w:p>
        </w:tc>
      </w:tr>
      <w:tr>
        <w:trPr>
          <w:trHeight w:val="6315"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3.3</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保险金申请</w:t>
            </w:r>
          </w:p>
        </w:tc>
        <w:tc>
          <w:tcPr>
            <w:tcW w:w="7472" w:type="dxa"/>
          </w:tcPr>
          <w:p>
            <w:pPr>
              <w:pStyle w:val="TableParagraph"/>
              <w:spacing w:line="273" w:lineRule="auto" w:before="153"/>
              <w:ind w:left="124" w:right="199"/>
              <w:rPr>
                <w:sz w:val="21"/>
              </w:rPr>
            </w:pPr>
            <w:r>
              <w:rPr>
                <w:sz w:val="21"/>
              </w:rPr>
              <w:t>在申请早期危重疾病保险金或重大疾病保险金时，受益人须填写保险金给付申请书，并须提供下列证明和资料：</w:t>
            </w:r>
          </w:p>
          <w:p>
            <w:pPr>
              <w:pStyle w:val="TableParagraph"/>
              <w:spacing w:line="270" w:lineRule="exact" w:before="7"/>
              <w:ind w:left="124"/>
              <w:rPr>
                <w:sz w:val="21"/>
              </w:rPr>
            </w:pPr>
            <w:r>
              <w:rPr>
                <w:rFonts w:ascii="Times New Roman" w:eastAsia="Times New Roman"/>
                <w:sz w:val="21"/>
              </w:rPr>
              <w:t>1.</w:t>
            </w:r>
            <w:r>
              <w:rPr>
                <w:sz w:val="21"/>
              </w:rPr>
              <w:t>保险合同或其他有效的保险凭证；</w:t>
            </w:r>
          </w:p>
          <w:p>
            <w:pPr>
              <w:pStyle w:val="TableParagraph"/>
              <w:spacing w:line="342" w:lineRule="exact"/>
              <w:ind w:left="124"/>
              <w:rPr>
                <w:sz w:val="21"/>
              </w:rPr>
            </w:pPr>
            <w:r>
              <w:rPr>
                <w:rFonts w:ascii="Times New Roman" w:eastAsia="Times New Roman"/>
                <w:w w:val="100"/>
                <w:sz w:val="21"/>
              </w:rPr>
              <w:t>2.</w:t>
            </w:r>
            <w:r>
              <w:rPr>
                <w:spacing w:val="-2"/>
                <w:w w:val="100"/>
                <w:sz w:val="21"/>
              </w:rPr>
              <w:t>受益人的</w:t>
            </w:r>
            <w:r>
              <w:rPr>
                <w:rFonts w:ascii="微软雅黑" w:eastAsia="微软雅黑" w:hint="eastAsia"/>
                <w:b/>
                <w:spacing w:val="-1"/>
                <w:w w:val="100"/>
                <w:sz w:val="21"/>
              </w:rPr>
              <w:t>有效身份证件</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1.1</w:t>
            </w:r>
            <w:r>
              <w:rPr>
                <w:rFonts w:ascii="Times New Roman" w:eastAsia="Times New Roman"/>
                <w:spacing w:val="-3"/>
                <w:w w:val="100"/>
                <w:sz w:val="21"/>
              </w:rPr>
              <w:t>3</w:t>
            </w:r>
            <w:r>
              <w:rPr>
                <w:spacing w:val="-106"/>
                <w:w w:val="100"/>
                <w:sz w:val="21"/>
              </w:rPr>
              <w:t>）</w:t>
            </w:r>
            <w:r>
              <w:rPr>
                <w:w w:val="100"/>
                <w:sz w:val="21"/>
              </w:rPr>
              <w:t>；</w:t>
            </w:r>
          </w:p>
          <w:p>
            <w:pPr>
              <w:pStyle w:val="TableParagraph"/>
              <w:spacing w:line="259" w:lineRule="auto" w:before="12"/>
              <w:ind w:left="124" w:right="252"/>
              <w:rPr>
                <w:sz w:val="21"/>
              </w:rPr>
            </w:pPr>
            <w:r>
              <w:rPr>
                <w:rFonts w:ascii="Times New Roman" w:eastAsia="Times New Roman"/>
                <w:sz w:val="21"/>
              </w:rPr>
              <w:t>3.</w:t>
            </w:r>
            <w:r>
              <w:rPr>
                <w:sz w:val="21"/>
              </w:rPr>
              <w:t>就诊医院出具的诊断证明、完整的门诊及住院病历、出院小结、检查检验报告等完整的就诊资料；</w:t>
            </w:r>
          </w:p>
          <w:p>
            <w:pPr>
              <w:pStyle w:val="TableParagraph"/>
              <w:spacing w:before="20"/>
              <w:ind w:left="124"/>
              <w:rPr>
                <w:sz w:val="21"/>
              </w:rPr>
            </w:pPr>
            <w:r>
              <w:rPr>
                <w:rFonts w:ascii="Times New Roman" w:eastAsia="Times New Roman"/>
                <w:sz w:val="21"/>
              </w:rPr>
              <w:t>4.</w:t>
            </w:r>
            <w:r>
              <w:rPr>
                <w:sz w:val="21"/>
              </w:rPr>
              <w:t>与确认保险事故的性质、原因等有关的其他证明和资料。</w:t>
            </w:r>
          </w:p>
          <w:p>
            <w:pPr>
              <w:pStyle w:val="TableParagraph"/>
              <w:spacing w:line="273" w:lineRule="auto" w:before="115"/>
              <w:ind w:left="124" w:right="199"/>
              <w:rPr>
                <w:sz w:val="21"/>
              </w:rPr>
            </w:pPr>
            <w:r>
              <w:rPr>
                <w:sz w:val="21"/>
              </w:rPr>
              <w:t>在申请身故保险金时，受益人须填写保险金给付申请书，并须提供下列证明和资料：</w:t>
            </w:r>
          </w:p>
          <w:p>
            <w:pPr>
              <w:pStyle w:val="TableParagraph"/>
              <w:spacing w:before="8"/>
              <w:ind w:left="124"/>
              <w:rPr>
                <w:sz w:val="21"/>
              </w:rPr>
            </w:pPr>
            <w:r>
              <w:rPr>
                <w:rFonts w:ascii="Times New Roman" w:eastAsia="Times New Roman"/>
                <w:sz w:val="21"/>
              </w:rPr>
              <w:t>1.</w:t>
            </w:r>
            <w:r>
              <w:rPr>
                <w:sz w:val="21"/>
              </w:rPr>
              <w:t>保险合同或其他有效的保险凭证；</w:t>
            </w:r>
          </w:p>
          <w:p>
            <w:pPr>
              <w:pStyle w:val="TableParagraph"/>
              <w:spacing w:before="21"/>
              <w:ind w:left="124"/>
              <w:rPr>
                <w:sz w:val="21"/>
              </w:rPr>
            </w:pPr>
            <w:r>
              <w:rPr>
                <w:rFonts w:ascii="Times New Roman" w:eastAsia="Times New Roman"/>
                <w:sz w:val="21"/>
              </w:rPr>
              <w:t>2.</w:t>
            </w:r>
            <w:r>
              <w:rPr>
                <w:sz w:val="21"/>
              </w:rPr>
              <w:t>受益人的有效身份证件；</w:t>
            </w:r>
          </w:p>
          <w:p>
            <w:pPr>
              <w:pStyle w:val="TableParagraph"/>
              <w:spacing w:line="256" w:lineRule="auto" w:before="21"/>
              <w:ind w:left="124" w:right="251"/>
              <w:rPr>
                <w:sz w:val="21"/>
              </w:rPr>
            </w:pPr>
            <w:r>
              <w:rPr>
                <w:rFonts w:ascii="Times New Roman" w:eastAsia="Times New Roman"/>
                <w:sz w:val="21"/>
              </w:rPr>
              <w:t>3.</w:t>
            </w:r>
            <w:r>
              <w:rPr>
                <w:sz w:val="21"/>
              </w:rPr>
              <w:t>国家卫生行政部门认定的医疗机构、公安部门或其他相关机构出具的被保险人的死亡证明或人民法院出具的宣告死亡证明文件；</w:t>
            </w:r>
          </w:p>
          <w:p>
            <w:pPr>
              <w:pStyle w:val="TableParagraph"/>
              <w:spacing w:before="22"/>
              <w:ind w:left="124"/>
              <w:rPr>
                <w:sz w:val="21"/>
              </w:rPr>
            </w:pPr>
            <w:r>
              <w:rPr>
                <w:rFonts w:ascii="Times New Roman" w:eastAsia="Times New Roman"/>
                <w:sz w:val="21"/>
              </w:rPr>
              <w:t>4.</w:t>
            </w:r>
            <w:r>
              <w:rPr>
                <w:sz w:val="21"/>
              </w:rPr>
              <w:t>与确认保险事故的性质、原因等有关的其他证明和资料。</w:t>
            </w:r>
          </w:p>
          <w:p>
            <w:pPr>
              <w:pStyle w:val="TableParagraph"/>
              <w:spacing w:line="355" w:lineRule="auto" w:before="114"/>
              <w:ind w:left="124" w:right="199"/>
              <w:rPr>
                <w:sz w:val="21"/>
              </w:rPr>
            </w:pPr>
            <w:r>
              <w:rPr>
                <w:spacing w:val="-3"/>
                <w:sz w:val="21"/>
              </w:rPr>
              <w:t>保险金作为被保险人遗产时，必须提供可证明合法继承权的相关权利文件。 若委托他人办理申请保险金，还须提供授权委托书及受托人身份证件等材料。</w:t>
            </w:r>
          </w:p>
          <w:p>
            <w:pPr>
              <w:pStyle w:val="TableParagraph"/>
              <w:spacing w:line="273" w:lineRule="auto" w:before="27"/>
              <w:ind w:left="124" w:right="199"/>
              <w:rPr>
                <w:sz w:val="21"/>
              </w:rPr>
            </w:pPr>
            <w:r>
              <w:rPr>
                <w:sz w:val="21"/>
              </w:rPr>
              <w:t>以上证明和资料不完整的，我们将及时一次性通知受益人补充提供有关证明和资料。</w:t>
            </w:r>
          </w:p>
        </w:tc>
      </w:tr>
      <w:tr>
        <w:trPr>
          <w:trHeight w:val="4349"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3.4</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保险金给付</w:t>
            </w:r>
          </w:p>
        </w:tc>
        <w:tc>
          <w:tcPr>
            <w:tcW w:w="7472" w:type="dxa"/>
          </w:tcPr>
          <w:p>
            <w:pPr>
              <w:pStyle w:val="TableParagraph"/>
              <w:spacing w:before="153"/>
              <w:ind w:left="124"/>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24"/>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124"/>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4"/>
              <w:ind w:left="124" w:right="199"/>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0"/>
              <w:ind w:left="124" w:right="199"/>
              <w:jc w:val="both"/>
              <w:rPr>
                <w:sz w:val="21"/>
              </w:rPr>
            </w:pPr>
            <w:r>
              <w:rPr>
                <w:spacing w:val="-5"/>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64" w:lineRule="auto" w:before="113"/>
              <w:ind w:left="124" w:right="196"/>
              <w:jc w:val="both"/>
              <w:rPr>
                <w:sz w:val="21"/>
              </w:rPr>
            </w:pPr>
            <w:r>
              <w:rPr>
                <w:spacing w:val="-5"/>
                <w:sz w:val="21"/>
              </w:rPr>
              <w:t>我们在收到保险金给付申请书及有关证明和资料之日起 </w:t>
            </w:r>
            <w:r>
              <w:rPr>
                <w:rFonts w:ascii="Times New Roman" w:eastAsia="Times New Roman"/>
                <w:sz w:val="21"/>
              </w:rPr>
              <w:t>60 </w:t>
            </w:r>
            <w:r>
              <w:rPr>
                <w:spacing w:val="-16"/>
                <w:sz w:val="21"/>
              </w:rPr>
              <w:t>日内，对给付保险金</w:t>
            </w:r>
            <w:r>
              <w:rPr>
                <w:spacing w:val="-7"/>
                <w:sz w:val="21"/>
              </w:rPr>
              <w:t>的数额不能确定的，根据已有证明和资料可以确定的数额先予支付；我们最终</w:t>
            </w:r>
            <w:r>
              <w:rPr>
                <w:spacing w:val="-5"/>
                <w:sz w:val="21"/>
              </w:rPr>
              <w:t>确定给付保险金的数额后，将支付相应的差额。</w:t>
            </w:r>
          </w:p>
        </w:tc>
      </w:tr>
      <w:tr>
        <w:trPr>
          <w:trHeight w:val="1786"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3.5</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宣告死亡处理</w:t>
            </w:r>
          </w:p>
        </w:tc>
        <w:tc>
          <w:tcPr>
            <w:tcW w:w="7472" w:type="dxa"/>
          </w:tcPr>
          <w:p>
            <w:pPr>
              <w:pStyle w:val="TableParagraph"/>
              <w:spacing w:line="273" w:lineRule="auto" w:before="153"/>
              <w:ind w:left="124" w:right="198"/>
              <w:jc w:val="both"/>
              <w:rPr>
                <w:sz w:val="21"/>
              </w:rPr>
            </w:pPr>
            <w:r>
              <w:rPr>
                <w:sz w:val="21"/>
              </w:rPr>
              <w:t>在本合同有效期间内，被保险人被法院宣告死亡的，我们以法院判决宣告死亡之日作为被保险人的死亡时间，依本合同约定给付身故保险金，我们对该被保险人的保险责任终止。</w:t>
            </w:r>
          </w:p>
          <w:p>
            <w:pPr>
              <w:pStyle w:val="TableParagraph"/>
              <w:spacing w:line="320" w:lineRule="atLeast" w:before="56"/>
              <w:ind w:left="124" w:right="304"/>
              <w:rPr>
                <w:sz w:val="21"/>
              </w:rPr>
            </w:pPr>
            <w:r>
              <w:rPr>
                <w:spacing w:val="-3"/>
                <w:sz w:val="21"/>
              </w:rPr>
              <w:t>若被保险人在宣告死亡之后重新出现或者身故保险金受益人确知其没有死亡</w:t>
            </w:r>
            <w:r>
              <w:rPr>
                <w:spacing w:val="-5"/>
                <w:sz w:val="21"/>
              </w:rPr>
              <w:t>的，身故保险金受益人应于知道此情况之后 </w:t>
            </w:r>
            <w:r>
              <w:rPr>
                <w:rFonts w:ascii="Times New Roman" w:eastAsia="Times New Roman"/>
                <w:sz w:val="21"/>
              </w:rPr>
              <w:t>30 </w:t>
            </w:r>
            <w:r>
              <w:rPr>
                <w:spacing w:val="-3"/>
                <w:sz w:val="21"/>
              </w:rPr>
              <w:t>日内向我们退还已领取的保险</w:t>
            </w:r>
          </w:p>
        </w:tc>
      </w:tr>
    </w:tbl>
    <w:p>
      <w:pPr>
        <w:spacing w:after="0" w:line="320" w:lineRule="atLeast"/>
        <w:rPr>
          <w:sz w:val="21"/>
        </w:rPr>
        <w:sectPr>
          <w:pgSz w:w="11910" w:h="16840"/>
          <w:pgMar w:header="0" w:footer="915" w:top="1160" w:bottom="1100" w:left="8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733" w:hRule="atLeast"/>
        </w:trPr>
        <w:tc>
          <w:tcPr>
            <w:tcW w:w="635"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77" w:type="dxa"/>
          </w:tcPr>
          <w:p>
            <w:pPr>
              <w:pStyle w:val="TableParagraph"/>
              <w:spacing w:line="211" w:lineRule="exact"/>
              <w:ind w:left="124"/>
              <w:rPr>
                <w:sz w:val="21"/>
              </w:rPr>
            </w:pPr>
            <w:r>
              <w:rPr>
                <w:sz w:val="21"/>
              </w:rPr>
              <w:t>金。我们收到身故保险金受益人退还的保险金后，依法确定我们是否继续对该</w:t>
            </w:r>
          </w:p>
          <w:p>
            <w:pPr>
              <w:pStyle w:val="TableParagraph"/>
              <w:spacing w:before="37"/>
              <w:ind w:left="124"/>
              <w:rPr>
                <w:sz w:val="21"/>
              </w:rPr>
            </w:pPr>
            <w:r>
              <w:rPr>
                <w:sz w:val="21"/>
              </w:rPr>
              <w:t>被保险人承担保险责任。</w:t>
            </w:r>
          </w:p>
        </w:tc>
      </w:tr>
      <w:tr>
        <w:trPr>
          <w:trHeight w:val="1686"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3.6</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诉讼时效</w:t>
            </w:r>
          </w:p>
        </w:tc>
        <w:tc>
          <w:tcPr>
            <w:tcW w:w="7377" w:type="dxa"/>
          </w:tcPr>
          <w:p>
            <w:pPr>
              <w:pStyle w:val="TableParagraph"/>
              <w:spacing w:line="273" w:lineRule="auto" w:before="153"/>
              <w:ind w:left="124" w:right="104"/>
              <w:rPr>
                <w:sz w:val="21"/>
              </w:rPr>
            </w:pPr>
            <w:r>
              <w:rPr>
                <w:sz w:val="21"/>
              </w:rPr>
              <w:t>受益人向我们申请给付早期危重疾病保险金和重大疾病保险金的诉讼时效期间为 </w:t>
            </w:r>
            <w:r>
              <w:rPr>
                <w:rFonts w:ascii="Times New Roman" w:eastAsia="Times New Roman"/>
                <w:sz w:val="21"/>
              </w:rPr>
              <w:t>2 </w:t>
            </w:r>
            <w:r>
              <w:rPr>
                <w:sz w:val="21"/>
              </w:rPr>
              <w:t>年，自其知道或者应当知道保险事故发生之日起计算。</w:t>
            </w:r>
          </w:p>
          <w:p>
            <w:pPr>
              <w:pStyle w:val="TableParagraph"/>
              <w:spacing w:line="256" w:lineRule="auto" w:before="82"/>
              <w:ind w:left="124" w:right="41"/>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4.</w:t>
            </w:r>
          </w:p>
        </w:tc>
        <w:tc>
          <w:tcPr>
            <w:tcW w:w="9030" w:type="dxa"/>
            <w:gridSpan w:val="2"/>
            <w:tcBorders>
              <w:bottom w:val="single" w:sz="8" w:space="0" w:color="000000"/>
            </w:tcBorders>
          </w:tcPr>
          <w:p>
            <w:pPr>
              <w:pStyle w:val="TableParagraph"/>
              <w:spacing w:before="86"/>
              <w:ind w:left="263"/>
              <w:rPr>
                <w:rFonts w:ascii="微软雅黑" w:eastAsia="微软雅黑" w:hint="eastAsia"/>
                <w:b/>
                <w:sz w:val="24"/>
              </w:rPr>
            </w:pPr>
            <w:r>
              <w:rPr>
                <w:rFonts w:ascii="微软雅黑" w:eastAsia="微软雅黑" w:hint="eastAsia"/>
                <w:b/>
                <w:sz w:val="24"/>
              </w:rPr>
              <w:t>保险费的交纳</w:t>
            </w:r>
          </w:p>
        </w:tc>
      </w:tr>
      <w:tr>
        <w:trPr>
          <w:trHeight w:val="2680"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4.1</w:t>
            </w:r>
          </w:p>
        </w:tc>
        <w:tc>
          <w:tcPr>
            <w:tcW w:w="1653" w:type="dxa"/>
            <w:tcBorders>
              <w:top w:val="single" w:sz="8" w:space="0" w:color="000000"/>
            </w:tcBorders>
          </w:tcPr>
          <w:p>
            <w:pPr>
              <w:pStyle w:val="TableParagraph"/>
              <w:spacing w:before="76"/>
              <w:ind w:left="263"/>
              <w:rPr>
                <w:rFonts w:ascii="微软雅黑" w:eastAsia="微软雅黑" w:hint="eastAsia"/>
                <w:b/>
                <w:sz w:val="21"/>
              </w:rPr>
            </w:pPr>
            <w:r>
              <w:rPr>
                <w:rFonts w:ascii="微软雅黑" w:eastAsia="微软雅黑" w:hint="eastAsia"/>
                <w:b/>
                <w:sz w:val="21"/>
              </w:rPr>
              <w:t>保险费的交纳</w:t>
            </w:r>
          </w:p>
        </w:tc>
        <w:tc>
          <w:tcPr>
            <w:tcW w:w="7377" w:type="dxa"/>
            <w:tcBorders>
              <w:top w:val="single" w:sz="8" w:space="0" w:color="000000"/>
            </w:tcBorders>
          </w:tcPr>
          <w:p>
            <w:pPr>
              <w:pStyle w:val="TableParagraph"/>
              <w:spacing w:line="273" w:lineRule="auto" w:before="138"/>
              <w:ind w:left="124" w:right="104"/>
              <w:jc w:val="both"/>
              <w:rPr>
                <w:sz w:val="21"/>
              </w:rPr>
            </w:pPr>
            <w:r>
              <w:rPr>
                <w:color w:val="0D0D0D"/>
                <w:sz w:val="21"/>
              </w:rPr>
              <w:t>本合同有效期内，投保人或被保险人均可交纳保险费。被保险人可以选择由投保人代扣代交保险费，或者以其他约定的方式向本公司交纳保险费。</w:t>
            </w:r>
          </w:p>
          <w:p>
            <w:pPr>
              <w:pStyle w:val="TableParagraph"/>
              <w:spacing w:line="273" w:lineRule="auto" w:before="101"/>
              <w:ind w:left="124" w:right="104"/>
              <w:jc w:val="both"/>
              <w:rPr>
                <w:sz w:val="21"/>
              </w:rPr>
            </w:pPr>
            <w:r>
              <w:rPr>
                <w:sz w:val="21"/>
              </w:rPr>
              <w:t>本合同的交费方式和交费期间由投保人和我们约定并在保险合同上载明。被保险人的保险费金额根据投保时被保险人年龄、性别、保险金额、健康状况、保险费交费方式和交费期间等因素确定。</w:t>
            </w:r>
          </w:p>
          <w:p>
            <w:pPr>
              <w:pStyle w:val="TableParagraph"/>
              <w:spacing w:line="273" w:lineRule="auto" w:before="99"/>
              <w:ind w:left="124" w:right="103"/>
              <w:jc w:val="both"/>
              <w:rPr>
                <w:sz w:val="21"/>
              </w:rPr>
            </w:pPr>
            <w:r>
              <w:rPr>
                <w:sz w:val="21"/>
              </w:rPr>
              <w:t>分期支付保险费的，投保人或被保险人在交纳首期保险费后，应按照保险费约定交纳日交纳其余各期的保险费。</w:t>
            </w:r>
          </w:p>
        </w:tc>
      </w:tr>
      <w:tr>
        <w:trPr>
          <w:trHeight w:val="2529"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4.2</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宽限期</w:t>
            </w:r>
          </w:p>
        </w:tc>
        <w:tc>
          <w:tcPr>
            <w:tcW w:w="7377" w:type="dxa"/>
          </w:tcPr>
          <w:p>
            <w:pPr>
              <w:pStyle w:val="TableParagraph"/>
              <w:spacing w:line="273" w:lineRule="auto" w:before="153"/>
              <w:ind w:left="124" w:right="101"/>
              <w:jc w:val="both"/>
              <w:rPr>
                <w:sz w:val="21"/>
              </w:rPr>
            </w:pPr>
            <w:r>
              <w:rPr>
                <w:spacing w:val="-3"/>
                <w:sz w:val="21"/>
              </w:rPr>
              <w:t>分期支付保险费的，投保人或被保险人在交纳首期保险费后，除本合同另有约定外，如果投保人或被保险人到期未支付保险费，自保险费约定交纳日的次日</w:t>
            </w:r>
            <w:r>
              <w:rPr>
                <w:spacing w:val="-10"/>
                <w:sz w:val="21"/>
              </w:rPr>
              <w:t>零时起 </w:t>
            </w:r>
            <w:r>
              <w:rPr>
                <w:rFonts w:ascii="Times New Roman" w:eastAsia="Times New Roman"/>
                <w:sz w:val="21"/>
              </w:rPr>
              <w:t>60 </w:t>
            </w:r>
            <w:r>
              <w:rPr>
                <w:spacing w:val="-11"/>
                <w:sz w:val="21"/>
              </w:rPr>
              <w:t>日为宽限期。宽限期内发生的保险事故，我们仍会承担保险责任，但</w:t>
            </w:r>
          </w:p>
          <w:p>
            <w:pPr>
              <w:pStyle w:val="TableParagraph"/>
              <w:spacing w:line="264" w:lineRule="exact"/>
              <w:ind w:left="124"/>
              <w:rPr>
                <w:rFonts w:ascii="微软雅黑" w:eastAsia="微软雅黑" w:hint="eastAsia"/>
                <w:b/>
                <w:sz w:val="21"/>
              </w:rPr>
            </w:pPr>
            <w:r>
              <w:rPr>
                <w:sz w:val="21"/>
              </w:rPr>
              <w:t>在给付保险金时会扣减投保人或被保险人欠交的保险费。</w:t>
            </w:r>
            <w:r>
              <w:rPr>
                <w:rFonts w:ascii="微软雅黑" w:eastAsia="微软雅黑" w:hint="eastAsia"/>
                <w:b/>
                <w:sz w:val="21"/>
              </w:rPr>
              <w:t>如果投保人宽限期结</w:t>
            </w:r>
          </w:p>
          <w:p>
            <w:pPr>
              <w:pStyle w:val="TableParagraph"/>
              <w:spacing w:line="206" w:lineRule="auto" w:before="25"/>
              <w:ind w:left="124"/>
              <w:jc w:val="both"/>
              <w:rPr>
                <w:sz w:val="21"/>
              </w:rPr>
            </w:pPr>
            <w:r>
              <w:rPr>
                <w:rFonts w:ascii="微软雅黑" w:eastAsia="微软雅黑" w:hint="eastAsia"/>
                <w:b/>
                <w:spacing w:val="-9"/>
                <w:w w:val="100"/>
                <w:sz w:val="21"/>
              </w:rPr>
              <w:t>束之后仍未支付保险费，则本合同自宽限期满的次日零时起效力中止</w:t>
            </w:r>
            <w:r>
              <w:rPr>
                <w:spacing w:val="-3"/>
                <w:w w:val="100"/>
                <w:sz w:val="21"/>
              </w:rPr>
              <w:t>（</w:t>
            </w:r>
            <w:r>
              <w:rPr>
                <w:w w:val="100"/>
                <w:sz w:val="21"/>
              </w:rPr>
              <w:t>见</w:t>
            </w:r>
            <w:r>
              <w:rPr>
                <w:spacing w:val="-55"/>
                <w:sz w:val="21"/>
              </w:rPr>
              <w:t> </w:t>
            </w:r>
            <w:r>
              <w:rPr>
                <w:rFonts w:ascii="Times New Roman" w:eastAsia="Times New Roman"/>
                <w:w w:val="100"/>
                <w:sz w:val="21"/>
              </w:rPr>
              <w:t>6.</w:t>
            </w:r>
            <w:r>
              <w:rPr>
                <w:rFonts w:ascii="Times New Roman" w:eastAsia="Times New Roman"/>
                <w:spacing w:val="-3"/>
                <w:w w:val="100"/>
                <w:sz w:val="21"/>
              </w:rPr>
              <w:t>1</w:t>
            </w:r>
            <w:r>
              <w:rPr>
                <w:spacing w:val="-106"/>
                <w:w w:val="100"/>
                <w:sz w:val="21"/>
              </w:rPr>
              <w:t>）</w:t>
            </w:r>
            <w:r>
              <w:rPr>
                <w:w w:val="100"/>
                <w:sz w:val="21"/>
              </w:rPr>
              <w:t>；</w:t>
            </w:r>
            <w:r>
              <w:rPr>
                <w:rFonts w:ascii="微软雅黑" w:eastAsia="微软雅黑" w:hint="eastAsia"/>
                <w:b/>
                <w:spacing w:val="-3"/>
                <w:sz w:val="21"/>
              </w:rPr>
              <w:t>如果被保险人宽限期结束之后仍未支付保险费，则自宽限期满的次日零时起， 我们对该被保险人的保险责任效力中止，</w:t>
            </w:r>
            <w:r>
              <w:rPr>
                <w:spacing w:val="-3"/>
                <w:sz w:val="21"/>
              </w:rPr>
              <w:t>但本合同另有约定的除外。</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5.</w:t>
            </w:r>
          </w:p>
        </w:tc>
        <w:tc>
          <w:tcPr>
            <w:tcW w:w="9030" w:type="dxa"/>
            <w:gridSpan w:val="2"/>
            <w:tcBorders>
              <w:bottom w:val="single" w:sz="8" w:space="0" w:color="000000"/>
            </w:tcBorders>
          </w:tcPr>
          <w:p>
            <w:pPr>
              <w:pStyle w:val="TableParagraph"/>
              <w:spacing w:before="86"/>
              <w:ind w:left="263"/>
              <w:rPr>
                <w:rFonts w:ascii="微软雅黑" w:eastAsia="微软雅黑" w:hint="eastAsia"/>
                <w:b/>
                <w:sz w:val="24"/>
              </w:rPr>
            </w:pPr>
            <w:r>
              <w:rPr>
                <w:rFonts w:ascii="微软雅黑" w:eastAsia="微软雅黑" w:hint="eastAsia"/>
                <w:b/>
                <w:sz w:val="24"/>
              </w:rPr>
              <w:t>现金价值权益</w:t>
            </w:r>
          </w:p>
        </w:tc>
      </w:tr>
      <w:tr>
        <w:trPr>
          <w:trHeight w:val="954"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5.1</w:t>
            </w:r>
          </w:p>
        </w:tc>
        <w:tc>
          <w:tcPr>
            <w:tcW w:w="1653" w:type="dxa"/>
            <w:tcBorders>
              <w:top w:val="single" w:sz="8" w:space="0" w:color="000000"/>
            </w:tcBorders>
          </w:tcPr>
          <w:p>
            <w:pPr>
              <w:pStyle w:val="TableParagraph"/>
              <w:spacing w:before="76"/>
              <w:ind w:left="263"/>
              <w:rPr>
                <w:rFonts w:ascii="微软雅黑" w:eastAsia="微软雅黑" w:hint="eastAsia"/>
                <w:b/>
                <w:sz w:val="21"/>
              </w:rPr>
            </w:pPr>
            <w:r>
              <w:rPr>
                <w:rFonts w:ascii="微软雅黑" w:eastAsia="微软雅黑" w:hint="eastAsia"/>
                <w:b/>
                <w:sz w:val="21"/>
              </w:rPr>
              <w:t>现金价值</w:t>
            </w:r>
          </w:p>
        </w:tc>
        <w:tc>
          <w:tcPr>
            <w:tcW w:w="7377" w:type="dxa"/>
            <w:tcBorders>
              <w:top w:val="single" w:sz="8" w:space="0" w:color="000000"/>
            </w:tcBorders>
          </w:tcPr>
          <w:p>
            <w:pPr>
              <w:pStyle w:val="TableParagraph"/>
              <w:spacing w:line="273" w:lineRule="auto" w:before="138"/>
              <w:ind w:left="124" w:right="-15"/>
              <w:rPr>
                <w:sz w:val="21"/>
              </w:rPr>
            </w:pPr>
            <w:r>
              <w:rPr>
                <w:spacing w:val="-9"/>
                <w:sz w:val="21"/>
              </w:rPr>
              <w:t>指保险合同所具有的价值，通常体现为解除合同时，由我们退还的那部分金额。</w:t>
            </w:r>
            <w:r>
              <w:rPr>
                <w:spacing w:val="-5"/>
                <w:sz w:val="21"/>
              </w:rPr>
              <w:t>本合同和各被保险人对应的现金价值，投保人和被保险人可以向本公司查询。</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6.</w:t>
            </w:r>
          </w:p>
        </w:tc>
        <w:tc>
          <w:tcPr>
            <w:tcW w:w="9030" w:type="dxa"/>
            <w:gridSpan w:val="2"/>
            <w:tcBorders>
              <w:bottom w:val="single" w:sz="8" w:space="0" w:color="000000"/>
            </w:tcBorders>
          </w:tcPr>
          <w:p>
            <w:pPr>
              <w:pStyle w:val="TableParagraph"/>
              <w:spacing w:before="86"/>
              <w:ind w:left="263"/>
              <w:rPr>
                <w:rFonts w:ascii="微软雅黑" w:eastAsia="微软雅黑" w:hint="eastAsia"/>
                <w:b/>
                <w:sz w:val="24"/>
              </w:rPr>
            </w:pPr>
            <w:r>
              <w:rPr>
                <w:rFonts w:ascii="微软雅黑" w:eastAsia="微软雅黑" w:hint="eastAsia"/>
                <w:b/>
                <w:sz w:val="24"/>
              </w:rPr>
              <w:t>合同效力的中止及恢复</w:t>
            </w:r>
          </w:p>
        </w:tc>
      </w:tr>
      <w:tr>
        <w:trPr>
          <w:trHeight w:val="935"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6.1</w:t>
            </w:r>
          </w:p>
        </w:tc>
        <w:tc>
          <w:tcPr>
            <w:tcW w:w="1653" w:type="dxa"/>
            <w:tcBorders>
              <w:top w:val="single" w:sz="8" w:space="0" w:color="000000"/>
            </w:tcBorders>
          </w:tcPr>
          <w:p>
            <w:pPr>
              <w:pStyle w:val="TableParagraph"/>
              <w:spacing w:before="76"/>
              <w:ind w:left="263"/>
              <w:rPr>
                <w:rFonts w:ascii="微软雅黑" w:eastAsia="微软雅黑" w:hint="eastAsia"/>
                <w:b/>
                <w:sz w:val="21"/>
              </w:rPr>
            </w:pPr>
            <w:r>
              <w:rPr>
                <w:rFonts w:ascii="微软雅黑" w:eastAsia="微软雅黑" w:hint="eastAsia"/>
                <w:b/>
                <w:sz w:val="21"/>
              </w:rPr>
              <w:t>效力中止</w:t>
            </w:r>
          </w:p>
        </w:tc>
        <w:tc>
          <w:tcPr>
            <w:tcW w:w="7377" w:type="dxa"/>
            <w:tcBorders>
              <w:top w:val="single" w:sz="8" w:space="0" w:color="000000"/>
            </w:tcBorders>
          </w:tcPr>
          <w:p>
            <w:pPr>
              <w:pStyle w:val="TableParagraph"/>
              <w:spacing w:line="273" w:lineRule="auto" w:before="138"/>
              <w:ind w:left="124" w:right="104"/>
              <w:rPr>
                <w:sz w:val="21"/>
              </w:rPr>
            </w:pPr>
            <w:r>
              <w:rPr>
                <w:spacing w:val="-3"/>
                <w:sz w:val="21"/>
                <w:shd w:fill="C0C0C0" w:color="auto" w:val="clear"/>
              </w:rPr>
              <w:t>在本合同效力中止期间，我们不承担保险责任。在被保险人的保险责任效力中</w:t>
            </w:r>
            <w:r>
              <w:rPr>
                <w:spacing w:val="-209"/>
                <w:sz w:val="21"/>
                <w:shd w:fill="C0C0C0" w:color="auto" w:val="clear"/>
              </w:rPr>
              <w:t>止</w:t>
            </w:r>
            <w:r>
              <w:rPr>
                <w:spacing w:val="-3"/>
                <w:sz w:val="21"/>
                <w:shd w:fill="C0C0C0" w:color="auto" w:val="clear"/>
              </w:rPr>
              <w:t>期间，我们对该被保险人不承担保险责任。</w:t>
            </w:r>
          </w:p>
        </w:tc>
      </w:tr>
      <w:tr>
        <w:trPr>
          <w:trHeight w:val="2485"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6.2</w:t>
            </w:r>
          </w:p>
        </w:tc>
        <w:tc>
          <w:tcPr>
            <w:tcW w:w="1653" w:type="dxa"/>
          </w:tcPr>
          <w:p>
            <w:pPr>
              <w:pStyle w:val="TableParagraph"/>
              <w:spacing w:before="90"/>
              <w:ind w:left="263"/>
              <w:rPr>
                <w:rFonts w:ascii="微软雅黑" w:eastAsia="微软雅黑" w:hint="eastAsia"/>
                <w:b/>
                <w:sz w:val="21"/>
              </w:rPr>
            </w:pPr>
            <w:r>
              <w:rPr>
                <w:rFonts w:ascii="微软雅黑" w:eastAsia="微软雅黑" w:hint="eastAsia"/>
                <w:b/>
                <w:sz w:val="21"/>
              </w:rPr>
              <w:t>效力恢复</w:t>
            </w:r>
          </w:p>
        </w:tc>
        <w:tc>
          <w:tcPr>
            <w:tcW w:w="7377" w:type="dxa"/>
          </w:tcPr>
          <w:p>
            <w:pPr>
              <w:pStyle w:val="TableParagraph"/>
              <w:spacing w:line="264" w:lineRule="auto" w:before="153"/>
              <w:ind w:left="124" w:right="103"/>
              <w:jc w:val="both"/>
              <w:rPr>
                <w:sz w:val="21"/>
              </w:rPr>
            </w:pPr>
            <w:r>
              <w:rPr>
                <w:spacing w:val="-6"/>
                <w:sz w:val="21"/>
              </w:rPr>
              <w:t>本合同效力中止后 </w:t>
            </w:r>
            <w:r>
              <w:rPr>
                <w:rFonts w:ascii="Times New Roman" w:eastAsia="Times New Roman"/>
                <w:sz w:val="21"/>
              </w:rPr>
              <w:t>2 </w:t>
            </w:r>
            <w:r>
              <w:rPr>
                <w:spacing w:val="-3"/>
                <w:sz w:val="21"/>
              </w:rPr>
              <w:t>年内，投保人可以申请恢复合同效力。除被保险人的危险程度在中止期间显著增加外，自投保人补交保险费及利息之日起，合同效力恢复。</w:t>
            </w:r>
          </w:p>
          <w:p>
            <w:pPr>
              <w:pStyle w:val="TableParagraph"/>
              <w:spacing w:line="256" w:lineRule="auto" w:before="109"/>
              <w:ind w:left="124" w:right="104"/>
              <w:jc w:val="both"/>
              <w:rPr>
                <w:sz w:val="21"/>
              </w:rPr>
            </w:pPr>
            <w:r>
              <w:rPr>
                <w:spacing w:val="-6"/>
                <w:sz w:val="21"/>
              </w:rPr>
              <w:t>自本合同效力中止之日起满 </w:t>
            </w:r>
            <w:r>
              <w:rPr>
                <w:rFonts w:ascii="Times New Roman" w:eastAsia="Times New Roman"/>
                <w:sz w:val="21"/>
              </w:rPr>
              <w:t>2 </w:t>
            </w:r>
            <w:r>
              <w:rPr>
                <w:spacing w:val="-3"/>
                <w:sz w:val="21"/>
              </w:rPr>
              <w:t>年合同效力未恢复的，我们有权解除合同。我们解除合同的，向投保人退还合同效力中止时保险单的现金价值。</w:t>
            </w:r>
          </w:p>
          <w:p>
            <w:pPr>
              <w:pStyle w:val="TableParagraph"/>
              <w:spacing w:line="312" w:lineRule="exact" w:before="108"/>
              <w:ind w:left="124" w:right="106"/>
              <w:jc w:val="both"/>
              <w:rPr>
                <w:rFonts w:ascii="微软雅黑" w:eastAsia="微软雅黑" w:hint="eastAsia"/>
                <w:b/>
                <w:sz w:val="21"/>
              </w:rPr>
            </w:pPr>
            <w:r>
              <w:rPr>
                <w:rFonts w:ascii="微软雅黑" w:eastAsia="微软雅黑" w:hint="eastAsia"/>
                <w:b/>
                <w:spacing w:val="-2"/>
                <w:sz w:val="21"/>
              </w:rPr>
              <w:t>被保险人的保险责任效力中止后 </w:t>
            </w:r>
            <w:r>
              <w:rPr>
                <w:rFonts w:ascii="微软雅黑" w:eastAsia="微软雅黑" w:hint="eastAsia"/>
                <w:b/>
                <w:sz w:val="21"/>
              </w:rPr>
              <w:t>2</w:t>
            </w:r>
            <w:r>
              <w:rPr>
                <w:rFonts w:ascii="微软雅黑" w:eastAsia="微软雅黑" w:hint="eastAsia"/>
                <w:b/>
                <w:spacing w:val="-6"/>
                <w:sz w:val="21"/>
              </w:rPr>
              <w:t> 年内，该被保险人可以就其保险责任申请效</w:t>
            </w:r>
            <w:r>
              <w:rPr>
                <w:rFonts w:ascii="微软雅黑" w:eastAsia="微软雅黑" w:hint="eastAsia"/>
                <w:b/>
                <w:spacing w:val="-7"/>
                <w:sz w:val="21"/>
              </w:rPr>
              <w:t>力恢复。除被保险人的危险程度在中止期间显著增加外，自投保人补交保险费</w:t>
            </w:r>
          </w:p>
        </w:tc>
      </w:tr>
    </w:tbl>
    <w:p>
      <w:pPr>
        <w:spacing w:after="0" w:line="312" w:lineRule="exact"/>
        <w:jc w:val="both"/>
        <w:rPr>
          <w:rFonts w:ascii="微软雅黑" w:eastAsia="微软雅黑" w:hint="eastAsia"/>
          <w:sz w:val="21"/>
        </w:rPr>
        <w:sectPr>
          <w:pgSz w:w="11910" w:h="16840"/>
          <w:pgMar w:header="0" w:footer="915" w:top="1160" w:bottom="1100" w:left="920" w:right="1100"/>
        </w:sectPr>
      </w:pPr>
    </w:p>
    <w:p>
      <w:pPr>
        <w:pStyle w:val="Heading4"/>
        <w:spacing w:line="206" w:lineRule="auto" w:before="10"/>
        <w:ind w:left="2517" w:right="223"/>
        <w:jc w:val="both"/>
      </w:pPr>
      <w:r>
        <w:rPr>
          <w:spacing w:val="-4"/>
        </w:rPr>
        <w:t>及利息之日起，其保险责任效力恢复。自该被保险人的保险责任效力中止之日起满 </w:t>
      </w:r>
      <w:r>
        <w:rPr/>
        <w:t>2</w:t>
      </w:r>
      <w:r>
        <w:rPr>
          <w:spacing w:val="-5"/>
        </w:rPr>
        <w:t> 年，该被保险人的保险责任未恢复的，我们对该被保险人的保险责任终止。我们向该被保险人退还保险责任效力中止时其名下的现金价值。</w:t>
      </w:r>
    </w:p>
    <w:p>
      <w:pPr>
        <w:pStyle w:val="BodyText"/>
        <w:spacing w:before="3"/>
        <w:rPr>
          <w:rFonts w:ascii="微软雅黑"/>
          <w:b/>
          <w:sz w:val="19"/>
        </w:rPr>
      </w:pPr>
    </w:p>
    <w:p>
      <w:pPr>
        <w:pStyle w:val="ListParagraph"/>
        <w:numPr>
          <w:ilvl w:val="2"/>
          <w:numId w:val="3"/>
        </w:numPr>
        <w:tabs>
          <w:tab w:pos="1002" w:val="left" w:leader="none"/>
          <w:tab w:pos="1003" w:val="left" w:leader="none"/>
        </w:tabs>
        <w:spacing w:line="377" w:lineRule="exact" w:before="0" w:after="0"/>
        <w:ind w:left="1002" w:right="0" w:hanging="790"/>
        <w:jc w:val="left"/>
        <w:rPr>
          <w:rFonts w:ascii="微软雅黑" w:eastAsia="微软雅黑" w:hint="eastAsia"/>
          <w:b/>
          <w:sz w:val="24"/>
        </w:rPr>
      </w:pPr>
      <w:r>
        <w:rPr>
          <w:rFonts w:ascii="微软雅黑" w:eastAsia="微软雅黑" w:hint="eastAsia"/>
          <w:b/>
          <w:sz w:val="24"/>
        </w:rPr>
        <w:t>合同解除</w:t>
      </w:r>
    </w:p>
    <w:p>
      <w:pPr>
        <w:pStyle w:val="BodyText"/>
        <w:spacing w:before="15"/>
        <w:rPr>
          <w:rFonts w:ascii="微软雅黑"/>
          <w:b/>
          <w:sz w:val="9"/>
        </w:rPr>
      </w:pPr>
      <w:r>
        <w:rPr/>
        <w:pict>
          <v:group style="position:absolute;margin-left:51.240002pt;margin-top:10.53937pt;width:483.35pt;height:1pt;mso-position-horizontal-relative:page;mso-position-vertical-relative:paragraph;z-index:1072;mso-wrap-distance-left:0;mso-wrap-distance-right:0" coordorigin="1025,211" coordsize="9667,20">
            <v:line style="position:absolute" from="1025,220" to="1812,220" stroked="true" strokeweight=".96001pt" strokecolor="#000000">
              <v:stroke dashstyle="solid"/>
            </v:line>
            <v:rect style="position:absolute;left:1812;top:210;width:20;height:20" filled="true" fillcolor="#000000" stroked="false">
              <v:fill type="solid"/>
            </v:rect>
            <v:line style="position:absolute" from="1832,220" to="3329,220" stroked="true" strokeweight=".96001pt" strokecolor="#000000">
              <v:stroke dashstyle="solid"/>
            </v:line>
            <v:rect style="position:absolute;left:3329;top:210;width:20;height:20" filled="true" fillcolor="#000000" stroked="false">
              <v:fill type="solid"/>
            </v:rect>
            <v:line style="position:absolute" from="3348,220" to="10691,220" stroked="true" strokeweight=".96001pt" strokecolor="#000000">
              <v:stroke dashstyle="solid"/>
            </v:line>
            <w10:wrap type="topAndBottom"/>
          </v:group>
        </w:pict>
      </w:r>
    </w:p>
    <w:p>
      <w:pPr>
        <w:pStyle w:val="BodyText"/>
        <w:rPr>
          <w:rFonts w:ascii="微软雅黑"/>
          <w:b/>
          <w:sz w:val="4"/>
        </w:rPr>
      </w:pPr>
    </w:p>
    <w:p>
      <w:pPr>
        <w:spacing w:after="0"/>
        <w:rPr>
          <w:rFonts w:ascii="微软雅黑"/>
          <w:sz w:val="4"/>
        </w:rPr>
        <w:sectPr>
          <w:pgSz w:w="11910" w:h="16840"/>
          <w:pgMar w:header="0" w:footer="915" w:top="1080" w:bottom="1100" w:left="920" w:right="1100"/>
        </w:sectPr>
      </w:pPr>
    </w:p>
    <w:p>
      <w:pPr>
        <w:pStyle w:val="ListParagraph"/>
        <w:numPr>
          <w:ilvl w:val="3"/>
          <w:numId w:val="3"/>
        </w:numPr>
        <w:tabs>
          <w:tab w:pos="1003" w:val="left" w:leader="none"/>
        </w:tabs>
        <w:spacing w:line="206" w:lineRule="auto" w:before="26" w:after="0"/>
        <w:ind w:left="1002" w:right="0" w:hanging="790"/>
        <w:jc w:val="both"/>
        <w:rPr>
          <w:rFonts w:ascii="微软雅黑" w:eastAsia="微软雅黑" w:hint="eastAsia"/>
          <w:b/>
          <w:sz w:val="21"/>
        </w:rPr>
      </w:pPr>
      <w:r>
        <w:rPr>
          <w:rFonts w:ascii="微软雅黑" w:eastAsia="微软雅黑" w:hint="eastAsia"/>
          <w:b/>
          <w:sz w:val="21"/>
        </w:rPr>
        <w:t>投保人解除合同的手续及风险</w:t>
      </w:r>
    </w:p>
    <w:p>
      <w:pPr>
        <w:pStyle w:val="BodyText"/>
        <w:spacing w:line="273" w:lineRule="auto" w:before="38"/>
        <w:ind w:left="207" w:right="220"/>
        <w:jc w:val="both"/>
      </w:pPr>
      <w:r>
        <w:rPr/>
        <w:br w:type="column"/>
      </w:r>
      <w:r>
        <w:rPr/>
        <w:t>在本合同保险期间内，除本合同另有约定外，投保人可以以书面或双方认可的其他方式通知要求解除保险合同。投保人要求解除本合同时，请填写解除合同申请并向我们提供下列资料：</w:t>
      </w:r>
    </w:p>
    <w:p>
      <w:pPr>
        <w:pStyle w:val="BodyText"/>
        <w:spacing w:before="8"/>
        <w:ind w:left="207"/>
      </w:pPr>
      <w:r>
        <w:rPr>
          <w:rFonts w:ascii="Times New Roman" w:eastAsia="Times New Roman"/>
        </w:rPr>
        <w:t>1.</w:t>
      </w:r>
      <w:r>
        <w:rPr/>
        <w:t>保险合同或其他有效的保险凭证；</w:t>
      </w:r>
    </w:p>
    <w:p>
      <w:pPr>
        <w:pStyle w:val="BodyText"/>
        <w:spacing w:before="21"/>
        <w:ind w:left="207"/>
      </w:pPr>
      <w:r>
        <w:rPr>
          <w:rFonts w:ascii="Times New Roman" w:eastAsia="Times New Roman"/>
        </w:rPr>
        <w:t>2.</w:t>
      </w:r>
      <w:r>
        <w:rPr>
          <w:color w:val="0D0D0D"/>
        </w:rPr>
        <w:t>投保人提供的表明被保险人知悉解除合同事宜的有效证明</w:t>
      </w:r>
      <w:r>
        <w:rPr/>
        <w:t>。</w:t>
      </w:r>
    </w:p>
    <w:p>
      <w:pPr>
        <w:spacing w:line="247" w:lineRule="auto" w:before="52"/>
        <w:ind w:left="207" w:right="220" w:firstLine="0"/>
        <w:jc w:val="left"/>
        <w:rPr>
          <w:sz w:val="21"/>
        </w:rPr>
      </w:pPr>
      <w:r>
        <w:rPr>
          <w:rFonts w:ascii="微软雅黑" w:eastAsia="微软雅黑" w:hint="eastAsia"/>
          <w:b/>
          <w:sz w:val="21"/>
        </w:rPr>
        <w:t>自我们收到解除合同申请时起，本合同终止</w:t>
      </w:r>
      <w:r>
        <w:rPr>
          <w:sz w:val="21"/>
        </w:rPr>
        <w:t>。我们自收到解除合同申请及完整的资料之日起 </w:t>
      </w:r>
      <w:r>
        <w:rPr>
          <w:rFonts w:ascii="Times New Roman" w:eastAsia="Times New Roman"/>
          <w:sz w:val="21"/>
        </w:rPr>
        <w:t>30 </w:t>
      </w:r>
      <w:r>
        <w:rPr>
          <w:sz w:val="21"/>
        </w:rPr>
        <w:t>日内退还本合同终止时的现金价值。</w:t>
      </w:r>
    </w:p>
    <w:p>
      <w:pPr>
        <w:pStyle w:val="Heading4"/>
        <w:spacing w:before="44"/>
        <w:ind w:left="207"/>
        <w:jc w:val="both"/>
      </w:pPr>
      <w:r>
        <w:rPr/>
        <w:t>若犹豫期后解除保险合同投保人或被保险人可能会遭受一定损失。</w:t>
      </w:r>
    </w:p>
    <w:p>
      <w:pPr>
        <w:spacing w:after="0"/>
        <w:jc w:val="both"/>
        <w:sectPr>
          <w:type w:val="continuous"/>
          <w:pgSz w:w="11910" w:h="16840"/>
          <w:pgMar w:top="1100" w:bottom="1100" w:left="920" w:right="1100"/>
          <w:cols w:num="2" w:equalWidth="0">
            <w:col w:w="2271" w:space="40"/>
            <w:col w:w="7579"/>
          </w:cols>
        </w:sectPr>
      </w:pPr>
    </w:p>
    <w:p>
      <w:pPr>
        <w:pStyle w:val="BodyText"/>
        <w:spacing w:before="10"/>
        <w:rPr>
          <w:rFonts w:ascii="微软雅黑"/>
          <w:b/>
          <w:sz w:val="18"/>
        </w:rPr>
      </w:pPr>
    </w:p>
    <w:p>
      <w:pPr>
        <w:pStyle w:val="ListParagraph"/>
        <w:numPr>
          <w:ilvl w:val="2"/>
          <w:numId w:val="3"/>
        </w:numPr>
        <w:tabs>
          <w:tab w:pos="1002" w:val="left" w:leader="none"/>
          <w:tab w:pos="1003" w:val="left" w:leader="none"/>
        </w:tabs>
        <w:spacing w:line="377" w:lineRule="exact" w:before="0" w:after="0"/>
        <w:ind w:left="1002" w:right="0" w:hanging="790"/>
        <w:jc w:val="left"/>
        <w:rPr>
          <w:rFonts w:ascii="微软雅黑" w:eastAsia="微软雅黑" w:hint="eastAsia"/>
          <w:b/>
          <w:sz w:val="24"/>
        </w:rPr>
      </w:pPr>
      <w:r>
        <w:rPr>
          <w:rFonts w:ascii="微软雅黑" w:eastAsia="微软雅黑" w:hint="eastAsia"/>
          <w:b/>
          <w:sz w:val="24"/>
        </w:rPr>
        <w:t>如实告知</w:t>
      </w:r>
    </w:p>
    <w:p>
      <w:pPr>
        <w:pStyle w:val="BodyText"/>
        <w:spacing w:before="6"/>
        <w:rPr>
          <w:rFonts w:ascii="微软雅黑"/>
          <w:b/>
          <w:sz w:val="9"/>
        </w:rPr>
      </w:pPr>
      <w:r>
        <w:rPr/>
        <w:pict>
          <v:group style="position:absolute;margin-left:51.240002pt;margin-top:10.059395pt;width:483.35pt;height:1pt;mso-position-horizontal-relative:page;mso-position-vertical-relative:paragraph;z-index:1096;mso-wrap-distance-left:0;mso-wrap-distance-right:0" coordorigin="1025,201" coordsize="9667,20">
            <v:line style="position:absolute" from="1025,211" to="1812,211" stroked="true" strokeweight=".95999pt" strokecolor="#000000">
              <v:stroke dashstyle="solid"/>
            </v:line>
            <v:rect style="position:absolute;left:1812;top:201;width:20;height:20" filled="true" fillcolor="#000000" stroked="false">
              <v:fill type="solid"/>
            </v:rect>
            <v:line style="position:absolute" from="1832,211" to="10691,211" stroked="true" strokeweight=".95999pt" strokecolor="#000000">
              <v:stroke dashstyle="solid"/>
            </v:line>
            <w10:wrap type="topAndBottom"/>
          </v:group>
        </w:pict>
      </w:r>
    </w:p>
    <w:p>
      <w:pPr>
        <w:pStyle w:val="BodyText"/>
        <w:rPr>
          <w:rFonts w:ascii="微软雅黑"/>
          <w:b/>
          <w:sz w:val="4"/>
        </w:rPr>
      </w:pPr>
    </w:p>
    <w:p>
      <w:pPr>
        <w:spacing w:after="0"/>
        <w:rPr>
          <w:rFonts w:ascii="微软雅黑"/>
          <w:sz w:val="4"/>
        </w:rPr>
        <w:sectPr>
          <w:type w:val="continuous"/>
          <w:pgSz w:w="11910" w:h="16840"/>
          <w:pgMar w:top="1100" w:bottom="1100" w:left="920" w:right="1100"/>
        </w:sectPr>
      </w:pPr>
    </w:p>
    <w:p>
      <w:pPr>
        <w:pStyle w:val="ListParagraph"/>
        <w:numPr>
          <w:ilvl w:val="3"/>
          <w:numId w:val="3"/>
        </w:numPr>
        <w:tabs>
          <w:tab w:pos="1002" w:val="left" w:leader="none"/>
          <w:tab w:pos="1003" w:val="left" w:leader="none"/>
        </w:tabs>
        <w:spacing w:line="206" w:lineRule="auto" w:before="28" w:after="0"/>
        <w:ind w:left="1002" w:right="0" w:hanging="790"/>
        <w:jc w:val="left"/>
        <w:rPr>
          <w:rFonts w:ascii="微软雅黑" w:eastAsia="微软雅黑" w:hint="eastAsia"/>
          <w:b/>
          <w:sz w:val="21"/>
        </w:rPr>
      </w:pPr>
      <w:r>
        <w:rPr>
          <w:rFonts w:ascii="微软雅黑" w:eastAsia="微软雅黑" w:hint="eastAsia"/>
          <w:b/>
          <w:sz w:val="21"/>
        </w:rPr>
        <w:t>明确说明与如实告知</w:t>
      </w:r>
    </w:p>
    <w:p>
      <w:pPr>
        <w:pStyle w:val="BodyText"/>
        <w:spacing w:before="40"/>
        <w:ind w:left="207"/>
      </w:pPr>
      <w:r>
        <w:rPr/>
        <w:br w:type="column"/>
      </w:r>
      <w:r>
        <w:rPr/>
        <w:t>订立本合同时，我们应向投保人说明本合同的内容。</w:t>
      </w:r>
    </w:p>
    <w:p>
      <w:pPr>
        <w:pStyle w:val="BodyText"/>
        <w:spacing w:line="273" w:lineRule="auto" w:before="130"/>
        <w:ind w:left="207" w:right="220"/>
        <w:jc w:val="both"/>
      </w:pPr>
      <w:r>
        <w:rPr/>
        <w:t>对保险条款中免除我们责任的条款，我们在订立合同时应当在投保单、保险单或者其他有效的保险凭证上作出足以引起投保人注意的提示，并对该条款的内容以书面或者口头形式向投保人作出明确说明，未作提示或者明确说明的，该条款不产生效力。</w:t>
      </w:r>
    </w:p>
    <w:p>
      <w:pPr>
        <w:pStyle w:val="BodyText"/>
        <w:spacing w:before="101"/>
        <w:ind w:left="207"/>
      </w:pPr>
      <w:r>
        <w:rPr/>
        <w:t>我们就投保人和被保险人的有关情况提出询问，投保人应当如实告知。</w:t>
      </w:r>
    </w:p>
    <w:p>
      <w:pPr>
        <w:pStyle w:val="Heading4"/>
        <w:spacing w:line="206" w:lineRule="auto" w:before="117"/>
        <w:ind w:left="207" w:right="223"/>
        <w:jc w:val="both"/>
      </w:pPr>
      <w:r>
        <w:rPr/>
        <w:t>如果投保人故意或者因重大过失未履行前款规定的如实告知义务，足以影响我们决定是否同意承保或者提高保险费率的，我们有权解除本合同。</w:t>
      </w:r>
    </w:p>
    <w:p>
      <w:pPr>
        <w:pStyle w:val="BodyText"/>
        <w:spacing w:line="273" w:lineRule="auto" w:before="105"/>
        <w:ind w:left="207" w:right="220"/>
        <w:jc w:val="both"/>
      </w:pPr>
      <w:r>
        <w:rPr>
          <w:spacing w:val="-3"/>
          <w:shd w:fill="C0C0C0" w:color="auto" w:val="clear"/>
        </w:rPr>
        <w:t>如果投保人故意不履行如实告知义务，对于本合同解除前发生的保险事故，我们对本合同解除或者部分解除所涉及的</w:t>
      </w:r>
      <w:r>
        <w:rPr>
          <w:spacing w:val="-17"/>
          <w:shd w:fill="C0C0C0" w:color="auto" w:val="clear"/>
        </w:rPr>
        <w:t>全部或者部分被保险人不承担给付保险金</w:t>
      </w:r>
      <w:r>
        <w:rPr>
          <w:spacing w:val="-5"/>
          <w:shd w:fill="C0C0C0" w:color="auto" w:val="clear"/>
        </w:rPr>
        <w:t>的责任，并不退还保险费。</w:t>
      </w:r>
    </w:p>
    <w:p>
      <w:pPr>
        <w:spacing w:after="0" w:line="273" w:lineRule="auto"/>
        <w:jc w:val="both"/>
        <w:sectPr>
          <w:type w:val="continuous"/>
          <w:pgSz w:w="11910" w:h="16840"/>
          <w:pgMar w:top="1100" w:bottom="1100" w:left="920" w:right="1100"/>
          <w:cols w:num="2" w:equalWidth="0">
            <w:col w:w="2271" w:space="40"/>
            <w:col w:w="7579"/>
          </w:cols>
        </w:sectPr>
      </w:pPr>
    </w:p>
    <w:p>
      <w:pPr>
        <w:pStyle w:val="BodyText"/>
        <w:spacing w:before="101"/>
        <w:ind w:left="9560"/>
      </w:pPr>
      <w:r>
        <w:rPr/>
        <w:pict>
          <v:shape style="position:absolute;margin-left:171.860001pt;margin-top:.153672pt;width:357.35pt;height:51.5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5"/>
                    <w:gridCol w:w="631"/>
                  </w:tblGrid>
                  <w:tr>
                    <w:trPr>
                      <w:trHeight w:val="288" w:hRule="atLeast"/>
                    </w:trPr>
                    <w:tc>
                      <w:tcPr>
                        <w:tcW w:w="7146" w:type="dxa"/>
                        <w:gridSpan w:val="2"/>
                        <w:tcBorders>
                          <w:top w:val="single" w:sz="48" w:space="0" w:color="FFFFFF"/>
                          <w:bottom w:val="single" w:sz="8" w:space="0" w:color="FFFFFF"/>
                        </w:tcBorders>
                        <w:shd w:val="clear" w:color="auto" w:fill="C0C0C0"/>
                      </w:tcPr>
                      <w:p>
                        <w:pPr>
                          <w:pStyle w:val="TableParagraph"/>
                          <w:spacing w:line="258" w:lineRule="exact"/>
                          <w:ind w:left="0"/>
                          <w:rPr>
                            <w:sz w:val="21"/>
                          </w:rPr>
                        </w:pPr>
                        <w:r>
                          <w:rPr>
                            <w:sz w:val="21"/>
                          </w:rPr>
                          <w:t>如果投保人因重大过失未履行如实告知义务，对保险事故的发生有严重影响的</w:t>
                        </w:r>
                      </w:p>
                    </w:tc>
                  </w:tr>
                  <w:tr>
                    <w:trPr>
                      <w:trHeight w:val="292" w:hRule="atLeast"/>
                    </w:trPr>
                    <w:tc>
                      <w:tcPr>
                        <w:tcW w:w="7146" w:type="dxa"/>
                        <w:gridSpan w:val="2"/>
                        <w:tcBorders>
                          <w:top w:val="single" w:sz="8" w:space="0" w:color="FFFFFF"/>
                          <w:bottom w:val="single" w:sz="8" w:space="0" w:color="FFFFFF"/>
                        </w:tcBorders>
                        <w:shd w:val="clear" w:color="auto" w:fill="C0C0C0"/>
                      </w:tcPr>
                      <w:p>
                        <w:pPr>
                          <w:pStyle w:val="TableParagraph"/>
                          <w:spacing w:line="261" w:lineRule="exact"/>
                          <w:ind w:left="0" w:right="-15"/>
                          <w:rPr>
                            <w:sz w:val="21"/>
                          </w:rPr>
                        </w:pPr>
                        <w:r>
                          <w:rPr>
                            <w:spacing w:val="-3"/>
                            <w:sz w:val="21"/>
                          </w:rPr>
                          <w:t>对于本合同解除前发生的保险事故，我们对本合同解除或者部分解除所涉及的</w:t>
                        </w:r>
                      </w:p>
                    </w:tc>
                  </w:tr>
                  <w:tr>
                    <w:trPr>
                      <w:trHeight w:val="293" w:hRule="atLeast"/>
                    </w:trPr>
                    <w:tc>
                      <w:tcPr>
                        <w:tcW w:w="6515" w:type="dxa"/>
                        <w:tcBorders>
                          <w:top w:val="single" w:sz="8" w:space="0" w:color="FFFFFF"/>
                        </w:tcBorders>
                        <w:shd w:val="clear" w:color="auto" w:fill="C0C0C0"/>
                      </w:tcPr>
                      <w:p>
                        <w:pPr>
                          <w:pStyle w:val="TableParagraph"/>
                          <w:spacing w:line="261" w:lineRule="exact"/>
                          <w:ind w:left="0" w:right="-15"/>
                          <w:rPr>
                            <w:sz w:val="21"/>
                          </w:rPr>
                        </w:pPr>
                        <w:r>
                          <w:rPr>
                            <w:spacing w:val="-3"/>
                            <w:sz w:val="21"/>
                          </w:rPr>
                          <w:t>全部或者部分被保险人不承担给付保险金的责任，但应当退还保险费。</w:t>
                        </w:r>
                      </w:p>
                    </w:tc>
                    <w:tc>
                      <w:tcPr>
                        <w:tcW w:w="631" w:type="dxa"/>
                        <w:tcBorders>
                          <w:top w:val="single" w:sz="8" w:space="0" w:color="FFFFFF"/>
                        </w:tcBorders>
                      </w:tcPr>
                      <w:p>
                        <w:pPr>
                          <w:pStyle w:val="TableParagraph"/>
                          <w:ind w:left="0"/>
                          <w:rPr>
                            <w:rFonts w:ascii="Times New Roman"/>
                            <w:sz w:val="20"/>
                          </w:rPr>
                        </w:pPr>
                      </w:p>
                    </w:tc>
                  </w:tr>
                </w:tbl>
                <w:p>
                  <w:pPr>
                    <w:pStyle w:val="BodyText"/>
                  </w:pPr>
                </w:p>
              </w:txbxContent>
            </v:textbox>
            <w10:wrap type="none"/>
          </v:shape>
        </w:pict>
      </w:r>
      <w:r>
        <w:rPr>
          <w:w w:val="100"/>
        </w:rPr>
        <w:t>，</w:t>
      </w:r>
    </w:p>
    <w:p>
      <w:pPr>
        <w:pStyle w:val="BodyText"/>
        <w:rPr>
          <w:sz w:val="20"/>
        </w:rPr>
      </w:pPr>
    </w:p>
    <w:p>
      <w:pPr>
        <w:pStyle w:val="BodyText"/>
        <w:rPr>
          <w:sz w:val="20"/>
        </w:rPr>
      </w:pPr>
    </w:p>
    <w:p>
      <w:pPr>
        <w:pStyle w:val="BodyText"/>
        <w:spacing w:before="9"/>
        <w:rPr>
          <w:sz w:val="17"/>
        </w:rPr>
      </w:pPr>
    </w:p>
    <w:p>
      <w:pPr>
        <w:pStyle w:val="BodyText"/>
        <w:spacing w:line="273" w:lineRule="auto"/>
        <w:ind w:left="2517" w:right="220"/>
      </w:pPr>
      <w:r>
        <w:rPr/>
        <w:t>我们在合同订立时已经知道投保人未如实告知的情况的，我们不得解除合同； 发生保险事故的，我们承担给付保险金的责任。</w:t>
      </w:r>
    </w:p>
    <w:p>
      <w:pPr>
        <w:pStyle w:val="BodyText"/>
        <w:rPr>
          <w:sz w:val="22"/>
        </w:rPr>
      </w:pPr>
    </w:p>
    <w:p>
      <w:pPr>
        <w:spacing w:after="0"/>
        <w:rPr>
          <w:sz w:val="22"/>
        </w:rPr>
        <w:sectPr>
          <w:type w:val="continuous"/>
          <w:pgSz w:w="11910" w:h="16840"/>
          <w:pgMar w:top="1100" w:bottom="1100" w:left="920" w:right="1100"/>
        </w:sectPr>
      </w:pPr>
    </w:p>
    <w:p>
      <w:pPr>
        <w:pStyle w:val="Heading4"/>
        <w:numPr>
          <w:ilvl w:val="3"/>
          <w:numId w:val="3"/>
        </w:numPr>
        <w:tabs>
          <w:tab w:pos="1002" w:val="left" w:leader="none"/>
          <w:tab w:pos="1003" w:val="left" w:leader="none"/>
        </w:tabs>
        <w:spacing w:line="206" w:lineRule="auto" w:before="31" w:after="0"/>
        <w:ind w:left="1002" w:right="0" w:hanging="790"/>
        <w:jc w:val="left"/>
      </w:pPr>
      <w:r>
        <w:rPr/>
        <w:t>本公司合同解除权的限制</w:t>
      </w:r>
    </w:p>
    <w:p>
      <w:pPr>
        <w:pStyle w:val="BodyText"/>
        <w:spacing w:before="43"/>
        <w:ind w:left="207"/>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07" w:right="159"/>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00" w:bottom="1100" w:left="920" w:right="1100"/>
          <w:cols w:num="2" w:equalWidth="0">
            <w:col w:w="2271" w:space="40"/>
            <w:col w:w="7579"/>
          </w:cols>
        </w:sectPr>
      </w:pPr>
    </w:p>
    <w:p>
      <w:pPr>
        <w:pStyle w:val="BodyText"/>
        <w:rPr>
          <w:sz w:val="20"/>
        </w:rPr>
      </w:pPr>
    </w:p>
    <w:p>
      <w:pPr>
        <w:pStyle w:val="Heading2"/>
        <w:numPr>
          <w:ilvl w:val="2"/>
          <w:numId w:val="3"/>
        </w:numPr>
        <w:tabs>
          <w:tab w:pos="1002" w:val="left" w:leader="none"/>
          <w:tab w:pos="1003" w:val="left" w:leader="none"/>
        </w:tabs>
        <w:spacing w:line="240" w:lineRule="auto" w:before="103" w:after="0"/>
        <w:ind w:left="1002" w:right="0" w:hanging="790"/>
        <w:jc w:val="left"/>
      </w:pPr>
      <w:r>
        <w:rPr/>
        <w:t>其他需要关注的事项</w:t>
      </w:r>
    </w:p>
    <w:p>
      <w:pPr>
        <w:pStyle w:val="BodyText"/>
        <w:spacing w:before="16"/>
        <w:rPr>
          <w:rFonts w:ascii="微软雅黑"/>
          <w:b/>
          <w:sz w:val="9"/>
        </w:rPr>
      </w:pPr>
      <w:r>
        <w:rPr/>
        <w:pict>
          <v:group style="position:absolute;margin-left:51.240002pt;margin-top:10.551298pt;width:483.35pt;height:1pt;mso-position-horizontal-relative:page;mso-position-vertical-relative:paragraph;z-index:1120;mso-wrap-distance-left:0;mso-wrap-distance-right:0" coordorigin="1025,211" coordsize="9667,20">
            <v:line style="position:absolute" from="1025,221" to="1812,221" stroked="true" strokeweight=".95996pt" strokecolor="#000000">
              <v:stroke dashstyle="solid"/>
            </v:line>
            <v:rect style="position:absolute;left:1812;top:211;width:20;height:20" filled="true" fillcolor="#000000" stroked="false">
              <v:fill type="solid"/>
            </v:rect>
            <v:line style="position:absolute" from="1832,221" to="3329,221" stroked="true" strokeweight=".95996pt" strokecolor="#000000">
              <v:stroke dashstyle="solid"/>
            </v:line>
            <v:rect style="position:absolute;left:3329;top:211;width:20;height:20" filled="true" fillcolor="#000000" stroked="false">
              <v:fill type="solid"/>
            </v:rect>
            <v:line style="position:absolute" from="3348,221" to="10691,221" stroked="true" strokeweight=".95996pt" strokecolor="#000000">
              <v:stroke dashstyle="solid"/>
            </v:line>
            <w10:wrap type="topAndBottom"/>
          </v:group>
        </w:pict>
      </w:r>
    </w:p>
    <w:p>
      <w:pPr>
        <w:pStyle w:val="ListParagraph"/>
        <w:numPr>
          <w:ilvl w:val="3"/>
          <w:numId w:val="3"/>
        </w:numPr>
        <w:tabs>
          <w:tab w:pos="1002" w:val="left" w:leader="none"/>
          <w:tab w:pos="1003" w:val="left" w:leader="none"/>
          <w:tab w:pos="2517" w:val="left" w:leader="none"/>
        </w:tabs>
        <w:spacing w:line="206" w:lineRule="auto" w:before="95" w:after="0"/>
        <w:ind w:left="2517" w:right="220" w:hanging="2305"/>
        <w:jc w:val="left"/>
        <w:rPr>
          <w:sz w:val="21"/>
        </w:rPr>
      </w:pPr>
      <w:r>
        <w:rPr>
          <w:rFonts w:ascii="微软雅黑" w:eastAsia="微软雅黑" w:hint="eastAsia"/>
          <w:b/>
          <w:sz w:val="21"/>
        </w:rPr>
        <w:t>欠款的偿还</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w:t>
      </w:r>
      <w:r>
        <w:rPr>
          <w:sz w:val="21"/>
        </w:rPr>
        <w:t>现金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w:t>
      </w:r>
      <w:r>
        <w:rPr>
          <w:spacing w:val="-3"/>
          <w:sz w:val="21"/>
        </w:rPr>
        <w:t>时</w:t>
      </w:r>
      <w:r>
        <w:rPr>
          <w:sz w:val="21"/>
        </w:rPr>
        <w:t>，如</w:t>
      </w:r>
      <w:r>
        <w:rPr>
          <w:spacing w:val="-3"/>
          <w:sz w:val="21"/>
        </w:rPr>
        <w:t>果</w:t>
      </w:r>
      <w:r>
        <w:rPr>
          <w:sz w:val="21"/>
        </w:rPr>
        <w:t>投</w:t>
      </w:r>
      <w:r>
        <w:rPr>
          <w:spacing w:val="-3"/>
          <w:sz w:val="21"/>
        </w:rPr>
        <w:t>保</w:t>
      </w:r>
      <w:r>
        <w:rPr>
          <w:sz w:val="21"/>
        </w:rPr>
        <w:t>人</w:t>
      </w:r>
      <w:r>
        <w:rPr>
          <w:spacing w:val="-3"/>
          <w:sz w:val="21"/>
        </w:rPr>
        <w:t>或</w:t>
      </w:r>
      <w:r>
        <w:rPr>
          <w:sz w:val="21"/>
        </w:rPr>
        <w:t>被</w:t>
      </w:r>
      <w:r>
        <w:rPr>
          <w:spacing w:val="-3"/>
          <w:sz w:val="21"/>
        </w:rPr>
        <w:t>保</w:t>
      </w:r>
      <w:r>
        <w:rPr>
          <w:sz w:val="21"/>
        </w:rPr>
        <w:t>险</w:t>
      </w:r>
      <w:r>
        <w:rPr>
          <w:spacing w:val="-3"/>
          <w:sz w:val="21"/>
        </w:rPr>
        <w:t>人</w:t>
      </w:r>
      <w:r>
        <w:rPr>
          <w:sz w:val="21"/>
        </w:rPr>
        <w:t>有 任何</w:t>
      </w:r>
      <w:r>
        <w:rPr>
          <w:spacing w:val="-3"/>
          <w:sz w:val="21"/>
        </w:rPr>
        <w:t>未</w:t>
      </w:r>
      <w:r>
        <w:rPr>
          <w:sz w:val="21"/>
        </w:rPr>
        <w:t>清</w:t>
      </w:r>
      <w:r>
        <w:rPr>
          <w:spacing w:val="-3"/>
          <w:sz w:val="21"/>
        </w:rPr>
        <w:t>偿</w:t>
      </w:r>
      <w:r>
        <w:rPr>
          <w:sz w:val="21"/>
        </w:rPr>
        <w:t>的</w:t>
      </w:r>
      <w:r>
        <w:rPr>
          <w:spacing w:val="-3"/>
          <w:sz w:val="21"/>
        </w:rPr>
        <w:t>欠</w:t>
      </w:r>
      <w:r>
        <w:rPr>
          <w:sz w:val="21"/>
        </w:rPr>
        <w:t>款</w:t>
      </w:r>
      <w:r>
        <w:rPr>
          <w:spacing w:val="-3"/>
          <w:sz w:val="21"/>
        </w:rPr>
        <w:t>，</w:t>
      </w:r>
      <w:r>
        <w:rPr>
          <w:sz w:val="21"/>
        </w:rPr>
        <w:t>我</w:t>
      </w:r>
      <w:r>
        <w:rPr>
          <w:spacing w:val="-3"/>
          <w:sz w:val="21"/>
        </w:rPr>
        <w:t>们</w:t>
      </w:r>
      <w:r>
        <w:rPr>
          <w:sz w:val="21"/>
        </w:rPr>
        <w:t>会在</w:t>
      </w:r>
      <w:r>
        <w:rPr>
          <w:spacing w:val="-3"/>
          <w:sz w:val="21"/>
        </w:rPr>
        <w:t>扣</w:t>
      </w:r>
      <w:r>
        <w:rPr>
          <w:sz w:val="21"/>
        </w:rPr>
        <w:t>除</w:t>
      </w:r>
      <w:r>
        <w:rPr>
          <w:spacing w:val="-3"/>
          <w:sz w:val="21"/>
        </w:rPr>
        <w:t>上</w:t>
      </w:r>
      <w:r>
        <w:rPr>
          <w:sz w:val="21"/>
        </w:rPr>
        <w:t>述</w:t>
      </w:r>
      <w:r>
        <w:rPr>
          <w:spacing w:val="-3"/>
          <w:sz w:val="21"/>
        </w:rPr>
        <w:t>欠</w:t>
      </w:r>
      <w:r>
        <w:rPr>
          <w:sz w:val="21"/>
        </w:rPr>
        <w:t>款</w:t>
      </w:r>
      <w:r>
        <w:rPr>
          <w:spacing w:val="-3"/>
          <w:sz w:val="21"/>
        </w:rPr>
        <w:t>及</w:t>
      </w:r>
      <w:r>
        <w:rPr>
          <w:rFonts w:ascii="微软雅黑" w:eastAsia="微软雅黑" w:hint="eastAsia"/>
          <w:b/>
          <w:sz w:val="21"/>
        </w:rPr>
        <w:t>欠</w:t>
      </w:r>
      <w:r>
        <w:rPr>
          <w:rFonts w:ascii="微软雅黑" w:eastAsia="微软雅黑" w:hint="eastAsia"/>
          <w:b/>
          <w:spacing w:val="-3"/>
          <w:sz w:val="21"/>
        </w:rPr>
        <w:t>款</w:t>
      </w:r>
      <w:r>
        <w:rPr>
          <w:rFonts w:ascii="微软雅黑" w:eastAsia="微软雅黑" w:hint="eastAsia"/>
          <w:b/>
          <w:sz w:val="21"/>
        </w:rPr>
        <w:t>利息</w:t>
      </w:r>
      <w:r>
        <w:rPr>
          <w:sz w:val="21"/>
        </w:rPr>
        <w:t>（见</w:t>
      </w:r>
      <w:r>
        <w:rPr>
          <w:spacing w:val="-11"/>
          <w:sz w:val="21"/>
        </w:rPr>
        <w:t> </w:t>
      </w:r>
      <w:r>
        <w:rPr>
          <w:rFonts w:ascii="Times New Roman" w:eastAsia="Times New Roman"/>
          <w:spacing w:val="-3"/>
          <w:sz w:val="21"/>
        </w:rPr>
        <w:t>11.14</w:t>
      </w:r>
      <w:r>
        <w:rPr>
          <w:spacing w:val="-3"/>
          <w:sz w:val="21"/>
        </w:rPr>
        <w:t>）</w:t>
      </w:r>
      <w:r>
        <w:rPr>
          <w:sz w:val="21"/>
        </w:rPr>
        <w:t>后</w:t>
      </w:r>
      <w:r>
        <w:rPr>
          <w:spacing w:val="-3"/>
          <w:sz w:val="21"/>
        </w:rPr>
        <w:t>给</w:t>
      </w:r>
      <w:r>
        <w:rPr>
          <w:sz w:val="21"/>
        </w:rPr>
        <w:t>付。</w:t>
      </w:r>
    </w:p>
    <w:p>
      <w:pPr>
        <w:spacing w:after="0" w:line="206" w:lineRule="auto"/>
        <w:jc w:val="left"/>
        <w:rPr>
          <w:sz w:val="21"/>
        </w:rPr>
        <w:sectPr>
          <w:type w:val="continuous"/>
          <w:pgSz w:w="11910" w:h="16840"/>
          <w:pgMar w:top="1100" w:bottom="1100" w:left="920" w:right="1100"/>
        </w:sectPr>
      </w:pPr>
    </w:p>
    <w:p>
      <w:pPr>
        <w:pStyle w:val="ListParagraph"/>
        <w:numPr>
          <w:ilvl w:val="3"/>
          <w:numId w:val="3"/>
        </w:numPr>
        <w:tabs>
          <w:tab w:pos="903" w:val="left" w:leader="none"/>
          <w:tab w:pos="2417" w:val="left" w:leader="none"/>
        </w:tabs>
        <w:spacing w:line="312" w:lineRule="exact" w:before="28" w:after="0"/>
        <w:ind w:left="2417" w:right="100" w:hanging="2305"/>
        <w:jc w:val="both"/>
        <w:rPr>
          <w:sz w:val="21"/>
        </w:rPr>
      </w:pPr>
      <w:r>
        <w:rPr>
          <w:rFonts w:ascii="微软雅黑" w:eastAsia="微软雅黑" w:hint="eastAsia"/>
          <w:b/>
          <w:sz w:val="21"/>
        </w:rPr>
        <w:t>年龄错误</w:t>
        <w:tab/>
      </w:r>
      <w:r>
        <w:rPr>
          <w:spacing w:val="-1"/>
          <w:sz w:val="21"/>
        </w:rPr>
        <w:t>投保人</w:t>
      </w:r>
      <w:r>
        <w:rPr>
          <w:sz w:val="21"/>
        </w:rPr>
        <w:t>在</w:t>
      </w:r>
      <w:r>
        <w:rPr>
          <w:spacing w:val="-3"/>
          <w:sz w:val="21"/>
        </w:rPr>
        <w:t>申</w:t>
      </w:r>
      <w:r>
        <w:rPr>
          <w:sz w:val="21"/>
        </w:rPr>
        <w:t>请</w:t>
      </w:r>
      <w:r>
        <w:rPr>
          <w:spacing w:val="-3"/>
          <w:sz w:val="21"/>
        </w:rPr>
        <w:t>投</w:t>
      </w:r>
      <w:r>
        <w:rPr>
          <w:sz w:val="21"/>
        </w:rPr>
        <w:t>保时</w:t>
      </w:r>
      <w:r>
        <w:rPr>
          <w:spacing w:val="-3"/>
          <w:sz w:val="21"/>
        </w:rPr>
        <w:t>，应</w:t>
      </w:r>
      <w:r>
        <w:rPr>
          <w:sz w:val="21"/>
        </w:rPr>
        <w:t>填明</w:t>
      </w:r>
      <w:r>
        <w:rPr>
          <w:spacing w:val="-3"/>
          <w:sz w:val="21"/>
        </w:rPr>
        <w:t>与</w:t>
      </w:r>
      <w:r>
        <w:rPr>
          <w:sz w:val="21"/>
        </w:rPr>
        <w:t>有</w:t>
      </w:r>
      <w:r>
        <w:rPr>
          <w:spacing w:val="-3"/>
          <w:sz w:val="21"/>
        </w:rPr>
        <w:t>效</w:t>
      </w:r>
      <w:r>
        <w:rPr>
          <w:sz w:val="21"/>
        </w:rPr>
        <w:t>身</w:t>
      </w:r>
      <w:r>
        <w:rPr>
          <w:spacing w:val="-3"/>
          <w:sz w:val="21"/>
        </w:rPr>
        <w:t>份</w:t>
      </w:r>
      <w:r>
        <w:rPr>
          <w:sz w:val="21"/>
        </w:rPr>
        <w:t>证件</w:t>
      </w:r>
      <w:r>
        <w:rPr>
          <w:spacing w:val="-3"/>
          <w:sz w:val="21"/>
        </w:rPr>
        <w:t>相符</w:t>
      </w:r>
      <w:r>
        <w:rPr>
          <w:sz w:val="21"/>
        </w:rPr>
        <w:t>的被</w:t>
      </w:r>
      <w:r>
        <w:rPr>
          <w:spacing w:val="-3"/>
          <w:sz w:val="21"/>
        </w:rPr>
        <w:t>保</w:t>
      </w:r>
      <w:r>
        <w:rPr>
          <w:sz w:val="21"/>
        </w:rPr>
        <w:t>险</w:t>
      </w:r>
      <w:r>
        <w:rPr>
          <w:spacing w:val="-3"/>
          <w:sz w:val="21"/>
        </w:rPr>
        <w:t>人</w:t>
      </w:r>
      <w:r>
        <w:rPr>
          <w:sz w:val="21"/>
        </w:rPr>
        <w:t>的</w:t>
      </w:r>
      <w:r>
        <w:rPr>
          <w:spacing w:val="-3"/>
          <w:sz w:val="21"/>
        </w:rPr>
        <w:t>出</w:t>
      </w:r>
      <w:r>
        <w:rPr>
          <w:sz w:val="21"/>
        </w:rPr>
        <w:t>生日</w:t>
      </w:r>
      <w:r>
        <w:rPr>
          <w:spacing w:val="-3"/>
          <w:sz w:val="21"/>
        </w:rPr>
        <w:t>期，</w:t>
      </w:r>
      <w:r>
        <w:rPr>
          <w:sz w:val="21"/>
        </w:rPr>
        <w:t>如 果发</w:t>
      </w:r>
      <w:r>
        <w:rPr>
          <w:spacing w:val="-3"/>
          <w:sz w:val="21"/>
        </w:rPr>
        <w:t>生</w:t>
      </w:r>
      <w:r>
        <w:rPr>
          <w:sz w:val="21"/>
        </w:rPr>
        <w:t>错</w:t>
      </w:r>
      <w:r>
        <w:rPr>
          <w:spacing w:val="-3"/>
          <w:sz w:val="21"/>
        </w:rPr>
        <w:t>误</w:t>
      </w:r>
      <w:r>
        <w:rPr>
          <w:sz w:val="21"/>
        </w:rPr>
        <w:t>按</w:t>
      </w:r>
      <w:r>
        <w:rPr>
          <w:spacing w:val="-3"/>
          <w:sz w:val="21"/>
        </w:rPr>
        <w:t>照</w:t>
      </w:r>
      <w:r>
        <w:rPr>
          <w:sz w:val="21"/>
        </w:rPr>
        <w:t>下</w:t>
      </w:r>
      <w:r>
        <w:rPr>
          <w:spacing w:val="-3"/>
          <w:sz w:val="21"/>
        </w:rPr>
        <w:t>列</w:t>
      </w:r>
      <w:r>
        <w:rPr>
          <w:sz w:val="21"/>
        </w:rPr>
        <w:t>方</w:t>
      </w:r>
      <w:r>
        <w:rPr>
          <w:spacing w:val="-3"/>
          <w:sz w:val="21"/>
        </w:rPr>
        <w:t>式</w:t>
      </w:r>
      <w:r>
        <w:rPr>
          <w:sz w:val="21"/>
        </w:rPr>
        <w:t>办理：</w:t>
      </w:r>
    </w:p>
    <w:p>
      <w:pPr>
        <w:pStyle w:val="BodyText"/>
        <w:spacing w:line="266" w:lineRule="auto" w:before="97"/>
        <w:ind w:left="2402" w:right="115" w:firstLine="14"/>
        <w:jc w:val="both"/>
      </w:pPr>
      <w:r>
        <w:rPr>
          <w:rFonts w:ascii="Times New Roman" w:eastAsia="Times New Roman"/>
          <w:shd w:fill="C0C0C0" w:color="auto" w:val="clear"/>
        </w:rPr>
        <w:t>1.</w:t>
      </w:r>
      <w:r>
        <w:rPr>
          <w:spacing w:val="-3"/>
          <w:shd w:fill="C0C0C0" w:color="auto" w:val="clear"/>
        </w:rPr>
        <w:t>投保人申报的被保险人年龄不真实，并且其真实年龄不符合本合同约定投保年龄限</w:t>
      </w:r>
      <w:r>
        <w:rPr>
          <w:spacing w:val="-15"/>
          <w:shd w:fill="C0C0C0" w:color="auto" w:val="clear"/>
        </w:rPr>
        <w:t>制的，我们有权终止对该被保险人的保险责任，但退还保险责任终止时 </w:t>
      </w:r>
      <w:r>
        <w:rPr>
          <w:spacing w:val="-7"/>
          <w:shd w:fill="C0C0C0" w:color="auto" w:val="clear"/>
        </w:rPr>
        <w:t>该被保险人名下的现金价值，对于该被保险人的保险责任终止前发生的保险事</w:t>
      </w:r>
      <w:r>
        <w:rPr>
          <w:spacing w:val="-5"/>
          <w:shd w:fill="C0C0C0" w:color="auto" w:val="clear"/>
        </w:rPr>
        <w:t>故，本公司不承担给付保险金的责任。</w:t>
      </w:r>
      <w:r>
        <w:rPr>
          <w:spacing w:val="-3"/>
        </w:rPr>
        <w:t>对前述被保险人的保险责任终止权适用</w:t>
      </w:r>
    </w:p>
    <w:p>
      <w:pPr>
        <w:pStyle w:val="BodyText"/>
        <w:spacing w:before="13"/>
        <w:ind w:left="2402"/>
      </w:pPr>
      <w:r>
        <w:rPr/>
        <w:t>“本公司合同解除权的限制”的规定。</w:t>
      </w:r>
    </w:p>
    <w:p>
      <w:pPr>
        <w:spacing w:line="237" w:lineRule="auto" w:before="133"/>
        <w:ind w:left="2414" w:right="102" w:hanging="15"/>
        <w:jc w:val="both"/>
        <w:rPr>
          <w:rFonts w:ascii="微软雅黑" w:eastAsia="微软雅黑" w:hint="eastAsia"/>
          <w:b/>
          <w:sz w:val="21"/>
        </w:rPr>
      </w:pPr>
      <w:r>
        <w:rPr>
          <w:rFonts w:ascii="Times New Roman" w:eastAsia="Times New Roman"/>
          <w:sz w:val="21"/>
        </w:rPr>
        <w:t>2.</w:t>
      </w:r>
      <w:r>
        <w:rPr>
          <w:sz w:val="21"/>
        </w:rPr>
        <w:t>投保人申报的被保险人年龄不真实，致使投保人或被保险人实付保险费少于应付保险费的，我们有权更正并要求投保人或被保险人补交该被保险人名下的保险费。</w:t>
      </w:r>
      <w:r>
        <w:rPr>
          <w:rFonts w:ascii="微软雅黑" w:eastAsia="微软雅黑" w:hint="eastAsia"/>
          <w:b/>
          <w:sz w:val="21"/>
        </w:rPr>
        <w:t>若已经发生保险事故，在给付保险金时按实付保险费和应付保险费的</w:t>
      </w:r>
    </w:p>
    <w:p>
      <w:pPr>
        <w:pStyle w:val="Heading4"/>
        <w:spacing w:line="313" w:lineRule="exact" w:before="0"/>
        <w:ind w:left="2414"/>
        <w:rPr>
          <w:rFonts w:ascii="宋体" w:eastAsia="宋体" w:hint="eastAsia"/>
          <w:b w:val="0"/>
        </w:rPr>
      </w:pPr>
      <w:r>
        <w:rPr/>
        <w:t>比例给付</w:t>
      </w:r>
      <w:r>
        <w:rPr>
          <w:rFonts w:ascii="宋体" w:eastAsia="宋体" w:hint="eastAsia"/>
          <w:b w:val="0"/>
        </w:rPr>
        <w:t>。</w:t>
      </w:r>
    </w:p>
    <w:p>
      <w:pPr>
        <w:pStyle w:val="BodyText"/>
        <w:spacing w:line="256" w:lineRule="auto" w:before="105"/>
        <w:ind w:left="2417" w:right="153"/>
        <w:jc w:val="both"/>
      </w:pPr>
      <w:r>
        <w:rPr>
          <w:rFonts w:ascii="Times New Roman" w:eastAsia="Times New Roman"/>
        </w:rPr>
        <w:t>3.</w:t>
      </w:r>
      <w:r>
        <w:rPr/>
        <w:t>投保人申报的被保险人年龄不真实，致使投保人或被保险人实付保险费多于应付保险费的，我们会无息退还该被保险人名下多收的保险费。</w:t>
      </w:r>
    </w:p>
    <w:p>
      <w:pPr>
        <w:pStyle w:val="BodyText"/>
        <w:spacing w:before="8"/>
      </w:pPr>
    </w:p>
    <w:p>
      <w:pPr>
        <w:pStyle w:val="ListParagraph"/>
        <w:numPr>
          <w:ilvl w:val="3"/>
          <w:numId w:val="3"/>
        </w:numPr>
        <w:tabs>
          <w:tab w:pos="902" w:val="left" w:leader="none"/>
          <w:tab w:pos="903" w:val="left" w:leader="none"/>
          <w:tab w:pos="2417" w:val="left" w:leader="none"/>
        </w:tabs>
        <w:spacing w:line="240" w:lineRule="auto" w:before="0" w:after="0"/>
        <w:ind w:left="902" w:right="0" w:hanging="790"/>
        <w:jc w:val="left"/>
        <w:rPr>
          <w:sz w:val="21"/>
        </w:rPr>
      </w:pPr>
      <w:r>
        <w:rPr>
          <w:rFonts w:ascii="微软雅黑" w:eastAsia="微软雅黑" w:hint="eastAsia"/>
          <w:b/>
          <w:sz w:val="21"/>
        </w:rPr>
        <w:t>被保险人变动</w:t>
        <w:tab/>
      </w:r>
      <w:r>
        <w:rPr>
          <w:spacing w:val="-1"/>
          <w:sz w:val="21"/>
        </w:rPr>
        <w:t>发</w:t>
      </w:r>
      <w:r>
        <w:rPr>
          <w:sz w:val="21"/>
        </w:rPr>
        <w:t>生</w:t>
      </w:r>
      <w:r>
        <w:rPr>
          <w:spacing w:val="-3"/>
          <w:sz w:val="21"/>
        </w:rPr>
        <w:t>被</w:t>
      </w:r>
      <w:r>
        <w:rPr>
          <w:sz w:val="21"/>
        </w:rPr>
        <w:t>保</w:t>
      </w:r>
      <w:r>
        <w:rPr>
          <w:spacing w:val="-3"/>
          <w:sz w:val="21"/>
        </w:rPr>
        <w:t>险</w:t>
      </w:r>
      <w:r>
        <w:rPr>
          <w:sz w:val="21"/>
        </w:rPr>
        <w:t>人</w:t>
      </w:r>
      <w:r>
        <w:rPr>
          <w:spacing w:val="-3"/>
          <w:sz w:val="21"/>
        </w:rPr>
        <w:t>变</w:t>
      </w:r>
      <w:r>
        <w:rPr>
          <w:sz w:val="21"/>
        </w:rPr>
        <w:t>动</w:t>
      </w:r>
      <w:r>
        <w:rPr>
          <w:spacing w:val="-3"/>
          <w:sz w:val="21"/>
        </w:rPr>
        <w:t>时</w:t>
      </w:r>
      <w:r>
        <w:rPr>
          <w:sz w:val="21"/>
        </w:rPr>
        <w:t>，</w:t>
      </w:r>
      <w:r>
        <w:rPr>
          <w:spacing w:val="-3"/>
          <w:sz w:val="21"/>
        </w:rPr>
        <w:t>投</w:t>
      </w:r>
      <w:r>
        <w:rPr>
          <w:sz w:val="21"/>
        </w:rPr>
        <w:t>保人</w:t>
      </w:r>
      <w:r>
        <w:rPr>
          <w:spacing w:val="-3"/>
          <w:sz w:val="21"/>
        </w:rPr>
        <w:t>应</w:t>
      </w:r>
      <w:r>
        <w:rPr>
          <w:sz w:val="21"/>
        </w:rPr>
        <w:t>书</w:t>
      </w:r>
      <w:r>
        <w:rPr>
          <w:spacing w:val="-3"/>
          <w:sz w:val="21"/>
        </w:rPr>
        <w:t>面</w:t>
      </w:r>
      <w:r>
        <w:rPr>
          <w:sz w:val="21"/>
        </w:rPr>
        <w:t>通</w:t>
      </w:r>
      <w:r>
        <w:rPr>
          <w:spacing w:val="-3"/>
          <w:sz w:val="21"/>
        </w:rPr>
        <w:t>知</w:t>
      </w:r>
      <w:r>
        <w:rPr>
          <w:sz w:val="21"/>
        </w:rPr>
        <w:t>本</w:t>
      </w:r>
      <w:r>
        <w:rPr>
          <w:spacing w:val="-3"/>
          <w:sz w:val="21"/>
        </w:rPr>
        <w:t>公</w:t>
      </w:r>
      <w:r>
        <w:rPr>
          <w:sz w:val="21"/>
        </w:rPr>
        <w:t>司</w:t>
      </w:r>
      <w:r>
        <w:rPr>
          <w:spacing w:val="-3"/>
          <w:sz w:val="21"/>
        </w:rPr>
        <w:t>，</w:t>
      </w:r>
      <w:r>
        <w:rPr>
          <w:sz w:val="21"/>
        </w:rPr>
        <w:t>并提</w:t>
      </w:r>
      <w:r>
        <w:rPr>
          <w:spacing w:val="-3"/>
          <w:sz w:val="21"/>
        </w:rPr>
        <w:t>供</w:t>
      </w:r>
      <w:r>
        <w:rPr>
          <w:sz w:val="21"/>
        </w:rPr>
        <w:t>相</w:t>
      </w:r>
      <w:r>
        <w:rPr>
          <w:spacing w:val="-3"/>
          <w:sz w:val="21"/>
        </w:rPr>
        <w:t>应</w:t>
      </w:r>
      <w:r>
        <w:rPr>
          <w:sz w:val="21"/>
        </w:rPr>
        <w:t>的</w:t>
      </w:r>
      <w:r>
        <w:rPr>
          <w:spacing w:val="-3"/>
          <w:sz w:val="21"/>
        </w:rPr>
        <w:t>证</w:t>
      </w:r>
      <w:r>
        <w:rPr>
          <w:sz w:val="21"/>
        </w:rPr>
        <w:t>明</w:t>
      </w:r>
      <w:r>
        <w:rPr>
          <w:spacing w:val="-3"/>
          <w:sz w:val="21"/>
        </w:rPr>
        <w:t>文</w:t>
      </w:r>
      <w:r>
        <w:rPr>
          <w:sz w:val="21"/>
        </w:rPr>
        <w:t>件。</w:t>
      </w:r>
    </w:p>
    <w:p>
      <w:pPr>
        <w:pStyle w:val="BodyText"/>
        <w:spacing w:line="273" w:lineRule="auto" w:before="167"/>
        <w:ind w:left="2417" w:right="100"/>
        <w:jc w:val="both"/>
      </w:pPr>
      <w:r>
        <w:rPr/>
        <w:t>新增人员时，经投保人申请、本公司审核同意后收取相应保险费。本公司对该新增加的被保险人承担的保险责任的起始时间在本合同上载明。</w:t>
      </w:r>
    </w:p>
    <w:p>
      <w:pPr>
        <w:pStyle w:val="BodyText"/>
        <w:spacing w:line="273" w:lineRule="auto" w:before="163"/>
        <w:ind w:left="2417" w:right="103"/>
        <w:jc w:val="both"/>
      </w:pPr>
      <w:r>
        <w:rPr/>
        <w:t>被保险人与投保人解除劳动关系或其他成员关系的，本公司对该被保险人按以下情况进行处理：</w:t>
      </w:r>
    </w:p>
    <w:p>
      <w:pPr>
        <w:pStyle w:val="Heading4"/>
        <w:spacing w:line="206" w:lineRule="auto" w:before="89"/>
        <w:ind w:left="2417" w:right="101"/>
        <w:jc w:val="both"/>
      </w:pPr>
      <w:r>
        <w:rPr>
          <w:rFonts w:ascii="Times New Roman" w:eastAsia="Times New Roman"/>
        </w:rPr>
        <w:t>1.</w:t>
      </w:r>
      <w:r>
        <w:rPr/>
        <w:t>如投保人申请本公司依本合同的约定对该被保险人继续履行保险责任并且被保险人同意，需由投保人提供书面申请，并经本公司审核同意，本公司对该被保险人的保险责任继续有效；</w:t>
      </w:r>
    </w:p>
    <w:p>
      <w:pPr>
        <w:spacing w:line="206" w:lineRule="auto" w:before="93"/>
        <w:ind w:left="2417" w:right="103" w:firstLine="0"/>
        <w:jc w:val="both"/>
        <w:rPr>
          <w:rFonts w:ascii="微软雅黑" w:eastAsia="微软雅黑" w:hint="eastAsia"/>
          <w:b/>
          <w:sz w:val="21"/>
        </w:rPr>
      </w:pPr>
      <w:r>
        <w:rPr>
          <w:rFonts w:ascii="Times New Roman" w:eastAsia="Times New Roman"/>
          <w:b/>
          <w:sz w:val="21"/>
        </w:rPr>
        <w:t>2.</w:t>
      </w:r>
      <w:r>
        <w:rPr>
          <w:rFonts w:ascii="微软雅黑" w:eastAsia="微软雅黑" w:hint="eastAsia"/>
          <w:b/>
          <w:sz w:val="21"/>
        </w:rPr>
        <w:t>如投保人申请本公司终止对该被保险人的保险责任，本公司对该被保险人的</w:t>
      </w:r>
      <w:r>
        <w:rPr>
          <w:rFonts w:ascii="微软雅黑" w:eastAsia="微软雅黑" w:hint="eastAsia"/>
          <w:b/>
          <w:spacing w:val="-4"/>
          <w:sz w:val="21"/>
        </w:rPr>
        <w:t>保险责任自投保人书面通知到达时起终止。投保人在通知书中载明的变更被保</w:t>
      </w:r>
      <w:r>
        <w:rPr>
          <w:rFonts w:ascii="微软雅黑" w:eastAsia="微软雅黑" w:hint="eastAsia"/>
          <w:b/>
          <w:spacing w:val="-6"/>
          <w:sz w:val="21"/>
        </w:rPr>
        <w:t>险人日期如果晚于通知书送达本公司的日期，则本公司对该被保险人的保险责</w:t>
      </w:r>
      <w:r>
        <w:rPr>
          <w:rFonts w:ascii="微软雅黑" w:eastAsia="微软雅黑" w:hint="eastAsia"/>
          <w:b/>
          <w:spacing w:val="-7"/>
          <w:sz w:val="21"/>
        </w:rPr>
        <w:t>任自通知书中载明的变更被保险人日期的零时起终止。</w:t>
      </w:r>
      <w:r>
        <w:rPr>
          <w:rFonts w:ascii="微软雅黑" w:eastAsia="微软雅黑" w:hint="eastAsia"/>
          <w:b/>
          <w:color w:val="111111"/>
          <w:spacing w:val="-2"/>
          <w:sz w:val="21"/>
        </w:rPr>
        <w:t>如果减少的被保险人未</w:t>
      </w:r>
      <w:r>
        <w:rPr>
          <w:rFonts w:ascii="微软雅黑" w:eastAsia="微软雅黑" w:hint="eastAsia"/>
          <w:b/>
          <w:color w:val="111111"/>
          <w:spacing w:val="-6"/>
          <w:sz w:val="21"/>
        </w:rPr>
        <w:t>发生保险事故，本公司退还</w:t>
      </w:r>
      <w:r>
        <w:rPr>
          <w:rFonts w:ascii="微软雅黑" w:eastAsia="微软雅黑" w:hint="eastAsia"/>
          <w:b/>
          <w:spacing w:val="-1"/>
          <w:sz w:val="21"/>
        </w:rPr>
        <w:t>保险责任终止时本合同项下</w:t>
      </w:r>
      <w:r>
        <w:rPr>
          <w:rFonts w:ascii="微软雅黑" w:eastAsia="微软雅黑" w:hint="eastAsia"/>
          <w:b/>
          <w:color w:val="111111"/>
          <w:spacing w:val="-2"/>
          <w:sz w:val="21"/>
        </w:rPr>
        <w:t>该被保险人对应的现金价值；如果减</w:t>
      </w:r>
      <w:r>
        <w:rPr>
          <w:rFonts w:ascii="微软雅黑" w:eastAsia="微软雅黑" w:hint="eastAsia"/>
          <w:b/>
          <w:spacing w:val="-3"/>
          <w:sz w:val="21"/>
        </w:rPr>
        <w:t>少的被保险人发生过保险事故，本公司无资金退还。</w:t>
      </w:r>
    </w:p>
    <w:p>
      <w:pPr>
        <w:pStyle w:val="BodyText"/>
        <w:spacing w:before="105"/>
        <w:ind w:left="2417"/>
      </w:pPr>
      <w:r>
        <w:rPr/>
        <w:t>若投保人与本公司有产品转换或者其它约定的，均按约定内容执行。</w:t>
      </w:r>
    </w:p>
    <w:p>
      <w:pPr>
        <w:pStyle w:val="BodyText"/>
        <w:spacing w:before="11"/>
        <w:rPr>
          <w:sz w:val="22"/>
        </w:rPr>
      </w:pPr>
    </w:p>
    <w:p>
      <w:pPr>
        <w:pStyle w:val="ListParagraph"/>
        <w:numPr>
          <w:ilvl w:val="3"/>
          <w:numId w:val="3"/>
        </w:numPr>
        <w:tabs>
          <w:tab w:pos="903" w:val="left" w:leader="none"/>
          <w:tab w:pos="2417" w:val="left" w:leader="none"/>
        </w:tabs>
        <w:spacing w:line="247" w:lineRule="auto" w:before="0" w:after="0"/>
        <w:ind w:left="2417" w:right="101" w:hanging="2305"/>
        <w:jc w:val="both"/>
        <w:rPr>
          <w:sz w:val="21"/>
        </w:rPr>
      </w:pPr>
      <w:r>
        <w:rPr>
          <w:rFonts w:ascii="微软雅黑" w:eastAsia="微软雅黑" w:hint="eastAsia"/>
          <w:b/>
          <w:sz w:val="21"/>
        </w:rPr>
        <w:t>转账规定</w:t>
        <w:tab/>
      </w:r>
      <w:r>
        <w:rPr>
          <w:sz w:val="21"/>
        </w:rPr>
        <w:t>本合</w:t>
      </w:r>
      <w:r>
        <w:rPr>
          <w:spacing w:val="-3"/>
          <w:sz w:val="21"/>
        </w:rPr>
        <w:t>同</w:t>
      </w:r>
      <w:r>
        <w:rPr>
          <w:sz w:val="21"/>
        </w:rPr>
        <w:t>中</w:t>
      </w:r>
      <w:r>
        <w:rPr>
          <w:spacing w:val="-3"/>
          <w:sz w:val="21"/>
        </w:rPr>
        <w:t>涉</w:t>
      </w:r>
      <w:r>
        <w:rPr>
          <w:sz w:val="21"/>
        </w:rPr>
        <w:t>及</w:t>
      </w:r>
      <w:r>
        <w:rPr>
          <w:spacing w:val="-3"/>
          <w:sz w:val="21"/>
        </w:rPr>
        <w:t>到</w:t>
      </w:r>
      <w:r>
        <w:rPr>
          <w:sz w:val="21"/>
        </w:rPr>
        <w:t>本</w:t>
      </w:r>
      <w:r>
        <w:rPr>
          <w:spacing w:val="-3"/>
          <w:sz w:val="21"/>
        </w:rPr>
        <w:t>公</w:t>
      </w:r>
      <w:r>
        <w:rPr>
          <w:sz w:val="21"/>
        </w:rPr>
        <w:t>司</w:t>
      </w:r>
      <w:r>
        <w:rPr>
          <w:spacing w:val="-3"/>
          <w:sz w:val="21"/>
        </w:rPr>
        <w:t>退</w:t>
      </w:r>
      <w:r>
        <w:rPr>
          <w:sz w:val="21"/>
        </w:rPr>
        <w:t>还保</w:t>
      </w:r>
      <w:r>
        <w:rPr>
          <w:spacing w:val="-3"/>
          <w:sz w:val="21"/>
        </w:rPr>
        <w:t>险</w:t>
      </w:r>
      <w:r>
        <w:rPr>
          <w:sz w:val="21"/>
        </w:rPr>
        <w:t>费</w:t>
      </w:r>
      <w:r>
        <w:rPr>
          <w:spacing w:val="-3"/>
          <w:sz w:val="21"/>
        </w:rPr>
        <w:t>、</w:t>
      </w:r>
      <w:r>
        <w:rPr>
          <w:sz w:val="21"/>
        </w:rPr>
        <w:t>现</w:t>
      </w:r>
      <w:r>
        <w:rPr>
          <w:spacing w:val="-3"/>
          <w:sz w:val="21"/>
        </w:rPr>
        <w:t>金</w:t>
      </w:r>
      <w:r>
        <w:rPr>
          <w:sz w:val="21"/>
        </w:rPr>
        <w:t>价</w:t>
      </w:r>
      <w:r>
        <w:rPr>
          <w:spacing w:val="-3"/>
          <w:sz w:val="21"/>
        </w:rPr>
        <w:t>值</w:t>
      </w:r>
      <w:r>
        <w:rPr>
          <w:sz w:val="21"/>
        </w:rPr>
        <w:t>时</w:t>
      </w:r>
      <w:r>
        <w:rPr>
          <w:spacing w:val="-3"/>
          <w:sz w:val="21"/>
        </w:rPr>
        <w:t>，</w:t>
      </w:r>
      <w:r>
        <w:rPr>
          <w:sz w:val="21"/>
        </w:rPr>
        <w:t>本公</w:t>
      </w:r>
      <w:r>
        <w:rPr>
          <w:spacing w:val="-3"/>
          <w:sz w:val="21"/>
        </w:rPr>
        <w:t>司</w:t>
      </w:r>
      <w:r>
        <w:rPr>
          <w:sz w:val="21"/>
        </w:rPr>
        <w:t>均</w:t>
      </w:r>
      <w:r>
        <w:rPr>
          <w:spacing w:val="-3"/>
          <w:sz w:val="21"/>
        </w:rPr>
        <w:t>以</w:t>
      </w:r>
      <w:r>
        <w:rPr>
          <w:sz w:val="21"/>
        </w:rPr>
        <w:t>银</w:t>
      </w:r>
      <w:r>
        <w:rPr>
          <w:spacing w:val="-3"/>
          <w:sz w:val="21"/>
        </w:rPr>
        <w:t>行</w:t>
      </w:r>
      <w:r>
        <w:rPr>
          <w:sz w:val="21"/>
        </w:rPr>
        <w:t>转</w:t>
      </w:r>
      <w:r>
        <w:rPr>
          <w:spacing w:val="-3"/>
          <w:sz w:val="21"/>
        </w:rPr>
        <w:t>账</w:t>
      </w:r>
      <w:r>
        <w:rPr>
          <w:sz w:val="21"/>
        </w:rPr>
        <w:t>方</w:t>
      </w:r>
      <w:r>
        <w:rPr>
          <w:spacing w:val="-3"/>
          <w:sz w:val="21"/>
        </w:rPr>
        <w:t>式</w:t>
      </w:r>
      <w:r>
        <w:rPr>
          <w:sz w:val="21"/>
        </w:rPr>
        <w:t>将 相应</w:t>
      </w:r>
      <w:r>
        <w:rPr>
          <w:spacing w:val="-3"/>
          <w:sz w:val="21"/>
        </w:rPr>
        <w:t>金</w:t>
      </w:r>
      <w:r>
        <w:rPr>
          <w:sz w:val="21"/>
        </w:rPr>
        <w:t>额</w:t>
      </w:r>
      <w:r>
        <w:rPr>
          <w:spacing w:val="-3"/>
          <w:sz w:val="21"/>
        </w:rPr>
        <w:t>退</w:t>
      </w:r>
      <w:r>
        <w:rPr>
          <w:sz w:val="21"/>
        </w:rPr>
        <w:t>至</w:t>
      </w:r>
      <w:r>
        <w:rPr>
          <w:spacing w:val="-3"/>
          <w:sz w:val="21"/>
        </w:rPr>
        <w:t>投</w:t>
      </w:r>
      <w:r>
        <w:rPr>
          <w:sz w:val="21"/>
        </w:rPr>
        <w:t>保</w:t>
      </w:r>
      <w:r>
        <w:rPr>
          <w:spacing w:val="-3"/>
          <w:sz w:val="21"/>
        </w:rPr>
        <w:t>时</w:t>
      </w:r>
      <w:r>
        <w:rPr>
          <w:sz w:val="21"/>
        </w:rPr>
        <w:t>交</w:t>
      </w:r>
      <w:r>
        <w:rPr>
          <w:spacing w:val="-3"/>
          <w:sz w:val="21"/>
        </w:rPr>
        <w:t>纳</w:t>
      </w:r>
      <w:r>
        <w:rPr>
          <w:sz w:val="21"/>
        </w:rPr>
        <w:t>保险</w:t>
      </w:r>
      <w:r>
        <w:rPr>
          <w:spacing w:val="-3"/>
          <w:sz w:val="21"/>
        </w:rPr>
        <w:t>费</w:t>
      </w:r>
      <w:r>
        <w:rPr>
          <w:sz w:val="21"/>
        </w:rPr>
        <w:t>的</w:t>
      </w:r>
      <w:r>
        <w:rPr>
          <w:spacing w:val="-3"/>
          <w:sz w:val="21"/>
        </w:rPr>
        <w:t>账</w:t>
      </w:r>
      <w:r>
        <w:rPr>
          <w:sz w:val="21"/>
        </w:rPr>
        <w:t>户。</w:t>
      </w:r>
    </w:p>
    <w:p>
      <w:pPr>
        <w:pStyle w:val="BodyText"/>
        <w:spacing w:before="8"/>
        <w:rPr>
          <w:sz w:val="27"/>
        </w:rPr>
      </w:pPr>
    </w:p>
    <w:p>
      <w:pPr>
        <w:pStyle w:val="ListParagraph"/>
        <w:numPr>
          <w:ilvl w:val="3"/>
          <w:numId w:val="3"/>
        </w:numPr>
        <w:tabs>
          <w:tab w:pos="903" w:val="left" w:leader="none"/>
        </w:tabs>
        <w:spacing w:line="261" w:lineRule="auto" w:before="0" w:after="0"/>
        <w:ind w:left="2417" w:right="100" w:hanging="2305"/>
        <w:jc w:val="both"/>
        <w:rPr>
          <w:sz w:val="21"/>
        </w:rPr>
      </w:pPr>
      <w:r>
        <w:rPr>
          <w:rFonts w:ascii="微软雅黑" w:eastAsia="微软雅黑" w:hint="eastAsia"/>
          <w:b/>
          <w:spacing w:val="5"/>
          <w:sz w:val="21"/>
        </w:rPr>
        <w:t>合同内容变更 </w:t>
      </w:r>
      <w:r>
        <w:rPr>
          <w:spacing w:val="-3"/>
          <w:sz w:val="21"/>
        </w:rPr>
        <w:t>在本合同有效期间内，除本合同另有约定外，经投保人与我们协商一致，可以变更本合同的有关内容。投保人提出变更申请后，应当由我们在原保险单或者其他有效的保险凭证上批注或者附贴批单，或由投保人与我们订立书面的变更协议后，该变更生效。</w:t>
      </w:r>
    </w:p>
    <w:p>
      <w:pPr>
        <w:pStyle w:val="BodyText"/>
        <w:rPr>
          <w:sz w:val="23"/>
        </w:rPr>
      </w:pPr>
    </w:p>
    <w:p>
      <w:pPr>
        <w:spacing w:after="0"/>
        <w:rPr>
          <w:sz w:val="23"/>
        </w:rPr>
        <w:sectPr>
          <w:pgSz w:w="11910" w:h="16840"/>
          <w:pgMar w:header="0" w:footer="915" w:top="1240" w:bottom="1180" w:left="1020" w:right="1220"/>
        </w:sectPr>
      </w:pPr>
    </w:p>
    <w:p>
      <w:pPr>
        <w:pStyle w:val="Heading4"/>
        <w:numPr>
          <w:ilvl w:val="3"/>
          <w:numId w:val="3"/>
        </w:numPr>
        <w:tabs>
          <w:tab w:pos="902" w:val="left" w:leader="none"/>
          <w:tab w:pos="903" w:val="left" w:leader="none"/>
        </w:tabs>
        <w:spacing w:line="206" w:lineRule="auto" w:before="31" w:after="0"/>
        <w:ind w:left="902" w:right="0" w:hanging="790"/>
        <w:jc w:val="left"/>
      </w:pPr>
      <w:r>
        <w:rPr/>
        <w:t>通讯方式变更的通知</w:t>
      </w:r>
    </w:p>
    <w:p>
      <w:pPr>
        <w:pStyle w:val="BodyText"/>
        <w:spacing w:line="273" w:lineRule="auto" w:before="43"/>
        <w:ind w:left="112" w:right="100"/>
        <w:jc w:val="both"/>
      </w:pPr>
      <w:r>
        <w:rPr/>
        <w:br w:type="column"/>
      </w:r>
      <w:r>
        <w:rPr/>
        <w:t>为了保障投保人的合法权益，投保人的住所、通讯地址或电话等联系方式变更时，请及时以书面或双方认可的其他方式通知我们。若投保人未以书面或双方认可的其他方式通知我们，我们按本合同载明的最后住所、通讯地址或电话、手机短信等联系方式所发送的有关通知，均视为已送达给投保人。</w:t>
      </w:r>
    </w:p>
    <w:p>
      <w:pPr>
        <w:spacing w:after="0" w:line="273" w:lineRule="auto"/>
        <w:jc w:val="both"/>
        <w:sectPr>
          <w:type w:val="continuous"/>
          <w:pgSz w:w="11910" w:h="16840"/>
          <w:pgMar w:top="1100" w:bottom="1100" w:left="1020" w:right="1220"/>
          <w:cols w:num="2" w:equalWidth="0">
            <w:col w:w="2171" w:space="134"/>
            <w:col w:w="7365"/>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01"/>
        <w:gridCol w:w="7378"/>
      </w:tblGrid>
      <w:tr>
        <w:trPr>
          <w:trHeight w:val="1372" w:hRule="atLeast"/>
        </w:trPr>
        <w:tc>
          <w:tcPr>
            <w:tcW w:w="688" w:type="dxa"/>
          </w:tcPr>
          <w:p>
            <w:pPr>
              <w:pStyle w:val="TableParagraph"/>
              <w:spacing w:line="234" w:lineRule="exact"/>
              <w:ind w:left="107"/>
              <w:rPr>
                <w:rFonts w:ascii="Times New Roman"/>
                <w:b/>
                <w:sz w:val="21"/>
              </w:rPr>
            </w:pPr>
            <w:r>
              <w:rPr>
                <w:rFonts w:ascii="Times New Roman"/>
                <w:b/>
                <w:sz w:val="21"/>
              </w:rPr>
              <w:t>9.7</w:t>
            </w:r>
          </w:p>
        </w:tc>
        <w:tc>
          <w:tcPr>
            <w:tcW w:w="1601" w:type="dxa"/>
          </w:tcPr>
          <w:p>
            <w:pPr>
              <w:pStyle w:val="TableParagraph"/>
              <w:spacing w:line="243" w:lineRule="exact"/>
              <w:ind w:left="210"/>
              <w:rPr>
                <w:rFonts w:ascii="微软雅黑" w:eastAsia="微软雅黑" w:hint="eastAsia"/>
                <w:b/>
                <w:sz w:val="21"/>
              </w:rPr>
            </w:pPr>
            <w:r>
              <w:rPr>
                <w:rFonts w:ascii="微软雅黑" w:eastAsia="微软雅黑" w:hint="eastAsia"/>
                <w:b/>
                <w:sz w:val="21"/>
              </w:rPr>
              <w:t>争议处理</w:t>
            </w:r>
          </w:p>
        </w:tc>
        <w:tc>
          <w:tcPr>
            <w:tcW w:w="7378" w:type="dxa"/>
          </w:tcPr>
          <w:p>
            <w:pPr>
              <w:pStyle w:val="TableParagraph"/>
              <w:spacing w:line="218" w:lineRule="exact"/>
              <w:rPr>
                <w:sz w:val="21"/>
              </w:rPr>
            </w:pPr>
            <w:r>
              <w:rPr>
                <w:sz w:val="21"/>
              </w:rPr>
              <w:t>本合同履行过程中，双方发生争议时，应当协商解决，协商不成的，由当事人</w:t>
            </w:r>
          </w:p>
          <w:p>
            <w:pPr>
              <w:pStyle w:val="TableParagraph"/>
              <w:spacing w:before="37"/>
              <w:rPr>
                <w:sz w:val="21"/>
              </w:rPr>
            </w:pPr>
            <w:r>
              <w:rPr>
                <w:sz w:val="21"/>
              </w:rPr>
              <w:t>约定从下列两种方式中选择一种：</w:t>
            </w:r>
          </w:p>
          <w:p>
            <w:pPr>
              <w:pStyle w:val="TableParagraph"/>
              <w:spacing w:before="37"/>
              <w:rPr>
                <w:sz w:val="21"/>
              </w:rPr>
            </w:pPr>
            <w:r>
              <w:rPr>
                <w:rFonts w:ascii="Times New Roman" w:eastAsia="Times New Roman"/>
                <w:sz w:val="21"/>
              </w:rPr>
              <w:t>1.</w:t>
            </w:r>
            <w:r>
              <w:rPr>
                <w:sz w:val="21"/>
              </w:rPr>
              <w:t>提交双方共同选择的仲裁委员会仲裁；</w:t>
            </w:r>
          </w:p>
          <w:p>
            <w:pPr>
              <w:pStyle w:val="TableParagraph"/>
              <w:spacing w:before="21"/>
              <w:rPr>
                <w:sz w:val="21"/>
              </w:rPr>
            </w:pPr>
            <w:r>
              <w:rPr>
                <w:rFonts w:ascii="Times New Roman" w:eastAsia="Times New Roman"/>
                <w:sz w:val="21"/>
              </w:rPr>
              <w:t>2.</w:t>
            </w:r>
            <w:r>
              <w:rPr>
                <w:sz w:val="21"/>
              </w:rPr>
              <w:t>依法向人民法院起诉。</w:t>
            </w:r>
          </w:p>
        </w:tc>
      </w:tr>
      <w:tr>
        <w:trPr>
          <w:trHeight w:val="1897" w:hRule="atLeast"/>
        </w:trPr>
        <w:tc>
          <w:tcPr>
            <w:tcW w:w="688" w:type="dxa"/>
          </w:tcPr>
          <w:p>
            <w:pPr>
              <w:pStyle w:val="TableParagraph"/>
              <w:spacing w:before="194"/>
              <w:ind w:left="107"/>
              <w:rPr>
                <w:rFonts w:ascii="Times New Roman"/>
                <w:b/>
                <w:sz w:val="21"/>
              </w:rPr>
            </w:pPr>
            <w:r>
              <w:rPr>
                <w:rFonts w:ascii="Times New Roman"/>
                <w:b/>
                <w:sz w:val="21"/>
              </w:rPr>
              <w:t>9.8</w:t>
            </w:r>
          </w:p>
        </w:tc>
        <w:tc>
          <w:tcPr>
            <w:tcW w:w="1601" w:type="dxa"/>
          </w:tcPr>
          <w:p>
            <w:pPr>
              <w:pStyle w:val="TableParagraph"/>
              <w:spacing w:line="206" w:lineRule="auto" w:before="133"/>
              <w:ind w:left="210" w:right="121"/>
              <w:rPr>
                <w:rFonts w:ascii="微软雅黑" w:eastAsia="微软雅黑" w:hint="eastAsia"/>
                <w:b/>
                <w:sz w:val="21"/>
              </w:rPr>
            </w:pPr>
            <w:r>
              <w:rPr>
                <w:rFonts w:ascii="微软雅黑" w:eastAsia="微软雅黑" w:hint="eastAsia"/>
                <w:b/>
                <w:sz w:val="21"/>
              </w:rPr>
              <w:t>身体检查与司法鉴定</w:t>
            </w:r>
          </w:p>
        </w:tc>
        <w:tc>
          <w:tcPr>
            <w:tcW w:w="7378" w:type="dxa"/>
          </w:tcPr>
          <w:p>
            <w:pPr>
              <w:pStyle w:val="TableParagraph"/>
              <w:spacing w:line="312" w:lineRule="exact" w:before="141"/>
              <w:ind w:right="103"/>
              <w:jc w:val="both"/>
              <w:rPr>
                <w:sz w:val="21"/>
              </w:rPr>
            </w:pPr>
            <w:r>
              <w:rPr>
                <w:spacing w:val="-3"/>
                <w:sz w:val="21"/>
              </w:rPr>
              <w:t>保险金受益人申请本合同保险金时，我们有权要求尸检或要求被保险人做身体检查或提供有关的检验报告，费用由我们承担。若本合同任何一方对伤残程度</w:t>
            </w:r>
            <w:r>
              <w:rPr>
                <w:spacing w:val="-7"/>
                <w:sz w:val="21"/>
              </w:rPr>
              <w:t>的认定有异议，则以双方认可的</w:t>
            </w:r>
            <w:r>
              <w:rPr>
                <w:rFonts w:ascii="微软雅黑" w:eastAsia="微软雅黑" w:hint="eastAsia"/>
                <w:b/>
                <w:spacing w:val="-4"/>
                <w:sz w:val="21"/>
              </w:rPr>
              <w:t>司法鉴定机构</w:t>
            </w:r>
            <w:r>
              <w:rPr>
                <w:spacing w:val="-3"/>
                <w:sz w:val="21"/>
              </w:rPr>
              <w:t>（</w:t>
            </w:r>
            <w:r>
              <w:rPr>
                <w:spacing w:val="-11"/>
                <w:sz w:val="21"/>
              </w:rPr>
              <w:t>见 </w:t>
            </w:r>
            <w:r>
              <w:rPr>
                <w:rFonts w:ascii="Times New Roman" w:eastAsia="Times New Roman"/>
                <w:spacing w:val="-7"/>
                <w:sz w:val="21"/>
              </w:rPr>
              <w:t>11.15</w:t>
            </w:r>
            <w:r>
              <w:rPr>
                <w:spacing w:val="-7"/>
                <w:sz w:val="21"/>
              </w:rPr>
              <w:t>）</w:t>
            </w:r>
            <w:r>
              <w:rPr>
                <w:spacing w:val="-6"/>
                <w:sz w:val="21"/>
              </w:rPr>
              <w:t>的鉴定结果为准。发</w:t>
            </w:r>
            <w:r>
              <w:rPr>
                <w:spacing w:val="-4"/>
                <w:sz w:val="21"/>
              </w:rPr>
              <w:t>生保险事故的，投保人和我们均可以委托保险公估机构等依法设立的独立评估</w:t>
            </w:r>
            <w:r>
              <w:rPr>
                <w:spacing w:val="-3"/>
                <w:sz w:val="21"/>
              </w:rPr>
              <w:t>机构或者具有相关专业知识的人员，对保险事故进行评估和鉴定。</w:t>
            </w:r>
          </w:p>
        </w:tc>
      </w:tr>
      <w:tr>
        <w:trPr>
          <w:trHeight w:val="713" w:hRule="atLeast"/>
        </w:trPr>
        <w:tc>
          <w:tcPr>
            <w:tcW w:w="688" w:type="dxa"/>
            <w:tcBorders>
              <w:bottom w:val="single" w:sz="8" w:space="0" w:color="000000"/>
            </w:tcBorders>
          </w:tcPr>
          <w:p>
            <w:pPr>
              <w:pStyle w:val="TableParagraph"/>
              <w:spacing w:before="218"/>
              <w:ind w:left="107"/>
              <w:rPr>
                <w:rFonts w:ascii="Times New Roman"/>
                <w:b/>
                <w:sz w:val="24"/>
              </w:rPr>
            </w:pPr>
            <w:r>
              <w:rPr>
                <w:rFonts w:ascii="Times New Roman"/>
                <w:b/>
                <w:sz w:val="24"/>
              </w:rPr>
              <w:t>10.</w:t>
            </w:r>
          </w:p>
        </w:tc>
        <w:tc>
          <w:tcPr>
            <w:tcW w:w="1601" w:type="dxa"/>
            <w:tcBorders>
              <w:bottom w:val="single" w:sz="8" w:space="0" w:color="000000"/>
            </w:tcBorders>
          </w:tcPr>
          <w:p>
            <w:pPr>
              <w:pStyle w:val="TableParagraph"/>
              <w:spacing w:before="86"/>
              <w:ind w:left="210"/>
              <w:rPr>
                <w:rFonts w:ascii="微软雅黑" w:eastAsia="微软雅黑" w:hint="eastAsia"/>
                <w:b/>
                <w:sz w:val="24"/>
              </w:rPr>
            </w:pPr>
            <w:r>
              <w:rPr>
                <w:rFonts w:ascii="微软雅黑" w:eastAsia="微软雅黑" w:hint="eastAsia"/>
                <w:b/>
                <w:sz w:val="24"/>
              </w:rPr>
              <w:t>疾病定义</w:t>
            </w:r>
          </w:p>
        </w:tc>
        <w:tc>
          <w:tcPr>
            <w:tcW w:w="7378" w:type="dxa"/>
            <w:tcBorders>
              <w:bottom w:val="single" w:sz="8" w:space="0" w:color="000000"/>
            </w:tcBorders>
          </w:tcPr>
          <w:p>
            <w:pPr>
              <w:pStyle w:val="TableParagraph"/>
              <w:ind w:left="0"/>
              <w:rPr>
                <w:rFonts w:ascii="Times New Roman"/>
                <w:sz w:val="20"/>
              </w:rPr>
            </w:pPr>
          </w:p>
        </w:tc>
      </w:tr>
      <w:tr>
        <w:trPr>
          <w:trHeight w:val="1173" w:hRule="atLeast"/>
        </w:trPr>
        <w:tc>
          <w:tcPr>
            <w:tcW w:w="688" w:type="dxa"/>
            <w:tcBorders>
              <w:top w:val="single" w:sz="8" w:space="0" w:color="000000"/>
            </w:tcBorders>
          </w:tcPr>
          <w:p>
            <w:pPr>
              <w:pStyle w:val="TableParagraph"/>
              <w:spacing w:before="187"/>
              <w:ind w:left="107"/>
              <w:rPr>
                <w:rFonts w:ascii="Times New Roman"/>
                <w:b/>
                <w:sz w:val="21"/>
              </w:rPr>
            </w:pPr>
            <w:r>
              <w:rPr>
                <w:rFonts w:ascii="Times New Roman"/>
                <w:b/>
                <w:sz w:val="21"/>
              </w:rPr>
              <w:t>10.1</w:t>
            </w:r>
          </w:p>
        </w:tc>
        <w:tc>
          <w:tcPr>
            <w:tcW w:w="1601" w:type="dxa"/>
            <w:tcBorders>
              <w:top w:val="single" w:sz="8" w:space="0" w:color="000000"/>
            </w:tcBorders>
          </w:tcPr>
          <w:p>
            <w:pPr>
              <w:pStyle w:val="TableParagraph"/>
              <w:spacing w:line="206" w:lineRule="auto" w:before="126"/>
              <w:ind w:left="210" w:right="121"/>
              <w:rPr>
                <w:rFonts w:ascii="微软雅黑" w:eastAsia="微软雅黑" w:hint="eastAsia"/>
                <w:b/>
                <w:sz w:val="21"/>
              </w:rPr>
            </w:pPr>
            <w:r>
              <w:rPr>
                <w:rFonts w:ascii="微软雅黑" w:eastAsia="微软雅黑" w:hint="eastAsia"/>
                <w:b/>
                <w:sz w:val="21"/>
              </w:rPr>
              <w:t>早期危重疾病定义</w:t>
            </w:r>
          </w:p>
        </w:tc>
        <w:tc>
          <w:tcPr>
            <w:tcW w:w="7378" w:type="dxa"/>
            <w:tcBorders>
              <w:top w:val="single" w:sz="8" w:space="0" w:color="000000"/>
            </w:tcBorders>
          </w:tcPr>
          <w:p>
            <w:pPr>
              <w:pStyle w:val="TableParagraph"/>
              <w:spacing w:line="235" w:lineRule="auto" w:before="144"/>
              <w:rPr>
                <w:sz w:val="21"/>
              </w:rPr>
            </w:pPr>
            <w:r>
              <w:rPr>
                <w:spacing w:val="-3"/>
                <w:sz w:val="21"/>
              </w:rPr>
              <w:t>本合同所指早期危重疾病是指被保险人首次发生符合下列定义的疾病，或首次</w:t>
            </w:r>
            <w:r>
              <w:rPr>
                <w:spacing w:val="-9"/>
                <w:sz w:val="21"/>
              </w:rPr>
              <w:t>接受符合下列定义的手术。该疾病或手术应当由</w:t>
            </w:r>
            <w:r>
              <w:rPr>
                <w:rFonts w:ascii="微软雅黑" w:eastAsia="微软雅黑" w:hint="eastAsia"/>
                <w:b/>
                <w:spacing w:val="-19"/>
                <w:sz w:val="21"/>
              </w:rPr>
              <w:t>专科医生</w:t>
            </w:r>
            <w:r>
              <w:rPr>
                <w:sz w:val="21"/>
              </w:rPr>
              <w:t>（</w:t>
            </w:r>
            <w:r>
              <w:rPr>
                <w:spacing w:val="-9"/>
                <w:sz w:val="21"/>
              </w:rPr>
              <w:t>见 </w:t>
            </w:r>
            <w:r>
              <w:rPr>
                <w:rFonts w:ascii="Times New Roman" w:eastAsia="Times New Roman"/>
                <w:spacing w:val="-14"/>
                <w:sz w:val="21"/>
              </w:rPr>
              <w:t>11.16</w:t>
            </w:r>
            <w:r>
              <w:rPr>
                <w:spacing w:val="-14"/>
                <w:sz w:val="21"/>
              </w:rPr>
              <w:t>）</w:t>
            </w:r>
            <w:r>
              <w:rPr>
                <w:spacing w:val="-2"/>
                <w:sz w:val="21"/>
              </w:rPr>
              <w:t>明确诊断。</w:t>
            </w:r>
            <w:r>
              <w:rPr>
                <w:spacing w:val="-6"/>
                <w:sz w:val="21"/>
              </w:rPr>
              <w:t>本合同所保障的早期危重疾病共 </w:t>
            </w:r>
            <w:r>
              <w:rPr>
                <w:rFonts w:ascii="Times New Roman" w:eastAsia="Times New Roman"/>
                <w:sz w:val="21"/>
              </w:rPr>
              <w:t>30 </w:t>
            </w:r>
            <w:r>
              <w:rPr>
                <w:sz w:val="21"/>
              </w:rPr>
              <w:t>种。</w:t>
            </w:r>
          </w:p>
        </w:tc>
      </w:tr>
      <w:tr>
        <w:trPr>
          <w:trHeight w:val="3050" w:hRule="atLeast"/>
        </w:trPr>
        <w:tc>
          <w:tcPr>
            <w:tcW w:w="688" w:type="dxa"/>
          </w:tcPr>
          <w:p>
            <w:pPr>
              <w:pStyle w:val="TableParagraph"/>
              <w:ind w:left="0"/>
              <w:rPr>
                <w:rFonts w:ascii="Times New Roman"/>
                <w:sz w:val="20"/>
              </w:rPr>
            </w:pPr>
          </w:p>
        </w:tc>
        <w:tc>
          <w:tcPr>
            <w:tcW w:w="1601" w:type="dxa"/>
          </w:tcPr>
          <w:p>
            <w:pPr>
              <w:pStyle w:val="TableParagraph"/>
              <w:spacing w:line="206" w:lineRule="auto" w:before="45"/>
              <w:ind w:left="210" w:right="121"/>
              <w:rPr>
                <w:rFonts w:ascii="微软雅黑" w:eastAsia="微软雅黑" w:hint="eastAsia"/>
                <w:b/>
                <w:sz w:val="21"/>
              </w:rPr>
            </w:pPr>
            <w:r>
              <w:rPr>
                <w:rFonts w:ascii="微软雅黑" w:eastAsia="微软雅黑" w:hint="eastAsia"/>
                <w:b/>
                <w:sz w:val="21"/>
              </w:rPr>
              <w:t>极早期恶性肿瘤或恶性病变</w:t>
            </w:r>
          </w:p>
        </w:tc>
        <w:tc>
          <w:tcPr>
            <w:tcW w:w="7378" w:type="dxa"/>
          </w:tcPr>
          <w:p>
            <w:pPr>
              <w:pStyle w:val="TableParagraph"/>
              <w:spacing w:before="56"/>
              <w:rPr>
                <w:sz w:val="21"/>
              </w:rPr>
            </w:pPr>
            <w:r>
              <w:rPr>
                <w:sz w:val="21"/>
              </w:rPr>
              <w:t>指经组织病理学检查被明确诊断为下列恶性病变，并且接受了相应的治疗。</w:t>
            </w:r>
          </w:p>
          <w:p>
            <w:pPr>
              <w:pStyle w:val="TableParagraph"/>
              <w:spacing w:before="36"/>
              <w:rPr>
                <w:sz w:val="21"/>
              </w:rPr>
            </w:pPr>
            <w:r>
              <w:rPr>
                <w:rFonts w:ascii="Times New Roman" w:eastAsia="Times New Roman"/>
                <w:sz w:val="21"/>
              </w:rPr>
              <w:t>1.</w:t>
            </w:r>
            <w:r>
              <w:rPr>
                <w:sz w:val="21"/>
              </w:rPr>
              <w:t>原位癌*；</w:t>
            </w:r>
          </w:p>
          <w:p>
            <w:pPr>
              <w:pStyle w:val="TableParagraph"/>
              <w:spacing w:before="20"/>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rFonts w:ascii="Times New Roman" w:eastAsia="Times New Roman"/>
                <w:sz w:val="21"/>
              </w:rPr>
              <w:t>4.</w:t>
            </w:r>
            <w:r>
              <w:rPr>
                <w:sz w:val="21"/>
              </w:rPr>
              <w:t>皮肤癌（不包括恶性黑色素瘤及已发生转移的皮肤癌）；</w:t>
            </w:r>
          </w:p>
          <w:p>
            <w:pPr>
              <w:pStyle w:val="TableParagraph"/>
              <w:spacing w:before="21"/>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p>
            <w:pPr>
              <w:pStyle w:val="TableParagraph"/>
              <w:spacing w:line="259" w:lineRule="auto" w:before="52"/>
              <w:ind w:right="106"/>
              <w:rPr>
                <w:sz w:val="21"/>
              </w:rPr>
            </w:pPr>
            <w:r>
              <w:rPr>
                <w:sz w:val="21"/>
              </w:rPr>
              <w:t>*</w:t>
            </w:r>
            <w:r>
              <w:rPr>
                <w:rFonts w:ascii="微软雅黑" w:eastAsia="微软雅黑" w:hint="eastAsia"/>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122" w:hRule="atLeast"/>
        </w:trPr>
        <w:tc>
          <w:tcPr>
            <w:tcW w:w="688" w:type="dxa"/>
          </w:tcPr>
          <w:p>
            <w:pPr>
              <w:pStyle w:val="TableParagraph"/>
              <w:ind w:left="0"/>
              <w:rPr>
                <w:rFonts w:ascii="Times New Roman"/>
                <w:sz w:val="20"/>
              </w:rPr>
            </w:pPr>
          </w:p>
        </w:tc>
        <w:tc>
          <w:tcPr>
            <w:tcW w:w="1601" w:type="dxa"/>
          </w:tcPr>
          <w:p>
            <w:pPr>
              <w:pStyle w:val="TableParagraph"/>
              <w:spacing w:line="206" w:lineRule="auto" w:before="53"/>
              <w:ind w:left="210" w:right="121"/>
              <w:rPr>
                <w:rFonts w:ascii="微软雅黑" w:eastAsia="微软雅黑" w:hint="eastAsia"/>
                <w:b/>
                <w:sz w:val="21"/>
              </w:rPr>
            </w:pPr>
            <w:r>
              <w:rPr>
                <w:rFonts w:ascii="微软雅黑" w:eastAsia="微软雅黑" w:hint="eastAsia"/>
                <w:b/>
                <w:sz w:val="21"/>
              </w:rPr>
              <w:t>不典型心肌梗塞</w:t>
            </w:r>
          </w:p>
        </w:tc>
        <w:tc>
          <w:tcPr>
            <w:tcW w:w="7378" w:type="dxa"/>
          </w:tcPr>
          <w:p>
            <w:pPr>
              <w:pStyle w:val="TableParagraph"/>
              <w:spacing w:line="273" w:lineRule="auto" w:before="64"/>
              <w:ind w:right="106"/>
              <w:rPr>
                <w:sz w:val="21"/>
              </w:rPr>
            </w:pPr>
            <w:r>
              <w:rPr>
                <w:sz w:val="21"/>
              </w:rPr>
              <w:t>指被临床诊断为急性心肌梗塞并接受了急性心肌梗塞治疗，虽然未达到重大疾病“急性心肌梗塞”的给付标准，但满足下列全部条件：</w:t>
            </w:r>
          </w:p>
          <w:p>
            <w:pPr>
              <w:pStyle w:val="TableParagraph"/>
              <w:spacing w:before="7"/>
              <w:rPr>
                <w:sz w:val="21"/>
              </w:rPr>
            </w:pPr>
            <w:r>
              <w:rPr>
                <w:rFonts w:ascii="Times New Roman" w:eastAsia="Times New Roman"/>
                <w:sz w:val="21"/>
              </w:rPr>
              <w:t>1.</w:t>
            </w:r>
            <w:r>
              <w:rPr>
                <w:sz w:val="21"/>
              </w:rPr>
              <w:t>肌钙蛋白有诊断意义的升高；</w:t>
            </w:r>
          </w:p>
          <w:p>
            <w:pPr>
              <w:pStyle w:val="TableParagraph"/>
              <w:spacing w:before="21"/>
              <w:rPr>
                <w:sz w:val="21"/>
              </w:rPr>
            </w:pP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06" w:lineRule="auto" w:before="103"/>
              <w:ind w:right="85"/>
              <w:rPr>
                <w:rFonts w:ascii="微软雅黑" w:eastAsia="微软雅黑" w:hint="eastAsia"/>
                <w:b/>
                <w:sz w:val="21"/>
              </w:rPr>
            </w:pPr>
            <w:r>
              <w:rPr>
                <w:rFonts w:ascii="微软雅黑" w:eastAsia="微软雅黑" w:hint="eastAsia"/>
                <w:b/>
                <w:sz w:val="21"/>
              </w:rPr>
              <w:t>如果被保险人在出现不典型的急性心肌梗塞以后接受冠状动脉介入手术治疗， 我们仅就其中一种疾病给付轻症疾病保险金。</w:t>
            </w:r>
          </w:p>
        </w:tc>
      </w:tr>
      <w:tr>
        <w:trPr>
          <w:trHeight w:val="1815" w:hRule="atLeast"/>
        </w:trPr>
        <w:tc>
          <w:tcPr>
            <w:tcW w:w="688" w:type="dxa"/>
          </w:tcPr>
          <w:p>
            <w:pPr>
              <w:pStyle w:val="TableParagraph"/>
              <w:ind w:left="0"/>
              <w:rPr>
                <w:rFonts w:ascii="Times New Roman"/>
                <w:sz w:val="20"/>
              </w:rPr>
            </w:pPr>
          </w:p>
        </w:tc>
        <w:tc>
          <w:tcPr>
            <w:tcW w:w="1601" w:type="dxa"/>
          </w:tcPr>
          <w:p>
            <w:pPr>
              <w:pStyle w:val="TableParagraph"/>
              <w:spacing w:before="2"/>
              <w:ind w:left="210"/>
              <w:rPr>
                <w:rFonts w:ascii="微软雅黑" w:eastAsia="微软雅黑" w:hint="eastAsia"/>
                <w:b/>
                <w:sz w:val="21"/>
              </w:rPr>
            </w:pPr>
            <w:r>
              <w:rPr>
                <w:rFonts w:ascii="微软雅黑" w:eastAsia="微软雅黑" w:hint="eastAsia"/>
                <w:b/>
                <w:sz w:val="21"/>
              </w:rPr>
              <w:t>轻微脑中风</w:t>
            </w:r>
          </w:p>
        </w:tc>
        <w:tc>
          <w:tcPr>
            <w:tcW w:w="7378" w:type="dxa"/>
          </w:tcPr>
          <w:p>
            <w:pPr>
              <w:pStyle w:val="TableParagraph"/>
              <w:spacing w:line="261" w:lineRule="auto" w:before="64"/>
              <w:ind w:right="72"/>
              <w:jc w:val="both"/>
              <w:rPr>
                <w:sz w:val="21"/>
              </w:rPr>
            </w:pPr>
            <w:r>
              <w:rPr>
                <w:spacing w:val="-3"/>
                <w:sz w:val="21"/>
              </w:rPr>
              <w:t>指实际发生了脑血管的突发病变，出现了神经系统功能障碍表现，并住院接受治疗，头颅断层扫描(</w:t>
            </w:r>
            <w:r>
              <w:rPr>
                <w:rFonts w:ascii="Times New Roman" w:eastAsia="Times New Roman"/>
                <w:sz w:val="21"/>
              </w:rPr>
              <w:t>CT</w:t>
            </w:r>
            <w:r>
              <w:rPr>
                <w:spacing w:val="-2"/>
                <w:sz w:val="21"/>
              </w:rPr>
              <w:t>)、核磁共振(</w:t>
            </w:r>
            <w:r>
              <w:rPr>
                <w:rFonts w:ascii="Times New Roman" w:eastAsia="Times New Roman"/>
                <w:sz w:val="21"/>
              </w:rPr>
              <w:t>MRI</w:t>
            </w:r>
            <w:r>
              <w:rPr>
                <w:spacing w:val="-3"/>
                <w:sz w:val="21"/>
              </w:rPr>
              <w:t>)等影像学检查证实存在对应病灶， </w:t>
            </w:r>
            <w:r>
              <w:rPr>
                <w:spacing w:val="-5"/>
                <w:sz w:val="21"/>
              </w:rPr>
              <w:t>确诊为脑出血、脑栓塞或脑梗塞，在确诊 </w:t>
            </w:r>
            <w:r>
              <w:rPr>
                <w:rFonts w:ascii="Times New Roman" w:eastAsia="Times New Roman"/>
                <w:sz w:val="21"/>
              </w:rPr>
              <w:t>180 </w:t>
            </w:r>
            <w:r>
              <w:rPr>
                <w:spacing w:val="-3"/>
                <w:sz w:val="21"/>
              </w:rPr>
              <w:t>日后仍然遗留一肢或一肢以上肢</w:t>
            </w:r>
            <w:r>
              <w:rPr>
                <w:spacing w:val="-14"/>
                <w:sz w:val="21"/>
              </w:rPr>
              <w:t>体肌力 </w:t>
            </w:r>
            <w:r>
              <w:rPr>
                <w:rFonts w:ascii="Times New Roman" w:eastAsia="Times New Roman"/>
                <w:sz w:val="21"/>
              </w:rPr>
              <w:t>III </w:t>
            </w:r>
            <w:r>
              <w:rPr>
                <w:spacing w:val="-17"/>
                <w:sz w:val="21"/>
              </w:rPr>
              <w:t>级或 </w:t>
            </w:r>
            <w:r>
              <w:rPr>
                <w:rFonts w:ascii="Times New Roman" w:eastAsia="Times New Roman"/>
                <w:sz w:val="21"/>
              </w:rPr>
              <w:t>III </w:t>
            </w:r>
            <w:r>
              <w:rPr>
                <w:spacing w:val="-3"/>
                <w:sz w:val="21"/>
              </w:rPr>
              <w:t>级以下的运动功能障碍。</w:t>
            </w:r>
          </w:p>
          <w:p>
            <w:pPr>
              <w:pStyle w:val="TableParagraph"/>
              <w:spacing w:before="91"/>
              <w:jc w:val="both"/>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1767" w:hRule="atLeast"/>
        </w:trPr>
        <w:tc>
          <w:tcPr>
            <w:tcW w:w="688" w:type="dxa"/>
          </w:tcPr>
          <w:p>
            <w:pPr>
              <w:pStyle w:val="TableParagraph"/>
              <w:ind w:left="0"/>
              <w:rPr>
                <w:rFonts w:ascii="Times New Roman"/>
                <w:sz w:val="20"/>
              </w:rPr>
            </w:pPr>
          </w:p>
        </w:tc>
        <w:tc>
          <w:tcPr>
            <w:tcW w:w="1601" w:type="dxa"/>
          </w:tcPr>
          <w:p>
            <w:pPr>
              <w:pStyle w:val="TableParagraph"/>
              <w:spacing w:line="206" w:lineRule="auto" w:before="45"/>
              <w:ind w:left="210" w:right="121"/>
              <w:jc w:val="both"/>
              <w:rPr>
                <w:rFonts w:ascii="微软雅黑" w:eastAsia="微软雅黑" w:hint="eastAsia"/>
                <w:b/>
                <w:sz w:val="21"/>
              </w:rPr>
            </w:pPr>
            <w:r>
              <w:rPr>
                <w:rFonts w:ascii="微软雅黑" w:eastAsia="微软雅黑" w:hint="eastAsia"/>
                <w:b/>
                <w:sz w:val="21"/>
              </w:rPr>
              <w:t>冠状动脉介入手术（非开胸手术）</w:t>
            </w:r>
          </w:p>
        </w:tc>
        <w:tc>
          <w:tcPr>
            <w:tcW w:w="7378" w:type="dxa"/>
          </w:tcPr>
          <w:p>
            <w:pPr>
              <w:pStyle w:val="TableParagraph"/>
              <w:spacing w:line="273" w:lineRule="auto" w:before="56"/>
              <w:ind w:right="106"/>
              <w:rPr>
                <w:sz w:val="21"/>
              </w:rPr>
            </w:pPr>
            <w:r>
              <w:rPr>
                <w:sz w:val="21"/>
              </w:rPr>
              <w:t>为了治疗明显的冠状动脉狭窄性疾病，首次实际实施了冠状动脉球囊扩张成形术、冠状动脉支架植入术或激光冠状动脉成形术。</w:t>
            </w:r>
          </w:p>
          <w:p>
            <w:pPr>
              <w:pStyle w:val="TableParagraph"/>
              <w:spacing w:line="206" w:lineRule="auto" w:before="89"/>
              <w:ind w:right="84"/>
              <w:rPr>
                <w:rFonts w:ascii="微软雅黑" w:eastAsia="微软雅黑" w:hint="eastAsia"/>
                <w:b/>
                <w:sz w:val="21"/>
              </w:rPr>
            </w:pPr>
            <w:r>
              <w:rPr>
                <w:rFonts w:ascii="微软雅黑" w:eastAsia="微软雅黑" w:hint="eastAsia"/>
                <w:b/>
                <w:sz w:val="21"/>
              </w:rPr>
              <w:t>如果被保险人在出现不典型的急性心肌梗塞以后接受冠状动脉介入手术治疗， 我们仅就其中一种疾病给付早期危重疾病保险金。</w:t>
            </w:r>
          </w:p>
          <w:p>
            <w:pPr>
              <w:pStyle w:val="TableParagraph"/>
              <w:spacing w:line="317" w:lineRule="exact" w:before="43"/>
              <w:rPr>
                <w:rFonts w:ascii="微软雅黑" w:eastAsia="微软雅黑" w:hint="eastAsia"/>
                <w:b/>
                <w:sz w:val="21"/>
              </w:rPr>
            </w:pPr>
            <w:r>
              <w:rPr>
                <w:rFonts w:ascii="微软雅黑" w:eastAsia="微软雅黑" w:hint="eastAsia"/>
                <w:b/>
                <w:sz w:val="21"/>
              </w:rPr>
              <w:t>如果被保险人在出现急性心肌梗塞以后接受冠状动脉介入手术，我们仅就急性</w:t>
            </w:r>
          </w:p>
        </w:tc>
      </w:tr>
    </w:tbl>
    <w:p>
      <w:pPr>
        <w:spacing w:after="0" w:line="317" w:lineRule="exact"/>
        <w:rPr>
          <w:rFonts w:ascii="微软雅黑" w:eastAsia="微软雅黑" w:hint="eastAsia"/>
          <w:sz w:val="21"/>
        </w:rPr>
        <w:sectPr>
          <w:pgSz w:w="11910" w:h="16840"/>
          <w:pgMar w:header="0" w:footer="915" w:top="1320" w:bottom="1100" w:left="9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1"/>
      </w:tblGrid>
      <w:tr>
        <w:trPr>
          <w:trHeight w:val="339" w:hRule="atLeast"/>
        </w:trPr>
        <w:tc>
          <w:tcPr>
            <w:tcW w:w="1591" w:type="dxa"/>
          </w:tcPr>
          <w:p>
            <w:pPr>
              <w:pStyle w:val="TableParagraph"/>
              <w:ind w:left="0"/>
              <w:rPr>
                <w:rFonts w:ascii="Times New Roman"/>
                <w:sz w:val="20"/>
              </w:rPr>
            </w:pPr>
          </w:p>
        </w:tc>
        <w:tc>
          <w:tcPr>
            <w:tcW w:w="7581" w:type="dxa"/>
          </w:tcPr>
          <w:p>
            <w:pPr>
              <w:pStyle w:val="TableParagraph"/>
              <w:spacing w:line="236" w:lineRule="exact"/>
              <w:rPr>
                <w:rFonts w:ascii="微软雅黑" w:eastAsia="微软雅黑" w:hint="eastAsia"/>
                <w:b/>
                <w:sz w:val="21"/>
              </w:rPr>
            </w:pPr>
            <w:r>
              <w:rPr>
                <w:rFonts w:ascii="微软雅黑" w:eastAsia="微软雅黑" w:hint="eastAsia"/>
                <w:b/>
                <w:sz w:val="21"/>
              </w:rPr>
              <w:t>心肌梗塞给付重大疾病保险金。</w:t>
            </w:r>
          </w:p>
        </w:tc>
      </w:tr>
      <w:tr>
        <w:trPr>
          <w:trHeight w:val="873"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单侧肺脏切除</w:t>
            </w:r>
          </w:p>
        </w:tc>
        <w:tc>
          <w:tcPr>
            <w:tcW w:w="7581" w:type="dxa"/>
          </w:tcPr>
          <w:p>
            <w:pPr>
              <w:pStyle w:val="TableParagraph"/>
              <w:spacing w:before="65"/>
              <w:rPr>
                <w:sz w:val="21"/>
              </w:rPr>
            </w:pPr>
            <w:r>
              <w:rPr>
                <w:sz w:val="21"/>
              </w:rPr>
              <w:t>因疾病或意外事故实际实施的一侧肺脏切除术。</w:t>
            </w:r>
          </w:p>
          <w:p>
            <w:pPr>
              <w:pStyle w:val="TableParagraph"/>
              <w:spacing w:before="131"/>
              <w:rPr>
                <w:sz w:val="21"/>
              </w:rPr>
            </w:pPr>
            <w:r>
              <w:rPr>
                <w:sz w:val="21"/>
                <w:shd w:fill="C0C0C0" w:color="auto" w:val="clear"/>
              </w:rPr>
              <w:t>部分切除手术和肺脏捐献引起的手术不在保障范围内。</w:t>
            </w:r>
          </w:p>
        </w:tc>
      </w:tr>
      <w:tr>
        <w:trPr>
          <w:trHeight w:val="780"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肝脏手术</w:t>
            </w:r>
          </w:p>
        </w:tc>
        <w:tc>
          <w:tcPr>
            <w:tcW w:w="7581" w:type="dxa"/>
          </w:tcPr>
          <w:p>
            <w:pPr>
              <w:pStyle w:val="TableParagraph"/>
              <w:spacing w:line="273" w:lineRule="auto" w:before="64"/>
              <w:ind w:right="309"/>
              <w:rPr>
                <w:sz w:val="21"/>
              </w:rPr>
            </w:pPr>
            <w:r>
              <w:rPr>
                <w:sz w:val="21"/>
              </w:rPr>
              <w:t>指因疾病或意外事故实际实施的肝脏部分切除术，手术须有至少一个完整的肝叶切除。</w:t>
            </w:r>
          </w:p>
        </w:tc>
      </w:tr>
      <w:tr>
        <w:trPr>
          <w:trHeight w:val="1099"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早期运动神经性疾病</w:t>
            </w:r>
          </w:p>
        </w:tc>
        <w:tc>
          <w:tcPr>
            <w:tcW w:w="7581" w:type="dxa"/>
          </w:tcPr>
          <w:p>
            <w:pPr>
              <w:pStyle w:val="TableParagraph"/>
              <w:spacing w:line="312" w:lineRule="exact" w:before="60"/>
              <w:ind w:right="309"/>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rFonts w:ascii="微软雅黑" w:eastAsia="微软雅黑" w:hint="eastAsia"/>
                <w:b/>
                <w:sz w:val="21"/>
              </w:rPr>
              <w:t>六项基本日常生活活动</w:t>
            </w:r>
            <w:r>
              <w:rPr>
                <w:sz w:val="21"/>
              </w:rPr>
              <w:t>（见 </w:t>
            </w:r>
            <w:r>
              <w:rPr>
                <w:rFonts w:ascii="Times New Roman" w:eastAsia="Times New Roman"/>
                <w:sz w:val="21"/>
              </w:rPr>
              <w:t>11.17</w:t>
            </w:r>
            <w:r>
              <w:rPr>
                <w:sz w:val="21"/>
              </w:rPr>
              <w:t>）中的两项。</w:t>
            </w:r>
          </w:p>
        </w:tc>
      </w:tr>
      <w:tr>
        <w:trPr>
          <w:trHeight w:val="1178" w:hRule="atLeast"/>
        </w:trPr>
        <w:tc>
          <w:tcPr>
            <w:tcW w:w="1591" w:type="dxa"/>
          </w:tcPr>
          <w:p>
            <w:pPr>
              <w:pStyle w:val="TableParagraph"/>
              <w:spacing w:line="332" w:lineRule="exact"/>
              <w:ind w:left="200"/>
              <w:rPr>
                <w:rFonts w:ascii="微软雅黑" w:eastAsia="微软雅黑" w:hint="eastAsia"/>
                <w:b/>
                <w:sz w:val="21"/>
              </w:rPr>
            </w:pPr>
            <w:r>
              <w:rPr>
                <w:rFonts w:ascii="微软雅黑" w:eastAsia="微软雅黑" w:hint="eastAsia"/>
                <w:b/>
                <w:sz w:val="21"/>
              </w:rPr>
              <w:t>主动脉内手术</w:t>
            </w:r>
          </w:p>
          <w:p>
            <w:pPr>
              <w:pStyle w:val="TableParagraph"/>
              <w:spacing w:line="206" w:lineRule="auto" w:before="25"/>
              <w:ind w:left="200" w:right="334"/>
              <w:rPr>
                <w:rFonts w:ascii="微软雅黑" w:eastAsia="微软雅黑" w:hint="eastAsia"/>
                <w:b/>
                <w:sz w:val="21"/>
              </w:rPr>
            </w:pPr>
            <w:r>
              <w:rPr>
                <w:rFonts w:ascii="微软雅黑" w:eastAsia="微软雅黑" w:hint="eastAsia"/>
                <w:b/>
                <w:sz w:val="21"/>
              </w:rPr>
              <w:t>（非开胸手术）</w:t>
            </w:r>
          </w:p>
        </w:tc>
        <w:tc>
          <w:tcPr>
            <w:tcW w:w="7581" w:type="dxa"/>
          </w:tcPr>
          <w:p>
            <w:pPr>
              <w:pStyle w:val="TableParagraph"/>
              <w:spacing w:line="273" w:lineRule="auto" w:before="56"/>
              <w:ind w:right="309"/>
              <w:rPr>
                <w:sz w:val="21"/>
              </w:rPr>
            </w:pPr>
            <w:r>
              <w:rPr>
                <w:sz w:val="21"/>
              </w:rPr>
              <w:t>为了治疗主动脉疾病实际实施了经皮经导管进行的动脉内手术。主动脉指胸主动脉和腹主动脉。</w:t>
            </w:r>
          </w:p>
          <w:p>
            <w:pPr>
              <w:pStyle w:val="TableParagraph"/>
              <w:spacing w:before="100"/>
              <w:rPr>
                <w:sz w:val="21"/>
              </w:rPr>
            </w:pPr>
            <w:r>
              <w:rPr>
                <w:sz w:val="21"/>
                <w:shd w:fill="C0C0C0" w:color="auto" w:val="clear"/>
              </w:rPr>
              <w:t>胸主动脉和腹主动脉的分支血管不在保障范围内。</w:t>
            </w:r>
          </w:p>
        </w:tc>
      </w:tr>
      <w:tr>
        <w:trPr>
          <w:trHeight w:val="1411"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慢性肾功能障碍</w:t>
            </w:r>
          </w:p>
        </w:tc>
        <w:tc>
          <w:tcPr>
            <w:tcW w:w="7581" w:type="dxa"/>
          </w:tcPr>
          <w:p>
            <w:pPr>
              <w:pStyle w:val="TableParagraph"/>
              <w:spacing w:before="64"/>
              <w:rPr>
                <w:sz w:val="21"/>
              </w:rPr>
            </w:pPr>
            <w:r>
              <w:rPr>
                <w:sz w:val="21"/>
              </w:rPr>
              <w:t>慢性肾功能障碍是指慢性肾功能不全的晚期。必须满足下列全部条件：</w:t>
            </w:r>
          </w:p>
          <w:p>
            <w:pPr>
              <w:pStyle w:val="TableParagraph"/>
              <w:spacing w:before="36"/>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0"/>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0"/>
              <w:rPr>
                <w:sz w:val="21"/>
              </w:rPr>
            </w:pPr>
            <w:r>
              <w:rPr>
                <w:rFonts w:ascii="Times New Roman" w:eastAsia="Times New Roman"/>
                <w:sz w:val="21"/>
              </w:rPr>
              <w:t>2.</w:t>
            </w:r>
            <w:r>
              <w:rPr>
                <w:sz w:val="21"/>
              </w:rPr>
              <w:t>慢性肾功能障碍的诊断必须由泌尿科或肾脏科专科医生确诊。</w:t>
            </w:r>
          </w:p>
        </w:tc>
      </w:tr>
      <w:tr>
        <w:trPr>
          <w:trHeight w:val="768" w:hRule="atLeast"/>
        </w:trPr>
        <w:tc>
          <w:tcPr>
            <w:tcW w:w="1591" w:type="dxa"/>
          </w:tcPr>
          <w:p>
            <w:pPr>
              <w:pStyle w:val="TableParagraph"/>
              <w:spacing w:line="357" w:lineRule="exact"/>
              <w:ind w:left="200"/>
              <w:rPr>
                <w:rFonts w:ascii="微软雅黑" w:eastAsia="微软雅黑" w:hint="eastAsia"/>
                <w:b/>
                <w:sz w:val="21"/>
              </w:rPr>
            </w:pPr>
            <w:r>
              <w:rPr>
                <w:rFonts w:ascii="微软雅黑" w:eastAsia="微软雅黑" w:hint="eastAsia"/>
                <w:b/>
                <w:sz w:val="21"/>
              </w:rPr>
              <w:t>一肢缺失</w:t>
            </w:r>
          </w:p>
        </w:tc>
        <w:tc>
          <w:tcPr>
            <w:tcW w:w="7581" w:type="dxa"/>
          </w:tcPr>
          <w:p>
            <w:pPr>
              <w:pStyle w:val="TableParagraph"/>
              <w:spacing w:line="273" w:lineRule="auto" w:before="56"/>
              <w:ind w:right="309"/>
              <w:rPr>
                <w:sz w:val="21"/>
              </w:rPr>
            </w:pPr>
            <w:r>
              <w:rPr>
                <w:sz w:val="21"/>
              </w:rPr>
              <w:t>指因疾病或意外伤害导致一个肢体自腕关节或踝关节近端（靠近躯干端）以上完全断离。</w:t>
            </w:r>
          </w:p>
        </w:tc>
      </w:tr>
      <w:tr>
        <w:trPr>
          <w:trHeight w:val="1727" w:hRule="atLeast"/>
        </w:trPr>
        <w:tc>
          <w:tcPr>
            <w:tcW w:w="1591" w:type="dxa"/>
          </w:tcPr>
          <w:p>
            <w:pPr>
              <w:pStyle w:val="TableParagraph"/>
              <w:spacing w:line="206" w:lineRule="auto" w:before="56"/>
              <w:ind w:left="200" w:right="121"/>
              <w:jc w:val="both"/>
              <w:rPr>
                <w:rFonts w:ascii="微软雅黑" w:eastAsia="微软雅黑" w:hint="eastAsia"/>
                <w:b/>
                <w:sz w:val="21"/>
              </w:rPr>
            </w:pPr>
            <w:r>
              <w:rPr>
                <w:rFonts w:ascii="微软雅黑" w:eastAsia="微软雅黑" w:hint="eastAsia"/>
                <w:b/>
                <w:sz w:val="21"/>
              </w:rPr>
              <w:t>脑垂体瘤、脑囊肿、脑动脉瘤及脑血管瘤</w:t>
            </w:r>
          </w:p>
        </w:tc>
        <w:tc>
          <w:tcPr>
            <w:tcW w:w="7581" w:type="dxa"/>
          </w:tcPr>
          <w:p>
            <w:pPr>
              <w:pStyle w:val="TableParagraph"/>
              <w:spacing w:line="256" w:lineRule="auto" w:before="68"/>
              <w:ind w:right="484"/>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)或其他影像学检查被确诊为下列病变，并实际接受了手术或放射治疗。</w:t>
            </w:r>
          </w:p>
          <w:p>
            <w:pPr>
              <w:pStyle w:val="TableParagraph"/>
              <w:spacing w:before="22"/>
              <w:rPr>
                <w:sz w:val="21"/>
              </w:rPr>
            </w:pPr>
            <w:r>
              <w:rPr>
                <w:rFonts w:ascii="Times New Roman" w:eastAsia="Times New Roman"/>
                <w:sz w:val="21"/>
              </w:rPr>
              <w:t>1.</w:t>
            </w:r>
            <w:r>
              <w:rPr>
                <w:sz w:val="21"/>
              </w:rPr>
              <w:t>脑垂体瘤；</w:t>
            </w:r>
          </w:p>
          <w:p>
            <w:pPr>
              <w:pStyle w:val="TableParagraph"/>
              <w:spacing w:before="20"/>
              <w:rPr>
                <w:sz w:val="21"/>
              </w:rPr>
            </w:pPr>
            <w:r>
              <w:rPr>
                <w:rFonts w:ascii="Times New Roman" w:eastAsia="Times New Roman"/>
                <w:sz w:val="21"/>
              </w:rPr>
              <w:t>2.</w:t>
            </w:r>
            <w:r>
              <w:rPr>
                <w:sz w:val="21"/>
              </w:rPr>
              <w:t>脑囊肿；</w:t>
            </w:r>
          </w:p>
          <w:p>
            <w:pPr>
              <w:pStyle w:val="TableParagraph"/>
              <w:spacing w:before="20"/>
              <w:rPr>
                <w:sz w:val="21"/>
              </w:rPr>
            </w:pPr>
            <w:r>
              <w:rPr>
                <w:rFonts w:ascii="Times New Roman" w:eastAsia="Times New Roman"/>
                <w:sz w:val="21"/>
              </w:rPr>
              <w:t>3.</w:t>
            </w:r>
            <w:r>
              <w:rPr>
                <w:sz w:val="21"/>
              </w:rPr>
              <w:t>脑动脉瘤、脑血管瘤。</w:t>
            </w:r>
          </w:p>
        </w:tc>
      </w:tr>
      <w:tr>
        <w:trPr>
          <w:trHeight w:val="2028" w:hRule="atLeast"/>
        </w:trPr>
        <w:tc>
          <w:tcPr>
            <w:tcW w:w="1591" w:type="dxa"/>
          </w:tcPr>
          <w:p>
            <w:pPr>
              <w:pStyle w:val="TableParagraph"/>
              <w:spacing w:line="357" w:lineRule="exact"/>
              <w:ind w:left="200"/>
              <w:rPr>
                <w:rFonts w:ascii="微软雅黑" w:eastAsia="微软雅黑" w:hint="eastAsia"/>
                <w:b/>
                <w:sz w:val="21"/>
              </w:rPr>
            </w:pPr>
            <w:r>
              <w:rPr>
                <w:rFonts w:ascii="微软雅黑" w:eastAsia="微软雅黑" w:hint="eastAsia"/>
                <w:b/>
                <w:sz w:val="21"/>
              </w:rPr>
              <w:t>早期肝硬化</w:t>
            </w:r>
          </w:p>
        </w:tc>
        <w:tc>
          <w:tcPr>
            <w:tcW w:w="7581" w:type="dxa"/>
          </w:tcPr>
          <w:p>
            <w:pPr>
              <w:pStyle w:val="TableParagraph"/>
              <w:spacing w:line="273" w:lineRule="auto" w:before="56"/>
              <w:ind w:right="309"/>
              <w:rPr>
                <w:sz w:val="21"/>
              </w:rPr>
            </w:pPr>
            <w:r>
              <w:rPr>
                <w:sz w:val="21"/>
              </w:rPr>
              <w:t>肝硬化须由专科医生明确诊断。必须由活检证实有再生的肝细胞结节和典型的肝组织纤维化。下列条件必须全部满足并至少持续一年：</w:t>
            </w:r>
          </w:p>
          <w:p>
            <w:pPr>
              <w:pStyle w:val="TableParagraph"/>
              <w:spacing w:before="7"/>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1"/>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before="21"/>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w:t>
            </w:r>
          </w:p>
          <w:p>
            <w:pPr>
              <w:pStyle w:val="TableParagraph"/>
              <w:spacing w:before="21"/>
              <w:rPr>
                <w:sz w:val="21"/>
              </w:rPr>
            </w:pPr>
            <w:r>
              <w:rPr>
                <w:sz w:val="21"/>
              </w:rPr>
              <w:t>比率(</w:t>
            </w:r>
            <w:r>
              <w:rPr>
                <w:rFonts w:ascii="Times New Roman" w:eastAsia="Times New Roman"/>
                <w:sz w:val="21"/>
              </w:rPr>
              <w:t>INR</w:t>
            </w:r>
            <w:r>
              <w:rPr>
                <w:sz w:val="21"/>
              </w:rPr>
              <w:t>)在 </w:t>
            </w:r>
            <w:r>
              <w:rPr>
                <w:rFonts w:ascii="Times New Roman" w:eastAsia="Times New Roman"/>
                <w:sz w:val="21"/>
              </w:rPr>
              <w:t>2.0 </w:t>
            </w:r>
            <w:r>
              <w:rPr>
                <w:sz w:val="21"/>
              </w:rPr>
              <w:t>以上。</w:t>
            </w:r>
          </w:p>
        </w:tc>
      </w:tr>
      <w:tr>
        <w:trPr>
          <w:trHeight w:val="2110" w:hRule="atLeast"/>
        </w:trPr>
        <w:tc>
          <w:tcPr>
            <w:tcW w:w="1591" w:type="dxa"/>
          </w:tcPr>
          <w:p>
            <w:pPr>
              <w:pStyle w:val="TableParagraph"/>
              <w:spacing w:line="206" w:lineRule="auto" w:before="45"/>
              <w:ind w:left="200" w:right="121"/>
              <w:rPr>
                <w:rFonts w:ascii="微软雅黑" w:eastAsia="微软雅黑" w:hint="eastAsia"/>
                <w:b/>
                <w:sz w:val="21"/>
              </w:rPr>
            </w:pPr>
            <w:r>
              <w:rPr>
                <w:rFonts w:ascii="微软雅黑" w:eastAsia="微软雅黑" w:hint="eastAsia"/>
                <w:b/>
                <w:sz w:val="21"/>
              </w:rPr>
              <w:t>中度溃疡性结肠炎</w:t>
            </w:r>
          </w:p>
        </w:tc>
        <w:tc>
          <w:tcPr>
            <w:tcW w:w="7581" w:type="dxa"/>
          </w:tcPr>
          <w:p>
            <w:pPr>
              <w:pStyle w:val="TableParagraph"/>
              <w:spacing w:line="273" w:lineRule="auto" w:before="57"/>
              <w:ind w:right="309"/>
              <w:jc w:val="both"/>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w:t>
            </w:r>
            <w:r>
              <w:rPr>
                <w:rFonts w:ascii="Times New Roman" w:eastAsia="Times New Roman"/>
                <w:sz w:val="21"/>
              </w:rPr>
              <w:t>90 </w:t>
            </w:r>
            <w:r>
              <w:rPr>
                <w:sz w:val="21"/>
              </w:rPr>
              <w:t>日，才符合本保障范围。</w:t>
            </w:r>
          </w:p>
          <w:p>
            <w:pPr>
              <w:pStyle w:val="TableParagraph"/>
              <w:spacing w:before="82"/>
              <w:jc w:val="both"/>
              <w:rPr>
                <w:sz w:val="21"/>
              </w:rPr>
            </w:pPr>
            <w:r>
              <w:rPr>
                <w:sz w:val="21"/>
                <w:shd w:fill="C0C0C0" w:color="auto" w:val="clear"/>
              </w:rPr>
              <w:t>其他种类的发炎性结肠炎、只发生在直肠的溃疡性结肠炎均不在保障范围内。</w:t>
            </w:r>
          </w:p>
        </w:tc>
      </w:tr>
      <w:tr>
        <w:trPr>
          <w:trHeight w:val="1100" w:hRule="atLeast"/>
        </w:trPr>
        <w:tc>
          <w:tcPr>
            <w:tcW w:w="1591" w:type="dxa"/>
          </w:tcPr>
          <w:p>
            <w:pPr>
              <w:pStyle w:val="TableParagraph"/>
              <w:spacing w:line="337" w:lineRule="exact" w:before="5"/>
              <w:ind w:left="200"/>
              <w:rPr>
                <w:rFonts w:ascii="Times New Roman" w:eastAsia="Times New Roman"/>
                <w:b/>
                <w:sz w:val="21"/>
              </w:rPr>
            </w:pPr>
            <w:r>
              <w:rPr>
                <w:rFonts w:ascii="微软雅黑" w:eastAsia="微软雅黑" w:hint="eastAsia"/>
                <w:b/>
                <w:sz w:val="21"/>
              </w:rPr>
              <w:t>深度昏迷 </w:t>
            </w:r>
            <w:r>
              <w:rPr>
                <w:rFonts w:ascii="Times New Roman" w:eastAsia="Times New Roman"/>
                <w:b/>
                <w:sz w:val="21"/>
              </w:rPr>
              <w:t>72</w:t>
            </w:r>
          </w:p>
          <w:p>
            <w:pPr>
              <w:pStyle w:val="TableParagraph"/>
              <w:spacing w:line="337" w:lineRule="exact"/>
              <w:ind w:left="200"/>
              <w:rPr>
                <w:rFonts w:ascii="微软雅黑" w:eastAsia="微软雅黑" w:hint="eastAsia"/>
                <w:b/>
                <w:sz w:val="21"/>
              </w:rPr>
            </w:pPr>
            <w:r>
              <w:rPr>
                <w:rFonts w:ascii="微软雅黑" w:eastAsia="微软雅黑" w:hint="eastAsia"/>
                <w:b/>
                <w:sz w:val="21"/>
              </w:rPr>
              <w:t>小时</w:t>
            </w:r>
          </w:p>
        </w:tc>
        <w:tc>
          <w:tcPr>
            <w:tcW w:w="7581" w:type="dxa"/>
          </w:tcPr>
          <w:p>
            <w:pPr>
              <w:pStyle w:val="TableParagraph"/>
              <w:spacing w:line="264" w:lineRule="auto" w:before="68"/>
              <w:ind w:right="309"/>
              <w:jc w:val="both"/>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1"/>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分以下，且已经持续使用呼吸机及其他生命维持系统达到 </w:t>
            </w:r>
            <w:r>
              <w:rPr>
                <w:rFonts w:ascii="Times New Roman" w:eastAsia="Times New Roman"/>
                <w:sz w:val="21"/>
              </w:rPr>
              <w:t>72 </w:t>
            </w:r>
            <w:r>
              <w:rPr>
                <w:spacing w:val="-2"/>
                <w:sz w:val="21"/>
              </w:rPr>
              <w:t>小时。</w:t>
            </w:r>
          </w:p>
        </w:tc>
      </w:tr>
      <w:tr>
        <w:trPr>
          <w:trHeight w:val="959" w:hRule="atLeast"/>
        </w:trPr>
        <w:tc>
          <w:tcPr>
            <w:tcW w:w="1591" w:type="dxa"/>
          </w:tcPr>
          <w:p>
            <w:pPr>
              <w:pStyle w:val="TableParagraph"/>
              <w:spacing w:line="206" w:lineRule="auto" w:before="48"/>
              <w:ind w:left="200" w:right="121"/>
              <w:rPr>
                <w:rFonts w:ascii="微软雅黑" w:eastAsia="微软雅黑" w:hint="eastAsia"/>
                <w:b/>
                <w:sz w:val="21"/>
              </w:rPr>
            </w:pPr>
            <w:r>
              <w:rPr>
                <w:rFonts w:ascii="微软雅黑" w:eastAsia="微软雅黑" w:hint="eastAsia"/>
                <w:b/>
                <w:sz w:val="21"/>
              </w:rPr>
              <w:t>继发性肺动脉高压</w:t>
            </w:r>
          </w:p>
        </w:tc>
        <w:tc>
          <w:tcPr>
            <w:tcW w:w="7581" w:type="dxa"/>
          </w:tcPr>
          <w:p>
            <w:pPr>
              <w:pStyle w:val="TableParagraph"/>
              <w:spacing w:line="312" w:lineRule="exact" w:before="56"/>
              <w:ind w:right="198"/>
              <w:rPr>
                <w:sz w:val="21"/>
              </w:rPr>
            </w:pPr>
            <w:r>
              <w:rPr>
                <w:spacing w:val="-13"/>
                <w:sz w:val="21"/>
              </w:rPr>
              <w:t>继发性肺动脉压力持续增高，导致右心室肥厚，已经造成</w:t>
            </w:r>
            <w:r>
              <w:rPr>
                <w:rFonts w:ascii="微软雅黑" w:eastAsia="微软雅黑" w:hint="eastAsia"/>
                <w:b/>
                <w:spacing w:val="-14"/>
                <w:sz w:val="21"/>
              </w:rPr>
              <w:t>永久不可逆</w:t>
            </w:r>
            <w:r>
              <w:rPr>
                <w:spacing w:val="-3"/>
                <w:sz w:val="21"/>
              </w:rPr>
              <w:t>（</w:t>
            </w:r>
            <w:r>
              <w:rPr>
                <w:spacing w:val="-11"/>
                <w:sz w:val="21"/>
              </w:rPr>
              <w:t>见 </w:t>
            </w:r>
            <w:r>
              <w:rPr>
                <w:rFonts w:ascii="Times New Roman" w:eastAsia="Times New Roman"/>
                <w:sz w:val="21"/>
              </w:rPr>
              <w:t>11.18</w:t>
            </w:r>
            <w:r>
              <w:rPr>
                <w:sz w:val="21"/>
              </w:rPr>
              <w:t>） </w:t>
            </w:r>
            <w:r>
              <w:rPr>
                <w:spacing w:val="-4"/>
                <w:sz w:val="21"/>
              </w:rPr>
              <w:t>性的体力活动能力受限，达到美国纽约心脏病学会心功能状态分级 </w:t>
            </w:r>
            <w:r>
              <w:rPr>
                <w:rFonts w:ascii="Times New Roman" w:eastAsia="Times New Roman"/>
                <w:sz w:val="21"/>
              </w:rPr>
              <w:t>IV </w:t>
            </w:r>
            <w:r>
              <w:rPr>
                <w:spacing w:val="-2"/>
                <w:sz w:val="21"/>
              </w:rPr>
              <w:t>级。诊断</w:t>
            </w:r>
            <w:r>
              <w:rPr>
                <w:spacing w:val="-3"/>
                <w:sz w:val="21"/>
              </w:rPr>
              <w:t>需要有心脏科专科医生确诊，并且心导管检查报告显示静息状态下肺动脉平</w:t>
            </w:r>
          </w:p>
        </w:tc>
      </w:tr>
    </w:tbl>
    <w:p>
      <w:pPr>
        <w:spacing w:after="0" w:line="312"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354" w:hRule="atLeast"/>
        </w:trPr>
        <w:tc>
          <w:tcPr>
            <w:tcW w:w="1591" w:type="dxa"/>
          </w:tcPr>
          <w:p>
            <w:pPr>
              <w:pStyle w:val="TableParagraph"/>
              <w:ind w:left="0"/>
              <w:rPr>
                <w:rFonts w:ascii="Times New Roman"/>
                <w:sz w:val="20"/>
              </w:rPr>
            </w:pPr>
          </w:p>
        </w:tc>
        <w:tc>
          <w:tcPr>
            <w:tcW w:w="7580" w:type="dxa"/>
          </w:tcPr>
          <w:p>
            <w:pPr>
              <w:pStyle w:val="TableParagraph"/>
              <w:spacing w:line="234" w:lineRule="exact"/>
              <w:rPr>
                <w:sz w:val="21"/>
              </w:rPr>
            </w:pPr>
            <w:r>
              <w:rPr>
                <w:sz w:val="21"/>
              </w:rPr>
              <w:t>均压超过 </w:t>
            </w:r>
            <w:r>
              <w:rPr>
                <w:rFonts w:ascii="Times New Roman" w:eastAsia="Times New Roman"/>
                <w:sz w:val="21"/>
              </w:rPr>
              <w:t>30mmHg</w:t>
            </w:r>
            <w:r>
              <w:rPr>
                <w:sz w:val="21"/>
              </w:rPr>
              <w:t>。</w:t>
            </w:r>
          </w:p>
        </w:tc>
      </w:tr>
      <w:tr>
        <w:trPr>
          <w:trHeight w:val="1798" w:hRule="atLeast"/>
        </w:trPr>
        <w:tc>
          <w:tcPr>
            <w:tcW w:w="1591" w:type="dxa"/>
          </w:tcPr>
          <w:p>
            <w:pPr>
              <w:pStyle w:val="TableParagraph"/>
              <w:spacing w:line="206" w:lineRule="auto" w:before="45"/>
              <w:ind w:left="200" w:right="121"/>
              <w:rPr>
                <w:rFonts w:ascii="微软雅黑" w:eastAsia="微软雅黑" w:hint="eastAsia"/>
                <w:b/>
                <w:sz w:val="21"/>
              </w:rPr>
            </w:pPr>
            <w:r>
              <w:rPr>
                <w:rFonts w:ascii="微软雅黑" w:eastAsia="微软雅黑" w:hint="eastAsia"/>
                <w:b/>
                <w:sz w:val="21"/>
              </w:rPr>
              <w:t>中度帕金森氏病</w:t>
            </w:r>
          </w:p>
        </w:tc>
        <w:tc>
          <w:tcPr>
            <w:tcW w:w="7580" w:type="dxa"/>
          </w:tcPr>
          <w:p>
            <w:pPr>
              <w:pStyle w:val="TableParagraph"/>
              <w:spacing w:line="273" w:lineRule="auto" w:before="57"/>
              <w:ind w:right="308"/>
              <w:rPr>
                <w:sz w:val="21"/>
              </w:rPr>
            </w:pPr>
            <w:r>
              <w:rPr>
                <w:sz w:val="21"/>
              </w:rPr>
              <w:t>是一种中枢神经系统的退行性疾病，临床表现为震颤麻痹、共济失调等。必须满足下列全部条件：</w:t>
            </w:r>
          </w:p>
          <w:p>
            <w:pPr>
              <w:pStyle w:val="TableParagraph"/>
              <w:spacing w:before="8"/>
              <w:rPr>
                <w:sz w:val="21"/>
              </w:rPr>
            </w:pPr>
            <w:r>
              <w:rPr>
                <w:rFonts w:ascii="Times New Roman" w:eastAsia="Times New Roman"/>
                <w:sz w:val="21"/>
              </w:rPr>
              <w:t>1.</w:t>
            </w:r>
            <w:r>
              <w:rPr>
                <w:sz w:val="21"/>
              </w:rPr>
              <w:t>药物治疗无法控制病情；</w:t>
            </w:r>
          </w:p>
          <w:p>
            <w:pPr>
              <w:pStyle w:val="TableParagraph"/>
              <w:spacing w:line="336" w:lineRule="auto" w:before="21"/>
              <w:ind w:right="570"/>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p>
        </w:tc>
      </w:tr>
      <w:tr>
        <w:trPr>
          <w:trHeight w:val="1095" w:hRule="atLeast"/>
        </w:trPr>
        <w:tc>
          <w:tcPr>
            <w:tcW w:w="1591" w:type="dxa"/>
          </w:tcPr>
          <w:p>
            <w:pPr>
              <w:pStyle w:val="TableParagraph"/>
              <w:spacing w:before="5"/>
              <w:ind w:left="200"/>
              <w:rPr>
                <w:rFonts w:ascii="微软雅黑" w:eastAsia="微软雅黑" w:hint="eastAsia"/>
                <w:b/>
                <w:sz w:val="21"/>
              </w:rPr>
            </w:pPr>
            <w:r>
              <w:rPr>
                <w:rFonts w:ascii="微软雅黑" w:eastAsia="微软雅黑" w:hint="eastAsia"/>
                <w:b/>
                <w:sz w:val="21"/>
              </w:rPr>
              <w:t>中度瘫痪</w:t>
            </w:r>
          </w:p>
        </w:tc>
        <w:tc>
          <w:tcPr>
            <w:tcW w:w="7580" w:type="dxa"/>
          </w:tcPr>
          <w:p>
            <w:pPr>
              <w:pStyle w:val="TableParagraph"/>
              <w:spacing w:line="252" w:lineRule="auto" w:before="5"/>
              <w:ind w:right="308"/>
              <w:rPr>
                <w:sz w:val="21"/>
              </w:rPr>
            </w:pPr>
            <w:r>
              <w:rPr>
                <w:spacing w:val="-3"/>
                <w:sz w:val="21"/>
              </w:rPr>
              <w:t>指因疾病或意外伤害导致一肢</w:t>
            </w:r>
            <w:r>
              <w:rPr>
                <w:rFonts w:ascii="微软雅黑" w:eastAsia="微软雅黑" w:hint="eastAsia"/>
                <w:b/>
                <w:spacing w:val="-1"/>
                <w:sz w:val="21"/>
              </w:rPr>
              <w:t>肢体机能永久完全丧失</w:t>
            </w:r>
            <w:r>
              <w:rPr>
                <w:sz w:val="21"/>
              </w:rPr>
              <w:t>（</w:t>
            </w:r>
            <w:r>
              <w:rPr>
                <w:spacing w:val="-23"/>
                <w:sz w:val="21"/>
              </w:rPr>
              <w:t>见 </w:t>
            </w:r>
            <w:r>
              <w:rPr>
                <w:rFonts w:ascii="Times New Roman" w:eastAsia="Times New Roman"/>
                <w:sz w:val="21"/>
              </w:rPr>
              <w:t>11.19</w:t>
            </w:r>
            <w:r>
              <w:rPr>
                <w:sz w:val="21"/>
              </w:rPr>
              <w:t>）</w:t>
            </w:r>
            <w:r>
              <w:rPr>
                <w:spacing w:val="-1"/>
                <w:sz w:val="21"/>
              </w:rPr>
              <w:t>，肢体机能</w:t>
            </w:r>
            <w:r>
              <w:rPr>
                <w:spacing w:val="-7"/>
                <w:sz w:val="21"/>
              </w:rPr>
              <w:t>永久完全丧失，指疾病确诊 </w:t>
            </w:r>
            <w:r>
              <w:rPr>
                <w:rFonts w:ascii="Times New Roman" w:eastAsia="Times New Roman"/>
                <w:sz w:val="21"/>
              </w:rPr>
              <w:t>180 </w:t>
            </w:r>
            <w:r>
              <w:rPr>
                <w:spacing w:val="-8"/>
                <w:sz w:val="21"/>
              </w:rPr>
              <w:t>日后或意外伤害发生 </w:t>
            </w:r>
            <w:r>
              <w:rPr>
                <w:rFonts w:ascii="Times New Roman" w:eastAsia="Times New Roman"/>
                <w:sz w:val="21"/>
              </w:rPr>
              <w:t>180 </w:t>
            </w:r>
            <w:r>
              <w:rPr>
                <w:spacing w:val="-3"/>
                <w:sz w:val="21"/>
              </w:rPr>
              <w:t>日后，该肢三大关节中的两大关节仍然完全僵硬，或不能随意识活动。</w:t>
            </w:r>
          </w:p>
        </w:tc>
      </w:tr>
      <w:tr>
        <w:trPr>
          <w:trHeight w:val="1092" w:hRule="atLeast"/>
        </w:trPr>
        <w:tc>
          <w:tcPr>
            <w:tcW w:w="1591" w:type="dxa"/>
          </w:tcPr>
          <w:p>
            <w:pPr>
              <w:pStyle w:val="TableParagraph"/>
              <w:spacing w:line="206" w:lineRule="auto" w:before="53"/>
              <w:ind w:left="200" w:right="121"/>
              <w:jc w:val="both"/>
              <w:rPr>
                <w:rFonts w:ascii="微软雅黑" w:eastAsia="微软雅黑" w:hint="eastAsia"/>
                <w:b/>
                <w:sz w:val="21"/>
              </w:rPr>
            </w:pPr>
            <w:r>
              <w:rPr>
                <w:rFonts w:ascii="微软雅黑" w:eastAsia="微软雅黑" w:hint="eastAsia"/>
                <w:b/>
                <w:sz w:val="21"/>
              </w:rPr>
              <w:t>心脏瓣膜介入手术（非开胸手术）</w:t>
            </w:r>
          </w:p>
        </w:tc>
        <w:tc>
          <w:tcPr>
            <w:tcW w:w="7580" w:type="dxa"/>
          </w:tcPr>
          <w:p>
            <w:pPr>
              <w:pStyle w:val="TableParagraph"/>
              <w:spacing w:line="273" w:lineRule="auto" w:before="64"/>
              <w:ind w:right="308"/>
              <w:rPr>
                <w:sz w:val="21"/>
              </w:rPr>
            </w:pPr>
            <w:r>
              <w:rPr>
                <w:sz w:val="21"/>
              </w:rPr>
              <w:t>为了治疗心脏瓣膜疾病，实际实施了非开胸的经胸壁打孔内镜手术或经皮经导管介入手术进行的心脏瓣膜置换或修复手术。</w:t>
            </w:r>
          </w:p>
        </w:tc>
      </w:tr>
      <w:tr>
        <w:trPr>
          <w:trHeight w:val="1716"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中度阿尔兹海默病</w:t>
            </w:r>
          </w:p>
        </w:tc>
        <w:tc>
          <w:tcPr>
            <w:tcW w:w="7580" w:type="dxa"/>
          </w:tcPr>
          <w:p>
            <w:pPr>
              <w:pStyle w:val="TableParagraph"/>
              <w:spacing w:line="268" w:lineRule="auto" w:before="64"/>
              <w:ind w:right="198"/>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6"/>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3"/>
                <w:sz w:val="21"/>
              </w:rPr>
              <w:t>)或正电子发射断层扫描(</w:t>
            </w:r>
            <w:r>
              <w:rPr>
                <w:rFonts w:ascii="Times New Roman" w:eastAsia="Times New Roman"/>
                <w:sz w:val="21"/>
              </w:rPr>
              <w:t>PET</w:t>
            </w:r>
            <w:r>
              <w:rPr>
                <w:sz w:val="21"/>
              </w:rPr>
              <w:t>)等</w:t>
            </w:r>
            <w:r>
              <w:rPr>
                <w:spacing w:val="-3"/>
                <w:sz w:val="21"/>
              </w:rPr>
              <w:t>影像学检查证实，且自主生活能力完全丧失，无法独立完成六项基本日常生活活动中的两项。</w:t>
            </w:r>
          </w:p>
        </w:tc>
      </w:tr>
      <w:tr>
        <w:trPr>
          <w:trHeight w:val="1713"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重度头部外伤</w:t>
            </w:r>
          </w:p>
        </w:tc>
        <w:tc>
          <w:tcPr>
            <w:tcW w:w="7580" w:type="dxa"/>
          </w:tcPr>
          <w:p>
            <w:pPr>
              <w:pStyle w:val="TableParagraph"/>
              <w:spacing w:line="273" w:lineRule="auto" w:before="64"/>
              <w:ind w:right="308"/>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right="308"/>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w:t>
            </w:r>
          </w:p>
        </w:tc>
      </w:tr>
      <w:tr>
        <w:trPr>
          <w:trHeight w:val="1500" w:hRule="atLeast"/>
        </w:trPr>
        <w:tc>
          <w:tcPr>
            <w:tcW w:w="1591" w:type="dxa"/>
          </w:tcPr>
          <w:p>
            <w:pPr>
              <w:pStyle w:val="TableParagraph"/>
              <w:spacing w:before="5"/>
              <w:ind w:left="200"/>
              <w:rPr>
                <w:rFonts w:ascii="微软雅黑" w:eastAsia="微软雅黑" w:hint="eastAsia"/>
                <w:b/>
                <w:sz w:val="21"/>
              </w:rPr>
            </w:pPr>
            <w:r>
              <w:rPr>
                <w:rFonts w:ascii="微软雅黑" w:eastAsia="微软雅黑" w:hint="eastAsia"/>
                <w:b/>
                <w:sz w:val="21"/>
              </w:rPr>
              <w:t>中度听力受损</w:t>
            </w:r>
          </w:p>
        </w:tc>
        <w:tc>
          <w:tcPr>
            <w:tcW w:w="7580" w:type="dxa"/>
          </w:tcPr>
          <w:p>
            <w:pPr>
              <w:pStyle w:val="TableParagraph"/>
              <w:spacing w:line="256" w:lineRule="auto" w:before="68"/>
              <w:ind w:right="308"/>
              <w:jc w:val="both"/>
              <w:rPr>
                <w:sz w:val="21"/>
              </w:rPr>
            </w:pPr>
            <w:r>
              <w:rPr>
                <w:spacing w:val="-6"/>
                <w:sz w:val="21"/>
              </w:rPr>
              <w:t>指因疾病或意外伤害导致双耳听力永久不可逆性丧失，在 </w:t>
            </w:r>
            <w:r>
              <w:rPr>
                <w:rFonts w:ascii="Times New Roman" w:eastAsia="Times New Roman"/>
                <w:sz w:val="21"/>
              </w:rPr>
              <w:t>500 </w:t>
            </w:r>
            <w:r>
              <w:rPr>
                <w:spacing w:val="-4"/>
                <w:sz w:val="21"/>
              </w:rPr>
              <w:t>赫兹，</w:t>
            </w:r>
            <w:r>
              <w:rPr>
                <w:rFonts w:ascii="Times New Roman" w:eastAsia="Times New Roman"/>
                <w:spacing w:val="-6"/>
                <w:sz w:val="21"/>
              </w:rPr>
              <w:t>1000 </w:t>
            </w:r>
            <w:r>
              <w:rPr>
                <w:spacing w:val="-3"/>
                <w:sz w:val="21"/>
              </w:rPr>
              <w:t>赫兹</w:t>
            </w:r>
            <w:r>
              <w:rPr>
                <w:spacing w:val="-23"/>
                <w:sz w:val="21"/>
              </w:rPr>
              <w:t>和 </w:t>
            </w:r>
            <w:r>
              <w:rPr>
                <w:rFonts w:ascii="Times New Roman" w:eastAsia="Times New Roman"/>
                <w:sz w:val="21"/>
              </w:rPr>
              <w:t>2000 </w:t>
            </w:r>
            <w:r>
              <w:rPr>
                <w:spacing w:val="-6"/>
                <w:sz w:val="21"/>
              </w:rPr>
              <w:t>赫兹语音频率下，平均听阈大于 </w:t>
            </w:r>
            <w:r>
              <w:rPr>
                <w:rFonts w:ascii="Times New Roman" w:eastAsia="Times New Roman"/>
                <w:sz w:val="21"/>
              </w:rPr>
              <w:t>80 </w:t>
            </w:r>
            <w:r>
              <w:rPr>
                <w:spacing w:val="-3"/>
                <w:sz w:val="21"/>
              </w:rPr>
              <w:t>分贝。需有纯音听力测试、声导抗检测或听觉诱发电位检测等证实。</w:t>
            </w:r>
          </w:p>
          <w:p>
            <w:pPr>
              <w:pStyle w:val="TableParagraph"/>
              <w:spacing w:before="116"/>
              <w:jc w:val="both"/>
              <w:rPr>
                <w:sz w:val="21"/>
              </w:rPr>
            </w:pPr>
            <w:r>
              <w:rPr>
                <w:sz w:val="21"/>
              </w:rPr>
              <w:t>申请理赔时，须提供理赔当时的听力诊断及检查证据。</w:t>
            </w:r>
          </w:p>
        </w:tc>
      </w:tr>
      <w:tr>
        <w:trPr>
          <w:trHeight w:val="2434" w:hRule="atLeast"/>
        </w:trPr>
        <w:tc>
          <w:tcPr>
            <w:tcW w:w="1591" w:type="dxa"/>
          </w:tcPr>
          <w:p>
            <w:pPr>
              <w:pStyle w:val="TableParagraph"/>
              <w:spacing w:line="337" w:lineRule="exact" w:before="2"/>
              <w:ind w:left="200"/>
              <w:rPr>
                <w:rFonts w:ascii="微软雅黑" w:eastAsia="微软雅黑" w:hint="eastAsia"/>
                <w:b/>
                <w:sz w:val="21"/>
              </w:rPr>
            </w:pPr>
            <w:r>
              <w:rPr>
                <w:rFonts w:ascii="微软雅黑" w:eastAsia="微软雅黑" w:hint="eastAsia"/>
                <w:b/>
                <w:sz w:val="21"/>
              </w:rPr>
              <w:t>视力严重受损</w:t>
            </w:r>
          </w:p>
          <w:p>
            <w:pPr>
              <w:pStyle w:val="TableParagraph"/>
              <w:spacing w:line="337" w:lineRule="exact"/>
              <w:ind w:left="200"/>
              <w:rPr>
                <w:rFonts w:ascii="微软雅黑" w:eastAsia="微软雅黑" w:hint="eastAsia"/>
                <w:b/>
                <w:sz w:val="21"/>
              </w:rPr>
            </w:pPr>
            <w:r>
              <w:rPr>
                <w:rFonts w:ascii="微软雅黑" w:eastAsia="微软雅黑" w:hint="eastAsia"/>
                <w:b/>
                <w:sz w:val="21"/>
              </w:rPr>
              <w:t>-三岁始理赔</w:t>
            </w:r>
          </w:p>
        </w:tc>
        <w:tc>
          <w:tcPr>
            <w:tcW w:w="7580" w:type="dxa"/>
          </w:tcPr>
          <w:p>
            <w:pPr>
              <w:pStyle w:val="TableParagraph"/>
              <w:spacing w:line="273" w:lineRule="auto" w:before="64"/>
              <w:ind w:right="305"/>
              <w:rPr>
                <w:sz w:val="21"/>
              </w:rPr>
            </w:pPr>
            <w:r>
              <w:rPr>
                <w:spacing w:val="-11"/>
                <w:sz w:val="21"/>
              </w:rPr>
              <w:t>指因疾病或意外伤害导致双目视力永久不可逆性丧失，虽然未达到重大疾病“双</w:t>
            </w:r>
            <w:r>
              <w:rPr>
                <w:spacing w:val="-3"/>
                <w:sz w:val="21"/>
              </w:rPr>
              <w:t>目失明”的给付标准，但满足下列全部条件：</w:t>
            </w:r>
          </w:p>
          <w:p>
            <w:pPr>
              <w:pStyle w:val="TableParagraph"/>
              <w:spacing w:line="256" w:lineRule="auto" w:before="7"/>
              <w:ind w:right="308"/>
              <w:rPr>
                <w:sz w:val="21"/>
              </w:rPr>
            </w:pPr>
            <w:r>
              <w:rPr>
                <w:rFonts w:ascii="Times New Roman" w:eastAsia="Times New Roman"/>
                <w:sz w:val="21"/>
              </w:rPr>
              <w:t>1.</w:t>
            </w:r>
            <w:r>
              <w:rPr>
                <w:spacing w:val="-5"/>
                <w:sz w:val="21"/>
              </w:rPr>
              <w:t>双眼中较好眼矫正视力低于 </w:t>
            </w:r>
            <w:r>
              <w:rPr>
                <w:rFonts w:ascii="Times New Roman" w:eastAsia="Times New Roman"/>
                <w:spacing w:val="-8"/>
                <w:sz w:val="21"/>
              </w:rPr>
              <w:t>0.1</w:t>
            </w:r>
            <w:r>
              <w:rPr>
                <w:spacing w:val="-8"/>
                <w:sz w:val="21"/>
              </w:rPr>
              <w:t>（</w:t>
            </w:r>
            <w:r>
              <w:rPr>
                <w:spacing w:val="-6"/>
                <w:sz w:val="21"/>
              </w:rPr>
              <w:t>采用国际标准视力表，如果使用其他视力表</w:t>
            </w:r>
            <w:r>
              <w:rPr>
                <w:spacing w:val="-4"/>
                <w:sz w:val="21"/>
              </w:rPr>
              <w:t>应进行换算</w:t>
            </w:r>
            <w:r>
              <w:rPr>
                <w:sz w:val="21"/>
              </w:rPr>
              <w:t>）；</w:t>
            </w:r>
          </w:p>
          <w:p>
            <w:pPr>
              <w:pStyle w:val="TableParagraph"/>
              <w:spacing w:before="21"/>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47" w:lineRule="auto" w:before="51"/>
              <w:ind w:right="266"/>
              <w:rPr>
                <w:sz w:val="21"/>
              </w:rPr>
            </w:pPr>
            <w:r>
              <w:rPr>
                <w:rFonts w:ascii="微软雅黑" w:eastAsia="微软雅黑" w:hint="eastAsia"/>
                <w:b/>
                <w:sz w:val="21"/>
              </w:rPr>
              <w:t>申请理赔时，被保险人年龄必须在 </w:t>
            </w:r>
            <w:r>
              <w:rPr>
                <w:rFonts w:ascii="Times New Roman" w:eastAsia="Times New Roman"/>
                <w:b/>
                <w:sz w:val="21"/>
              </w:rPr>
              <w:t>3 </w:t>
            </w:r>
            <w:r>
              <w:rPr>
                <w:rFonts w:ascii="微软雅黑" w:eastAsia="微软雅黑" w:hint="eastAsia"/>
                <w:b/>
                <w:sz w:val="21"/>
              </w:rPr>
              <w:t>周岁以上</w:t>
            </w:r>
            <w:r>
              <w:rPr>
                <w:sz w:val="21"/>
              </w:rPr>
              <w:t>，并且须提供理赔当时的视力丧失诊断及检查证据。</w:t>
            </w:r>
          </w:p>
        </w:tc>
      </w:tr>
      <w:tr>
        <w:trPr>
          <w:trHeight w:val="1411"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人工耳蜗植入术</w:t>
            </w:r>
          </w:p>
        </w:tc>
        <w:tc>
          <w:tcPr>
            <w:tcW w:w="7580" w:type="dxa"/>
          </w:tcPr>
          <w:p>
            <w:pPr>
              <w:pStyle w:val="TableParagraph"/>
              <w:spacing w:line="273" w:lineRule="auto" w:before="64"/>
              <w:ind w:right="308"/>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7"/>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rPr>
                <w:sz w:val="21"/>
              </w:rPr>
            </w:pPr>
            <w:r>
              <w:rPr>
                <w:rFonts w:ascii="Times New Roman" w:eastAsia="Times New Roman"/>
                <w:sz w:val="21"/>
              </w:rPr>
              <w:t>2.</w:t>
            </w:r>
            <w:r>
              <w:rPr>
                <w:sz w:val="21"/>
              </w:rPr>
              <w:t>使用相应的听力辅助设备效果不佳。</w:t>
            </w:r>
          </w:p>
        </w:tc>
      </w:tr>
      <w:tr>
        <w:trPr>
          <w:trHeight w:val="956" w:hRule="atLeast"/>
        </w:trPr>
        <w:tc>
          <w:tcPr>
            <w:tcW w:w="1591" w:type="dxa"/>
          </w:tcPr>
          <w:p>
            <w:pPr>
              <w:pStyle w:val="TableParagraph"/>
              <w:spacing w:line="206" w:lineRule="auto" w:before="45"/>
              <w:ind w:left="200" w:right="121"/>
              <w:rPr>
                <w:rFonts w:ascii="微软雅黑" w:eastAsia="微软雅黑" w:hint="eastAsia"/>
                <w:b/>
                <w:sz w:val="21"/>
              </w:rPr>
            </w:pPr>
            <w:r>
              <w:rPr>
                <w:rFonts w:ascii="微软雅黑" w:eastAsia="微软雅黑" w:hint="eastAsia"/>
                <w:b/>
                <w:sz w:val="21"/>
              </w:rPr>
              <w:t>轻度脑炎或脑膜炎后遗症</w:t>
            </w:r>
          </w:p>
        </w:tc>
        <w:tc>
          <w:tcPr>
            <w:tcW w:w="7580" w:type="dxa"/>
          </w:tcPr>
          <w:p>
            <w:pPr>
              <w:pStyle w:val="TableParagraph"/>
              <w:spacing w:line="312" w:lineRule="exact" w:before="52"/>
              <w:ind w:right="308"/>
              <w:jc w:val="both"/>
              <w:rPr>
                <w:sz w:val="21"/>
              </w:rPr>
            </w:pPr>
            <w:r>
              <w:rPr>
                <w:spacing w:val="-3"/>
                <w:sz w:val="21"/>
              </w:rPr>
              <w:t>指因患脑炎或脑膜炎导致的神经系统的永久功能障碍。神经系统永久性的功能</w:t>
            </w:r>
            <w:r>
              <w:rPr>
                <w:spacing w:val="-7"/>
                <w:sz w:val="21"/>
              </w:rPr>
              <w:t>障碍，指疾病确诊 </w:t>
            </w:r>
            <w:r>
              <w:rPr>
                <w:rFonts w:ascii="Times New Roman" w:eastAsia="Times New Roman"/>
                <w:sz w:val="21"/>
              </w:rPr>
              <w:t>180 </w:t>
            </w:r>
            <w:r>
              <w:rPr>
                <w:spacing w:val="-3"/>
                <w:sz w:val="21"/>
              </w:rPr>
              <w:t>日后，仍存在自主活动能力完全丧失，无法独立完成六项基本日常生活活动中的两项。</w:t>
            </w:r>
          </w:p>
        </w:tc>
      </w:tr>
    </w:tbl>
    <w:p>
      <w:pPr>
        <w:spacing w:after="0" w:line="312" w:lineRule="exact"/>
        <w:jc w:val="both"/>
        <w:rPr>
          <w:sz w:val="21"/>
        </w:rPr>
        <w:sectPr>
          <w:pgSz w:w="11910" w:h="16840"/>
          <w:pgMar w:header="0" w:footer="915" w:top="1160" w:bottom="1100" w:left="1620" w:right="900"/>
        </w:sectPr>
      </w:pPr>
    </w:p>
    <w:p>
      <w:pPr>
        <w:pStyle w:val="Heading4"/>
        <w:spacing w:line="206" w:lineRule="auto" w:before="10"/>
        <w:ind w:left="902"/>
      </w:pPr>
      <w:r>
        <w:rPr/>
        <w:t>可逆性再生障碍性贫血</w:t>
      </w:r>
    </w:p>
    <w:p>
      <w:pPr>
        <w:pStyle w:val="BodyText"/>
        <w:spacing w:line="273" w:lineRule="auto" w:before="22"/>
        <w:ind w:left="207" w:right="221"/>
      </w:pPr>
      <w:r>
        <w:rPr/>
        <w:br w:type="column"/>
      </w:r>
      <w:r>
        <w:rPr/>
        <w:t>指因急性可逆性的骨髓造血功能衰竭而导致贫血、中性粒细胞减少和血小板减少，必须由血液科专科医生的诊断，且病历资料显示接受了下列任一治疗：</w:t>
      </w:r>
    </w:p>
    <w:p>
      <w:pPr>
        <w:pStyle w:val="BodyText"/>
        <w:spacing w:before="8"/>
        <w:ind w:left="207"/>
      </w:pPr>
      <w:r>
        <w:rPr>
          <w:rFonts w:ascii="Times New Roman" w:eastAsia="Times New Roman"/>
        </w:rPr>
        <w:t>1.</w:t>
      </w:r>
      <w:r>
        <w:rPr/>
        <w:t>骨髓刺激疗法至少一个月；</w:t>
      </w:r>
    </w:p>
    <w:p>
      <w:pPr>
        <w:pStyle w:val="BodyText"/>
        <w:spacing w:before="21"/>
        <w:ind w:left="207"/>
      </w:pPr>
      <w:r>
        <w:rPr>
          <w:rFonts w:ascii="Times New Roman" w:eastAsia="Times New Roman"/>
        </w:rPr>
        <w:t>2.</w:t>
      </w:r>
      <w:r>
        <w:rPr/>
        <w:t>免疫抑制剂治疗至少一个月；</w:t>
      </w:r>
    </w:p>
    <w:p>
      <w:pPr>
        <w:pStyle w:val="BodyText"/>
        <w:spacing w:before="21"/>
        <w:ind w:left="207"/>
      </w:pPr>
      <w:r>
        <w:rPr>
          <w:rFonts w:ascii="Times New Roman" w:eastAsia="Times New Roman"/>
        </w:rPr>
        <w:t>3.</w:t>
      </w:r>
      <w:r>
        <w:rPr/>
        <w:t>接受了骨髓移植。</w:t>
      </w:r>
    </w:p>
    <w:p>
      <w:pPr>
        <w:spacing w:after="0"/>
        <w:sectPr>
          <w:pgSz w:w="11910" w:h="16840"/>
          <w:pgMar w:header="0" w:footer="915" w:top="1080" w:bottom="1100" w:left="1020" w:right="1100"/>
          <w:cols w:num="2" w:equalWidth="0">
            <w:col w:w="2171" w:space="40"/>
            <w:col w:w="7579"/>
          </w:cols>
        </w:sectPr>
      </w:pPr>
    </w:p>
    <w:p>
      <w:pPr>
        <w:pStyle w:val="BodyText"/>
        <w:spacing w:before="3"/>
        <w:rPr>
          <w:sz w:val="10"/>
        </w:rPr>
      </w:pPr>
    </w:p>
    <w:p>
      <w:pPr>
        <w:spacing w:after="0"/>
        <w:rPr>
          <w:sz w:val="10"/>
        </w:rPr>
        <w:sectPr>
          <w:type w:val="continuous"/>
          <w:pgSz w:w="11910" w:h="16840"/>
          <w:pgMar w:top="1100" w:bottom="1100" w:left="1020" w:right="1100"/>
        </w:sectPr>
      </w:pPr>
    </w:p>
    <w:p>
      <w:pPr>
        <w:pStyle w:val="Heading4"/>
        <w:spacing w:line="318" w:lineRule="exact" w:before="0"/>
        <w:ind w:left="902"/>
        <w:rPr>
          <w:rFonts w:ascii="Times New Roman" w:eastAsia="Times New Roman"/>
        </w:rPr>
      </w:pPr>
      <w:r>
        <w:rPr>
          <w:spacing w:val="-2"/>
        </w:rPr>
        <w:t>较小面积 </w:t>
      </w:r>
      <w:r>
        <w:rPr>
          <w:rFonts w:ascii="Times New Roman" w:eastAsia="Times New Roman"/>
        </w:rPr>
        <w:t>III</w:t>
      </w:r>
    </w:p>
    <w:p>
      <w:pPr>
        <w:spacing w:line="337" w:lineRule="exact" w:before="0"/>
        <w:ind w:left="902" w:right="0" w:firstLine="0"/>
        <w:jc w:val="left"/>
        <w:rPr>
          <w:rFonts w:ascii="微软雅黑" w:eastAsia="微软雅黑" w:hint="eastAsia"/>
          <w:b/>
          <w:sz w:val="21"/>
        </w:rPr>
      </w:pPr>
      <w:r>
        <w:rPr>
          <w:rFonts w:ascii="微软雅黑" w:eastAsia="微软雅黑" w:hint="eastAsia"/>
          <w:b/>
          <w:sz w:val="21"/>
        </w:rPr>
        <w:t>度烧伤</w:t>
      </w:r>
    </w:p>
    <w:p>
      <w:pPr>
        <w:pStyle w:val="BodyText"/>
        <w:spacing w:line="256" w:lineRule="auto" w:before="43"/>
        <w:ind w:left="331" w:right="189"/>
      </w:pPr>
      <w:r>
        <w:rPr/>
        <w:br w:type="column"/>
      </w:r>
      <w:r>
        <w:rPr>
          <w:spacing w:val="-5"/>
        </w:rPr>
        <w:t>指烧伤程度为Ⅲ度，且Ⅲ度烧伤的面积达到全身体表面积的 </w:t>
      </w:r>
      <w:r>
        <w:rPr>
          <w:rFonts w:ascii="Times New Roman" w:hAnsi="Times New Roman" w:eastAsia="Times New Roman"/>
        </w:rPr>
        <w:t>15%</w:t>
      </w:r>
      <w:r>
        <w:rPr>
          <w:spacing w:val="-21"/>
        </w:rPr>
        <w:t>或 </w:t>
      </w:r>
      <w:r>
        <w:rPr>
          <w:rFonts w:ascii="Times New Roman" w:hAnsi="Times New Roman" w:eastAsia="Times New Roman"/>
        </w:rPr>
        <w:t>15%</w:t>
      </w:r>
      <w:r>
        <w:rPr>
          <w:spacing w:val="-3"/>
        </w:rPr>
        <w:t>以上。体表面积根据《中国新九分法》计算。</w:t>
      </w:r>
    </w:p>
    <w:p>
      <w:pPr>
        <w:spacing w:after="0" w:line="256" w:lineRule="auto"/>
        <w:sectPr>
          <w:type w:val="continuous"/>
          <w:pgSz w:w="11910" w:h="16840"/>
          <w:pgMar w:top="1100" w:bottom="1100" w:left="1020" w:right="1100"/>
          <w:cols w:num="2" w:equalWidth="0">
            <w:col w:w="2046" w:space="40"/>
            <w:col w:w="7704"/>
          </w:cols>
        </w:sectPr>
      </w:pPr>
    </w:p>
    <w:p>
      <w:pPr>
        <w:pStyle w:val="BodyText"/>
        <w:rPr>
          <w:sz w:val="10"/>
        </w:rPr>
      </w:pPr>
    </w:p>
    <w:p>
      <w:pPr>
        <w:spacing w:after="0"/>
        <w:rPr>
          <w:sz w:val="10"/>
        </w:rPr>
        <w:sectPr>
          <w:type w:val="continuous"/>
          <w:pgSz w:w="11910" w:h="16840"/>
          <w:pgMar w:top="1100" w:bottom="1100" w:left="1020" w:right="1100"/>
        </w:sectPr>
      </w:pPr>
    </w:p>
    <w:p>
      <w:pPr>
        <w:pStyle w:val="Heading4"/>
        <w:spacing w:line="206" w:lineRule="auto"/>
        <w:ind w:left="902"/>
      </w:pPr>
      <w:r>
        <w:rPr/>
        <w:t>中度严重克隆症</w:t>
      </w:r>
    </w:p>
    <w:p>
      <w:pPr>
        <w:pStyle w:val="BodyText"/>
        <w:spacing w:line="273" w:lineRule="auto" w:before="37"/>
        <w:ind w:left="207" w:right="221"/>
        <w:jc w:val="both"/>
      </w:pPr>
      <w:r>
        <w:rPr/>
        <w:br w:type="column"/>
      </w:r>
      <w:r>
        <w:rPr/>
        <w:t>克隆病是一种慢性肉芽肿性肠炎，具有特征性的克隆病病理组织学变化。诊断必须由专科医生经过病理检查结果证实。被保险人所患的克隆症须经肠胃科专科医生以类固醇或免疫抑制剂连续治疗 </w:t>
      </w:r>
      <w:r>
        <w:rPr>
          <w:rFonts w:ascii="Times New Roman" w:eastAsia="Times New Roman"/>
        </w:rPr>
        <w:t>90 </w:t>
      </w:r>
      <w:r>
        <w:rPr/>
        <w:t>日以上。</w:t>
      </w:r>
    </w:p>
    <w:p>
      <w:pPr>
        <w:spacing w:after="0" w:line="273" w:lineRule="auto"/>
        <w:jc w:val="both"/>
        <w:sectPr>
          <w:type w:val="continuous"/>
          <w:pgSz w:w="11910" w:h="16840"/>
          <w:pgMar w:top="1100" w:bottom="1100" w:left="1020" w:right="1100"/>
          <w:cols w:num="2" w:equalWidth="0">
            <w:col w:w="2171" w:space="40"/>
            <w:col w:w="7579"/>
          </w:cols>
        </w:sectPr>
      </w:pPr>
    </w:p>
    <w:p>
      <w:pPr>
        <w:pStyle w:val="BodyText"/>
        <w:spacing w:before="4"/>
        <w:rPr>
          <w:sz w:val="8"/>
        </w:rPr>
      </w:pPr>
    </w:p>
    <w:p>
      <w:pPr>
        <w:pStyle w:val="BodyText"/>
        <w:tabs>
          <w:tab w:pos="2417" w:val="left" w:leader="none"/>
        </w:tabs>
        <w:spacing w:line="312" w:lineRule="exact" w:before="32"/>
        <w:ind w:left="2417" w:right="1481" w:hanging="1515"/>
      </w:pPr>
      <w:r>
        <w:rPr>
          <w:rFonts w:ascii="微软雅黑" w:eastAsia="微软雅黑" w:hint="eastAsia"/>
          <w:b/>
        </w:rPr>
        <w:t>轻度颅脑手术</w:t>
        <w:tab/>
      </w:r>
      <w:r>
        <w:rPr/>
        <w:t>被保</w:t>
      </w:r>
      <w:r>
        <w:rPr>
          <w:spacing w:val="-3"/>
        </w:rPr>
        <w:t>险</w:t>
      </w:r>
      <w:r>
        <w:rPr/>
        <w:t>人</w:t>
      </w:r>
      <w:r>
        <w:rPr>
          <w:spacing w:val="-3"/>
        </w:rPr>
        <w:t>确</w:t>
      </w:r>
      <w:r>
        <w:rPr/>
        <w:t>已</w:t>
      </w:r>
      <w:r>
        <w:rPr>
          <w:spacing w:val="-3"/>
        </w:rPr>
        <w:t>实</w:t>
      </w:r>
      <w:r>
        <w:rPr/>
        <w:t>施</w:t>
      </w:r>
      <w:r>
        <w:rPr>
          <w:spacing w:val="-3"/>
        </w:rPr>
        <w:t>全</w:t>
      </w:r>
      <w:r>
        <w:rPr/>
        <w:t>麻</w:t>
      </w:r>
      <w:r>
        <w:rPr>
          <w:spacing w:val="-3"/>
        </w:rPr>
        <w:t>下</w:t>
      </w:r>
      <w:r>
        <w:rPr/>
        <w:t>的颅</w:t>
      </w:r>
      <w:r>
        <w:rPr>
          <w:spacing w:val="-3"/>
        </w:rPr>
        <w:t>骨</w:t>
      </w:r>
      <w:r>
        <w:rPr/>
        <w:t>钻</w:t>
      </w:r>
      <w:r>
        <w:rPr>
          <w:spacing w:val="-3"/>
        </w:rPr>
        <w:t>孔</w:t>
      </w:r>
      <w:r>
        <w:rPr/>
        <w:t>手</w:t>
      </w:r>
      <w:r>
        <w:rPr>
          <w:spacing w:val="-3"/>
        </w:rPr>
        <w:t>术</w:t>
      </w:r>
      <w:r>
        <w:rPr/>
        <w:t>或</w:t>
      </w:r>
      <w:r>
        <w:rPr>
          <w:spacing w:val="-3"/>
        </w:rPr>
        <w:t>经</w:t>
      </w:r>
      <w:r>
        <w:rPr/>
        <w:t>鼻</w:t>
      </w:r>
      <w:r>
        <w:rPr>
          <w:spacing w:val="-3"/>
        </w:rPr>
        <w:t>蝶</w:t>
      </w:r>
      <w:r>
        <w:rPr/>
        <w:t>窦入</w:t>
      </w:r>
      <w:r>
        <w:rPr>
          <w:spacing w:val="-3"/>
        </w:rPr>
        <w:t>颅</w:t>
      </w:r>
      <w:r>
        <w:rPr/>
        <w:t>手</w:t>
      </w:r>
      <w:r>
        <w:rPr>
          <w:spacing w:val="-3"/>
        </w:rPr>
        <w:t>术</w:t>
      </w:r>
      <w:r>
        <w:rPr/>
        <w:t>。 </w:t>
      </w:r>
      <w:r>
        <w:rPr>
          <w:shd w:fill="C0C0C0" w:color="auto" w:val="clear"/>
        </w:rPr>
        <w:t>因外</w:t>
      </w:r>
      <w:r>
        <w:rPr>
          <w:spacing w:val="-3"/>
          <w:shd w:fill="C0C0C0" w:color="auto" w:val="clear"/>
        </w:rPr>
        <w:t>伤</w:t>
      </w:r>
      <w:r>
        <w:rPr>
          <w:shd w:fill="C0C0C0" w:color="auto" w:val="clear"/>
        </w:rPr>
        <w:t>而</w:t>
      </w:r>
      <w:r>
        <w:rPr>
          <w:spacing w:val="-3"/>
          <w:shd w:fill="C0C0C0" w:color="auto" w:val="clear"/>
        </w:rPr>
        <w:t>实</w:t>
      </w:r>
      <w:r>
        <w:rPr>
          <w:shd w:fill="C0C0C0" w:color="auto" w:val="clear"/>
        </w:rPr>
        <w:t>施</w:t>
      </w:r>
      <w:r>
        <w:rPr>
          <w:spacing w:val="-3"/>
          <w:shd w:fill="C0C0C0" w:color="auto" w:val="clear"/>
        </w:rPr>
        <w:t>的</w:t>
      </w:r>
      <w:r>
        <w:rPr>
          <w:shd w:fill="C0C0C0" w:color="auto" w:val="clear"/>
        </w:rPr>
        <w:t>脑</w:t>
      </w:r>
      <w:r>
        <w:rPr>
          <w:spacing w:val="-3"/>
          <w:shd w:fill="C0C0C0" w:color="auto" w:val="clear"/>
        </w:rPr>
        <w:t>外</w:t>
      </w:r>
      <w:r>
        <w:rPr>
          <w:shd w:fill="C0C0C0" w:color="auto" w:val="clear"/>
        </w:rPr>
        <w:t>科</w:t>
      </w:r>
      <w:r>
        <w:rPr>
          <w:spacing w:val="-3"/>
          <w:shd w:fill="C0C0C0" w:color="auto" w:val="clear"/>
        </w:rPr>
        <w:t>手</w:t>
      </w:r>
      <w:r>
        <w:rPr>
          <w:shd w:fill="C0C0C0" w:color="auto" w:val="clear"/>
        </w:rPr>
        <w:t>术不</w:t>
      </w:r>
      <w:r>
        <w:rPr>
          <w:spacing w:val="-3"/>
          <w:shd w:fill="C0C0C0" w:color="auto" w:val="clear"/>
        </w:rPr>
        <w:t>在</w:t>
      </w:r>
      <w:r>
        <w:rPr>
          <w:shd w:fill="C0C0C0" w:color="auto" w:val="clear"/>
        </w:rPr>
        <w:t>保</w:t>
      </w:r>
      <w:r>
        <w:rPr>
          <w:spacing w:val="-3"/>
          <w:shd w:fill="C0C0C0" w:color="auto" w:val="clear"/>
        </w:rPr>
        <w:t>障</w:t>
      </w:r>
      <w:r>
        <w:rPr>
          <w:shd w:fill="C0C0C0" w:color="auto" w:val="clear"/>
        </w:rPr>
        <w:t>范</w:t>
      </w:r>
      <w:r>
        <w:rPr>
          <w:spacing w:val="-3"/>
          <w:shd w:fill="C0C0C0" w:color="auto" w:val="clear"/>
        </w:rPr>
        <w:t>围</w:t>
      </w:r>
      <w:r>
        <w:rPr>
          <w:shd w:fill="C0C0C0" w:color="auto" w:val="clear"/>
        </w:rPr>
        <w:t>内。</w:t>
      </w:r>
    </w:p>
    <w:p>
      <w:pPr>
        <w:pStyle w:val="BodyText"/>
        <w:spacing w:before="5"/>
        <w:rPr>
          <w:sz w:val="9"/>
        </w:rPr>
      </w:pPr>
    </w:p>
    <w:p>
      <w:pPr>
        <w:spacing w:after="0"/>
        <w:rPr>
          <w:sz w:val="9"/>
        </w:rPr>
        <w:sectPr>
          <w:type w:val="continuous"/>
          <w:pgSz w:w="11910" w:h="16840"/>
          <w:pgMar w:top="1100" w:bottom="1100" w:left="1020" w:right="1100"/>
        </w:sectPr>
      </w:pPr>
    </w:p>
    <w:p>
      <w:pPr>
        <w:pStyle w:val="Heading4"/>
        <w:spacing w:line="206" w:lineRule="auto"/>
        <w:ind w:left="902"/>
        <w:jc w:val="both"/>
      </w:pPr>
      <w:r>
        <w:rPr/>
        <w:t>因肾上腺腺瘤的肾上腺切除术</w:t>
      </w:r>
    </w:p>
    <w:p>
      <w:pPr>
        <w:pStyle w:val="BodyText"/>
        <w:spacing w:line="273" w:lineRule="auto" w:before="37"/>
        <w:ind w:left="207" w:right="220"/>
        <w:jc w:val="both"/>
      </w:pPr>
      <w:r>
        <w:rPr/>
        <w:br w:type="column"/>
      </w:r>
      <w:r>
        <w:rPr/>
        <w:t>因肾上腺腺瘤所导致醛固酮分泌过多而产生的续发性恶性系统高血压而接受肾上腺切除术。恶性高血压无法由药物控制。此肾上腺切除术需由专科医生确诊为处理高血压控制不佳的必要治疗行为。</w:t>
      </w:r>
    </w:p>
    <w:p>
      <w:pPr>
        <w:spacing w:after="0" w:line="273" w:lineRule="auto"/>
        <w:jc w:val="both"/>
        <w:sectPr>
          <w:type w:val="continuous"/>
          <w:pgSz w:w="11910" w:h="16840"/>
          <w:pgMar w:top="1100" w:bottom="1100" w:left="1020" w:right="1100"/>
          <w:cols w:num="2" w:equalWidth="0">
            <w:col w:w="2171" w:space="40"/>
            <w:col w:w="7579"/>
          </w:cols>
        </w:sectPr>
      </w:pPr>
    </w:p>
    <w:p>
      <w:pPr>
        <w:pStyle w:val="BodyText"/>
        <w:spacing w:before="9"/>
        <w:rPr>
          <w:sz w:val="9"/>
        </w:rPr>
      </w:pPr>
    </w:p>
    <w:p>
      <w:pPr>
        <w:spacing w:after="0"/>
        <w:rPr>
          <w:sz w:val="9"/>
        </w:rPr>
        <w:sectPr>
          <w:type w:val="continuous"/>
          <w:pgSz w:w="11910" w:h="16840"/>
          <w:pgMar w:top="1100" w:bottom="1100" w:left="1020" w:right="1100"/>
        </w:sectPr>
      </w:pPr>
    </w:p>
    <w:p>
      <w:pPr>
        <w:pStyle w:val="Heading4"/>
        <w:spacing w:line="206" w:lineRule="auto"/>
        <w:ind w:left="902"/>
      </w:pPr>
      <w:r>
        <w:rPr/>
        <w:t>胆道系统重建手术</w:t>
      </w:r>
    </w:p>
    <w:p>
      <w:pPr>
        <w:pStyle w:val="BodyText"/>
        <w:spacing w:line="273" w:lineRule="auto" w:before="37"/>
        <w:ind w:left="207" w:right="220"/>
      </w:pPr>
      <w:r>
        <w:rPr/>
        <w:br w:type="column"/>
      </w:r>
      <w:r>
        <w:rPr/>
        <w:t>因疾病或胆道创伤导致包含胆道肠道人工造管术的胆道重建手术。手术必须由专科医生确认为医学上所必须的情况下进行。</w:t>
      </w:r>
    </w:p>
    <w:p>
      <w:pPr>
        <w:pStyle w:val="BodyText"/>
        <w:spacing w:before="101"/>
        <w:ind w:left="207"/>
      </w:pPr>
      <w:r>
        <w:rPr>
          <w:shd w:fill="C0C0C0" w:color="auto" w:val="clear"/>
        </w:rPr>
        <w:t>胆道闭锁不在保障范围内。</w:t>
      </w:r>
    </w:p>
    <w:p>
      <w:pPr>
        <w:spacing w:after="0"/>
        <w:sectPr>
          <w:type w:val="continuous"/>
          <w:pgSz w:w="11910" w:h="16840"/>
          <w:pgMar w:top="1100" w:bottom="1100" w:left="1020" w:right="1100"/>
          <w:cols w:num="2" w:equalWidth="0">
            <w:col w:w="2171" w:space="40"/>
            <w:col w:w="7579"/>
          </w:cols>
        </w:sectPr>
      </w:pPr>
    </w:p>
    <w:p>
      <w:pPr>
        <w:pStyle w:val="BodyText"/>
        <w:spacing w:before="6"/>
        <w:rPr>
          <w:sz w:val="24"/>
        </w:rPr>
      </w:pPr>
    </w:p>
    <w:p>
      <w:pPr>
        <w:pStyle w:val="BodyText"/>
        <w:tabs>
          <w:tab w:pos="902" w:val="left" w:leader="none"/>
          <w:tab w:pos="2417" w:val="left" w:leader="none"/>
        </w:tabs>
        <w:spacing w:line="312" w:lineRule="exact" w:before="39"/>
        <w:ind w:left="2417" w:right="221" w:hanging="2305"/>
      </w:pPr>
      <w:r>
        <w:rPr>
          <w:rFonts w:ascii="Times New Roman" w:eastAsia="Times New Roman"/>
          <w:b/>
        </w:rPr>
        <w:t>10.2</w:t>
        <w:tab/>
      </w:r>
      <w:r>
        <w:rPr>
          <w:rFonts w:ascii="微软雅黑" w:eastAsia="微软雅黑" w:hint="eastAsia"/>
          <w:b/>
        </w:rPr>
        <w:t>重大疾病定义</w:t>
        <w:tab/>
      </w:r>
      <w:r>
        <w:rPr/>
        <w:t>本合</w:t>
      </w:r>
      <w:r>
        <w:rPr>
          <w:spacing w:val="-3"/>
        </w:rPr>
        <w:t>同</w:t>
      </w:r>
      <w:r>
        <w:rPr/>
        <w:t>所</w:t>
      </w:r>
      <w:r>
        <w:rPr>
          <w:spacing w:val="-3"/>
        </w:rPr>
        <w:t>指</w:t>
      </w:r>
      <w:r>
        <w:rPr/>
        <w:t>重</w:t>
      </w:r>
      <w:r>
        <w:rPr>
          <w:spacing w:val="-3"/>
        </w:rPr>
        <w:t>大</w:t>
      </w:r>
      <w:r>
        <w:rPr/>
        <w:t>疾</w:t>
      </w:r>
      <w:r>
        <w:rPr>
          <w:spacing w:val="-3"/>
        </w:rPr>
        <w:t>病</w:t>
      </w:r>
      <w:r>
        <w:rPr/>
        <w:t>是</w:t>
      </w:r>
      <w:r>
        <w:rPr>
          <w:spacing w:val="-3"/>
        </w:rPr>
        <w:t>指</w:t>
      </w:r>
      <w:r>
        <w:rPr/>
        <w:t>被保</w:t>
      </w:r>
      <w:r>
        <w:rPr>
          <w:spacing w:val="-3"/>
        </w:rPr>
        <w:t>险</w:t>
      </w:r>
      <w:r>
        <w:rPr/>
        <w:t>人</w:t>
      </w:r>
      <w:r>
        <w:rPr>
          <w:spacing w:val="-3"/>
        </w:rPr>
        <w:t>首</w:t>
      </w:r>
      <w:r>
        <w:rPr/>
        <w:t>次</w:t>
      </w:r>
      <w:r>
        <w:rPr>
          <w:spacing w:val="-3"/>
        </w:rPr>
        <w:t>发</w:t>
      </w:r>
      <w:r>
        <w:rPr/>
        <w:t>生</w:t>
      </w:r>
      <w:r>
        <w:rPr>
          <w:spacing w:val="-3"/>
        </w:rPr>
        <w:t>符</w:t>
      </w:r>
      <w:r>
        <w:rPr/>
        <w:t>合</w:t>
      </w:r>
      <w:r>
        <w:rPr>
          <w:spacing w:val="-3"/>
        </w:rPr>
        <w:t>下</w:t>
      </w:r>
      <w:r>
        <w:rPr/>
        <w:t>列定</w:t>
      </w:r>
      <w:r>
        <w:rPr>
          <w:spacing w:val="-3"/>
        </w:rPr>
        <w:t>义</w:t>
      </w:r>
      <w:r>
        <w:rPr/>
        <w:t>的</w:t>
      </w:r>
      <w:r>
        <w:rPr>
          <w:spacing w:val="-3"/>
        </w:rPr>
        <w:t>疾</w:t>
      </w:r>
      <w:r>
        <w:rPr/>
        <w:t>病</w:t>
      </w:r>
      <w:r>
        <w:rPr>
          <w:spacing w:val="-3"/>
        </w:rPr>
        <w:t>，</w:t>
      </w:r>
      <w:r>
        <w:rPr/>
        <w:t>或</w:t>
      </w:r>
      <w:r>
        <w:rPr>
          <w:spacing w:val="-3"/>
        </w:rPr>
        <w:t>首</w:t>
      </w:r>
      <w:r>
        <w:rPr/>
        <w:t>次</w:t>
      </w:r>
      <w:r>
        <w:rPr>
          <w:spacing w:val="-3"/>
        </w:rPr>
        <w:t>接</w:t>
      </w:r>
      <w:r>
        <w:rPr/>
        <w:t>受 </w:t>
      </w:r>
      <w:r>
        <w:rPr>
          <w:spacing w:val="-1"/>
        </w:rPr>
        <w:t>符</w:t>
      </w:r>
      <w:r>
        <w:rPr/>
        <w:t>合</w:t>
      </w:r>
      <w:r>
        <w:rPr>
          <w:spacing w:val="-3"/>
        </w:rPr>
        <w:t>下</w:t>
      </w:r>
      <w:r>
        <w:rPr/>
        <w:t>列</w:t>
      </w:r>
      <w:r>
        <w:rPr>
          <w:spacing w:val="-3"/>
        </w:rPr>
        <w:t>定</w:t>
      </w:r>
      <w:r>
        <w:rPr/>
        <w:t>义</w:t>
      </w:r>
      <w:r>
        <w:rPr>
          <w:spacing w:val="-3"/>
        </w:rPr>
        <w:t>的</w:t>
      </w:r>
      <w:r>
        <w:rPr/>
        <w:t>手</w:t>
      </w:r>
      <w:r>
        <w:rPr>
          <w:spacing w:val="-3"/>
        </w:rPr>
        <w:t>术</w:t>
      </w:r>
      <w:r>
        <w:rPr/>
        <w:t>。</w:t>
      </w:r>
      <w:r>
        <w:rPr>
          <w:spacing w:val="-3"/>
        </w:rPr>
        <w:t>该</w:t>
      </w:r>
      <w:r>
        <w:rPr/>
        <w:t>疾病</w:t>
      </w:r>
      <w:r>
        <w:rPr>
          <w:spacing w:val="-3"/>
        </w:rPr>
        <w:t>或</w:t>
      </w:r>
      <w:r>
        <w:rPr/>
        <w:t>手</w:t>
      </w:r>
      <w:r>
        <w:rPr>
          <w:spacing w:val="-3"/>
        </w:rPr>
        <w:t>术</w:t>
      </w:r>
      <w:r>
        <w:rPr/>
        <w:t>应</w:t>
      </w:r>
      <w:r>
        <w:rPr>
          <w:spacing w:val="-3"/>
        </w:rPr>
        <w:t>当</w:t>
      </w:r>
      <w:r>
        <w:rPr/>
        <w:t>由</w:t>
      </w:r>
      <w:r>
        <w:rPr>
          <w:spacing w:val="-3"/>
        </w:rPr>
        <w:t>专</w:t>
      </w:r>
      <w:r>
        <w:rPr/>
        <w:t>科</w:t>
      </w:r>
      <w:r>
        <w:rPr>
          <w:spacing w:val="-3"/>
        </w:rPr>
        <w:t>医</w:t>
      </w:r>
      <w:r>
        <w:rPr/>
        <w:t>生明</w:t>
      </w:r>
      <w:r>
        <w:rPr>
          <w:spacing w:val="-3"/>
        </w:rPr>
        <w:t>确</w:t>
      </w:r>
      <w:r>
        <w:rPr/>
        <w:t>诊</w:t>
      </w:r>
      <w:r>
        <w:rPr>
          <w:spacing w:val="-3"/>
        </w:rPr>
        <w:t>断</w:t>
      </w:r>
      <w:r>
        <w:rPr/>
        <w:t>。</w:t>
      </w:r>
    </w:p>
    <w:p>
      <w:pPr>
        <w:pStyle w:val="BodyText"/>
        <w:spacing w:line="256" w:lineRule="auto" w:before="98"/>
        <w:ind w:left="2417" w:right="256"/>
      </w:pPr>
      <w:r>
        <w:rPr>
          <w:spacing w:val="-7"/>
        </w:rPr>
        <w:t>本合同所保障的重大疾病共 </w:t>
      </w:r>
      <w:r>
        <w:rPr>
          <w:rFonts w:ascii="Times New Roman" w:eastAsia="Times New Roman"/>
        </w:rPr>
        <w:t>70 </w:t>
      </w:r>
      <w:r>
        <w:rPr>
          <w:spacing w:val="-12"/>
        </w:rPr>
        <w:t>种，其中 </w:t>
      </w:r>
      <w:r>
        <w:rPr>
          <w:rFonts w:ascii="Times New Roman" w:eastAsia="Times New Roman"/>
        </w:rPr>
        <w:t>1-25 </w:t>
      </w:r>
      <w:r>
        <w:rPr>
          <w:spacing w:val="-3"/>
        </w:rPr>
        <w:t>种重大疾病定义采用中国保险行业协会颁布的《重大疾病保险的疾病定义使用规范》中的疾病定义。</w:t>
      </w:r>
    </w:p>
    <w:p>
      <w:pPr>
        <w:pStyle w:val="BodyText"/>
        <w:tabs>
          <w:tab w:pos="2417" w:val="left" w:leader="none"/>
        </w:tabs>
        <w:spacing w:line="259" w:lineRule="auto" w:before="116"/>
        <w:ind w:left="2417" w:right="125" w:hanging="1515"/>
        <w:jc w:val="both"/>
      </w:pPr>
      <w:r>
        <w:rPr>
          <w:rFonts w:ascii="微软雅黑" w:eastAsia="微软雅黑" w:hint="eastAsia"/>
          <w:b/>
        </w:rPr>
        <w:t>恶性肿瘤</w:t>
        <w:tab/>
      </w:r>
      <w:r>
        <w:rPr/>
        <w:t>指恶</w:t>
      </w:r>
      <w:r>
        <w:rPr>
          <w:spacing w:val="-3"/>
        </w:rPr>
        <w:t>性</w:t>
      </w:r>
      <w:r>
        <w:rPr/>
        <w:t>细</w:t>
      </w:r>
      <w:r>
        <w:rPr>
          <w:spacing w:val="-3"/>
        </w:rPr>
        <w:t>胞</w:t>
      </w:r>
      <w:r>
        <w:rPr/>
        <w:t>不</w:t>
      </w:r>
      <w:r>
        <w:rPr>
          <w:spacing w:val="-3"/>
        </w:rPr>
        <w:t>受</w:t>
      </w:r>
      <w:r>
        <w:rPr/>
        <w:t>控制</w:t>
      </w:r>
      <w:r>
        <w:rPr>
          <w:spacing w:val="-3"/>
        </w:rPr>
        <w:t>的进</w:t>
      </w:r>
      <w:r>
        <w:rPr/>
        <w:t>行性</w:t>
      </w:r>
      <w:r>
        <w:rPr>
          <w:spacing w:val="-3"/>
        </w:rPr>
        <w:t>增</w:t>
      </w:r>
      <w:r>
        <w:rPr/>
        <w:t>长</w:t>
      </w:r>
      <w:r>
        <w:rPr>
          <w:spacing w:val="-3"/>
        </w:rPr>
        <w:t>和</w:t>
      </w:r>
      <w:r>
        <w:rPr/>
        <w:t>扩</w:t>
      </w:r>
      <w:r>
        <w:rPr>
          <w:spacing w:val="-3"/>
        </w:rPr>
        <w:t>散</w:t>
      </w:r>
      <w:r>
        <w:rPr/>
        <w:t>，浸</w:t>
      </w:r>
      <w:r>
        <w:rPr>
          <w:spacing w:val="-3"/>
        </w:rPr>
        <w:t>润和</w:t>
      </w:r>
      <w:r>
        <w:rPr/>
        <w:t>破坏</w:t>
      </w:r>
      <w:r>
        <w:rPr>
          <w:spacing w:val="-3"/>
        </w:rPr>
        <w:t>周</w:t>
      </w:r>
      <w:r>
        <w:rPr/>
        <w:t>围</w:t>
      </w:r>
      <w:r>
        <w:rPr>
          <w:spacing w:val="-3"/>
        </w:rPr>
        <w:t>正</w:t>
      </w:r>
      <w:r>
        <w:rPr/>
        <w:t>常</w:t>
      </w:r>
      <w:r>
        <w:rPr>
          <w:spacing w:val="-3"/>
        </w:rPr>
        <w:t>组</w:t>
      </w:r>
      <w:r>
        <w:rPr/>
        <w:t>织，</w:t>
      </w:r>
      <w:r>
        <w:rPr>
          <w:spacing w:val="-3"/>
        </w:rPr>
        <w:t>可以</w:t>
      </w:r>
      <w:r>
        <w:rPr/>
        <w:t>经 血管</w:t>
      </w:r>
      <w:r>
        <w:rPr>
          <w:spacing w:val="-3"/>
        </w:rPr>
        <w:t>、</w:t>
      </w:r>
      <w:r>
        <w:rPr/>
        <w:t>淋</w:t>
      </w:r>
      <w:r>
        <w:rPr>
          <w:spacing w:val="-3"/>
        </w:rPr>
        <w:t>巴</w:t>
      </w:r>
      <w:r>
        <w:rPr/>
        <w:t>管</w:t>
      </w:r>
      <w:r>
        <w:rPr>
          <w:spacing w:val="-3"/>
        </w:rPr>
        <w:t>和</w:t>
      </w:r>
      <w:r>
        <w:rPr/>
        <w:t>体腔</w:t>
      </w:r>
      <w:r>
        <w:rPr>
          <w:spacing w:val="-3"/>
        </w:rPr>
        <w:t>扩散</w:t>
      </w:r>
      <w:r>
        <w:rPr/>
        <w:t>转移</w:t>
      </w:r>
      <w:r>
        <w:rPr>
          <w:spacing w:val="-3"/>
        </w:rPr>
        <w:t>到</w:t>
      </w:r>
      <w:r>
        <w:rPr/>
        <w:t>身</w:t>
      </w:r>
      <w:r>
        <w:rPr>
          <w:spacing w:val="-3"/>
        </w:rPr>
        <w:t>体</w:t>
      </w:r>
      <w:r>
        <w:rPr/>
        <w:t>其</w:t>
      </w:r>
      <w:r>
        <w:rPr>
          <w:spacing w:val="-3"/>
        </w:rPr>
        <w:t>它</w:t>
      </w:r>
      <w:r>
        <w:rPr/>
        <w:t>部位</w:t>
      </w:r>
      <w:r>
        <w:rPr>
          <w:spacing w:val="-3"/>
        </w:rPr>
        <w:t>的疾</w:t>
      </w:r>
      <w:r>
        <w:rPr/>
        <w:t>病。</w:t>
      </w:r>
      <w:r>
        <w:rPr>
          <w:spacing w:val="-3"/>
        </w:rPr>
        <w:t>经</w:t>
      </w:r>
      <w:r>
        <w:rPr/>
        <w:t>病</w:t>
      </w:r>
      <w:r>
        <w:rPr>
          <w:spacing w:val="-3"/>
        </w:rPr>
        <w:t>理</w:t>
      </w:r>
      <w:r>
        <w:rPr/>
        <w:t>学</w:t>
      </w:r>
      <w:r>
        <w:rPr>
          <w:spacing w:val="-3"/>
        </w:rPr>
        <w:t>检</w:t>
      </w:r>
      <w:r>
        <w:rPr/>
        <w:t>查结</w:t>
      </w:r>
      <w:r>
        <w:rPr>
          <w:spacing w:val="-3"/>
        </w:rPr>
        <w:t>果明</w:t>
      </w:r>
      <w:r>
        <w:rPr/>
        <w:t>确</w:t>
      </w:r>
      <w:r>
        <w:rPr>
          <w:spacing w:val="7"/>
        </w:rPr>
        <w:t>诊断，</w:t>
      </w:r>
      <w:r>
        <w:rPr>
          <w:spacing w:val="5"/>
        </w:rPr>
        <w:t>临</w:t>
      </w:r>
      <w:r>
        <w:rPr>
          <w:spacing w:val="7"/>
        </w:rPr>
        <w:t>床诊</w:t>
      </w:r>
      <w:r>
        <w:rPr>
          <w:spacing w:val="5"/>
        </w:rPr>
        <w:t>断</w:t>
      </w:r>
      <w:r>
        <w:rPr>
          <w:spacing w:val="7"/>
        </w:rPr>
        <w:t>属于</w:t>
      </w:r>
      <w:r>
        <w:rPr>
          <w:spacing w:val="5"/>
        </w:rPr>
        <w:t>世界</w:t>
      </w:r>
      <w:r>
        <w:rPr>
          <w:spacing w:val="7"/>
        </w:rPr>
        <w:t>卫生组</w:t>
      </w:r>
      <w:r>
        <w:rPr>
          <w:spacing w:val="5"/>
        </w:rPr>
        <w:t>织</w:t>
      </w:r>
      <w:r>
        <w:rPr>
          <w:spacing w:val="7"/>
        </w:rPr>
        <w:t>《疾</w:t>
      </w:r>
      <w:r>
        <w:rPr>
          <w:spacing w:val="5"/>
        </w:rPr>
        <w:t>病</w:t>
      </w:r>
      <w:r>
        <w:rPr>
          <w:spacing w:val="7"/>
        </w:rPr>
        <w:t>和有</w:t>
      </w:r>
      <w:r>
        <w:rPr>
          <w:spacing w:val="5"/>
        </w:rPr>
        <w:t>关健</w:t>
      </w:r>
      <w:r>
        <w:rPr>
          <w:spacing w:val="7"/>
        </w:rPr>
        <w:t>康问题</w:t>
      </w:r>
      <w:r>
        <w:rPr>
          <w:spacing w:val="5"/>
        </w:rPr>
        <w:t>的</w:t>
      </w:r>
      <w:r>
        <w:rPr>
          <w:spacing w:val="7"/>
        </w:rPr>
        <w:t>国际</w:t>
      </w:r>
      <w:r>
        <w:rPr>
          <w:spacing w:val="5"/>
        </w:rPr>
        <w:t>统</w:t>
      </w:r>
      <w:r>
        <w:rPr>
          <w:spacing w:val="7"/>
        </w:rPr>
        <w:t>计分</w:t>
      </w:r>
      <w:r>
        <w:rPr>
          <w:spacing w:val="5"/>
        </w:rPr>
        <w:t>类</w:t>
      </w:r>
      <w:r>
        <w:rPr/>
        <w:t>》</w:t>
      </w:r>
    </w:p>
    <w:p>
      <w:pPr>
        <w:pStyle w:val="BodyText"/>
        <w:spacing w:line="336" w:lineRule="auto" w:before="20"/>
        <w:ind w:left="2417" w:right="4587"/>
      </w:pPr>
      <w:r>
        <w:rPr/>
        <w:t>（</w:t>
      </w:r>
      <w:r>
        <w:rPr>
          <w:rFonts w:ascii="Times New Roman" w:eastAsia="Times New Roman"/>
        </w:rPr>
        <w:t>ICD</w:t>
      </w:r>
      <w:r>
        <w:rPr/>
        <w:t>-</w:t>
      </w:r>
      <w:r>
        <w:rPr>
          <w:rFonts w:ascii="Times New Roman" w:eastAsia="Times New Roman"/>
        </w:rPr>
        <w:t>10</w:t>
      </w:r>
      <w:r>
        <w:rPr/>
        <w:t>）的恶性肿瘤范畴。</w:t>
      </w:r>
      <w:r>
        <w:rPr>
          <w:shd w:fill="C0C0C0" w:color="auto" w:val="clear"/>
        </w:rPr>
        <w:t>下列疾病不在保障范围内：</w:t>
      </w:r>
    </w:p>
    <w:p>
      <w:pPr>
        <w:pStyle w:val="BodyText"/>
        <w:spacing w:line="244" w:lineRule="exact"/>
        <w:ind w:left="2417"/>
      </w:pPr>
      <w:r>
        <w:rPr>
          <w:rFonts w:ascii="Times New Roman" w:eastAsia="Times New Roman"/>
          <w:shd w:fill="C0C0C0" w:color="auto" w:val="clear"/>
        </w:rPr>
        <w:t>1.</w:t>
      </w:r>
      <w:r>
        <w:rPr>
          <w:shd w:fill="C0C0C0" w:color="auto" w:val="clear"/>
        </w:rPr>
        <w:t>原位癌；</w:t>
      </w:r>
    </w:p>
    <w:p>
      <w:pPr>
        <w:pStyle w:val="BodyText"/>
        <w:spacing w:before="22"/>
        <w:ind w:left="2417"/>
      </w:pPr>
      <w:r>
        <w:rPr>
          <w:rFonts w:ascii="Times New Roman" w:eastAsia="Times New Roman"/>
          <w:shd w:fill="C0C0C0" w:color="auto" w:val="clear"/>
        </w:rPr>
        <w:t>2.</w:t>
      </w:r>
      <w:r>
        <w:rPr>
          <w:shd w:fill="C0C0C0" w:color="auto" w:val="clear"/>
        </w:rPr>
        <w:t>相当于 </w:t>
      </w:r>
      <w:r>
        <w:rPr>
          <w:rFonts w:ascii="Times New Roman" w:eastAsia="Times New Roman"/>
          <w:shd w:fill="C0C0C0" w:color="auto" w:val="clear"/>
        </w:rPr>
        <w:t>Binet  </w:t>
      </w:r>
      <w:r>
        <w:rPr>
          <w:shd w:fill="C0C0C0" w:color="auto" w:val="clear"/>
        </w:rPr>
        <w:t>分期方案 </w:t>
      </w:r>
      <w:r>
        <w:rPr>
          <w:rFonts w:ascii="Times New Roman" w:eastAsia="Times New Roman"/>
          <w:shd w:fill="C0C0C0" w:color="auto" w:val="clear"/>
        </w:rPr>
        <w:t>A </w:t>
      </w:r>
      <w:r>
        <w:rPr>
          <w:shd w:fill="C0C0C0" w:color="auto" w:val="clear"/>
        </w:rPr>
        <w:t>期程度的慢性淋巴细胞白血病；</w:t>
      </w:r>
    </w:p>
    <w:p>
      <w:pPr>
        <w:pStyle w:val="BodyText"/>
        <w:spacing w:before="21"/>
        <w:ind w:left="2417"/>
      </w:pPr>
      <w:r>
        <w:rPr>
          <w:rFonts w:ascii="Times New Roman" w:eastAsia="Times New Roman"/>
          <w:shd w:fill="C0C0C0" w:color="auto" w:val="clear"/>
        </w:rPr>
        <w:t>3.</w:t>
      </w:r>
      <w:r>
        <w:rPr>
          <w:shd w:fill="C0C0C0" w:color="auto" w:val="clear"/>
        </w:rPr>
        <w:t>相当于 </w:t>
      </w:r>
      <w:r>
        <w:rPr>
          <w:rFonts w:ascii="Times New Roman" w:eastAsia="Times New Roman"/>
          <w:shd w:fill="C0C0C0" w:color="auto" w:val="clear"/>
        </w:rPr>
        <w:t>Ann  Arbor  </w:t>
      </w:r>
      <w:r>
        <w:rPr>
          <w:shd w:fill="C0C0C0" w:color="auto" w:val="clear"/>
        </w:rPr>
        <w:t>分期方案 </w:t>
      </w:r>
      <w:r>
        <w:rPr>
          <w:rFonts w:ascii="Times New Roman" w:eastAsia="Times New Roman"/>
          <w:shd w:fill="C0C0C0" w:color="auto" w:val="clear"/>
        </w:rPr>
        <w:t>I </w:t>
      </w:r>
      <w:r>
        <w:rPr>
          <w:shd w:fill="C0C0C0" w:color="auto" w:val="clear"/>
        </w:rPr>
        <w:t>期程度的何杰金氏病；</w:t>
      </w:r>
    </w:p>
    <w:p>
      <w:pPr>
        <w:pStyle w:val="BodyText"/>
        <w:spacing w:before="21"/>
        <w:ind w:left="2417"/>
      </w:pPr>
      <w:r>
        <w:rPr>
          <w:rFonts w:ascii="Times New Roman" w:eastAsia="Times New Roman"/>
          <w:w w:val="100"/>
          <w:shd w:fill="C0C0C0" w:color="auto" w:val="clear"/>
        </w:rPr>
        <w:t>4.</w:t>
      </w:r>
      <w:r>
        <w:rPr>
          <w:spacing w:val="-2"/>
          <w:w w:val="100"/>
          <w:shd w:fill="C0C0C0" w:color="auto" w:val="clear"/>
        </w:rPr>
        <w:t>皮肤癌</w:t>
      </w:r>
      <w:r>
        <w:rPr>
          <w:spacing w:val="-3"/>
          <w:w w:val="100"/>
          <w:shd w:fill="C0C0C0" w:color="auto" w:val="clear"/>
        </w:rPr>
        <w:t>（不包括恶性黑色素瘤及已发生转移的皮肤癌</w:t>
      </w:r>
      <w:r>
        <w:rPr>
          <w:spacing w:val="-108"/>
          <w:w w:val="100"/>
          <w:shd w:fill="C0C0C0" w:color="auto" w:val="clear"/>
        </w:rPr>
        <w:t>）</w:t>
      </w:r>
      <w:r>
        <w:rPr>
          <w:w w:val="100"/>
          <w:shd w:fill="C0C0C0" w:color="auto" w:val="clear"/>
        </w:rPr>
        <w:t>；</w:t>
      </w:r>
    </w:p>
    <w:p>
      <w:pPr>
        <w:pStyle w:val="BodyText"/>
        <w:spacing w:before="21"/>
        <w:ind w:left="2417"/>
      </w:pPr>
      <w:r>
        <w:rPr>
          <w:rFonts w:ascii="Times New Roman" w:eastAsia="Times New Roman"/>
          <w:shd w:fill="C0C0C0" w:color="auto" w:val="clear"/>
        </w:rPr>
        <w:t>5.TNM </w:t>
      </w:r>
      <w:r>
        <w:rPr>
          <w:shd w:fill="C0C0C0" w:color="auto" w:val="clear"/>
        </w:rPr>
        <w:t>分期为 </w:t>
      </w:r>
      <w:r>
        <w:rPr>
          <w:rFonts w:ascii="Times New Roman" w:eastAsia="Times New Roman"/>
          <w:shd w:fill="C0C0C0" w:color="auto" w:val="clear"/>
        </w:rPr>
        <w:t>T1N0M0 </w:t>
      </w:r>
      <w:r>
        <w:rPr>
          <w:shd w:fill="C0C0C0" w:color="auto" w:val="clear"/>
        </w:rPr>
        <w:t>期或更轻分期的前列腺癌；</w:t>
      </w:r>
    </w:p>
    <w:p>
      <w:pPr>
        <w:pStyle w:val="BodyText"/>
        <w:spacing w:before="21"/>
        <w:ind w:left="2417"/>
      </w:pPr>
      <w:r>
        <w:rPr>
          <w:rFonts w:ascii="Times New Roman" w:eastAsia="Times New Roman"/>
          <w:shd w:fill="C0C0C0" w:color="auto" w:val="clear"/>
        </w:rPr>
        <w:t>6.</w:t>
      </w:r>
      <w:r>
        <w:rPr>
          <w:shd w:fill="C0C0C0" w:color="auto" w:val="clear"/>
        </w:rPr>
        <w:t>感染艾滋病病毒或患艾滋病期间所患恶性肿瘤。</w:t>
      </w:r>
    </w:p>
    <w:p>
      <w:pPr>
        <w:pStyle w:val="BodyText"/>
        <w:spacing w:line="247" w:lineRule="auto" w:before="114"/>
        <w:ind w:left="2417" w:right="221" w:hanging="1515"/>
        <w:jc w:val="both"/>
      </w:pPr>
      <w:r>
        <w:rPr>
          <w:rFonts w:ascii="微软雅黑" w:eastAsia="微软雅黑" w:hint="eastAsia"/>
          <w:b/>
          <w:spacing w:val="5"/>
        </w:rPr>
        <w:t>急性心肌梗塞 </w:t>
      </w:r>
      <w:r>
        <w:rPr>
          <w:spacing w:val="-3"/>
        </w:rPr>
        <w:t>指因冠状动脉阻塞导致的相应区域供血不足造成部分心肌坏死。须满足下列至少三项条件：</w:t>
      </w:r>
    </w:p>
    <w:p>
      <w:pPr>
        <w:pStyle w:val="BodyText"/>
        <w:spacing w:before="35"/>
        <w:ind w:left="2417"/>
      </w:pPr>
      <w:r>
        <w:rPr>
          <w:rFonts w:ascii="Times New Roman" w:eastAsia="Times New Roman"/>
        </w:rPr>
        <w:t>1</w:t>
      </w:r>
      <w:r>
        <w:rPr>
          <w:rFonts w:ascii="Times New Roman" w:eastAsia="Times New Roman"/>
          <w:sz w:val="24"/>
        </w:rPr>
        <w:t>.</w:t>
      </w:r>
      <w:r>
        <w:rPr/>
        <w:t>典型临床表现，例如急性胸痛等；</w:t>
      </w:r>
    </w:p>
    <w:p>
      <w:pPr>
        <w:pStyle w:val="BodyText"/>
        <w:spacing w:before="15"/>
        <w:ind w:left="2417"/>
      </w:pPr>
      <w:r>
        <w:rPr>
          <w:rFonts w:ascii="Times New Roman" w:eastAsia="Times New Roman"/>
        </w:rPr>
        <w:t>2</w:t>
      </w:r>
      <w:r>
        <w:rPr>
          <w:rFonts w:ascii="Times New Roman" w:eastAsia="Times New Roman"/>
          <w:sz w:val="24"/>
        </w:rPr>
        <w:t>.</w:t>
      </w:r>
      <w:r>
        <w:rPr/>
        <w:t>新近的心电图改变提示急性心肌梗塞；</w:t>
      </w:r>
    </w:p>
    <w:p>
      <w:pPr>
        <w:pStyle w:val="BodyText"/>
        <w:spacing w:before="15"/>
        <w:ind w:left="2417"/>
      </w:pPr>
      <w:r>
        <w:rPr>
          <w:rFonts w:ascii="Times New Roman" w:eastAsia="Times New Roman"/>
        </w:rPr>
        <w:t>3</w:t>
      </w:r>
      <w:r>
        <w:rPr>
          <w:rFonts w:ascii="Times New Roman" w:eastAsia="Times New Roman"/>
          <w:sz w:val="24"/>
        </w:rPr>
        <w:t>.</w:t>
      </w:r>
      <w:r>
        <w:rPr/>
        <w:t>心肌酶或肌钙蛋白有诊断意义的升高，或呈符合急性心肌梗塞的动态性变化；</w:t>
      </w:r>
    </w:p>
    <w:p>
      <w:pPr>
        <w:pStyle w:val="BodyText"/>
        <w:tabs>
          <w:tab w:pos="2417" w:val="left" w:leader="none"/>
        </w:tabs>
        <w:spacing w:line="324" w:lineRule="auto" w:before="14"/>
        <w:ind w:left="902" w:right="220" w:firstLine="1514"/>
      </w:pPr>
      <w:r>
        <w:rPr>
          <w:rFonts w:ascii="Times New Roman" w:eastAsia="Times New Roman"/>
        </w:rPr>
        <w:t>4</w:t>
      </w:r>
      <w:r>
        <w:rPr>
          <w:rFonts w:ascii="Times New Roman" w:eastAsia="Times New Roman"/>
          <w:sz w:val="24"/>
        </w:rPr>
        <w:t>.</w:t>
      </w:r>
      <w:r>
        <w:rPr/>
        <w:t>发病</w:t>
      </w:r>
      <w:r>
        <w:rPr>
          <w:rFonts w:ascii="Times New Roman" w:eastAsia="Times New Roman"/>
        </w:rPr>
        <w:t>90</w:t>
      </w:r>
      <w:r>
        <w:rPr>
          <w:spacing w:val="-3"/>
        </w:rPr>
        <w:t>日</w:t>
      </w:r>
      <w:r>
        <w:rPr/>
        <w:t>后</w:t>
      </w:r>
      <w:r>
        <w:rPr>
          <w:spacing w:val="-3"/>
        </w:rPr>
        <w:t>，</w:t>
      </w:r>
      <w:r>
        <w:rPr/>
        <w:t>经</w:t>
      </w:r>
      <w:r>
        <w:rPr>
          <w:spacing w:val="-3"/>
        </w:rPr>
        <w:t>检</w:t>
      </w:r>
      <w:r>
        <w:rPr/>
        <w:t>查</w:t>
      </w:r>
      <w:r>
        <w:rPr>
          <w:spacing w:val="-3"/>
        </w:rPr>
        <w:t>证</w:t>
      </w:r>
      <w:r>
        <w:rPr/>
        <w:t>实左</w:t>
      </w:r>
      <w:r>
        <w:rPr>
          <w:spacing w:val="-3"/>
        </w:rPr>
        <w:t>心</w:t>
      </w:r>
      <w:r>
        <w:rPr/>
        <w:t>室</w:t>
      </w:r>
      <w:r>
        <w:rPr>
          <w:spacing w:val="-3"/>
        </w:rPr>
        <w:t>功</w:t>
      </w:r>
      <w:r>
        <w:rPr/>
        <w:t>能</w:t>
      </w:r>
      <w:r>
        <w:rPr>
          <w:spacing w:val="-3"/>
        </w:rPr>
        <w:t>降</w:t>
      </w:r>
      <w:r>
        <w:rPr/>
        <w:t>低</w:t>
      </w:r>
      <w:r>
        <w:rPr>
          <w:spacing w:val="-3"/>
        </w:rPr>
        <w:t>，</w:t>
      </w:r>
      <w:r>
        <w:rPr/>
        <w:t>如</w:t>
      </w:r>
      <w:r>
        <w:rPr>
          <w:spacing w:val="-3"/>
        </w:rPr>
        <w:t>左</w:t>
      </w:r>
      <w:r>
        <w:rPr/>
        <w:t>心室</w:t>
      </w:r>
      <w:r>
        <w:rPr>
          <w:spacing w:val="-3"/>
        </w:rPr>
        <w:t>射</w:t>
      </w:r>
      <w:r>
        <w:rPr/>
        <w:t>血</w:t>
      </w:r>
      <w:r>
        <w:rPr>
          <w:spacing w:val="-3"/>
        </w:rPr>
        <w:t>分</w:t>
      </w:r>
      <w:r>
        <w:rPr/>
        <w:t>数</w:t>
      </w:r>
      <w:r>
        <w:rPr>
          <w:spacing w:val="-3"/>
        </w:rPr>
        <w:t>低</w:t>
      </w:r>
      <w:r>
        <w:rPr/>
        <w:t>于</w:t>
      </w:r>
      <w:r>
        <w:rPr>
          <w:rFonts w:ascii="Times New Roman" w:eastAsia="Times New Roman"/>
        </w:rPr>
        <w:t>50%</w:t>
      </w:r>
      <w:r>
        <w:rPr/>
        <w:t>。  </w:t>
      </w:r>
      <w:r>
        <w:rPr>
          <w:rFonts w:ascii="微软雅黑" w:eastAsia="微软雅黑" w:hint="eastAsia"/>
          <w:b/>
        </w:rPr>
        <w:t>脑中风后遗症</w:t>
        <w:tab/>
      </w:r>
      <w:r>
        <w:rPr/>
        <w:t>指因</w:t>
      </w:r>
      <w:r>
        <w:rPr>
          <w:spacing w:val="-3"/>
        </w:rPr>
        <w:t>脑</w:t>
      </w:r>
      <w:r>
        <w:rPr/>
        <w:t>血</w:t>
      </w:r>
      <w:r>
        <w:rPr>
          <w:spacing w:val="-3"/>
        </w:rPr>
        <w:t>管</w:t>
      </w:r>
      <w:r>
        <w:rPr/>
        <w:t>的</w:t>
      </w:r>
      <w:r>
        <w:rPr>
          <w:spacing w:val="-3"/>
        </w:rPr>
        <w:t>突</w:t>
      </w:r>
      <w:r>
        <w:rPr/>
        <w:t>发病</w:t>
      </w:r>
      <w:r>
        <w:rPr>
          <w:spacing w:val="-3"/>
        </w:rPr>
        <w:t>变引</w:t>
      </w:r>
      <w:r>
        <w:rPr/>
        <w:t>起脑</w:t>
      </w:r>
      <w:r>
        <w:rPr>
          <w:spacing w:val="-3"/>
        </w:rPr>
        <w:t>血</w:t>
      </w:r>
      <w:r>
        <w:rPr/>
        <w:t>管</w:t>
      </w:r>
      <w:r>
        <w:rPr>
          <w:spacing w:val="-3"/>
        </w:rPr>
        <w:t>出</w:t>
      </w:r>
      <w:r>
        <w:rPr/>
        <w:t>血</w:t>
      </w:r>
      <w:r>
        <w:rPr>
          <w:spacing w:val="-3"/>
        </w:rPr>
        <w:t>、</w:t>
      </w:r>
      <w:r>
        <w:rPr/>
        <w:t>栓塞</w:t>
      </w:r>
      <w:r>
        <w:rPr>
          <w:spacing w:val="-3"/>
        </w:rPr>
        <w:t>或梗</w:t>
      </w:r>
      <w:r>
        <w:rPr/>
        <w:t>塞，</w:t>
      </w:r>
      <w:r>
        <w:rPr>
          <w:spacing w:val="-3"/>
        </w:rPr>
        <w:t>并</w:t>
      </w:r>
      <w:r>
        <w:rPr/>
        <w:t>导</w:t>
      </w:r>
      <w:r>
        <w:rPr>
          <w:spacing w:val="-3"/>
        </w:rPr>
        <w:t>致</w:t>
      </w:r>
      <w:r>
        <w:rPr/>
        <w:t>神</w:t>
      </w:r>
      <w:r>
        <w:rPr>
          <w:spacing w:val="-3"/>
        </w:rPr>
        <w:t>经</w:t>
      </w:r>
      <w:r>
        <w:rPr/>
        <w:t>系统</w:t>
      </w:r>
      <w:r>
        <w:rPr>
          <w:spacing w:val="-3"/>
        </w:rPr>
        <w:t>永久</w:t>
      </w:r>
      <w:r>
        <w:rPr/>
        <w:t>性</w:t>
      </w:r>
    </w:p>
    <w:p>
      <w:pPr>
        <w:spacing w:after="0" w:line="324" w:lineRule="auto"/>
        <w:sectPr>
          <w:type w:val="continuous"/>
          <w:pgSz w:w="11910" w:h="16840"/>
          <w:pgMar w:top="1100" w:bottom="1100" w:left="10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78"/>
      </w:tblGrid>
      <w:tr>
        <w:trPr>
          <w:trHeight w:val="1906" w:hRule="atLeast"/>
        </w:trPr>
        <w:tc>
          <w:tcPr>
            <w:tcW w:w="1591" w:type="dxa"/>
          </w:tcPr>
          <w:p>
            <w:pPr>
              <w:pStyle w:val="TableParagraph"/>
              <w:ind w:left="0"/>
              <w:rPr>
                <w:rFonts w:ascii="Times New Roman"/>
                <w:sz w:val="20"/>
              </w:rPr>
            </w:pPr>
          </w:p>
        </w:tc>
        <w:tc>
          <w:tcPr>
            <w:tcW w:w="7578" w:type="dxa"/>
          </w:tcPr>
          <w:p>
            <w:pPr>
              <w:pStyle w:val="TableParagraph"/>
              <w:spacing w:line="234" w:lineRule="exact"/>
              <w:rPr>
                <w:sz w:val="21"/>
              </w:rPr>
            </w:pPr>
            <w:r>
              <w:rPr>
                <w:sz w:val="21"/>
              </w:rPr>
              <w:t>的功能障碍。神经系统永久性的功能障碍，指疾病确诊 </w:t>
            </w:r>
            <w:r>
              <w:rPr>
                <w:rFonts w:ascii="Times New Roman" w:eastAsia="Times New Roman"/>
                <w:sz w:val="21"/>
              </w:rPr>
              <w:t>180 </w:t>
            </w:r>
            <w:r>
              <w:rPr>
                <w:sz w:val="21"/>
              </w:rPr>
              <w:t>日后，仍遗留下列</w:t>
            </w:r>
          </w:p>
          <w:p>
            <w:pPr>
              <w:pStyle w:val="TableParagraph"/>
              <w:spacing w:before="21"/>
              <w:rPr>
                <w:sz w:val="21"/>
              </w:rPr>
            </w:pPr>
            <w:r>
              <w:rPr>
                <w:sz w:val="21"/>
              </w:rPr>
              <w:t>一种或一种以上障碍：</w:t>
            </w:r>
          </w:p>
          <w:p>
            <w:pPr>
              <w:pStyle w:val="TableParagraph"/>
              <w:spacing w:line="273" w:lineRule="exact" w:before="41"/>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line="339" w:lineRule="exact"/>
              <w:rPr>
                <w:sz w:val="21"/>
              </w:rPr>
            </w:pPr>
            <w:r>
              <w:rPr>
                <w:rFonts w:ascii="Times New Roman" w:eastAsia="Times New Roman"/>
                <w:w w:val="100"/>
                <w:sz w:val="21"/>
              </w:rPr>
              <w:t>2</w:t>
            </w:r>
            <w:r>
              <w:rPr>
                <w:rFonts w:ascii="Times New Roman" w:eastAsia="Times New Roman"/>
                <w:sz w:val="24"/>
              </w:rPr>
              <w:t>.</w:t>
            </w:r>
            <w:r>
              <w:rPr>
                <w:rFonts w:ascii="微软雅黑" w:eastAsia="微软雅黑" w:hint="eastAsia"/>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.20</w:t>
            </w:r>
            <w:r>
              <w:rPr>
                <w:spacing w:val="-108"/>
                <w:w w:val="100"/>
                <w:sz w:val="21"/>
              </w:rPr>
              <w:t>）</w:t>
            </w:r>
            <w:r>
              <w:rPr>
                <w:w w:val="100"/>
                <w:sz w:val="21"/>
              </w:rPr>
              <w:t>；</w:t>
            </w:r>
          </w:p>
          <w:p>
            <w:pPr>
              <w:pStyle w:val="TableParagraph"/>
              <w:spacing w:line="247" w:lineRule="auto" w:before="12"/>
              <w:ind w:right="308"/>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409" w:hRule="atLeast"/>
        </w:trPr>
        <w:tc>
          <w:tcPr>
            <w:tcW w:w="1591" w:type="dxa"/>
          </w:tcPr>
          <w:p>
            <w:pPr>
              <w:pStyle w:val="TableParagraph"/>
              <w:spacing w:line="206" w:lineRule="auto" w:before="53"/>
              <w:ind w:left="200" w:right="121"/>
              <w:jc w:val="both"/>
              <w:rPr>
                <w:rFonts w:ascii="微软雅黑" w:eastAsia="微软雅黑" w:hint="eastAsia"/>
                <w:b/>
                <w:sz w:val="21"/>
              </w:rPr>
            </w:pPr>
            <w:r>
              <w:rPr>
                <w:rFonts w:ascii="微软雅黑" w:eastAsia="微软雅黑" w:hint="eastAsia"/>
                <w:b/>
                <w:sz w:val="21"/>
              </w:rPr>
              <w:t>重大器官移植术或造血干细胞移植术</w:t>
            </w:r>
          </w:p>
        </w:tc>
        <w:tc>
          <w:tcPr>
            <w:tcW w:w="7578" w:type="dxa"/>
          </w:tcPr>
          <w:p>
            <w:pPr>
              <w:pStyle w:val="TableParagraph"/>
              <w:spacing w:line="264" w:lineRule="auto" w:before="64"/>
              <w:ind w:right="306"/>
              <w:jc w:val="both"/>
              <w:rPr>
                <w:sz w:val="24"/>
              </w:rPr>
            </w:pPr>
            <w:r>
              <w:rPr>
                <w:sz w:val="21"/>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tc>
      </w:tr>
      <w:tr>
        <w:trPr>
          <w:trHeight w:val="1395" w:hRule="atLeast"/>
        </w:trPr>
        <w:tc>
          <w:tcPr>
            <w:tcW w:w="1591" w:type="dxa"/>
          </w:tcPr>
          <w:p>
            <w:pPr>
              <w:pStyle w:val="TableParagraph"/>
              <w:spacing w:line="206" w:lineRule="auto" w:before="47"/>
              <w:ind w:left="200" w:right="121"/>
              <w:jc w:val="both"/>
              <w:rPr>
                <w:rFonts w:ascii="微软雅黑" w:eastAsia="微软雅黑" w:hint="eastAsia"/>
                <w:b/>
                <w:sz w:val="21"/>
              </w:rPr>
            </w:pPr>
            <w:r>
              <w:rPr>
                <w:rFonts w:ascii="微软雅黑" w:eastAsia="微软雅黑" w:hint="eastAsia"/>
                <w:b/>
                <w:sz w:val="21"/>
              </w:rPr>
              <w:t>冠状动脉搭桥术（或称冠状动脉旁路移植术）</w:t>
            </w:r>
          </w:p>
        </w:tc>
        <w:tc>
          <w:tcPr>
            <w:tcW w:w="7578" w:type="dxa"/>
          </w:tcPr>
          <w:p>
            <w:pPr>
              <w:pStyle w:val="TableParagraph"/>
              <w:spacing w:line="273" w:lineRule="auto" w:before="59"/>
              <w:ind w:right="198"/>
              <w:rPr>
                <w:sz w:val="21"/>
              </w:rPr>
            </w:pPr>
            <w:r>
              <w:rPr>
                <w:spacing w:val="-12"/>
                <w:sz w:val="21"/>
              </w:rPr>
              <w:t>指为治疗严重的冠心病，实际实施了开胸进行的冠状动脉血管旁路移植的手术。</w:t>
            </w:r>
            <w:r>
              <w:rPr>
                <w:spacing w:val="-6"/>
                <w:sz w:val="21"/>
                <w:shd w:fill="C0C0C0" w:color="auto" w:val="clear"/>
              </w:rPr>
              <w:t>冠状动脉支架植入术、心导管球囊扩张术、激光射频技术及其它非开胸的介入</w:t>
            </w:r>
            <w:r>
              <w:rPr>
                <w:spacing w:val="-12"/>
                <w:sz w:val="21"/>
                <w:shd w:fill="C0C0C0" w:color="auto" w:val="clear"/>
              </w:rPr>
              <w:t>手术、腔镜手术不在保障范围内。</w:t>
            </w:r>
          </w:p>
        </w:tc>
      </w:tr>
      <w:tr>
        <w:trPr>
          <w:trHeight w:val="1407" w:hRule="atLeast"/>
        </w:trPr>
        <w:tc>
          <w:tcPr>
            <w:tcW w:w="1591" w:type="dxa"/>
          </w:tcPr>
          <w:p>
            <w:pPr>
              <w:pStyle w:val="TableParagraph"/>
              <w:spacing w:line="337" w:lineRule="exact" w:before="5"/>
              <w:ind w:left="200"/>
              <w:rPr>
                <w:rFonts w:ascii="微软雅黑" w:eastAsia="微软雅黑" w:hint="eastAsia"/>
                <w:b/>
                <w:sz w:val="21"/>
              </w:rPr>
            </w:pPr>
            <w:r>
              <w:rPr>
                <w:rFonts w:ascii="微软雅黑" w:eastAsia="微软雅黑" w:hint="eastAsia"/>
                <w:b/>
                <w:sz w:val="21"/>
              </w:rPr>
              <w:t>终末期肾病</w:t>
            </w:r>
          </w:p>
          <w:p>
            <w:pPr>
              <w:pStyle w:val="TableParagraph"/>
              <w:spacing w:line="206" w:lineRule="auto" w:before="25"/>
              <w:ind w:left="200" w:right="121"/>
              <w:jc w:val="both"/>
              <w:rPr>
                <w:rFonts w:ascii="微软雅黑" w:eastAsia="微软雅黑" w:hint="eastAsia"/>
                <w:b/>
                <w:sz w:val="21"/>
              </w:rPr>
            </w:pPr>
            <w:r>
              <w:rPr>
                <w:rFonts w:ascii="微软雅黑" w:eastAsia="微软雅黑" w:hint="eastAsia"/>
                <w:b/>
                <w:sz w:val="21"/>
              </w:rPr>
              <w:t>（或称慢性肾功能衰竭尿毒症期）</w:t>
            </w:r>
          </w:p>
        </w:tc>
        <w:tc>
          <w:tcPr>
            <w:tcW w:w="7578" w:type="dxa"/>
          </w:tcPr>
          <w:p>
            <w:pPr>
              <w:pStyle w:val="TableParagraph"/>
              <w:spacing w:before="68"/>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rPr>
                <w:sz w:val="21"/>
              </w:rPr>
            </w:pPr>
            <w:r>
              <w:rPr>
                <w:sz w:val="21"/>
              </w:rPr>
              <w:t>日的规律性透析治疗或实施了肾脏移植手术。</w:t>
            </w:r>
          </w:p>
        </w:tc>
      </w:tr>
      <w:tr>
        <w:trPr>
          <w:trHeight w:val="780"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多个肢体缺失</w:t>
            </w:r>
          </w:p>
        </w:tc>
        <w:tc>
          <w:tcPr>
            <w:tcW w:w="7578" w:type="dxa"/>
          </w:tcPr>
          <w:p>
            <w:pPr>
              <w:pStyle w:val="TableParagraph"/>
              <w:spacing w:line="273" w:lineRule="auto" w:before="64"/>
              <w:ind w:right="306"/>
              <w:rPr>
                <w:sz w:val="21"/>
              </w:rPr>
            </w:pPr>
            <w:r>
              <w:rPr>
                <w:sz w:val="21"/>
              </w:rPr>
              <w:t>指因疾病或意外伤害导致两个或两个以上肢体自腕关节或踝关节近端（靠近躯干端）以上完全性断离。</w:t>
            </w:r>
          </w:p>
        </w:tc>
      </w:tr>
      <w:tr>
        <w:trPr>
          <w:trHeight w:val="2041"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急性或亚急性重症肝炎</w:t>
            </w:r>
          </w:p>
        </w:tc>
        <w:tc>
          <w:tcPr>
            <w:tcW w:w="7578" w:type="dxa"/>
          </w:tcPr>
          <w:p>
            <w:pPr>
              <w:pStyle w:val="TableParagraph"/>
              <w:spacing w:line="223" w:lineRule="auto" w:before="84"/>
              <w:ind w:right="306"/>
              <w:rPr>
                <w:rFonts w:ascii="微软雅黑" w:eastAsia="微软雅黑" w:hint="eastAsia"/>
                <w:b/>
                <w:sz w:val="21"/>
              </w:rPr>
            </w:pPr>
            <w:r>
              <w:rPr>
                <w:sz w:val="21"/>
              </w:rPr>
              <w:t>指因肝炎病毒感染引起肝脏组织弥漫性坏死，导致急性肝功能衰竭，且经血清学或病毒学检查证实，</w:t>
            </w:r>
            <w:r>
              <w:rPr>
                <w:rFonts w:ascii="微软雅黑" w:eastAsia="微软雅黑" w:hint="eastAsia"/>
                <w:b/>
                <w:sz w:val="21"/>
              </w:rPr>
              <w:t>并须满足下列全部条件：</w:t>
            </w:r>
          </w:p>
          <w:p>
            <w:pPr>
              <w:pStyle w:val="TableParagraph"/>
              <w:spacing w:before="16"/>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1591" w:type="dxa"/>
          </w:tcPr>
          <w:p>
            <w:pPr>
              <w:pStyle w:val="TableParagraph"/>
              <w:spacing w:line="351" w:lineRule="exact"/>
              <w:ind w:left="200"/>
              <w:rPr>
                <w:rFonts w:ascii="微软雅黑" w:eastAsia="微软雅黑" w:hint="eastAsia"/>
                <w:b/>
                <w:sz w:val="21"/>
              </w:rPr>
            </w:pPr>
            <w:r>
              <w:rPr>
                <w:rFonts w:ascii="微软雅黑" w:eastAsia="微软雅黑" w:hint="eastAsia"/>
                <w:b/>
                <w:sz w:val="21"/>
              </w:rPr>
              <w:t>良性脑肿瘤</w:t>
            </w:r>
          </w:p>
        </w:tc>
        <w:tc>
          <w:tcPr>
            <w:tcW w:w="7578" w:type="dxa"/>
          </w:tcPr>
          <w:p>
            <w:pPr>
              <w:pStyle w:val="TableParagraph"/>
              <w:spacing w:line="312" w:lineRule="exact" w:before="46"/>
              <w:ind w:right="306"/>
              <w:jc w:val="both"/>
              <w:rPr>
                <w:rFonts w:ascii="微软雅黑" w:eastAsia="微软雅黑" w:hint="eastAsia"/>
                <w:b/>
                <w:sz w:val="21"/>
              </w:rPr>
            </w:pPr>
            <w:r>
              <w:rPr>
                <w:spacing w:val="-3"/>
                <w:sz w:val="21"/>
              </w:rPr>
              <w:t>指脑的良性肿瘤，已经引起颅内压增高，临床表现为视神经乳头水肿、精神症</w:t>
            </w:r>
            <w:r>
              <w:rPr>
                <w:spacing w:val="-7"/>
                <w:sz w:val="21"/>
              </w:rPr>
              <w:t>状、癫痫及运动感觉障碍等，并危及生命。须由头颅断层扫描(</w:t>
            </w:r>
            <w:r>
              <w:rPr>
                <w:rFonts w:ascii="Times New Roman" w:eastAsia="Times New Roman"/>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z w:val="21"/>
              </w:rPr>
              <w:t>PET</w:t>
            </w:r>
            <w:r>
              <w:rPr>
                <w:sz w:val="21"/>
              </w:rPr>
              <w:t>)等影像学检查证实，</w:t>
            </w:r>
            <w:r>
              <w:rPr>
                <w:rFonts w:ascii="微软雅黑" w:eastAsia="微软雅黑" w:hint="eastAsia"/>
                <w:b/>
                <w:sz w:val="21"/>
              </w:rPr>
              <w:t>并须满足下列至</w:t>
            </w:r>
          </w:p>
          <w:p>
            <w:pPr>
              <w:pStyle w:val="TableParagraph"/>
              <w:spacing w:line="305" w:lineRule="exact"/>
              <w:jc w:val="both"/>
              <w:rPr>
                <w:rFonts w:ascii="微软雅黑" w:eastAsia="微软雅黑" w:hint="eastAsia"/>
                <w:b/>
                <w:sz w:val="21"/>
              </w:rPr>
            </w:pPr>
            <w:r>
              <w:rPr>
                <w:rFonts w:ascii="微软雅黑" w:eastAsia="微软雅黑" w:hint="eastAsia"/>
                <w:b/>
                <w:sz w:val="21"/>
              </w:rPr>
              <w:t>少一项条件：</w:t>
            </w:r>
          </w:p>
          <w:p>
            <w:pPr>
              <w:pStyle w:val="TableParagraph"/>
              <w:spacing w:before="17"/>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4"/>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before="103"/>
              <w:jc w:val="both"/>
              <w:rPr>
                <w:sz w:val="21"/>
              </w:rPr>
            </w:pPr>
            <w:r>
              <w:rPr>
                <w:sz w:val="21"/>
                <w:shd w:fill="C0C0C0" w:color="auto" w:val="clear"/>
              </w:rPr>
              <w:t>脑垂体瘤、脑囊肿、脑血管性疾病不在保障范围内。</w:t>
            </w:r>
          </w:p>
        </w:tc>
      </w:tr>
      <w:tr>
        <w:trPr>
          <w:trHeight w:val="2028"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慢性肝功能衰竭失代偿期</w:t>
            </w:r>
          </w:p>
        </w:tc>
        <w:tc>
          <w:tcPr>
            <w:tcW w:w="7578" w:type="dxa"/>
          </w:tcPr>
          <w:p>
            <w:pPr>
              <w:pStyle w:val="TableParagraph"/>
              <w:spacing w:before="64"/>
              <w:rPr>
                <w:sz w:val="21"/>
              </w:rPr>
            </w:pPr>
            <w:r>
              <w:rPr>
                <w:sz w:val="21"/>
              </w:rPr>
              <w:t>指因慢性肝脏疾病导致肝功能衰竭。须满足下列全部条件：</w:t>
            </w:r>
          </w:p>
          <w:p>
            <w:pPr>
              <w:pStyle w:val="TableParagraph"/>
              <w:spacing w:before="41"/>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4"/>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247" w:lineRule="auto" w:before="14"/>
              <w:ind w:right="2340"/>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990"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脑炎后遗症或脑膜炎后遗症</w:t>
            </w:r>
          </w:p>
        </w:tc>
        <w:tc>
          <w:tcPr>
            <w:tcW w:w="7578" w:type="dxa"/>
          </w:tcPr>
          <w:p>
            <w:pPr>
              <w:pStyle w:val="TableParagraph"/>
              <w:spacing w:line="223" w:lineRule="auto" w:before="84"/>
              <w:ind w:right="306"/>
              <w:rPr>
                <w:rFonts w:ascii="微软雅黑" w:eastAsia="微软雅黑" w:hint="eastAsia"/>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rFonts w:ascii="微软雅黑" w:eastAsia="微软雅黑" w:hint="eastAsia"/>
                <w:b/>
                <w:sz w:val="21"/>
              </w:rPr>
              <w:t>仍遗留下列一种或一种以上障碍：</w:t>
            </w:r>
          </w:p>
          <w:p>
            <w:pPr>
              <w:pStyle w:val="TableParagraph"/>
              <w:spacing w:line="277" w:lineRule="exact" w:before="16"/>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tc>
      </w:tr>
    </w:tbl>
    <w:p>
      <w:pPr>
        <w:spacing w:after="0" w:line="277"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991" w:hRule="atLeast"/>
        </w:trPr>
        <w:tc>
          <w:tcPr>
            <w:tcW w:w="1591" w:type="dxa"/>
          </w:tcPr>
          <w:p>
            <w:pPr>
              <w:pStyle w:val="TableParagraph"/>
              <w:ind w:left="0"/>
              <w:rPr>
                <w:rFonts w:ascii="Times New Roman"/>
                <w:sz w:val="20"/>
              </w:rPr>
            </w:pPr>
          </w:p>
        </w:tc>
        <w:tc>
          <w:tcPr>
            <w:tcW w:w="7580" w:type="dxa"/>
          </w:tcPr>
          <w:p>
            <w:pPr>
              <w:pStyle w:val="TableParagraph"/>
              <w:spacing w:line="266" w:lineRule="exact"/>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5"/>
              <w:ind w:right="310"/>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494"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深度昏迷</w:t>
            </w:r>
          </w:p>
        </w:tc>
        <w:tc>
          <w:tcPr>
            <w:tcW w:w="7580" w:type="dxa"/>
          </w:tcPr>
          <w:p>
            <w:pPr>
              <w:pStyle w:val="TableParagraph"/>
              <w:spacing w:line="264" w:lineRule="auto" w:before="64"/>
              <w:ind w:right="305"/>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1"/>
              <w:jc w:val="both"/>
              <w:rPr>
                <w:sz w:val="21"/>
              </w:rPr>
            </w:pPr>
            <w:r>
              <w:rPr>
                <w:sz w:val="21"/>
                <w:shd w:fill="C0C0C0" w:color="auto" w:val="clear"/>
              </w:rPr>
              <w:t>因酗酒或药物滥用导致的深度昏迷不在保障范围内。</w:t>
            </w:r>
          </w:p>
        </w:tc>
      </w:tr>
      <w:tr>
        <w:trPr>
          <w:trHeight w:val="1509" w:hRule="atLeast"/>
        </w:trPr>
        <w:tc>
          <w:tcPr>
            <w:tcW w:w="1591" w:type="dxa"/>
          </w:tcPr>
          <w:p>
            <w:pPr>
              <w:pStyle w:val="TableParagraph"/>
              <w:spacing w:before="5"/>
              <w:ind w:left="200"/>
              <w:rPr>
                <w:rFonts w:ascii="微软雅黑" w:eastAsia="微软雅黑" w:hint="eastAsia"/>
                <w:b/>
                <w:sz w:val="21"/>
              </w:rPr>
            </w:pPr>
            <w:r>
              <w:rPr>
                <w:rFonts w:ascii="微软雅黑" w:eastAsia="微软雅黑" w:hint="eastAsia"/>
                <w:b/>
                <w:sz w:val="21"/>
              </w:rPr>
              <w:t>双耳失聪</w:t>
            </w:r>
          </w:p>
          <w:p>
            <w:pPr>
              <w:pStyle w:val="TableParagraph"/>
              <w:spacing w:before="104"/>
              <w:ind w:left="200"/>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580" w:type="dxa"/>
          </w:tcPr>
          <w:p>
            <w:pPr>
              <w:pStyle w:val="TableParagraph"/>
              <w:spacing w:before="68"/>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1"/>
              <w:ind w:right="308"/>
              <w:rPr>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54"/>
              <w:rPr>
                <w:rFonts w:ascii="微软雅黑" w:eastAsia="微软雅黑" w:hint="eastAsia"/>
                <w:b/>
                <w:sz w:val="21"/>
              </w:rPr>
            </w:pP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周岁以上。</w:t>
            </w:r>
          </w:p>
        </w:tc>
      </w:tr>
      <w:tr>
        <w:trPr>
          <w:trHeight w:val="2121" w:hRule="atLeast"/>
        </w:trPr>
        <w:tc>
          <w:tcPr>
            <w:tcW w:w="1591" w:type="dxa"/>
          </w:tcPr>
          <w:p>
            <w:pPr>
              <w:pStyle w:val="TableParagraph"/>
              <w:spacing w:line="357" w:lineRule="exact"/>
              <w:ind w:left="200"/>
              <w:rPr>
                <w:rFonts w:ascii="微软雅黑" w:eastAsia="微软雅黑" w:hint="eastAsia"/>
                <w:b/>
                <w:sz w:val="21"/>
              </w:rPr>
            </w:pPr>
            <w:r>
              <w:rPr>
                <w:rFonts w:ascii="微软雅黑" w:eastAsia="微软雅黑" w:hint="eastAsia"/>
                <w:b/>
                <w:sz w:val="21"/>
              </w:rPr>
              <w:t>双目失明</w:t>
            </w:r>
          </w:p>
          <w:p>
            <w:pPr>
              <w:pStyle w:val="TableParagraph"/>
              <w:spacing w:before="105"/>
              <w:ind w:left="200"/>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580" w:type="dxa"/>
          </w:tcPr>
          <w:p>
            <w:pPr>
              <w:pStyle w:val="TableParagraph"/>
              <w:spacing w:line="273" w:lineRule="auto" w:before="56"/>
              <w:ind w:right="308"/>
              <w:rPr>
                <w:sz w:val="21"/>
              </w:rPr>
            </w:pPr>
            <w:r>
              <w:rPr>
                <w:sz w:val="21"/>
              </w:rPr>
              <w:t>指因疾病或意外伤害导致双眼视力永久不可逆性丧失，双眼中较好眼须满足下列至少一项条件：</w:t>
            </w:r>
          </w:p>
          <w:p>
            <w:pPr>
              <w:pStyle w:val="TableParagraph"/>
              <w:spacing w:before="12"/>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5"/>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56"/>
                <w:w w:val="100"/>
                <w:sz w:val="21"/>
              </w:rPr>
              <w:t>2</w:t>
            </w:r>
            <w:r>
              <w:rPr>
                <w:spacing w:val="-3"/>
                <w:w w:val="100"/>
                <w:sz w:val="21"/>
              </w:rPr>
              <w:t>（</w:t>
            </w:r>
            <w:r>
              <w:rPr>
                <w:spacing w:val="-9"/>
                <w:w w:val="100"/>
                <w:sz w:val="21"/>
              </w:rPr>
              <w:t>采用国际标准视力表，如果使用其它视力表应进行换算</w:t>
            </w:r>
            <w:r>
              <w:rPr>
                <w:spacing w:val="-108"/>
                <w:w w:val="100"/>
                <w:sz w:val="21"/>
              </w:rPr>
              <w:t>）</w:t>
            </w:r>
            <w:r>
              <w:rPr>
                <w:w w:val="100"/>
                <w:sz w:val="21"/>
              </w:rPr>
              <w:t>；</w:t>
            </w:r>
          </w:p>
          <w:p>
            <w:pPr>
              <w:pStyle w:val="TableParagraph"/>
              <w:spacing w:before="15"/>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before="41"/>
              <w:rPr>
                <w:rFonts w:ascii="微软雅黑" w:eastAsia="微软雅黑" w:hint="eastAsia"/>
                <w:b/>
                <w:sz w:val="21"/>
              </w:rPr>
            </w:pP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周岁以上。</w:t>
            </w:r>
          </w:p>
        </w:tc>
      </w:tr>
      <w:tr>
        <w:trPr>
          <w:trHeight w:val="1084" w:hRule="atLeast"/>
        </w:trPr>
        <w:tc>
          <w:tcPr>
            <w:tcW w:w="1591" w:type="dxa"/>
          </w:tcPr>
          <w:p>
            <w:pPr>
              <w:pStyle w:val="TableParagraph"/>
              <w:spacing w:line="357" w:lineRule="exact"/>
              <w:ind w:left="200"/>
              <w:rPr>
                <w:rFonts w:ascii="微软雅黑" w:eastAsia="微软雅黑" w:hint="eastAsia"/>
                <w:b/>
                <w:sz w:val="21"/>
              </w:rPr>
            </w:pPr>
            <w:r>
              <w:rPr>
                <w:rFonts w:ascii="微软雅黑" w:eastAsia="微软雅黑" w:hint="eastAsia"/>
                <w:b/>
                <w:sz w:val="21"/>
              </w:rPr>
              <w:t>瘫痪</w:t>
            </w:r>
          </w:p>
        </w:tc>
        <w:tc>
          <w:tcPr>
            <w:tcW w:w="7580" w:type="dxa"/>
          </w:tcPr>
          <w:p>
            <w:pPr>
              <w:pStyle w:val="TableParagraph"/>
              <w:spacing w:line="264" w:lineRule="auto" w:before="56"/>
              <w:ind w:right="305"/>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r>
        <w:trPr>
          <w:trHeight w:val="467"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心脏瓣膜手术</w:t>
            </w:r>
          </w:p>
        </w:tc>
        <w:tc>
          <w:tcPr>
            <w:tcW w:w="7580" w:type="dxa"/>
          </w:tcPr>
          <w:p>
            <w:pPr>
              <w:pStyle w:val="TableParagraph"/>
              <w:spacing w:before="64"/>
              <w:rPr>
                <w:sz w:val="21"/>
              </w:rPr>
            </w:pPr>
            <w:r>
              <w:rPr>
                <w:sz w:val="21"/>
              </w:rPr>
              <w:t>指为治疗心脏瓣膜疾病，实际实施了开胸进行的心脏瓣膜置换或修复的手术。</w:t>
            </w:r>
          </w:p>
        </w:tc>
      </w:tr>
      <w:tr>
        <w:trPr>
          <w:trHeight w:val="2119"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严重阿尔茨海默病</w:t>
            </w:r>
          </w:p>
        </w:tc>
        <w:tc>
          <w:tcPr>
            <w:tcW w:w="7580" w:type="dxa"/>
          </w:tcPr>
          <w:p>
            <w:pPr>
              <w:pStyle w:val="TableParagraph"/>
              <w:spacing w:line="268" w:lineRule="auto" w:before="64"/>
              <w:ind w:right="198"/>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8"/>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1"/>
                <w:sz w:val="21"/>
              </w:rPr>
              <w:t>)或正电子发射断层扫描(</w:t>
            </w:r>
            <w:r>
              <w:rPr>
                <w:rFonts w:ascii="Times New Roman" w:eastAsia="Times New Roman"/>
                <w:sz w:val="21"/>
              </w:rPr>
              <w:t>PET</w:t>
            </w:r>
            <w:r>
              <w:rPr>
                <w:sz w:val="21"/>
              </w:rPr>
              <w:t>)等</w:t>
            </w:r>
            <w:r>
              <w:rPr>
                <w:spacing w:val="-3"/>
                <w:sz w:val="21"/>
              </w:rPr>
              <w:t>影像学检查证实，且自主生活能力完全丧失，无法独立完成六项基本日常生活活动中的三项或三项以上。</w:t>
            </w:r>
          </w:p>
          <w:p>
            <w:pPr>
              <w:pStyle w:val="TableParagraph"/>
              <w:spacing w:before="102"/>
              <w:rPr>
                <w:sz w:val="21"/>
              </w:rPr>
            </w:pPr>
            <w:r>
              <w:rPr>
                <w:sz w:val="21"/>
                <w:shd w:fill="C0C0C0" w:color="auto" w:val="clear"/>
              </w:rPr>
              <w:t>神经官能症和精神疾病不在保障范围内。</w:t>
            </w:r>
          </w:p>
        </w:tc>
      </w:tr>
      <w:tr>
        <w:trPr>
          <w:trHeight w:val="2652"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严重脑损伤</w:t>
            </w:r>
          </w:p>
        </w:tc>
        <w:tc>
          <w:tcPr>
            <w:tcW w:w="7580" w:type="dxa"/>
          </w:tcPr>
          <w:p>
            <w:pPr>
              <w:pStyle w:val="TableParagraph"/>
              <w:spacing w:line="273" w:lineRule="auto" w:before="64"/>
              <w:ind w:right="308"/>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exact"/>
              <w:rPr>
                <w:rFonts w:ascii="微软雅黑" w:eastAsia="微软雅黑" w:hint="eastAsia"/>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rFonts w:ascii="微软雅黑" w:eastAsia="微软雅黑" w:hint="eastAsia"/>
                <w:b/>
                <w:sz w:val="21"/>
              </w:rPr>
              <w:t>仍</w:t>
            </w:r>
          </w:p>
          <w:p>
            <w:pPr>
              <w:pStyle w:val="TableParagraph"/>
              <w:spacing w:line="337" w:lineRule="exact"/>
              <w:rPr>
                <w:rFonts w:ascii="微软雅黑" w:eastAsia="微软雅黑" w:hint="eastAsia"/>
                <w:b/>
                <w:sz w:val="21"/>
              </w:rPr>
            </w:pPr>
            <w:r>
              <w:rPr>
                <w:rFonts w:ascii="微软雅黑" w:eastAsia="微软雅黑" w:hint="eastAsia"/>
                <w:b/>
                <w:sz w:val="21"/>
              </w:rPr>
              <w:t>遗留下列一种或一种以上障碍：</w:t>
            </w:r>
          </w:p>
          <w:p>
            <w:pPr>
              <w:pStyle w:val="TableParagraph"/>
              <w:spacing w:before="16"/>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5"/>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5"/>
              <w:ind w:right="308"/>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587"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严重帕金森病</w:t>
            </w:r>
          </w:p>
        </w:tc>
        <w:tc>
          <w:tcPr>
            <w:tcW w:w="7580" w:type="dxa"/>
          </w:tcPr>
          <w:p>
            <w:pPr>
              <w:pStyle w:val="TableParagraph"/>
              <w:spacing w:line="206" w:lineRule="auto" w:before="53"/>
              <w:ind w:right="308"/>
              <w:rPr>
                <w:rFonts w:ascii="微软雅黑" w:eastAsia="微软雅黑" w:hint="eastAsia"/>
                <w:b/>
                <w:sz w:val="21"/>
              </w:rPr>
            </w:pPr>
            <w:r>
              <w:rPr>
                <w:sz w:val="21"/>
              </w:rPr>
              <w:t>是一种中枢神经系统的退行性疾病，临床表现为震颤麻痹、共济失调等。</w:t>
            </w:r>
            <w:r>
              <w:rPr>
                <w:rFonts w:ascii="微软雅黑" w:eastAsia="微软雅黑" w:hint="eastAsia"/>
                <w:b/>
                <w:sz w:val="21"/>
              </w:rPr>
              <w:t>须满足下列全部条件：</w:t>
            </w:r>
          </w:p>
          <w:p>
            <w:pPr>
              <w:pStyle w:val="TableParagraph"/>
              <w:spacing w:before="16"/>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80" w:lineRule="atLeast" w:before="14"/>
              <w:ind w:right="310"/>
              <w:rPr>
                <w:sz w:val="21"/>
              </w:rPr>
            </w:pPr>
            <w:r>
              <w:rPr>
                <w:rFonts w:ascii="Times New Roman" w:eastAsia="Times New Roman"/>
                <w:sz w:val="21"/>
              </w:rPr>
              <w:t>2</w:t>
            </w:r>
            <w:r>
              <w:rPr>
                <w:rFonts w:ascii="Times New Roman" w:eastAsia="Times New Roman"/>
                <w:sz w:val="24"/>
              </w:rPr>
              <w:t>.</w:t>
            </w:r>
            <w:r>
              <w:rPr>
                <w:sz w:val="21"/>
              </w:rPr>
              <w:t>自主生活能力完全丧失，无法独立完成六项基本日常生活活动中的三项或三项以上。</w:t>
            </w:r>
          </w:p>
        </w:tc>
      </w:tr>
    </w:tbl>
    <w:p>
      <w:pPr>
        <w:spacing w:after="0" w:line="280" w:lineRule="atLeast"/>
        <w:rPr>
          <w:sz w:val="21"/>
        </w:rPr>
        <w:sectPr>
          <w:pgSz w:w="11910" w:h="16840"/>
          <w:pgMar w:header="0" w:footer="915" w:top="114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368" w:hRule="atLeast"/>
        </w:trPr>
        <w:tc>
          <w:tcPr>
            <w:tcW w:w="1591" w:type="dxa"/>
          </w:tcPr>
          <w:p>
            <w:pPr>
              <w:pStyle w:val="TableParagraph"/>
              <w:ind w:left="0"/>
              <w:rPr>
                <w:rFonts w:ascii="Times New Roman"/>
                <w:sz w:val="20"/>
              </w:rPr>
            </w:pPr>
          </w:p>
        </w:tc>
        <w:tc>
          <w:tcPr>
            <w:tcW w:w="7580" w:type="dxa"/>
          </w:tcPr>
          <w:p>
            <w:pPr>
              <w:pStyle w:val="TableParagraph"/>
              <w:spacing w:line="237" w:lineRule="exact"/>
              <w:rPr>
                <w:sz w:val="21"/>
              </w:rPr>
            </w:pPr>
            <w:r>
              <w:rPr>
                <w:sz w:val="21"/>
                <w:shd w:fill="C0C0C0" w:color="auto" w:val="clear"/>
              </w:rPr>
              <w:t>继发性帕金森综合征不在保障范围内。</w:t>
            </w:r>
          </w:p>
        </w:tc>
      </w:tr>
      <w:tr>
        <w:trPr>
          <w:trHeight w:val="783" w:hRule="atLeast"/>
        </w:trPr>
        <w:tc>
          <w:tcPr>
            <w:tcW w:w="1591" w:type="dxa"/>
          </w:tcPr>
          <w:p>
            <w:pPr>
              <w:pStyle w:val="TableParagraph"/>
              <w:spacing w:line="362" w:lineRule="exact"/>
              <w:ind w:left="200"/>
              <w:rPr>
                <w:rFonts w:ascii="微软雅黑" w:hAnsi="微软雅黑" w:eastAsia="微软雅黑" w:hint="eastAsia"/>
                <w:b/>
                <w:sz w:val="21"/>
              </w:rPr>
            </w:pPr>
            <w:r>
              <w:rPr>
                <w:rFonts w:ascii="微软雅黑" w:hAnsi="微软雅黑" w:eastAsia="微软雅黑" w:hint="eastAsia"/>
                <w:b/>
                <w:sz w:val="21"/>
              </w:rPr>
              <w:t>严重Ⅲ度烧伤</w:t>
            </w:r>
          </w:p>
        </w:tc>
        <w:tc>
          <w:tcPr>
            <w:tcW w:w="7580" w:type="dxa"/>
          </w:tcPr>
          <w:p>
            <w:pPr>
              <w:pStyle w:val="TableParagraph"/>
              <w:spacing w:line="256" w:lineRule="auto" w:before="61"/>
              <w:ind w:right="305"/>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099" w:hRule="atLeast"/>
        </w:trPr>
        <w:tc>
          <w:tcPr>
            <w:tcW w:w="1591" w:type="dxa"/>
          </w:tcPr>
          <w:p>
            <w:pPr>
              <w:pStyle w:val="TableParagraph"/>
              <w:spacing w:line="206" w:lineRule="auto" w:before="46"/>
              <w:ind w:left="200" w:right="121"/>
              <w:rPr>
                <w:rFonts w:ascii="微软雅黑" w:eastAsia="微软雅黑" w:hint="eastAsia"/>
                <w:b/>
                <w:sz w:val="21"/>
              </w:rPr>
            </w:pPr>
            <w:r>
              <w:rPr>
                <w:rFonts w:ascii="微软雅黑" w:eastAsia="微软雅黑" w:hint="eastAsia"/>
                <w:b/>
                <w:sz w:val="21"/>
              </w:rPr>
              <w:t>严重原发性肺动脉高压</w:t>
            </w:r>
          </w:p>
        </w:tc>
        <w:tc>
          <w:tcPr>
            <w:tcW w:w="7580" w:type="dxa"/>
          </w:tcPr>
          <w:p>
            <w:pPr>
              <w:pStyle w:val="TableParagraph"/>
              <w:spacing w:line="273" w:lineRule="auto" w:before="58"/>
              <w:ind w:right="308"/>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w:t>
            </w:r>
          </w:p>
        </w:tc>
      </w:tr>
      <w:tr>
        <w:trPr>
          <w:trHeight w:val="1392" w:hRule="atLeast"/>
        </w:trPr>
        <w:tc>
          <w:tcPr>
            <w:tcW w:w="1591" w:type="dxa"/>
          </w:tcPr>
          <w:p>
            <w:pPr>
              <w:pStyle w:val="TableParagraph"/>
              <w:spacing w:line="206" w:lineRule="auto" w:before="38"/>
              <w:ind w:left="200" w:right="121"/>
              <w:rPr>
                <w:rFonts w:ascii="微软雅黑" w:eastAsia="微软雅黑" w:hint="eastAsia"/>
                <w:b/>
                <w:sz w:val="21"/>
              </w:rPr>
            </w:pPr>
            <w:r>
              <w:rPr>
                <w:rFonts w:ascii="微软雅黑" w:eastAsia="微软雅黑" w:hint="eastAsia"/>
                <w:b/>
                <w:sz w:val="21"/>
              </w:rPr>
              <w:t>严重运动神经元病</w:t>
            </w:r>
          </w:p>
        </w:tc>
        <w:tc>
          <w:tcPr>
            <w:tcW w:w="7580" w:type="dxa"/>
          </w:tcPr>
          <w:p>
            <w:pPr>
              <w:pStyle w:val="TableParagraph"/>
              <w:spacing w:line="273" w:lineRule="auto" w:before="50"/>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02" w:hRule="atLeast"/>
        </w:trPr>
        <w:tc>
          <w:tcPr>
            <w:tcW w:w="1591" w:type="dxa"/>
          </w:tcPr>
          <w:p>
            <w:pPr>
              <w:pStyle w:val="TableParagraph"/>
              <w:spacing w:line="337" w:lineRule="exact"/>
              <w:ind w:left="200"/>
              <w:rPr>
                <w:rFonts w:ascii="微软雅黑" w:eastAsia="微软雅黑" w:hint="eastAsia"/>
                <w:b/>
                <w:sz w:val="21"/>
              </w:rPr>
            </w:pPr>
            <w:r>
              <w:rPr>
                <w:rFonts w:ascii="微软雅黑" w:eastAsia="微软雅黑" w:hint="eastAsia"/>
                <w:b/>
                <w:sz w:val="21"/>
              </w:rPr>
              <w:t>语言能力丧失</w:t>
            </w:r>
          </w:p>
          <w:p>
            <w:pPr>
              <w:pStyle w:val="TableParagraph"/>
              <w:spacing w:line="337" w:lineRule="exact"/>
              <w:ind w:left="200"/>
              <w:rPr>
                <w:rFonts w:ascii="微软雅黑" w:eastAsia="微软雅黑" w:hint="eastAsia"/>
                <w:b/>
                <w:sz w:val="21"/>
              </w:rPr>
            </w:pPr>
            <w:r>
              <w:rPr>
                <w:rFonts w:ascii="Times New Roman" w:eastAsia="Times New Roman"/>
                <w:b/>
                <w:sz w:val="21"/>
              </w:rPr>
              <w:t>-</w:t>
            </w:r>
            <w:r>
              <w:rPr>
                <w:rFonts w:ascii="微软雅黑" w:eastAsia="微软雅黑" w:hint="eastAsia"/>
                <w:b/>
                <w:sz w:val="21"/>
              </w:rPr>
              <w:t>三岁始理赔</w:t>
            </w:r>
          </w:p>
        </w:tc>
        <w:tc>
          <w:tcPr>
            <w:tcW w:w="7580" w:type="dxa"/>
          </w:tcPr>
          <w:p>
            <w:pPr>
              <w:pStyle w:val="TableParagraph"/>
              <w:spacing w:line="256" w:lineRule="auto" w:before="62"/>
              <w:ind w:right="308"/>
              <w:rPr>
                <w:sz w:val="21"/>
              </w:rPr>
            </w:pPr>
            <w:r>
              <w:rPr>
                <w:spacing w:val="-3"/>
                <w:sz w:val="21"/>
              </w:rPr>
              <w:t>指因疾病或意外伤害导致完全丧失语言能力，经过积极治疗至少</w:t>
            </w:r>
            <w:r>
              <w:rPr>
                <w:rFonts w:ascii="Times New Roman" w:eastAsia="Times New Roman"/>
                <w:sz w:val="21"/>
              </w:rPr>
              <w:t>12</w:t>
            </w:r>
            <w:r>
              <w:rPr>
                <w:sz w:val="21"/>
              </w:rPr>
              <w:t>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300" w:lineRule="auto" w:before="116"/>
              <w:ind w:right="2619"/>
              <w:rPr>
                <w:rFonts w:ascii="微软雅黑" w:eastAsia="微软雅黑" w:hint="eastAsia"/>
                <w:b/>
                <w:sz w:val="21"/>
              </w:rPr>
            </w:pPr>
            <w:r>
              <w:rPr>
                <w:sz w:val="21"/>
                <w:shd w:fill="C0C0C0" w:color="auto" w:val="clear"/>
              </w:rPr>
              <w:t>精神心理因素所致的语言能力丧失不在保障范围内。</w:t>
            </w:r>
            <w:r>
              <w:rPr>
                <w:rFonts w:ascii="微软雅黑" w:eastAsia="微软雅黑" w:hint="eastAsia"/>
                <w:b/>
                <w:sz w:val="21"/>
              </w:rPr>
              <w:t>被保险人申请理赔时年龄必须在</w:t>
            </w:r>
            <w:r>
              <w:rPr>
                <w:rFonts w:ascii="Times New Roman" w:eastAsia="Times New Roman"/>
                <w:b/>
                <w:sz w:val="21"/>
              </w:rPr>
              <w:t>3</w:t>
            </w:r>
            <w:r>
              <w:rPr>
                <w:rFonts w:ascii="微软雅黑" w:eastAsia="微软雅黑" w:hint="eastAsia"/>
                <w:b/>
                <w:sz w:val="21"/>
              </w:rPr>
              <w:t>周岁以上。</w:t>
            </w:r>
          </w:p>
        </w:tc>
      </w:tr>
      <w:tr>
        <w:trPr>
          <w:trHeight w:val="2340" w:hRule="atLeast"/>
        </w:trPr>
        <w:tc>
          <w:tcPr>
            <w:tcW w:w="1591" w:type="dxa"/>
          </w:tcPr>
          <w:p>
            <w:pPr>
              <w:pStyle w:val="TableParagraph"/>
              <w:spacing w:line="206" w:lineRule="auto" w:before="38"/>
              <w:ind w:left="200" w:right="121"/>
              <w:rPr>
                <w:rFonts w:ascii="微软雅黑" w:eastAsia="微软雅黑" w:hint="eastAsia"/>
                <w:b/>
                <w:sz w:val="21"/>
              </w:rPr>
            </w:pPr>
            <w:r>
              <w:rPr>
                <w:rFonts w:ascii="微软雅黑" w:eastAsia="微软雅黑" w:hint="eastAsia"/>
                <w:b/>
                <w:sz w:val="21"/>
              </w:rPr>
              <w:t>重型再生障碍性贫血</w:t>
            </w:r>
          </w:p>
        </w:tc>
        <w:tc>
          <w:tcPr>
            <w:tcW w:w="7580" w:type="dxa"/>
          </w:tcPr>
          <w:p>
            <w:pPr>
              <w:pStyle w:val="TableParagraph"/>
              <w:spacing w:line="273" w:lineRule="auto" w:before="50"/>
              <w:ind w:right="200"/>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spacing w:before="7"/>
              <w:rPr>
                <w:sz w:val="21"/>
              </w:rPr>
            </w:pPr>
            <w:r>
              <w:rPr>
                <w:rFonts w:ascii="Times New Roman" w:eastAsia="Times New Roman"/>
                <w:sz w:val="21"/>
              </w:rPr>
              <w:t>1.</w:t>
            </w:r>
            <w:r>
              <w:rPr>
                <w:sz w:val="21"/>
              </w:rPr>
              <w:t>骨髓穿刺检查或骨髓活检结果支持诊断；</w:t>
            </w:r>
          </w:p>
          <w:p>
            <w:pPr>
              <w:pStyle w:val="TableParagraph"/>
              <w:spacing w:before="20"/>
              <w:rPr>
                <w:sz w:val="21"/>
              </w:rPr>
            </w:pPr>
            <w:r>
              <w:rPr>
                <w:rFonts w:ascii="Times New Roman" w:eastAsia="Times New Roman"/>
                <w:sz w:val="21"/>
              </w:rPr>
              <w:t>2.</w:t>
            </w:r>
            <w:r>
              <w:rPr>
                <w:sz w:val="21"/>
              </w:rPr>
              <w:t>外周血象须具备以下三项条件：</w:t>
            </w:r>
          </w:p>
          <w:p>
            <w:pPr>
              <w:pStyle w:val="TableParagraph"/>
              <w:spacing w:before="20"/>
              <w:ind w:left="334"/>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  </w:t>
            </w:r>
            <w:r>
              <w:rPr>
                <w:sz w:val="21"/>
              </w:rPr>
              <w:t>；</w:t>
            </w:r>
          </w:p>
          <w:p>
            <w:pPr>
              <w:pStyle w:val="TableParagraph"/>
              <w:spacing w:before="21"/>
              <w:ind w:left="334"/>
              <w:rPr>
                <w:sz w:val="21"/>
              </w:rPr>
            </w:pPr>
            <w:r>
              <w:rPr>
                <w:sz w:val="21"/>
              </w:rPr>
              <w:t>②网织红细胞＜</w:t>
            </w:r>
            <w:r>
              <w:rPr>
                <w:rFonts w:ascii="Times New Roman" w:hAnsi="Times New Roman" w:eastAsia="Times New Roman"/>
                <w:sz w:val="21"/>
              </w:rPr>
              <w:t>1%</w:t>
            </w:r>
            <w:r>
              <w:rPr>
                <w:sz w:val="21"/>
              </w:rPr>
              <w:t>；</w:t>
            </w:r>
          </w:p>
          <w:p>
            <w:pPr>
              <w:pStyle w:val="TableParagraph"/>
              <w:spacing w:before="21"/>
              <w:ind w:left="334"/>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w:t>
            </w:r>
            <w:r>
              <w:rPr>
                <w:sz w:val="21"/>
              </w:rPr>
              <w:t>。</w:t>
            </w:r>
          </w:p>
        </w:tc>
      </w:tr>
      <w:tr>
        <w:trPr>
          <w:trHeight w:val="1489" w:hRule="atLeast"/>
        </w:trPr>
        <w:tc>
          <w:tcPr>
            <w:tcW w:w="1591" w:type="dxa"/>
          </w:tcPr>
          <w:p>
            <w:pPr>
              <w:pStyle w:val="TableParagraph"/>
              <w:spacing w:line="350" w:lineRule="exact"/>
              <w:ind w:left="200"/>
              <w:rPr>
                <w:rFonts w:ascii="微软雅黑" w:eastAsia="微软雅黑" w:hint="eastAsia"/>
                <w:b/>
                <w:sz w:val="21"/>
              </w:rPr>
            </w:pPr>
            <w:r>
              <w:rPr>
                <w:rFonts w:ascii="微软雅黑" w:eastAsia="微软雅黑" w:hint="eastAsia"/>
                <w:b/>
                <w:sz w:val="21"/>
              </w:rPr>
              <w:t>主动脉手术</w:t>
            </w:r>
          </w:p>
        </w:tc>
        <w:tc>
          <w:tcPr>
            <w:tcW w:w="7580" w:type="dxa"/>
          </w:tcPr>
          <w:p>
            <w:pPr>
              <w:pStyle w:val="TableParagraph"/>
              <w:spacing w:line="273" w:lineRule="auto" w:before="50"/>
              <w:ind w:right="308"/>
              <w:jc w:val="both"/>
              <w:rPr>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胸主动脉和腹主动脉的分支血管不在保障范围内。</w:t>
            </w:r>
          </w:p>
          <w:p>
            <w:pPr>
              <w:pStyle w:val="TableParagraph"/>
              <w:spacing w:before="101"/>
              <w:jc w:val="both"/>
              <w:rPr>
                <w:sz w:val="21"/>
              </w:rPr>
            </w:pPr>
            <w:r>
              <w:rPr>
                <w:sz w:val="21"/>
                <w:shd w:fill="C0C0C0" w:color="auto" w:val="clear"/>
              </w:rPr>
              <w:t>动脉内血管成形术不在保障范围内。</w:t>
            </w:r>
          </w:p>
        </w:tc>
      </w:tr>
      <w:tr>
        <w:trPr>
          <w:trHeight w:val="2036" w:hRule="atLeast"/>
        </w:trPr>
        <w:tc>
          <w:tcPr>
            <w:tcW w:w="1591" w:type="dxa"/>
          </w:tcPr>
          <w:p>
            <w:pPr>
              <w:pStyle w:val="TableParagraph"/>
              <w:spacing w:line="206" w:lineRule="auto" w:before="46"/>
              <w:ind w:left="200" w:right="121"/>
              <w:rPr>
                <w:rFonts w:ascii="微软雅黑" w:eastAsia="微软雅黑" w:hint="eastAsia"/>
                <w:b/>
                <w:sz w:val="21"/>
              </w:rPr>
            </w:pPr>
            <w:r>
              <w:rPr>
                <w:rFonts w:ascii="微软雅黑" w:eastAsia="微软雅黑" w:hint="eastAsia"/>
                <w:b/>
                <w:sz w:val="21"/>
              </w:rPr>
              <w:t>严重多发性硬化</w:t>
            </w:r>
          </w:p>
        </w:tc>
        <w:tc>
          <w:tcPr>
            <w:tcW w:w="7580" w:type="dxa"/>
          </w:tcPr>
          <w:p>
            <w:pPr>
              <w:pStyle w:val="TableParagraph"/>
              <w:spacing w:line="261" w:lineRule="auto" w:before="58"/>
              <w:ind w:right="306"/>
              <w:jc w:val="both"/>
              <w:rPr>
                <w:sz w:val="21"/>
              </w:rPr>
            </w:pPr>
            <w:r>
              <w:rPr>
                <w:spacing w:val="-3"/>
                <w:sz w:val="21"/>
              </w:rPr>
              <w:t>多发性硬化为中枢神经系统白质多灶性脱髓鞘病变，病变有时累及灰质。多发性硬化必须明确诊断并由核磁共振(</w:t>
            </w:r>
            <w:r>
              <w:rPr>
                <w:rFonts w:ascii="Times New Roman" w:eastAsia="Times New Roman"/>
                <w:sz w:val="21"/>
              </w:rPr>
              <w:t>MRI</w:t>
            </w:r>
            <w:r>
              <w:rPr>
                <w:spacing w:val="-3"/>
                <w:sz w:val="21"/>
              </w:rPr>
              <w:t>)等影像学检验证实，而且已经造成永</w:t>
            </w:r>
            <w:r>
              <w:rPr>
                <w:spacing w:val="-12"/>
                <w:sz w:val="21"/>
              </w:rPr>
              <w:t>久的神经系统功能损害，导致被保险人持续</w:t>
            </w:r>
            <w:r>
              <w:rPr>
                <w:rFonts w:ascii="Times New Roman" w:eastAsia="Times New Roman"/>
                <w:sz w:val="21"/>
              </w:rPr>
              <w:t>180</w:t>
            </w:r>
            <w:r>
              <w:rPr>
                <w:spacing w:val="-3"/>
                <w:sz w:val="21"/>
              </w:rPr>
              <w:t>日无法独立完成下列基本日常生活活动：</w:t>
            </w:r>
          </w:p>
          <w:p>
            <w:pPr>
              <w:pStyle w:val="TableParagraph"/>
              <w:spacing w:before="18"/>
              <w:jc w:val="both"/>
              <w:rPr>
                <w:sz w:val="21"/>
              </w:rPr>
            </w:pPr>
            <w:r>
              <w:rPr>
                <w:rFonts w:ascii="Times New Roman" w:eastAsia="Times New Roman"/>
                <w:sz w:val="21"/>
              </w:rPr>
              <w:t>1.</w:t>
            </w:r>
            <w:r>
              <w:rPr>
                <w:sz w:val="21"/>
              </w:rPr>
              <w:t>移动：自己从一个房间到另一个房间；</w:t>
            </w:r>
          </w:p>
          <w:p>
            <w:pPr>
              <w:pStyle w:val="TableParagraph"/>
              <w:spacing w:before="21"/>
              <w:jc w:val="both"/>
              <w:rPr>
                <w:sz w:val="21"/>
              </w:rPr>
            </w:pPr>
            <w:r>
              <w:rPr>
                <w:rFonts w:ascii="Times New Roman" w:eastAsia="Times New Roman"/>
                <w:sz w:val="21"/>
              </w:rPr>
              <w:t>2.</w:t>
            </w:r>
            <w:r>
              <w:rPr>
                <w:sz w:val="21"/>
              </w:rPr>
              <w:t>进食：自己从已准备好的碗或碟中取食物放入口中。</w:t>
            </w:r>
          </w:p>
        </w:tc>
      </w:tr>
      <w:tr>
        <w:trPr>
          <w:trHeight w:val="2111" w:hRule="atLeast"/>
        </w:trPr>
        <w:tc>
          <w:tcPr>
            <w:tcW w:w="1591" w:type="dxa"/>
          </w:tcPr>
          <w:p>
            <w:pPr>
              <w:pStyle w:val="TableParagraph"/>
              <w:spacing w:line="350" w:lineRule="exact"/>
              <w:ind w:left="200"/>
              <w:rPr>
                <w:rFonts w:ascii="微软雅黑" w:eastAsia="微软雅黑" w:hint="eastAsia"/>
                <w:b/>
                <w:sz w:val="21"/>
              </w:rPr>
            </w:pPr>
            <w:r>
              <w:rPr>
                <w:rFonts w:ascii="微软雅黑" w:eastAsia="微软雅黑" w:hint="eastAsia"/>
                <w:b/>
                <w:sz w:val="21"/>
              </w:rPr>
              <w:t>严重冠心病</w:t>
            </w:r>
          </w:p>
        </w:tc>
        <w:tc>
          <w:tcPr>
            <w:tcW w:w="7580" w:type="dxa"/>
          </w:tcPr>
          <w:p>
            <w:pPr>
              <w:pStyle w:val="TableParagraph"/>
              <w:spacing w:line="266" w:lineRule="auto" w:before="50"/>
              <w:ind w:right="306"/>
              <w:jc w:val="both"/>
              <w:rPr>
                <w:sz w:val="21"/>
              </w:rPr>
            </w:pPr>
            <w:r>
              <w:rPr>
                <w:spacing w:val="-3"/>
                <w:sz w:val="21"/>
              </w:rPr>
              <w:t>指根据冠状动脉造影检查结果确诊的三支主要血管</w:t>
            </w:r>
            <w:r>
              <w:rPr>
                <w:sz w:val="21"/>
              </w:rPr>
              <w:t>（</w:t>
            </w:r>
            <w:r>
              <w:rPr>
                <w:spacing w:val="-3"/>
                <w:sz w:val="21"/>
              </w:rPr>
              <w:t>左冠状动脉主干和右冠状动脉，或前降支、左旋支和右冠状动脉）严重狭窄性病变</w:t>
            </w:r>
            <w:r>
              <w:rPr>
                <w:sz w:val="21"/>
              </w:rPr>
              <w:t>（</w:t>
            </w:r>
            <w:r>
              <w:rPr>
                <w:spacing w:val="-3"/>
                <w:sz w:val="21"/>
              </w:rPr>
              <w:t>至少一支血管管腔直径减少</w:t>
            </w:r>
            <w:r>
              <w:rPr>
                <w:rFonts w:ascii="Times New Roman" w:eastAsia="Times New Roman"/>
                <w:sz w:val="21"/>
              </w:rPr>
              <w:t>75%</w:t>
            </w:r>
            <w:r>
              <w:rPr>
                <w:spacing w:val="-3"/>
                <w:sz w:val="21"/>
              </w:rPr>
              <w:t>以上和其他两支血管管腔直径减少</w:t>
            </w:r>
            <w:r>
              <w:rPr>
                <w:rFonts w:ascii="Times New Roman" w:eastAsia="Times New Roman"/>
                <w:sz w:val="21"/>
              </w:rPr>
              <w:t>60%</w:t>
            </w:r>
            <w:r>
              <w:rPr>
                <w:sz w:val="21"/>
              </w:rPr>
              <w:t>以上</w:t>
            </w:r>
            <w:r>
              <w:rPr>
                <w:spacing w:val="-108"/>
                <w:sz w:val="21"/>
              </w:rPr>
              <w:t>）</w:t>
            </w:r>
            <w:r>
              <w:rPr>
                <w:spacing w:val="-7"/>
                <w:sz w:val="21"/>
              </w:rPr>
              <w:t>。前降支、左旋支及</w:t>
            </w:r>
            <w:r>
              <w:rPr>
                <w:spacing w:val="-5"/>
                <w:sz w:val="21"/>
              </w:rPr>
              <w:t>右冠状动脉的分支血管的狭窄不作为本保障的衡量指标。</w:t>
            </w:r>
          </w:p>
          <w:p>
            <w:pPr>
              <w:pStyle w:val="TableParagraph"/>
              <w:spacing w:line="206" w:lineRule="auto" w:before="93"/>
              <w:ind w:right="311"/>
              <w:jc w:val="both"/>
              <w:rPr>
                <w:rFonts w:ascii="微软雅黑" w:eastAsia="微软雅黑" w:hint="eastAsia"/>
                <w:b/>
                <w:sz w:val="21"/>
              </w:rPr>
            </w:pPr>
            <w:r>
              <w:rPr>
                <w:rFonts w:ascii="微软雅黑" w:eastAsia="微软雅黑" w:hint="eastAsia"/>
                <w:b/>
                <w:sz w:val="21"/>
              </w:rPr>
              <w:t>如果被保险人在出现严重冠心病以后接受冠状动脉搭桥术治疗，我们仅就其中一种疾病给付重大疾病保险金。</w:t>
            </w:r>
          </w:p>
        </w:tc>
      </w:tr>
      <w:tr>
        <w:trPr>
          <w:trHeight w:val="979" w:hRule="atLeast"/>
        </w:trPr>
        <w:tc>
          <w:tcPr>
            <w:tcW w:w="1591" w:type="dxa"/>
          </w:tcPr>
          <w:p>
            <w:pPr>
              <w:pStyle w:val="TableParagraph"/>
              <w:spacing w:line="206" w:lineRule="auto" w:before="46"/>
              <w:ind w:left="200" w:right="121"/>
              <w:rPr>
                <w:rFonts w:ascii="微软雅黑" w:eastAsia="微软雅黑" w:hint="eastAsia"/>
                <w:b/>
                <w:sz w:val="21"/>
              </w:rPr>
            </w:pPr>
            <w:r>
              <w:rPr>
                <w:rFonts w:ascii="微软雅黑" w:eastAsia="微软雅黑" w:hint="eastAsia"/>
                <w:b/>
                <w:sz w:val="21"/>
              </w:rPr>
              <w:t>严重类风湿性关节炎</w:t>
            </w:r>
          </w:p>
        </w:tc>
        <w:tc>
          <w:tcPr>
            <w:tcW w:w="7580" w:type="dxa"/>
          </w:tcPr>
          <w:p>
            <w:pPr>
              <w:pStyle w:val="TableParagraph"/>
              <w:spacing w:line="312" w:lineRule="exact" w:before="54"/>
              <w:ind w:right="198"/>
              <w:jc w:val="both"/>
              <w:rPr>
                <w:sz w:val="21"/>
              </w:rPr>
            </w:pPr>
            <w:r>
              <w:rPr>
                <w:spacing w:val="-7"/>
                <w:sz w:val="21"/>
              </w:rPr>
              <w:t>严重类风湿性关节炎为广泛分布的慢性进行性多关节病变，伴有关节严重变形， 侵犯至少三个主要关节</w:t>
            </w:r>
            <w:r>
              <w:rPr>
                <w:spacing w:val="-3"/>
                <w:sz w:val="21"/>
              </w:rPr>
              <w:t>（</w:t>
            </w:r>
            <w:r>
              <w:rPr>
                <w:spacing w:val="-10"/>
                <w:sz w:val="21"/>
              </w:rPr>
              <w:t>腕关节、肘关节、肩关节、踝关节、膝关节、髋关节</w:t>
            </w:r>
            <w:r>
              <w:rPr>
                <w:sz w:val="21"/>
              </w:rPr>
              <w:t>） </w:t>
            </w:r>
            <w:r>
              <w:rPr>
                <w:spacing w:val="-4"/>
                <w:w w:val="100"/>
                <w:sz w:val="21"/>
              </w:rPr>
              <w:t>或关节组</w:t>
            </w:r>
            <w:r>
              <w:rPr>
                <w:spacing w:val="-3"/>
                <w:w w:val="100"/>
                <w:sz w:val="21"/>
              </w:rPr>
              <w:t>（</w:t>
            </w:r>
            <w:r>
              <w:rPr>
                <w:spacing w:val="-6"/>
                <w:w w:val="100"/>
                <w:sz w:val="21"/>
              </w:rPr>
              <w:t>如手的多个指间、掌指关节，足的多个足趾、跖趾关节</w:t>
            </w:r>
            <w:r>
              <w:rPr>
                <w:spacing w:val="-106"/>
                <w:w w:val="100"/>
                <w:sz w:val="21"/>
              </w:rPr>
              <w:t>）</w:t>
            </w:r>
            <w:r>
              <w:rPr>
                <w:spacing w:val="-12"/>
                <w:w w:val="100"/>
                <w:sz w:val="21"/>
              </w:rPr>
              <w:t>，</w:t>
            </w:r>
            <w:r>
              <w:rPr>
                <w:rFonts w:ascii="Times New Roman" w:eastAsia="Times New Roman"/>
                <w:spacing w:val="-2"/>
                <w:w w:val="100"/>
                <w:sz w:val="21"/>
              </w:rPr>
              <w:t>X</w:t>
            </w:r>
            <w:r>
              <w:rPr>
                <w:spacing w:val="-2"/>
                <w:w w:val="100"/>
                <w:sz w:val="21"/>
              </w:rPr>
              <w:t>线显示</w:t>
            </w:r>
          </w:p>
        </w:tc>
      </w:tr>
    </w:tbl>
    <w:p>
      <w:pPr>
        <w:rPr>
          <w:sz w:val="2"/>
          <w:szCs w:val="2"/>
        </w:rPr>
      </w:pPr>
      <w:r>
        <w:rPr/>
        <w:pict>
          <v:line style="position:absolute;mso-position-horizontal-relative:page;mso-position-vertical-relative:page;z-index:-56008" from="353.170013pt,57.599983pt" to="353.170013pt,71.279983pt" stroked="true" strokeweight="5.16pt" strokecolor="#d9d9d9">
            <v:stroke dashstyle="solid"/>
            <w10:wrap type="none"/>
          </v:line>
        </w:pict>
      </w:r>
    </w:p>
    <w:p>
      <w:pPr>
        <w:spacing w:after="0"/>
        <w:rPr>
          <w:sz w:val="2"/>
          <w:szCs w:val="2"/>
        </w:rPr>
        <w:sectPr>
          <w:pgSz w:w="11910" w:h="16840"/>
          <w:pgMar w:header="0" w:footer="915" w:top="1140" w:bottom="1100" w:left="1620" w:right="900"/>
        </w:sectPr>
      </w:pPr>
    </w:p>
    <w:p>
      <w:pPr>
        <w:pStyle w:val="BodyText"/>
        <w:spacing w:before="22"/>
        <w:ind w:left="1757"/>
      </w:pPr>
      <w:r>
        <w:rPr/>
        <w:t>严重的关节（软骨和骨）破坏和关节畸形，并已达到类风湿性关节炎功能分级</w:t>
      </w:r>
    </w:p>
    <w:p>
      <w:pPr>
        <w:pStyle w:val="BodyText"/>
        <w:spacing w:line="256" w:lineRule="auto" w:before="37"/>
        <w:ind w:left="1757" w:right="221"/>
      </w:pPr>
      <w:r>
        <w:rPr>
          <w:rFonts w:ascii="Times New Roman" w:eastAsia="Times New Roman"/>
        </w:rPr>
        <w:t>IV</w:t>
      </w:r>
      <w:r>
        <w:rPr/>
        <w:t>级的永久不可逆性关节功能障碍，致使被保险人完全丧失工作能力，生活不能自理，无法独立完成六项基本日常生活活动中的三项或三项以上。</w:t>
      </w:r>
    </w:p>
    <w:p>
      <w:pPr>
        <w:pStyle w:val="BodyText"/>
        <w:spacing w:before="10"/>
        <w:rPr>
          <w:sz w:val="10"/>
        </w:rPr>
      </w:pPr>
    </w:p>
    <w:p>
      <w:pPr>
        <w:spacing w:after="0"/>
        <w:rPr>
          <w:sz w:val="10"/>
        </w:rPr>
        <w:sectPr>
          <w:pgSz w:w="11910" w:h="16840"/>
          <w:pgMar w:header="0" w:footer="915" w:top="1080" w:bottom="1100" w:left="1680" w:right="1100"/>
        </w:sectPr>
      </w:pPr>
    </w:p>
    <w:p>
      <w:pPr>
        <w:pStyle w:val="Heading4"/>
        <w:spacing w:line="206" w:lineRule="auto"/>
      </w:pPr>
      <w:r>
        <w:rPr/>
        <w:t>系统性红斑狼疮—</w:t>
      </w:r>
      <w:r>
        <w:rPr>
          <w:rFonts w:ascii="Times New Roman" w:hAnsi="Times New Roman" w:eastAsia="Times New Roman"/>
        </w:rPr>
        <w:t>III </w:t>
      </w:r>
      <w:r>
        <w:rPr/>
        <w:t>型或以上狼疮性肾炎</w:t>
      </w:r>
    </w:p>
    <w:p>
      <w:pPr>
        <w:pStyle w:val="BodyText"/>
        <w:spacing w:line="266" w:lineRule="auto" w:before="37"/>
        <w:ind w:left="207" w:right="220"/>
        <w:jc w:val="both"/>
      </w:pPr>
      <w:r>
        <w:rPr/>
        <w:br w:type="column"/>
      </w:r>
      <w:r>
        <w:rPr>
          <w:spacing w:val="-3"/>
        </w:rPr>
        <w:t>是由多种因素引起，累及多系统的自身免疫性疾病。多侵犯育龄女性。其特点是生成自身抗体对抗多种自身抗原。本合同所指的系统性红斑狼疮仅限于累及</w:t>
      </w:r>
      <w:r>
        <w:rPr>
          <w:spacing w:val="-22"/>
        </w:rPr>
        <w:t>肾脏</w:t>
      </w:r>
      <w:r>
        <w:rPr/>
        <w:t>（</w:t>
      </w:r>
      <w:r>
        <w:rPr>
          <w:spacing w:val="-6"/>
        </w:rPr>
        <w:t>经肾脏病理检查或临床确诊，并符合下列世界卫生组织(</w:t>
      </w:r>
      <w:r>
        <w:rPr>
          <w:rFonts w:ascii="Times New Roman" w:hAnsi="Times New Roman" w:eastAsia="Times New Roman"/>
        </w:rPr>
        <w:t>WHO</w:t>
      </w:r>
      <w:r>
        <w:rPr>
          <w:spacing w:val="-3"/>
        </w:rPr>
        <w:t>)诊断标准定义Ⅲ型至Ⅴ型狼疮性肾炎</w:t>
      </w:r>
      <w:r>
        <w:rPr/>
        <w:t>）</w:t>
      </w:r>
      <w:r>
        <w:rPr>
          <w:spacing w:val="-3"/>
        </w:rPr>
        <w:t>的系统性红斑狼疮。</w:t>
      </w:r>
    </w:p>
    <w:p>
      <w:pPr>
        <w:pStyle w:val="BodyText"/>
        <w:spacing w:line="273" w:lineRule="auto" w:before="107"/>
        <w:ind w:left="207" w:right="221"/>
      </w:pPr>
      <w:r>
        <w:rPr>
          <w:spacing w:val="-3"/>
          <w:shd w:fill="C0C0C0" w:color="auto" w:val="clear"/>
        </w:rPr>
        <w:t>其他类型的红斑性狼疮，如盘状狼疮，仅累及血液及关节等其他系统的系统性红斑狼疮不在保障范</w:t>
      </w:r>
      <w:r>
        <w:rPr>
          <w:spacing w:val="-71"/>
          <w:shd w:fill="C0C0C0" w:color="auto" w:val="clear"/>
        </w:rPr>
        <w:t>围内。</w:t>
      </w:r>
    </w:p>
    <w:p>
      <w:pPr>
        <w:pStyle w:val="BodyText"/>
        <w:spacing w:before="100"/>
        <w:ind w:left="207"/>
        <w:jc w:val="both"/>
      </w:pPr>
      <w:r>
        <w:rPr/>
        <w:t>世界卫生组织(</w:t>
      </w:r>
      <w:r>
        <w:rPr>
          <w:rFonts w:ascii="Times New Roman" w:eastAsia="Times New Roman"/>
        </w:rPr>
        <w:t>WHO</w:t>
      </w:r>
      <w:r>
        <w:rPr/>
        <w:t>)狼疮性肾炎分型：</w:t>
      </w:r>
    </w:p>
    <w:p>
      <w:pPr>
        <w:pStyle w:val="BodyText"/>
        <w:spacing w:before="21"/>
        <w:ind w:left="207"/>
        <w:jc w:val="both"/>
      </w:pPr>
      <w:r>
        <w:rPr/>
        <w:t>Ⅰ型（微小病变型）镜下阴性，尿液正常；</w:t>
      </w:r>
    </w:p>
    <w:p>
      <w:pPr>
        <w:pStyle w:val="BodyText"/>
        <w:spacing w:before="37"/>
        <w:ind w:left="207"/>
        <w:jc w:val="both"/>
      </w:pPr>
      <w:r>
        <w:rPr/>
        <w:t>Ⅱ型（系膜病变型）中度蛋白尿，偶有尿沉渣改变；</w:t>
      </w:r>
    </w:p>
    <w:p>
      <w:pPr>
        <w:pStyle w:val="BodyText"/>
        <w:spacing w:before="37"/>
        <w:ind w:left="207"/>
        <w:jc w:val="both"/>
      </w:pPr>
      <w:r>
        <w:rPr/>
        <w:t>Ⅲ型（局灶及节段增生型）蛋白尿，尿沉渣改变；</w:t>
      </w:r>
    </w:p>
    <w:p>
      <w:pPr>
        <w:pStyle w:val="BodyText"/>
        <w:spacing w:before="37"/>
        <w:ind w:left="207"/>
        <w:jc w:val="both"/>
      </w:pPr>
      <w:r>
        <w:rPr/>
        <w:t>Ⅳ型（弥漫增生型）急性肾炎伴有尿沉渣改变及/或肾病综合征；</w:t>
      </w:r>
    </w:p>
    <w:p>
      <w:pPr>
        <w:pStyle w:val="BodyText"/>
        <w:spacing w:before="37"/>
        <w:ind w:left="207"/>
        <w:jc w:val="both"/>
      </w:pPr>
      <w:r>
        <w:rPr/>
        <w:t>Ⅴ型（膜型）肾病综合征或重度蛋白尿。</w:t>
      </w:r>
    </w:p>
    <w:p>
      <w:pPr>
        <w:spacing w:after="0"/>
        <w:jc w:val="both"/>
        <w:sectPr>
          <w:type w:val="continuous"/>
          <w:pgSz w:w="11910" w:h="16840"/>
          <w:pgMar w:top="1100" w:bottom="1100" w:left="1680" w:right="1100"/>
          <w:cols w:num="2" w:equalWidth="0">
            <w:col w:w="1511" w:space="40"/>
            <w:col w:w="7579"/>
          </w:cols>
        </w:sectPr>
      </w:pPr>
    </w:p>
    <w:p>
      <w:pPr>
        <w:pStyle w:val="BodyText"/>
        <w:spacing w:before="12"/>
        <w:rPr>
          <w:sz w:val="11"/>
        </w:rPr>
      </w:pPr>
    </w:p>
    <w:p>
      <w:pPr>
        <w:spacing w:after="0"/>
        <w:rPr>
          <w:sz w:val="11"/>
        </w:rPr>
        <w:sectPr>
          <w:type w:val="continuous"/>
          <w:pgSz w:w="11910" w:h="16840"/>
          <w:pgMar w:top="1100" w:bottom="1100" w:left="1680" w:right="1100"/>
        </w:sectPr>
      </w:pPr>
    </w:p>
    <w:p>
      <w:pPr>
        <w:pStyle w:val="Heading4"/>
        <w:spacing w:line="206" w:lineRule="auto"/>
      </w:pPr>
      <w:r>
        <w:rPr/>
        <w:t>严重慢性呼吸功能衰竭</w:t>
      </w:r>
    </w:p>
    <w:p>
      <w:pPr>
        <w:pStyle w:val="BodyText"/>
        <w:spacing w:line="273" w:lineRule="auto" w:before="37"/>
        <w:ind w:left="207" w:right="221"/>
      </w:pPr>
      <w:r>
        <w:rPr/>
        <w:br w:type="column"/>
      </w:r>
      <w:r>
        <w:rPr/>
        <w:t>慢性肺部疾病导致永久不可逆性的慢性呼吸功能衰竭，必须由呼吸专科医师确认并符合下列所有条件：</w:t>
      </w:r>
    </w:p>
    <w:p>
      <w:pPr>
        <w:pStyle w:val="BodyText"/>
        <w:spacing w:before="7"/>
        <w:ind w:left="207"/>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0"/>
        <w:ind w:left="207"/>
      </w:pPr>
      <w:r>
        <w:rPr>
          <w:rFonts w:ascii="Times New Roman" w:eastAsia="Times New Roman"/>
        </w:rPr>
        <w:t>2.</w:t>
      </w:r>
      <w:r>
        <w:rPr/>
        <w:t>病人缺氧必须广泛而持续地进行输氧治疗；</w:t>
      </w:r>
    </w:p>
    <w:p>
      <w:pPr>
        <w:pStyle w:val="BodyText"/>
        <w:spacing w:before="20"/>
        <w:ind w:left="207"/>
      </w:pPr>
      <w:r>
        <w:rPr>
          <w:rFonts w:ascii="Times New Roman" w:eastAsia="Times New Roman"/>
        </w:rPr>
        <w:t>3.</w:t>
      </w:r>
      <w:r>
        <w:rPr/>
        <w:t>动脉血气分析氧分压低于</w:t>
      </w:r>
      <w:r>
        <w:rPr>
          <w:rFonts w:ascii="Times New Roman" w:eastAsia="Times New Roman"/>
        </w:rPr>
        <w:t>55mmHg</w:t>
      </w:r>
      <w:r>
        <w:rPr/>
        <w:t>。</w:t>
      </w:r>
    </w:p>
    <w:p>
      <w:pPr>
        <w:pStyle w:val="Heading4"/>
        <w:spacing w:before="52"/>
        <w:ind w:left="207"/>
      </w:pPr>
      <w:r>
        <w:rPr/>
        <w:t>理赔时必须提供以上三项相应的证明文件或检查报告。</w:t>
      </w:r>
    </w:p>
    <w:p>
      <w:pPr>
        <w:spacing w:after="0"/>
        <w:sectPr>
          <w:type w:val="continuous"/>
          <w:pgSz w:w="11910" w:h="16840"/>
          <w:pgMar w:top="1100" w:bottom="1100" w:left="1680" w:right="1100"/>
          <w:cols w:num="2" w:equalWidth="0">
            <w:col w:w="1511" w:space="40"/>
            <w:col w:w="7579"/>
          </w:cols>
        </w:sectPr>
      </w:pPr>
    </w:p>
    <w:p>
      <w:pPr>
        <w:pStyle w:val="BodyText"/>
        <w:spacing w:before="10"/>
        <w:rPr>
          <w:rFonts w:ascii="微软雅黑"/>
          <w:b/>
          <w:sz w:val="7"/>
        </w:rPr>
      </w:pPr>
    </w:p>
    <w:p>
      <w:pPr>
        <w:spacing w:after="0"/>
        <w:rPr>
          <w:rFonts w:ascii="微软雅黑"/>
          <w:sz w:val="7"/>
        </w:rPr>
        <w:sectPr>
          <w:type w:val="continuous"/>
          <w:pgSz w:w="11910" w:h="16840"/>
          <w:pgMar w:top="1100" w:bottom="1100" w:left="1680" w:right="1100"/>
        </w:sectPr>
      </w:pPr>
    </w:p>
    <w:p>
      <w:pPr>
        <w:spacing w:line="206" w:lineRule="auto" w:before="25"/>
        <w:ind w:left="242" w:right="0" w:firstLine="0"/>
        <w:jc w:val="left"/>
        <w:rPr>
          <w:rFonts w:ascii="微软雅黑" w:eastAsia="微软雅黑" w:hint="eastAsia"/>
          <w:b/>
          <w:sz w:val="21"/>
        </w:rPr>
      </w:pPr>
      <w:r>
        <w:rPr>
          <w:rFonts w:ascii="微软雅黑" w:eastAsia="微软雅黑" w:hint="eastAsia"/>
          <w:b/>
          <w:sz w:val="21"/>
        </w:rPr>
        <w:t>全身性重症肌无力</w:t>
      </w:r>
    </w:p>
    <w:p>
      <w:pPr>
        <w:pStyle w:val="BodyText"/>
        <w:spacing w:line="273" w:lineRule="auto" w:before="37"/>
        <w:ind w:left="207" w:right="221"/>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207"/>
      </w:pPr>
      <w:r>
        <w:rPr>
          <w:rFonts w:ascii="Times New Roman" w:eastAsia="Times New Roman"/>
        </w:rPr>
        <w:t>1.</w:t>
      </w:r>
      <w:r>
        <w:rPr/>
        <w:t>经药物治疗和胸腺切除治疗一年以上仍无法控制病情；</w:t>
      </w:r>
    </w:p>
    <w:p>
      <w:pPr>
        <w:pStyle w:val="BodyText"/>
        <w:spacing w:line="256" w:lineRule="auto" w:before="21"/>
        <w:ind w:left="207" w:right="224"/>
        <w:jc w:val="both"/>
      </w:pPr>
      <w:r>
        <w:rPr>
          <w:rFonts w:ascii="Times New Roman" w:eastAsia="Times New Roman"/>
        </w:rPr>
        <w:t>2.</w:t>
      </w:r>
      <w:r>
        <w:rPr/>
        <w:t>自主生活能力完全丧失，无法独立完成六项基本日常生活活动中的三项或三项以上。</w:t>
      </w:r>
    </w:p>
    <w:p>
      <w:pPr>
        <w:spacing w:after="0" w:line="256" w:lineRule="auto"/>
        <w:jc w:val="both"/>
        <w:sectPr>
          <w:type w:val="continuous"/>
          <w:pgSz w:w="11910" w:h="16840"/>
          <w:pgMar w:top="1100" w:bottom="1100" w:left="1680" w:right="1100"/>
          <w:cols w:num="2" w:equalWidth="0">
            <w:col w:w="1511" w:space="40"/>
            <w:col w:w="7579"/>
          </w:cols>
        </w:sectPr>
      </w:pPr>
    </w:p>
    <w:p>
      <w:pPr>
        <w:pStyle w:val="BodyText"/>
        <w:spacing w:before="11"/>
        <w:rPr>
          <w:sz w:val="10"/>
        </w:rPr>
      </w:pPr>
    </w:p>
    <w:p>
      <w:pPr>
        <w:spacing w:after="0"/>
        <w:rPr>
          <w:sz w:val="10"/>
        </w:rPr>
        <w:sectPr>
          <w:type w:val="continuous"/>
          <w:pgSz w:w="11910" w:h="16840"/>
          <w:pgMar w:top="1100" w:bottom="1100" w:left="1680" w:right="1100"/>
        </w:sectPr>
      </w:pPr>
    </w:p>
    <w:p>
      <w:pPr>
        <w:pStyle w:val="Heading4"/>
        <w:spacing w:line="206" w:lineRule="auto" w:before="24"/>
      </w:pPr>
      <w:r>
        <w:rPr/>
        <w:t>严重原发性心肌病</w:t>
      </w:r>
    </w:p>
    <w:p>
      <w:pPr>
        <w:pStyle w:val="BodyText"/>
        <w:spacing w:line="264" w:lineRule="auto" w:before="36"/>
        <w:ind w:left="207" w:right="216"/>
        <w:jc w:val="both"/>
      </w:pPr>
      <w:r>
        <w:rPr/>
        <w:br w:type="column"/>
      </w:r>
      <w:r>
        <w:rPr/>
        <w:t>指因原发性心肌病导致心室功能损害造成永久不可逆性的心功能衰竭，心功能衰竭程度达到美国纽约心脏病学会心功能状态分级</w:t>
      </w:r>
      <w:r>
        <w:rPr>
          <w:rFonts w:ascii="Times New Roman" w:eastAsia="Times New Roman"/>
        </w:rPr>
        <w:t>IV</w:t>
      </w:r>
      <w:r>
        <w:rPr/>
        <w:t>级。必须由心脏专科医生确诊，并有包括超声心动图在内的相关检查证实。</w:t>
      </w:r>
    </w:p>
    <w:p>
      <w:pPr>
        <w:pStyle w:val="BodyText"/>
        <w:spacing w:line="273" w:lineRule="auto" w:before="107"/>
        <w:ind w:left="207" w:right="220"/>
        <w:jc w:val="both"/>
      </w:pPr>
      <w:r>
        <w:rPr>
          <w:shd w:fill="C0C0C0" w:color="auto" w:val="clear"/>
        </w:rPr>
        <w:t>继发于全身性疾病或其它器官系统疾病或酗酒或滥用药物引起的心肌病不在保障范围内。</w:t>
      </w:r>
    </w:p>
    <w:p>
      <w:pPr>
        <w:spacing w:after="0" w:line="273" w:lineRule="auto"/>
        <w:jc w:val="both"/>
        <w:sectPr>
          <w:type w:val="continuous"/>
          <w:pgSz w:w="11910" w:h="16840"/>
          <w:pgMar w:top="1100" w:bottom="1100" w:left="1680" w:right="1100"/>
          <w:cols w:num="2" w:equalWidth="0">
            <w:col w:w="1511" w:space="40"/>
            <w:col w:w="7579"/>
          </w:cols>
        </w:sectPr>
      </w:pPr>
    </w:p>
    <w:p>
      <w:pPr>
        <w:pStyle w:val="BodyText"/>
        <w:spacing w:before="9"/>
        <w:rPr>
          <w:sz w:val="9"/>
        </w:rPr>
      </w:pPr>
    </w:p>
    <w:p>
      <w:pPr>
        <w:tabs>
          <w:tab w:pos="1757" w:val="left" w:leader="none"/>
        </w:tabs>
        <w:spacing w:line="337" w:lineRule="exact" w:before="0"/>
        <w:ind w:left="242" w:right="0" w:firstLine="0"/>
        <w:jc w:val="left"/>
        <w:rPr>
          <w:sz w:val="21"/>
        </w:rPr>
      </w:pPr>
      <w:r>
        <w:rPr>
          <w:rFonts w:ascii="微软雅黑" w:eastAsia="微软雅黑" w:hint="eastAsia"/>
          <w:b/>
          <w:sz w:val="21"/>
        </w:rPr>
        <w:t>坏死性筋膜炎</w:t>
        <w:tab/>
      </w:r>
      <w:r>
        <w:rPr>
          <w:sz w:val="21"/>
        </w:rPr>
        <w:t>坏死</w:t>
      </w:r>
      <w:r>
        <w:rPr>
          <w:spacing w:val="-3"/>
          <w:sz w:val="21"/>
        </w:rPr>
        <w:t>性</w:t>
      </w:r>
      <w:r>
        <w:rPr>
          <w:sz w:val="21"/>
        </w:rPr>
        <w:t>筋</w:t>
      </w:r>
      <w:r>
        <w:rPr>
          <w:spacing w:val="-3"/>
          <w:sz w:val="21"/>
        </w:rPr>
        <w:t>膜</w:t>
      </w:r>
      <w:r>
        <w:rPr>
          <w:sz w:val="21"/>
        </w:rPr>
        <w:t>炎</w:t>
      </w:r>
      <w:r>
        <w:rPr>
          <w:spacing w:val="-3"/>
          <w:sz w:val="21"/>
        </w:rPr>
        <w:t>的</w:t>
      </w:r>
      <w:r>
        <w:rPr>
          <w:sz w:val="21"/>
        </w:rPr>
        <w:t>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BodyText"/>
        <w:spacing w:before="11"/>
        <w:ind w:left="1757"/>
      </w:pPr>
      <w:r>
        <w:rPr>
          <w:rFonts w:ascii="Times New Roman" w:eastAsia="Times New Roman"/>
        </w:rPr>
        <w:t>1.</w:t>
      </w:r>
      <w:r>
        <w:rPr/>
        <w:t>符合坏死性筋膜炎的一般临床表现；</w:t>
      </w:r>
    </w:p>
    <w:p>
      <w:pPr>
        <w:pStyle w:val="BodyText"/>
        <w:spacing w:before="20"/>
        <w:ind w:left="1757"/>
      </w:pPr>
      <w:r>
        <w:rPr>
          <w:rFonts w:ascii="Times New Roman" w:eastAsia="Times New Roman"/>
        </w:rPr>
        <w:t>2.</w:t>
      </w:r>
      <w:r>
        <w:rPr/>
        <w:t>细菌培养检出致病菌；</w:t>
      </w:r>
    </w:p>
    <w:p>
      <w:pPr>
        <w:pStyle w:val="BodyText"/>
        <w:spacing w:line="256" w:lineRule="auto" w:before="20"/>
        <w:ind w:left="1757" w:right="224"/>
      </w:pP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BodyText"/>
        <w:spacing w:before="10"/>
        <w:rPr>
          <w:sz w:val="10"/>
        </w:rPr>
      </w:pPr>
    </w:p>
    <w:p>
      <w:pPr>
        <w:spacing w:after="0"/>
        <w:rPr>
          <w:sz w:val="10"/>
        </w:rPr>
        <w:sectPr>
          <w:type w:val="continuous"/>
          <w:pgSz w:w="11910" w:h="16840"/>
          <w:pgMar w:top="1100" w:bottom="1100" w:left="1680" w:right="1100"/>
        </w:sectPr>
      </w:pPr>
    </w:p>
    <w:p>
      <w:pPr>
        <w:pStyle w:val="Heading4"/>
        <w:spacing w:line="206" w:lineRule="auto"/>
      </w:pPr>
      <w:r>
        <w:rPr/>
        <w:t>慢性复发性胰腺炎</w:t>
      </w:r>
    </w:p>
    <w:p>
      <w:pPr>
        <w:pStyle w:val="BodyText"/>
        <w:spacing w:line="273" w:lineRule="auto" w:before="37"/>
        <w:ind w:left="207" w:right="113"/>
      </w:pPr>
      <w:r>
        <w:rPr/>
        <w:br w:type="column"/>
      </w:r>
      <w:r>
        <w:rPr>
          <w:spacing w:val="-3"/>
        </w:rPr>
        <w:t>胰腺炎反复发作超过三次以上并导致胰腺功能紊乱和营养不良，需要接受酶替</w:t>
      </w:r>
      <w:r>
        <w:rPr>
          <w:spacing w:val="-13"/>
        </w:rPr>
        <w:t>代治疗。诊断必须有消化科专科医生确认并且有内窥镜逆行胰胆管造影所证实。</w:t>
      </w:r>
    </w:p>
    <w:p>
      <w:pPr>
        <w:pStyle w:val="BodyText"/>
        <w:spacing w:before="102"/>
        <w:ind w:left="207"/>
      </w:pPr>
      <w:r>
        <w:rPr>
          <w:shd w:fill="C0C0C0" w:color="auto" w:val="clear"/>
        </w:rPr>
        <w:t>因酒精所致的慢性复发性胰腺炎不在保障范围内。</w:t>
      </w:r>
    </w:p>
    <w:p>
      <w:pPr>
        <w:spacing w:after="0"/>
        <w:sectPr>
          <w:type w:val="continuous"/>
          <w:pgSz w:w="11910" w:h="16840"/>
          <w:pgMar w:top="1100" w:bottom="1100" w:left="1680" w:right="1100"/>
          <w:cols w:num="2" w:equalWidth="0">
            <w:col w:w="1511" w:space="40"/>
            <w:col w:w="7579"/>
          </w:cols>
        </w:sectPr>
      </w:pPr>
    </w:p>
    <w:p>
      <w:pPr>
        <w:pStyle w:val="BodyText"/>
        <w:rPr>
          <w:sz w:val="12"/>
        </w:rPr>
      </w:pPr>
    </w:p>
    <w:p>
      <w:pPr>
        <w:pStyle w:val="BodyText"/>
        <w:tabs>
          <w:tab w:pos="1757" w:val="left" w:leader="none"/>
        </w:tabs>
        <w:spacing w:line="336" w:lineRule="exact"/>
        <w:ind w:left="242"/>
      </w:pPr>
      <w:r>
        <w:rPr>
          <w:rFonts w:ascii="微软雅黑" w:eastAsia="微软雅黑" w:hint="eastAsia"/>
          <w:b/>
        </w:rPr>
        <w:t>象皮病</w:t>
        <w:tab/>
      </w:r>
      <w:r>
        <w:rPr/>
        <w:t>指末</w:t>
      </w:r>
      <w:r>
        <w:rPr>
          <w:spacing w:val="-3"/>
        </w:rPr>
        <w:t>期</w:t>
      </w:r>
      <w:r>
        <w:rPr/>
        <w:t>丝</w:t>
      </w:r>
      <w:r>
        <w:rPr>
          <w:spacing w:val="-3"/>
        </w:rPr>
        <w:t>虫</w:t>
      </w:r>
      <w:r>
        <w:rPr/>
        <w:t>病</w:t>
      </w:r>
      <w:r>
        <w:rPr>
          <w:spacing w:val="-3"/>
        </w:rPr>
        <w:t>，</w:t>
      </w:r>
      <w:r>
        <w:rPr/>
        <w:t>按国</w:t>
      </w:r>
      <w:r>
        <w:rPr>
          <w:spacing w:val="-3"/>
        </w:rPr>
        <w:t>际淋</w:t>
      </w:r>
      <w:r>
        <w:rPr/>
        <w:t>巴学</w:t>
      </w:r>
      <w:r>
        <w:rPr>
          <w:spacing w:val="-3"/>
        </w:rPr>
        <w:t>会</w:t>
      </w:r>
      <w:r>
        <w:rPr/>
        <w:t>分</w:t>
      </w:r>
      <w:r>
        <w:rPr>
          <w:spacing w:val="-3"/>
        </w:rPr>
        <w:t>级</w:t>
      </w:r>
      <w:r>
        <w:rPr/>
        <w:t>为</w:t>
      </w:r>
      <w:r>
        <w:rPr>
          <w:spacing w:val="-3"/>
        </w:rPr>
        <w:t>三</w:t>
      </w:r>
      <w:r>
        <w:rPr/>
        <w:t>度淋</w:t>
      </w:r>
      <w:r>
        <w:rPr>
          <w:spacing w:val="-3"/>
        </w:rPr>
        <w:t>巴液</w:t>
      </w:r>
      <w:r>
        <w:rPr/>
        <w:t>肿，</w:t>
      </w:r>
      <w:r>
        <w:rPr>
          <w:spacing w:val="-3"/>
        </w:rPr>
        <w:t>其</w:t>
      </w:r>
      <w:r>
        <w:rPr/>
        <w:t>临</w:t>
      </w:r>
      <w:r>
        <w:rPr>
          <w:spacing w:val="-3"/>
        </w:rPr>
        <w:t>床</w:t>
      </w:r>
      <w:r>
        <w:rPr/>
        <w:t>表</w:t>
      </w:r>
      <w:r>
        <w:rPr>
          <w:spacing w:val="-3"/>
        </w:rPr>
        <w:t>现</w:t>
      </w:r>
      <w:r>
        <w:rPr/>
        <w:t>为肢</w:t>
      </w:r>
      <w:r>
        <w:rPr>
          <w:spacing w:val="-3"/>
        </w:rPr>
        <w:t>体非</w:t>
      </w:r>
      <w:r>
        <w:rPr/>
        <w:t>凹</w:t>
      </w:r>
    </w:p>
    <w:p>
      <w:pPr>
        <w:spacing w:after="0" w:line="336" w:lineRule="exact"/>
        <w:sectPr>
          <w:type w:val="continuous"/>
          <w:pgSz w:w="11910" w:h="16840"/>
          <w:pgMar w:top="1100" w:bottom="1100" w:left="168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78"/>
      </w:tblGrid>
      <w:tr>
        <w:trPr>
          <w:trHeight w:val="652" w:hRule="atLeast"/>
        </w:trPr>
        <w:tc>
          <w:tcPr>
            <w:tcW w:w="1591" w:type="dxa"/>
          </w:tcPr>
          <w:p>
            <w:pPr>
              <w:pStyle w:val="TableParagraph"/>
              <w:ind w:left="0"/>
              <w:rPr>
                <w:rFonts w:ascii="Times New Roman"/>
                <w:sz w:val="20"/>
              </w:rPr>
            </w:pPr>
          </w:p>
        </w:tc>
        <w:tc>
          <w:tcPr>
            <w:tcW w:w="7578" w:type="dxa"/>
          </w:tcPr>
          <w:p>
            <w:pPr>
              <w:pStyle w:val="TableParagraph"/>
              <w:spacing w:line="211" w:lineRule="exact"/>
              <w:rPr>
                <w:sz w:val="21"/>
              </w:rPr>
            </w:pPr>
            <w:r>
              <w:rPr>
                <w:sz w:val="21"/>
              </w:rPr>
              <w:t>陷性水肿伴畸形增大、硬皮症和疣状增生。此病症须经专科医生根据临床表现</w:t>
            </w:r>
          </w:p>
          <w:p>
            <w:pPr>
              <w:pStyle w:val="TableParagraph"/>
              <w:spacing w:before="37"/>
              <w:rPr>
                <w:sz w:val="21"/>
              </w:rPr>
            </w:pPr>
            <w:r>
              <w:rPr>
                <w:sz w:val="21"/>
              </w:rPr>
              <w:t>和微丝蚴的化验结果确诊。</w:t>
            </w:r>
          </w:p>
        </w:tc>
      </w:tr>
      <w:tr>
        <w:trPr>
          <w:trHeight w:val="1092"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严重克隆病</w:t>
            </w:r>
          </w:p>
        </w:tc>
        <w:tc>
          <w:tcPr>
            <w:tcW w:w="7578" w:type="dxa"/>
          </w:tcPr>
          <w:p>
            <w:pPr>
              <w:pStyle w:val="TableParagraph"/>
              <w:spacing w:line="273" w:lineRule="auto" w:before="64"/>
              <w:ind w:right="306"/>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11"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肾髓质囊性病</w:t>
            </w:r>
          </w:p>
        </w:tc>
        <w:tc>
          <w:tcPr>
            <w:tcW w:w="7578" w:type="dxa"/>
          </w:tcPr>
          <w:p>
            <w:pPr>
              <w:pStyle w:val="TableParagraph"/>
              <w:spacing w:before="64"/>
              <w:rPr>
                <w:sz w:val="21"/>
              </w:rPr>
            </w:pPr>
            <w:r>
              <w:rPr>
                <w:sz w:val="21"/>
              </w:rPr>
              <w:t>肾髓质囊性病的诊断须同时符合下列要求：</w:t>
            </w:r>
          </w:p>
          <w:p>
            <w:pPr>
              <w:pStyle w:val="TableParagraph"/>
              <w:spacing w:before="27"/>
              <w:rPr>
                <w:sz w:val="22"/>
              </w:rPr>
            </w:pPr>
            <w:r>
              <w:rPr>
                <w:rFonts w:ascii="Times New Roman" w:eastAsia="Times New Roman"/>
                <w:sz w:val="22"/>
              </w:rPr>
              <w:t>1.</w:t>
            </w:r>
            <w:r>
              <w:rPr>
                <w:sz w:val="22"/>
              </w:rPr>
              <w:t>肾髓质有囊肿、肾小管萎缩及间质纤维化等病理改变；</w:t>
            </w:r>
          </w:p>
          <w:p>
            <w:pPr>
              <w:pStyle w:val="TableParagraph"/>
              <w:spacing w:before="7"/>
              <w:rPr>
                <w:sz w:val="22"/>
              </w:rPr>
            </w:pPr>
            <w:r>
              <w:rPr>
                <w:rFonts w:ascii="Times New Roman" w:eastAsia="Times New Roman"/>
                <w:sz w:val="22"/>
              </w:rPr>
              <w:t>2.</w:t>
            </w:r>
            <w:r>
              <w:rPr>
                <w:sz w:val="22"/>
              </w:rPr>
              <w:t>贫血、多尿及肾功能衰竭等临床表现；</w:t>
            </w:r>
          </w:p>
          <w:p>
            <w:pPr>
              <w:pStyle w:val="TableParagraph"/>
              <w:spacing w:before="7"/>
              <w:rPr>
                <w:sz w:val="22"/>
              </w:rPr>
            </w:pPr>
            <w:r>
              <w:rPr>
                <w:rFonts w:ascii="Times New Roman" w:eastAsia="Times New Roman"/>
                <w:sz w:val="22"/>
              </w:rPr>
              <w:t>3.</w:t>
            </w:r>
            <w:r>
              <w:rPr>
                <w:sz w:val="22"/>
              </w:rPr>
              <w:t>诊断须由肾组织活检确定。</w:t>
            </w:r>
          </w:p>
        </w:tc>
      </w:tr>
      <w:tr>
        <w:trPr>
          <w:trHeight w:val="2343" w:hRule="atLeast"/>
        </w:trPr>
        <w:tc>
          <w:tcPr>
            <w:tcW w:w="1591" w:type="dxa"/>
          </w:tcPr>
          <w:p>
            <w:pPr>
              <w:pStyle w:val="TableParagraph"/>
              <w:spacing w:line="206" w:lineRule="auto" w:before="45"/>
              <w:ind w:left="200" w:right="121"/>
              <w:rPr>
                <w:rFonts w:ascii="微软雅黑" w:eastAsia="微软雅黑" w:hint="eastAsia"/>
                <w:b/>
                <w:sz w:val="21"/>
              </w:rPr>
            </w:pPr>
            <w:r>
              <w:rPr>
                <w:rFonts w:ascii="微软雅黑" w:eastAsia="微软雅黑" w:hint="eastAsia"/>
                <w:b/>
                <w:sz w:val="21"/>
              </w:rPr>
              <w:t>严重肌营养不良症</w:t>
            </w:r>
          </w:p>
        </w:tc>
        <w:tc>
          <w:tcPr>
            <w:tcW w:w="7578" w:type="dxa"/>
          </w:tcPr>
          <w:p>
            <w:pPr>
              <w:pStyle w:val="TableParagraph"/>
              <w:spacing w:line="259" w:lineRule="auto" w:before="48"/>
              <w:ind w:right="303"/>
              <w:jc w:val="both"/>
              <w:rPr>
                <w:sz w:val="22"/>
              </w:rPr>
            </w:pPr>
            <w:r>
              <w:rPr>
                <w:sz w:val="22"/>
              </w:rPr>
              <w:t>是一组原发于肌肉的遗传性的肌肉病变。主要临床特征为受累骨骼肌肉的无力和肌肉萎缩。经我们认可的神经专科医生确认符合以下四项诊断指标中的三项：</w:t>
            </w:r>
          </w:p>
          <w:p>
            <w:pPr>
              <w:pStyle w:val="TableParagraph"/>
              <w:spacing w:before="6"/>
              <w:jc w:val="both"/>
              <w:rPr>
                <w:sz w:val="22"/>
              </w:rPr>
            </w:pPr>
            <w:r>
              <w:rPr>
                <w:rFonts w:ascii="Times New Roman" w:eastAsia="Times New Roman"/>
                <w:sz w:val="22"/>
              </w:rPr>
              <w:t>1.</w:t>
            </w:r>
            <w:r>
              <w:rPr>
                <w:sz w:val="22"/>
              </w:rPr>
              <w:t>家族史中有其他成员患相同疾病；</w:t>
            </w:r>
          </w:p>
          <w:p>
            <w:pPr>
              <w:pStyle w:val="TableParagraph"/>
              <w:spacing w:before="7"/>
              <w:jc w:val="both"/>
              <w:rPr>
                <w:sz w:val="22"/>
              </w:rPr>
            </w:pPr>
            <w:r>
              <w:rPr>
                <w:rFonts w:ascii="Times New Roman" w:eastAsia="Times New Roman"/>
                <w:sz w:val="22"/>
              </w:rPr>
              <w:t>2.</w:t>
            </w:r>
            <w:r>
              <w:rPr>
                <w:sz w:val="22"/>
              </w:rPr>
              <w:t>临床表现包括：无感觉神经紊乱，正常脑脊液及轻微腱反射的减退；</w:t>
            </w:r>
          </w:p>
          <w:p>
            <w:pPr>
              <w:pStyle w:val="TableParagraph"/>
              <w:spacing w:before="7"/>
              <w:jc w:val="both"/>
              <w:rPr>
                <w:sz w:val="22"/>
              </w:rPr>
            </w:pPr>
            <w:r>
              <w:rPr>
                <w:rFonts w:ascii="Times New Roman" w:eastAsia="Times New Roman"/>
                <w:sz w:val="22"/>
              </w:rPr>
              <w:t>3.</w:t>
            </w:r>
            <w:r>
              <w:rPr>
                <w:sz w:val="22"/>
              </w:rPr>
              <w:t>典型的肌电图；</w:t>
            </w:r>
          </w:p>
          <w:p>
            <w:pPr>
              <w:pStyle w:val="TableParagraph"/>
              <w:spacing w:before="7"/>
              <w:jc w:val="both"/>
              <w:rPr>
                <w:sz w:val="22"/>
              </w:rPr>
            </w:pPr>
            <w:r>
              <w:rPr>
                <w:rFonts w:ascii="Times New Roman" w:eastAsia="Times New Roman"/>
                <w:sz w:val="22"/>
              </w:rPr>
              <w:t>4.</w:t>
            </w:r>
            <w:r>
              <w:rPr>
                <w:sz w:val="22"/>
              </w:rPr>
              <w:t>临床推测必须有肌肉或组织检查加以证实。</w:t>
            </w:r>
          </w:p>
        </w:tc>
      </w:tr>
      <w:tr>
        <w:trPr>
          <w:trHeight w:val="2031" w:hRule="atLeast"/>
        </w:trPr>
        <w:tc>
          <w:tcPr>
            <w:tcW w:w="1591" w:type="dxa"/>
          </w:tcPr>
          <w:p>
            <w:pPr>
              <w:pStyle w:val="TableParagraph"/>
              <w:spacing w:line="355" w:lineRule="exact"/>
              <w:ind w:left="200"/>
              <w:rPr>
                <w:rFonts w:ascii="微软雅黑" w:eastAsia="微软雅黑" w:hint="eastAsia"/>
                <w:b/>
                <w:sz w:val="21"/>
              </w:rPr>
            </w:pPr>
            <w:r>
              <w:rPr>
                <w:rFonts w:ascii="微软雅黑" w:eastAsia="微软雅黑" w:hint="eastAsia"/>
                <w:b/>
                <w:sz w:val="21"/>
              </w:rPr>
              <w:t>严重哮喘</w:t>
            </w:r>
          </w:p>
        </w:tc>
        <w:tc>
          <w:tcPr>
            <w:tcW w:w="7578" w:type="dxa"/>
          </w:tcPr>
          <w:p>
            <w:pPr>
              <w:pStyle w:val="TableParagraph"/>
              <w:spacing w:before="54"/>
              <w:rPr>
                <w:sz w:val="21"/>
              </w:rPr>
            </w:pPr>
            <w:r>
              <w:rPr>
                <w:sz w:val="21"/>
              </w:rPr>
              <w:t>是一种可逆性、反复发作的支气管阻塞型疾病，需满足下列至少三项条件：</w:t>
            </w:r>
          </w:p>
          <w:p>
            <w:pPr>
              <w:pStyle w:val="TableParagraph"/>
              <w:spacing w:before="36"/>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0"/>
              <w:rPr>
                <w:sz w:val="21"/>
              </w:rPr>
            </w:pPr>
            <w:r>
              <w:rPr>
                <w:rFonts w:ascii="Times New Roman" w:eastAsia="Times New Roman"/>
                <w:sz w:val="21"/>
              </w:rPr>
              <w:t>2.</w:t>
            </w:r>
            <w:r>
              <w:rPr>
                <w:sz w:val="21"/>
              </w:rPr>
              <w:t>身体活动耐受能力显著且持续下降；</w:t>
            </w:r>
          </w:p>
          <w:p>
            <w:pPr>
              <w:pStyle w:val="TableParagraph"/>
              <w:spacing w:before="20"/>
              <w:rPr>
                <w:sz w:val="21"/>
              </w:rPr>
            </w:pPr>
            <w:r>
              <w:rPr>
                <w:rFonts w:ascii="Times New Roman" w:eastAsia="Times New Roman"/>
                <w:sz w:val="21"/>
              </w:rPr>
              <w:t>3.</w:t>
            </w:r>
            <w:r>
              <w:rPr>
                <w:sz w:val="21"/>
              </w:rPr>
              <w:t>肺部慢性过渡膨胀充气导致的胸廓畸形；</w:t>
            </w:r>
          </w:p>
          <w:p>
            <w:pPr>
              <w:pStyle w:val="TableParagraph"/>
              <w:spacing w:before="21"/>
              <w:rPr>
                <w:sz w:val="21"/>
              </w:rPr>
            </w:pPr>
            <w:r>
              <w:rPr>
                <w:rFonts w:ascii="Times New Roman" w:eastAsia="Times New Roman"/>
                <w:sz w:val="21"/>
              </w:rPr>
              <w:t>4.</w:t>
            </w:r>
            <w:r>
              <w:rPr>
                <w:sz w:val="21"/>
              </w:rPr>
              <w:t>在家中需要医师处方的氧气治疗法；</w:t>
            </w:r>
          </w:p>
          <w:p>
            <w:pPr>
              <w:pStyle w:val="TableParagraph"/>
              <w:spacing w:before="26"/>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1390" w:hRule="atLeast"/>
        </w:trPr>
        <w:tc>
          <w:tcPr>
            <w:tcW w:w="1591" w:type="dxa"/>
          </w:tcPr>
          <w:p>
            <w:pPr>
              <w:pStyle w:val="TableParagraph"/>
              <w:spacing w:line="206" w:lineRule="auto" w:before="39"/>
              <w:ind w:left="200" w:right="121"/>
              <w:rPr>
                <w:rFonts w:ascii="微软雅黑" w:eastAsia="微软雅黑" w:hint="eastAsia"/>
                <w:b/>
                <w:sz w:val="21"/>
              </w:rPr>
            </w:pPr>
            <w:r>
              <w:rPr>
                <w:rFonts w:ascii="微软雅黑" w:eastAsia="微软雅黑" w:hint="eastAsia"/>
                <w:b/>
                <w:sz w:val="21"/>
              </w:rPr>
              <w:t>严重溃疡性结肠炎</w:t>
            </w:r>
          </w:p>
        </w:tc>
        <w:tc>
          <w:tcPr>
            <w:tcW w:w="7578" w:type="dxa"/>
          </w:tcPr>
          <w:p>
            <w:pPr>
              <w:pStyle w:val="TableParagraph"/>
              <w:spacing w:line="273" w:lineRule="auto" w:before="51"/>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038"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肝豆状核变性</w:t>
            </w:r>
          </w:p>
        </w:tc>
        <w:tc>
          <w:tcPr>
            <w:tcW w:w="7578" w:type="dxa"/>
          </w:tcPr>
          <w:p>
            <w:pPr>
              <w:pStyle w:val="TableParagraph"/>
              <w:spacing w:line="273" w:lineRule="auto" w:before="64"/>
              <w:ind w:right="30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303" w:lineRule="exact"/>
              <w:rPr>
                <w:sz w:val="22"/>
              </w:rPr>
            </w:pPr>
            <w:r>
              <w:rPr>
                <w:rFonts w:ascii="Times New Roman" w:eastAsia="Times New Roman"/>
                <w:sz w:val="22"/>
              </w:rPr>
              <w:t>1.</w:t>
            </w:r>
            <w:r>
              <w:rPr>
                <w:sz w:val="22"/>
              </w:rPr>
              <w:t>典型症状；</w:t>
            </w:r>
          </w:p>
          <w:p>
            <w:pPr>
              <w:pStyle w:val="TableParagraph"/>
              <w:spacing w:before="8"/>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6"/>
              <w:rPr>
                <w:sz w:val="22"/>
              </w:rPr>
            </w:pPr>
            <w:r>
              <w:rPr>
                <w:rFonts w:ascii="Times New Roman" w:eastAsia="Times New Roman"/>
                <w:sz w:val="22"/>
              </w:rPr>
              <w:t>3.</w:t>
            </w:r>
            <w:r>
              <w:rPr>
                <w:sz w:val="22"/>
              </w:rPr>
              <w:t>血清铜和血清铜蓝蛋白降低，尿铜增加；</w:t>
            </w:r>
          </w:p>
          <w:p>
            <w:pPr>
              <w:pStyle w:val="TableParagraph"/>
              <w:spacing w:before="6"/>
              <w:rPr>
                <w:sz w:val="22"/>
              </w:rPr>
            </w:pPr>
            <w:r>
              <w:rPr>
                <w:rFonts w:ascii="Times New Roman" w:eastAsia="Times New Roman"/>
                <w:sz w:val="22"/>
              </w:rPr>
              <w:t>4.</w:t>
            </w:r>
            <w:r>
              <w:rPr>
                <w:sz w:val="22"/>
              </w:rPr>
              <w:t>经皮做肝脏活检来定量分析肝脏铜的含量。</w:t>
            </w:r>
          </w:p>
        </w:tc>
      </w:tr>
      <w:tr>
        <w:trPr>
          <w:trHeight w:val="1081" w:hRule="atLeast"/>
        </w:trPr>
        <w:tc>
          <w:tcPr>
            <w:tcW w:w="1591" w:type="dxa"/>
          </w:tcPr>
          <w:p>
            <w:pPr>
              <w:pStyle w:val="TableParagraph"/>
              <w:spacing w:line="329" w:lineRule="exact"/>
              <w:ind w:left="200"/>
              <w:rPr>
                <w:rFonts w:ascii="微软雅黑" w:eastAsia="微软雅黑" w:hint="eastAsia"/>
                <w:b/>
                <w:sz w:val="21"/>
              </w:rPr>
            </w:pPr>
            <w:r>
              <w:rPr>
                <w:rFonts w:ascii="微软雅黑" w:eastAsia="微软雅黑" w:hint="eastAsia"/>
                <w:b/>
                <w:sz w:val="21"/>
              </w:rPr>
              <w:t>侵蚀性葡萄胎</w:t>
            </w:r>
          </w:p>
          <w:p>
            <w:pPr>
              <w:pStyle w:val="TableParagraph"/>
              <w:spacing w:line="206" w:lineRule="auto" w:before="25"/>
              <w:ind w:left="200" w:right="121"/>
              <w:rPr>
                <w:rFonts w:ascii="微软雅黑" w:eastAsia="微软雅黑" w:hint="eastAsia"/>
                <w:b/>
                <w:sz w:val="21"/>
              </w:rPr>
            </w:pPr>
            <w:r>
              <w:rPr>
                <w:rFonts w:ascii="微软雅黑" w:eastAsia="微软雅黑" w:hint="eastAsia"/>
                <w:b/>
                <w:sz w:val="21"/>
              </w:rPr>
              <w:t>（或称恶性葡萄胎）</w:t>
            </w:r>
          </w:p>
        </w:tc>
        <w:tc>
          <w:tcPr>
            <w:tcW w:w="7578" w:type="dxa"/>
          </w:tcPr>
          <w:p>
            <w:pPr>
              <w:pStyle w:val="TableParagraph"/>
              <w:spacing w:line="273" w:lineRule="auto" w:before="54"/>
              <w:ind w:right="306"/>
              <w:rPr>
                <w:sz w:val="21"/>
              </w:rPr>
            </w:pPr>
            <w:r>
              <w:rPr>
                <w:sz w:val="21"/>
              </w:rPr>
              <w:t>该类疾病是指异常增生的绒毛组织浸润性生长侵入子宫肌层或转移至其他器官或组织的葡萄胎，并已经进行化疗或手术治疗的。</w:t>
            </w:r>
          </w:p>
        </w:tc>
      </w:tr>
      <w:tr>
        <w:trPr>
          <w:trHeight w:val="780" w:hRule="atLeast"/>
        </w:trPr>
        <w:tc>
          <w:tcPr>
            <w:tcW w:w="1591" w:type="dxa"/>
          </w:tcPr>
          <w:p>
            <w:pPr>
              <w:pStyle w:val="TableParagraph"/>
              <w:spacing w:before="2"/>
              <w:ind w:left="200"/>
              <w:rPr>
                <w:rFonts w:ascii="微软雅黑" w:eastAsia="微软雅黑" w:hint="eastAsia"/>
                <w:b/>
                <w:sz w:val="21"/>
              </w:rPr>
            </w:pPr>
            <w:r>
              <w:rPr>
                <w:rFonts w:ascii="微软雅黑" w:eastAsia="微软雅黑" w:hint="eastAsia"/>
                <w:b/>
                <w:sz w:val="21"/>
              </w:rPr>
              <w:t>胰腺移植</w:t>
            </w:r>
          </w:p>
        </w:tc>
        <w:tc>
          <w:tcPr>
            <w:tcW w:w="7578" w:type="dxa"/>
          </w:tcPr>
          <w:p>
            <w:pPr>
              <w:pStyle w:val="TableParagraph"/>
              <w:spacing w:line="273" w:lineRule="auto" w:before="64"/>
              <w:ind w:right="198"/>
              <w:rPr>
                <w:sz w:val="21"/>
              </w:rPr>
            </w:pPr>
            <w:r>
              <w:rPr>
                <w:spacing w:val="-12"/>
                <w:sz w:val="21"/>
              </w:rPr>
              <w:t>指引胰腺功能衰竭，已经实施了在全身麻醉下进行的胰腺的异体器官移植手术。</w:t>
            </w:r>
            <w:r>
              <w:rPr>
                <w:spacing w:val="-6"/>
                <w:sz w:val="21"/>
                <w:shd w:fill="C0C0C0" w:color="auto" w:val="clear"/>
              </w:rPr>
              <w:t>单纯胰岛移植、部分胰腺组织或细胞的移植不在保障范围内。</w:t>
            </w:r>
          </w:p>
        </w:tc>
      </w:tr>
      <w:tr>
        <w:trPr>
          <w:trHeight w:val="1296" w:hRule="atLeast"/>
        </w:trPr>
        <w:tc>
          <w:tcPr>
            <w:tcW w:w="1591" w:type="dxa"/>
          </w:tcPr>
          <w:p>
            <w:pPr>
              <w:pStyle w:val="TableParagraph"/>
              <w:spacing w:line="206" w:lineRule="auto" w:before="53"/>
              <w:ind w:left="200" w:right="121"/>
              <w:rPr>
                <w:rFonts w:ascii="微软雅黑" w:eastAsia="微软雅黑" w:hint="eastAsia"/>
                <w:b/>
                <w:sz w:val="21"/>
              </w:rPr>
            </w:pPr>
            <w:r>
              <w:rPr>
                <w:rFonts w:ascii="微软雅黑" w:eastAsia="微软雅黑" w:hint="eastAsia"/>
                <w:b/>
                <w:sz w:val="21"/>
              </w:rPr>
              <w:t>原发性硬化性胆管炎</w:t>
            </w:r>
          </w:p>
        </w:tc>
        <w:tc>
          <w:tcPr>
            <w:tcW w:w="7578" w:type="dxa"/>
          </w:tcPr>
          <w:p>
            <w:pPr>
              <w:pStyle w:val="TableParagraph"/>
              <w:spacing w:line="273" w:lineRule="auto" w:before="64"/>
              <w:ind w:right="306"/>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283" w:lineRule="exact"/>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w:t>
            </w:r>
          </w:p>
        </w:tc>
      </w:tr>
    </w:tbl>
    <w:p>
      <w:pPr>
        <w:spacing w:after="0" w:line="283" w:lineRule="exact"/>
        <w:jc w:val="both"/>
        <w:rPr>
          <w:sz w:val="22"/>
        </w:rPr>
        <w:sectPr>
          <w:pgSz w:w="11910" w:h="16840"/>
          <w:pgMar w:header="0" w:footer="915" w:top="1160" w:bottom="1100" w:left="1620" w:right="900"/>
        </w:sectPr>
      </w:pPr>
    </w:p>
    <w:p>
      <w:pPr>
        <w:spacing w:before="12"/>
        <w:ind w:left="1757" w:right="0" w:firstLine="0"/>
        <w:jc w:val="left"/>
        <w:rPr>
          <w:sz w:val="22"/>
        </w:rPr>
      </w:pPr>
      <w:r>
        <w:rPr>
          <w:rFonts w:ascii="Times New Roman" w:eastAsia="Times New Roman"/>
          <w:sz w:val="22"/>
        </w:rPr>
        <w:t>2.</w:t>
      </w:r>
      <w:r>
        <w:rPr>
          <w:sz w:val="22"/>
        </w:rPr>
        <w:t>持续性黄疸病史；</w:t>
      </w:r>
    </w:p>
    <w:p>
      <w:pPr>
        <w:spacing w:before="7"/>
        <w:ind w:left="1757" w:right="0" w:firstLine="0"/>
        <w:jc w:val="left"/>
        <w:rPr>
          <w:sz w:val="22"/>
        </w:rPr>
      </w:pPr>
      <w:r>
        <w:rPr>
          <w:rFonts w:ascii="Times New Roman" w:eastAsia="Times New Roman"/>
          <w:sz w:val="22"/>
        </w:rPr>
        <w:t>3.</w:t>
      </w:r>
      <w:r>
        <w:rPr>
          <w:sz w:val="22"/>
        </w:rPr>
        <w:t>出现胆汁性肝硬化或门脉高压。</w:t>
      </w:r>
    </w:p>
    <w:p>
      <w:pPr>
        <w:pStyle w:val="BodyText"/>
        <w:spacing w:before="110"/>
        <w:ind w:left="1757"/>
      </w:pPr>
      <w:r>
        <w:rPr>
          <w:shd w:fill="C0C0C0" w:color="auto" w:val="clear"/>
        </w:rPr>
        <w:t>因肿瘤或胆管损伤等继发性的硬化性胆管炎不在保障范围内。</w:t>
      </w:r>
    </w:p>
    <w:p>
      <w:pPr>
        <w:pStyle w:val="BodyText"/>
        <w:spacing w:line="259" w:lineRule="auto" w:before="130"/>
        <w:ind w:left="1757" w:right="98" w:hanging="1515"/>
        <w:jc w:val="both"/>
      </w:pPr>
      <w:r>
        <w:rPr>
          <w:rFonts w:ascii="微软雅黑" w:eastAsia="微软雅黑" w:hint="eastAsia"/>
          <w:b/>
          <w:spacing w:val="5"/>
        </w:rPr>
        <w:t>主动脉夹层瘤 </w:t>
      </w:r>
      <w:r>
        <w:rPr>
          <w:spacing w:val="-8"/>
        </w:rPr>
        <w:t>指主动脉壁在收到某些病理因素的破坏后,高速、高压的主动脉血流将其内膜撕</w:t>
      </w:r>
      <w:r>
        <w:rPr>
          <w:spacing w:val="-5"/>
        </w:rPr>
        <w:t>裂，以致主动脉腔内的血流通过主动脉内膜的破裂口进入主动脉内壁而形成血肿。被保险人需通过电脑断层扫描(</w:t>
      </w:r>
      <w:r>
        <w:rPr>
          <w:rFonts w:ascii="Times New Roman" w:eastAsia="Times New Roman"/>
        </w:rPr>
        <w:t>CT</w:t>
      </w:r>
      <w:r>
        <w:rPr>
          <w:spacing w:val="-4"/>
        </w:rPr>
        <w:t>)、磁共振扫描(</w:t>
      </w:r>
      <w:r>
        <w:rPr>
          <w:rFonts w:ascii="Times New Roman" w:eastAsia="Times New Roman"/>
        </w:rPr>
        <w:t>MRI</w:t>
      </w:r>
      <w:r>
        <w:rPr>
          <w:spacing w:val="-4"/>
        </w:rPr>
        <w:t>)、磁共振血管检验法(</w:t>
      </w:r>
      <w:r>
        <w:rPr>
          <w:rFonts w:ascii="Times New Roman" w:eastAsia="Times New Roman"/>
          <w:spacing w:val="-4"/>
        </w:rPr>
        <w:t>MRA</w:t>
      </w:r>
      <w:r>
        <w:rPr>
          <w:spacing w:val="-3"/>
        </w:rPr>
        <w:t>)或血管扫描等检查， 并须经专科医生确诊。</w:t>
      </w:r>
    </w:p>
    <w:p>
      <w:pPr>
        <w:pStyle w:val="BodyText"/>
        <w:spacing w:before="4"/>
        <w:rPr>
          <w:sz w:val="9"/>
        </w:rPr>
      </w:pPr>
    </w:p>
    <w:p>
      <w:pPr>
        <w:spacing w:after="0"/>
        <w:rPr>
          <w:sz w:val="9"/>
        </w:rPr>
        <w:sectPr>
          <w:pgSz w:w="11910" w:h="16840"/>
          <w:pgMar w:header="0" w:footer="915" w:top="1080" w:bottom="1100" w:left="1680" w:right="1220"/>
        </w:sectPr>
      </w:pPr>
    </w:p>
    <w:p>
      <w:pPr>
        <w:pStyle w:val="Heading4"/>
        <w:spacing w:line="206" w:lineRule="auto" w:before="24"/>
      </w:pPr>
      <w:r>
        <w:rPr/>
        <w:t>慢性肾上腺皮质功能衰竭</w:t>
      </w:r>
    </w:p>
    <w:p>
      <w:pPr>
        <w:pStyle w:val="BodyText"/>
        <w:spacing w:line="273" w:lineRule="auto" w:before="36"/>
        <w:ind w:left="163" w:right="101"/>
        <w:jc w:val="both"/>
      </w:pPr>
      <w:r>
        <w:rPr/>
        <w:br w:type="column"/>
      </w:r>
      <w:r>
        <w:rPr/>
        <w:t>因为自身免疫功能紊乱，使肾上腺组织逐渐受损，而需要长期接受糖皮质激素及肾上腺皮质激素替代疗法。该病必须经内分泌专科医生确诊，并有以下报告作为证据：</w:t>
      </w:r>
    </w:p>
    <w:p>
      <w:pPr>
        <w:pStyle w:val="BodyText"/>
        <w:spacing w:before="8"/>
        <w:ind w:left="163"/>
        <w:jc w:val="both"/>
      </w:pPr>
      <w:r>
        <w:rPr>
          <w:rFonts w:ascii="Times New Roman" w:eastAsia="Times New Roman"/>
        </w:rPr>
        <w:t>1.</w:t>
      </w:r>
      <w:r>
        <w:rPr/>
        <w:t>促肾上腺皮质激素(</w:t>
      </w:r>
      <w:r>
        <w:rPr>
          <w:rFonts w:ascii="Times New Roman" w:eastAsia="Times New Roman"/>
        </w:rPr>
        <w:t>ACTH</w:t>
      </w:r>
      <w:r>
        <w:rPr/>
        <w:t>)刺激试验；</w:t>
      </w:r>
    </w:p>
    <w:p>
      <w:pPr>
        <w:pStyle w:val="BodyText"/>
        <w:spacing w:before="21"/>
        <w:ind w:left="163"/>
        <w:jc w:val="both"/>
      </w:pPr>
      <w:r>
        <w:rPr>
          <w:rFonts w:ascii="Times New Roman" w:eastAsia="Times New Roman"/>
        </w:rPr>
        <w:t>2.</w:t>
      </w:r>
      <w:r>
        <w:rPr/>
        <w:t>胰岛素血糖减少测试；</w:t>
      </w:r>
    </w:p>
    <w:p>
      <w:pPr>
        <w:pStyle w:val="BodyText"/>
        <w:spacing w:before="21"/>
        <w:ind w:left="163"/>
        <w:jc w:val="both"/>
      </w:pP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1"/>
        <w:ind w:left="163"/>
        <w:jc w:val="both"/>
      </w:pPr>
      <w:r>
        <w:rPr>
          <w:rFonts w:ascii="Times New Roman" w:eastAsia="Times New Roman"/>
        </w:rPr>
        <w:t>4.</w:t>
      </w:r>
      <w:r>
        <w:rPr/>
        <w:t>血浆肾素活性(</w:t>
      </w:r>
      <w:r>
        <w:rPr>
          <w:rFonts w:ascii="Times New Roman" w:eastAsia="Times New Roman"/>
        </w:rPr>
        <w:t>PRA</w:t>
      </w:r>
      <w:r>
        <w:rPr/>
        <w:t>)测定。</w:t>
      </w:r>
    </w:p>
    <w:p>
      <w:pPr>
        <w:pStyle w:val="BodyText"/>
        <w:spacing w:line="273" w:lineRule="auto" w:before="114"/>
        <w:ind w:left="163" w:right="101"/>
      </w:pPr>
      <w:r>
        <w:rPr>
          <w:shd w:fill="C0C0C0" w:color="auto" w:val="clear"/>
        </w:rPr>
        <w:t>慢性肾上腺皮质功能衰竭只对由自身免疫功能紊乱引起的承担保险责任，其他原因引起的不在保障范围内。</w:t>
      </w:r>
    </w:p>
    <w:p>
      <w:pPr>
        <w:spacing w:after="0" w:line="273" w:lineRule="auto"/>
        <w:sectPr>
          <w:type w:val="continuous"/>
          <w:pgSz w:w="11910" w:h="16840"/>
          <w:pgMar w:top="1100" w:bottom="1100" w:left="1680" w:right="1220"/>
          <w:cols w:num="2" w:equalWidth="0">
            <w:col w:w="1554" w:space="40"/>
            <w:col w:w="7416"/>
          </w:cols>
        </w:sectPr>
      </w:pPr>
    </w:p>
    <w:p>
      <w:pPr>
        <w:pStyle w:val="BodyText"/>
        <w:rPr>
          <w:sz w:val="8"/>
        </w:rPr>
      </w:pPr>
    </w:p>
    <w:p>
      <w:pPr>
        <w:spacing w:after="0"/>
        <w:rPr>
          <w:sz w:val="8"/>
        </w:rPr>
        <w:sectPr>
          <w:type w:val="continuous"/>
          <w:pgSz w:w="11910" w:h="16840"/>
          <w:pgMar w:top="1100" w:bottom="1100" w:left="1680" w:right="1220"/>
        </w:sectPr>
      </w:pPr>
    </w:p>
    <w:p>
      <w:pPr>
        <w:pStyle w:val="Heading4"/>
        <w:spacing w:line="206" w:lineRule="auto" w:before="46"/>
      </w:pPr>
      <w:r>
        <w:rPr/>
        <w:t>严重自身免疫性肝炎</w:t>
      </w:r>
    </w:p>
    <w:p>
      <w:pPr>
        <w:pStyle w:val="BodyText"/>
        <w:spacing w:line="237" w:lineRule="auto" w:before="39"/>
        <w:ind w:left="163" w:right="101"/>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79" w:lineRule="exact"/>
        <w:ind w:left="163"/>
      </w:pPr>
      <w:r>
        <w:rPr>
          <w:rFonts w:ascii="Times New Roman" w:hAnsi="Times New Roman" w:eastAsia="Times New Roman"/>
        </w:rPr>
        <w:t>1.</w:t>
      </w:r>
      <w:r>
        <w:rPr/>
        <w:t>高 γ 球蛋白血症；</w:t>
      </w:r>
    </w:p>
    <w:p>
      <w:pPr>
        <w:pStyle w:val="BodyText"/>
        <w:spacing w:line="223" w:lineRule="auto" w:before="12"/>
        <w:ind w:left="163" w:right="98"/>
      </w:pPr>
      <w:r>
        <w:rPr>
          <w:rFonts w:ascii="Times New Roman" w:eastAsia="Times New Roman"/>
        </w:rPr>
        <w:t>2.</w:t>
      </w:r>
      <w:r>
        <w:rPr>
          <w:spacing w:val="-3"/>
        </w:rPr>
        <w:t>血液中存在高水平的自身免疫抗体，如 </w:t>
      </w:r>
      <w:r>
        <w:rPr>
          <w:rFonts w:ascii="Times New Roman" w:eastAsia="Times New Roman"/>
        </w:rPr>
        <w:t>ANA</w:t>
      </w:r>
      <w:r>
        <w:rPr/>
        <w:t>（</w:t>
      </w:r>
      <w:r>
        <w:rPr>
          <w:spacing w:val="-3"/>
        </w:rPr>
        <w:t>抗核抗体</w:t>
      </w:r>
      <w:r>
        <w:rPr>
          <w:spacing w:val="-106"/>
        </w:rPr>
        <w:t>）</w:t>
      </w:r>
      <w:r>
        <w:rPr/>
        <w:t>、</w:t>
      </w:r>
      <w:r>
        <w:rPr>
          <w:rFonts w:ascii="Times New Roman" w:eastAsia="Times New Roman"/>
        </w:rPr>
        <w:t>SMA</w:t>
      </w:r>
      <w:r>
        <w:rPr/>
        <w:t>（</w:t>
      </w:r>
      <w:r>
        <w:rPr>
          <w:spacing w:val="-2"/>
        </w:rPr>
        <w:t>抗平滑肌抗体</w:t>
      </w:r>
      <w:r>
        <w:rPr>
          <w:spacing w:val="-108"/>
        </w:rPr>
        <w:t>）</w:t>
      </w:r>
      <w:r>
        <w:rPr>
          <w:spacing w:val="-16"/>
        </w:rPr>
        <w:t>、抗 </w:t>
      </w:r>
      <w:r>
        <w:rPr>
          <w:rFonts w:ascii="Times New Roman" w:eastAsia="Times New Roman"/>
          <w:spacing w:val="-3"/>
        </w:rPr>
        <w:t>LKM1 </w:t>
      </w:r>
      <w:r>
        <w:rPr>
          <w:spacing w:val="-1"/>
        </w:rPr>
        <w:t>抗体或抗-</w:t>
      </w:r>
      <w:r>
        <w:rPr>
          <w:rFonts w:ascii="Times New Roman" w:eastAsia="Times New Roman"/>
        </w:rPr>
        <w:t>SLA</w:t>
      </w:r>
      <w:r>
        <w:rPr/>
        <w:t>/</w:t>
      </w:r>
      <w:r>
        <w:rPr>
          <w:rFonts w:ascii="Times New Roman" w:eastAsia="Times New Roman"/>
        </w:rPr>
        <w:t>LP </w:t>
      </w:r>
      <w:r>
        <w:rPr>
          <w:spacing w:val="-2"/>
        </w:rPr>
        <w:t>抗体；</w:t>
      </w:r>
    </w:p>
    <w:p>
      <w:pPr>
        <w:pStyle w:val="BodyText"/>
        <w:spacing w:line="274" w:lineRule="exact"/>
        <w:ind w:left="163"/>
        <w:jc w:val="both"/>
      </w:pPr>
      <w:r>
        <w:rPr>
          <w:rFonts w:ascii="Times New Roman" w:eastAsia="Times New Roman"/>
        </w:rPr>
        <w:t>3.</w:t>
      </w:r>
      <w:r>
        <w:rPr/>
        <w:t>肝脏活检证实免疫性肝炎；</w:t>
      </w:r>
    </w:p>
    <w:p>
      <w:pPr>
        <w:pStyle w:val="BodyText"/>
        <w:spacing w:before="7"/>
        <w:ind w:left="163"/>
        <w:jc w:val="both"/>
      </w:pPr>
      <w:r>
        <w:rPr>
          <w:rFonts w:ascii="Times New Roman" w:eastAsia="Times New Roman"/>
        </w:rPr>
        <w:t>4</w:t>
      </w:r>
      <w:r>
        <w:rPr>
          <w:rFonts w:ascii="Times New Roman" w:eastAsia="Times New Roman"/>
          <w:sz w:val="24"/>
        </w:rPr>
        <w:t>.</w:t>
      </w:r>
      <w:r>
        <w:rPr/>
        <w:t>临床已经出现腹水、食道静脉曲张和脾肿大等肝硬化表现。</w:t>
      </w:r>
    </w:p>
    <w:p>
      <w:pPr>
        <w:spacing w:after="0"/>
        <w:jc w:val="both"/>
        <w:sectPr>
          <w:type w:val="continuous"/>
          <w:pgSz w:w="11910" w:h="16840"/>
          <w:pgMar w:top="1100" w:bottom="1100" w:left="1680" w:right="1220"/>
          <w:cols w:num="2" w:equalWidth="0">
            <w:col w:w="1554" w:space="40"/>
            <w:col w:w="7416"/>
          </w:cols>
        </w:sectPr>
      </w:pPr>
    </w:p>
    <w:p>
      <w:pPr>
        <w:pStyle w:val="BodyText"/>
        <w:spacing w:before="11"/>
        <w:rPr>
          <w:sz w:val="9"/>
        </w:rPr>
      </w:pPr>
    </w:p>
    <w:p>
      <w:pPr>
        <w:spacing w:after="0"/>
        <w:rPr>
          <w:sz w:val="9"/>
        </w:rPr>
        <w:sectPr>
          <w:type w:val="continuous"/>
          <w:pgSz w:w="11910" w:h="16840"/>
          <w:pgMar w:top="1100" w:bottom="1100" w:left="1680" w:right="1220"/>
        </w:sectPr>
      </w:pPr>
    </w:p>
    <w:p>
      <w:pPr>
        <w:pStyle w:val="Heading4"/>
        <w:spacing w:line="206" w:lineRule="auto"/>
        <w:jc w:val="both"/>
      </w:pPr>
      <w:r>
        <w:rPr/>
        <w:t>重症急性胰腺炎- 不包括酒精作用所致</w:t>
      </w:r>
    </w:p>
    <w:p>
      <w:pPr>
        <w:pStyle w:val="BodyText"/>
        <w:spacing w:line="223" w:lineRule="auto" w:before="56"/>
        <w:ind w:left="163" w:right="101"/>
        <w:rPr>
          <w:rFonts w:ascii="微软雅黑" w:eastAsia="微软雅黑" w:hint="eastAsia"/>
          <w:b/>
        </w:rPr>
      </w:pPr>
      <w:r>
        <w:rPr/>
        <w:br w:type="column"/>
      </w:r>
      <w:r>
        <w:rPr/>
        <w:t>指被保险人因为急性出血坏死性胰腺炎已经接受了外科开腹手术治疗，以进行坏死组织清除、坏死病灶切除或胰腺切除</w:t>
      </w:r>
      <w:r>
        <w:rPr>
          <w:rFonts w:ascii="微软雅黑" w:eastAsia="微软雅黑" w:hint="eastAsia"/>
          <w:b/>
        </w:rPr>
        <w:t>。</w:t>
      </w:r>
    </w:p>
    <w:p>
      <w:pPr>
        <w:pStyle w:val="BodyText"/>
        <w:spacing w:line="273" w:lineRule="auto" w:before="105"/>
        <w:ind w:left="163" w:right="101"/>
      </w:pPr>
      <w:r>
        <w:rPr>
          <w:shd w:fill="C0C0C0" w:color="auto" w:val="clear"/>
        </w:rPr>
        <w:t>因饮酒所致的急性出血坏死性胰腺炎或经腹腔镜手术进行的治疗不在保障范围内。</w:t>
      </w:r>
    </w:p>
    <w:p>
      <w:pPr>
        <w:spacing w:after="0" w:line="273" w:lineRule="auto"/>
        <w:sectPr>
          <w:type w:val="continuous"/>
          <w:pgSz w:w="11910" w:h="16840"/>
          <w:pgMar w:top="1100" w:bottom="1100" w:left="1680" w:right="1220"/>
          <w:cols w:num="2" w:equalWidth="0">
            <w:col w:w="1554" w:space="40"/>
            <w:col w:w="7416"/>
          </w:cols>
        </w:sectPr>
      </w:pPr>
    </w:p>
    <w:p>
      <w:pPr>
        <w:pStyle w:val="BodyText"/>
        <w:spacing w:before="9"/>
        <w:rPr>
          <w:sz w:val="9"/>
        </w:rPr>
      </w:pPr>
    </w:p>
    <w:p>
      <w:pPr>
        <w:spacing w:after="0"/>
        <w:rPr>
          <w:sz w:val="9"/>
        </w:rPr>
        <w:sectPr>
          <w:type w:val="continuous"/>
          <w:pgSz w:w="11910" w:h="16840"/>
          <w:pgMar w:top="1100" w:bottom="1100" w:left="1680" w:right="1220"/>
        </w:sectPr>
      </w:pPr>
    </w:p>
    <w:p>
      <w:pPr>
        <w:pStyle w:val="Heading4"/>
        <w:spacing w:line="206" w:lineRule="auto"/>
        <w:ind w:right="93"/>
      </w:pPr>
      <w:r>
        <w:rPr/>
        <w:t>严重的胰岛素依赖型糖尿病</w:t>
      </w:r>
    </w:p>
    <w:p>
      <w:pPr>
        <w:spacing w:line="313" w:lineRule="exact" w:before="0"/>
        <w:ind w:left="242" w:right="0" w:firstLine="0"/>
        <w:jc w:val="left"/>
        <w:rPr>
          <w:rFonts w:ascii="微软雅黑" w:eastAsia="微软雅黑" w:hint="eastAsia"/>
          <w:b/>
          <w:sz w:val="21"/>
        </w:rPr>
      </w:pPr>
      <w:r>
        <w:rPr>
          <w:rFonts w:ascii="微软雅黑" w:eastAsia="微软雅黑" w:hint="eastAsia"/>
          <w:b/>
          <w:sz w:val="21"/>
        </w:rPr>
        <w:t>（</w:t>
      </w:r>
      <w:r>
        <w:rPr>
          <w:rFonts w:ascii="Times New Roman" w:eastAsia="Times New Roman"/>
          <w:b/>
          <w:sz w:val="21"/>
        </w:rPr>
        <w:t>1</w:t>
      </w:r>
      <w:r>
        <w:rPr>
          <w:rFonts w:ascii="Times New Roman" w:eastAsia="Times New Roman"/>
          <w:b/>
          <w:spacing w:val="-13"/>
          <w:sz w:val="21"/>
        </w:rPr>
        <w:t> </w:t>
      </w:r>
      <w:r>
        <w:rPr>
          <w:rFonts w:ascii="微软雅黑" w:eastAsia="微软雅黑" w:hint="eastAsia"/>
          <w:b/>
          <w:sz w:val="21"/>
        </w:rPr>
        <w:t>型糖尿病）</w:t>
      </w:r>
    </w:p>
    <w:p>
      <w:pPr>
        <w:pStyle w:val="BodyText"/>
        <w:spacing w:line="273" w:lineRule="auto" w:before="36"/>
        <w:ind w:left="67" w:right="100"/>
        <w:jc w:val="both"/>
      </w:pPr>
      <w:r>
        <w:rPr/>
        <w:br w:type="column"/>
      </w: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w:t>
      </w:r>
    </w:p>
    <w:p>
      <w:pPr>
        <w:pStyle w:val="BodyText"/>
        <w:spacing w:line="279" w:lineRule="exact"/>
        <w:ind w:left="67"/>
        <w:jc w:val="both"/>
      </w:pPr>
      <w:r>
        <w:rPr>
          <w:rFonts w:ascii="Times New Roman" w:eastAsia="Times New Roman"/>
        </w:rPr>
        <w:t>1.</w:t>
      </w:r>
      <w:r>
        <w:rPr/>
        <w:t>出现增殖性糖尿病视网膜病变；</w:t>
      </w:r>
    </w:p>
    <w:p>
      <w:pPr>
        <w:pStyle w:val="BodyText"/>
        <w:spacing w:before="22"/>
        <w:ind w:left="67"/>
        <w:jc w:val="both"/>
      </w:pPr>
      <w:r>
        <w:rPr>
          <w:rFonts w:ascii="Times New Roman" w:eastAsia="Times New Roman"/>
        </w:rPr>
        <w:t>2.</w:t>
      </w:r>
      <w:r>
        <w:rPr/>
        <w:t>糖尿病肾病，且尿蛋白&gt;</w:t>
      </w:r>
      <w:r>
        <w:rPr>
          <w:rFonts w:ascii="Times New Roman" w:eastAsia="Times New Roman"/>
        </w:rPr>
        <w:t>0.5g</w:t>
      </w:r>
      <w:r>
        <w:rPr/>
        <w:t>/</w:t>
      </w:r>
      <w:r>
        <w:rPr>
          <w:rFonts w:ascii="Times New Roman" w:eastAsia="Times New Roman"/>
        </w:rPr>
        <w:t>24h</w:t>
      </w:r>
      <w:r>
        <w:rPr/>
        <w:t>；</w:t>
      </w:r>
    </w:p>
    <w:p>
      <w:pPr>
        <w:pStyle w:val="BodyText"/>
        <w:spacing w:before="21"/>
        <w:ind w:left="67"/>
        <w:jc w:val="both"/>
      </w:pPr>
      <w:r>
        <w:rPr>
          <w:rFonts w:ascii="Times New Roman" w:eastAsia="Times New Roman"/>
        </w:rPr>
        <w:t>3.</w:t>
      </w:r>
      <w:r>
        <w:rPr/>
        <w:t>因糖尿病足趾坏疽进行足趾或下肢截断术。</w:t>
      </w:r>
    </w:p>
    <w:p>
      <w:pPr>
        <w:spacing w:after="0"/>
        <w:jc w:val="both"/>
        <w:sectPr>
          <w:type w:val="continuous"/>
          <w:pgSz w:w="11910" w:h="16840"/>
          <w:pgMar w:top="1100" w:bottom="1100" w:left="1680" w:right="1220"/>
          <w:cols w:num="2" w:equalWidth="0">
            <w:col w:w="1650" w:space="40"/>
            <w:col w:w="7320"/>
          </w:cols>
        </w:sectPr>
      </w:pPr>
    </w:p>
    <w:p>
      <w:pPr>
        <w:pStyle w:val="BodyText"/>
        <w:spacing w:before="9"/>
        <w:rPr>
          <w:sz w:val="10"/>
        </w:rPr>
      </w:pPr>
    </w:p>
    <w:p>
      <w:pPr>
        <w:spacing w:after="0"/>
        <w:rPr>
          <w:sz w:val="10"/>
        </w:rPr>
        <w:sectPr>
          <w:type w:val="continuous"/>
          <w:pgSz w:w="11910" w:h="16840"/>
          <w:pgMar w:top="1100" w:bottom="1100" w:left="1680" w:right="1220"/>
        </w:sectPr>
      </w:pPr>
    </w:p>
    <w:p>
      <w:pPr>
        <w:pStyle w:val="Heading4"/>
        <w:spacing w:line="206" w:lineRule="auto"/>
      </w:pPr>
      <w:r>
        <w:rPr/>
        <w:t>严重脊髓灰质炎</w:t>
      </w:r>
    </w:p>
    <w:p>
      <w:pPr>
        <w:pStyle w:val="BodyText"/>
        <w:spacing w:line="268" w:lineRule="auto" w:before="37"/>
        <w:ind w:left="163" w:right="98"/>
        <w:jc w:val="both"/>
      </w:pPr>
      <w:r>
        <w:rPr/>
        <w:br w:type="column"/>
      </w:r>
      <w:r>
        <w:rPr>
          <w:spacing w:val="-3"/>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10"/>
        </w:rPr>
        <w:t>予以理赔。肢体机能永久完全丧失，指疾病确诊</w:t>
      </w:r>
      <w:r>
        <w:rPr>
          <w:rFonts w:ascii="Times New Roman" w:eastAsia="Times New Roman"/>
        </w:rPr>
        <w:t>180</w:t>
      </w:r>
      <w:r>
        <w:rPr>
          <w:spacing w:val="-7"/>
        </w:rPr>
        <w:t>日后，每肢三大关节中的两</w:t>
      </w:r>
      <w:r>
        <w:rPr>
          <w:spacing w:val="-5"/>
        </w:rPr>
        <w:t>大关节仍然完全僵硬，或不能随意识活动。</w:t>
      </w:r>
    </w:p>
    <w:p>
      <w:pPr>
        <w:spacing w:after="0" w:line="268" w:lineRule="auto"/>
        <w:jc w:val="both"/>
        <w:sectPr>
          <w:type w:val="continuous"/>
          <w:pgSz w:w="11910" w:h="16840"/>
          <w:pgMar w:top="1100" w:bottom="1100" w:left="1680" w:right="1220"/>
          <w:cols w:num="2" w:equalWidth="0">
            <w:col w:w="1554" w:space="40"/>
            <w:col w:w="7416"/>
          </w:cols>
        </w:sectPr>
      </w:pPr>
    </w:p>
    <w:p>
      <w:pPr>
        <w:pStyle w:val="BodyText"/>
        <w:spacing w:before="1"/>
        <w:rPr>
          <w:sz w:val="10"/>
        </w:rPr>
      </w:pPr>
    </w:p>
    <w:p>
      <w:pPr>
        <w:pStyle w:val="BodyText"/>
        <w:tabs>
          <w:tab w:pos="1757" w:val="left" w:leader="none"/>
        </w:tabs>
        <w:spacing w:line="312" w:lineRule="exact" w:before="32"/>
        <w:ind w:left="1757" w:right="101" w:hanging="1515"/>
      </w:pPr>
      <w:r>
        <w:rPr>
          <w:rFonts w:ascii="微软雅黑" w:eastAsia="微软雅黑" w:hint="eastAsia"/>
          <w:b/>
        </w:rPr>
        <w:t>严重心肌炎</w:t>
        <w:tab/>
      </w:r>
      <w:r>
        <w:rPr/>
        <w:t>指心</w:t>
      </w:r>
      <w:r>
        <w:rPr>
          <w:spacing w:val="-3"/>
        </w:rPr>
        <w:t>肌</w:t>
      </w:r>
      <w:r>
        <w:rPr/>
        <w:t>局</w:t>
      </w:r>
      <w:r>
        <w:rPr>
          <w:spacing w:val="-3"/>
        </w:rPr>
        <w:t>限</w:t>
      </w:r>
      <w:r>
        <w:rPr/>
        <w:t>性</w:t>
      </w:r>
      <w:r>
        <w:rPr>
          <w:spacing w:val="-3"/>
        </w:rPr>
        <w:t>或</w:t>
      </w:r>
      <w:r>
        <w:rPr/>
        <w:t>弥漫</w:t>
      </w:r>
      <w:r>
        <w:rPr>
          <w:spacing w:val="-3"/>
        </w:rPr>
        <w:t>性的</w:t>
      </w:r>
      <w:r>
        <w:rPr/>
        <w:t>急性</w:t>
      </w:r>
      <w:r>
        <w:rPr>
          <w:spacing w:val="-3"/>
        </w:rPr>
        <w:t>或</w:t>
      </w:r>
      <w:r>
        <w:rPr/>
        <w:t>慢</w:t>
      </w:r>
      <w:r>
        <w:rPr>
          <w:spacing w:val="-3"/>
        </w:rPr>
        <w:t>性</w:t>
      </w:r>
      <w:r>
        <w:rPr/>
        <w:t>炎</w:t>
      </w:r>
      <w:r>
        <w:rPr>
          <w:spacing w:val="-3"/>
        </w:rPr>
        <w:t>症</w:t>
      </w:r>
      <w:r>
        <w:rPr/>
        <w:t>病变</w:t>
      </w:r>
      <w:r>
        <w:rPr>
          <w:spacing w:val="-3"/>
        </w:rPr>
        <w:t>，导</w:t>
      </w:r>
      <w:r>
        <w:rPr/>
        <w:t>致心</w:t>
      </w:r>
      <w:r>
        <w:rPr>
          <w:spacing w:val="-3"/>
        </w:rPr>
        <w:t>脏</w:t>
      </w:r>
      <w:r>
        <w:rPr/>
        <w:t>功</w:t>
      </w:r>
      <w:r>
        <w:rPr>
          <w:spacing w:val="-3"/>
        </w:rPr>
        <w:t>能</w:t>
      </w:r>
      <w:r>
        <w:rPr/>
        <w:t>障</w:t>
      </w:r>
      <w:r>
        <w:rPr>
          <w:spacing w:val="-3"/>
        </w:rPr>
        <w:t>碍</w:t>
      </w:r>
      <w:r>
        <w:rPr/>
        <w:t>，达</w:t>
      </w:r>
      <w:r>
        <w:rPr>
          <w:spacing w:val="-3"/>
        </w:rPr>
        <w:t>到纽</w:t>
      </w:r>
      <w:r>
        <w:rPr/>
        <w:t>约 </w:t>
      </w:r>
      <w:r>
        <w:rPr>
          <w:spacing w:val="-1"/>
        </w:rPr>
        <w:t>心脏</w:t>
      </w:r>
      <w:r>
        <w:rPr>
          <w:spacing w:val="-3"/>
        </w:rPr>
        <w:t>学</w:t>
      </w:r>
      <w:r>
        <w:rPr>
          <w:spacing w:val="-1"/>
        </w:rPr>
        <w:t>会</w:t>
      </w:r>
      <w:r>
        <w:rPr>
          <w:spacing w:val="-3"/>
        </w:rPr>
        <w:t>心</w:t>
      </w:r>
      <w:r>
        <w:rPr>
          <w:spacing w:val="-1"/>
        </w:rPr>
        <w:t>功</w:t>
      </w:r>
      <w:r>
        <w:rPr>
          <w:spacing w:val="-3"/>
        </w:rPr>
        <w:t>能</w:t>
      </w:r>
      <w:r>
        <w:rPr>
          <w:spacing w:val="-1"/>
        </w:rPr>
        <w:t>分</w:t>
      </w:r>
      <w:r>
        <w:rPr>
          <w:spacing w:val="-3"/>
        </w:rPr>
        <w:t>级</w:t>
      </w:r>
      <w:r>
        <w:rPr>
          <w:spacing w:val="-1"/>
        </w:rPr>
        <w:t>状</w:t>
      </w:r>
      <w:r>
        <w:rPr>
          <w:spacing w:val="-3"/>
        </w:rPr>
        <w:t>态</w:t>
      </w:r>
      <w:r>
        <w:rPr>
          <w:spacing w:val="-1"/>
        </w:rPr>
        <w:t>分级</w:t>
      </w:r>
      <w:r>
        <w:rPr>
          <w:rFonts w:ascii="Times New Roman" w:eastAsia="Times New Roman"/>
        </w:rPr>
        <w:t>IV</w:t>
      </w:r>
      <w:r>
        <w:rPr>
          <w:spacing w:val="-3"/>
        </w:rPr>
        <w:t>级</w:t>
      </w:r>
      <w:r>
        <w:rPr/>
        <w:t>，</w:t>
      </w:r>
      <w:r>
        <w:rPr>
          <w:spacing w:val="-3"/>
        </w:rPr>
        <w:t>且</w:t>
      </w:r>
      <w:r>
        <w:rPr/>
        <w:t>需</w:t>
      </w:r>
      <w:r>
        <w:rPr>
          <w:spacing w:val="-3"/>
        </w:rPr>
        <w:t>持</w:t>
      </w:r>
      <w:r>
        <w:rPr/>
        <w:t>续</w:t>
      </w:r>
      <w:r>
        <w:rPr>
          <w:spacing w:val="-3"/>
        </w:rPr>
        <w:t>至</w:t>
      </w:r>
      <w:r>
        <w:rPr/>
        <w:t>少</w:t>
      </w:r>
      <w:r>
        <w:rPr>
          <w:rFonts w:ascii="Times New Roman" w:eastAsia="Times New Roman"/>
        </w:rPr>
        <w:t>180</w:t>
      </w:r>
      <w:r>
        <w:rPr/>
        <w:t>日。</w:t>
      </w:r>
    </w:p>
    <w:p>
      <w:pPr>
        <w:spacing w:after="0" w:line="312" w:lineRule="exact"/>
        <w:sectPr>
          <w:type w:val="continuous"/>
          <w:pgSz w:w="11910" w:h="16840"/>
          <w:pgMar w:top="1100" w:bottom="1100" w:left="1680" w:right="12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7556"/>
      </w:tblGrid>
      <w:tr>
        <w:trPr>
          <w:trHeight w:val="2313" w:hRule="atLeast"/>
        </w:trPr>
        <w:tc>
          <w:tcPr>
            <w:tcW w:w="1612" w:type="dxa"/>
          </w:tcPr>
          <w:p>
            <w:pPr>
              <w:pStyle w:val="TableParagraph"/>
              <w:spacing w:line="236" w:lineRule="exact"/>
              <w:ind w:left="200"/>
              <w:rPr>
                <w:rFonts w:ascii="微软雅黑" w:eastAsia="微软雅黑" w:hint="eastAsia"/>
                <w:b/>
                <w:sz w:val="21"/>
              </w:rPr>
            </w:pPr>
            <w:r>
              <w:rPr>
                <w:rFonts w:ascii="微软雅黑" w:eastAsia="微软雅黑" w:hint="eastAsia"/>
                <w:b/>
                <w:sz w:val="21"/>
              </w:rPr>
              <w:t>疯牛病</w:t>
            </w:r>
          </w:p>
        </w:tc>
        <w:tc>
          <w:tcPr>
            <w:tcW w:w="7556" w:type="dxa"/>
          </w:tcPr>
          <w:p>
            <w:pPr>
              <w:pStyle w:val="TableParagraph"/>
              <w:spacing w:line="211" w:lineRule="exact"/>
              <w:ind w:left="102"/>
              <w:rPr>
                <w:sz w:val="21"/>
              </w:rPr>
            </w:pPr>
            <w:r>
              <w:rPr>
                <w:sz w:val="21"/>
              </w:rPr>
              <w:t>神经系统疾病及致命的成胶质状脑病，并有以下症状：</w:t>
            </w:r>
          </w:p>
          <w:p>
            <w:pPr>
              <w:pStyle w:val="TableParagraph"/>
              <w:spacing w:before="37"/>
              <w:ind w:left="102"/>
              <w:rPr>
                <w:sz w:val="21"/>
              </w:rPr>
            </w:pPr>
            <w:r>
              <w:rPr>
                <w:rFonts w:ascii="Times New Roman" w:eastAsia="Times New Roman"/>
                <w:sz w:val="21"/>
              </w:rPr>
              <w:t>1.</w:t>
            </w:r>
            <w:r>
              <w:rPr>
                <w:sz w:val="21"/>
              </w:rPr>
              <w:t>不能控制的肌肉痉挛及震颤；</w:t>
            </w:r>
          </w:p>
          <w:p>
            <w:pPr>
              <w:pStyle w:val="TableParagraph"/>
              <w:spacing w:before="20"/>
              <w:ind w:left="102"/>
              <w:rPr>
                <w:sz w:val="21"/>
              </w:rPr>
            </w:pPr>
            <w:r>
              <w:rPr>
                <w:rFonts w:ascii="Times New Roman" w:eastAsia="Times New Roman"/>
                <w:sz w:val="21"/>
              </w:rPr>
              <w:t>2.</w:t>
            </w:r>
            <w:r>
              <w:rPr>
                <w:sz w:val="21"/>
              </w:rPr>
              <w:t>逐渐痴呆；</w:t>
            </w:r>
          </w:p>
          <w:p>
            <w:pPr>
              <w:pStyle w:val="TableParagraph"/>
              <w:spacing w:before="20"/>
              <w:ind w:left="102"/>
              <w:rPr>
                <w:sz w:val="21"/>
              </w:rPr>
            </w:pPr>
            <w:r>
              <w:rPr>
                <w:rFonts w:ascii="Times New Roman" w:eastAsia="Times New Roman"/>
                <w:sz w:val="21"/>
              </w:rPr>
              <w:t>3.</w:t>
            </w:r>
            <w:r>
              <w:rPr>
                <w:sz w:val="21"/>
              </w:rPr>
              <w:t>小脑功能不良，共济失调；</w:t>
            </w:r>
          </w:p>
          <w:p>
            <w:pPr>
              <w:pStyle w:val="TableParagraph"/>
              <w:spacing w:before="20"/>
              <w:ind w:left="102"/>
              <w:rPr>
                <w:sz w:val="21"/>
              </w:rPr>
            </w:pPr>
            <w:r>
              <w:rPr>
                <w:rFonts w:ascii="Times New Roman" w:eastAsia="Times New Roman"/>
                <w:sz w:val="21"/>
              </w:rPr>
              <w:t>4.</w:t>
            </w:r>
            <w:r>
              <w:rPr>
                <w:sz w:val="21"/>
              </w:rPr>
              <w:t>手足徐动症。</w:t>
            </w:r>
          </w:p>
          <w:p>
            <w:pPr>
              <w:pStyle w:val="TableParagraph"/>
              <w:spacing w:line="273" w:lineRule="auto" w:before="114"/>
              <w:ind w:left="102" w:right="305"/>
              <w:rPr>
                <w:sz w:val="21"/>
              </w:rPr>
            </w:pPr>
            <w:r>
              <w:rPr>
                <w:sz w:val="21"/>
              </w:rPr>
              <w:t>诊断必须由神经科专科医生基于以下检查报告作出：脑电图、脑脊液报告、电脑断层扫描(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490" w:hRule="atLeast"/>
        </w:trPr>
        <w:tc>
          <w:tcPr>
            <w:tcW w:w="1612" w:type="dxa"/>
          </w:tcPr>
          <w:p>
            <w:pPr>
              <w:pStyle w:val="TableParagraph"/>
              <w:spacing w:line="206" w:lineRule="auto" w:before="45"/>
              <w:ind w:left="200" w:right="99"/>
              <w:rPr>
                <w:rFonts w:ascii="微软雅黑" w:eastAsia="微软雅黑" w:hint="eastAsia"/>
                <w:b/>
                <w:sz w:val="21"/>
              </w:rPr>
            </w:pPr>
            <w:r>
              <w:rPr>
                <w:rFonts w:ascii="微软雅黑" w:eastAsia="微软雅黑" w:hint="eastAsia"/>
                <w:b/>
                <w:sz w:val="21"/>
              </w:rPr>
              <w:t>破裂脑动脉瘤夹闭手术</w:t>
            </w:r>
          </w:p>
        </w:tc>
        <w:tc>
          <w:tcPr>
            <w:tcW w:w="7556" w:type="dxa"/>
          </w:tcPr>
          <w:p>
            <w:pPr>
              <w:pStyle w:val="TableParagraph"/>
              <w:spacing w:line="273" w:lineRule="auto" w:before="56"/>
              <w:ind w:left="102" w:right="305"/>
              <w:rPr>
                <w:sz w:val="21"/>
              </w:rPr>
            </w:pPr>
            <w:r>
              <w:rPr>
                <w:sz w:val="21"/>
              </w:rPr>
              <w:t>指因脑动脉瘤破裂造成蛛网膜下腔出血，被保险人实际接受了在全麻下进行的开颅动脉夹闭手术。</w:t>
            </w:r>
          </w:p>
          <w:p>
            <w:pPr>
              <w:pStyle w:val="TableParagraph"/>
              <w:spacing w:line="273" w:lineRule="auto" w:before="100"/>
              <w:ind w:left="102" w:right="305"/>
              <w:rPr>
                <w:sz w:val="21"/>
              </w:rPr>
            </w:pPr>
            <w:r>
              <w:rPr>
                <w:sz w:val="21"/>
                <w:shd w:fill="C0C0C0" w:color="auto" w:val="clear"/>
              </w:rPr>
              <w:t>脑动脉瘤（未破裂）预防性手术、颅骨打孔手术、动脉瘤栓塞手术、血管内手术及其他颅脑手术不在保障范围内。</w:t>
            </w:r>
          </w:p>
        </w:tc>
      </w:tr>
      <w:tr>
        <w:trPr>
          <w:trHeight w:val="2789" w:hRule="atLeast"/>
        </w:trPr>
        <w:tc>
          <w:tcPr>
            <w:tcW w:w="1612" w:type="dxa"/>
          </w:tcPr>
          <w:p>
            <w:pPr>
              <w:pStyle w:val="TableParagraph"/>
              <w:spacing w:line="206" w:lineRule="auto" w:before="53"/>
              <w:ind w:left="200" w:right="99"/>
              <w:jc w:val="both"/>
              <w:rPr>
                <w:rFonts w:ascii="微软雅黑" w:eastAsia="微软雅黑" w:hint="eastAsia"/>
                <w:b/>
                <w:sz w:val="21"/>
              </w:rPr>
            </w:pPr>
            <w:r>
              <w:rPr>
                <w:rFonts w:ascii="微软雅黑" w:eastAsia="微软雅黑" w:hint="eastAsia"/>
                <w:b/>
                <w:sz w:val="21"/>
              </w:rPr>
              <w:t>经输血导致的艾滋病病毒感染</w:t>
            </w:r>
          </w:p>
        </w:tc>
        <w:tc>
          <w:tcPr>
            <w:tcW w:w="7556" w:type="dxa"/>
          </w:tcPr>
          <w:p>
            <w:pPr>
              <w:pStyle w:val="TableParagraph"/>
              <w:spacing w:before="105"/>
              <w:ind w:left="102"/>
              <w:rPr>
                <w:sz w:val="21"/>
              </w:rPr>
            </w:pPr>
            <w:r>
              <w:rPr>
                <w:sz w:val="21"/>
              </w:rPr>
              <w:t>被保险人因输血而感染上人类免疫缺陷病毒(</w:t>
            </w:r>
            <w:r>
              <w:rPr>
                <w:rFonts w:ascii="Times New Roman" w:eastAsia="Times New Roman"/>
                <w:sz w:val="21"/>
              </w:rPr>
              <w:t>HIV</w:t>
            </w:r>
            <w:r>
              <w:rPr>
                <w:sz w:val="21"/>
              </w:rPr>
              <w:t>)必须满足以下的条件：</w:t>
            </w:r>
          </w:p>
          <w:p>
            <w:pPr>
              <w:pStyle w:val="TableParagraph"/>
              <w:spacing w:line="290" w:lineRule="auto" w:before="1"/>
              <w:ind w:left="102" w:right="1874"/>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 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p>
            <w:pPr>
              <w:pStyle w:val="TableParagraph"/>
              <w:spacing w:line="246" w:lineRule="exact"/>
              <w:ind w:left="102"/>
              <w:rPr>
                <w:sz w:val="21"/>
              </w:rPr>
            </w:pPr>
            <w:r>
              <w:rPr>
                <w:rFonts w:ascii="Times New Roman" w:eastAsia="Times New Roman"/>
                <w:sz w:val="21"/>
              </w:rPr>
              <w:t>2.</w:t>
            </w:r>
            <w:r>
              <w:rPr>
                <w:sz w:val="21"/>
              </w:rPr>
              <w:t>提供输血治疗的输血中心或医院承认该项输血感染责任的证明；</w:t>
            </w:r>
          </w:p>
          <w:p>
            <w:pPr>
              <w:pStyle w:val="TableParagraph"/>
              <w:spacing w:before="22"/>
              <w:ind w:left="102"/>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p>
            <w:pPr>
              <w:pStyle w:val="TableParagraph"/>
              <w:spacing w:before="21"/>
              <w:ind w:left="102"/>
              <w:rPr>
                <w:sz w:val="21"/>
              </w:rPr>
            </w:pPr>
            <w:r>
              <w:rPr>
                <w:rFonts w:ascii="Times New Roman" w:eastAsia="Times New Roman"/>
                <w:sz w:val="21"/>
              </w:rPr>
              <w:t>HIV</w:t>
            </w:r>
            <w:r>
              <w:rPr>
                <w:sz w:val="21"/>
              </w:rPr>
              <w:t>检查阳性的报告。</w:t>
            </w:r>
          </w:p>
          <w:p>
            <w:pPr>
              <w:pStyle w:val="TableParagraph"/>
              <w:spacing w:line="256" w:lineRule="auto" w:before="112"/>
              <w:ind w:left="102" w:right="353"/>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感染不在保障范围内。</w:t>
            </w:r>
          </w:p>
        </w:tc>
      </w:tr>
      <w:tr>
        <w:trPr>
          <w:trHeight w:val="780" w:hRule="atLeast"/>
        </w:trPr>
        <w:tc>
          <w:tcPr>
            <w:tcW w:w="1612" w:type="dxa"/>
          </w:tcPr>
          <w:p>
            <w:pPr>
              <w:pStyle w:val="TableParagraph"/>
              <w:spacing w:before="2"/>
              <w:ind w:left="200"/>
              <w:rPr>
                <w:rFonts w:ascii="微软雅黑" w:eastAsia="微软雅黑" w:hint="eastAsia"/>
                <w:b/>
                <w:sz w:val="21"/>
              </w:rPr>
            </w:pPr>
            <w:r>
              <w:rPr>
                <w:rFonts w:ascii="微软雅黑" w:eastAsia="微软雅黑" w:hint="eastAsia"/>
                <w:b/>
                <w:sz w:val="21"/>
              </w:rPr>
              <w:t>嗜铬细胞瘤</w:t>
            </w:r>
          </w:p>
        </w:tc>
        <w:tc>
          <w:tcPr>
            <w:tcW w:w="7556" w:type="dxa"/>
          </w:tcPr>
          <w:p>
            <w:pPr>
              <w:pStyle w:val="TableParagraph"/>
              <w:spacing w:line="259" w:lineRule="auto" w:before="65"/>
              <w:ind w:left="102" w:right="262"/>
              <w:rPr>
                <w:sz w:val="21"/>
              </w:rPr>
            </w:pPr>
            <w:r>
              <w:rPr>
                <w:sz w:val="21"/>
              </w:rPr>
              <w:t>是指肾上腺或嗜铬外组织出现神经内分泌肿瘤，并分</w:t>
            </w:r>
            <w:r>
              <w:rPr>
                <w:rFonts w:ascii="Arial" w:eastAsia="Arial"/>
                <w:w w:val="115"/>
                <w:sz w:val="21"/>
              </w:rPr>
              <w:t>泌</w:t>
            </w:r>
            <w:r>
              <w:rPr>
                <w:sz w:val="21"/>
              </w:rPr>
              <w:t>过多的儿茶酚胺类，需要确实进</w:t>
            </w:r>
            <w:r>
              <w:rPr>
                <w:rFonts w:ascii="Arial" w:eastAsia="Arial"/>
                <w:w w:val="115"/>
                <w:sz w:val="21"/>
              </w:rPr>
              <w:t>行</w:t>
            </w:r>
            <w:r>
              <w:rPr>
                <w:sz w:val="21"/>
              </w:rPr>
              <w:t>手术以切除肿瘤。嗜铬细胞瘤的诊断必须由内分泌专科医生确定。</w:t>
            </w:r>
          </w:p>
        </w:tc>
      </w:tr>
      <w:tr>
        <w:trPr>
          <w:trHeight w:val="769" w:hRule="atLeast"/>
        </w:trPr>
        <w:tc>
          <w:tcPr>
            <w:tcW w:w="1612" w:type="dxa"/>
          </w:tcPr>
          <w:p>
            <w:pPr>
              <w:pStyle w:val="TableParagraph"/>
              <w:spacing w:line="206" w:lineRule="auto" w:before="53"/>
              <w:ind w:left="200" w:right="99"/>
              <w:rPr>
                <w:rFonts w:ascii="微软雅黑" w:eastAsia="微软雅黑" w:hint="eastAsia"/>
                <w:b/>
                <w:sz w:val="21"/>
              </w:rPr>
            </w:pPr>
            <w:r>
              <w:rPr>
                <w:rFonts w:ascii="微软雅黑" w:eastAsia="微软雅黑" w:hint="eastAsia"/>
                <w:b/>
                <w:sz w:val="21"/>
              </w:rPr>
              <w:t>溶血性链球菌引起的坏疽</w:t>
            </w:r>
          </w:p>
        </w:tc>
        <w:tc>
          <w:tcPr>
            <w:tcW w:w="7556" w:type="dxa"/>
          </w:tcPr>
          <w:p>
            <w:pPr>
              <w:pStyle w:val="TableParagraph"/>
              <w:spacing w:line="273" w:lineRule="auto" w:before="64"/>
              <w:ind w:left="102" w:right="197"/>
              <w:rPr>
                <w:sz w:val="21"/>
              </w:rPr>
            </w:pPr>
            <w:r>
              <w:rPr>
                <w:spacing w:val="-3"/>
                <w:sz w:val="21"/>
              </w:rPr>
              <w:t>躯干或肢体的浅筋膜或涉及肌肉的深筋膜感染，呈暴发性进展，必须即刻手术</w:t>
            </w:r>
            <w:r>
              <w:rPr>
                <w:spacing w:val="-13"/>
                <w:sz w:val="21"/>
              </w:rPr>
              <w:t>清创。须在外科手术后进行组织培养证实溶血性链球菌坏疽并由专科医生确诊。</w:t>
            </w:r>
          </w:p>
        </w:tc>
      </w:tr>
      <w:tr>
        <w:trPr>
          <w:trHeight w:val="1933" w:hRule="atLeast"/>
        </w:trPr>
        <w:tc>
          <w:tcPr>
            <w:tcW w:w="1612" w:type="dxa"/>
          </w:tcPr>
          <w:p>
            <w:pPr>
              <w:pStyle w:val="TableParagraph"/>
              <w:spacing w:line="206" w:lineRule="auto" w:before="63"/>
              <w:ind w:left="200" w:right="99"/>
              <w:jc w:val="both"/>
              <w:rPr>
                <w:rFonts w:ascii="微软雅黑" w:eastAsia="微软雅黑" w:hint="eastAsia"/>
                <w:b/>
                <w:sz w:val="21"/>
              </w:rPr>
            </w:pPr>
            <w:r>
              <w:rPr>
                <w:rFonts w:ascii="微软雅黑" w:eastAsia="微软雅黑" w:hint="eastAsia"/>
                <w:b/>
                <w:sz w:val="21"/>
              </w:rPr>
              <w:t>非阿尔茨海默病所致严重痴呆</w:t>
            </w:r>
          </w:p>
        </w:tc>
        <w:tc>
          <w:tcPr>
            <w:tcW w:w="7556" w:type="dxa"/>
          </w:tcPr>
          <w:p>
            <w:pPr>
              <w:pStyle w:val="TableParagraph"/>
              <w:spacing w:line="237" w:lineRule="auto" w:before="56"/>
              <w:ind w:left="102" w:right="305"/>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TableParagraph"/>
              <w:spacing w:before="111"/>
              <w:ind w:left="102"/>
              <w:jc w:val="both"/>
              <w:rPr>
                <w:sz w:val="21"/>
              </w:rPr>
            </w:pPr>
            <w:r>
              <w:rPr>
                <w:sz w:val="21"/>
                <w:shd w:fill="C0C0C0" w:color="auto" w:val="clear"/>
              </w:rPr>
              <w:t>神经官能症，精神疾病及酒精中毒所致脑损害不在保障范围内。</w:t>
            </w:r>
          </w:p>
        </w:tc>
      </w:tr>
      <w:tr>
        <w:trPr>
          <w:trHeight w:val="1412" w:hRule="atLeast"/>
        </w:trPr>
        <w:tc>
          <w:tcPr>
            <w:tcW w:w="1612" w:type="dxa"/>
          </w:tcPr>
          <w:p>
            <w:pPr>
              <w:pStyle w:val="TableParagraph"/>
              <w:spacing w:line="206" w:lineRule="auto" w:before="53"/>
              <w:ind w:left="200" w:right="99"/>
              <w:rPr>
                <w:rFonts w:ascii="微软雅黑" w:eastAsia="微软雅黑" w:hint="eastAsia"/>
                <w:b/>
                <w:sz w:val="21"/>
              </w:rPr>
            </w:pPr>
            <w:r>
              <w:rPr>
                <w:rFonts w:ascii="微软雅黑" w:eastAsia="微软雅黑" w:hint="eastAsia"/>
                <w:b/>
                <w:sz w:val="21"/>
              </w:rPr>
              <w:t>持续植物人状态</w:t>
            </w:r>
          </w:p>
        </w:tc>
        <w:tc>
          <w:tcPr>
            <w:tcW w:w="7556" w:type="dxa"/>
          </w:tcPr>
          <w:p>
            <w:pPr>
              <w:pStyle w:val="TableParagraph"/>
              <w:spacing w:line="273" w:lineRule="auto" w:before="65"/>
              <w:ind w:left="102" w:right="305"/>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sz w:val="21"/>
              </w:rPr>
              <w:t>180</w:t>
            </w:r>
            <w:r>
              <w:rPr>
                <w:sz w:val="21"/>
              </w:rPr>
              <w:t>日以上方可申请理赔。</w:t>
            </w:r>
          </w:p>
        </w:tc>
      </w:tr>
      <w:tr>
        <w:trPr>
          <w:trHeight w:val="2516" w:hRule="atLeast"/>
        </w:trPr>
        <w:tc>
          <w:tcPr>
            <w:tcW w:w="1612" w:type="dxa"/>
          </w:tcPr>
          <w:p>
            <w:pPr>
              <w:pStyle w:val="TableParagraph"/>
              <w:spacing w:line="206" w:lineRule="auto" w:before="45"/>
              <w:ind w:left="200" w:right="99"/>
              <w:jc w:val="both"/>
              <w:rPr>
                <w:rFonts w:ascii="微软雅黑" w:eastAsia="微软雅黑" w:hint="eastAsia"/>
                <w:b/>
                <w:sz w:val="21"/>
              </w:rPr>
            </w:pPr>
            <w:r>
              <w:rPr>
                <w:rFonts w:ascii="微软雅黑" w:eastAsia="微软雅黑" w:hint="eastAsia"/>
                <w:b/>
                <w:sz w:val="21"/>
              </w:rPr>
              <w:t>因职业关系导致的艾滋病病毒感染</w:t>
            </w:r>
          </w:p>
        </w:tc>
        <w:tc>
          <w:tcPr>
            <w:tcW w:w="7556" w:type="dxa"/>
          </w:tcPr>
          <w:p>
            <w:pPr>
              <w:pStyle w:val="TableParagraph"/>
              <w:spacing w:line="273" w:lineRule="auto" w:before="56"/>
              <w:ind w:left="102" w:right="305"/>
              <w:rPr>
                <w:sz w:val="21"/>
              </w:rPr>
            </w:pPr>
            <w:r>
              <w:rPr>
                <w:sz w:val="21"/>
              </w:rPr>
              <w:t>在本保单生效日或复效日（取其最晚者）之后，被保险人在从事正常职业生活中感染艾滋病病毒，并且证实满足以下所有条件者：</w:t>
            </w:r>
          </w:p>
          <w:p>
            <w:pPr>
              <w:pStyle w:val="TableParagraph"/>
              <w:spacing w:line="256" w:lineRule="auto" w:before="7"/>
              <w:ind w:left="102" w:right="305"/>
              <w:rPr>
                <w:sz w:val="21"/>
              </w:rPr>
            </w:pPr>
            <w:r>
              <w:rPr>
                <w:rFonts w:ascii="Times New Roman" w:eastAsia="Times New Roman"/>
                <w:sz w:val="21"/>
              </w:rPr>
              <w:t>1.</w:t>
            </w:r>
            <w:r>
              <w:rPr>
                <w:sz w:val="21"/>
              </w:rPr>
              <w:t>导致感染艾滋病病毒的意外事故必须在意外发生后</w:t>
            </w:r>
            <w:r>
              <w:rPr>
                <w:rFonts w:ascii="Times New Roman" w:eastAsia="Times New Roman"/>
                <w:sz w:val="21"/>
              </w:rPr>
              <w:t>30</w:t>
            </w:r>
            <w:r>
              <w:rPr>
                <w:sz w:val="21"/>
              </w:rPr>
              <w:t>日内（含第</w:t>
            </w:r>
            <w:r>
              <w:rPr>
                <w:rFonts w:ascii="Times New Roman" w:eastAsia="Times New Roman"/>
                <w:sz w:val="21"/>
              </w:rPr>
              <w:t>30</w:t>
            </w:r>
            <w:r>
              <w:rPr>
                <w:sz w:val="21"/>
              </w:rPr>
              <w:t>日）向我们报告；</w:t>
            </w:r>
          </w:p>
          <w:p>
            <w:pPr>
              <w:pStyle w:val="TableParagraph"/>
              <w:spacing w:before="22"/>
              <w:ind w:left="102"/>
              <w:rPr>
                <w:sz w:val="21"/>
              </w:rPr>
            </w:pPr>
            <w:r>
              <w:rPr>
                <w:rFonts w:ascii="Times New Roman" w:eastAsia="Times New Roman"/>
                <w:sz w:val="21"/>
              </w:rPr>
              <w:t>2.</w:t>
            </w:r>
            <w:r>
              <w:rPr>
                <w:sz w:val="21"/>
              </w:rPr>
              <w:t>导致意外事故的明确的艾滋病病毒感染的液体的证据；</w:t>
            </w:r>
          </w:p>
          <w:p>
            <w:pPr>
              <w:pStyle w:val="TableParagraph"/>
              <w:spacing w:before="21"/>
              <w:ind w:left="102"/>
              <w:rPr>
                <w:rFonts w:ascii="Times New Roman" w:eastAsia="Times New Roman"/>
                <w:sz w:val="21"/>
              </w:rPr>
            </w:pPr>
            <w:r>
              <w:rPr>
                <w:rFonts w:ascii="Times New Roman" w:eastAsia="Times New Roman"/>
                <w:sz w:val="21"/>
              </w:rPr>
              <w:t>3.</w:t>
            </w:r>
            <w:r>
              <w:rPr>
                <w:sz w:val="21"/>
              </w:rPr>
              <w:t>在书面报告意外发生后的</w:t>
            </w:r>
            <w:r>
              <w:rPr>
                <w:rFonts w:ascii="Times New Roman" w:eastAsia="Times New Roman"/>
                <w:sz w:val="21"/>
              </w:rPr>
              <w:t>180</w:t>
            </w:r>
            <w:r>
              <w:rPr>
                <w:sz w:val="21"/>
              </w:rPr>
              <w:t>日内（含第</w:t>
            </w:r>
            <w:r>
              <w:rPr>
                <w:rFonts w:ascii="Times New Roman" w:eastAsia="Times New Roman"/>
                <w:sz w:val="21"/>
              </w:rPr>
              <w:t>180</w:t>
            </w:r>
            <w:r>
              <w:rPr>
                <w:sz w:val="21"/>
              </w:rPr>
              <w:t>日）出现血清</w:t>
            </w:r>
            <w:r>
              <w:rPr>
                <w:rFonts w:ascii="Times New Roman" w:eastAsia="Times New Roman"/>
                <w:sz w:val="21"/>
              </w:rPr>
              <w:t>HIV</w:t>
            </w:r>
            <w:r>
              <w:rPr>
                <w:sz w:val="21"/>
              </w:rPr>
              <w:t>阴性转变为</w:t>
            </w:r>
            <w:r>
              <w:rPr>
                <w:rFonts w:ascii="Times New Roman" w:eastAsia="Times New Roman"/>
                <w:sz w:val="21"/>
              </w:rPr>
              <w:t>HIV</w:t>
            </w:r>
          </w:p>
          <w:p>
            <w:pPr>
              <w:pStyle w:val="TableParagraph"/>
              <w:spacing w:line="290" w:lineRule="atLeast" w:before="21"/>
              <w:ind w:left="102" w:right="302"/>
              <w:rPr>
                <w:sz w:val="21"/>
              </w:rPr>
            </w:pPr>
            <w:r>
              <w:rPr>
                <w:sz w:val="21"/>
              </w:rPr>
              <w:t>阳性的证据。这个证据必须包括一个意外事故发生后</w:t>
            </w:r>
            <w:r>
              <w:rPr>
                <w:rFonts w:ascii="Times New Roman" w:eastAsia="Times New Roman"/>
                <w:sz w:val="21"/>
              </w:rPr>
              <w:t>5</w:t>
            </w:r>
            <w:r>
              <w:rPr>
                <w:sz w:val="21"/>
              </w:rPr>
              <w:t>日内（含第</w:t>
            </w:r>
            <w:r>
              <w:rPr>
                <w:rFonts w:ascii="Times New Roman" w:eastAsia="Times New Roman"/>
                <w:sz w:val="21"/>
              </w:rPr>
              <w:t>5</w:t>
            </w:r>
            <w:r>
              <w:rPr>
                <w:sz w:val="21"/>
              </w:rPr>
              <w:t>日）</w:t>
            </w:r>
            <w:r>
              <w:rPr>
                <w:rFonts w:ascii="Times New Roman" w:eastAsia="Times New Roman"/>
                <w:sz w:val="21"/>
              </w:rPr>
              <w:t>HIV</w:t>
            </w:r>
            <w:r>
              <w:rPr>
                <w:sz w:val="21"/>
              </w:rPr>
              <w:t>抗体阴性的检查报告；</w:t>
            </w:r>
          </w:p>
        </w:tc>
      </w:tr>
    </w:tbl>
    <w:p>
      <w:pPr>
        <w:spacing w:after="0" w:line="290" w:lineRule="atLeas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7551"/>
      </w:tblGrid>
      <w:tr>
        <w:trPr>
          <w:trHeight w:val="2087" w:hRule="atLeast"/>
        </w:trPr>
        <w:tc>
          <w:tcPr>
            <w:tcW w:w="1621" w:type="dxa"/>
          </w:tcPr>
          <w:p>
            <w:pPr>
              <w:pStyle w:val="TableParagraph"/>
              <w:ind w:left="0"/>
              <w:rPr>
                <w:rFonts w:ascii="Times New Roman"/>
                <w:sz w:val="20"/>
              </w:rPr>
            </w:pPr>
          </w:p>
        </w:tc>
        <w:tc>
          <w:tcPr>
            <w:tcW w:w="7551" w:type="dxa"/>
          </w:tcPr>
          <w:p>
            <w:pPr>
              <w:pStyle w:val="TableParagraph"/>
              <w:spacing w:line="211" w:lineRule="exact"/>
              <w:ind w:left="93"/>
              <w:rPr>
                <w:sz w:val="21"/>
              </w:rPr>
            </w:pPr>
            <w:r>
              <w:rPr>
                <w:sz w:val="21"/>
                <w:shd w:fill="C0C0C0" w:color="auto" w:val="clear"/>
              </w:rPr>
              <w:t>由其他途径感染的艾滋病病毒，包括性行为和静脉注射毒品，不在保障范围内。</w:t>
            </w:r>
          </w:p>
          <w:p>
            <w:pPr>
              <w:pStyle w:val="TableParagraph"/>
              <w:spacing w:line="256" w:lineRule="auto" w:before="131"/>
              <w:ind w:left="93" w:right="309"/>
              <w:jc w:val="both"/>
              <w:rPr>
                <w:sz w:val="21"/>
              </w:rPr>
            </w:pPr>
            <w:r>
              <w:rPr>
                <w:sz w:val="21"/>
              </w:rPr>
              <w:t>意外事故后 </w:t>
            </w:r>
            <w:r>
              <w:rPr>
                <w:rFonts w:ascii="Times New Roman" w:eastAsia="Times New Roman"/>
                <w:sz w:val="21"/>
              </w:rPr>
              <w:t>12 </w:t>
            </w:r>
            <w:r>
              <w:rPr>
                <w:sz w:val="21"/>
              </w:rPr>
              <w:t>个月内需要进行进一步的血液检查以确认存在艾滋病病毒抗体的存在。</w:t>
            </w:r>
          </w:p>
          <w:p>
            <w:pPr>
              <w:pStyle w:val="TableParagraph"/>
              <w:spacing w:line="206" w:lineRule="auto" w:before="104"/>
              <w:ind w:left="93" w:right="310"/>
              <w:jc w:val="both"/>
              <w:rPr>
                <w:rFonts w:ascii="微软雅黑" w:eastAsia="微软雅黑" w:hint="eastAsia"/>
                <w:b/>
                <w:sz w:val="21"/>
              </w:rPr>
            </w:pPr>
            <w:r>
              <w:rPr>
                <w:rFonts w:ascii="微软雅黑" w:eastAsia="微软雅黑" w:hint="eastAsia"/>
                <w:b/>
                <w:sz w:val="21"/>
              </w:rPr>
              <w:t>我们仅在被保险人的职业为从业医生、医学院学生、国家注册护士、医学检验技师、牙医（外科医生和护士）或辅助医务工作者、医学中心或医院工作人员时承担此项保险责任。</w:t>
            </w:r>
          </w:p>
        </w:tc>
      </w:tr>
      <w:tr>
        <w:trPr>
          <w:trHeight w:val="1099" w:hRule="atLeast"/>
        </w:trPr>
        <w:tc>
          <w:tcPr>
            <w:tcW w:w="1621" w:type="dxa"/>
          </w:tcPr>
          <w:p>
            <w:pPr>
              <w:pStyle w:val="TableParagraph"/>
              <w:spacing w:line="206" w:lineRule="auto" w:before="53"/>
              <w:ind w:left="200" w:right="108"/>
              <w:rPr>
                <w:rFonts w:ascii="微软雅黑" w:eastAsia="微软雅黑" w:hint="eastAsia"/>
                <w:b/>
                <w:sz w:val="21"/>
              </w:rPr>
            </w:pPr>
            <w:r>
              <w:rPr>
                <w:rFonts w:ascii="微软雅黑" w:eastAsia="微软雅黑" w:hint="eastAsia"/>
                <w:b/>
                <w:sz w:val="21"/>
              </w:rPr>
              <w:t>埃博拉病毒感染</w:t>
            </w:r>
          </w:p>
        </w:tc>
        <w:tc>
          <w:tcPr>
            <w:tcW w:w="7551" w:type="dxa"/>
          </w:tcPr>
          <w:p>
            <w:pPr>
              <w:pStyle w:val="TableParagraph"/>
              <w:spacing w:line="273" w:lineRule="auto" w:before="64"/>
              <w:ind w:left="93" w:right="309"/>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92" w:hRule="atLeast"/>
        </w:trPr>
        <w:tc>
          <w:tcPr>
            <w:tcW w:w="1621" w:type="dxa"/>
          </w:tcPr>
          <w:p>
            <w:pPr>
              <w:pStyle w:val="TableParagraph"/>
              <w:spacing w:line="206" w:lineRule="auto" w:before="45"/>
              <w:ind w:left="200" w:right="108"/>
              <w:rPr>
                <w:rFonts w:ascii="微软雅黑" w:eastAsia="微软雅黑" w:hint="eastAsia"/>
                <w:b/>
                <w:sz w:val="21"/>
              </w:rPr>
            </w:pPr>
            <w:r>
              <w:rPr>
                <w:rFonts w:ascii="微软雅黑" w:eastAsia="微软雅黑" w:hint="eastAsia"/>
                <w:b/>
                <w:sz w:val="21"/>
              </w:rPr>
              <w:t>严重肠道疾病并发症</w:t>
            </w:r>
          </w:p>
        </w:tc>
        <w:tc>
          <w:tcPr>
            <w:tcW w:w="7551" w:type="dxa"/>
          </w:tcPr>
          <w:p>
            <w:pPr>
              <w:pStyle w:val="TableParagraph"/>
              <w:spacing w:before="56"/>
              <w:ind w:left="93"/>
              <w:rPr>
                <w:sz w:val="21"/>
              </w:rPr>
            </w:pPr>
            <w:r>
              <w:rPr>
                <w:sz w:val="21"/>
              </w:rPr>
              <w:t>严重肠道疾病或外伤导致小肠损害并发症，满足以下所有条件：</w:t>
            </w:r>
          </w:p>
          <w:p>
            <w:pPr>
              <w:pStyle w:val="TableParagraph"/>
              <w:spacing w:before="37"/>
              <w:ind w:left="93"/>
              <w:rPr>
                <w:sz w:val="21"/>
              </w:rPr>
            </w:pPr>
            <w:r>
              <w:rPr>
                <w:rFonts w:ascii="Times New Roman" w:eastAsia="Times New Roman"/>
                <w:sz w:val="21"/>
              </w:rPr>
              <w:t>1.</w:t>
            </w:r>
            <w:r>
              <w:rPr>
                <w:sz w:val="21"/>
              </w:rPr>
              <w:t>至少切除了三分之二小肠；</w:t>
            </w:r>
          </w:p>
          <w:p>
            <w:pPr>
              <w:pStyle w:val="TableParagraph"/>
              <w:spacing w:before="21"/>
              <w:ind w:left="93"/>
              <w:rPr>
                <w:sz w:val="21"/>
              </w:rPr>
            </w:pPr>
            <w:r>
              <w:rPr>
                <w:rFonts w:ascii="Times New Roman" w:eastAsia="Times New Roman"/>
                <w:sz w:val="21"/>
              </w:rPr>
              <w:t>2.</w:t>
            </w:r>
            <w:r>
              <w:rPr>
                <w:sz w:val="21"/>
              </w:rPr>
              <w:t>完全肠外营养支持三个月以上。</w:t>
            </w:r>
          </w:p>
        </w:tc>
      </w:tr>
      <w:tr>
        <w:trPr>
          <w:trHeight w:val="2745" w:hRule="atLeast"/>
        </w:trPr>
        <w:tc>
          <w:tcPr>
            <w:tcW w:w="1621" w:type="dxa"/>
          </w:tcPr>
          <w:p>
            <w:pPr>
              <w:pStyle w:val="TableParagraph"/>
              <w:spacing w:line="206" w:lineRule="auto" w:before="45"/>
              <w:ind w:left="200" w:right="108"/>
              <w:jc w:val="both"/>
              <w:rPr>
                <w:rFonts w:ascii="微软雅黑" w:eastAsia="微软雅黑" w:hint="eastAsia"/>
                <w:b/>
                <w:sz w:val="21"/>
              </w:rPr>
            </w:pPr>
            <w:r>
              <w:rPr>
                <w:rFonts w:ascii="微软雅黑" w:eastAsia="微软雅黑" w:hint="eastAsia"/>
                <w:b/>
                <w:spacing w:val="5"/>
                <w:sz w:val="21"/>
              </w:rPr>
              <w:t>严重瑞氏综合</w:t>
            </w:r>
            <w:r>
              <w:rPr>
                <w:rFonts w:ascii="微软雅黑" w:eastAsia="微软雅黑" w:hint="eastAsia"/>
                <w:b/>
                <w:spacing w:val="-92"/>
                <w:sz w:val="21"/>
              </w:rPr>
              <w:t>症</w:t>
            </w:r>
            <w:r>
              <w:rPr>
                <w:rFonts w:ascii="微软雅黑" w:eastAsia="微软雅黑" w:hint="eastAsia"/>
                <w:b/>
                <w:sz w:val="21"/>
              </w:rPr>
              <w:t>（</w:t>
            </w:r>
            <w:r>
              <w:rPr>
                <w:rFonts w:ascii="Times New Roman" w:eastAsia="Times New Roman"/>
                <w:b/>
                <w:sz w:val="21"/>
              </w:rPr>
              <w:t>Reye </w:t>
            </w:r>
            <w:r>
              <w:rPr>
                <w:rFonts w:ascii="微软雅黑" w:eastAsia="微软雅黑" w:hint="eastAsia"/>
                <w:b/>
                <w:sz w:val="21"/>
              </w:rPr>
              <w:t>综 合</w:t>
            </w:r>
            <w:r>
              <w:rPr>
                <w:rFonts w:ascii="微软雅黑" w:eastAsia="微软雅黑" w:hint="eastAsia"/>
                <w:b/>
                <w:spacing w:val="5"/>
                <w:sz w:val="21"/>
              </w:rPr>
              <w:t>征，也称赖氏综合征、雷氏</w:t>
            </w:r>
            <w:r>
              <w:rPr>
                <w:rFonts w:ascii="微软雅黑" w:eastAsia="微软雅黑" w:hint="eastAsia"/>
                <w:b/>
                <w:sz w:val="21"/>
              </w:rPr>
              <w:t>综合征）</w:t>
            </w:r>
          </w:p>
        </w:tc>
        <w:tc>
          <w:tcPr>
            <w:tcW w:w="7551" w:type="dxa"/>
          </w:tcPr>
          <w:p>
            <w:pPr>
              <w:pStyle w:val="TableParagraph"/>
              <w:spacing w:line="273" w:lineRule="auto" w:before="56"/>
              <w:ind w:left="93" w:right="198"/>
              <w:rPr>
                <w:sz w:val="21"/>
              </w:rPr>
            </w:pPr>
            <w:r>
              <w:rPr>
                <w:spacing w:val="-8"/>
                <w:sz w:val="21"/>
              </w:rPr>
              <w:t>瑞氏综合征是线粒体功能障碍性疾病。广泛的线粒体受损，导致脂肪代谢障碍， </w:t>
            </w:r>
            <w:r>
              <w:rPr>
                <w:spacing w:val="-5"/>
                <w:sz w:val="21"/>
              </w:rPr>
              <w:t>引起短链脂肪酸、血氨升高，造成脑水肿。主要临床表现为急性发热、反复呕</w:t>
            </w:r>
            <w:r>
              <w:rPr>
                <w:spacing w:val="-4"/>
                <w:sz w:val="21"/>
              </w:rPr>
              <w:t>吐、惊厥及意识障碍等等。</w:t>
            </w:r>
          </w:p>
          <w:p>
            <w:pPr>
              <w:pStyle w:val="TableParagraph"/>
              <w:spacing w:line="273" w:lineRule="auto" w:before="100"/>
              <w:ind w:left="93" w:right="309"/>
              <w:rPr>
                <w:sz w:val="21"/>
              </w:rPr>
            </w:pPr>
            <w:r>
              <w:rPr>
                <w:sz w:val="21"/>
              </w:rPr>
              <w:t>肝脏活检是确诊的重要手段。瑞氏综合征需由三级医院的儿科专科医生确诊， 并符合下列所有条件：</w:t>
            </w:r>
          </w:p>
          <w:p>
            <w:pPr>
              <w:pStyle w:val="TableParagraph"/>
              <w:spacing w:before="7"/>
              <w:ind w:left="93"/>
              <w:rPr>
                <w:sz w:val="21"/>
              </w:rPr>
            </w:pPr>
            <w:r>
              <w:rPr>
                <w:rFonts w:ascii="Times New Roman" w:eastAsia="Times New Roman"/>
                <w:sz w:val="21"/>
              </w:rPr>
              <w:t>1.</w:t>
            </w:r>
            <w:r>
              <w:rPr>
                <w:sz w:val="21"/>
              </w:rPr>
              <w:t>有脑水肿和颅内压升高的脑脊液检查和影像学检查证据；</w:t>
            </w:r>
          </w:p>
          <w:p>
            <w:pPr>
              <w:pStyle w:val="TableParagraph"/>
              <w:spacing w:before="21"/>
              <w:ind w:left="93"/>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1"/>
              <w:ind w:left="9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2336" w:hRule="atLeast"/>
        </w:trPr>
        <w:tc>
          <w:tcPr>
            <w:tcW w:w="1621" w:type="dxa"/>
          </w:tcPr>
          <w:p>
            <w:pPr>
              <w:pStyle w:val="TableParagraph"/>
              <w:spacing w:line="357" w:lineRule="exact"/>
              <w:ind w:left="183" w:right="137"/>
              <w:jc w:val="center"/>
              <w:rPr>
                <w:rFonts w:ascii="微软雅黑" w:eastAsia="微软雅黑" w:hint="eastAsia"/>
                <w:b/>
                <w:sz w:val="21"/>
              </w:rPr>
            </w:pPr>
            <w:r>
              <w:rPr>
                <w:rFonts w:ascii="微软雅黑" w:eastAsia="微软雅黑" w:hint="eastAsia"/>
                <w:b/>
                <w:sz w:val="21"/>
              </w:rPr>
              <w:t>重症手足口病</w:t>
            </w:r>
          </w:p>
        </w:tc>
        <w:tc>
          <w:tcPr>
            <w:tcW w:w="7551" w:type="dxa"/>
          </w:tcPr>
          <w:p>
            <w:pPr>
              <w:pStyle w:val="TableParagraph"/>
              <w:spacing w:line="273" w:lineRule="auto" w:before="57"/>
              <w:ind w:left="93" w:right="201"/>
              <w:rPr>
                <w:sz w:val="21"/>
              </w:rPr>
            </w:pPr>
            <w:r>
              <w:rPr>
                <w:spacing w:val="-10"/>
                <w:sz w:val="21"/>
              </w:rPr>
              <w:t>由肠道病毒引起的急性传染病，主要症状表现为手、足、口腔等部位的斑丘疹、</w:t>
            </w:r>
            <w:r>
              <w:rPr>
                <w:spacing w:val="-5"/>
                <w:sz w:val="21"/>
              </w:rPr>
              <w:t>疱疹。经我们认可的医疗机构的儿科专科医生确诊为患有手足口病，并伴有下</w:t>
            </w:r>
            <w:r>
              <w:rPr>
                <w:spacing w:val="-4"/>
                <w:sz w:val="21"/>
              </w:rPr>
              <w:t>列三项中的任意一项并发症：</w:t>
            </w:r>
          </w:p>
          <w:p>
            <w:pPr>
              <w:pStyle w:val="TableParagraph"/>
              <w:spacing w:line="256" w:lineRule="auto" w:before="8"/>
              <w:ind w:left="93" w:right="312"/>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2"/>
              <w:ind w:left="93"/>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0"/>
              <w:ind w:left="93"/>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1621" w:type="dxa"/>
          </w:tcPr>
          <w:p>
            <w:pPr>
              <w:pStyle w:val="TableParagraph"/>
              <w:spacing w:line="360" w:lineRule="exact"/>
              <w:ind w:left="183" w:right="137"/>
              <w:jc w:val="center"/>
              <w:rPr>
                <w:rFonts w:ascii="微软雅黑" w:eastAsia="微软雅黑" w:hint="eastAsia"/>
                <w:b/>
                <w:sz w:val="21"/>
              </w:rPr>
            </w:pPr>
            <w:r>
              <w:rPr>
                <w:rFonts w:ascii="微软雅黑" w:eastAsia="微软雅黑" w:hint="eastAsia"/>
                <w:b/>
                <w:sz w:val="21"/>
              </w:rPr>
              <w:t>骨生长不全症</w:t>
            </w:r>
          </w:p>
        </w:tc>
        <w:tc>
          <w:tcPr>
            <w:tcW w:w="7551" w:type="dxa"/>
          </w:tcPr>
          <w:p>
            <w:pPr>
              <w:pStyle w:val="TableParagraph"/>
              <w:spacing w:line="230" w:lineRule="auto" w:before="71"/>
              <w:ind w:left="93" w:right="307"/>
              <w:jc w:val="both"/>
              <w:rPr>
                <w:sz w:val="21"/>
              </w:rPr>
            </w:pPr>
            <w:r>
              <w:rPr>
                <w:spacing w:val="-3"/>
                <w:sz w:val="21"/>
              </w:rPr>
              <w:t>是一种胶原病，特征为骨易碎，骨质疏松和易骨折。该病有</w:t>
            </w:r>
            <w:r>
              <w:rPr>
                <w:rFonts w:ascii="Times New Roman" w:eastAsia="Times New Roman"/>
                <w:spacing w:val="-3"/>
                <w:sz w:val="21"/>
              </w:rPr>
              <w:t>4</w:t>
            </w:r>
            <w:r>
              <w:rPr>
                <w:spacing w:val="-2"/>
                <w:sz w:val="21"/>
              </w:rPr>
              <w:t>种类型：</w:t>
            </w:r>
            <w:r>
              <w:rPr>
                <w:rFonts w:ascii="Times New Roman" w:eastAsia="Times New Roman"/>
                <w:sz w:val="21"/>
              </w:rPr>
              <w:t>I </w:t>
            </w:r>
            <w:r>
              <w:rPr>
                <w:sz w:val="21"/>
              </w:rPr>
              <w:t>型、</w:t>
            </w:r>
            <w:r>
              <w:rPr>
                <w:rFonts w:ascii="Times New Roman" w:eastAsia="Times New Roman"/>
                <w:spacing w:val="-4"/>
                <w:sz w:val="21"/>
              </w:rPr>
              <w:t>II </w:t>
            </w:r>
            <w:r>
              <w:rPr>
                <w:spacing w:val="-6"/>
                <w:sz w:val="21"/>
              </w:rPr>
              <w:t>型、</w:t>
            </w:r>
            <w:r>
              <w:rPr>
                <w:rFonts w:ascii="Times New Roman" w:eastAsia="Times New Roman"/>
                <w:spacing w:val="-2"/>
                <w:sz w:val="21"/>
              </w:rPr>
              <w:t>III</w:t>
            </w:r>
            <w:r>
              <w:rPr>
                <w:spacing w:val="-5"/>
                <w:sz w:val="21"/>
              </w:rPr>
              <w:t>型、</w:t>
            </w:r>
            <w:r>
              <w:rPr>
                <w:rFonts w:ascii="Times New Roman" w:eastAsia="Times New Roman"/>
                <w:sz w:val="21"/>
              </w:rPr>
              <w:t>IV</w:t>
            </w:r>
            <w:r>
              <w:rPr>
                <w:spacing w:val="-8"/>
                <w:sz w:val="21"/>
              </w:rPr>
              <w:t>型。</w:t>
            </w:r>
            <w:r>
              <w:rPr>
                <w:rFonts w:ascii="微软雅黑" w:eastAsia="微软雅黑" w:hint="eastAsia"/>
                <w:b/>
                <w:sz w:val="21"/>
              </w:rPr>
              <w:t>本合同只保障</w:t>
            </w:r>
            <w:r>
              <w:rPr>
                <w:rFonts w:ascii="Times New Roman" w:eastAsia="Times New Roman"/>
                <w:b/>
                <w:sz w:val="21"/>
              </w:rPr>
              <w:t>III</w:t>
            </w:r>
            <w:r>
              <w:rPr>
                <w:rFonts w:ascii="微软雅黑" w:eastAsia="微软雅黑" w:hint="eastAsia"/>
                <w:b/>
                <w:spacing w:val="-3"/>
                <w:sz w:val="21"/>
              </w:rPr>
              <w:t>型成骨不全的情形，</w:t>
            </w:r>
            <w:r>
              <w:rPr>
                <w:spacing w:val="-5"/>
                <w:sz w:val="21"/>
              </w:rPr>
              <w:t>其主要临床特点有：发</w:t>
            </w:r>
            <w:r>
              <w:rPr>
                <w:spacing w:val="-4"/>
                <w:sz w:val="21"/>
              </w:rPr>
              <w:t>展迟缓、多发性骨折、进行性脊柱后侧凸及听力损害。</w:t>
            </w:r>
            <w:r>
              <w:rPr>
                <w:rFonts w:ascii="Times New Roman" w:eastAsia="Times New Roman"/>
                <w:spacing w:val="-3"/>
                <w:sz w:val="21"/>
              </w:rPr>
              <w:t>III</w:t>
            </w:r>
            <w:r>
              <w:rPr>
                <w:spacing w:val="-3"/>
                <w:sz w:val="21"/>
              </w:rPr>
              <w:t>型成骨不全的诊断必</w:t>
            </w:r>
          </w:p>
          <w:p>
            <w:pPr>
              <w:pStyle w:val="TableParagraph"/>
              <w:spacing w:before="20"/>
              <w:ind w:left="93"/>
              <w:jc w:val="both"/>
              <w:rPr>
                <w:sz w:val="21"/>
              </w:rPr>
            </w:pPr>
            <w:r>
              <w:rPr>
                <w:sz w:val="21"/>
              </w:rPr>
              <w:t>须根据身体检查，家族史，</w:t>
            </w:r>
            <w:r>
              <w:rPr>
                <w:rFonts w:ascii="Times New Roman" w:eastAsia="Times New Roman"/>
                <w:sz w:val="21"/>
              </w:rPr>
              <w:t>X</w:t>
            </w:r>
            <w:r>
              <w:rPr>
                <w:sz w:val="21"/>
              </w:rPr>
              <w:t>线检查和皮肤活检报告资料确诊。</w:t>
            </w:r>
          </w:p>
        </w:tc>
      </w:tr>
      <w:tr>
        <w:trPr>
          <w:trHeight w:val="1795" w:hRule="atLeast"/>
        </w:trPr>
        <w:tc>
          <w:tcPr>
            <w:tcW w:w="1621" w:type="dxa"/>
          </w:tcPr>
          <w:p>
            <w:pPr>
              <w:pStyle w:val="TableParagraph"/>
              <w:spacing w:line="206" w:lineRule="auto" w:before="45"/>
              <w:ind w:left="200" w:right="108"/>
              <w:rPr>
                <w:rFonts w:ascii="微软雅黑" w:eastAsia="微软雅黑" w:hint="eastAsia"/>
                <w:b/>
                <w:sz w:val="21"/>
              </w:rPr>
            </w:pPr>
            <w:r>
              <w:rPr>
                <w:rFonts w:ascii="微软雅黑" w:eastAsia="微软雅黑" w:hint="eastAsia"/>
                <w:b/>
                <w:sz w:val="21"/>
              </w:rPr>
              <w:t>细菌性脑脊髓膜炎</w:t>
            </w:r>
          </w:p>
        </w:tc>
        <w:tc>
          <w:tcPr>
            <w:tcW w:w="7551" w:type="dxa"/>
          </w:tcPr>
          <w:p>
            <w:pPr>
              <w:pStyle w:val="TableParagraph"/>
              <w:spacing w:line="273" w:lineRule="auto" w:before="56"/>
              <w:ind w:left="93" w:right="309"/>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79"/>
              <w:ind w:left="93" w:right="309"/>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r>
        <w:trPr>
          <w:trHeight w:val="1607" w:hRule="atLeast"/>
        </w:trPr>
        <w:tc>
          <w:tcPr>
            <w:tcW w:w="1621" w:type="dxa"/>
          </w:tcPr>
          <w:p>
            <w:pPr>
              <w:pStyle w:val="TableParagraph"/>
              <w:spacing w:line="206" w:lineRule="auto" w:before="56"/>
              <w:ind w:left="200" w:right="91"/>
              <w:rPr>
                <w:rFonts w:ascii="微软雅黑" w:eastAsia="微软雅黑" w:hint="eastAsia"/>
                <w:b/>
                <w:sz w:val="21"/>
              </w:rPr>
            </w:pPr>
            <w:r>
              <w:rPr>
                <w:rFonts w:ascii="Times New Roman" w:eastAsia="Times New Roman"/>
                <w:b/>
                <w:sz w:val="21"/>
              </w:rPr>
              <w:t>III </w:t>
            </w:r>
            <w:r>
              <w:rPr>
                <w:rFonts w:ascii="微软雅黑" w:eastAsia="微软雅黑" w:hint="eastAsia"/>
                <w:b/>
                <w:sz w:val="21"/>
              </w:rPr>
              <w:t>度房室传导阻滞</w:t>
            </w:r>
          </w:p>
        </w:tc>
        <w:tc>
          <w:tcPr>
            <w:tcW w:w="7551" w:type="dxa"/>
          </w:tcPr>
          <w:p>
            <w:pPr>
              <w:pStyle w:val="TableParagraph"/>
              <w:spacing w:line="273" w:lineRule="auto" w:before="68"/>
              <w:ind w:left="93" w:right="518"/>
              <w:rPr>
                <w:sz w:val="21"/>
              </w:rPr>
            </w:pPr>
            <w:r>
              <w:rPr>
                <w:sz w:val="21"/>
              </w:rPr>
              <w:t>指心房激动在房室交界区、房室束及其分支内发生阻滞，不能正常地传到心室的心脏传导性疾病，须满足下列所有条件：</w:t>
            </w:r>
          </w:p>
          <w:p>
            <w:pPr>
              <w:pStyle w:val="TableParagraph"/>
              <w:spacing w:before="8"/>
              <w:ind w:left="93"/>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w:t>
            </w:r>
          </w:p>
          <w:p>
            <w:pPr>
              <w:pStyle w:val="TableParagraph"/>
              <w:spacing w:before="21"/>
              <w:ind w:left="93"/>
              <w:rPr>
                <w:sz w:val="21"/>
              </w:rPr>
            </w:pPr>
            <w:r>
              <w:rPr>
                <w:rFonts w:ascii="Times New Roman" w:eastAsia="Times New Roman"/>
                <w:sz w:val="21"/>
              </w:rPr>
              <w:t>2.</w:t>
            </w:r>
            <w:r>
              <w:rPr>
                <w:sz w:val="21"/>
              </w:rPr>
              <w:t>出现阿-斯综合征或心力衰竭的表现；</w:t>
            </w:r>
          </w:p>
          <w:p>
            <w:pPr>
              <w:pStyle w:val="TableParagraph"/>
              <w:spacing w:line="271" w:lineRule="exact" w:before="21"/>
              <w:ind w:left="93"/>
              <w:rPr>
                <w:sz w:val="21"/>
              </w:rPr>
            </w:pPr>
            <w:r>
              <w:rPr>
                <w:rFonts w:ascii="Times New Roman" w:eastAsia="Times New Roman"/>
                <w:sz w:val="21"/>
              </w:rPr>
              <w:t>3.</w:t>
            </w:r>
            <w:r>
              <w:rPr>
                <w:sz w:val="21"/>
              </w:rPr>
              <w:t>必须持续性依赖心脏起搏器维持心脏正常功能，且已经放置心脏起搏器。</w:t>
            </w:r>
          </w:p>
        </w:tc>
      </w:tr>
    </w:tbl>
    <w:p>
      <w:pPr>
        <w:spacing w:after="0" w:line="271" w:lineRule="exact"/>
        <w:rPr>
          <w:sz w:val="21"/>
        </w:rPr>
        <w:sectPr>
          <w:pgSz w:w="11910" w:h="16840"/>
          <w:pgMar w:header="0" w:footer="915" w:top="1160" w:bottom="1100" w:left="162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628"/>
        <w:gridCol w:w="7356"/>
      </w:tblGrid>
      <w:tr>
        <w:trPr>
          <w:trHeight w:val="960" w:hRule="atLeast"/>
        </w:trPr>
        <w:tc>
          <w:tcPr>
            <w:tcW w:w="682" w:type="dxa"/>
          </w:tcPr>
          <w:p>
            <w:pPr>
              <w:pStyle w:val="TableParagraph"/>
              <w:ind w:left="0"/>
              <w:rPr>
                <w:rFonts w:ascii="Times New Roman"/>
                <w:sz w:val="20"/>
              </w:rPr>
            </w:pPr>
          </w:p>
        </w:tc>
        <w:tc>
          <w:tcPr>
            <w:tcW w:w="1628" w:type="dxa"/>
          </w:tcPr>
          <w:p>
            <w:pPr>
              <w:pStyle w:val="TableParagraph"/>
              <w:spacing w:line="236" w:lineRule="exact"/>
              <w:ind w:left="216"/>
              <w:rPr>
                <w:rFonts w:ascii="微软雅黑" w:eastAsia="微软雅黑" w:hint="eastAsia"/>
                <w:b/>
                <w:sz w:val="21"/>
              </w:rPr>
            </w:pPr>
            <w:r>
              <w:rPr>
                <w:rFonts w:ascii="微软雅黑" w:eastAsia="微软雅黑" w:hint="eastAsia"/>
                <w:b/>
                <w:sz w:val="21"/>
              </w:rPr>
              <w:t>肺源性心脏病</w:t>
            </w:r>
          </w:p>
        </w:tc>
        <w:tc>
          <w:tcPr>
            <w:tcW w:w="7356" w:type="dxa"/>
          </w:tcPr>
          <w:p>
            <w:pPr>
              <w:pStyle w:val="TableParagraph"/>
              <w:spacing w:line="211" w:lineRule="exact"/>
              <w:ind w:left="102"/>
              <w:rPr>
                <w:sz w:val="21"/>
              </w:rPr>
            </w:pPr>
            <w:r>
              <w:rPr>
                <w:sz w:val="21"/>
              </w:rPr>
              <w:t>指被保险人因慢性肺部疾病导致慢性心功能损害造成永久不可逆性的心功能衰</w:t>
            </w:r>
          </w:p>
          <w:p>
            <w:pPr>
              <w:pStyle w:val="TableParagraph"/>
              <w:spacing w:line="256" w:lineRule="auto" w:before="37"/>
              <w:ind w:left="102" w:right="102"/>
              <w:rPr>
                <w:sz w:val="21"/>
              </w:rPr>
            </w:pPr>
            <w:r>
              <w:rPr>
                <w:sz w:val="21"/>
              </w:rPr>
              <w:t>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w:t>
            </w:r>
          </w:p>
        </w:tc>
      </w:tr>
      <w:tr>
        <w:trPr>
          <w:trHeight w:val="1719" w:hRule="atLeast"/>
        </w:trPr>
        <w:tc>
          <w:tcPr>
            <w:tcW w:w="682" w:type="dxa"/>
          </w:tcPr>
          <w:p>
            <w:pPr>
              <w:pStyle w:val="TableParagraph"/>
              <w:ind w:left="0"/>
              <w:rPr>
                <w:rFonts w:ascii="Times New Roman"/>
                <w:sz w:val="20"/>
              </w:rPr>
            </w:pPr>
          </w:p>
        </w:tc>
        <w:tc>
          <w:tcPr>
            <w:tcW w:w="1628" w:type="dxa"/>
          </w:tcPr>
          <w:p>
            <w:pPr>
              <w:pStyle w:val="TableParagraph"/>
              <w:spacing w:line="206" w:lineRule="auto" w:before="56"/>
              <w:ind w:left="216" w:right="99"/>
              <w:rPr>
                <w:rFonts w:ascii="微软雅黑" w:eastAsia="微软雅黑" w:hint="eastAsia"/>
                <w:b/>
                <w:sz w:val="21"/>
              </w:rPr>
            </w:pPr>
            <w:r>
              <w:rPr>
                <w:rFonts w:ascii="微软雅黑" w:eastAsia="微软雅黑" w:hint="eastAsia"/>
                <w:b/>
                <w:sz w:val="21"/>
              </w:rPr>
              <w:t>进行性核上性麻痹</w:t>
            </w:r>
          </w:p>
        </w:tc>
        <w:tc>
          <w:tcPr>
            <w:tcW w:w="7356" w:type="dxa"/>
          </w:tcPr>
          <w:p>
            <w:pPr>
              <w:pStyle w:val="TableParagraph"/>
              <w:spacing w:line="264" w:lineRule="auto" w:before="68"/>
              <w:ind w:left="102" w:right="2"/>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  的神经系统变性疾病,以假球麻痹、垂直性核上性眼肌麻痹、锥体外系肌僵直、步态共济失调和轻度痴呆为主要临床特征。</w:t>
            </w:r>
            <w:r>
              <w:rPr>
                <w:rFonts w:ascii="Times New Roman" w:eastAsia="Times New Roman"/>
                <w:sz w:val="21"/>
              </w:rPr>
              <w:t>PSP</w:t>
            </w:r>
            <w:r>
              <w:rPr>
                <w:spacing w:val="-3"/>
                <w:sz w:val="21"/>
              </w:rPr>
              <w:t>必须由三级甲等医院的神经内 科专科医生确诊，并且被保险人自主生活能力完全丧失，无法独立完成六项基本日常生活活动中的三项或三项以上。</w:t>
            </w:r>
          </w:p>
        </w:tc>
      </w:tr>
      <w:tr>
        <w:trPr>
          <w:trHeight w:val="1100" w:hRule="atLeast"/>
        </w:trPr>
        <w:tc>
          <w:tcPr>
            <w:tcW w:w="682" w:type="dxa"/>
          </w:tcPr>
          <w:p>
            <w:pPr>
              <w:pStyle w:val="TableParagraph"/>
              <w:ind w:left="0"/>
              <w:rPr>
                <w:rFonts w:ascii="Times New Roman"/>
                <w:sz w:val="20"/>
              </w:rPr>
            </w:pPr>
          </w:p>
        </w:tc>
        <w:tc>
          <w:tcPr>
            <w:tcW w:w="1628" w:type="dxa"/>
          </w:tcPr>
          <w:p>
            <w:pPr>
              <w:pStyle w:val="TableParagraph"/>
              <w:spacing w:before="2"/>
              <w:ind w:left="216"/>
              <w:rPr>
                <w:rFonts w:ascii="微软雅黑" w:eastAsia="微软雅黑" w:hint="eastAsia"/>
                <w:b/>
                <w:sz w:val="21"/>
              </w:rPr>
            </w:pPr>
            <w:r>
              <w:rPr>
                <w:rFonts w:ascii="微软雅黑" w:eastAsia="微软雅黑" w:hint="eastAsia"/>
                <w:b/>
                <w:sz w:val="21"/>
              </w:rPr>
              <w:t>严重川崎病</w:t>
            </w:r>
          </w:p>
        </w:tc>
        <w:tc>
          <w:tcPr>
            <w:tcW w:w="7356" w:type="dxa"/>
          </w:tcPr>
          <w:p>
            <w:pPr>
              <w:pStyle w:val="TableParagraph"/>
              <w:spacing w:before="64"/>
              <w:ind w:left="102"/>
              <w:rPr>
                <w:sz w:val="21"/>
              </w:rPr>
            </w:pPr>
            <w:r>
              <w:rPr>
                <w:sz w:val="21"/>
              </w:rPr>
              <w:t>是指原因不明的系统性血管炎,并须满足下列全部条件:</w:t>
            </w:r>
          </w:p>
          <w:p>
            <w:pPr>
              <w:pStyle w:val="TableParagraph"/>
              <w:spacing w:before="36"/>
              <w:ind w:left="102"/>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102"/>
              <w:rPr>
                <w:sz w:val="21"/>
              </w:rPr>
            </w:pPr>
            <w:r>
              <w:rPr>
                <w:rFonts w:ascii="Times New Roman" w:eastAsia="Times New Roman"/>
                <w:sz w:val="21"/>
              </w:rPr>
              <w:t>2.</w:t>
            </w:r>
            <w:r>
              <w:rPr>
                <w:sz w:val="21"/>
              </w:rPr>
              <w:t>已接受了针对川崎病并发冠状动脉瘤或其他心血管异常所进行的手术治疗。</w:t>
            </w:r>
          </w:p>
        </w:tc>
      </w:tr>
      <w:tr>
        <w:trPr>
          <w:trHeight w:val="1192" w:hRule="atLeast"/>
        </w:trPr>
        <w:tc>
          <w:tcPr>
            <w:tcW w:w="682" w:type="dxa"/>
          </w:tcPr>
          <w:p>
            <w:pPr>
              <w:pStyle w:val="TableParagraph"/>
              <w:ind w:left="0"/>
              <w:rPr>
                <w:rFonts w:ascii="Times New Roman"/>
                <w:sz w:val="20"/>
              </w:rPr>
            </w:pPr>
          </w:p>
        </w:tc>
        <w:tc>
          <w:tcPr>
            <w:tcW w:w="1628" w:type="dxa"/>
          </w:tcPr>
          <w:p>
            <w:pPr>
              <w:pStyle w:val="TableParagraph"/>
              <w:spacing w:line="357" w:lineRule="exact"/>
              <w:ind w:left="216"/>
              <w:rPr>
                <w:rFonts w:ascii="微软雅黑" w:eastAsia="微软雅黑" w:hint="eastAsia"/>
                <w:b/>
                <w:sz w:val="21"/>
              </w:rPr>
            </w:pPr>
            <w:r>
              <w:rPr>
                <w:rFonts w:ascii="微软雅黑" w:eastAsia="微软雅黑" w:hint="eastAsia"/>
                <w:b/>
                <w:sz w:val="21"/>
              </w:rPr>
              <w:t>斯蒂尔病</w:t>
            </w:r>
          </w:p>
        </w:tc>
        <w:tc>
          <w:tcPr>
            <w:tcW w:w="7356" w:type="dxa"/>
          </w:tcPr>
          <w:p>
            <w:pPr>
              <w:pStyle w:val="TableParagraph"/>
              <w:spacing w:before="57"/>
              <w:ind w:left="102"/>
              <w:rPr>
                <w:sz w:val="21"/>
              </w:rPr>
            </w:pPr>
            <w:r>
              <w:rPr>
                <w:sz w:val="21"/>
              </w:rPr>
              <w:t>斯蒂尔病须满足下列全部条件：</w:t>
            </w:r>
          </w:p>
          <w:p>
            <w:pPr>
              <w:pStyle w:val="TableParagraph"/>
              <w:spacing w:before="37"/>
              <w:ind w:left="102"/>
              <w:rPr>
                <w:sz w:val="21"/>
              </w:rPr>
            </w:pPr>
            <w:r>
              <w:rPr>
                <w:rFonts w:ascii="Times New Roman" w:eastAsia="Times New Roman"/>
                <w:sz w:val="21"/>
              </w:rPr>
              <w:t>1.</w:t>
            </w:r>
            <w:r>
              <w:rPr>
                <w:sz w:val="21"/>
              </w:rPr>
              <w:t>因该病引致广泛性关节破坏，以致需要进行髋及膝关节置换；</w:t>
            </w:r>
          </w:p>
          <w:p>
            <w:pPr>
              <w:pStyle w:val="TableParagraph"/>
              <w:spacing w:before="21"/>
              <w:ind w:left="102"/>
              <w:rPr>
                <w:sz w:val="21"/>
              </w:rPr>
            </w:pPr>
            <w:r>
              <w:rPr>
                <w:rFonts w:ascii="Times New Roman" w:eastAsia="Times New Roman"/>
                <w:sz w:val="21"/>
              </w:rPr>
              <w:t>2.</w:t>
            </w:r>
            <w:r>
              <w:rPr>
                <w:sz w:val="21"/>
              </w:rPr>
              <w:t>由风湿病专科医生确定诊断。</w:t>
            </w:r>
          </w:p>
        </w:tc>
      </w:tr>
      <w:tr>
        <w:trPr>
          <w:trHeight w:val="707" w:hRule="atLeast"/>
        </w:trPr>
        <w:tc>
          <w:tcPr>
            <w:tcW w:w="682" w:type="dxa"/>
            <w:tcBorders>
              <w:bottom w:val="single" w:sz="8" w:space="0" w:color="000000"/>
            </w:tcBorders>
          </w:tcPr>
          <w:p>
            <w:pPr>
              <w:pStyle w:val="TableParagraph"/>
              <w:spacing w:before="210"/>
              <w:ind w:left="107"/>
              <w:rPr>
                <w:rFonts w:ascii="Times New Roman"/>
                <w:b/>
                <w:sz w:val="24"/>
              </w:rPr>
            </w:pPr>
            <w:r>
              <w:rPr>
                <w:rFonts w:ascii="Times New Roman"/>
                <w:b/>
                <w:sz w:val="24"/>
              </w:rPr>
              <w:t>11.</w:t>
            </w:r>
          </w:p>
        </w:tc>
        <w:tc>
          <w:tcPr>
            <w:tcW w:w="1628" w:type="dxa"/>
            <w:tcBorders>
              <w:bottom w:val="single" w:sz="8" w:space="0" w:color="000000"/>
            </w:tcBorders>
          </w:tcPr>
          <w:p>
            <w:pPr>
              <w:pStyle w:val="TableParagraph"/>
              <w:spacing w:before="78"/>
              <w:ind w:left="216"/>
              <w:rPr>
                <w:rFonts w:ascii="微软雅黑" w:eastAsia="微软雅黑" w:hint="eastAsia"/>
                <w:b/>
                <w:sz w:val="24"/>
              </w:rPr>
            </w:pPr>
            <w:r>
              <w:rPr>
                <w:rFonts w:ascii="微软雅黑" w:eastAsia="微软雅黑" w:hint="eastAsia"/>
                <w:b/>
                <w:sz w:val="24"/>
              </w:rPr>
              <w:t>释义</w:t>
            </w:r>
          </w:p>
        </w:tc>
        <w:tc>
          <w:tcPr>
            <w:tcW w:w="7356" w:type="dxa"/>
            <w:tcBorders>
              <w:bottom w:val="single" w:sz="8" w:space="0" w:color="000000"/>
            </w:tcBorders>
          </w:tcPr>
          <w:p>
            <w:pPr>
              <w:pStyle w:val="TableParagraph"/>
              <w:ind w:left="0"/>
              <w:rPr>
                <w:rFonts w:ascii="Times New Roman"/>
                <w:sz w:val="20"/>
              </w:rPr>
            </w:pPr>
          </w:p>
        </w:tc>
      </w:tr>
      <w:tr>
        <w:trPr>
          <w:trHeight w:val="1245" w:hRule="atLeast"/>
        </w:trPr>
        <w:tc>
          <w:tcPr>
            <w:tcW w:w="682" w:type="dxa"/>
            <w:tcBorders>
              <w:top w:val="single" w:sz="8" w:space="0" w:color="000000"/>
            </w:tcBorders>
          </w:tcPr>
          <w:p>
            <w:pPr>
              <w:pStyle w:val="TableParagraph"/>
              <w:spacing w:before="185"/>
              <w:ind w:left="107"/>
              <w:rPr>
                <w:rFonts w:ascii="Times New Roman"/>
                <w:b/>
                <w:sz w:val="21"/>
              </w:rPr>
            </w:pPr>
            <w:r>
              <w:rPr>
                <w:rFonts w:ascii="Times New Roman"/>
                <w:b/>
                <w:sz w:val="21"/>
              </w:rPr>
              <w:t>11.1</w:t>
            </w:r>
          </w:p>
        </w:tc>
        <w:tc>
          <w:tcPr>
            <w:tcW w:w="1628" w:type="dxa"/>
            <w:tcBorders>
              <w:top w:val="single" w:sz="8" w:space="0" w:color="000000"/>
            </w:tcBorders>
          </w:tcPr>
          <w:p>
            <w:pPr>
              <w:pStyle w:val="TableParagraph"/>
              <w:spacing w:before="73"/>
              <w:ind w:left="216"/>
              <w:rPr>
                <w:rFonts w:ascii="微软雅黑" w:eastAsia="微软雅黑" w:hint="eastAsia"/>
                <w:b/>
                <w:sz w:val="21"/>
              </w:rPr>
            </w:pPr>
            <w:r>
              <w:rPr>
                <w:rFonts w:ascii="微软雅黑" w:eastAsia="微软雅黑" w:hint="eastAsia"/>
                <w:b/>
                <w:sz w:val="21"/>
              </w:rPr>
              <w:t>书面</w:t>
            </w:r>
          </w:p>
        </w:tc>
        <w:tc>
          <w:tcPr>
            <w:tcW w:w="7356" w:type="dxa"/>
            <w:tcBorders>
              <w:top w:val="single" w:sz="8" w:space="0" w:color="000000"/>
            </w:tcBorders>
          </w:tcPr>
          <w:p>
            <w:pPr>
              <w:pStyle w:val="TableParagraph"/>
              <w:spacing w:line="273" w:lineRule="auto" w:before="136"/>
              <w:ind w:left="102" w:right="105"/>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w:t>
            </w:r>
          </w:p>
        </w:tc>
      </w:tr>
      <w:tr>
        <w:trPr>
          <w:trHeight w:val="950"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11.2</w:t>
            </w:r>
          </w:p>
        </w:tc>
        <w:tc>
          <w:tcPr>
            <w:tcW w:w="1628" w:type="dxa"/>
          </w:tcPr>
          <w:p>
            <w:pPr>
              <w:pStyle w:val="TableParagraph"/>
              <w:spacing w:before="91"/>
              <w:ind w:left="216"/>
              <w:rPr>
                <w:rFonts w:ascii="微软雅黑" w:eastAsia="微软雅黑" w:hint="eastAsia"/>
                <w:b/>
                <w:sz w:val="21"/>
              </w:rPr>
            </w:pPr>
            <w:r>
              <w:rPr>
                <w:rFonts w:ascii="微软雅黑" w:eastAsia="微软雅黑" w:hint="eastAsia"/>
                <w:b/>
                <w:sz w:val="21"/>
              </w:rPr>
              <w:t>意外伤害</w:t>
            </w:r>
          </w:p>
        </w:tc>
        <w:tc>
          <w:tcPr>
            <w:tcW w:w="7356" w:type="dxa"/>
          </w:tcPr>
          <w:p>
            <w:pPr>
              <w:pStyle w:val="TableParagraph"/>
              <w:spacing w:line="273" w:lineRule="auto" w:before="153"/>
              <w:ind w:left="102" w:right="105"/>
              <w:rPr>
                <w:sz w:val="21"/>
              </w:rPr>
            </w:pPr>
            <w:r>
              <w:rPr>
                <w:sz w:val="21"/>
              </w:rPr>
              <w:t>指遭受外来的、突发的、非本意的、非由疾病引起的使身体受到伤害的客观事件。</w:t>
            </w:r>
          </w:p>
        </w:tc>
      </w:tr>
      <w:tr>
        <w:trPr>
          <w:trHeight w:val="2511"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11.3</w:t>
            </w:r>
          </w:p>
        </w:tc>
        <w:tc>
          <w:tcPr>
            <w:tcW w:w="1628" w:type="dxa"/>
          </w:tcPr>
          <w:p>
            <w:pPr>
              <w:pStyle w:val="TableParagraph"/>
              <w:spacing w:before="90"/>
              <w:ind w:left="216"/>
              <w:rPr>
                <w:rFonts w:ascii="微软雅黑" w:eastAsia="微软雅黑" w:hint="eastAsia"/>
                <w:b/>
                <w:sz w:val="21"/>
              </w:rPr>
            </w:pPr>
            <w:r>
              <w:rPr>
                <w:rFonts w:ascii="微软雅黑" w:eastAsia="微软雅黑" w:hint="eastAsia"/>
                <w:b/>
                <w:sz w:val="21"/>
              </w:rPr>
              <w:t>医院</w:t>
            </w:r>
          </w:p>
        </w:tc>
        <w:tc>
          <w:tcPr>
            <w:tcW w:w="7356" w:type="dxa"/>
          </w:tcPr>
          <w:p>
            <w:pPr>
              <w:pStyle w:val="TableParagraph"/>
              <w:spacing w:line="268" w:lineRule="auto" w:before="153"/>
              <w:ind w:left="102" w:right="103"/>
              <w:jc w:val="both"/>
              <w:rPr>
                <w:sz w:val="21"/>
              </w:rPr>
            </w:pPr>
            <w:r>
              <w:rPr>
                <w:spacing w:val="-3"/>
                <w:sz w:val="21"/>
              </w:rPr>
              <w:t>本合同所称医院指我们指定医院或经中华人民共和国卫生部门评审确定的二级或以上之社保定点医院，</w:t>
            </w:r>
            <w:r>
              <w:rPr>
                <w:spacing w:val="-3"/>
                <w:sz w:val="21"/>
                <w:shd w:fill="C0C0C0" w:color="auto" w:val="clear"/>
              </w:rPr>
              <w:t>但不包括精神病院及专供康复、护理、疗养、戒酒、戒毒、养老等非以直接诊治病人为目的之医疗机构。</w:t>
            </w:r>
            <w:r>
              <w:rPr>
                <w:spacing w:val="-3"/>
                <w:sz w:val="21"/>
              </w:rPr>
              <w:t>该医院必须具有符合国家</w:t>
            </w:r>
            <w:r>
              <w:rPr>
                <w:spacing w:val="-11"/>
                <w:sz w:val="21"/>
              </w:rPr>
              <w:t>有关医院管理规则设置标准的医疗设备，且全天 </w:t>
            </w:r>
            <w:r>
              <w:rPr>
                <w:rFonts w:ascii="Times New Roman" w:eastAsia="Times New Roman"/>
                <w:sz w:val="21"/>
              </w:rPr>
              <w:t>24 </w:t>
            </w:r>
            <w:r>
              <w:rPr>
                <w:spacing w:val="-3"/>
                <w:sz w:val="21"/>
              </w:rPr>
              <w:t>小时有合格的医生和护士驻院提供医疗和护理服务。当被保险人因遭受意外伤害事故须急救时不受此限， 但经急救处理伤情稳定后，必须转入本合同所指医院治疗</w:t>
            </w:r>
            <w:r>
              <w:rPr>
                <w:sz w:val="21"/>
                <w:shd w:fill="C0C0C0" w:color="auto" w:val="clear"/>
              </w:rPr>
              <w:t>（</w:t>
            </w:r>
            <w:r>
              <w:rPr>
                <w:spacing w:val="-3"/>
                <w:sz w:val="21"/>
                <w:shd w:fill="C0C0C0" w:color="auto" w:val="clear"/>
              </w:rPr>
              <w:t>急救情况不适用于私人诊所</w:t>
            </w:r>
            <w:r>
              <w:rPr>
                <w:spacing w:val="-108"/>
                <w:sz w:val="21"/>
                <w:shd w:fill="C0C0C0" w:color="auto" w:val="clear"/>
              </w:rPr>
              <w:t>）</w:t>
            </w:r>
            <w:r>
              <w:rPr>
                <w:sz w:val="21"/>
              </w:rPr>
              <w:t>。</w:t>
            </w:r>
          </w:p>
        </w:tc>
      </w:tr>
      <w:tr>
        <w:trPr>
          <w:trHeight w:val="950"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11.4</w:t>
            </w:r>
          </w:p>
        </w:tc>
        <w:tc>
          <w:tcPr>
            <w:tcW w:w="1628" w:type="dxa"/>
          </w:tcPr>
          <w:p>
            <w:pPr>
              <w:pStyle w:val="TableParagraph"/>
              <w:spacing w:before="90"/>
              <w:ind w:left="216"/>
              <w:rPr>
                <w:rFonts w:ascii="微软雅黑" w:eastAsia="微软雅黑" w:hint="eastAsia"/>
                <w:b/>
                <w:sz w:val="21"/>
              </w:rPr>
            </w:pPr>
            <w:r>
              <w:rPr>
                <w:rFonts w:ascii="微软雅黑" w:eastAsia="微软雅黑" w:hint="eastAsia"/>
                <w:b/>
                <w:sz w:val="21"/>
              </w:rPr>
              <w:t>周岁</w:t>
            </w:r>
          </w:p>
        </w:tc>
        <w:tc>
          <w:tcPr>
            <w:tcW w:w="7356" w:type="dxa"/>
          </w:tcPr>
          <w:p>
            <w:pPr>
              <w:pStyle w:val="TableParagraph"/>
              <w:spacing w:before="153"/>
              <w:ind w:left="102"/>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102"/>
              <w:rPr>
                <w:sz w:val="21"/>
              </w:rPr>
            </w:pPr>
            <w:r>
              <w:rPr>
                <w:spacing w:val="-1"/>
                <w:sz w:val="21"/>
              </w:rPr>
              <w:t>年不计</w:t>
            </w:r>
            <w:r>
              <w:rPr>
                <w:spacing w:val="-106"/>
                <w:sz w:val="21"/>
              </w:rPr>
              <w:t>）</w:t>
            </w:r>
            <w:r>
              <w:rPr>
                <w:sz w:val="21"/>
              </w:rPr>
              <w:t>。</w:t>
            </w:r>
          </w:p>
        </w:tc>
      </w:tr>
      <w:tr>
        <w:trPr>
          <w:trHeight w:val="1574"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11.5</w:t>
            </w:r>
          </w:p>
        </w:tc>
        <w:tc>
          <w:tcPr>
            <w:tcW w:w="1628" w:type="dxa"/>
          </w:tcPr>
          <w:p>
            <w:pPr>
              <w:pStyle w:val="TableParagraph"/>
              <w:spacing w:before="90"/>
              <w:ind w:left="216"/>
              <w:rPr>
                <w:rFonts w:ascii="微软雅黑" w:eastAsia="微软雅黑" w:hint="eastAsia"/>
                <w:b/>
                <w:sz w:val="21"/>
              </w:rPr>
            </w:pPr>
            <w:r>
              <w:rPr>
                <w:rFonts w:ascii="微软雅黑" w:eastAsia="微软雅黑" w:hint="eastAsia"/>
                <w:b/>
                <w:sz w:val="21"/>
              </w:rPr>
              <w:t>毒品</w:t>
            </w:r>
          </w:p>
        </w:tc>
        <w:tc>
          <w:tcPr>
            <w:tcW w:w="7356" w:type="dxa"/>
          </w:tcPr>
          <w:p>
            <w:pPr>
              <w:pStyle w:val="TableParagraph"/>
              <w:spacing w:line="273" w:lineRule="auto" w:before="153"/>
              <w:ind w:left="102" w:right="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52"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11.6</w:t>
            </w:r>
          </w:p>
        </w:tc>
        <w:tc>
          <w:tcPr>
            <w:tcW w:w="1628" w:type="dxa"/>
          </w:tcPr>
          <w:p>
            <w:pPr>
              <w:pStyle w:val="TableParagraph"/>
              <w:spacing w:before="90"/>
              <w:ind w:left="216"/>
              <w:rPr>
                <w:rFonts w:ascii="微软雅黑" w:eastAsia="微软雅黑" w:hint="eastAsia"/>
                <w:b/>
                <w:sz w:val="21"/>
              </w:rPr>
            </w:pPr>
            <w:r>
              <w:rPr>
                <w:rFonts w:ascii="微软雅黑" w:eastAsia="微软雅黑" w:hint="eastAsia"/>
                <w:b/>
                <w:sz w:val="21"/>
              </w:rPr>
              <w:t>酒后驾驶</w:t>
            </w:r>
          </w:p>
        </w:tc>
        <w:tc>
          <w:tcPr>
            <w:tcW w:w="7356" w:type="dxa"/>
          </w:tcPr>
          <w:p>
            <w:pPr>
              <w:pStyle w:val="TableParagraph"/>
              <w:spacing w:before="153"/>
              <w:ind w:left="102"/>
              <w:rPr>
                <w:sz w:val="21"/>
              </w:rPr>
            </w:pPr>
            <w:r>
              <w:rPr>
                <w:sz w:val="21"/>
              </w:rPr>
              <w:t>指经检测或鉴定，发生事故时车辆驾驶人员每百毫升血液中的酒精含量达到或</w:t>
            </w:r>
          </w:p>
          <w:p>
            <w:pPr>
              <w:pStyle w:val="TableParagraph"/>
              <w:spacing w:line="310" w:lineRule="atLeast" w:before="2"/>
              <w:ind w:left="102" w:right="105"/>
              <w:rPr>
                <w:sz w:val="21"/>
              </w:rPr>
            </w:pPr>
            <w:r>
              <w:rPr>
                <w:sz w:val="21"/>
              </w:rPr>
              <w:t>超过一定的标准，公安机关交通管理部门依据《中华人民共和国道路交通安全法》的规定认定为饮酒后驾驶或醉酒后驾驶。</w:t>
            </w:r>
          </w:p>
        </w:tc>
      </w:tr>
    </w:tbl>
    <w:p>
      <w:pPr>
        <w:spacing w:after="0" w:line="310" w:lineRule="atLeast"/>
        <w:rPr>
          <w:sz w:val="21"/>
        </w:rPr>
        <w:sectPr>
          <w:pgSz w:w="11910" w:h="16840"/>
          <w:pgMar w:header="0" w:footer="915" w:top="116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554"/>
        <w:gridCol w:w="7578"/>
      </w:tblGrid>
      <w:tr>
        <w:trPr>
          <w:trHeight w:val="1988" w:hRule="atLeast"/>
        </w:trPr>
        <w:tc>
          <w:tcPr>
            <w:tcW w:w="827" w:type="dxa"/>
          </w:tcPr>
          <w:p>
            <w:pPr>
              <w:pStyle w:val="TableParagraph"/>
              <w:spacing w:line="234" w:lineRule="exact"/>
              <w:ind w:left="200"/>
              <w:rPr>
                <w:rFonts w:ascii="Times New Roman"/>
                <w:b/>
                <w:sz w:val="21"/>
              </w:rPr>
            </w:pPr>
            <w:r>
              <w:rPr>
                <w:rFonts w:ascii="Times New Roman"/>
                <w:b/>
                <w:sz w:val="21"/>
              </w:rPr>
              <w:t>11.7</w:t>
            </w:r>
          </w:p>
        </w:tc>
        <w:tc>
          <w:tcPr>
            <w:tcW w:w="1554" w:type="dxa"/>
          </w:tcPr>
          <w:p>
            <w:pPr>
              <w:pStyle w:val="TableParagraph"/>
              <w:spacing w:line="218" w:lineRule="exact"/>
              <w:ind w:left="163"/>
              <w:rPr>
                <w:rFonts w:ascii="微软雅黑" w:eastAsia="微软雅黑" w:hint="eastAsia"/>
                <w:b/>
                <w:sz w:val="21"/>
              </w:rPr>
            </w:pPr>
            <w:r>
              <w:rPr>
                <w:rFonts w:ascii="微软雅黑" w:eastAsia="微软雅黑" w:hint="eastAsia"/>
                <w:b/>
                <w:sz w:val="21"/>
              </w:rPr>
              <w:t>无合法有效驾</w:t>
            </w:r>
          </w:p>
          <w:p>
            <w:pPr>
              <w:pStyle w:val="TableParagraph"/>
              <w:spacing w:line="338" w:lineRule="exact"/>
              <w:ind w:left="163"/>
              <w:rPr>
                <w:rFonts w:ascii="微软雅黑" w:eastAsia="微软雅黑" w:hint="eastAsia"/>
                <w:b/>
                <w:sz w:val="21"/>
              </w:rPr>
            </w:pPr>
            <w:r>
              <w:rPr>
                <w:rFonts w:ascii="微软雅黑" w:eastAsia="微软雅黑" w:hint="eastAsia"/>
                <w:b/>
                <w:sz w:val="21"/>
              </w:rPr>
              <w:t>驶证驾驶</w:t>
            </w:r>
          </w:p>
        </w:tc>
        <w:tc>
          <w:tcPr>
            <w:tcW w:w="7578" w:type="dxa"/>
          </w:tcPr>
          <w:p>
            <w:pPr>
              <w:pStyle w:val="TableParagraph"/>
              <w:spacing w:line="218" w:lineRule="exact"/>
              <w:rPr>
                <w:sz w:val="21"/>
              </w:rPr>
            </w:pPr>
            <w:r>
              <w:rPr>
                <w:sz w:val="21"/>
              </w:rPr>
              <w:t>指下列情形之一：</w:t>
            </w:r>
          </w:p>
          <w:p>
            <w:pPr>
              <w:pStyle w:val="TableParagraph"/>
              <w:spacing w:before="37"/>
              <w:rPr>
                <w:sz w:val="21"/>
              </w:rPr>
            </w:pPr>
            <w:r>
              <w:rPr>
                <w:rFonts w:ascii="Times New Roman" w:eastAsia="Times New Roman"/>
                <w:sz w:val="21"/>
              </w:rPr>
              <w:t>1.</w:t>
            </w:r>
            <w:r>
              <w:rPr>
                <w:sz w:val="21"/>
              </w:rPr>
              <w:t>没有取得驾驶资格；</w:t>
            </w:r>
          </w:p>
          <w:p>
            <w:pPr>
              <w:pStyle w:val="TableParagraph"/>
              <w:spacing w:before="20"/>
              <w:rPr>
                <w:sz w:val="21"/>
              </w:rPr>
            </w:pPr>
            <w:r>
              <w:rPr>
                <w:rFonts w:ascii="Times New Roman" w:eastAsia="Times New Roman"/>
                <w:sz w:val="21"/>
              </w:rPr>
              <w:t>2.</w:t>
            </w:r>
            <w:r>
              <w:rPr>
                <w:sz w:val="21"/>
              </w:rPr>
              <w:t>驾驶与驾驶证准驾车型不相符合的车辆；</w:t>
            </w:r>
          </w:p>
          <w:p>
            <w:pPr>
              <w:pStyle w:val="TableParagraph"/>
              <w:spacing w:before="20"/>
              <w:rPr>
                <w:sz w:val="21"/>
              </w:rPr>
            </w:pPr>
            <w:r>
              <w:rPr>
                <w:rFonts w:ascii="Times New Roman" w:eastAsia="Times New Roman"/>
                <w:sz w:val="21"/>
              </w:rPr>
              <w:t>3.</w:t>
            </w:r>
            <w:r>
              <w:rPr>
                <w:sz w:val="21"/>
              </w:rPr>
              <w:t>持审验不合格的驾驶证驾驶；</w:t>
            </w:r>
          </w:p>
          <w:p>
            <w:pPr>
              <w:pStyle w:val="TableParagraph"/>
              <w:spacing w:line="256" w:lineRule="auto" w:before="20"/>
              <w:ind w:right="359"/>
              <w:rPr>
                <w:sz w:val="21"/>
              </w:rPr>
            </w:pPr>
            <w:r>
              <w:rPr>
                <w:rFonts w:ascii="Times New Roman" w:eastAsia="Times New Roman"/>
                <w:sz w:val="21"/>
              </w:rPr>
              <w:t>4.</w:t>
            </w:r>
            <w:r>
              <w:rPr>
                <w:sz w:val="21"/>
              </w:rPr>
              <w:t>持学习驾驶证学习驾车时，无教练员随车指导，或不按指定时间、路线学习驾车。</w:t>
            </w:r>
          </w:p>
        </w:tc>
      </w:tr>
      <w:tr>
        <w:trPr>
          <w:trHeight w:val="127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11.8</w:t>
            </w:r>
          </w:p>
        </w:tc>
        <w:tc>
          <w:tcPr>
            <w:tcW w:w="1554" w:type="dxa"/>
          </w:tcPr>
          <w:p>
            <w:pPr>
              <w:pStyle w:val="TableParagraph"/>
              <w:spacing w:before="90"/>
              <w:ind w:left="163"/>
              <w:rPr>
                <w:rFonts w:ascii="微软雅黑" w:eastAsia="微软雅黑" w:hint="eastAsia"/>
                <w:b/>
                <w:sz w:val="21"/>
              </w:rPr>
            </w:pPr>
            <w:r>
              <w:rPr>
                <w:rFonts w:ascii="微软雅黑" w:eastAsia="微软雅黑" w:hint="eastAsia"/>
                <w:b/>
                <w:sz w:val="21"/>
              </w:rPr>
              <w:t>无有效行驶证</w:t>
            </w:r>
          </w:p>
        </w:tc>
        <w:tc>
          <w:tcPr>
            <w:tcW w:w="7578" w:type="dxa"/>
          </w:tcPr>
          <w:p>
            <w:pPr>
              <w:pStyle w:val="TableParagraph"/>
              <w:spacing w:before="153"/>
              <w:rPr>
                <w:sz w:val="21"/>
              </w:rPr>
            </w:pPr>
            <w:r>
              <w:rPr>
                <w:sz w:val="21"/>
              </w:rPr>
              <w:t>指下列情形之一：</w:t>
            </w:r>
          </w:p>
          <w:p>
            <w:pPr>
              <w:pStyle w:val="TableParagraph"/>
              <w:spacing w:before="37"/>
              <w:rPr>
                <w:sz w:val="21"/>
              </w:rPr>
            </w:pPr>
            <w:r>
              <w:rPr>
                <w:rFonts w:ascii="Times New Roman" w:eastAsia="Times New Roman"/>
                <w:sz w:val="21"/>
              </w:rPr>
              <w:t>1.</w:t>
            </w:r>
            <w:r>
              <w:rPr>
                <w:sz w:val="21"/>
              </w:rPr>
              <w:t>机动车被依法注销登记的；</w:t>
            </w:r>
          </w:p>
          <w:p>
            <w:pPr>
              <w:pStyle w:val="TableParagraph"/>
              <w:spacing w:before="21"/>
              <w:rPr>
                <w:sz w:val="21"/>
              </w:rPr>
            </w:pPr>
            <w:r>
              <w:rPr>
                <w:rFonts w:ascii="Times New Roman" w:eastAsia="Times New Roman"/>
                <w:sz w:val="21"/>
              </w:rPr>
              <w:t>2.</w:t>
            </w:r>
            <w:r>
              <w:rPr>
                <w:sz w:val="21"/>
              </w:rPr>
              <w:t>未依法按时进行或通过机动车安全技术检验。</w:t>
            </w:r>
          </w:p>
        </w:tc>
      </w:tr>
      <w:tr>
        <w:trPr>
          <w:trHeight w:val="942" w:hRule="atLeast"/>
        </w:trPr>
        <w:tc>
          <w:tcPr>
            <w:tcW w:w="827" w:type="dxa"/>
          </w:tcPr>
          <w:p>
            <w:pPr>
              <w:pStyle w:val="TableParagraph"/>
              <w:spacing w:before="194"/>
              <w:ind w:left="200"/>
              <w:rPr>
                <w:rFonts w:ascii="Times New Roman"/>
                <w:b/>
                <w:sz w:val="21"/>
              </w:rPr>
            </w:pPr>
            <w:r>
              <w:rPr>
                <w:rFonts w:ascii="Times New Roman"/>
                <w:b/>
                <w:sz w:val="21"/>
              </w:rPr>
              <w:t>11.9</w:t>
            </w:r>
          </w:p>
        </w:tc>
        <w:tc>
          <w:tcPr>
            <w:tcW w:w="1554" w:type="dxa"/>
          </w:tcPr>
          <w:p>
            <w:pPr>
              <w:pStyle w:val="TableParagraph"/>
              <w:spacing w:before="83"/>
              <w:ind w:left="163"/>
              <w:rPr>
                <w:rFonts w:ascii="微软雅黑" w:eastAsia="微软雅黑" w:hint="eastAsia"/>
                <w:b/>
                <w:sz w:val="21"/>
              </w:rPr>
            </w:pPr>
            <w:r>
              <w:rPr>
                <w:rFonts w:ascii="微软雅黑" w:eastAsia="微软雅黑" w:hint="eastAsia"/>
                <w:b/>
                <w:sz w:val="21"/>
              </w:rPr>
              <w:t>机动车</w:t>
            </w:r>
          </w:p>
        </w:tc>
        <w:tc>
          <w:tcPr>
            <w:tcW w:w="7578" w:type="dxa"/>
          </w:tcPr>
          <w:p>
            <w:pPr>
              <w:pStyle w:val="TableParagraph"/>
              <w:spacing w:line="273" w:lineRule="auto" w:before="145"/>
              <w:ind w:right="306"/>
              <w:rPr>
                <w:sz w:val="21"/>
              </w:rPr>
            </w:pPr>
            <w:r>
              <w:rPr>
                <w:sz w:val="21"/>
              </w:rPr>
              <w:t>指以动力装置驱动或者牵引，上道路行驶的供人员乘用或者用于运送物品以及进行工程专项作业的轮式车辆。</w:t>
            </w:r>
          </w:p>
        </w:tc>
      </w:tr>
      <w:tr>
        <w:trPr>
          <w:trHeight w:val="198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11.10</w:t>
            </w:r>
          </w:p>
        </w:tc>
        <w:tc>
          <w:tcPr>
            <w:tcW w:w="1554" w:type="dxa"/>
          </w:tcPr>
          <w:p>
            <w:pPr>
              <w:pStyle w:val="TableParagraph"/>
              <w:spacing w:line="206" w:lineRule="auto" w:before="141"/>
              <w:ind w:left="163" w:right="121"/>
              <w:rPr>
                <w:rFonts w:ascii="微软雅黑" w:eastAsia="微软雅黑" w:hint="eastAsia"/>
                <w:b/>
                <w:sz w:val="21"/>
              </w:rPr>
            </w:pPr>
            <w:r>
              <w:rPr>
                <w:rFonts w:ascii="微软雅黑" w:eastAsia="微软雅黑" w:hint="eastAsia"/>
                <w:b/>
                <w:sz w:val="21"/>
              </w:rPr>
              <w:t>感染艾滋病病毒或患艾滋病</w:t>
            </w:r>
          </w:p>
        </w:tc>
        <w:tc>
          <w:tcPr>
            <w:tcW w:w="7578" w:type="dxa"/>
          </w:tcPr>
          <w:p>
            <w:pPr>
              <w:pStyle w:val="TableParagraph"/>
              <w:spacing w:line="256" w:lineRule="auto" w:before="153"/>
              <w:ind w:right="303"/>
              <w:jc w:val="both"/>
              <w:rPr>
                <w:sz w:val="21"/>
              </w:rPr>
            </w:pPr>
            <w:r>
              <w:rPr>
                <w:spacing w:val="-5"/>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273" w:lineRule="auto" w:before="98"/>
              <w:ind w:right="30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49"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11.11</w:t>
            </w:r>
          </w:p>
        </w:tc>
        <w:tc>
          <w:tcPr>
            <w:tcW w:w="1554" w:type="dxa"/>
          </w:tcPr>
          <w:p>
            <w:pPr>
              <w:pStyle w:val="TableParagraph"/>
              <w:spacing w:before="90"/>
              <w:ind w:left="163"/>
              <w:rPr>
                <w:rFonts w:ascii="微软雅黑" w:eastAsia="微软雅黑" w:hint="eastAsia"/>
                <w:b/>
                <w:sz w:val="21"/>
              </w:rPr>
            </w:pPr>
            <w:r>
              <w:rPr>
                <w:rFonts w:ascii="微软雅黑" w:eastAsia="微软雅黑" w:hint="eastAsia"/>
                <w:b/>
                <w:sz w:val="21"/>
              </w:rPr>
              <w:t>遗传性疾病</w:t>
            </w:r>
          </w:p>
        </w:tc>
        <w:tc>
          <w:tcPr>
            <w:tcW w:w="7578" w:type="dxa"/>
          </w:tcPr>
          <w:p>
            <w:pPr>
              <w:pStyle w:val="TableParagraph"/>
              <w:spacing w:line="273" w:lineRule="auto" w:before="153"/>
              <w:ind w:right="306"/>
              <w:rPr>
                <w:sz w:val="21"/>
              </w:rPr>
            </w:pPr>
            <w:r>
              <w:rPr>
                <w:sz w:val="21"/>
              </w:rPr>
              <w:t>指生殖细胞或受精卵的遗传物质（染色体和基因）发生突变或畸变所引起的疾病，通常具有亲代传至后代的垂直传递的特征。</w:t>
            </w:r>
          </w:p>
        </w:tc>
      </w:tr>
      <w:tr>
        <w:trPr>
          <w:trHeight w:val="1261" w:hRule="atLeast"/>
        </w:trPr>
        <w:tc>
          <w:tcPr>
            <w:tcW w:w="827" w:type="dxa"/>
          </w:tcPr>
          <w:p>
            <w:pPr>
              <w:pStyle w:val="TableParagraph"/>
              <w:spacing w:before="4"/>
              <w:ind w:left="0"/>
              <w:rPr>
                <w:sz w:val="15"/>
              </w:rPr>
            </w:pPr>
          </w:p>
          <w:p>
            <w:pPr>
              <w:pStyle w:val="TableParagraph"/>
              <w:spacing w:before="1"/>
              <w:ind w:left="200"/>
              <w:rPr>
                <w:rFonts w:ascii="Times New Roman"/>
                <w:b/>
                <w:sz w:val="21"/>
              </w:rPr>
            </w:pPr>
            <w:r>
              <w:rPr>
                <w:rFonts w:ascii="Times New Roman"/>
                <w:b/>
                <w:sz w:val="21"/>
              </w:rPr>
              <w:t>11.12</w:t>
            </w:r>
          </w:p>
        </w:tc>
        <w:tc>
          <w:tcPr>
            <w:tcW w:w="1554" w:type="dxa"/>
          </w:tcPr>
          <w:p>
            <w:pPr>
              <w:pStyle w:val="TableParagraph"/>
              <w:spacing w:line="206" w:lineRule="auto" w:before="140"/>
              <w:ind w:left="163" w:right="121"/>
              <w:jc w:val="both"/>
              <w:rPr>
                <w:rFonts w:ascii="微软雅黑" w:eastAsia="微软雅黑" w:hint="eastAsia"/>
                <w:b/>
                <w:sz w:val="21"/>
              </w:rPr>
            </w:pPr>
            <w:r>
              <w:rPr>
                <w:rFonts w:ascii="微软雅黑" w:eastAsia="微软雅黑" w:hint="eastAsia"/>
                <w:b/>
                <w:sz w:val="21"/>
              </w:rPr>
              <w:t>先天畸形、变形或染色体异常</w:t>
            </w:r>
          </w:p>
        </w:tc>
        <w:tc>
          <w:tcPr>
            <w:tcW w:w="7578" w:type="dxa"/>
          </w:tcPr>
          <w:p>
            <w:pPr>
              <w:pStyle w:val="TableParagraph"/>
              <w:spacing w:line="264" w:lineRule="auto" w:before="152"/>
              <w:ind w:right="198"/>
              <w:rPr>
                <w:sz w:val="21"/>
              </w:rPr>
            </w:pPr>
            <w:r>
              <w:rPr>
                <w:spacing w:val="-3"/>
                <w:sz w:val="21"/>
              </w:rPr>
              <w:t>指被保险人出生时就具有的畸形、变形或染色体异常。先天性畸形、变形和染</w:t>
            </w:r>
            <w:r>
              <w:rPr>
                <w:spacing w:val="-5"/>
                <w:sz w:val="21"/>
              </w:rPr>
              <w:t>色体异常依照世界卫生组织《疾病和有关健康问题的国际统计分类</w:t>
            </w:r>
            <w:r>
              <w:rPr>
                <w:spacing w:val="-128"/>
                <w:sz w:val="21"/>
              </w:rPr>
              <w:t>》</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951"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11.13</w:t>
            </w:r>
          </w:p>
        </w:tc>
        <w:tc>
          <w:tcPr>
            <w:tcW w:w="1554" w:type="dxa"/>
          </w:tcPr>
          <w:p>
            <w:pPr>
              <w:pStyle w:val="TableParagraph"/>
              <w:spacing w:before="90"/>
              <w:ind w:left="163"/>
              <w:rPr>
                <w:rFonts w:ascii="微软雅黑" w:eastAsia="微软雅黑" w:hint="eastAsia"/>
                <w:b/>
                <w:sz w:val="21"/>
              </w:rPr>
            </w:pPr>
            <w:r>
              <w:rPr>
                <w:rFonts w:ascii="微软雅黑" w:eastAsia="微软雅黑" w:hint="eastAsia"/>
                <w:b/>
                <w:sz w:val="21"/>
              </w:rPr>
              <w:t>有效身份证件</w:t>
            </w:r>
          </w:p>
        </w:tc>
        <w:tc>
          <w:tcPr>
            <w:tcW w:w="7578" w:type="dxa"/>
          </w:tcPr>
          <w:p>
            <w:pPr>
              <w:pStyle w:val="TableParagraph"/>
              <w:spacing w:line="273" w:lineRule="auto" w:before="153"/>
              <w:ind w:right="306"/>
              <w:rPr>
                <w:sz w:val="21"/>
              </w:rPr>
            </w:pPr>
            <w:r>
              <w:rPr>
                <w:sz w:val="21"/>
              </w:rPr>
              <w:t>指由政府主管部门规定的证明其身份的证件，如：居民身份证、按规定可使用的有效护照、军官证、警官证、士兵证、户口簿等证件。</w:t>
            </w:r>
          </w:p>
        </w:tc>
      </w:tr>
      <w:tr>
        <w:trPr>
          <w:trHeight w:val="953" w:hRule="atLeast"/>
        </w:trPr>
        <w:tc>
          <w:tcPr>
            <w:tcW w:w="827" w:type="dxa"/>
          </w:tcPr>
          <w:p>
            <w:pPr>
              <w:pStyle w:val="TableParagraph"/>
              <w:spacing w:before="7"/>
              <w:ind w:left="0"/>
              <w:rPr>
                <w:sz w:val="15"/>
              </w:rPr>
            </w:pPr>
          </w:p>
          <w:p>
            <w:pPr>
              <w:pStyle w:val="TableParagraph"/>
              <w:ind w:left="200"/>
              <w:rPr>
                <w:rFonts w:ascii="Times New Roman"/>
                <w:b/>
                <w:sz w:val="21"/>
              </w:rPr>
            </w:pPr>
            <w:r>
              <w:rPr>
                <w:rFonts w:ascii="Times New Roman"/>
                <w:b/>
                <w:sz w:val="21"/>
              </w:rPr>
              <w:t>11.14</w:t>
            </w:r>
          </w:p>
        </w:tc>
        <w:tc>
          <w:tcPr>
            <w:tcW w:w="1554" w:type="dxa"/>
          </w:tcPr>
          <w:p>
            <w:pPr>
              <w:pStyle w:val="TableParagraph"/>
              <w:spacing w:before="92"/>
              <w:ind w:left="163"/>
              <w:rPr>
                <w:rFonts w:ascii="微软雅黑" w:eastAsia="微软雅黑" w:hint="eastAsia"/>
                <w:b/>
                <w:sz w:val="21"/>
              </w:rPr>
            </w:pPr>
            <w:r>
              <w:rPr>
                <w:rFonts w:ascii="微软雅黑" w:eastAsia="微软雅黑" w:hint="eastAsia"/>
                <w:b/>
                <w:sz w:val="21"/>
              </w:rPr>
              <w:t>欠款利息</w:t>
            </w:r>
          </w:p>
        </w:tc>
        <w:tc>
          <w:tcPr>
            <w:tcW w:w="7578" w:type="dxa"/>
          </w:tcPr>
          <w:p>
            <w:pPr>
              <w:pStyle w:val="TableParagraph"/>
              <w:spacing w:line="273" w:lineRule="auto" w:before="154"/>
              <w:ind w:right="306"/>
              <w:rPr>
                <w:sz w:val="21"/>
              </w:rPr>
            </w:pPr>
            <w:r>
              <w:rPr>
                <w:sz w:val="21"/>
              </w:rPr>
              <w:t>该利息按计息期间我们确定并公布的利率计算，此利率以当时中国人民银行公布的同期贷款基准利率上浮 20%为限。</w:t>
            </w:r>
          </w:p>
        </w:tc>
      </w:tr>
      <w:tr>
        <w:trPr>
          <w:trHeight w:val="1010" w:hRule="atLeast"/>
        </w:trPr>
        <w:tc>
          <w:tcPr>
            <w:tcW w:w="827" w:type="dxa"/>
          </w:tcPr>
          <w:p>
            <w:pPr>
              <w:pStyle w:val="TableParagraph"/>
              <w:spacing w:before="7"/>
              <w:ind w:left="0"/>
              <w:rPr>
                <w:sz w:val="15"/>
              </w:rPr>
            </w:pPr>
          </w:p>
          <w:p>
            <w:pPr>
              <w:pStyle w:val="TableParagraph"/>
              <w:ind w:left="200"/>
              <w:rPr>
                <w:rFonts w:ascii="Times New Roman"/>
                <w:b/>
                <w:sz w:val="21"/>
              </w:rPr>
            </w:pPr>
            <w:r>
              <w:rPr>
                <w:rFonts w:ascii="Times New Roman"/>
                <w:b/>
                <w:sz w:val="21"/>
              </w:rPr>
              <w:t>11.15</w:t>
            </w:r>
          </w:p>
        </w:tc>
        <w:tc>
          <w:tcPr>
            <w:tcW w:w="1554" w:type="dxa"/>
          </w:tcPr>
          <w:p>
            <w:pPr>
              <w:pStyle w:val="TableParagraph"/>
              <w:spacing w:before="92"/>
              <w:ind w:left="163"/>
              <w:rPr>
                <w:rFonts w:ascii="微软雅黑" w:eastAsia="微软雅黑" w:hint="eastAsia"/>
                <w:b/>
                <w:sz w:val="21"/>
              </w:rPr>
            </w:pPr>
            <w:r>
              <w:rPr>
                <w:rFonts w:ascii="微软雅黑" w:eastAsia="微软雅黑" w:hint="eastAsia"/>
                <w:b/>
                <w:sz w:val="21"/>
              </w:rPr>
              <w:t>司法鉴定机构</w:t>
            </w:r>
          </w:p>
        </w:tc>
        <w:tc>
          <w:tcPr>
            <w:tcW w:w="7578" w:type="dxa"/>
          </w:tcPr>
          <w:p>
            <w:pPr>
              <w:pStyle w:val="TableParagraph"/>
              <w:spacing w:line="273" w:lineRule="auto" w:before="154"/>
              <w:ind w:right="306"/>
              <w:rPr>
                <w:sz w:val="21"/>
              </w:rPr>
            </w:pPr>
            <w:r>
              <w:rPr>
                <w:sz w:val="21"/>
              </w:rPr>
              <w:t>指经中华人民共和国司法行政机关审核登记，依法取得《司法鉴定许可证》且鉴定业务范围包含法医临床鉴定的司法鉴定机构。</w:t>
            </w:r>
          </w:p>
        </w:tc>
      </w:tr>
      <w:tr>
        <w:trPr>
          <w:trHeight w:val="2062" w:hRule="atLeast"/>
        </w:trPr>
        <w:tc>
          <w:tcPr>
            <w:tcW w:w="827" w:type="dxa"/>
          </w:tcPr>
          <w:p>
            <w:pPr>
              <w:pStyle w:val="TableParagraph"/>
              <w:spacing w:before="12"/>
              <w:ind w:left="0"/>
              <w:rPr>
                <w:sz w:val="19"/>
              </w:rPr>
            </w:pPr>
          </w:p>
          <w:p>
            <w:pPr>
              <w:pStyle w:val="TableParagraph"/>
              <w:ind w:left="200"/>
              <w:rPr>
                <w:rFonts w:ascii="Times New Roman"/>
                <w:b/>
                <w:sz w:val="21"/>
              </w:rPr>
            </w:pPr>
            <w:r>
              <w:rPr>
                <w:rFonts w:ascii="Times New Roman"/>
                <w:b/>
                <w:sz w:val="21"/>
              </w:rPr>
              <w:t>11.16</w:t>
            </w:r>
          </w:p>
        </w:tc>
        <w:tc>
          <w:tcPr>
            <w:tcW w:w="1554" w:type="dxa"/>
          </w:tcPr>
          <w:p>
            <w:pPr>
              <w:pStyle w:val="TableParagraph"/>
              <w:spacing w:before="149"/>
              <w:ind w:left="163"/>
              <w:rPr>
                <w:rFonts w:ascii="微软雅黑" w:eastAsia="微软雅黑" w:hint="eastAsia"/>
                <w:b/>
                <w:sz w:val="21"/>
              </w:rPr>
            </w:pPr>
            <w:r>
              <w:rPr>
                <w:rFonts w:ascii="微软雅黑" w:eastAsia="微软雅黑" w:hint="eastAsia"/>
                <w:b/>
                <w:sz w:val="21"/>
              </w:rPr>
              <w:t>专科医生</w:t>
            </w:r>
          </w:p>
        </w:tc>
        <w:tc>
          <w:tcPr>
            <w:tcW w:w="7578" w:type="dxa"/>
          </w:tcPr>
          <w:p>
            <w:pPr>
              <w:pStyle w:val="TableParagraph"/>
              <w:spacing w:before="2"/>
              <w:ind w:left="0"/>
              <w:rPr>
                <w:sz w:val="16"/>
              </w:rPr>
            </w:pPr>
          </w:p>
          <w:p>
            <w:pPr>
              <w:pStyle w:val="TableParagraph"/>
              <w:rPr>
                <w:sz w:val="21"/>
              </w:rPr>
            </w:pPr>
            <w:r>
              <w:rPr>
                <w:sz w:val="21"/>
              </w:rPr>
              <w:t>专科医生应当同时满足以下四项资格条件：</w:t>
            </w:r>
          </w:p>
          <w:p>
            <w:pPr>
              <w:pStyle w:val="TableParagraph"/>
              <w:spacing w:before="36"/>
              <w:rPr>
                <w:sz w:val="21"/>
              </w:rPr>
            </w:pPr>
            <w:r>
              <w:rPr>
                <w:rFonts w:ascii="Times New Roman" w:eastAsia="Times New Roman"/>
                <w:sz w:val="21"/>
              </w:rPr>
              <w:t>1.</w:t>
            </w:r>
            <w:r>
              <w:rPr>
                <w:sz w:val="21"/>
              </w:rPr>
              <w:t>具有有效的中华人民共和国《医师资格证书》；</w:t>
            </w:r>
          </w:p>
          <w:p>
            <w:pPr>
              <w:pStyle w:val="TableParagraph"/>
              <w:spacing w:before="20"/>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line="256" w:lineRule="auto" w:before="20"/>
              <w:ind w:right="567"/>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line="271" w:lineRule="exact" w:before="22"/>
              <w:rPr>
                <w:sz w:val="21"/>
              </w:rPr>
            </w:pPr>
            <w:r>
              <w:rPr>
                <w:rFonts w:ascii="Times New Roman" w:eastAsia="Times New Roman"/>
                <w:sz w:val="21"/>
              </w:rPr>
              <w:t>4.</w:t>
            </w:r>
            <w:r>
              <w:rPr>
                <w:sz w:val="21"/>
              </w:rPr>
              <w:t>在二级或二级以上医院的相应科室从事临床工作三年以上。</w:t>
            </w:r>
          </w:p>
        </w:tc>
      </w:tr>
    </w:tbl>
    <w:p>
      <w:pPr>
        <w:spacing w:after="0" w:line="271" w:lineRule="exac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554"/>
        <w:gridCol w:w="7578"/>
      </w:tblGrid>
      <w:tr>
        <w:trPr>
          <w:trHeight w:val="1996" w:hRule="atLeast"/>
        </w:trPr>
        <w:tc>
          <w:tcPr>
            <w:tcW w:w="827" w:type="dxa"/>
          </w:tcPr>
          <w:p>
            <w:pPr>
              <w:pStyle w:val="TableParagraph"/>
              <w:spacing w:line="234" w:lineRule="exact"/>
              <w:ind w:left="175" w:right="139"/>
              <w:jc w:val="center"/>
              <w:rPr>
                <w:rFonts w:ascii="Times New Roman"/>
                <w:b/>
                <w:sz w:val="21"/>
              </w:rPr>
            </w:pPr>
            <w:r>
              <w:rPr>
                <w:rFonts w:ascii="Times New Roman"/>
                <w:b/>
                <w:sz w:val="21"/>
              </w:rPr>
              <w:t>11.17</w:t>
            </w:r>
          </w:p>
        </w:tc>
        <w:tc>
          <w:tcPr>
            <w:tcW w:w="1554" w:type="dxa"/>
          </w:tcPr>
          <w:p>
            <w:pPr>
              <w:pStyle w:val="TableParagraph"/>
              <w:spacing w:line="218" w:lineRule="exact"/>
              <w:ind w:left="163"/>
              <w:rPr>
                <w:rFonts w:ascii="微软雅黑" w:eastAsia="微软雅黑" w:hint="eastAsia"/>
                <w:b/>
                <w:sz w:val="21"/>
              </w:rPr>
            </w:pPr>
            <w:r>
              <w:rPr>
                <w:rFonts w:ascii="微软雅黑" w:eastAsia="微软雅黑" w:hint="eastAsia"/>
                <w:b/>
                <w:sz w:val="21"/>
              </w:rPr>
              <w:t>六项基本日常</w:t>
            </w:r>
          </w:p>
          <w:p>
            <w:pPr>
              <w:pStyle w:val="TableParagraph"/>
              <w:spacing w:line="338" w:lineRule="exact"/>
              <w:ind w:left="163"/>
              <w:rPr>
                <w:rFonts w:ascii="微软雅黑" w:eastAsia="微软雅黑" w:hint="eastAsia"/>
                <w:b/>
                <w:sz w:val="21"/>
              </w:rPr>
            </w:pPr>
            <w:r>
              <w:rPr>
                <w:rFonts w:ascii="微软雅黑" w:eastAsia="微软雅黑" w:hint="eastAsia"/>
                <w:b/>
                <w:sz w:val="21"/>
              </w:rPr>
              <w:t>生活活动</w:t>
            </w:r>
          </w:p>
        </w:tc>
        <w:tc>
          <w:tcPr>
            <w:tcW w:w="7578" w:type="dxa"/>
          </w:tcPr>
          <w:p>
            <w:pPr>
              <w:pStyle w:val="TableParagraph"/>
              <w:spacing w:line="234" w:lineRule="exact"/>
              <w:rPr>
                <w:sz w:val="21"/>
              </w:rPr>
            </w:pPr>
            <w:r>
              <w:rPr>
                <w:rFonts w:ascii="Times New Roman" w:eastAsia="Times New Roman"/>
                <w:sz w:val="21"/>
              </w:rPr>
              <w:t>1.</w:t>
            </w:r>
            <w:r>
              <w:rPr>
                <w:sz w:val="21"/>
              </w:rPr>
              <w:t>穿衣：自己能够穿衣及脱衣；</w:t>
            </w:r>
          </w:p>
          <w:p>
            <w:pPr>
              <w:pStyle w:val="TableParagraph"/>
              <w:spacing w:before="21"/>
              <w:rPr>
                <w:sz w:val="21"/>
              </w:rPr>
            </w:pPr>
            <w:r>
              <w:rPr>
                <w:rFonts w:ascii="Times New Roman" w:eastAsia="Times New Roman"/>
                <w:sz w:val="21"/>
              </w:rPr>
              <w:t>2.</w:t>
            </w:r>
            <w:r>
              <w:rPr>
                <w:sz w:val="21"/>
              </w:rPr>
              <w:t>移动：自己从一个房间到另一个房间；</w:t>
            </w:r>
          </w:p>
          <w:p>
            <w:pPr>
              <w:pStyle w:val="TableParagraph"/>
              <w:spacing w:before="20"/>
              <w:rPr>
                <w:sz w:val="21"/>
              </w:rPr>
            </w:pPr>
            <w:r>
              <w:rPr>
                <w:rFonts w:ascii="Times New Roman" w:eastAsia="Times New Roman"/>
                <w:sz w:val="21"/>
              </w:rPr>
              <w:t>3.</w:t>
            </w:r>
            <w:r>
              <w:rPr>
                <w:sz w:val="21"/>
              </w:rPr>
              <w:t>行动：自己上下床或上下轮椅；</w:t>
            </w:r>
          </w:p>
          <w:p>
            <w:pPr>
              <w:pStyle w:val="TableParagraph"/>
              <w:spacing w:before="20"/>
              <w:rPr>
                <w:sz w:val="21"/>
              </w:rPr>
            </w:pPr>
            <w:r>
              <w:rPr>
                <w:rFonts w:ascii="Times New Roman" w:eastAsia="Times New Roman"/>
                <w:sz w:val="21"/>
              </w:rPr>
              <w:t>4.</w:t>
            </w:r>
            <w:r>
              <w:rPr>
                <w:sz w:val="21"/>
              </w:rPr>
              <w:t>如厕：自己控制进行大小便；</w:t>
            </w:r>
          </w:p>
          <w:p>
            <w:pPr>
              <w:pStyle w:val="TableParagraph"/>
              <w:spacing w:before="20"/>
              <w:rPr>
                <w:sz w:val="21"/>
              </w:rPr>
            </w:pPr>
            <w:r>
              <w:rPr>
                <w:rFonts w:ascii="Times New Roman" w:eastAsia="Times New Roman"/>
                <w:sz w:val="21"/>
              </w:rPr>
              <w:t>5.</w:t>
            </w:r>
            <w:r>
              <w:rPr>
                <w:sz w:val="21"/>
              </w:rPr>
              <w:t>进食：自己从已准备好的碗或碟中取食物放入口中；</w:t>
            </w:r>
          </w:p>
          <w:p>
            <w:pPr>
              <w:pStyle w:val="TableParagraph"/>
              <w:spacing w:before="20"/>
              <w:rPr>
                <w:sz w:val="21"/>
              </w:rPr>
            </w:pPr>
            <w:r>
              <w:rPr>
                <w:rFonts w:ascii="Times New Roman" w:eastAsia="Times New Roman"/>
                <w:sz w:val="21"/>
              </w:rPr>
              <w:t>6.</w:t>
            </w:r>
            <w:r>
              <w:rPr>
                <w:sz w:val="21"/>
              </w:rPr>
              <w:t>洗澡：自己进行淋浴或盆浴。</w:t>
            </w:r>
          </w:p>
        </w:tc>
      </w:tr>
      <w:tr>
        <w:trPr>
          <w:trHeight w:val="974" w:hRule="atLeast"/>
        </w:trPr>
        <w:tc>
          <w:tcPr>
            <w:tcW w:w="827" w:type="dxa"/>
          </w:tcPr>
          <w:p>
            <w:pPr>
              <w:pStyle w:val="TableParagraph"/>
              <w:spacing w:before="194"/>
              <w:ind w:left="175" w:right="139"/>
              <w:jc w:val="center"/>
              <w:rPr>
                <w:rFonts w:ascii="Times New Roman"/>
                <w:b/>
                <w:sz w:val="21"/>
              </w:rPr>
            </w:pPr>
            <w:r>
              <w:rPr>
                <w:rFonts w:ascii="Times New Roman"/>
                <w:b/>
                <w:sz w:val="21"/>
              </w:rPr>
              <w:t>11.18</w:t>
            </w:r>
          </w:p>
        </w:tc>
        <w:tc>
          <w:tcPr>
            <w:tcW w:w="1554" w:type="dxa"/>
          </w:tcPr>
          <w:p>
            <w:pPr>
              <w:pStyle w:val="TableParagraph"/>
              <w:spacing w:before="82"/>
              <w:ind w:left="163"/>
              <w:rPr>
                <w:rFonts w:ascii="微软雅黑" w:eastAsia="微软雅黑" w:hint="eastAsia"/>
                <w:b/>
                <w:sz w:val="21"/>
              </w:rPr>
            </w:pPr>
            <w:r>
              <w:rPr>
                <w:rFonts w:ascii="微软雅黑" w:eastAsia="微软雅黑" w:hint="eastAsia"/>
                <w:b/>
                <w:sz w:val="21"/>
              </w:rPr>
              <w:t>永久不可逆</w:t>
            </w:r>
          </w:p>
        </w:tc>
        <w:tc>
          <w:tcPr>
            <w:tcW w:w="7578" w:type="dxa"/>
          </w:tcPr>
          <w:p>
            <w:pPr>
              <w:pStyle w:val="TableParagraph"/>
              <w:spacing w:line="256" w:lineRule="auto" w:before="145"/>
              <w:ind w:right="243"/>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5" w:hRule="atLeast"/>
        </w:trPr>
        <w:tc>
          <w:tcPr>
            <w:tcW w:w="827" w:type="dxa"/>
          </w:tcPr>
          <w:p>
            <w:pPr>
              <w:pStyle w:val="TableParagraph"/>
              <w:spacing w:before="12"/>
              <w:ind w:left="0"/>
              <w:rPr>
                <w:sz w:val="17"/>
              </w:rPr>
            </w:pPr>
          </w:p>
          <w:p>
            <w:pPr>
              <w:pStyle w:val="TableParagraph"/>
              <w:ind w:left="175" w:right="139"/>
              <w:jc w:val="center"/>
              <w:rPr>
                <w:rFonts w:ascii="Times New Roman"/>
                <w:b/>
                <w:sz w:val="21"/>
              </w:rPr>
            </w:pPr>
            <w:r>
              <w:rPr>
                <w:rFonts w:ascii="Times New Roman"/>
                <w:b/>
                <w:sz w:val="21"/>
              </w:rPr>
              <w:t>11.19</w:t>
            </w:r>
          </w:p>
        </w:tc>
        <w:tc>
          <w:tcPr>
            <w:tcW w:w="1554" w:type="dxa"/>
          </w:tcPr>
          <w:p>
            <w:pPr>
              <w:pStyle w:val="TableParagraph"/>
              <w:spacing w:line="206" w:lineRule="auto" w:before="174"/>
              <w:ind w:left="163" w:right="121"/>
              <w:rPr>
                <w:rFonts w:ascii="微软雅黑" w:eastAsia="微软雅黑" w:hint="eastAsia"/>
                <w:b/>
                <w:sz w:val="21"/>
              </w:rPr>
            </w:pPr>
            <w:r>
              <w:rPr>
                <w:rFonts w:ascii="微软雅黑" w:eastAsia="微软雅黑" w:hint="eastAsia"/>
                <w:b/>
                <w:sz w:val="21"/>
              </w:rPr>
              <w:t>肢体机能完全丧失</w:t>
            </w:r>
          </w:p>
        </w:tc>
        <w:tc>
          <w:tcPr>
            <w:tcW w:w="7578" w:type="dxa"/>
          </w:tcPr>
          <w:p>
            <w:pPr>
              <w:pStyle w:val="TableParagraph"/>
              <w:spacing w:before="2"/>
              <w:ind w:left="0"/>
              <w:rPr>
                <w:sz w:val="14"/>
              </w:rPr>
            </w:pPr>
          </w:p>
          <w:p>
            <w:pPr>
              <w:pStyle w:val="TableParagraph"/>
              <w:spacing w:line="273" w:lineRule="auto"/>
              <w:ind w:right="306"/>
              <w:rPr>
                <w:sz w:val="21"/>
              </w:rPr>
            </w:pPr>
            <w:r>
              <w:rPr>
                <w:sz w:val="21"/>
              </w:rPr>
              <w:t>指肢体的三大关节中的两大关节僵硬，或不能随意识活动。肢体是指包括肩关节的整个上肢或包括髋关节的整个下肢。</w:t>
            </w:r>
          </w:p>
        </w:tc>
      </w:tr>
      <w:tr>
        <w:trPr>
          <w:trHeight w:val="1396" w:hRule="atLeast"/>
        </w:trPr>
        <w:tc>
          <w:tcPr>
            <w:tcW w:w="827" w:type="dxa"/>
          </w:tcPr>
          <w:p>
            <w:pPr>
              <w:pStyle w:val="TableParagraph"/>
              <w:spacing w:before="12"/>
              <w:ind w:left="0"/>
              <w:rPr>
                <w:sz w:val="17"/>
              </w:rPr>
            </w:pPr>
          </w:p>
          <w:p>
            <w:pPr>
              <w:pStyle w:val="TableParagraph"/>
              <w:ind w:left="175" w:right="139"/>
              <w:jc w:val="center"/>
              <w:rPr>
                <w:rFonts w:ascii="Times New Roman"/>
                <w:b/>
                <w:sz w:val="21"/>
              </w:rPr>
            </w:pPr>
            <w:r>
              <w:rPr>
                <w:rFonts w:ascii="Times New Roman"/>
                <w:b/>
                <w:sz w:val="21"/>
              </w:rPr>
              <w:t>11.20</w:t>
            </w:r>
          </w:p>
        </w:tc>
        <w:tc>
          <w:tcPr>
            <w:tcW w:w="1554" w:type="dxa"/>
          </w:tcPr>
          <w:p>
            <w:pPr>
              <w:pStyle w:val="TableParagraph"/>
              <w:spacing w:line="206" w:lineRule="auto" w:before="174"/>
              <w:ind w:left="163" w:right="121"/>
              <w:jc w:val="both"/>
              <w:rPr>
                <w:rFonts w:ascii="微软雅黑" w:eastAsia="微软雅黑" w:hint="eastAsia"/>
                <w:b/>
                <w:sz w:val="21"/>
              </w:rPr>
            </w:pPr>
            <w:r>
              <w:rPr>
                <w:rFonts w:ascii="微软雅黑" w:eastAsia="微软雅黑" w:hint="eastAsia"/>
                <w:b/>
                <w:sz w:val="21"/>
              </w:rPr>
              <w:t>语言能力或咀嚼吞咽能力完全丧失</w:t>
            </w:r>
          </w:p>
        </w:tc>
        <w:tc>
          <w:tcPr>
            <w:tcW w:w="7578" w:type="dxa"/>
          </w:tcPr>
          <w:p>
            <w:pPr>
              <w:pStyle w:val="TableParagraph"/>
              <w:spacing w:line="310" w:lineRule="atLeast" w:before="150"/>
              <w:ind w:right="198"/>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bl>
    <w:p>
      <w:pPr>
        <w:spacing w:after="0" w:line="310" w:lineRule="atLeast"/>
        <w:rPr>
          <w:sz w:val="21"/>
        </w:rPr>
        <w:sectPr>
          <w:pgSz w:w="11910" w:h="16840"/>
          <w:pgMar w:header="0" w:footer="915" w:top="1160" w:bottom="1100" w:left="820" w:right="900"/>
        </w:sectPr>
      </w:pPr>
    </w:p>
    <w:p>
      <w:pPr>
        <w:pStyle w:val="Heading4"/>
        <w:spacing w:line="322" w:lineRule="exact" w:before="0" w:after="24"/>
        <w:ind w:left="132"/>
      </w:pPr>
      <w:r>
        <w:rPr/>
        <w:t>附表：疾病分组</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7"/>
        <w:gridCol w:w="2703"/>
        <w:gridCol w:w="2468"/>
        <w:gridCol w:w="2468"/>
        <w:gridCol w:w="2091"/>
      </w:tblGrid>
      <w:tr>
        <w:trPr>
          <w:trHeight w:val="626" w:hRule="atLeast"/>
        </w:trPr>
        <w:tc>
          <w:tcPr>
            <w:tcW w:w="867"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组别</w:t>
            </w:r>
          </w:p>
        </w:tc>
        <w:tc>
          <w:tcPr>
            <w:tcW w:w="2703"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第一组  恶性肿瘤及严重器官功能障碍</w:t>
            </w:r>
          </w:p>
        </w:tc>
        <w:tc>
          <w:tcPr>
            <w:tcW w:w="2468" w:type="dxa"/>
          </w:tcPr>
          <w:p>
            <w:pPr>
              <w:pStyle w:val="TableParagraph"/>
              <w:spacing w:line="251" w:lineRule="exact"/>
              <w:ind w:left="107"/>
              <w:rPr>
                <w:rFonts w:ascii="微软雅黑" w:eastAsia="微软雅黑" w:hint="eastAsia"/>
                <w:b/>
                <w:sz w:val="15"/>
              </w:rPr>
            </w:pPr>
            <w:r>
              <w:rPr>
                <w:rFonts w:ascii="微软雅黑" w:eastAsia="微软雅黑" w:hint="eastAsia"/>
                <w:b/>
                <w:sz w:val="15"/>
              </w:rPr>
              <w:t>第二组 重大心血管疾病</w:t>
            </w:r>
          </w:p>
        </w:tc>
        <w:tc>
          <w:tcPr>
            <w:tcW w:w="2468" w:type="dxa"/>
          </w:tcPr>
          <w:p>
            <w:pPr>
              <w:pStyle w:val="TableParagraph"/>
              <w:spacing w:line="288" w:lineRule="auto"/>
              <w:ind w:left="107" w:right="96"/>
              <w:rPr>
                <w:rFonts w:ascii="微软雅黑" w:eastAsia="微软雅黑" w:hint="eastAsia"/>
                <w:b/>
                <w:sz w:val="15"/>
              </w:rPr>
            </w:pPr>
            <w:r>
              <w:rPr>
                <w:rFonts w:ascii="微软雅黑" w:eastAsia="微软雅黑" w:hint="eastAsia"/>
                <w:b/>
                <w:sz w:val="15"/>
              </w:rPr>
              <w:t>第三组 重大颅脑、神经系统疾病及损伤</w:t>
            </w:r>
          </w:p>
        </w:tc>
        <w:tc>
          <w:tcPr>
            <w:tcW w:w="2091" w:type="dxa"/>
          </w:tcPr>
          <w:p>
            <w:pPr>
              <w:pStyle w:val="TableParagraph"/>
              <w:spacing w:line="251" w:lineRule="exact"/>
              <w:ind w:left="109"/>
              <w:rPr>
                <w:rFonts w:ascii="微软雅黑" w:eastAsia="微软雅黑" w:hint="eastAsia"/>
                <w:b/>
                <w:sz w:val="15"/>
              </w:rPr>
            </w:pPr>
            <w:r>
              <w:rPr>
                <w:rFonts w:ascii="微软雅黑" w:eastAsia="微软雅黑" w:hint="eastAsia"/>
                <w:b/>
                <w:sz w:val="15"/>
              </w:rPr>
              <w:t>第四组   其他重大疾病</w:t>
            </w:r>
          </w:p>
        </w:tc>
      </w:tr>
      <w:tr>
        <w:trPr>
          <w:trHeight w:val="310" w:hRule="atLeast"/>
        </w:trPr>
        <w:tc>
          <w:tcPr>
            <w:tcW w:w="867" w:type="dxa"/>
            <w:vMerge w:val="restart"/>
          </w:tcPr>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spacing w:before="4"/>
              <w:ind w:left="0"/>
              <w:rPr>
                <w:rFonts w:ascii="微软雅黑"/>
                <w:b/>
                <w:sz w:val="8"/>
              </w:rPr>
            </w:pPr>
          </w:p>
          <w:p>
            <w:pPr>
              <w:pStyle w:val="TableParagraph"/>
              <w:spacing w:before="1"/>
              <w:ind w:left="107"/>
              <w:rPr>
                <w:rFonts w:ascii="微软雅黑" w:eastAsia="微软雅黑" w:hint="eastAsia"/>
                <w:b/>
                <w:sz w:val="15"/>
              </w:rPr>
            </w:pPr>
            <w:r>
              <w:rPr>
                <w:rFonts w:ascii="微软雅黑" w:eastAsia="微软雅黑" w:hint="eastAsia"/>
                <w:b/>
                <w:sz w:val="15"/>
              </w:rPr>
              <w:t>重大疾病</w:t>
            </w:r>
          </w:p>
        </w:tc>
        <w:tc>
          <w:tcPr>
            <w:tcW w:w="2703" w:type="dxa"/>
            <w:tcBorders>
              <w:bottom w:val="nil"/>
            </w:tcBorders>
          </w:tcPr>
          <w:p>
            <w:pPr>
              <w:pStyle w:val="TableParagraph"/>
              <w:spacing w:before="33"/>
              <w:ind w:left="107"/>
              <w:rPr>
                <w:sz w:val="15"/>
              </w:rPr>
            </w:pPr>
            <w:r>
              <w:rPr>
                <w:sz w:val="15"/>
              </w:rPr>
              <w:t>恶性肿瘤</w:t>
            </w:r>
          </w:p>
        </w:tc>
        <w:tc>
          <w:tcPr>
            <w:tcW w:w="2468" w:type="dxa"/>
            <w:tcBorders>
              <w:bottom w:val="nil"/>
            </w:tcBorders>
          </w:tcPr>
          <w:p>
            <w:pPr>
              <w:pStyle w:val="TableParagraph"/>
              <w:spacing w:before="33"/>
              <w:ind w:left="107"/>
              <w:rPr>
                <w:sz w:val="15"/>
              </w:rPr>
            </w:pPr>
            <w:r>
              <w:rPr>
                <w:sz w:val="15"/>
              </w:rPr>
              <w:t>急性心肌梗塞</w:t>
            </w:r>
          </w:p>
        </w:tc>
        <w:tc>
          <w:tcPr>
            <w:tcW w:w="2468" w:type="dxa"/>
            <w:tcBorders>
              <w:bottom w:val="nil"/>
            </w:tcBorders>
          </w:tcPr>
          <w:p>
            <w:pPr>
              <w:pStyle w:val="TableParagraph"/>
              <w:spacing w:before="33"/>
              <w:ind w:left="107"/>
              <w:rPr>
                <w:sz w:val="15"/>
              </w:rPr>
            </w:pPr>
            <w:r>
              <w:rPr>
                <w:sz w:val="15"/>
              </w:rPr>
              <w:t>脑中风后遗症</w:t>
            </w:r>
          </w:p>
        </w:tc>
        <w:tc>
          <w:tcPr>
            <w:tcW w:w="2091" w:type="dxa"/>
            <w:tcBorders>
              <w:bottom w:val="nil"/>
            </w:tcBorders>
          </w:tcPr>
          <w:p>
            <w:pPr>
              <w:pStyle w:val="TableParagraph"/>
              <w:spacing w:before="33"/>
              <w:ind w:left="109"/>
              <w:rPr>
                <w:sz w:val="15"/>
              </w:rPr>
            </w:pPr>
            <w:r>
              <w:rPr>
                <w:sz w:val="15"/>
              </w:rPr>
              <w:t>严重Ⅲ度烧伤</w:t>
            </w: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侵蚀性葡萄胎（或称恶性葡萄胎）</w:t>
            </w:r>
          </w:p>
        </w:tc>
        <w:tc>
          <w:tcPr>
            <w:tcW w:w="2468" w:type="dxa"/>
            <w:tcBorders>
              <w:top w:val="nil"/>
              <w:bottom w:val="nil"/>
            </w:tcBorders>
          </w:tcPr>
          <w:p>
            <w:pPr>
              <w:pStyle w:val="TableParagraph"/>
              <w:spacing w:before="35"/>
              <w:ind w:left="107"/>
              <w:rPr>
                <w:sz w:val="15"/>
              </w:rPr>
            </w:pPr>
            <w:r>
              <w:rPr>
                <w:sz w:val="15"/>
              </w:rPr>
              <w:t>严重冠心病</w:t>
            </w:r>
          </w:p>
        </w:tc>
        <w:tc>
          <w:tcPr>
            <w:tcW w:w="2468" w:type="dxa"/>
            <w:tcBorders>
              <w:top w:val="nil"/>
              <w:bottom w:val="nil"/>
            </w:tcBorders>
          </w:tcPr>
          <w:p>
            <w:pPr>
              <w:pStyle w:val="TableParagraph"/>
              <w:spacing w:before="35"/>
              <w:ind w:left="107"/>
              <w:rPr>
                <w:sz w:val="15"/>
              </w:rPr>
            </w:pPr>
            <w:r>
              <w:rPr>
                <w:sz w:val="15"/>
              </w:rPr>
              <w:t>破裂脑动脉瘤夹闭手术</w:t>
            </w:r>
          </w:p>
        </w:tc>
        <w:tc>
          <w:tcPr>
            <w:tcW w:w="2091" w:type="dxa"/>
            <w:tcBorders>
              <w:top w:val="nil"/>
              <w:bottom w:val="nil"/>
            </w:tcBorders>
          </w:tcPr>
          <w:p>
            <w:pPr>
              <w:pStyle w:val="TableParagraph"/>
              <w:spacing w:before="35"/>
              <w:ind w:left="109"/>
              <w:rPr>
                <w:sz w:val="15"/>
              </w:rPr>
            </w:pPr>
            <w:r>
              <w:rPr>
                <w:sz w:val="15"/>
              </w:rPr>
              <w:t>多个肢体缺失</w:t>
            </w:r>
          </w:p>
        </w:tc>
      </w:tr>
      <w:tr>
        <w:trPr>
          <w:trHeight w:val="395"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重大器官移植术或造血干细胞移植术</w:t>
            </w:r>
          </w:p>
        </w:tc>
        <w:tc>
          <w:tcPr>
            <w:tcW w:w="2468" w:type="dxa"/>
            <w:tcBorders>
              <w:top w:val="nil"/>
              <w:bottom w:val="nil"/>
            </w:tcBorders>
          </w:tcPr>
          <w:p>
            <w:pPr>
              <w:pStyle w:val="TableParagraph"/>
              <w:spacing w:before="35"/>
              <w:ind w:left="107"/>
              <w:rPr>
                <w:sz w:val="15"/>
              </w:rPr>
            </w:pPr>
            <w:r>
              <w:rPr>
                <w:sz w:val="15"/>
              </w:rPr>
              <w:t>冠状动脉搭桥术</w:t>
            </w:r>
          </w:p>
        </w:tc>
        <w:tc>
          <w:tcPr>
            <w:tcW w:w="2468" w:type="dxa"/>
            <w:tcBorders>
              <w:top w:val="nil"/>
              <w:bottom w:val="nil"/>
            </w:tcBorders>
          </w:tcPr>
          <w:p>
            <w:pPr>
              <w:pStyle w:val="TableParagraph"/>
              <w:spacing w:before="35"/>
              <w:ind w:left="107"/>
              <w:rPr>
                <w:sz w:val="15"/>
              </w:rPr>
            </w:pPr>
            <w:r>
              <w:rPr>
                <w:sz w:val="15"/>
              </w:rPr>
              <w:t>植物人状态</w:t>
            </w:r>
          </w:p>
        </w:tc>
        <w:tc>
          <w:tcPr>
            <w:tcW w:w="2091" w:type="dxa"/>
            <w:tcBorders>
              <w:top w:val="nil"/>
              <w:bottom w:val="nil"/>
            </w:tcBorders>
          </w:tcPr>
          <w:p>
            <w:pPr>
              <w:pStyle w:val="TableParagraph"/>
              <w:spacing w:before="35"/>
              <w:ind w:left="109"/>
              <w:rPr>
                <w:sz w:val="15"/>
              </w:rPr>
            </w:pPr>
            <w:r>
              <w:rPr>
                <w:sz w:val="15"/>
              </w:rPr>
              <w:t>重症急性胰腺炎</w:t>
            </w:r>
          </w:p>
        </w:tc>
      </w:tr>
      <w:tr>
        <w:trPr>
          <w:trHeight w:val="395"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119"/>
              <w:ind w:left="107"/>
              <w:rPr>
                <w:sz w:val="15"/>
              </w:rPr>
            </w:pPr>
            <w:r>
              <w:rPr>
                <w:sz w:val="15"/>
              </w:rPr>
              <w:t>终末期肺病</w:t>
            </w:r>
          </w:p>
        </w:tc>
        <w:tc>
          <w:tcPr>
            <w:tcW w:w="2468" w:type="dxa"/>
            <w:tcBorders>
              <w:top w:val="nil"/>
              <w:bottom w:val="nil"/>
            </w:tcBorders>
          </w:tcPr>
          <w:p>
            <w:pPr>
              <w:pStyle w:val="TableParagraph"/>
              <w:spacing w:before="119"/>
              <w:ind w:left="107"/>
              <w:rPr>
                <w:sz w:val="15"/>
              </w:rPr>
            </w:pPr>
            <w:r>
              <w:rPr>
                <w:sz w:val="15"/>
              </w:rPr>
              <w:t>心脏瓣膜手术</w:t>
            </w:r>
          </w:p>
        </w:tc>
        <w:tc>
          <w:tcPr>
            <w:tcW w:w="2468" w:type="dxa"/>
            <w:tcBorders>
              <w:top w:val="nil"/>
              <w:bottom w:val="nil"/>
            </w:tcBorders>
          </w:tcPr>
          <w:p>
            <w:pPr>
              <w:pStyle w:val="TableParagraph"/>
              <w:spacing w:before="119"/>
              <w:ind w:left="107"/>
              <w:rPr>
                <w:sz w:val="15"/>
              </w:rPr>
            </w:pPr>
            <w:r>
              <w:rPr>
                <w:sz w:val="15"/>
              </w:rPr>
              <w:t>严重脑损伤</w:t>
            </w:r>
          </w:p>
        </w:tc>
        <w:tc>
          <w:tcPr>
            <w:tcW w:w="2091" w:type="dxa"/>
            <w:tcBorders>
              <w:top w:val="nil"/>
              <w:bottom w:val="nil"/>
            </w:tcBorders>
          </w:tcPr>
          <w:p>
            <w:pPr>
              <w:pStyle w:val="TableParagraph"/>
              <w:spacing w:before="119"/>
              <w:ind w:left="109"/>
              <w:rPr>
                <w:sz w:val="15"/>
              </w:rPr>
            </w:pPr>
            <w:r>
              <w:rPr>
                <w:sz w:val="15"/>
              </w:rPr>
              <w:t>慢性复发性胰腺炎</w:t>
            </w:r>
          </w:p>
        </w:tc>
      </w:tr>
      <w:tr>
        <w:trPr>
          <w:trHeight w:val="624"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终末期肾病（或称慢性肾功能衰竭尿毒</w:t>
            </w:r>
          </w:p>
          <w:p>
            <w:pPr>
              <w:pStyle w:val="TableParagraph"/>
              <w:spacing w:before="115"/>
              <w:ind w:left="107"/>
              <w:rPr>
                <w:sz w:val="15"/>
              </w:rPr>
            </w:pPr>
            <w:r>
              <w:rPr>
                <w:sz w:val="15"/>
              </w:rPr>
              <w:t>症期）</w:t>
            </w:r>
          </w:p>
        </w:tc>
        <w:tc>
          <w:tcPr>
            <w:tcW w:w="2468" w:type="dxa"/>
            <w:tcBorders>
              <w:top w:val="nil"/>
              <w:bottom w:val="nil"/>
            </w:tcBorders>
          </w:tcPr>
          <w:p>
            <w:pPr>
              <w:pStyle w:val="TableParagraph"/>
              <w:spacing w:before="35"/>
              <w:ind w:left="107"/>
              <w:rPr>
                <w:sz w:val="15"/>
              </w:rPr>
            </w:pPr>
            <w:r>
              <w:rPr>
                <w:sz w:val="15"/>
              </w:rPr>
              <w:t>严重原发性心肌病</w:t>
            </w:r>
          </w:p>
        </w:tc>
        <w:tc>
          <w:tcPr>
            <w:tcW w:w="2468" w:type="dxa"/>
            <w:tcBorders>
              <w:top w:val="nil"/>
              <w:bottom w:val="nil"/>
            </w:tcBorders>
          </w:tcPr>
          <w:p>
            <w:pPr>
              <w:pStyle w:val="TableParagraph"/>
              <w:spacing w:before="35"/>
              <w:ind w:left="107"/>
              <w:rPr>
                <w:sz w:val="15"/>
              </w:rPr>
            </w:pPr>
            <w:r>
              <w:rPr>
                <w:sz w:val="15"/>
              </w:rPr>
              <w:t>深度昏迷</w:t>
            </w:r>
          </w:p>
        </w:tc>
        <w:tc>
          <w:tcPr>
            <w:tcW w:w="2091" w:type="dxa"/>
            <w:tcBorders>
              <w:top w:val="nil"/>
              <w:bottom w:val="nil"/>
            </w:tcBorders>
          </w:tcPr>
          <w:p>
            <w:pPr>
              <w:pStyle w:val="TableParagraph"/>
              <w:spacing w:before="35"/>
              <w:ind w:left="109"/>
              <w:rPr>
                <w:sz w:val="15"/>
              </w:rPr>
            </w:pPr>
            <w:r>
              <w:rPr>
                <w:sz w:val="15"/>
              </w:rPr>
              <w:t>胰腺移植</w:t>
            </w:r>
          </w:p>
        </w:tc>
      </w:tr>
      <w:tr>
        <w:trPr>
          <w:trHeight w:val="397"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6"/>
              <w:ind w:left="107"/>
              <w:rPr>
                <w:sz w:val="15"/>
              </w:rPr>
            </w:pPr>
            <w:r>
              <w:rPr>
                <w:sz w:val="15"/>
              </w:rPr>
              <w:t>肾髓质囊性病</w:t>
            </w:r>
          </w:p>
        </w:tc>
        <w:tc>
          <w:tcPr>
            <w:tcW w:w="2468" w:type="dxa"/>
            <w:tcBorders>
              <w:top w:val="nil"/>
              <w:bottom w:val="nil"/>
            </w:tcBorders>
          </w:tcPr>
          <w:p>
            <w:pPr>
              <w:pStyle w:val="TableParagraph"/>
              <w:spacing w:before="36"/>
              <w:ind w:left="107"/>
              <w:rPr>
                <w:sz w:val="15"/>
              </w:rPr>
            </w:pPr>
            <w:r>
              <w:rPr>
                <w:sz w:val="15"/>
              </w:rPr>
              <w:t>严重心肌炎</w:t>
            </w:r>
          </w:p>
        </w:tc>
        <w:tc>
          <w:tcPr>
            <w:tcW w:w="2468" w:type="dxa"/>
            <w:tcBorders>
              <w:top w:val="nil"/>
              <w:bottom w:val="nil"/>
            </w:tcBorders>
          </w:tcPr>
          <w:p>
            <w:pPr>
              <w:pStyle w:val="TableParagraph"/>
              <w:spacing w:before="36"/>
              <w:ind w:left="107"/>
              <w:rPr>
                <w:sz w:val="15"/>
              </w:rPr>
            </w:pPr>
            <w:r>
              <w:rPr>
                <w:sz w:val="15"/>
              </w:rPr>
              <w:t>瘫痪</w:t>
            </w:r>
          </w:p>
        </w:tc>
        <w:tc>
          <w:tcPr>
            <w:tcW w:w="2091" w:type="dxa"/>
            <w:tcBorders>
              <w:top w:val="nil"/>
              <w:bottom w:val="nil"/>
            </w:tcBorders>
          </w:tcPr>
          <w:p>
            <w:pPr>
              <w:pStyle w:val="TableParagraph"/>
              <w:spacing w:before="36"/>
              <w:ind w:left="109"/>
              <w:rPr>
                <w:sz w:val="15"/>
              </w:rPr>
            </w:pPr>
            <w:r>
              <w:rPr>
                <w:sz w:val="15"/>
              </w:rPr>
              <w:t>严重的胰岛素依赖型糖尿病</w:t>
            </w:r>
          </w:p>
        </w:tc>
      </w:tr>
      <w:tr>
        <w:trPr>
          <w:trHeight w:val="393"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119"/>
              <w:ind w:left="107"/>
              <w:rPr>
                <w:sz w:val="15"/>
              </w:rPr>
            </w:pPr>
            <w:r>
              <w:rPr>
                <w:sz w:val="15"/>
              </w:rPr>
              <w:t>慢性肾上腺皮质功能衰竭</w:t>
            </w:r>
          </w:p>
        </w:tc>
        <w:tc>
          <w:tcPr>
            <w:tcW w:w="2468" w:type="dxa"/>
            <w:tcBorders>
              <w:top w:val="nil"/>
              <w:bottom w:val="nil"/>
            </w:tcBorders>
          </w:tcPr>
          <w:p>
            <w:pPr>
              <w:pStyle w:val="TableParagraph"/>
              <w:spacing w:before="119"/>
              <w:ind w:left="107"/>
              <w:rPr>
                <w:sz w:val="15"/>
              </w:rPr>
            </w:pPr>
            <w:r>
              <w:rPr>
                <w:sz w:val="15"/>
              </w:rPr>
              <w:t>肺源性心脏病</w:t>
            </w:r>
          </w:p>
        </w:tc>
        <w:tc>
          <w:tcPr>
            <w:tcW w:w="2468" w:type="dxa"/>
            <w:tcBorders>
              <w:top w:val="nil"/>
              <w:bottom w:val="nil"/>
            </w:tcBorders>
          </w:tcPr>
          <w:p>
            <w:pPr>
              <w:pStyle w:val="TableParagraph"/>
              <w:spacing w:before="119"/>
              <w:ind w:left="107"/>
              <w:rPr>
                <w:sz w:val="15"/>
              </w:rPr>
            </w:pPr>
            <w:r>
              <w:rPr>
                <w:sz w:val="15"/>
              </w:rPr>
              <w:t>语言能力丧失</w:t>
            </w:r>
          </w:p>
        </w:tc>
        <w:tc>
          <w:tcPr>
            <w:tcW w:w="2091" w:type="dxa"/>
            <w:tcBorders>
              <w:top w:val="nil"/>
              <w:bottom w:val="nil"/>
            </w:tcBorders>
          </w:tcPr>
          <w:p>
            <w:pPr>
              <w:pStyle w:val="TableParagraph"/>
              <w:spacing w:before="119"/>
              <w:ind w:left="109"/>
              <w:rPr>
                <w:sz w:val="15"/>
              </w:rPr>
            </w:pPr>
            <w:r>
              <w:rPr>
                <w:sz w:val="15"/>
              </w:rPr>
              <w:t>埃博拉病毒感染</w:t>
            </w:r>
          </w:p>
        </w:tc>
      </w:tr>
      <w:tr>
        <w:trPr>
          <w:trHeight w:val="625"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7"/>
              <w:ind w:left="107"/>
              <w:rPr>
                <w:sz w:val="15"/>
              </w:rPr>
            </w:pPr>
            <w:r>
              <w:rPr>
                <w:sz w:val="15"/>
              </w:rPr>
              <w:t>系统性红斑狼疮-</w:t>
            </w:r>
            <w:r>
              <w:rPr>
                <w:rFonts w:ascii="Times New Roman" w:eastAsia="Times New Roman"/>
                <w:sz w:val="15"/>
              </w:rPr>
              <w:t>III  </w:t>
            </w:r>
            <w:r>
              <w:rPr>
                <w:sz w:val="15"/>
              </w:rPr>
              <w:t>型或以上狼疮性</w:t>
            </w:r>
          </w:p>
          <w:p>
            <w:pPr>
              <w:pStyle w:val="TableParagraph"/>
              <w:spacing w:before="104"/>
              <w:ind w:left="107"/>
              <w:rPr>
                <w:sz w:val="15"/>
              </w:rPr>
            </w:pPr>
            <w:r>
              <w:rPr>
                <w:sz w:val="15"/>
              </w:rPr>
              <w:t>肾炎</w:t>
            </w:r>
          </w:p>
        </w:tc>
        <w:tc>
          <w:tcPr>
            <w:tcW w:w="2468" w:type="dxa"/>
            <w:tcBorders>
              <w:top w:val="nil"/>
              <w:bottom w:val="nil"/>
            </w:tcBorders>
          </w:tcPr>
          <w:p>
            <w:pPr>
              <w:pStyle w:val="TableParagraph"/>
              <w:spacing w:before="37"/>
              <w:ind w:left="107"/>
              <w:rPr>
                <w:sz w:val="15"/>
              </w:rPr>
            </w:pPr>
            <w:r>
              <w:rPr>
                <w:sz w:val="15"/>
              </w:rPr>
              <w:t>主动脉手术</w:t>
            </w:r>
          </w:p>
        </w:tc>
        <w:tc>
          <w:tcPr>
            <w:tcW w:w="2468" w:type="dxa"/>
            <w:tcBorders>
              <w:top w:val="nil"/>
              <w:bottom w:val="nil"/>
            </w:tcBorders>
          </w:tcPr>
          <w:p>
            <w:pPr>
              <w:pStyle w:val="TableParagraph"/>
              <w:spacing w:before="37"/>
              <w:ind w:left="107"/>
              <w:rPr>
                <w:sz w:val="15"/>
              </w:rPr>
            </w:pPr>
            <w:r>
              <w:rPr>
                <w:sz w:val="15"/>
              </w:rPr>
              <w:t>双耳失聪</w:t>
            </w:r>
          </w:p>
        </w:tc>
        <w:tc>
          <w:tcPr>
            <w:tcW w:w="2091" w:type="dxa"/>
            <w:tcBorders>
              <w:top w:val="nil"/>
              <w:bottom w:val="nil"/>
            </w:tcBorders>
          </w:tcPr>
          <w:p>
            <w:pPr>
              <w:pStyle w:val="TableParagraph"/>
              <w:spacing w:before="37"/>
              <w:ind w:left="109"/>
              <w:rPr>
                <w:sz w:val="15"/>
              </w:rPr>
            </w:pPr>
            <w:r>
              <w:rPr>
                <w:sz w:val="15"/>
              </w:rPr>
              <w:t>溶血性链球菌引起的坏疽</w:t>
            </w: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慢性肝功能衰竭失代偿期</w:t>
            </w:r>
          </w:p>
        </w:tc>
        <w:tc>
          <w:tcPr>
            <w:tcW w:w="2468" w:type="dxa"/>
            <w:tcBorders>
              <w:top w:val="nil"/>
              <w:bottom w:val="nil"/>
            </w:tcBorders>
          </w:tcPr>
          <w:p>
            <w:pPr>
              <w:pStyle w:val="TableParagraph"/>
              <w:spacing w:before="35"/>
              <w:ind w:left="107"/>
              <w:rPr>
                <w:sz w:val="15"/>
              </w:rPr>
            </w:pPr>
            <w:r>
              <w:rPr>
                <w:sz w:val="15"/>
              </w:rPr>
              <w:t>严重原发性肺动脉高压</w:t>
            </w:r>
          </w:p>
        </w:tc>
        <w:tc>
          <w:tcPr>
            <w:tcW w:w="2468" w:type="dxa"/>
            <w:tcBorders>
              <w:top w:val="nil"/>
              <w:bottom w:val="nil"/>
            </w:tcBorders>
          </w:tcPr>
          <w:p>
            <w:pPr>
              <w:pStyle w:val="TableParagraph"/>
              <w:spacing w:before="35"/>
              <w:ind w:left="107"/>
              <w:rPr>
                <w:sz w:val="15"/>
              </w:rPr>
            </w:pPr>
            <w:r>
              <w:rPr>
                <w:sz w:val="15"/>
              </w:rPr>
              <w:t>双目失明</w:t>
            </w:r>
          </w:p>
        </w:tc>
        <w:tc>
          <w:tcPr>
            <w:tcW w:w="2091" w:type="dxa"/>
            <w:tcBorders>
              <w:top w:val="nil"/>
              <w:bottom w:val="nil"/>
            </w:tcBorders>
          </w:tcPr>
          <w:p>
            <w:pPr>
              <w:pStyle w:val="TableParagraph"/>
              <w:spacing w:before="35"/>
              <w:ind w:left="109"/>
              <w:rPr>
                <w:sz w:val="15"/>
              </w:rPr>
            </w:pPr>
            <w:r>
              <w:rPr>
                <w:sz w:val="15"/>
              </w:rPr>
              <w:t>坏死性筋膜炎</w:t>
            </w: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急性或亚急性重症肝炎</w:t>
            </w:r>
          </w:p>
        </w:tc>
        <w:tc>
          <w:tcPr>
            <w:tcW w:w="2468" w:type="dxa"/>
            <w:tcBorders>
              <w:top w:val="nil"/>
              <w:bottom w:val="nil"/>
            </w:tcBorders>
          </w:tcPr>
          <w:p>
            <w:pPr>
              <w:pStyle w:val="TableParagraph"/>
              <w:spacing w:before="35"/>
              <w:ind w:left="107"/>
              <w:rPr>
                <w:sz w:val="15"/>
              </w:rPr>
            </w:pPr>
            <w:r>
              <w:rPr>
                <w:sz w:val="15"/>
              </w:rPr>
              <w:t>斯蒂尔病</w:t>
            </w:r>
          </w:p>
        </w:tc>
        <w:tc>
          <w:tcPr>
            <w:tcW w:w="2468" w:type="dxa"/>
            <w:tcBorders>
              <w:top w:val="nil"/>
              <w:bottom w:val="nil"/>
            </w:tcBorders>
          </w:tcPr>
          <w:p>
            <w:pPr>
              <w:pStyle w:val="TableParagraph"/>
              <w:spacing w:before="35"/>
              <w:ind w:left="107"/>
              <w:rPr>
                <w:sz w:val="15"/>
              </w:rPr>
            </w:pPr>
            <w:r>
              <w:rPr>
                <w:sz w:val="15"/>
              </w:rPr>
              <w:t>良性脑肿瘤</w:t>
            </w:r>
          </w:p>
        </w:tc>
        <w:tc>
          <w:tcPr>
            <w:tcW w:w="2091" w:type="dxa"/>
            <w:tcBorders>
              <w:top w:val="nil"/>
              <w:bottom w:val="nil"/>
            </w:tcBorders>
          </w:tcPr>
          <w:p>
            <w:pPr>
              <w:pStyle w:val="TableParagraph"/>
              <w:spacing w:before="35"/>
              <w:ind w:left="109"/>
              <w:rPr>
                <w:sz w:val="15"/>
              </w:rPr>
            </w:pPr>
            <w:r>
              <w:rPr>
                <w:sz w:val="15"/>
              </w:rPr>
              <w:t>象皮病</w:t>
            </w: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严重自身免疫性肝炎</w:t>
            </w:r>
          </w:p>
        </w:tc>
        <w:tc>
          <w:tcPr>
            <w:tcW w:w="2468" w:type="dxa"/>
            <w:tcBorders>
              <w:top w:val="nil"/>
              <w:bottom w:val="nil"/>
            </w:tcBorders>
          </w:tcPr>
          <w:p>
            <w:pPr>
              <w:pStyle w:val="TableParagraph"/>
              <w:spacing w:before="35"/>
              <w:ind w:left="107"/>
              <w:rPr>
                <w:sz w:val="15"/>
              </w:rPr>
            </w:pPr>
            <w:r>
              <w:rPr>
                <w:sz w:val="15"/>
              </w:rPr>
              <w:t>主动脉夹层瘤</w:t>
            </w:r>
          </w:p>
        </w:tc>
        <w:tc>
          <w:tcPr>
            <w:tcW w:w="2468" w:type="dxa"/>
            <w:tcBorders>
              <w:top w:val="nil"/>
              <w:bottom w:val="nil"/>
            </w:tcBorders>
          </w:tcPr>
          <w:p>
            <w:pPr>
              <w:pStyle w:val="TableParagraph"/>
              <w:spacing w:before="35"/>
              <w:ind w:left="107"/>
              <w:rPr>
                <w:sz w:val="15"/>
              </w:rPr>
            </w:pPr>
            <w:r>
              <w:rPr>
                <w:sz w:val="15"/>
              </w:rPr>
              <w:t>非阿尔茨海默病所致严重痴呆</w:t>
            </w:r>
          </w:p>
        </w:tc>
        <w:tc>
          <w:tcPr>
            <w:tcW w:w="2091" w:type="dxa"/>
            <w:tcBorders>
              <w:top w:val="nil"/>
              <w:bottom w:val="nil"/>
            </w:tcBorders>
          </w:tcPr>
          <w:p>
            <w:pPr>
              <w:pStyle w:val="TableParagraph"/>
              <w:spacing w:before="35"/>
              <w:ind w:left="109"/>
              <w:rPr>
                <w:sz w:val="15"/>
              </w:rPr>
            </w:pPr>
            <w:r>
              <w:rPr>
                <w:sz w:val="15"/>
              </w:rPr>
              <w:t>骨生长不全症</w:t>
            </w:r>
          </w:p>
        </w:tc>
      </w:tr>
      <w:tr>
        <w:trPr>
          <w:trHeight w:val="310"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6"/>
              <w:ind w:left="107"/>
              <w:rPr>
                <w:sz w:val="15"/>
              </w:rPr>
            </w:pPr>
            <w:r>
              <w:rPr>
                <w:sz w:val="15"/>
              </w:rPr>
              <w:t>肝豆状核变性</w:t>
            </w:r>
          </w:p>
        </w:tc>
        <w:tc>
          <w:tcPr>
            <w:tcW w:w="2468" w:type="dxa"/>
            <w:tcBorders>
              <w:top w:val="nil"/>
              <w:bottom w:val="nil"/>
            </w:tcBorders>
          </w:tcPr>
          <w:p>
            <w:pPr>
              <w:pStyle w:val="TableParagraph"/>
              <w:spacing w:before="36"/>
              <w:ind w:left="107"/>
              <w:rPr>
                <w:sz w:val="15"/>
              </w:rPr>
            </w:pPr>
            <w:r>
              <w:rPr>
                <w:sz w:val="15"/>
              </w:rPr>
              <w:t>严重川崎病</w:t>
            </w:r>
          </w:p>
        </w:tc>
        <w:tc>
          <w:tcPr>
            <w:tcW w:w="2468" w:type="dxa"/>
            <w:tcBorders>
              <w:top w:val="nil"/>
              <w:bottom w:val="nil"/>
            </w:tcBorders>
          </w:tcPr>
          <w:p>
            <w:pPr>
              <w:pStyle w:val="TableParagraph"/>
              <w:spacing w:before="36"/>
              <w:ind w:left="107"/>
              <w:rPr>
                <w:sz w:val="15"/>
              </w:rPr>
            </w:pPr>
            <w:r>
              <w:rPr>
                <w:sz w:val="15"/>
              </w:rPr>
              <w:t>严重阿尔茨海默病</w:t>
            </w:r>
          </w:p>
        </w:tc>
        <w:tc>
          <w:tcPr>
            <w:tcW w:w="2091" w:type="dxa"/>
            <w:tcBorders>
              <w:top w:val="nil"/>
              <w:bottom w:val="nil"/>
            </w:tcBorders>
          </w:tcPr>
          <w:p>
            <w:pPr>
              <w:pStyle w:val="TableParagraph"/>
              <w:ind w:left="0"/>
              <w:rPr>
                <w:rFonts w:ascii="Times New Roman"/>
                <w:sz w:val="14"/>
              </w:rPr>
            </w:pPr>
          </w:p>
        </w:tc>
      </w:tr>
      <w:tr>
        <w:trPr>
          <w:trHeight w:val="319"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7"/>
              <w:ind w:left="107"/>
              <w:rPr>
                <w:sz w:val="15"/>
              </w:rPr>
            </w:pPr>
            <w:r>
              <w:rPr>
                <w:sz w:val="15"/>
              </w:rPr>
              <w:t>原发性硬化性胆管炎</w:t>
            </w:r>
          </w:p>
        </w:tc>
        <w:tc>
          <w:tcPr>
            <w:tcW w:w="2468" w:type="dxa"/>
            <w:tcBorders>
              <w:top w:val="nil"/>
              <w:bottom w:val="nil"/>
            </w:tcBorders>
          </w:tcPr>
          <w:p>
            <w:pPr>
              <w:pStyle w:val="TableParagraph"/>
              <w:spacing w:before="37"/>
              <w:ind w:left="107"/>
              <w:rPr>
                <w:sz w:val="15"/>
              </w:rPr>
            </w:pPr>
            <w:r>
              <w:rPr>
                <w:rFonts w:ascii="Times New Roman" w:eastAsia="Times New Roman"/>
                <w:sz w:val="15"/>
              </w:rPr>
              <w:t>III </w:t>
            </w:r>
            <w:r>
              <w:rPr>
                <w:sz w:val="15"/>
              </w:rPr>
              <w:t>度房室传导阻滞</w:t>
            </w:r>
          </w:p>
        </w:tc>
        <w:tc>
          <w:tcPr>
            <w:tcW w:w="2468" w:type="dxa"/>
            <w:tcBorders>
              <w:top w:val="nil"/>
              <w:bottom w:val="nil"/>
            </w:tcBorders>
          </w:tcPr>
          <w:p>
            <w:pPr>
              <w:pStyle w:val="TableParagraph"/>
              <w:spacing w:before="37"/>
              <w:ind w:left="107"/>
              <w:rPr>
                <w:sz w:val="15"/>
              </w:rPr>
            </w:pPr>
            <w:r>
              <w:rPr>
                <w:sz w:val="15"/>
              </w:rPr>
              <w:t>严重帕金森病</w:t>
            </w:r>
          </w:p>
        </w:tc>
        <w:tc>
          <w:tcPr>
            <w:tcW w:w="2091" w:type="dxa"/>
            <w:tcBorders>
              <w:top w:val="nil"/>
              <w:bottom w:val="nil"/>
            </w:tcBorders>
          </w:tcPr>
          <w:p>
            <w:pPr>
              <w:pStyle w:val="TableParagraph"/>
              <w:ind w:left="0"/>
              <w:rPr>
                <w:rFonts w:ascii="Times New Roman"/>
                <w:sz w:val="14"/>
              </w:rPr>
            </w:pPr>
          </w:p>
        </w:tc>
      </w:tr>
      <w:tr>
        <w:trPr>
          <w:trHeight w:val="305"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29"/>
              <w:ind w:left="107"/>
              <w:rPr>
                <w:sz w:val="15"/>
              </w:rPr>
            </w:pPr>
            <w:r>
              <w:rPr>
                <w:sz w:val="15"/>
              </w:rPr>
              <w:t>严重克隆症</w:t>
            </w:r>
          </w:p>
        </w:tc>
        <w:tc>
          <w:tcPr>
            <w:tcW w:w="2468" w:type="dxa"/>
            <w:tcBorders>
              <w:top w:val="nil"/>
              <w:bottom w:val="nil"/>
            </w:tcBorders>
          </w:tcPr>
          <w:p>
            <w:pPr>
              <w:pStyle w:val="TableParagraph"/>
              <w:spacing w:before="29"/>
              <w:ind w:left="107"/>
              <w:rPr>
                <w:sz w:val="15"/>
              </w:rPr>
            </w:pPr>
            <w:r>
              <w:rPr>
                <w:sz w:val="15"/>
              </w:rPr>
              <w:t>重症手足口病</w:t>
            </w:r>
          </w:p>
        </w:tc>
        <w:tc>
          <w:tcPr>
            <w:tcW w:w="2468" w:type="dxa"/>
            <w:tcBorders>
              <w:top w:val="nil"/>
              <w:bottom w:val="nil"/>
            </w:tcBorders>
          </w:tcPr>
          <w:p>
            <w:pPr>
              <w:pStyle w:val="TableParagraph"/>
              <w:spacing w:before="29"/>
              <w:ind w:left="107"/>
              <w:rPr>
                <w:sz w:val="15"/>
              </w:rPr>
            </w:pPr>
            <w:r>
              <w:rPr>
                <w:sz w:val="15"/>
              </w:rPr>
              <w:t>严重运动神经元病</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严重溃疡性结肠炎</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严重多发性硬化症</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严重肠道疾病并发症</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进行性核上性麻痹</w:t>
            </w:r>
          </w:p>
        </w:tc>
        <w:tc>
          <w:tcPr>
            <w:tcW w:w="2091" w:type="dxa"/>
            <w:tcBorders>
              <w:top w:val="nil"/>
              <w:bottom w:val="nil"/>
            </w:tcBorders>
          </w:tcPr>
          <w:p>
            <w:pPr>
              <w:pStyle w:val="TableParagraph"/>
              <w:ind w:left="0"/>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重型再生障碍性贫血</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脑炎后遗症或脑膜炎后遗症</w:t>
            </w:r>
          </w:p>
        </w:tc>
        <w:tc>
          <w:tcPr>
            <w:tcW w:w="2091" w:type="dxa"/>
            <w:tcBorders>
              <w:top w:val="nil"/>
              <w:bottom w:val="nil"/>
            </w:tcBorders>
          </w:tcPr>
          <w:p>
            <w:pPr>
              <w:pStyle w:val="TableParagraph"/>
              <w:ind w:left="0"/>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6"/>
              <w:ind w:left="107"/>
              <w:rPr>
                <w:sz w:val="15"/>
              </w:rPr>
            </w:pPr>
            <w:r>
              <w:rPr>
                <w:sz w:val="15"/>
              </w:rPr>
              <w:t>经输血导致的艾滋病病毒感染</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6"/>
              <w:ind w:left="107"/>
              <w:rPr>
                <w:sz w:val="15"/>
              </w:rPr>
            </w:pPr>
            <w:r>
              <w:rPr>
                <w:sz w:val="15"/>
              </w:rPr>
              <w:t>全身性重症肌无力</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因职业关系导致的艾滋病病毒感染</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严重肌营养不良症</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嗜铬细胞瘤</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严重脊髓灰质炎</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严重类风湿性关节炎</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疯牛病</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严重哮喘</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细菌性脑脊髓膜炎</w:t>
            </w:r>
          </w:p>
        </w:tc>
        <w:tc>
          <w:tcPr>
            <w:tcW w:w="2091" w:type="dxa"/>
            <w:tcBorders>
              <w:top w:val="nil"/>
              <w:bottom w:val="nil"/>
            </w:tcBorders>
          </w:tcPr>
          <w:p>
            <w:pPr>
              <w:pStyle w:val="TableParagraph"/>
              <w:ind w:left="0"/>
              <w:rPr>
                <w:rFonts w:ascii="Times New Roman"/>
                <w:sz w:val="14"/>
              </w:rPr>
            </w:pPr>
          </w:p>
        </w:tc>
      </w:tr>
      <w:tr>
        <w:trPr>
          <w:trHeight w:val="313" w:hRule="atLeast"/>
        </w:trPr>
        <w:tc>
          <w:tcPr>
            <w:tcW w:w="867" w:type="dxa"/>
            <w:vMerge/>
            <w:tcBorders>
              <w:top w:val="nil"/>
            </w:tcBorders>
          </w:tcPr>
          <w:p>
            <w:pPr>
              <w:rPr>
                <w:sz w:val="2"/>
                <w:szCs w:val="2"/>
              </w:rPr>
            </w:pPr>
          </w:p>
        </w:tc>
        <w:tc>
          <w:tcPr>
            <w:tcW w:w="2703" w:type="dxa"/>
            <w:tcBorders>
              <w:top w:val="nil"/>
            </w:tcBorders>
          </w:tcPr>
          <w:p>
            <w:pPr>
              <w:pStyle w:val="TableParagraph"/>
              <w:spacing w:before="35"/>
              <w:ind w:left="107"/>
              <w:rPr>
                <w:sz w:val="15"/>
              </w:rPr>
            </w:pPr>
            <w:r>
              <w:rPr>
                <w:sz w:val="15"/>
              </w:rPr>
              <w:t>严重瑞氏综合症</w:t>
            </w:r>
          </w:p>
        </w:tc>
        <w:tc>
          <w:tcPr>
            <w:tcW w:w="2468" w:type="dxa"/>
            <w:tcBorders>
              <w:top w:val="nil"/>
            </w:tcBorders>
          </w:tcPr>
          <w:p>
            <w:pPr>
              <w:pStyle w:val="TableParagraph"/>
              <w:ind w:left="0"/>
              <w:rPr>
                <w:rFonts w:ascii="Times New Roman"/>
                <w:sz w:val="14"/>
              </w:rPr>
            </w:pPr>
          </w:p>
        </w:tc>
        <w:tc>
          <w:tcPr>
            <w:tcW w:w="2468" w:type="dxa"/>
            <w:tcBorders>
              <w:top w:val="nil"/>
            </w:tcBorders>
          </w:tcPr>
          <w:p>
            <w:pPr>
              <w:pStyle w:val="TableParagraph"/>
              <w:ind w:left="0"/>
              <w:rPr>
                <w:rFonts w:ascii="Times New Roman"/>
                <w:sz w:val="14"/>
              </w:rPr>
            </w:pPr>
          </w:p>
        </w:tc>
        <w:tc>
          <w:tcPr>
            <w:tcW w:w="2091" w:type="dxa"/>
            <w:tcBorders>
              <w:top w:val="nil"/>
            </w:tcBorders>
          </w:tcPr>
          <w:p>
            <w:pPr>
              <w:pStyle w:val="TableParagraph"/>
              <w:ind w:left="0"/>
              <w:rPr>
                <w:rFonts w:ascii="Times New Roman"/>
                <w:sz w:val="14"/>
              </w:rPr>
            </w:pPr>
          </w:p>
        </w:tc>
      </w:tr>
      <w:tr>
        <w:trPr>
          <w:trHeight w:val="622" w:hRule="atLeast"/>
        </w:trPr>
        <w:tc>
          <w:tcPr>
            <w:tcW w:w="867" w:type="dxa"/>
            <w:vMerge w:val="restart"/>
          </w:tcPr>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ind w:left="0"/>
              <w:rPr>
                <w:rFonts w:ascii="微软雅黑"/>
                <w:b/>
                <w:sz w:val="14"/>
              </w:rPr>
            </w:pPr>
          </w:p>
          <w:p>
            <w:pPr>
              <w:pStyle w:val="TableParagraph"/>
              <w:spacing w:before="6"/>
              <w:ind w:left="0"/>
              <w:rPr>
                <w:rFonts w:ascii="微软雅黑"/>
                <w:b/>
                <w:sz w:val="13"/>
              </w:rPr>
            </w:pPr>
          </w:p>
          <w:p>
            <w:pPr>
              <w:pStyle w:val="TableParagraph"/>
              <w:spacing w:line="288" w:lineRule="auto"/>
              <w:ind w:left="107" w:right="142"/>
              <w:rPr>
                <w:rFonts w:ascii="微软雅黑" w:eastAsia="微软雅黑" w:hint="eastAsia"/>
                <w:b/>
                <w:sz w:val="15"/>
              </w:rPr>
            </w:pPr>
            <w:r>
              <w:rPr>
                <w:rFonts w:ascii="微软雅黑" w:eastAsia="微软雅黑" w:hint="eastAsia"/>
                <w:b/>
                <w:sz w:val="15"/>
              </w:rPr>
              <w:t>早期危重疾病</w:t>
            </w:r>
          </w:p>
        </w:tc>
        <w:tc>
          <w:tcPr>
            <w:tcW w:w="2703" w:type="dxa"/>
            <w:tcBorders>
              <w:bottom w:val="nil"/>
            </w:tcBorders>
          </w:tcPr>
          <w:p>
            <w:pPr>
              <w:pStyle w:val="TableParagraph"/>
              <w:spacing w:before="36"/>
              <w:ind w:left="107"/>
              <w:rPr>
                <w:sz w:val="15"/>
              </w:rPr>
            </w:pPr>
            <w:r>
              <w:rPr>
                <w:sz w:val="15"/>
              </w:rPr>
              <w:t>极早期恶性肿瘤或恶性病变</w:t>
            </w:r>
          </w:p>
        </w:tc>
        <w:tc>
          <w:tcPr>
            <w:tcW w:w="2468" w:type="dxa"/>
            <w:tcBorders>
              <w:bottom w:val="nil"/>
            </w:tcBorders>
          </w:tcPr>
          <w:p>
            <w:pPr>
              <w:pStyle w:val="TableParagraph"/>
              <w:spacing w:before="36"/>
              <w:ind w:left="107"/>
              <w:rPr>
                <w:sz w:val="15"/>
              </w:rPr>
            </w:pPr>
            <w:r>
              <w:rPr>
                <w:sz w:val="15"/>
              </w:rPr>
              <w:t>不典型心肌梗塞</w:t>
            </w:r>
          </w:p>
        </w:tc>
        <w:tc>
          <w:tcPr>
            <w:tcW w:w="2468" w:type="dxa"/>
            <w:tcBorders>
              <w:bottom w:val="nil"/>
            </w:tcBorders>
          </w:tcPr>
          <w:p>
            <w:pPr>
              <w:pStyle w:val="TableParagraph"/>
              <w:spacing w:before="36"/>
              <w:ind w:left="107"/>
              <w:rPr>
                <w:sz w:val="15"/>
              </w:rPr>
            </w:pPr>
            <w:r>
              <w:rPr>
                <w:sz w:val="15"/>
              </w:rPr>
              <w:t>脑垂体瘤、脑囊肿、脑动脉瘤及脑</w:t>
            </w:r>
          </w:p>
          <w:p>
            <w:pPr>
              <w:pStyle w:val="TableParagraph"/>
              <w:spacing w:before="116"/>
              <w:ind w:left="107"/>
              <w:rPr>
                <w:sz w:val="15"/>
              </w:rPr>
            </w:pPr>
            <w:r>
              <w:rPr>
                <w:sz w:val="15"/>
              </w:rPr>
              <w:t>血管瘤</w:t>
            </w:r>
          </w:p>
        </w:tc>
        <w:tc>
          <w:tcPr>
            <w:tcW w:w="2091" w:type="dxa"/>
            <w:tcBorders>
              <w:bottom w:val="nil"/>
            </w:tcBorders>
          </w:tcPr>
          <w:p>
            <w:pPr>
              <w:pStyle w:val="TableParagraph"/>
              <w:spacing w:before="36"/>
              <w:ind w:left="109"/>
              <w:rPr>
                <w:sz w:val="15"/>
              </w:rPr>
            </w:pPr>
            <w:r>
              <w:rPr>
                <w:sz w:val="15"/>
              </w:rPr>
              <w:t>一肢缺失</w:t>
            </w: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7"/>
              <w:ind w:left="107"/>
              <w:rPr>
                <w:sz w:val="15"/>
              </w:rPr>
            </w:pPr>
            <w:r>
              <w:rPr>
                <w:sz w:val="15"/>
              </w:rPr>
              <w:t>单侧肺脏切除</w:t>
            </w:r>
          </w:p>
        </w:tc>
        <w:tc>
          <w:tcPr>
            <w:tcW w:w="2468" w:type="dxa"/>
            <w:tcBorders>
              <w:top w:val="nil"/>
              <w:bottom w:val="nil"/>
            </w:tcBorders>
          </w:tcPr>
          <w:p>
            <w:pPr>
              <w:pStyle w:val="TableParagraph"/>
              <w:spacing w:before="37"/>
              <w:ind w:left="107"/>
              <w:rPr>
                <w:sz w:val="15"/>
              </w:rPr>
            </w:pPr>
            <w:r>
              <w:rPr>
                <w:sz w:val="15"/>
              </w:rPr>
              <w:t>冠状动脉介入手术（非开胸手术）</w:t>
            </w:r>
          </w:p>
        </w:tc>
        <w:tc>
          <w:tcPr>
            <w:tcW w:w="2468" w:type="dxa"/>
            <w:tcBorders>
              <w:top w:val="nil"/>
              <w:bottom w:val="nil"/>
            </w:tcBorders>
          </w:tcPr>
          <w:p>
            <w:pPr>
              <w:pStyle w:val="TableParagraph"/>
              <w:spacing w:before="37"/>
              <w:ind w:left="107"/>
              <w:rPr>
                <w:sz w:val="15"/>
              </w:rPr>
            </w:pPr>
            <w:r>
              <w:rPr>
                <w:sz w:val="15"/>
              </w:rPr>
              <w:t>重度头部外伤</w:t>
            </w:r>
          </w:p>
        </w:tc>
        <w:tc>
          <w:tcPr>
            <w:tcW w:w="2091" w:type="dxa"/>
            <w:tcBorders>
              <w:top w:val="nil"/>
              <w:bottom w:val="nil"/>
            </w:tcBorders>
          </w:tcPr>
          <w:p>
            <w:pPr>
              <w:pStyle w:val="TableParagraph"/>
              <w:spacing w:before="37"/>
              <w:ind w:left="109"/>
              <w:rPr>
                <w:sz w:val="15"/>
              </w:rPr>
            </w:pPr>
            <w:r>
              <w:rPr>
                <w:sz w:val="15"/>
              </w:rPr>
              <w:t>较小面积 </w:t>
            </w:r>
            <w:r>
              <w:rPr>
                <w:rFonts w:ascii="Times New Roman" w:eastAsia="Times New Roman"/>
                <w:sz w:val="15"/>
              </w:rPr>
              <w:t>III  </w:t>
            </w:r>
            <w:r>
              <w:rPr>
                <w:sz w:val="15"/>
              </w:rPr>
              <w:t>度烧伤</w:t>
            </w:r>
          </w:p>
        </w:tc>
      </w:tr>
      <w:tr>
        <w:trPr>
          <w:trHeight w:val="320"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7"/>
              <w:ind w:left="107"/>
              <w:rPr>
                <w:sz w:val="15"/>
              </w:rPr>
            </w:pPr>
            <w:r>
              <w:rPr>
                <w:sz w:val="15"/>
              </w:rPr>
              <w:t>肝脏手术</w:t>
            </w:r>
          </w:p>
        </w:tc>
        <w:tc>
          <w:tcPr>
            <w:tcW w:w="2468" w:type="dxa"/>
            <w:tcBorders>
              <w:top w:val="nil"/>
              <w:bottom w:val="nil"/>
            </w:tcBorders>
          </w:tcPr>
          <w:p>
            <w:pPr>
              <w:pStyle w:val="TableParagraph"/>
              <w:spacing w:before="37"/>
              <w:ind w:left="107"/>
              <w:rPr>
                <w:sz w:val="15"/>
              </w:rPr>
            </w:pPr>
            <w:r>
              <w:rPr>
                <w:sz w:val="15"/>
              </w:rPr>
              <w:t>主动脉内手术（非开胸手术）</w:t>
            </w:r>
          </w:p>
        </w:tc>
        <w:tc>
          <w:tcPr>
            <w:tcW w:w="2468" w:type="dxa"/>
            <w:tcBorders>
              <w:top w:val="nil"/>
              <w:bottom w:val="nil"/>
            </w:tcBorders>
          </w:tcPr>
          <w:p>
            <w:pPr>
              <w:pStyle w:val="TableParagraph"/>
              <w:spacing w:before="37"/>
              <w:ind w:left="107"/>
              <w:rPr>
                <w:sz w:val="15"/>
              </w:rPr>
            </w:pPr>
            <w:r>
              <w:rPr>
                <w:sz w:val="15"/>
              </w:rPr>
              <w:t>深度昏迷 </w:t>
            </w:r>
            <w:r>
              <w:rPr>
                <w:rFonts w:ascii="Times New Roman" w:eastAsia="Times New Roman"/>
                <w:sz w:val="15"/>
              </w:rPr>
              <w:t>72 </w:t>
            </w:r>
            <w:r>
              <w:rPr>
                <w:sz w:val="15"/>
              </w:rPr>
              <w:t>小时</w:t>
            </w:r>
          </w:p>
        </w:tc>
        <w:tc>
          <w:tcPr>
            <w:tcW w:w="2091" w:type="dxa"/>
            <w:tcBorders>
              <w:top w:val="nil"/>
              <w:bottom w:val="nil"/>
            </w:tcBorders>
          </w:tcPr>
          <w:p>
            <w:pPr>
              <w:pStyle w:val="TableParagraph"/>
              <w:ind w:left="0"/>
              <w:rPr>
                <w:rFonts w:ascii="Times New Roman"/>
                <w:sz w:val="14"/>
              </w:rPr>
            </w:pPr>
          </w:p>
        </w:tc>
      </w:tr>
      <w:tr>
        <w:trPr>
          <w:trHeight w:val="305"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29"/>
              <w:ind w:left="107"/>
              <w:rPr>
                <w:sz w:val="15"/>
              </w:rPr>
            </w:pPr>
            <w:r>
              <w:rPr>
                <w:sz w:val="15"/>
              </w:rPr>
              <w:t>胆道系统重建手术</w:t>
            </w:r>
          </w:p>
        </w:tc>
        <w:tc>
          <w:tcPr>
            <w:tcW w:w="2468" w:type="dxa"/>
            <w:tcBorders>
              <w:top w:val="nil"/>
              <w:bottom w:val="nil"/>
            </w:tcBorders>
          </w:tcPr>
          <w:p>
            <w:pPr>
              <w:pStyle w:val="TableParagraph"/>
              <w:spacing w:before="29"/>
              <w:ind w:left="107"/>
              <w:rPr>
                <w:sz w:val="15"/>
              </w:rPr>
            </w:pPr>
            <w:r>
              <w:rPr>
                <w:sz w:val="15"/>
              </w:rPr>
              <w:t>心脏瓣膜介入手术（非开胸手术）</w:t>
            </w:r>
          </w:p>
        </w:tc>
        <w:tc>
          <w:tcPr>
            <w:tcW w:w="2468" w:type="dxa"/>
            <w:tcBorders>
              <w:top w:val="nil"/>
              <w:bottom w:val="nil"/>
            </w:tcBorders>
          </w:tcPr>
          <w:p>
            <w:pPr>
              <w:pStyle w:val="TableParagraph"/>
              <w:spacing w:before="29"/>
              <w:ind w:left="107"/>
              <w:rPr>
                <w:sz w:val="15"/>
              </w:rPr>
            </w:pPr>
            <w:r>
              <w:rPr>
                <w:sz w:val="15"/>
              </w:rPr>
              <w:t>中度帕金森氏病</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早期肝硬化</w:t>
            </w:r>
          </w:p>
        </w:tc>
        <w:tc>
          <w:tcPr>
            <w:tcW w:w="2468" w:type="dxa"/>
            <w:tcBorders>
              <w:top w:val="nil"/>
              <w:bottom w:val="nil"/>
            </w:tcBorders>
          </w:tcPr>
          <w:p>
            <w:pPr>
              <w:pStyle w:val="TableParagraph"/>
              <w:spacing w:before="35"/>
              <w:ind w:left="107"/>
              <w:rPr>
                <w:sz w:val="15"/>
              </w:rPr>
            </w:pPr>
            <w:r>
              <w:rPr>
                <w:sz w:val="15"/>
              </w:rPr>
              <w:t>继发性肺动脉高压</w:t>
            </w:r>
          </w:p>
        </w:tc>
        <w:tc>
          <w:tcPr>
            <w:tcW w:w="2468" w:type="dxa"/>
            <w:tcBorders>
              <w:top w:val="nil"/>
              <w:bottom w:val="nil"/>
            </w:tcBorders>
          </w:tcPr>
          <w:p>
            <w:pPr>
              <w:pStyle w:val="TableParagraph"/>
              <w:spacing w:before="35"/>
              <w:ind w:left="107"/>
              <w:rPr>
                <w:sz w:val="15"/>
              </w:rPr>
            </w:pPr>
            <w:r>
              <w:rPr>
                <w:sz w:val="15"/>
              </w:rPr>
              <w:t>中度瘫痪</w:t>
            </w:r>
          </w:p>
        </w:tc>
        <w:tc>
          <w:tcPr>
            <w:tcW w:w="2091" w:type="dxa"/>
            <w:tcBorders>
              <w:top w:val="nil"/>
              <w:bottom w:val="nil"/>
            </w:tcBorders>
          </w:tcPr>
          <w:p>
            <w:pPr>
              <w:pStyle w:val="TableParagraph"/>
              <w:ind w:left="0"/>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因肾上腺腺瘤的肾上腺切除术</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中度阿尔兹海默病</w:t>
            </w:r>
          </w:p>
        </w:tc>
        <w:tc>
          <w:tcPr>
            <w:tcW w:w="2091" w:type="dxa"/>
            <w:tcBorders>
              <w:top w:val="nil"/>
              <w:bottom w:val="nil"/>
            </w:tcBorders>
          </w:tcPr>
          <w:p>
            <w:pPr>
              <w:pStyle w:val="TableParagraph"/>
              <w:ind w:left="0"/>
              <w:rPr>
                <w:rFonts w:ascii="Times New Roman"/>
                <w:sz w:val="14"/>
              </w:rPr>
            </w:pPr>
          </w:p>
        </w:tc>
      </w:tr>
      <w:tr>
        <w:trPr>
          <w:trHeight w:val="312"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6"/>
              <w:ind w:left="107"/>
              <w:rPr>
                <w:sz w:val="15"/>
              </w:rPr>
            </w:pPr>
            <w:r>
              <w:rPr>
                <w:sz w:val="15"/>
              </w:rPr>
              <w:t>慢性肾功能障碍</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6"/>
              <w:ind w:left="107"/>
              <w:rPr>
                <w:sz w:val="15"/>
              </w:rPr>
            </w:pPr>
            <w:r>
              <w:rPr>
                <w:sz w:val="15"/>
              </w:rPr>
              <w:t>中度听力受损</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可逆性再生障碍性贫血</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视力严重受损</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中度溃疡性结肠炎</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轻度颅脑手术</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spacing w:before="35"/>
              <w:ind w:left="107"/>
              <w:rPr>
                <w:sz w:val="15"/>
              </w:rPr>
            </w:pPr>
            <w:r>
              <w:rPr>
                <w:sz w:val="15"/>
              </w:rPr>
              <w:t>中度严重克隆症</w:t>
            </w: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人工耳蜗植入术</w:t>
            </w:r>
          </w:p>
        </w:tc>
        <w:tc>
          <w:tcPr>
            <w:tcW w:w="2091" w:type="dxa"/>
            <w:tcBorders>
              <w:top w:val="nil"/>
              <w:bottom w:val="nil"/>
            </w:tcBorders>
          </w:tcPr>
          <w:p>
            <w:pPr>
              <w:pStyle w:val="TableParagraph"/>
              <w:ind w:left="0"/>
              <w:rPr>
                <w:rFonts w:ascii="Times New Roman"/>
                <w:sz w:val="14"/>
              </w:rPr>
            </w:pPr>
          </w:p>
        </w:tc>
      </w:tr>
      <w:tr>
        <w:trPr>
          <w:trHeight w:val="311" w:hRule="atLeast"/>
        </w:trPr>
        <w:tc>
          <w:tcPr>
            <w:tcW w:w="867" w:type="dxa"/>
            <w:vMerge/>
            <w:tcBorders>
              <w:top w:val="nil"/>
            </w:tcBorders>
          </w:tcPr>
          <w:p>
            <w:pPr>
              <w:rPr>
                <w:sz w:val="2"/>
                <w:szCs w:val="2"/>
              </w:rPr>
            </w:pPr>
          </w:p>
        </w:tc>
        <w:tc>
          <w:tcPr>
            <w:tcW w:w="2703"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轻度脑炎或脑膜炎后遗症</w:t>
            </w:r>
          </w:p>
        </w:tc>
        <w:tc>
          <w:tcPr>
            <w:tcW w:w="2091" w:type="dxa"/>
            <w:tcBorders>
              <w:top w:val="nil"/>
              <w:bottom w:val="nil"/>
            </w:tcBorders>
          </w:tcPr>
          <w:p>
            <w:pPr>
              <w:pStyle w:val="TableParagraph"/>
              <w:ind w:left="0"/>
              <w:rPr>
                <w:rFonts w:ascii="Times New Roman"/>
                <w:sz w:val="14"/>
              </w:rPr>
            </w:pPr>
          </w:p>
        </w:tc>
      </w:tr>
      <w:tr>
        <w:trPr>
          <w:trHeight w:val="313" w:hRule="atLeast"/>
        </w:trPr>
        <w:tc>
          <w:tcPr>
            <w:tcW w:w="867" w:type="dxa"/>
            <w:vMerge/>
            <w:tcBorders>
              <w:top w:val="nil"/>
            </w:tcBorders>
          </w:tcPr>
          <w:p>
            <w:pPr>
              <w:rPr>
                <w:sz w:val="2"/>
                <w:szCs w:val="2"/>
              </w:rPr>
            </w:pPr>
          </w:p>
        </w:tc>
        <w:tc>
          <w:tcPr>
            <w:tcW w:w="2703"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ind w:left="0"/>
              <w:rPr>
                <w:rFonts w:ascii="Times New Roman"/>
                <w:sz w:val="14"/>
              </w:rPr>
            </w:pPr>
          </w:p>
        </w:tc>
        <w:tc>
          <w:tcPr>
            <w:tcW w:w="2468" w:type="dxa"/>
            <w:tcBorders>
              <w:top w:val="nil"/>
              <w:bottom w:val="nil"/>
            </w:tcBorders>
          </w:tcPr>
          <w:p>
            <w:pPr>
              <w:pStyle w:val="TableParagraph"/>
              <w:spacing w:before="35"/>
              <w:ind w:left="107"/>
              <w:rPr>
                <w:sz w:val="15"/>
              </w:rPr>
            </w:pPr>
            <w:r>
              <w:rPr>
                <w:sz w:val="15"/>
              </w:rPr>
              <w:t>轻微脑中风</w:t>
            </w:r>
          </w:p>
        </w:tc>
        <w:tc>
          <w:tcPr>
            <w:tcW w:w="2091" w:type="dxa"/>
            <w:tcBorders>
              <w:top w:val="nil"/>
              <w:bottom w:val="nil"/>
            </w:tcBorders>
          </w:tcPr>
          <w:p>
            <w:pPr>
              <w:pStyle w:val="TableParagraph"/>
              <w:ind w:left="0"/>
              <w:rPr>
                <w:rFonts w:ascii="Times New Roman"/>
                <w:sz w:val="14"/>
              </w:rPr>
            </w:pPr>
          </w:p>
        </w:tc>
      </w:tr>
      <w:tr>
        <w:trPr>
          <w:trHeight w:val="314" w:hRule="atLeast"/>
        </w:trPr>
        <w:tc>
          <w:tcPr>
            <w:tcW w:w="867" w:type="dxa"/>
            <w:vMerge/>
            <w:tcBorders>
              <w:top w:val="nil"/>
            </w:tcBorders>
          </w:tcPr>
          <w:p>
            <w:pPr>
              <w:rPr>
                <w:sz w:val="2"/>
                <w:szCs w:val="2"/>
              </w:rPr>
            </w:pPr>
          </w:p>
        </w:tc>
        <w:tc>
          <w:tcPr>
            <w:tcW w:w="2703" w:type="dxa"/>
            <w:tcBorders>
              <w:top w:val="nil"/>
            </w:tcBorders>
          </w:tcPr>
          <w:p>
            <w:pPr>
              <w:pStyle w:val="TableParagraph"/>
              <w:ind w:left="0"/>
              <w:rPr>
                <w:rFonts w:ascii="Times New Roman"/>
                <w:sz w:val="14"/>
              </w:rPr>
            </w:pPr>
          </w:p>
        </w:tc>
        <w:tc>
          <w:tcPr>
            <w:tcW w:w="2468" w:type="dxa"/>
            <w:tcBorders>
              <w:top w:val="nil"/>
            </w:tcBorders>
          </w:tcPr>
          <w:p>
            <w:pPr>
              <w:pStyle w:val="TableParagraph"/>
              <w:ind w:left="0"/>
              <w:rPr>
                <w:rFonts w:ascii="Times New Roman"/>
                <w:sz w:val="14"/>
              </w:rPr>
            </w:pPr>
          </w:p>
        </w:tc>
        <w:tc>
          <w:tcPr>
            <w:tcW w:w="2468" w:type="dxa"/>
            <w:tcBorders>
              <w:top w:val="nil"/>
            </w:tcBorders>
          </w:tcPr>
          <w:p>
            <w:pPr>
              <w:pStyle w:val="TableParagraph"/>
              <w:spacing w:before="36"/>
              <w:ind w:left="107"/>
              <w:rPr>
                <w:sz w:val="15"/>
              </w:rPr>
            </w:pPr>
            <w:r>
              <w:rPr>
                <w:sz w:val="15"/>
              </w:rPr>
              <w:t>早期运动神经性疾病</w:t>
            </w:r>
          </w:p>
        </w:tc>
        <w:tc>
          <w:tcPr>
            <w:tcW w:w="2091" w:type="dxa"/>
            <w:tcBorders>
              <w:top w:val="nil"/>
            </w:tcBorders>
          </w:tcPr>
          <w:p>
            <w:pPr>
              <w:pStyle w:val="TableParagraph"/>
              <w:ind w:left="0"/>
              <w:rPr>
                <w:rFonts w:ascii="Times New Roman"/>
                <w:sz w:val="14"/>
              </w:rPr>
            </w:pPr>
          </w:p>
        </w:tc>
      </w:tr>
    </w:tbl>
    <w:p>
      <w:pPr>
        <w:pStyle w:val="BodyText"/>
        <w:spacing w:before="5"/>
        <w:rPr>
          <w:rFonts w:ascii="微软雅黑"/>
          <w:b/>
          <w:sz w:val="17"/>
        </w:rPr>
      </w:pPr>
    </w:p>
    <w:p>
      <w:pPr>
        <w:pStyle w:val="BodyText"/>
        <w:spacing w:before="1"/>
        <w:ind w:left="4317" w:right="4372"/>
        <w:jc w:val="center"/>
      </w:pPr>
      <w:r>
        <w:rPr/>
        <w:t>（保险条款内容结束）</w:t>
      </w:r>
    </w:p>
    <w:sectPr>
      <w:pgSz w:w="11910" w:h="16840"/>
      <w:pgMar w:header="0" w:footer="915" w:top="1080" w:bottom="110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6.089996pt;margin-top:781.179993pt;width:24.15pt;height:12pt;mso-position-horizontal-relative:page;mso-position-vertical-relative:page;z-index:-56152" type="#_x0000_t202" filled="false" stroked="false">
          <v:textbox inset="0,0,0,0">
            <w:txbxContent>
              <w:p>
                <w:pPr>
                  <w:spacing w:before="12"/>
                  <w:ind w:left="20" w:right="0" w:firstLine="0"/>
                  <w:jc w:val="left"/>
                  <w:rPr>
                    <w:rFonts w:ascii="Times New Roman"/>
                    <w:sz w:val="18"/>
                  </w:rPr>
                </w:pPr>
                <w:r>
                  <w:rPr>
                    <w:rFonts w:ascii="Times New Roman"/>
                    <w:sz w:val="18"/>
                  </w:rPr>
                  <w:t>25-</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2417" w:hanging="791"/>
        <w:jc w:val="left"/>
      </w:pPr>
      <w:rPr>
        <w:rFonts w:hint="default"/>
      </w:rPr>
    </w:lvl>
    <w:lvl w:ilvl="1">
      <w:start w:val="1"/>
      <w:numFmt w:val="decimal"/>
      <w:lvlText w:val="%1.%2"/>
      <w:lvlJc w:val="left"/>
      <w:pPr>
        <w:ind w:left="2417" w:hanging="791"/>
        <w:jc w:val="left"/>
      </w:pPr>
      <w:rPr>
        <w:rFonts w:hint="default" w:ascii="Times New Roman" w:hAnsi="Times New Roman" w:eastAsia="Times New Roman" w:cs="Times New Roman"/>
        <w:b/>
        <w:bCs/>
        <w:w w:val="100"/>
        <w:sz w:val="21"/>
        <w:szCs w:val="21"/>
      </w:rPr>
    </w:lvl>
    <w:lvl w:ilvl="2">
      <w:start w:val="7"/>
      <w:numFmt w:val="decimal"/>
      <w:lvlText w:val="%3."/>
      <w:lvlJc w:val="left"/>
      <w:pPr>
        <w:ind w:left="1002" w:hanging="791"/>
        <w:jc w:val="left"/>
      </w:pPr>
      <w:rPr>
        <w:rFonts w:hint="default" w:ascii="Times New Roman" w:hAnsi="Times New Roman" w:eastAsia="Times New Roman" w:cs="Times New Roman"/>
        <w:b/>
        <w:bCs/>
        <w:w w:val="100"/>
        <w:sz w:val="24"/>
        <w:szCs w:val="24"/>
      </w:rPr>
    </w:lvl>
    <w:lvl w:ilvl="3">
      <w:start w:val="1"/>
      <w:numFmt w:val="decimal"/>
      <w:lvlText w:val="%3.%4"/>
      <w:lvlJc w:val="left"/>
      <w:pPr>
        <w:ind w:left="1002" w:hanging="791"/>
        <w:jc w:val="left"/>
      </w:pPr>
      <w:rPr>
        <w:rFonts w:hint="default" w:ascii="Times New Roman" w:hAnsi="Times New Roman" w:eastAsia="Times New Roman" w:cs="Times New Roman"/>
        <w:b/>
        <w:bCs/>
        <w:w w:val="100"/>
        <w:sz w:val="21"/>
        <w:szCs w:val="21"/>
      </w:rPr>
    </w:lvl>
    <w:lvl w:ilvl="4">
      <w:start w:val="0"/>
      <w:numFmt w:val="bullet"/>
      <w:lvlText w:val="•"/>
      <w:lvlJc w:val="left"/>
      <w:pPr>
        <w:ind w:left="2432" w:hanging="791"/>
      </w:pPr>
      <w:rPr>
        <w:rFonts w:hint="default"/>
      </w:rPr>
    </w:lvl>
    <w:lvl w:ilvl="5">
      <w:start w:val="0"/>
      <w:numFmt w:val="bullet"/>
      <w:lvlText w:val="•"/>
      <w:lvlJc w:val="left"/>
      <w:pPr>
        <w:ind w:left="2388" w:hanging="791"/>
      </w:pPr>
      <w:rPr>
        <w:rFonts w:hint="default"/>
      </w:rPr>
    </w:lvl>
    <w:lvl w:ilvl="6">
      <w:start w:val="0"/>
      <w:numFmt w:val="bullet"/>
      <w:lvlText w:val="•"/>
      <w:lvlJc w:val="left"/>
      <w:pPr>
        <w:ind w:left="2345" w:hanging="791"/>
      </w:pPr>
      <w:rPr>
        <w:rFonts w:hint="default"/>
      </w:rPr>
    </w:lvl>
    <w:lvl w:ilvl="7">
      <w:start w:val="0"/>
      <w:numFmt w:val="bullet"/>
      <w:lvlText w:val="•"/>
      <w:lvlJc w:val="left"/>
      <w:pPr>
        <w:ind w:left="2301" w:hanging="791"/>
      </w:pPr>
      <w:rPr>
        <w:rFonts w:hint="default"/>
      </w:rPr>
    </w:lvl>
    <w:lvl w:ilvl="8">
      <w:start w:val="0"/>
      <w:numFmt w:val="bullet"/>
      <w:lvlText w:val="•"/>
      <w:lvlJc w:val="left"/>
      <w:pPr>
        <w:ind w:left="2257" w:hanging="791"/>
      </w:pPr>
      <w:rPr>
        <w:rFonts w:hint="default"/>
      </w:rPr>
    </w:lvl>
  </w:abstractNum>
  <w:abstractNum w:abstractNumId="1">
    <w:multiLevelType w:val="hybridMultilevel"/>
    <w:lvl w:ilvl="0">
      <w:start w:val="6"/>
      <w:numFmt w:val="decimal"/>
      <w:lvlText w:val="%1."/>
      <w:lvlJc w:val="left"/>
      <w:pPr>
        <w:ind w:left="985"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194"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200" w:hanging="368"/>
      </w:pPr>
      <w:rPr>
        <w:rFonts w:hint="default"/>
      </w:rPr>
    </w:lvl>
    <w:lvl w:ilvl="3">
      <w:start w:val="0"/>
      <w:numFmt w:val="bullet"/>
      <w:lvlText w:val="•"/>
      <w:lvlJc w:val="left"/>
      <w:pPr>
        <w:ind w:left="1300" w:hanging="368"/>
      </w:pPr>
      <w:rPr>
        <w:rFonts w:hint="default"/>
      </w:rPr>
    </w:lvl>
    <w:lvl w:ilvl="4">
      <w:start w:val="0"/>
      <w:numFmt w:val="bullet"/>
      <w:lvlText w:val="•"/>
      <w:lvlJc w:val="left"/>
      <w:pPr>
        <w:ind w:left="1702" w:hanging="368"/>
      </w:pPr>
      <w:rPr>
        <w:rFonts w:hint="default"/>
      </w:rPr>
    </w:lvl>
    <w:lvl w:ilvl="5">
      <w:start w:val="0"/>
      <w:numFmt w:val="bullet"/>
      <w:lvlText w:val="•"/>
      <w:lvlJc w:val="left"/>
      <w:pPr>
        <w:ind w:left="2104" w:hanging="368"/>
      </w:pPr>
      <w:rPr>
        <w:rFonts w:hint="default"/>
      </w:rPr>
    </w:lvl>
    <w:lvl w:ilvl="6">
      <w:start w:val="0"/>
      <w:numFmt w:val="bullet"/>
      <w:lvlText w:val="•"/>
      <w:lvlJc w:val="left"/>
      <w:pPr>
        <w:ind w:left="2506" w:hanging="368"/>
      </w:pPr>
      <w:rPr>
        <w:rFonts w:hint="default"/>
      </w:rPr>
    </w:lvl>
    <w:lvl w:ilvl="7">
      <w:start w:val="0"/>
      <w:numFmt w:val="bullet"/>
      <w:lvlText w:val="•"/>
      <w:lvlJc w:val="left"/>
      <w:pPr>
        <w:ind w:left="2908" w:hanging="368"/>
      </w:pPr>
      <w:rPr>
        <w:rFonts w:hint="default"/>
      </w:rPr>
    </w:lvl>
    <w:lvl w:ilvl="8">
      <w:start w:val="0"/>
      <w:numFmt w:val="bullet"/>
      <w:lvlText w:val="•"/>
      <w:lvlJc w:val="left"/>
      <w:pPr>
        <w:ind w:left="3310"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93" w:hanging="368"/>
      </w:pPr>
      <w:rPr>
        <w:rFonts w:hint="default"/>
      </w:rPr>
    </w:lvl>
    <w:lvl w:ilvl="3">
      <w:start w:val="0"/>
      <w:numFmt w:val="bullet"/>
      <w:lvlText w:val="•"/>
      <w:lvlJc w:val="left"/>
      <w:pPr>
        <w:ind w:left="1307" w:hanging="368"/>
      </w:pPr>
      <w:rPr>
        <w:rFonts w:hint="default"/>
      </w:rPr>
    </w:lvl>
    <w:lvl w:ilvl="4">
      <w:start w:val="0"/>
      <w:numFmt w:val="bullet"/>
      <w:lvlText w:val="•"/>
      <w:lvlJc w:val="left"/>
      <w:pPr>
        <w:ind w:left="1621" w:hanging="368"/>
      </w:pPr>
      <w:rPr>
        <w:rFonts w:hint="default"/>
      </w:rPr>
    </w:lvl>
    <w:lvl w:ilvl="5">
      <w:start w:val="0"/>
      <w:numFmt w:val="bullet"/>
      <w:lvlText w:val="•"/>
      <w:lvlJc w:val="left"/>
      <w:pPr>
        <w:ind w:left="1935" w:hanging="368"/>
      </w:pPr>
      <w:rPr>
        <w:rFonts w:hint="default"/>
      </w:rPr>
    </w:lvl>
    <w:lvl w:ilvl="6">
      <w:start w:val="0"/>
      <w:numFmt w:val="bullet"/>
      <w:lvlText w:val="•"/>
      <w:lvlJc w:val="left"/>
      <w:pPr>
        <w:ind w:left="2248" w:hanging="368"/>
      </w:pPr>
      <w:rPr>
        <w:rFonts w:hint="default"/>
      </w:rPr>
    </w:lvl>
    <w:lvl w:ilvl="7">
      <w:start w:val="0"/>
      <w:numFmt w:val="bullet"/>
      <w:lvlText w:val="•"/>
      <w:lvlJc w:val="left"/>
      <w:pPr>
        <w:ind w:left="2562" w:hanging="368"/>
      </w:pPr>
      <w:rPr>
        <w:rFonts w:hint="default"/>
      </w:rPr>
    </w:lvl>
    <w:lvl w:ilvl="8">
      <w:start w:val="0"/>
      <w:numFmt w:val="bullet"/>
      <w:lvlText w:val="•"/>
      <w:lvlJc w:val="left"/>
      <w:pPr>
        <w:ind w:left="2876" w:hanging="3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9"/>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77" w:lineRule="exact"/>
      <w:ind w:left="1002" w:hanging="790"/>
      <w:outlineLvl w:val="2"/>
    </w:pPr>
    <w:rPr>
      <w:rFonts w:ascii="微软雅黑" w:hAnsi="微软雅黑" w:eastAsia="微软雅黑" w:cs="微软雅黑"/>
      <w:b/>
      <w:bCs/>
      <w:sz w:val="24"/>
      <w:szCs w:val="24"/>
    </w:rPr>
  </w:style>
  <w:style w:styleId="Heading3" w:type="paragraph">
    <w:name w:val="Heading 3"/>
    <w:basedOn w:val="Normal"/>
    <w:uiPriority w:val="1"/>
    <w:qFormat/>
    <w:pPr>
      <w:spacing w:before="7"/>
      <w:ind w:left="1757"/>
      <w:outlineLvl w:val="3"/>
    </w:pPr>
    <w:rPr>
      <w:rFonts w:ascii="宋体" w:hAnsi="宋体" w:eastAsia="宋体" w:cs="宋体"/>
      <w:sz w:val="22"/>
      <w:szCs w:val="22"/>
    </w:rPr>
  </w:style>
  <w:style w:styleId="Heading4" w:type="paragraph">
    <w:name w:val="Heading 4"/>
    <w:basedOn w:val="Normal"/>
    <w:uiPriority w:val="1"/>
    <w:qFormat/>
    <w:pPr>
      <w:spacing w:before="25"/>
      <w:ind w:left="242"/>
      <w:outlineLvl w:val="4"/>
    </w:pPr>
    <w:rPr>
      <w:rFonts w:ascii="微软雅黑" w:hAnsi="微软雅黑" w:eastAsia="微软雅黑" w:cs="微软雅黑"/>
      <w:b/>
      <w:bCs/>
      <w:sz w:val="21"/>
      <w:szCs w:val="21"/>
    </w:rPr>
  </w:style>
  <w:style w:styleId="ListParagraph" w:type="paragraph">
    <w:name w:val="List Paragraph"/>
    <w:basedOn w:val="Normal"/>
    <w:uiPriority w:val="1"/>
    <w:qFormat/>
    <w:pPr>
      <w:ind w:left="2417" w:hanging="2305"/>
    </w:pPr>
    <w:rPr>
      <w:rFonts w:ascii="宋体" w:hAnsi="宋体" w:eastAsia="宋体" w:cs="宋体"/>
    </w:rPr>
  </w:style>
  <w:style w:styleId="TableParagraph" w:type="paragraph">
    <w:name w:val="Table Paragraph"/>
    <w:basedOn w:val="Normal"/>
    <w:uiPriority w:val="1"/>
    <w:qFormat/>
    <w:pPr>
      <w:ind w:left="12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2018-10-20T01:41:19Z</dcterms:created>
  <dcterms:modified xsi:type="dcterms:W3CDTF">2018-10-20T01:41:19Z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Microsoft® Word 2013</vt:lpwstr>
  </property>
  <property fmtid="{D5CDD505-2E9C-101B-9397-08002B2CF9AE}" pid="4" name="LastSaved">
    <vt:filetime>2018-10-19T00:00:00Z</vt:filetime>
  </property>
</Properties>
</file>