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102"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627401</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6196329</wp:posOffset>
            </wp:positionH>
            <wp:positionV relativeFrom="paragraph">
              <wp:posOffset>202586</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-613</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[2014]</w:t>
      </w:r>
      <w:r>
        <w:rPr>
          <w:sz w:val="18"/>
        </w:rPr>
        <w:t>疾病保险 </w:t>
      </w:r>
      <w:r>
        <w:rPr>
          <w:rFonts w:ascii="Times New Roman" w:eastAsia="Times New Roman"/>
          <w:sz w:val="18"/>
        </w:rPr>
        <w:t>051 </w:t>
      </w:r>
      <w:r>
        <w:rPr>
          <w:sz w:val="18"/>
        </w:rPr>
        <w:t>号</w:t>
      </w:r>
    </w:p>
    <w:p>
      <w:pPr>
        <w:spacing w:line="179" w:lineRule="exact" w:before="0"/>
        <w:ind w:left="0" w:right="424" w:firstLine="0"/>
        <w:jc w:val="right"/>
        <w:rPr>
          <w:sz w:val="18"/>
        </w:rPr>
      </w:pPr>
      <w:r>
        <w:rPr>
          <w:sz w:val="18"/>
        </w:rPr>
        <w:t>请扫描以查询验证条款</w:t>
      </w:r>
    </w:p>
    <w:p>
      <w:pPr>
        <w:spacing w:before="27"/>
        <w:ind w:left="3043" w:right="3123" w:firstLine="0"/>
        <w:jc w:val="center"/>
        <w:rPr>
          <w:b/>
          <w:sz w:val="30"/>
        </w:rPr>
      </w:pPr>
      <w:r>
        <w:rPr>
          <w:b/>
          <w:sz w:val="30"/>
        </w:rPr>
        <w:t>太平附加安康 </w:t>
      </w:r>
      <w:r>
        <w:rPr>
          <w:rFonts w:ascii="Times New Roman" w:eastAsia="Times New Roman"/>
          <w:b/>
          <w:sz w:val="30"/>
        </w:rPr>
        <w:t>B </w:t>
      </w:r>
      <w:r>
        <w:rPr>
          <w:b/>
          <w:sz w:val="30"/>
        </w:rPr>
        <w:t>款重大疾病保险条款</w:t>
      </w:r>
    </w:p>
    <w:p>
      <w:pPr>
        <w:pStyle w:val="BodyText"/>
        <w:rPr>
          <w:b/>
          <w:sz w:val="32"/>
        </w:rPr>
      </w:pPr>
    </w:p>
    <w:p>
      <w:pPr>
        <w:pStyle w:val="BodyText"/>
        <w:spacing w:before="9"/>
        <w:rPr>
          <w:b/>
          <w:sz w:val="40"/>
        </w:rPr>
      </w:pPr>
    </w:p>
    <w:p>
      <w:pPr>
        <w:spacing w:before="0"/>
        <w:ind w:left="3041" w:right="3123" w:firstLine="0"/>
        <w:jc w:val="center"/>
        <w:rPr>
          <w:b/>
          <w:sz w:val="28"/>
        </w:rPr>
      </w:pPr>
      <w:r>
        <w:rPr>
          <w:b/>
          <w:sz w:val="28"/>
        </w:rPr>
        <w:t>特别提示</w:t>
      </w:r>
    </w:p>
    <w:p>
      <w:pPr>
        <w:pStyle w:val="BodyText"/>
        <w:rPr>
          <w:b/>
          <w:sz w:val="28"/>
        </w:rPr>
      </w:pPr>
    </w:p>
    <w:p>
      <w:pPr>
        <w:pStyle w:val="BodyText"/>
        <w:spacing w:before="1"/>
        <w:rPr>
          <w:b/>
          <w:sz w:val="30"/>
        </w:rPr>
      </w:pPr>
    </w:p>
    <w:p>
      <w:pPr>
        <w:spacing w:before="0"/>
        <w:ind w:left="1058" w:right="0" w:firstLine="0"/>
        <w:jc w:val="left"/>
        <w:rPr>
          <w:sz w:val="24"/>
        </w:rPr>
      </w:pPr>
      <w:r>
        <w:rPr>
          <w:sz w:val="24"/>
        </w:rPr>
        <w:t>感谢您选择了太平人寿保险有限公司。</w:t>
      </w:r>
    </w:p>
    <w:p>
      <w:pPr>
        <w:spacing w:line="549" w:lineRule="auto" w:before="45"/>
        <w:ind w:left="1060" w:right="239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572266pt;width:486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0"/>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第十四条</w:t>
      </w:r>
    </w:p>
    <w:p>
      <w:pPr>
        <w:pStyle w:val="BodyText"/>
        <w:rPr>
          <w:b/>
          <w:sz w:val="26"/>
        </w:rPr>
      </w:pPr>
    </w:p>
    <w:p>
      <w:pPr>
        <w:pStyle w:val="BodyText"/>
        <w:spacing w:before="8"/>
        <w:rPr>
          <w:b/>
          <w:sz w:val="29"/>
        </w:rPr>
      </w:pPr>
    </w:p>
    <w:p>
      <w:pPr>
        <w:spacing w:line="276" w:lineRule="auto" w:before="0"/>
        <w:ind w:left="1058" w:right="54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BodyText"/>
        <w:spacing w:before="43"/>
        <w:ind w:left="3043" w:right="3122"/>
        <w:jc w:val="center"/>
      </w:pPr>
      <w:r>
        <w:rPr/>
        <w:t>第</w:t>
      </w:r>
      <w:r>
        <w:rPr>
          <w:rFonts w:ascii="Times New Roman" w:eastAsia="Times New Roman"/>
        </w:rPr>
        <w:t>1</w:t>
      </w:r>
      <w:r>
        <w:rPr/>
        <w:t>页，共</w:t>
      </w:r>
      <w:r>
        <w:rPr>
          <w:rFonts w:ascii="Times New Roman" w:eastAsia="Times New Roman"/>
        </w:rPr>
        <w:t>12</w:t>
      </w:r>
      <w:r>
        <w:rPr/>
        <w:t>页</w:t>
      </w:r>
    </w:p>
    <w:p>
      <w:pPr>
        <w:spacing w:after="0"/>
        <w:jc w:val="center"/>
        <w:sectPr>
          <w:type w:val="continuous"/>
          <w:pgSz w:w="11910" w:h="16160"/>
          <w:pgMar w:top="580" w:bottom="280" w:left="500" w:right="260"/>
        </w:sectPr>
      </w:pPr>
    </w:p>
    <w:p>
      <w:pPr>
        <w:pStyle w:val="BodyText"/>
        <w:spacing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5" w:val="right" w:leader="dot"/>
            </w:tabs>
            <w:spacing w:before="41"/>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4">
            <w:r>
              <w:rPr/>
              <w:t>第十一条</w:t>
              <w:tab/>
              <w:t>诉讼时效</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5">
            <w:r>
              <w:rPr/>
              <w:t>第十二条</w:t>
              <w:tab/>
              <w:t>保险金申请</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6">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7</w:t>
            </w:r>
          </w:hyperlink>
        </w:p>
        <w:p>
          <w:pPr>
            <w:pStyle w:val="TOC2"/>
            <w:tabs>
              <w:tab w:pos="1742" w:val="left" w:leader="none"/>
              <w:tab w:pos="10013" w:val="right" w:leader="dot"/>
            </w:tabs>
            <w:spacing w:before="42"/>
            <w:rPr>
              <w:rFonts w:ascii="Times New Roman" w:eastAsia="Times New Roman"/>
            </w:rPr>
          </w:pPr>
          <w:hyperlink w:history="true" w:anchor="_bookmark20">
            <w:r>
              <w:rPr/>
              <w:t>第十五条</w:t>
              <w:tab/>
              <w:t>未成年人身故保险金限制</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21">
            <w:r>
              <w:rPr/>
              <w:t>第十六条</w:t>
              <w:tab/>
              <w:t>保险合同的终止</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22">
            <w:r>
              <w:rPr/>
              <w:t>第十七条</w:t>
              <w:tab/>
              <w:t>重大疾病的种类及定义</w:t>
              <w:tab/>
            </w:r>
            <w:r>
              <w:rPr>
                <w:rFonts w:ascii="Times New Roman" w:eastAsia="Times New Roman"/>
              </w:rPr>
              <w:t>7</w:t>
            </w:r>
          </w:hyperlink>
        </w:p>
        <w:p>
          <w:pPr/>
          <w:r>
            <w:fldChar w:fldCharType="end"/>
          </w:r>
        </w:p>
      </w:sdtContent>
    </w:sdt>
    <w:p>
      <w:pPr>
        <w:spacing w:after="0"/>
        <w:sectPr>
          <w:footerReference w:type="default" r:id="rId8"/>
          <w:pgSz w:w="11910" w:h="16160"/>
          <w:pgMar w:footer="708" w:header="0" w:top="1520" w:bottom="90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220" w:firstLine="420"/>
      </w:pPr>
      <w:r>
        <w:rPr/>
        <w:t>本附加合同依您的申请，可附加于我们提供的主合同之上，经我们审核同意，并在保险单或批注中列明后生效。</w:t>
      </w:r>
    </w:p>
    <w:p>
      <w:pPr>
        <w:pStyle w:val="BodyText"/>
        <w:spacing w:line="273" w:lineRule="auto" w:before="7"/>
        <w:ind w:left="117" w:right="2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28 </w:t>
      </w:r>
      <w:r>
        <w:rPr/>
        <w:t>日至 </w:t>
      </w:r>
      <w:r>
        <w:rPr>
          <w:rFonts w:ascii="Times New Roman" w:eastAsia="Times New Roman"/>
        </w:rPr>
        <w:t>60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before="37"/>
        <w:ind w:left="538"/>
      </w:pPr>
      <w:r>
        <w:rPr/>
        <w:t>本附加合同的保险期间自本附加合同生效日零时起至本附加合同约定的终止时止，并在保险单上载明。</w:t>
      </w:r>
    </w:p>
    <w:p>
      <w:pPr>
        <w:pStyle w:val="BodyText"/>
        <w:spacing w:before="7"/>
        <w:rPr>
          <w:sz w:val="24"/>
        </w:rPr>
      </w:pPr>
    </w:p>
    <w:p>
      <w:pPr>
        <w:pStyle w:val="Heading1"/>
        <w:tabs>
          <w:tab w:pos="1418" w:val="left" w:leader="none"/>
        </w:tabs>
        <w:ind w:right="102"/>
        <w:jc w:val="center"/>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line="273" w:lineRule="auto" w:before="37"/>
        <w:ind w:left="117" w:right="109" w:firstLine="420"/>
      </w:pPr>
      <w:r>
        <w:rPr>
          <w:spacing w:val="-6"/>
        </w:rPr>
        <w:t>本附加合同的基本保险金额在投保时由您和我们约定，并在保险单或批注上列明。如果该金额发生变更， </w:t>
      </w:r>
      <w:r>
        <w:rPr>
          <w:spacing w:val="-4"/>
        </w:rPr>
        <w:t>则以变更后的金额为基本保险金额。</w:t>
      </w:r>
    </w:p>
    <w:p>
      <w:pPr>
        <w:pStyle w:val="BodyText"/>
        <w:spacing w:before="5"/>
        <w:rPr>
          <w:sz w:val="24"/>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6"/>
        <w:ind w:left="117" w:right="2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rPr>
          <w:sz w:val="24"/>
        </w:rPr>
      </w:pPr>
    </w:p>
    <w:p>
      <w:pPr>
        <w:pStyle w:val="Heading2"/>
        <w:tabs>
          <w:tab w:pos="969" w:val="left" w:leader="none"/>
        </w:tabs>
      </w:pPr>
      <w:bookmarkStart w:name="_bookmark8" w:id="9"/>
      <w:bookmarkEnd w:id="9"/>
      <w:r>
        <w:rPr>
          <w:b w:val="0"/>
        </w:rPr>
      </w:r>
      <w:r>
        <w:rPr/>
        <w:t>第七条</w:t>
        <w:tab/>
      </w:r>
      <w:r>
        <w:rPr>
          <w:spacing w:val="-1"/>
        </w:rPr>
        <w:t>保</w:t>
      </w:r>
      <w:r>
        <w:rPr/>
        <w:t>险责任</w:t>
      </w:r>
    </w:p>
    <w:p>
      <w:pPr>
        <w:pStyle w:val="BodyText"/>
        <w:spacing w:line="273" w:lineRule="auto" w:before="36"/>
        <w:ind w:left="538" w:right="10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40" w:lineRule="auto" w:before="7"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5</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6</w:t>
      </w:r>
      <w:r>
        <w:rPr>
          <w:rFonts w:ascii="Times New Roman" w:eastAsia="Times New Roman"/>
          <w:b/>
          <w:spacing w:val="2"/>
          <w:sz w:val="21"/>
          <w:vertAlign w:val="baseline"/>
        </w:rPr>
      </w:r>
      <w:r>
        <w:rPr>
          <w:spacing w:val="5"/>
          <w:sz w:val="21"/>
          <w:vertAlign w:val="baseline"/>
        </w:rPr>
        <w:t>确诊</w:t>
      </w:r>
    </w:p>
    <w:p>
      <w:pPr>
        <w:pStyle w:val="BodyText"/>
        <w:spacing w:before="7"/>
        <w:rPr>
          <w:sz w:val="20"/>
        </w:rPr>
      </w:pPr>
      <w:r>
        <w:rPr/>
        <w:pict>
          <v:line style="position:absolute;mso-position-horizontal-relative:page;mso-position-vertical-relative:paragraph;z-index:1120;mso-wrap-distance-left:0;mso-wrap-distance-right:0" from="53.880001pt,15.63735pt" to="197.930001pt,15.63735pt" stroked="true" strokeweight=".47998pt" strokecolor="#000000">
            <v:stroke dashstyle="solid"/>
            <w10:wrap type="topAndBottom"/>
          </v:line>
        </w:pict>
      </w:r>
    </w:p>
    <w:p>
      <w:pPr>
        <w:pStyle w:val="BodyText"/>
        <w:spacing w:line="274" w:lineRule="exact" w:before="32"/>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指按照身份证、户口簿、护照、军人证等有效身份证件中记载的出生日期计算的年龄。</w:t>
      </w:r>
    </w:p>
    <w:p>
      <w:pPr>
        <w:pStyle w:val="BodyText"/>
        <w:spacing w:line="272"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ind w:left="117"/>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4</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ind w:left="117"/>
        <w:rPr>
          <w:rFonts w:ascii="楷体" w:eastAsia="楷体" w:hint="eastAsia"/>
        </w:rPr>
      </w:pPr>
      <w:r>
        <w:rPr>
          <w:rFonts w:ascii="Times New Roman" w:eastAsia="Times New Roman"/>
          <w:position w:val="10"/>
          <w:sz w:val="14"/>
        </w:rPr>
        <w:t>5</w:t>
      </w:r>
      <w:r>
        <w:rPr>
          <w:rFonts w:ascii="楷体" w:eastAsia="楷体" w:hint="eastAsia"/>
          <w:b/>
        </w:rPr>
        <w:t>发病：</w:t>
      </w:r>
      <w:r>
        <w:rPr>
          <w:rFonts w:ascii="楷体" w:eastAsia="楷体" w:hint="eastAsia"/>
        </w:rPr>
        <w:t>指被保险人出现本附加合同所界定疾病的前兆或异常的身体状况，或已经显现足以使一般人士引起注</w:t>
      </w:r>
    </w:p>
    <w:p>
      <w:pPr>
        <w:pStyle w:val="BodyText"/>
        <w:spacing w:line="272" w:lineRule="exact"/>
        <w:ind w:left="117"/>
        <w:rPr>
          <w:rFonts w:ascii="楷体" w:eastAsia="楷体" w:hint="eastAsia"/>
        </w:rPr>
      </w:pPr>
      <w:r>
        <w:rPr>
          <w:rFonts w:ascii="楷体" w:eastAsia="楷体" w:hint="eastAsia"/>
        </w:rPr>
        <w:t>意并寻求诊断、治疗或护理的病症，但不包括本附加合同生效或恢复效力前的任何疾病或症状。</w:t>
      </w:r>
    </w:p>
    <w:p>
      <w:pPr>
        <w:pStyle w:val="BodyText"/>
        <w:spacing w:line="272" w:lineRule="exact"/>
        <w:ind w:left="117"/>
        <w:rPr>
          <w:rFonts w:ascii="楷体" w:eastAsia="楷体" w:hint="eastAsia"/>
        </w:rPr>
      </w:pPr>
      <w:r>
        <w:rPr>
          <w:rFonts w:ascii="Times New Roman" w:eastAsia="Times New Roman"/>
          <w:position w:val="10"/>
          <w:sz w:val="14"/>
        </w:rPr>
        <w:t>6</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9"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spacing w:after="0" w:line="289" w:lineRule="exact"/>
        <w:rPr>
          <w:rFonts w:ascii="楷体" w:eastAsia="楷体" w:hint="eastAsia"/>
        </w:rPr>
        <w:sectPr>
          <w:pgSz w:w="11910" w:h="16160"/>
          <w:pgMar w:header="0" w:footer="708" w:top="1520" w:bottom="900" w:left="960" w:right="700"/>
        </w:sectPr>
      </w:pPr>
    </w:p>
    <w:p>
      <w:pPr>
        <w:pStyle w:val="BodyText"/>
        <w:spacing w:line="273" w:lineRule="auto" w:before="7"/>
        <w:ind w:left="117" w:right="157"/>
      </w:pPr>
      <w:r>
        <w:rPr/>
        <w:t>初次患上一种或多种本附加合同第十七条所定义的重大疾病，我们按本附加合同基本保险金额给付重大疾病保险金，同时本附加合同终止。</w:t>
      </w:r>
    </w:p>
    <w:p>
      <w:pPr>
        <w:pStyle w:val="ListParagraph"/>
        <w:numPr>
          <w:ilvl w:val="0"/>
          <w:numId w:val="2"/>
        </w:numPr>
        <w:tabs>
          <w:tab w:pos="807" w:val="left" w:leader="none"/>
        </w:tabs>
        <w:spacing w:line="264" w:lineRule="auto" w:before="7" w:after="0"/>
        <w:ind w:left="117" w:right="157" w:firstLine="421"/>
        <w:jc w:val="both"/>
        <w:rPr>
          <w:sz w:val="21"/>
        </w:rPr>
      </w:pPr>
      <w:r>
        <w:rPr>
          <w:sz w:val="21"/>
        </w:rPr>
        <w:t>如果被保险人因意外伤害事故以外的原因经医院确诊初次患上一种或多种本附加合同第十七条所定</w:t>
      </w:r>
      <w:r>
        <w:rPr>
          <w:spacing w:val="-3"/>
          <w:sz w:val="21"/>
        </w:rPr>
        <w:t>义的重大疾病，并且首次发病时间在等待期内，我们按本附加合同的已交保险费给付重大疾病保险金，同时本附加合同终止。</w:t>
      </w:r>
    </w:p>
    <w:p>
      <w:pPr>
        <w:pStyle w:val="BodyText"/>
        <w:spacing w:before="16"/>
        <w:ind w:left="538"/>
      </w:pPr>
      <w:r>
        <w:rPr/>
        <w:t>二、身故保险金</w:t>
      </w:r>
    </w:p>
    <w:p>
      <w:pPr>
        <w:pStyle w:val="ListParagraph"/>
        <w:numPr>
          <w:ilvl w:val="0"/>
          <w:numId w:val="3"/>
        </w:numPr>
        <w:tabs>
          <w:tab w:pos="803" w:val="left" w:leader="none"/>
        </w:tabs>
        <w:spacing w:line="256" w:lineRule="auto" w:before="37" w:after="0"/>
        <w:ind w:left="117" w:right="154" w:firstLine="421"/>
        <w:jc w:val="left"/>
        <w:rPr>
          <w:sz w:val="21"/>
        </w:rPr>
      </w:pPr>
      <w:r>
        <w:rPr>
          <w:spacing w:val="-4"/>
          <w:sz w:val="21"/>
        </w:rPr>
        <w:t>如果被保险人等待期内因意外伤害事故以外的原因导致身故，我们按本附加合同的已交保险费给付身</w:t>
      </w:r>
      <w:r>
        <w:rPr>
          <w:spacing w:val="-3"/>
          <w:sz w:val="21"/>
        </w:rPr>
        <w:t>故保险金，同时本附加合同终止。</w:t>
      </w:r>
    </w:p>
    <w:p>
      <w:pPr>
        <w:pStyle w:val="ListParagraph"/>
        <w:numPr>
          <w:ilvl w:val="0"/>
          <w:numId w:val="3"/>
        </w:numPr>
        <w:tabs>
          <w:tab w:pos="803" w:val="left" w:leader="none"/>
        </w:tabs>
        <w:spacing w:line="256" w:lineRule="auto" w:before="22" w:after="0"/>
        <w:ind w:left="117" w:right="154" w:firstLine="421"/>
        <w:jc w:val="left"/>
        <w:rPr>
          <w:sz w:val="21"/>
        </w:rPr>
      </w:pPr>
      <w:r>
        <w:rPr>
          <w:spacing w:val="-4"/>
          <w:sz w:val="21"/>
        </w:rPr>
        <w:t>如果被保险人因意外伤害事故或等待期后因意外伤害事故以外的原因导致身故，我们按被保险人身故时本附加合同已交保险费的 </w:t>
      </w:r>
      <w:r>
        <w:rPr>
          <w:rFonts w:ascii="Times New Roman" w:eastAsia="Times New Roman"/>
          <w:spacing w:val="-4"/>
          <w:sz w:val="21"/>
        </w:rPr>
        <w:t>115%</w:t>
      </w:r>
      <w:r>
        <w:rPr>
          <w:spacing w:val="-3"/>
          <w:sz w:val="21"/>
        </w:rPr>
        <w:t>给付身故保险金，同时本附加合同终止。</w:t>
      </w:r>
    </w:p>
    <w:p>
      <w:pPr>
        <w:pStyle w:val="BodyText"/>
        <w:spacing w:before="3"/>
        <w:rPr>
          <w:sz w:val="24"/>
        </w:rPr>
      </w:pPr>
    </w:p>
    <w:p>
      <w:pPr>
        <w:pStyle w:val="BodyText"/>
        <w:spacing w:line="273" w:lineRule="auto"/>
        <w:ind w:left="117" w:right="160" w:firstLine="420"/>
      </w:pPr>
      <w:r>
        <w:rPr/>
        <w:t>我们只给付本附加合同保险责任中约定的重大疾病保险金和身故保险金的其中一项保险金，且以一次为限。</w:t>
      </w:r>
    </w:p>
    <w:p>
      <w:pPr>
        <w:pStyle w:val="BodyText"/>
        <w:spacing w:before="5"/>
        <w:rPr>
          <w:sz w:val="24"/>
        </w:rPr>
      </w:pPr>
    </w:p>
    <w:p>
      <w:pPr>
        <w:pStyle w:val="Heading2"/>
        <w:tabs>
          <w:tab w:pos="969" w:val="left" w:leader="none"/>
        </w:tabs>
      </w:pPr>
      <w:bookmarkStart w:name="_bookmark9" w:id="10"/>
      <w:bookmarkEnd w:id="10"/>
      <w:r>
        <w:rPr>
          <w:b w:val="0"/>
        </w:rPr>
      </w:r>
      <w:r>
        <w:rPr/>
        <w:t>第八条</w:t>
        <w:tab/>
        <w:t>责任免除</w:t>
      </w:r>
    </w:p>
    <w:p>
      <w:pPr>
        <w:pStyle w:val="BodyText"/>
        <w:spacing w:before="15"/>
        <w:ind w:left="117" w:right="162" w:firstLine="420"/>
        <w:rPr>
          <w:rFonts w:ascii="黑体" w:eastAsia="黑体" w:hint="eastAsia"/>
        </w:rPr>
      </w:pPr>
      <w:r>
        <w:rPr>
          <w:rFonts w:ascii="黑体" w:eastAsia="黑体" w:hint="eastAsia"/>
        </w:rPr>
        <w:t>一、因下列情形之一导致被保险人患上本附加合同所定义的重大疾病的，我们不承担给付重大疾病保险金的责任：</w:t>
      </w:r>
    </w:p>
    <w:p>
      <w:pPr>
        <w:pStyle w:val="BodyText"/>
        <w:spacing w:line="279" w:lineRule="exact"/>
        <w:ind w:left="538"/>
        <w:rPr>
          <w:rFonts w:ascii="黑体" w:eastAsia="黑体" w:hint="eastAsia"/>
        </w:rPr>
      </w:pPr>
      <w:r>
        <w:rPr>
          <w:rFonts w:ascii="Times New Roman" w:eastAsia="Times New Roman"/>
        </w:rPr>
        <w:t>1</w:t>
      </w:r>
      <w:r>
        <w:rPr>
          <w:rFonts w:ascii="黑体" w:eastAsia="黑体" w:hint="eastAsia"/>
        </w:rPr>
        <w:t>．投保人对被保险人的故意杀害、故意伤害；</w:t>
      </w:r>
    </w:p>
    <w:p>
      <w:pPr>
        <w:pStyle w:val="BodyText"/>
        <w:spacing w:line="272" w:lineRule="exact"/>
        <w:ind w:left="538"/>
        <w:rPr>
          <w:rFonts w:ascii="黑体" w:eastAsia="黑体" w:hint="eastAsia"/>
        </w:rPr>
      </w:pPr>
      <w:r>
        <w:rPr>
          <w:rFonts w:ascii="Times New Roman" w:eastAsia="Times New Roman"/>
        </w:rPr>
        <w:t>2</w:t>
      </w:r>
      <w:r>
        <w:rPr>
          <w:rFonts w:ascii="黑体" w:eastAsia="黑体" w:hint="eastAsia"/>
        </w:rPr>
        <w:t>．被保险人故意自伤、故意犯罪或者抗拒依法采取的刑事强制措施；</w:t>
      </w:r>
    </w:p>
    <w:p>
      <w:pPr>
        <w:pStyle w:val="BodyText"/>
        <w:spacing w:line="272" w:lineRule="exact"/>
        <w:ind w:left="538"/>
        <w:rPr>
          <w:rFonts w:ascii="黑体" w:eastAsia="黑体" w:hint="eastAsia"/>
        </w:rPr>
      </w:pPr>
      <w:r>
        <w:rPr>
          <w:rFonts w:ascii="Times New Roman" w:eastAsia="Times New Roman"/>
        </w:rPr>
        <w:t>3</w:t>
      </w:r>
      <w:r>
        <w:rPr>
          <w:rFonts w:ascii="黑体" w:eastAsia="黑体" w:hint="eastAsia"/>
        </w:rPr>
        <w:t>．被保险人主动吸食或注射</w:t>
      </w:r>
      <w:r>
        <w:rPr>
          <w:rFonts w:ascii="黑体" w:eastAsia="黑体" w:hint="eastAsia"/>
          <w:b/>
        </w:rPr>
        <w:t>毒品</w:t>
      </w:r>
      <w:r>
        <w:rPr>
          <w:rFonts w:ascii="Times New Roman" w:eastAsia="Times New Roman"/>
          <w:b/>
          <w:vertAlign w:val="superscript"/>
        </w:rPr>
        <w:t>7</w:t>
      </w:r>
      <w:r>
        <w:rPr>
          <w:rFonts w:ascii="Times New Roman" w:eastAsia="Times New Roman"/>
          <w:b/>
          <w:vertAlign w:val="baseline"/>
        </w:rPr>
      </w:r>
      <w:r>
        <w:rPr>
          <w:rFonts w:ascii="黑体" w:eastAsia="黑体" w:hint="eastAsia"/>
          <w:vertAlign w:val="baseline"/>
        </w:rPr>
        <w:t>；</w:t>
      </w:r>
    </w:p>
    <w:p>
      <w:pPr>
        <w:spacing w:line="282" w:lineRule="exact" w:before="0"/>
        <w:ind w:left="538" w:right="0" w:firstLine="0"/>
        <w:jc w:val="left"/>
        <w:rPr>
          <w:rFonts w:ascii="黑体" w:eastAsia="黑体" w:hint="eastAsia"/>
          <w:sz w:val="21"/>
        </w:rPr>
      </w:pPr>
      <w:r>
        <w:rPr>
          <w:rFonts w:ascii="Times New Roman" w:eastAsia="Times New Roman"/>
          <w:sz w:val="21"/>
        </w:rPr>
        <w:t>4</w:t>
      </w:r>
      <w:r>
        <w:rPr>
          <w:rFonts w:ascii="黑体" w:eastAsia="黑体" w:hint="eastAsia"/>
          <w:sz w:val="21"/>
        </w:rPr>
        <w:t>．被保险人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的机动车；</w:t>
      </w:r>
    </w:p>
    <w:p>
      <w:pPr>
        <w:spacing w:line="291" w:lineRule="exact" w:before="2"/>
        <w:ind w:left="538" w:right="0" w:firstLine="0"/>
        <w:jc w:val="left"/>
        <w:rPr>
          <w:rFonts w:ascii="黑体" w:eastAsia="黑体" w:hint="eastAsia"/>
          <w:sz w:val="21"/>
        </w:rPr>
      </w:pPr>
      <w:r>
        <w:rPr>
          <w:rFonts w:ascii="Times New Roman" w:eastAsia="Times New Roman"/>
          <w:sz w:val="21"/>
        </w:rPr>
        <w:t>5</w:t>
      </w:r>
      <w:r>
        <w:rPr>
          <w:rFonts w:ascii="黑体" w:eastAsia="黑体" w:hint="eastAsia"/>
          <w:sz w:val="21"/>
        </w:rPr>
        <w:t>．被保险人</w:t>
      </w:r>
      <w:r>
        <w:rPr>
          <w:rFonts w:ascii="黑体" w:eastAsia="黑体" w:hint="eastAsia"/>
          <w:b/>
          <w:sz w:val="21"/>
        </w:rPr>
        <w:t>感染艾滋病病毒或患艾滋病</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BodyText"/>
        <w:spacing w:line="282" w:lineRule="exact"/>
        <w:ind w:left="538"/>
        <w:rPr>
          <w:rFonts w:ascii="黑体" w:eastAsia="黑体" w:hint="eastAsia"/>
        </w:rPr>
      </w:pPr>
      <w:r>
        <w:rPr>
          <w:rFonts w:ascii="Times New Roman" w:eastAsia="Times New Roman"/>
        </w:rPr>
        <w:t>6</w:t>
      </w:r>
      <w:r>
        <w:rPr>
          <w:rFonts w:ascii="黑体" w:eastAsia="黑体" w:hint="eastAsia"/>
        </w:rPr>
        <w:t>．战争、军事冲突、暴乱或武装叛乱；</w:t>
      </w:r>
    </w:p>
    <w:p>
      <w:pPr>
        <w:pStyle w:val="BodyText"/>
        <w:spacing w:line="282" w:lineRule="exact"/>
        <w:ind w:left="538"/>
        <w:rPr>
          <w:rFonts w:ascii="黑体" w:eastAsia="黑体" w:hint="eastAsia"/>
        </w:rPr>
      </w:pPr>
      <w:r>
        <w:rPr>
          <w:rFonts w:ascii="Times New Roman" w:eastAsia="Times New Roman"/>
        </w:rPr>
        <w:t>7</w:t>
      </w:r>
      <w:r>
        <w:rPr>
          <w:rFonts w:ascii="黑体" w:eastAsia="黑体" w:hint="eastAsia"/>
        </w:rPr>
        <w:t>．核爆炸、核辐射或核污染；</w:t>
      </w:r>
    </w:p>
    <w:p>
      <w:pPr>
        <w:spacing w:before="2"/>
        <w:ind w:left="538" w:right="0" w:firstLine="0"/>
        <w:jc w:val="left"/>
        <w:rPr>
          <w:rFonts w:ascii="黑体" w:eastAsia="黑体" w:hint="eastAsia"/>
          <w:sz w:val="21"/>
        </w:rPr>
      </w:pP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1"/>
        <w:ind w:left="117" w:right="243" w:firstLine="420"/>
        <w:rPr>
          <w:rFonts w:ascii="黑体" w:eastAsia="黑体" w:hint="eastAsia"/>
        </w:rPr>
      </w:pPr>
      <w:r>
        <w:rPr>
          <w:rFonts w:ascii="黑体" w:eastAsia="黑体" w:hint="eastAsia"/>
        </w:rPr>
        <w:t>发Th</w:t>
      </w:r>
      <w:r>
        <w:rPr>
          <w:rFonts w:ascii="黑体" w:eastAsia="黑体" w:hint="eastAsia"/>
          <w:spacing w:val="-11"/>
        </w:rPr>
        <w:t>上述第 </w:t>
      </w:r>
      <w:r>
        <w:rPr>
          <w:rFonts w:ascii="黑体" w:eastAsia="黑体" w:hint="eastAsia"/>
        </w:rPr>
        <w:t>1</w:t>
      </w:r>
      <w:r>
        <w:rPr>
          <w:rFonts w:ascii="黑体" w:eastAsia="黑体" w:hint="eastAsia"/>
          <w:spacing w:val="-8"/>
        </w:rPr>
        <w:t> 项情形导致被保险人患上本附加合同所定义的重大疾病的，本附加合同终止，您已交足 </w:t>
      </w:r>
      <w:r>
        <w:rPr>
          <w:rFonts w:ascii="黑体" w:eastAsia="黑体" w:hint="eastAsia"/>
        </w:rPr>
        <w:t>2 </w:t>
      </w:r>
      <w:r>
        <w:rPr>
          <w:rFonts w:ascii="黑体" w:eastAsia="黑体" w:hint="eastAsia"/>
          <w:spacing w:val="-3"/>
        </w:rPr>
        <w:t>年以上保险费的，我们向其他权利人退还保险单的</w:t>
      </w:r>
      <w:r>
        <w:rPr>
          <w:rFonts w:ascii="黑体" w:eastAsia="黑体" w:hint="eastAsia"/>
          <w:b/>
          <w:spacing w:val="-1"/>
        </w:rPr>
        <w:t>现金价值</w:t>
      </w:r>
      <w:r>
        <w:rPr>
          <w:rFonts w:ascii="Times New Roman" w:eastAsia="Times New Roman"/>
          <w:b/>
          <w:vertAlign w:val="superscript"/>
        </w:rPr>
        <w:t>14</w:t>
      </w:r>
      <w:r>
        <w:rPr>
          <w:rFonts w:ascii="Times New Roman" w:eastAsia="Times New Roman"/>
          <w:b/>
          <w:vertAlign w:val="baseline"/>
        </w:rPr>
      </w:r>
      <w:r>
        <w:rPr>
          <w:rFonts w:ascii="黑体" w:eastAsia="黑体" w:hint="eastAsia"/>
          <w:vertAlign w:val="baseline"/>
        </w:rPr>
        <w:t>。</w:t>
      </w:r>
    </w:p>
    <w:p>
      <w:pPr>
        <w:pStyle w:val="BodyText"/>
        <w:spacing w:before="9"/>
        <w:rPr>
          <w:rFonts w:ascii="黑体"/>
          <w:sz w:val="18"/>
        </w:rPr>
      </w:pPr>
      <w:r>
        <w:rPr/>
        <w:pict>
          <v:line style="position:absolute;mso-position-horizontal-relative:page;mso-position-vertical-relative:paragraph;z-index:1144;mso-wrap-distance-left:0;mso-wrap-distance-right:0" from="53.880001pt,14.455497pt" to="197.930001pt,14.455497pt" stroked="true" strokeweight=".48001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7</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6"/>
        </w:rPr>
        <w:t>）</w:t>
      </w:r>
      <w:r>
        <w:rPr>
          <w:rFonts w:ascii="楷体" w:eastAsia="楷体" w:hint="eastAsia"/>
          <w:spacing w:val="-3"/>
        </w:rPr>
        <w:t>、吗啡、大麻、可卡因以及国家规</w:t>
      </w:r>
    </w:p>
    <w:p>
      <w:pPr>
        <w:pStyle w:val="BodyText"/>
        <w:spacing w:line="237" w:lineRule="auto" w:before="1"/>
        <w:ind w:left="117" w:right="186"/>
        <w:rPr>
          <w:rFonts w:ascii="楷体" w:eastAsia="楷体" w:hint="eastAsia"/>
        </w:rPr>
      </w:pPr>
      <w:r>
        <w:rPr>
          <w:rFonts w:ascii="楷体" w:eastAsia="楷体" w:hint="eastAsia"/>
        </w:rPr>
        <w:t>定管制的其他能够使人形成瘾癖的麻醉药品和精神药品，但不包括由医生开具并遵医嘱使用的用于治疗疾病但含有毒品成分的处方药品。</w:t>
      </w:r>
    </w:p>
    <w:p>
      <w:pPr>
        <w:pStyle w:val="BodyText"/>
        <w:spacing w:line="272" w:lineRule="exact"/>
        <w:ind w:left="117"/>
        <w:rPr>
          <w:rFonts w:ascii="楷体" w:eastAsia="楷体" w:hint="eastAsia"/>
        </w:rPr>
      </w:pPr>
      <w:r>
        <w:rPr>
          <w:rFonts w:ascii="Times New Roman" w:eastAsia="Times New Roman"/>
          <w:position w:val="10"/>
          <w:sz w:val="14"/>
        </w:rPr>
        <w:t>8</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ind w:left="117"/>
        <w:rPr>
          <w:rFonts w:ascii="楷体" w:eastAsia="楷体" w:hint="eastAsia"/>
        </w:rPr>
      </w:pPr>
      <w:r>
        <w:rPr>
          <w:rFonts w:ascii="楷体" w:eastAsia="楷体" w:hint="eastAsia"/>
        </w:rPr>
        <w:t>公安机关交通管理部门依据《道路交通安全法》的规定认定为饮酒后驾驶或醉酒后驾驶。</w:t>
      </w:r>
    </w:p>
    <w:p>
      <w:pPr>
        <w:spacing w:line="281" w:lineRule="exact" w:before="0"/>
        <w:ind w:left="117" w:right="0" w:firstLine="0"/>
        <w:jc w:val="left"/>
        <w:rPr>
          <w:rFonts w:ascii="楷体" w:eastAsia="楷体" w:hint="eastAsia"/>
          <w:sz w:val="21"/>
        </w:rPr>
      </w:pPr>
      <w:r>
        <w:rPr>
          <w:rFonts w:ascii="Times New Roman" w:eastAsia="Times New Roman"/>
          <w:w w:val="99"/>
          <w:position w:val="10"/>
          <w:sz w:val="14"/>
        </w:rPr>
        <w:t>9</w:t>
      </w:r>
      <w:r>
        <w:rPr>
          <w:rFonts w:ascii="楷体" w:eastAsia="楷体" w:hint="eastAsia"/>
          <w:b/>
          <w:spacing w:val="-2"/>
          <w:w w:val="100"/>
          <w:sz w:val="21"/>
        </w:rPr>
        <w:t>无合法有效驾驶证驾驶：</w:t>
      </w:r>
      <w:r>
        <w:rPr>
          <w:rFonts w:ascii="楷体" w:eastAsia="楷体" w:hint="eastAsia"/>
          <w:spacing w:val="-18"/>
          <w:w w:val="100"/>
          <w:sz w:val="21"/>
        </w:rPr>
        <w:t>指下列情形之一：</w:t>
      </w:r>
      <w:r>
        <w:rPr>
          <w:rFonts w:ascii="楷体" w:eastAsia="楷体" w:hint="eastAsia"/>
          <w:spacing w:val="-1"/>
          <w:w w:val="100"/>
          <w:sz w:val="21"/>
        </w:rPr>
        <w:t>（</w:t>
      </w:r>
      <w:r>
        <w:rPr>
          <w:rFonts w:ascii="Times New Roman" w:eastAsia="Times New Roman"/>
          <w:w w:val="100"/>
          <w:sz w:val="21"/>
        </w:rPr>
        <w:t>1</w:t>
      </w:r>
      <w:r>
        <w:rPr>
          <w:rFonts w:ascii="楷体" w:eastAsia="楷体" w:hint="eastAsia"/>
          <w:spacing w:val="-13"/>
          <w:w w:val="100"/>
          <w:sz w:val="21"/>
        </w:rPr>
        <w:t>）</w:t>
      </w:r>
      <w:r>
        <w:rPr>
          <w:rFonts w:ascii="楷体" w:eastAsia="楷体" w:hint="eastAsia"/>
          <w:spacing w:val="-16"/>
          <w:w w:val="100"/>
          <w:sz w:val="21"/>
        </w:rPr>
        <w:t>没有取得驾驶资格；</w:t>
      </w:r>
      <w:r>
        <w:rPr>
          <w:rFonts w:ascii="楷体" w:eastAsia="楷体" w:hint="eastAsia"/>
          <w:w w:val="100"/>
          <w:sz w:val="21"/>
        </w:rPr>
        <w:t>（</w:t>
      </w:r>
      <w:r>
        <w:rPr>
          <w:rFonts w:ascii="Times New Roman" w:eastAsia="Times New Roman"/>
          <w:w w:val="100"/>
          <w:sz w:val="21"/>
        </w:rPr>
        <w:t>2</w:t>
      </w:r>
      <w:r>
        <w:rPr>
          <w:rFonts w:ascii="楷体" w:eastAsia="楷体" w:hint="eastAsia"/>
          <w:spacing w:val="-13"/>
          <w:w w:val="100"/>
          <w:sz w:val="21"/>
        </w:rPr>
        <w:t>）</w:t>
      </w:r>
      <w:r>
        <w:rPr>
          <w:rFonts w:ascii="楷体" w:eastAsia="楷体" w:hint="eastAsia"/>
          <w:spacing w:val="-3"/>
          <w:w w:val="100"/>
          <w:sz w:val="21"/>
        </w:rPr>
        <w:t>驾驶与驾驶证准驾车型不相符合的</w:t>
      </w:r>
    </w:p>
    <w:p>
      <w:pPr>
        <w:pStyle w:val="BodyText"/>
        <w:spacing w:line="225" w:lineRule="auto" w:before="8"/>
        <w:ind w:left="117" w:right="186"/>
        <w:rPr>
          <w:rFonts w:ascii="楷体" w:eastAsia="楷体" w:hint="eastAsia"/>
        </w:rPr>
      </w:pPr>
      <w:r>
        <w:rPr>
          <w:rFonts w:ascii="楷体" w:eastAsia="楷体" w:hint="eastAsia"/>
          <w:spacing w:val="-36"/>
          <w:w w:val="100"/>
        </w:rPr>
        <w:t>车辆；</w:t>
      </w:r>
      <w:r>
        <w:rPr>
          <w:rFonts w:ascii="楷体" w:eastAsia="楷体" w:hint="eastAsia"/>
          <w:w w:val="100"/>
        </w:rPr>
        <w:t>（</w:t>
      </w:r>
      <w:r>
        <w:rPr>
          <w:rFonts w:ascii="Times New Roman" w:eastAsia="Times New Roman"/>
          <w:w w:val="100"/>
        </w:rPr>
        <w:t>3</w:t>
      </w:r>
      <w:r>
        <w:rPr>
          <w:rFonts w:ascii="楷体" w:eastAsia="楷体" w:hint="eastAsia"/>
          <w:spacing w:val="-3"/>
          <w:w w:val="100"/>
        </w:rPr>
        <w:t>）</w:t>
      </w:r>
      <w:r>
        <w:rPr>
          <w:rFonts w:ascii="楷体" w:eastAsia="楷体" w:hint="eastAsia"/>
          <w:spacing w:val="-12"/>
          <w:w w:val="100"/>
        </w:rPr>
        <w:t>持审验不合格的驾驶证驾驶；</w:t>
      </w:r>
      <w:r>
        <w:rPr>
          <w:rFonts w:ascii="楷体" w:eastAsia="楷体" w:hint="eastAsia"/>
          <w:spacing w:val="-1"/>
          <w:w w:val="100"/>
        </w:rPr>
        <w:t>（</w:t>
      </w:r>
      <w:r>
        <w:rPr>
          <w:rFonts w:ascii="Times New Roman" w:eastAsia="Times New Roman"/>
          <w:w w:val="100"/>
        </w:rPr>
        <w:t>4</w:t>
      </w:r>
      <w:r>
        <w:rPr>
          <w:rFonts w:ascii="楷体" w:eastAsia="楷体" w:hint="eastAsia"/>
          <w:spacing w:val="-3"/>
          <w:w w:val="100"/>
        </w:rPr>
        <w:t>）持学习驾驶证学习驾车时，无教练员随车指导，或不按指定时</w:t>
      </w:r>
      <w:r>
        <w:rPr>
          <w:rFonts w:ascii="楷体" w:eastAsia="楷体" w:hint="eastAsia"/>
          <w:spacing w:val="-3"/>
        </w:rPr>
        <w:t>间、路线学习驾车。</w:t>
      </w:r>
    </w:p>
    <w:p>
      <w:pPr>
        <w:pStyle w:val="BodyText"/>
        <w:spacing w:line="279" w:lineRule="exact"/>
        <w:ind w:left="117"/>
        <w:rPr>
          <w:rFonts w:ascii="楷体" w:eastAsia="楷体" w:hint="eastAsia"/>
        </w:rPr>
      </w:pPr>
      <w:r>
        <w:rPr>
          <w:rFonts w:ascii="Times New Roman" w:eastAsia="Times New Roman"/>
          <w:w w:val="99"/>
          <w:position w:val="10"/>
          <w:sz w:val="14"/>
        </w:rPr>
        <w:t>10</w:t>
      </w:r>
      <w:r>
        <w:rPr>
          <w:rFonts w:ascii="楷体" w:eastAsia="楷体" w:hint="eastAsia"/>
          <w:b/>
          <w:spacing w:val="-1"/>
          <w:w w:val="100"/>
        </w:rPr>
        <w:t>无有效行驶证：</w:t>
      </w:r>
      <w:r>
        <w:rPr>
          <w:rFonts w:ascii="楷体" w:eastAsia="楷体" w:hint="eastAsia"/>
          <w:spacing w:val="-16"/>
          <w:w w:val="100"/>
        </w:rPr>
        <w:t>指下列情形之一：</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12"/>
          <w:w w:val="100"/>
        </w:rPr>
        <w:t>机动车被依法注销登记的；</w:t>
      </w:r>
      <w:r>
        <w:rPr>
          <w:rFonts w:ascii="楷体" w:eastAsia="楷体" w:hint="eastAsia"/>
          <w:spacing w:val="-1"/>
          <w:w w:val="100"/>
        </w:rPr>
        <w:t>（</w:t>
      </w:r>
      <w:r>
        <w:rPr>
          <w:rFonts w:ascii="Times New Roman" w:eastAsia="Times New Roman"/>
          <w:w w:val="100"/>
        </w:rPr>
        <w:t>2</w:t>
      </w:r>
      <w:r>
        <w:rPr>
          <w:rFonts w:ascii="楷体" w:eastAsia="楷体" w:hint="eastAsia"/>
          <w:spacing w:val="-3"/>
          <w:w w:val="100"/>
        </w:rPr>
        <w:t>）未依法按时进行或通过机动车安全</w:t>
      </w:r>
    </w:p>
    <w:p>
      <w:pPr>
        <w:pStyle w:val="BodyText"/>
        <w:spacing w:line="264" w:lineRule="exact"/>
        <w:ind w:left="117"/>
        <w:rPr>
          <w:rFonts w:ascii="楷体" w:eastAsia="楷体" w:hint="eastAsia"/>
        </w:rPr>
      </w:pPr>
      <w:r>
        <w:rPr>
          <w:rFonts w:ascii="楷体" w:eastAsia="楷体" w:hint="eastAsia"/>
        </w:rPr>
        <w:t>技术检验。</w:t>
      </w:r>
    </w:p>
    <w:p>
      <w:pPr>
        <w:pStyle w:val="BodyText"/>
        <w:spacing w:line="230" w:lineRule="auto" w:before="10"/>
        <w:ind w:left="117" w:right="152"/>
        <w:rPr>
          <w:rFonts w:ascii="楷体" w:eastAsia="楷体" w:hint="eastAsia"/>
        </w:rPr>
      </w:pPr>
      <w:r>
        <w:rPr>
          <w:rFonts w:ascii="Times New Roman" w:eastAsia="Times New Roman"/>
          <w:position w:val="10"/>
          <w:sz w:val="14"/>
        </w:rPr>
        <w:t>11</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。在人体血液或其它样本中检测到艾滋病病毒或其抗体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1" w:lineRule="exact"/>
        <w:ind w:left="117"/>
        <w:rPr>
          <w:rFonts w:ascii="楷体" w:eastAsia="楷体" w:hint="eastAsia"/>
        </w:rPr>
      </w:pPr>
      <w:r>
        <w:rPr>
          <w:rFonts w:ascii="Times New Roman" w:eastAsia="Times New Roman"/>
          <w:position w:val="10"/>
          <w:sz w:val="14"/>
        </w:rPr>
        <w:t>12</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ind w:left="117"/>
        <w:rPr>
          <w:rFonts w:ascii="楷体" w:eastAsia="楷体" w:hint="eastAsia"/>
        </w:rPr>
      </w:pPr>
      <w:r>
        <w:rPr>
          <w:rFonts w:ascii="楷体" w:eastAsia="楷体" w:hint="eastAsia"/>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13</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5" w:lineRule="exact"/>
        <w:ind w:left="117"/>
        <w:rPr>
          <w:rFonts w:ascii="楷体" w:eastAsia="楷体" w:hint="eastAsia"/>
        </w:rPr>
      </w:pPr>
      <w:r>
        <w:rPr>
          <w:rFonts w:ascii="Times New Roman" w:eastAsia="Times New Roman"/>
          <w:position w:val="10"/>
          <w:sz w:val="14"/>
        </w:rPr>
        <w:t>14</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spacing w:after="0" w:line="265" w:lineRule="exact"/>
        <w:rPr>
          <w:rFonts w:ascii="楷体" w:eastAsia="楷体" w:hint="eastAsia"/>
        </w:rPr>
        <w:sectPr>
          <w:pgSz w:w="11910" w:h="16160"/>
          <w:pgMar w:header="0" w:footer="708" w:top="1360" w:bottom="900" w:left="960" w:right="760"/>
        </w:sectPr>
      </w:pPr>
    </w:p>
    <w:p>
      <w:pPr>
        <w:pStyle w:val="BodyText"/>
        <w:spacing w:line="273" w:lineRule="auto" w:before="7"/>
        <w:ind w:left="117" w:right="119"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7"/>
        <w:ind w:left="538"/>
        <w:rPr>
          <w:rFonts w:ascii="黑体" w:eastAsia="黑体" w:hint="eastAsia"/>
        </w:rPr>
      </w:pPr>
      <w:r>
        <w:rPr>
          <w:rFonts w:ascii="黑体" w:eastAsia="黑体" w:hint="eastAsia"/>
        </w:rPr>
        <w:t>二、因下列情形之一导致被保险人身故的，我们不承担给付身故保险金的责任：</w:t>
      </w:r>
    </w:p>
    <w:p>
      <w:pPr>
        <w:pStyle w:val="BodyText"/>
        <w:spacing w:before="37"/>
        <w:ind w:left="538"/>
        <w:rPr>
          <w:rFonts w:ascii="黑体" w:eastAsia="黑体" w:hint="eastAsia"/>
        </w:rPr>
      </w:pPr>
      <w:r>
        <w:rPr>
          <w:rFonts w:ascii="Times New Roman" w:eastAsia="Times New Roman"/>
        </w:rPr>
        <w:t>1</w:t>
      </w:r>
      <w:r>
        <w:rPr>
          <w:rFonts w:ascii="黑体" w:eastAsia="黑体" w:hint="eastAsia"/>
        </w:rPr>
        <w:t>．投保人对被保险人的故意杀害、故意伤害；</w:t>
      </w:r>
    </w:p>
    <w:p>
      <w:pPr>
        <w:pStyle w:val="BodyText"/>
        <w:spacing w:before="21"/>
        <w:ind w:left="538"/>
        <w:rPr>
          <w:rFonts w:ascii="黑体" w:eastAsia="黑体" w:hint="eastAsia"/>
        </w:rPr>
      </w:pPr>
      <w:r>
        <w:rPr>
          <w:rFonts w:ascii="Times New Roman" w:eastAsia="Times New Roman"/>
        </w:rPr>
        <w:t>2</w:t>
      </w:r>
      <w:r>
        <w:rPr>
          <w:rFonts w:ascii="黑体" w:eastAsia="黑体" w:hint="eastAsia"/>
        </w:rPr>
        <w:t>．被保险人故意犯罪或者抗拒依法采取的刑事强制措施；</w:t>
      </w:r>
    </w:p>
    <w:p>
      <w:pPr>
        <w:pStyle w:val="BodyText"/>
        <w:spacing w:line="256" w:lineRule="auto" w:before="21"/>
        <w:ind w:left="117" w:right="117" w:firstLine="420"/>
        <w:rPr>
          <w:rFonts w:ascii="黑体" w:eastAsia="黑体" w:hint="eastAsia"/>
        </w:rPr>
      </w:pPr>
      <w:r>
        <w:rPr>
          <w:rFonts w:ascii="Times New Roman" w:eastAsia="Times New Roman"/>
          <w:spacing w:val="-20"/>
        </w:rPr>
        <w:t>3</w:t>
      </w:r>
      <w:r>
        <w:rPr>
          <w:rFonts w:ascii="黑体" w:eastAsia="黑体" w:hint="eastAsia"/>
          <w:spacing w:val="-7"/>
        </w:rPr>
        <w:t>．被保险人自本附加合同成立或者合同效力恢复之日起 </w:t>
      </w:r>
      <w:r>
        <w:rPr>
          <w:rFonts w:ascii="Times New Roman" w:eastAsia="Times New Roman"/>
        </w:rPr>
        <w:t>2 </w:t>
      </w:r>
      <w:r>
        <w:rPr>
          <w:rFonts w:ascii="黑体" w:eastAsia="黑体" w:hint="eastAsia"/>
          <w:spacing w:val="-8"/>
        </w:rPr>
        <w:t>年内自杀，但被保险人自杀时为</w:t>
      </w:r>
      <w:r>
        <w:rPr>
          <w:rFonts w:ascii="黑体" w:eastAsia="黑体" w:hint="eastAsia"/>
          <w:b/>
          <w:spacing w:val="-1"/>
        </w:rPr>
        <w:t>无民事行为能力人</w:t>
      </w:r>
      <w:r>
        <w:rPr>
          <w:rFonts w:ascii="Times New Roman" w:eastAsia="Times New Roman"/>
          <w:b/>
          <w:spacing w:val="-1"/>
          <w:vertAlign w:val="superscript"/>
        </w:rPr>
        <w:t>15</w:t>
      </w:r>
      <w:r>
        <w:rPr>
          <w:rFonts w:ascii="Times New Roman" w:eastAsia="Times New Roman"/>
          <w:b/>
          <w:spacing w:val="-1"/>
          <w:vertAlign w:val="baseline"/>
        </w:rPr>
      </w:r>
      <w:r>
        <w:rPr>
          <w:rFonts w:ascii="黑体" w:eastAsia="黑体" w:hint="eastAsia"/>
          <w:spacing w:val="-2"/>
          <w:vertAlign w:val="baseline"/>
        </w:rPr>
        <w:t>的除外；</w:t>
      </w:r>
    </w:p>
    <w:p>
      <w:pPr>
        <w:pStyle w:val="BodyText"/>
        <w:spacing w:before="5"/>
        <w:ind w:left="538"/>
        <w:rPr>
          <w:rFonts w:ascii="黑体" w:eastAsia="黑体" w:hint="eastAsia"/>
        </w:rPr>
      </w:pPr>
      <w:r>
        <w:rPr>
          <w:rFonts w:ascii="Times New Roman" w:eastAsia="Times New Roman"/>
        </w:rPr>
        <w:t>4</w:t>
      </w:r>
      <w:r>
        <w:rPr>
          <w:rFonts w:ascii="黑体" w:eastAsia="黑体" w:hint="eastAsia"/>
        </w:rPr>
        <w:t>．被保险人主动吸食或注射毒品；</w:t>
      </w:r>
    </w:p>
    <w:p>
      <w:pPr>
        <w:pStyle w:val="BodyText"/>
        <w:spacing w:before="21"/>
        <w:ind w:left="538"/>
        <w:rPr>
          <w:rFonts w:ascii="黑体" w:eastAsia="黑体" w:hint="eastAsia"/>
        </w:rPr>
      </w:pPr>
      <w:r>
        <w:rPr>
          <w:rFonts w:ascii="Times New Roman" w:eastAsia="Times New Roman"/>
        </w:rPr>
        <w:t>5</w:t>
      </w:r>
      <w:r>
        <w:rPr>
          <w:rFonts w:ascii="黑体" w:eastAsia="黑体" w:hint="eastAsia"/>
        </w:rPr>
        <w:t>．被保险人酒后驾驶，无合法有效驾驶证驾驶，或驾驶无有效行驶证的机动车；</w:t>
      </w:r>
    </w:p>
    <w:p>
      <w:pPr>
        <w:pStyle w:val="BodyText"/>
        <w:spacing w:before="21"/>
        <w:ind w:left="538"/>
        <w:rPr>
          <w:rFonts w:ascii="黑体" w:eastAsia="黑体" w:hint="eastAsia"/>
        </w:rPr>
      </w:pPr>
      <w:r>
        <w:rPr>
          <w:rFonts w:ascii="Times New Roman" w:eastAsia="Times New Roman"/>
        </w:rPr>
        <w:t>6</w:t>
      </w:r>
      <w:r>
        <w:rPr>
          <w:rFonts w:ascii="黑体" w:eastAsia="黑体" w:hint="eastAsia"/>
        </w:rPr>
        <w:t>．战争、军事冲突、暴乱或武装叛乱；</w:t>
      </w:r>
    </w:p>
    <w:p>
      <w:pPr>
        <w:pStyle w:val="BodyText"/>
        <w:spacing w:before="21"/>
        <w:ind w:left="538"/>
        <w:rPr>
          <w:rFonts w:ascii="黑体" w:eastAsia="黑体" w:hint="eastAsia"/>
        </w:rPr>
      </w:pPr>
      <w:r>
        <w:rPr>
          <w:rFonts w:ascii="Times New Roman" w:eastAsia="Times New Roman"/>
        </w:rPr>
        <w:t>7</w:t>
      </w:r>
      <w:r>
        <w:rPr>
          <w:rFonts w:ascii="黑体" w:eastAsia="黑体" w:hint="eastAsia"/>
        </w:rPr>
        <w:t>．核爆炸、核辐射或核污染。</w:t>
      </w:r>
    </w:p>
    <w:p>
      <w:pPr>
        <w:pStyle w:val="BodyText"/>
        <w:spacing w:line="256" w:lineRule="auto" w:before="21"/>
        <w:ind w:left="117" w:right="14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项情形导致被保险人身故的，本附加合同终止，您已交足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发Th上述其他情形导致被保险人身故的，本附加合同终止，我们向您退还保险单的现金价值。</w:t>
      </w:r>
    </w:p>
    <w:p>
      <w:pPr>
        <w:pStyle w:val="BodyText"/>
        <w:spacing w:before="7"/>
        <w:rPr>
          <w:rFonts w:ascii="黑体"/>
          <w:sz w:val="24"/>
        </w:rPr>
      </w:pPr>
    </w:p>
    <w:p>
      <w:pPr>
        <w:pStyle w:val="Heading1"/>
        <w:tabs>
          <w:tab w:pos="1418" w:val="left" w:leader="none"/>
        </w:tabs>
        <w:ind w:right="1"/>
        <w:jc w:val="center"/>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line="273" w:lineRule="auto" w:before="37"/>
        <w:ind w:left="117" w:right="120" w:firstLine="420"/>
      </w:pPr>
      <w:r>
        <w:rPr/>
        <w:t>本附加合同的保险费交费方式、保险费约定支付日与主合同一致。如果在主合同有效期内，您申请投保本附加合同，则首期保险费在本附加合同投保时支付，续期保险费约定支付日与主合同一致。</w:t>
      </w:r>
    </w:p>
    <w:p>
      <w:pPr>
        <w:pStyle w:val="BodyText"/>
        <w:spacing w:before="4"/>
        <w:rPr>
          <w:sz w:val="22"/>
        </w:rPr>
      </w:pPr>
    </w:p>
    <w:p>
      <w:pPr>
        <w:pStyle w:val="Heading1"/>
        <w:tabs>
          <w:tab w:pos="1418" w:val="left" w:leader="none"/>
        </w:tabs>
        <w:jc w:val="center"/>
      </w:pPr>
      <w:bookmarkStart w:name="_bookmark12" w:id="13"/>
      <w:bookmarkEnd w:id="13"/>
      <w:r>
        <w:rPr>
          <w:b w:val="0"/>
        </w:rPr>
      </w:r>
      <w:r>
        <w:rPr/>
        <w:t>第四部分</w:t>
        <w:tab/>
      </w:r>
      <w:r>
        <w:rPr>
          <w:w w:val="95"/>
        </w:rPr>
        <w:t>如何申请保险金</w:t>
      </w:r>
    </w:p>
    <w:p>
      <w:pPr>
        <w:pStyle w:val="BodyText"/>
        <w:spacing w:before="11"/>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line="273" w:lineRule="auto" w:before="37"/>
        <w:ind w:left="538" w:right="4140"/>
      </w:pPr>
      <w:r>
        <w:rPr>
          <w:spacing w:val="-3"/>
        </w:rPr>
        <w:t>除另有约定外，重大疾病保险金受益人为被保险人本人。 您或者被保险人可以指定一人或多人为身故保险金受益人。</w:t>
      </w:r>
    </w:p>
    <w:p>
      <w:pPr>
        <w:pStyle w:val="BodyText"/>
        <w:spacing w:line="273" w:lineRule="auto" w:before="7"/>
        <w:ind w:left="117" w:right="12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16</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1"/>
        <w:ind w:left="117" w:right="1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6"/>
        <w:ind w:left="117" w:right="120" w:firstLine="420"/>
      </w:pPr>
      <w:r>
        <w:rPr/>
        <w:t>被保险人身故后，有下列情形之一的，保险金作为被保险人的遗产，由我们依照《中华人民共和国继承法》的规定履行给付保险金的义务：</w:t>
      </w:r>
    </w:p>
    <w:p>
      <w:pPr>
        <w:pStyle w:val="BodyText"/>
        <w:spacing w:line="273" w:lineRule="auto" w:before="7"/>
        <w:ind w:left="538" w:right="4349"/>
      </w:pPr>
      <w:r>
        <w:rPr/>
        <w:t>一、没有指定受益人，或者受益人指定不明无法确定的； 二、受益人先于被保险人身故，没有其他受益人的；</w:t>
      </w:r>
    </w:p>
    <w:p>
      <w:pPr>
        <w:pStyle w:val="BodyText"/>
        <w:spacing w:before="7"/>
        <w:ind w:left="538"/>
      </w:pPr>
      <w:r>
        <w:rPr/>
        <w:t>三、受益人依法丧失受益权或者放弃受益权，没有其他受益人的。</w:t>
      </w:r>
    </w:p>
    <w:p>
      <w:pPr>
        <w:pStyle w:val="BodyText"/>
        <w:rPr>
          <w:sz w:val="20"/>
        </w:rPr>
      </w:pPr>
    </w:p>
    <w:p>
      <w:pPr>
        <w:pStyle w:val="BodyText"/>
        <w:spacing w:before="3"/>
        <w:rPr>
          <w:sz w:val="10"/>
        </w:rPr>
      </w:pPr>
      <w:r>
        <w:rPr/>
        <w:pict>
          <v:line style="position:absolute;mso-position-horizontal-relative:page;mso-position-vertical-relative:paragraph;z-index:1168;mso-wrap-distance-left:0;mso-wrap-distance-right:0" from="53.880001pt,8.931108pt" to="197.930001pt,8.931108pt" stroked="true" strokeweight=".48004pt" strokecolor="#000000">
            <v:stroke dashstyle="solid"/>
            <w10:wrap type="topAndBottom"/>
          </v:line>
        </w:pict>
      </w:r>
    </w:p>
    <w:p>
      <w:pPr>
        <w:pStyle w:val="BodyText"/>
        <w:spacing w:line="237" w:lineRule="auto" w:before="38"/>
        <w:ind w:left="117" w:right="146"/>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spacing w:line="272" w:lineRule="exact" w:before="0"/>
        <w:ind w:left="117" w:right="0" w:firstLine="0"/>
        <w:jc w:val="left"/>
        <w:rPr>
          <w:rFonts w:ascii="楷体" w:eastAsia="楷体" w:hint="eastAsia"/>
          <w:sz w:val="21"/>
        </w:rPr>
      </w:pPr>
      <w:r>
        <w:rPr>
          <w:rFonts w:ascii="Times New Roman" w:eastAsia="Times New Roman"/>
          <w:spacing w:val="-1"/>
          <w:position w:val="10"/>
          <w:sz w:val="14"/>
        </w:rPr>
        <w:t>15</w:t>
      </w:r>
      <w:r>
        <w:rPr>
          <w:rFonts w:ascii="楷体" w:eastAsia="楷体" w:hint="eastAsia"/>
          <w:b/>
          <w:spacing w:val="-7"/>
          <w:sz w:val="21"/>
        </w:rPr>
        <w:t>无民事行为能力人：</w:t>
      </w:r>
      <w:r>
        <w:rPr>
          <w:rFonts w:ascii="楷体" w:eastAsia="楷体" w:hint="eastAsia"/>
          <w:spacing w:val="-7"/>
          <w:sz w:val="21"/>
        </w:rPr>
        <w:t>一种是指十周岁以下的未成年人，另一种是指不能辨认自己行为的精神病人</w:t>
      </w:r>
      <w:r>
        <w:rPr>
          <w:rFonts w:ascii="楷体" w:eastAsia="楷体" w:hint="eastAsia"/>
          <w:spacing w:val="-161"/>
          <w:sz w:val="21"/>
        </w:rPr>
        <w:t>。</w:t>
      </w:r>
      <w:r>
        <w:rPr>
          <w:rFonts w:ascii="楷体" w:eastAsia="楷体" w:hint="eastAsia"/>
          <w:sz w:val="21"/>
        </w:rPr>
        <w:t>（</w:t>
      </w:r>
      <w:r>
        <w:rPr>
          <w:rFonts w:ascii="楷体" w:eastAsia="楷体" w:hint="eastAsia"/>
          <w:spacing w:val="-15"/>
          <w:sz w:val="21"/>
        </w:rPr>
        <w:t>根据《中</w:t>
      </w:r>
    </w:p>
    <w:p>
      <w:pPr>
        <w:pStyle w:val="BodyText"/>
        <w:spacing w:line="272" w:lineRule="exact"/>
        <w:ind w:left="117"/>
        <w:rPr>
          <w:rFonts w:ascii="楷体" w:eastAsia="楷体" w:hint="eastAsia"/>
        </w:rPr>
      </w:pPr>
      <w:r>
        <w:rPr>
          <w:rFonts w:ascii="楷体" w:eastAsia="楷体" w:hint="eastAsia"/>
        </w:rPr>
        <w:t>华人民共和国民法通则》第十二条及第十三条规定）</w:t>
      </w:r>
    </w:p>
    <w:p>
      <w:pPr>
        <w:pStyle w:val="BodyText"/>
        <w:spacing w:line="237" w:lineRule="auto" w:before="2"/>
        <w:ind w:left="117" w:right="117"/>
        <w:rPr>
          <w:rFonts w:ascii="楷体" w:eastAsia="楷体" w:hint="eastAsia"/>
        </w:rPr>
      </w:pPr>
      <w:r>
        <w:rPr>
          <w:rFonts w:ascii="Times New Roman" w:eastAsia="Times New Roman"/>
          <w:position w:val="10"/>
          <w:sz w:val="14"/>
        </w:rPr>
        <w:t>16</w:t>
      </w:r>
      <w:r>
        <w:rPr>
          <w:rFonts w:ascii="楷体" w:eastAsia="楷体" w:hint="eastAsia"/>
          <w:b/>
          <w:spacing w:val="-9"/>
        </w:rPr>
        <w:t>限制民事行为能力人：</w:t>
      </w:r>
      <w:r>
        <w:rPr>
          <w:rFonts w:ascii="楷体" w:eastAsia="楷体" w:hint="eastAsia"/>
          <w:spacing w:val="-8"/>
        </w:rPr>
        <w:t>一种是指十周岁以上的未成年人，另一种是指不能完全辨认自己行为的精神病人</w:t>
      </w:r>
      <w:r>
        <w:rPr>
          <w:rFonts w:ascii="楷体" w:eastAsia="楷体" w:hint="eastAsia"/>
          <w:spacing w:val="-180"/>
        </w:rPr>
        <w:t>。</w:t>
      </w:r>
      <w:r>
        <w:rPr>
          <w:rFonts w:ascii="楷体" w:eastAsia="楷体" w:hint="eastAsia"/>
          <w:spacing w:val="-3"/>
        </w:rPr>
        <w:t>（</w:t>
      </w:r>
      <w:r>
        <w:rPr>
          <w:rFonts w:ascii="楷体" w:eastAsia="楷体" w:hint="eastAsia"/>
        </w:rPr>
        <w:t>根</w:t>
      </w:r>
      <w:r>
        <w:rPr>
          <w:rFonts w:ascii="楷体" w:eastAsia="楷体" w:hint="eastAsia"/>
          <w:spacing w:val="-3"/>
        </w:rPr>
        <w:t>据《中华人民共和国民法通则》第十二条及第十三条规定</w:t>
      </w:r>
      <w:r>
        <w:rPr>
          <w:rFonts w:ascii="楷体" w:eastAsia="楷体" w:hint="eastAsia"/>
        </w:rPr>
        <w:t>）</w:t>
      </w:r>
    </w:p>
    <w:p>
      <w:pPr>
        <w:spacing w:after="0" w:line="237" w:lineRule="auto"/>
        <w:rPr>
          <w:rFonts w:ascii="楷体" w:eastAsia="楷体" w:hint="eastAsia"/>
        </w:rPr>
        <w:sectPr>
          <w:pgSz w:w="11910" w:h="16160"/>
          <w:pgMar w:header="0" w:footer="708" w:top="1360" w:bottom="900" w:left="960" w:right="800"/>
        </w:sectPr>
      </w:pPr>
    </w:p>
    <w:p>
      <w:pPr>
        <w:pStyle w:val="BodyText"/>
        <w:spacing w:before="7"/>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8"/>
        <w:rPr>
          <w:sz w:val="26"/>
        </w:rPr>
      </w:pPr>
    </w:p>
    <w:p>
      <w:pPr>
        <w:pStyle w:val="Heading2"/>
        <w:tabs>
          <w:tab w:pos="1197" w:val="left" w:leader="none"/>
        </w:tabs>
        <w:spacing w:before="1"/>
      </w:pPr>
      <w:bookmarkStart w:name="_bookmark14" w:id="15"/>
      <w:bookmarkEnd w:id="15"/>
      <w:r>
        <w:rPr>
          <w:b w:val="0"/>
        </w:rPr>
      </w:r>
      <w:r>
        <w:rPr/>
        <w:t>第十一条</w:t>
        <w:tab/>
        <w:t>诉讼时效</w:t>
      </w:r>
    </w:p>
    <w:p>
      <w:pPr>
        <w:pStyle w:val="BodyText"/>
        <w:spacing w:before="44"/>
        <w:ind w:left="538"/>
        <w:rPr>
          <w:rFonts w:ascii="Times New Roman" w:eastAsia="Times New Roman"/>
        </w:rPr>
      </w:pPr>
      <w:r>
        <w:rPr/>
        <w:t>人寿保险以外的其他保险的被保险人或者受益人，向我们请求赔偿或者给付保险金的诉讼时效期间为 </w:t>
      </w:r>
      <w:r>
        <w:rPr>
          <w:rFonts w:ascii="Times New Roman" w:eastAsia="Times New Roman"/>
        </w:rPr>
        <w:t>2</w:t>
      </w:r>
    </w:p>
    <w:p>
      <w:pPr>
        <w:spacing w:before="9"/>
        <w:ind w:left="117" w:right="0" w:firstLine="0"/>
        <w:jc w:val="left"/>
        <w:rPr>
          <w:sz w:val="21"/>
        </w:rPr>
      </w:pPr>
      <w:r>
        <w:rPr>
          <w:sz w:val="21"/>
        </w:rPr>
        <w:t>年，自其知道或者应当知道</w:t>
      </w:r>
      <w:r>
        <w:rPr>
          <w:b/>
          <w:sz w:val="21"/>
        </w:rPr>
        <w:t>保险事故</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发生之日起计算。</w:t>
      </w:r>
    </w:p>
    <w:p>
      <w:pPr>
        <w:pStyle w:val="BodyText"/>
        <w:spacing w:line="247" w:lineRule="auto" w:before="9"/>
        <w:ind w:left="117" w:right="71" w:firstLine="420"/>
      </w:pPr>
      <w:r>
        <w:rPr/>
        <w:t>人寿保险的被保险人或者受益人向我们请求给付保险金的诉讼时效期间为 </w:t>
      </w:r>
      <w:r>
        <w:rPr>
          <w:rFonts w:ascii="Times New Roman" w:eastAsia="Times New Roman"/>
        </w:rPr>
        <w:t>5 </w:t>
      </w:r>
      <w:r>
        <w:rPr/>
        <w:t>年，自其知道或者应当知道保险事故发生之日起计算。</w:t>
      </w:r>
    </w:p>
    <w:p>
      <w:pPr>
        <w:pStyle w:val="BodyText"/>
        <w:spacing w:before="9"/>
        <w:rPr>
          <w:sz w:val="24"/>
        </w:rPr>
      </w:pPr>
    </w:p>
    <w:p>
      <w:pPr>
        <w:pStyle w:val="Heading2"/>
        <w:tabs>
          <w:tab w:pos="1197" w:val="left" w:leader="none"/>
        </w:tabs>
      </w:pPr>
      <w:bookmarkStart w:name="_bookmark15" w:id="16"/>
      <w:bookmarkEnd w:id="16"/>
      <w:r>
        <w:rPr>
          <w:b w:val="0"/>
        </w:rPr>
      </w:r>
      <w:r>
        <w:rPr/>
        <w:t>第十二条</w:t>
        <w:tab/>
        <w:t>保险金申请</w:t>
      </w:r>
    </w:p>
    <w:p>
      <w:pPr>
        <w:pStyle w:val="BodyText"/>
        <w:spacing w:before="37"/>
        <w:ind w:left="538"/>
      </w:pPr>
      <w:r>
        <w:rPr/>
        <w:t>一、重大疾病保险金的申请</w:t>
      </w:r>
    </w:p>
    <w:p>
      <w:pPr>
        <w:pStyle w:val="BodyText"/>
        <w:spacing w:line="273" w:lineRule="auto" w:before="37"/>
        <w:ind w:left="117" w:right="120" w:firstLine="420"/>
      </w:pPr>
      <w:r>
        <w:rPr/>
        <w:t>在申请重大疾病保险金时，由重大疾病保险金的受益人作为申请人填写保险金给付申请书，并提供下列证明和资料：</w:t>
      </w:r>
    </w:p>
    <w:p>
      <w:pPr>
        <w:pStyle w:val="ListParagraph"/>
        <w:numPr>
          <w:ilvl w:val="0"/>
          <w:numId w:val="4"/>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4"/>
        </w:numPr>
        <w:tabs>
          <w:tab w:pos="803" w:val="left" w:leader="none"/>
        </w:tabs>
        <w:spacing w:line="240" w:lineRule="auto" w:before="20"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ListParagraph"/>
        <w:numPr>
          <w:ilvl w:val="0"/>
          <w:numId w:val="4"/>
        </w:numPr>
        <w:tabs>
          <w:tab w:pos="803" w:val="left" w:leader="none"/>
        </w:tabs>
        <w:spacing w:line="240" w:lineRule="auto" w:before="20"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4"/>
        </w:numPr>
        <w:tabs>
          <w:tab w:pos="803" w:val="left" w:leader="none"/>
        </w:tabs>
        <w:spacing w:line="256" w:lineRule="auto" w:before="20" w:after="0"/>
        <w:ind w:left="538" w:right="3039" w:firstLine="0"/>
        <w:jc w:val="left"/>
        <w:rPr>
          <w:sz w:val="21"/>
        </w:rPr>
      </w:pPr>
      <w:r>
        <w:rPr>
          <w:spacing w:val="-3"/>
          <w:sz w:val="21"/>
        </w:rPr>
        <w:t>所能提供的与确认保险事故的性质、原因等有关的其他证明和资料。二、身故保险金的申请</w:t>
      </w:r>
    </w:p>
    <w:p>
      <w:pPr>
        <w:pStyle w:val="BodyText"/>
        <w:spacing w:line="273" w:lineRule="auto" w:before="22"/>
        <w:ind w:left="117" w:right="120" w:firstLine="420"/>
      </w:pPr>
      <w:r>
        <w:rPr/>
        <w:t>在申请身故保险金时，由身故保险金的受益人作为申请人填写保险金给付申请书，并提供下列证明和资料：</w:t>
      </w:r>
    </w:p>
    <w:p>
      <w:pPr>
        <w:pStyle w:val="BodyText"/>
        <w:spacing w:before="8"/>
        <w:ind w:left="538"/>
      </w:pPr>
      <w:r>
        <w:rPr>
          <w:rFonts w:ascii="Times New Roman" w:eastAsia="Times New Roman"/>
        </w:rPr>
        <w:t>1</w:t>
      </w:r>
      <w:r>
        <w:rPr/>
        <w:t>．保险合同；</w:t>
      </w:r>
    </w:p>
    <w:p>
      <w:pPr>
        <w:pStyle w:val="BodyText"/>
        <w:spacing w:before="21"/>
        <w:ind w:left="538"/>
      </w:pPr>
      <w:r>
        <w:rPr>
          <w:rFonts w:ascii="Times New Roman" w:eastAsia="Times New Roman"/>
        </w:rPr>
        <w:t>2</w:t>
      </w:r>
      <w:r>
        <w:rPr/>
        <w:t>．受益人的有效身份证件；</w:t>
      </w:r>
    </w:p>
    <w:p>
      <w:pPr>
        <w:pStyle w:val="BodyText"/>
        <w:spacing w:before="21"/>
        <w:ind w:left="538"/>
      </w:pPr>
      <w:r>
        <w:rPr>
          <w:rFonts w:ascii="Times New Roman" w:eastAsia="Times New Roman"/>
        </w:rPr>
        <w:t>3</w:t>
      </w:r>
      <w:r>
        <w:rPr/>
        <w:t>．国家卫生行政部门认定的医疗机构、公安部门或其他相关机构出具的被保险人的死亡证明；</w:t>
      </w:r>
    </w:p>
    <w:p>
      <w:pPr>
        <w:pStyle w:val="BodyText"/>
        <w:spacing w:before="21"/>
        <w:ind w:left="538"/>
      </w:pPr>
      <w:r>
        <w:rPr>
          <w:rFonts w:ascii="Times New Roman" w:eastAsia="Times New Roman"/>
        </w:rPr>
        <w:t>4</w:t>
      </w:r>
      <w:r>
        <w:rPr/>
        <w:t>．所能提供的与确认保险事故的性质、原因等有关的其他证明和资料。</w:t>
      </w:r>
    </w:p>
    <w:p>
      <w:pPr>
        <w:pStyle w:val="BodyText"/>
        <w:spacing w:before="6"/>
        <w:rPr>
          <w:sz w:val="25"/>
        </w:rPr>
      </w:pPr>
    </w:p>
    <w:p>
      <w:pPr>
        <w:pStyle w:val="BodyText"/>
        <w:spacing w:line="273" w:lineRule="auto"/>
        <w:ind w:left="117" w:right="1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3"/>
        <w:rPr>
          <w:sz w:val="22"/>
        </w:rPr>
      </w:pPr>
    </w:p>
    <w:p>
      <w:pPr>
        <w:pStyle w:val="Heading1"/>
        <w:tabs>
          <w:tab w:pos="1418" w:val="left" w:leader="none"/>
        </w:tabs>
        <w:spacing w:before="1"/>
        <w:jc w:val="center"/>
      </w:pPr>
      <w:bookmarkStart w:name="_bookmark16" w:id="17"/>
      <w:bookmarkEnd w:id="17"/>
      <w:r>
        <w:rPr>
          <w:b w:val="0"/>
        </w:rPr>
      </w:r>
      <w:r>
        <w:rPr/>
        <w:t>第五部分</w:t>
        <w:tab/>
      </w:r>
      <w:r>
        <w:rPr>
          <w:w w:val="95"/>
        </w:rPr>
        <w:t>您还享有哪些权益</w:t>
      </w:r>
    </w:p>
    <w:p>
      <w:pPr>
        <w:pStyle w:val="BodyText"/>
        <w:spacing w:before="11"/>
        <w:rPr>
          <w:b/>
          <w:sz w:val="25"/>
        </w:rPr>
      </w:pPr>
    </w:p>
    <w:p>
      <w:pPr>
        <w:pStyle w:val="Heading2"/>
        <w:tabs>
          <w:tab w:pos="1197" w:val="left" w:leader="none"/>
        </w:tabs>
      </w:pPr>
      <w:bookmarkStart w:name="_bookmark17" w:id="18"/>
      <w:bookmarkEnd w:id="18"/>
      <w:r>
        <w:rPr>
          <w:b w:val="0"/>
        </w:rPr>
      </w:r>
      <w:r>
        <w:rPr/>
        <w:t>第十三条</w:t>
        <w:tab/>
        <w:t>犹豫期</w:t>
      </w:r>
    </w:p>
    <w:p>
      <w:pPr>
        <w:pStyle w:val="BodyText"/>
        <w:spacing w:before="37"/>
        <w:ind w:left="538"/>
      </w:pPr>
      <w:r>
        <w:rPr/>
        <w:t>您在收到本附加合同并书面签收之日起可享有 </w:t>
      </w:r>
      <w:r>
        <w:rPr>
          <w:rFonts w:ascii="Times New Roman" w:eastAsia="Times New Roman"/>
        </w:rPr>
        <w:t>15 </w:t>
      </w:r>
      <w:r>
        <w:rPr/>
        <w:t>日的犹豫期，在犹豫期内要求解除本附加合同的，在我</w:t>
      </w:r>
    </w:p>
    <w:p>
      <w:pPr>
        <w:pStyle w:val="BodyText"/>
        <w:spacing w:line="256" w:lineRule="auto" w:before="21"/>
        <w:ind w:left="117" w:right="112"/>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费后，无息退还已交保险费。</w:t>
      </w:r>
    </w:p>
    <w:p>
      <w:pPr>
        <w:pStyle w:val="BodyText"/>
        <w:spacing w:before="6"/>
        <w:rPr>
          <w:sz w:val="25"/>
        </w:rPr>
      </w:pPr>
    </w:p>
    <w:p>
      <w:pPr>
        <w:pStyle w:val="Heading2"/>
        <w:tabs>
          <w:tab w:pos="1197" w:val="left" w:leader="none"/>
        </w:tabs>
        <w:spacing w:before="1"/>
      </w:pPr>
      <w:bookmarkStart w:name="_bookmark18" w:id="19"/>
      <w:bookmarkEnd w:id="19"/>
      <w:r>
        <w:rPr>
          <w:b w:val="0"/>
        </w:rPr>
      </w:r>
      <w:r>
        <w:rPr/>
        <w:t>第十四条</w:t>
        <w:tab/>
        <w:t>您解除合同的手续</w:t>
      </w:r>
      <w:r>
        <w:rPr>
          <w:spacing w:val="-3"/>
        </w:rPr>
        <w:t>及</w:t>
      </w:r>
      <w:r>
        <w:rPr/>
        <w:t>风险</w:t>
      </w:r>
    </w:p>
    <w:p>
      <w:pPr>
        <w:pStyle w:val="BodyText"/>
        <w:spacing w:before="37"/>
        <w:ind w:left="538"/>
      </w:pPr>
      <w:r>
        <w:rPr/>
        <w:t>如您在犹豫期后申请解除本附加合同，请填写解除合同申请书并向我们提供下列资料：</w:t>
      </w:r>
    </w:p>
    <w:p>
      <w:pPr>
        <w:pStyle w:val="BodyText"/>
        <w:spacing w:before="9"/>
        <w:rPr>
          <w:sz w:val="18"/>
        </w:rPr>
      </w:pPr>
      <w:r>
        <w:rPr/>
        <w:pict>
          <v:line style="position:absolute;mso-position-horizontal-relative:page;mso-position-vertical-relative:paragraph;z-index:1192;mso-wrap-distance-left:0;mso-wrap-distance-right:0" from="53.880001pt,14.468263pt" to="197.930001pt,14.468263pt" stroked="true" strokeweight=".47998pt" strokecolor="#000000">
            <v:stroke dashstyle="solid"/>
            <w10:wrap type="topAndBottom"/>
          </v:line>
        </w:pict>
      </w:r>
    </w:p>
    <w:p>
      <w:pPr>
        <w:spacing w:before="35"/>
        <w:ind w:left="117" w:right="0" w:firstLine="0"/>
        <w:jc w:val="left"/>
        <w:rPr>
          <w:rFonts w:ascii="楷体" w:eastAsia="楷体" w:hint="eastAsia"/>
          <w:sz w:val="21"/>
        </w:rPr>
      </w:pPr>
      <w:r>
        <w:rPr>
          <w:rFonts w:ascii="Times New Roman" w:eastAsia="Times New Roman"/>
          <w:position w:val="10"/>
          <w:sz w:val="14"/>
        </w:rPr>
        <w:t>17</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20"/>
        <w:ind w:left="117"/>
        <w:rPr>
          <w:rFonts w:ascii="楷体" w:eastAsia="楷体" w:hint="eastAsia"/>
        </w:rPr>
      </w:pPr>
      <w:r>
        <w:rPr>
          <w:rFonts w:ascii="Times New Roman" w:eastAsia="Times New Roman"/>
          <w:position w:val="10"/>
          <w:sz w:val="14"/>
        </w:rPr>
        <w:t>18</w:t>
      </w:r>
      <w:r>
        <w:rPr>
          <w:rFonts w:ascii="楷体" w:eastAsia="楷体" w:hint="eastAsia"/>
          <w:b/>
        </w:rPr>
        <w:t>有效身份证件：</w:t>
      </w:r>
      <w:r>
        <w:rPr>
          <w:rFonts w:ascii="楷体" w:eastAsia="楷体" w:hint="eastAsia"/>
        </w:rPr>
        <w:t>指身份证、户口簿、护照、军人证等。户口簿的使用仅限于十六周岁以下尚未申领身份证</w:t>
      </w:r>
    </w:p>
    <w:p>
      <w:pPr>
        <w:pStyle w:val="BodyText"/>
        <w:spacing w:before="37"/>
        <w:ind w:left="117"/>
        <w:rPr>
          <w:rFonts w:ascii="楷体" w:eastAsia="楷体" w:hint="eastAsia"/>
        </w:rPr>
      </w:pPr>
      <w:r>
        <w:rPr>
          <w:rFonts w:ascii="楷体" w:eastAsia="楷体" w:hint="eastAsia"/>
        </w:rPr>
        <w:t>的未成年人。</w:t>
      </w:r>
    </w:p>
    <w:p>
      <w:pPr>
        <w:spacing w:after="0"/>
        <w:rPr>
          <w:rFonts w:ascii="楷体" w:eastAsia="楷体" w:hint="eastAsia"/>
        </w:rPr>
        <w:sectPr>
          <w:pgSz w:w="11910" w:h="16160"/>
          <w:pgMar w:header="0" w:footer="708" w:top="1360" w:bottom="900" w:left="960" w:right="800"/>
        </w:sectPr>
      </w:pPr>
    </w:p>
    <w:p>
      <w:pPr>
        <w:pStyle w:val="BodyText"/>
        <w:spacing w:before="7"/>
        <w:ind w:left="738"/>
      </w:pPr>
      <w:r>
        <w:rPr/>
        <w:t>一、保险合同；</w:t>
      </w:r>
    </w:p>
    <w:p>
      <w:pPr>
        <w:pStyle w:val="BodyText"/>
        <w:spacing w:before="37"/>
        <w:ind w:left="738"/>
      </w:pPr>
      <w:r>
        <w:rPr/>
        <w:t>二、您的有效身份证件。</w:t>
      </w:r>
    </w:p>
    <w:p>
      <w:pPr>
        <w:pStyle w:val="BodyText"/>
        <w:spacing w:line="256" w:lineRule="auto" w:before="37"/>
        <w:ind w:left="317" w:right="3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您犹豫期后解除合同会遭受一定损失。</w:t>
      </w:r>
    </w:p>
    <w:p>
      <w:pPr>
        <w:pStyle w:val="BodyText"/>
        <w:spacing w:before="6"/>
        <w:rPr>
          <w:sz w:val="24"/>
        </w:rPr>
      </w:pPr>
    </w:p>
    <w:p>
      <w:pPr>
        <w:pStyle w:val="Heading1"/>
        <w:tabs>
          <w:tab w:pos="4775" w:val="left" w:leader="none"/>
        </w:tabs>
        <w:spacing w:before="1"/>
        <w:ind w:left="3357"/>
      </w:pPr>
      <w:bookmarkStart w:name="_bookmark19" w:id="20"/>
      <w:bookmarkEnd w:id="20"/>
      <w:r>
        <w:rPr>
          <w:b w:val="0"/>
        </w:rPr>
      </w:r>
      <w:r>
        <w:rPr/>
        <w:t>第六部分</w:t>
        <w:tab/>
      </w:r>
      <w:r>
        <w:rPr>
          <w:w w:val="95"/>
        </w:rPr>
        <w:t>您必须了解的其他事项</w:t>
      </w:r>
    </w:p>
    <w:p>
      <w:pPr>
        <w:pStyle w:val="BodyText"/>
        <w:spacing w:before="10"/>
        <w:rPr>
          <w:b/>
          <w:sz w:val="25"/>
        </w:rPr>
      </w:pPr>
    </w:p>
    <w:p>
      <w:pPr>
        <w:pStyle w:val="Heading2"/>
        <w:tabs>
          <w:tab w:pos="1397" w:val="left" w:leader="none"/>
        </w:tabs>
        <w:ind w:left="317"/>
      </w:pPr>
      <w:bookmarkStart w:name="_bookmark20" w:id="21"/>
      <w:bookmarkEnd w:id="21"/>
      <w:r>
        <w:rPr>
          <w:b w:val="0"/>
        </w:rPr>
      </w:r>
      <w:r>
        <w:rPr/>
        <w:t>第十五条</w:t>
        <w:tab/>
        <w:t>未成年人身故保险</w:t>
      </w:r>
      <w:r>
        <w:rPr>
          <w:spacing w:val="-3"/>
        </w:rPr>
        <w:t>金</w:t>
      </w:r>
      <w:r>
        <w:rPr/>
        <w:t>限制</w:t>
      </w:r>
    </w:p>
    <w:p>
      <w:pPr>
        <w:pStyle w:val="BodyText"/>
        <w:spacing w:line="273" w:lineRule="auto" w:before="36"/>
        <w:ind w:left="317" w:right="320" w:firstLine="42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5"/>
        <w:rPr>
          <w:sz w:val="24"/>
        </w:rPr>
      </w:pPr>
    </w:p>
    <w:p>
      <w:pPr>
        <w:pStyle w:val="Heading2"/>
        <w:tabs>
          <w:tab w:pos="1397" w:val="left" w:leader="none"/>
        </w:tabs>
        <w:spacing w:before="1"/>
        <w:ind w:left="317"/>
      </w:pPr>
      <w:bookmarkStart w:name="_bookmark21" w:id="22"/>
      <w:bookmarkEnd w:id="22"/>
      <w:r>
        <w:rPr>
          <w:b w:val="0"/>
        </w:rPr>
      </w:r>
      <w:r>
        <w:rPr/>
        <w:t>第十六条</w:t>
        <w:tab/>
        <w:t>保险合同的终止</w:t>
      </w:r>
    </w:p>
    <w:p>
      <w:pPr>
        <w:pStyle w:val="BodyText"/>
        <w:spacing w:line="273" w:lineRule="auto" w:before="37"/>
        <w:ind w:left="738" w:right="3080"/>
      </w:pPr>
      <w:r>
        <w:rPr/>
        <w:t>除本附加合同另有约定外，本附加合同在发生下列情况之一时自动终止： 一、我们已按本附加合同的约定给付重大疾病保险金或身故保险金；</w:t>
      </w:r>
    </w:p>
    <w:p>
      <w:pPr>
        <w:pStyle w:val="BodyText"/>
        <w:spacing w:before="7"/>
        <w:ind w:left="738"/>
      </w:pPr>
      <w:r>
        <w:rPr/>
        <w:t>二、主合同解除或终止；</w:t>
      </w:r>
    </w:p>
    <w:p>
      <w:pPr>
        <w:pStyle w:val="BodyText"/>
        <w:spacing w:before="36"/>
        <w:ind w:left="738"/>
      </w:pPr>
      <w:r>
        <w:rPr/>
        <w:t>三、本附加合同内约定的其他终止情况。</w:t>
      </w:r>
    </w:p>
    <w:p>
      <w:pPr>
        <w:pStyle w:val="BodyText"/>
        <w:spacing w:before="8"/>
        <w:rPr>
          <w:sz w:val="26"/>
        </w:rPr>
      </w:pPr>
    </w:p>
    <w:p>
      <w:pPr>
        <w:pStyle w:val="Heading2"/>
        <w:tabs>
          <w:tab w:pos="1397" w:val="left" w:leader="none"/>
        </w:tabs>
        <w:ind w:left="317"/>
      </w:pPr>
      <w:bookmarkStart w:name="_bookmark22" w:id="23"/>
      <w:bookmarkEnd w:id="23"/>
      <w:r>
        <w:rPr>
          <w:b w:val="0"/>
        </w:rPr>
      </w:r>
      <w:r>
        <w:rPr/>
        <w:t>第十七条</w:t>
        <w:tab/>
        <w:t>重大疾病的种类及</w:t>
      </w:r>
      <w:r>
        <w:rPr>
          <w:spacing w:val="-3"/>
        </w:rPr>
        <w:t>定</w:t>
      </w:r>
      <w:r>
        <w:rPr/>
        <w:t>义</w:t>
      </w:r>
    </w:p>
    <w:p>
      <w:pPr>
        <w:pStyle w:val="BodyText"/>
        <w:spacing w:line="256" w:lineRule="auto" w:before="37"/>
        <w:ind w:left="317" w:right="318" w:firstLine="420"/>
      </w:pPr>
      <w:r>
        <w:rPr/>
        <w:t>本附加合同所保障的重大疾病，是指被保险人经</w:t>
      </w:r>
      <w:r>
        <w:rPr>
          <w:b/>
        </w:rPr>
        <w:t>专科医生</w:t>
      </w:r>
      <w:r>
        <w:rPr>
          <w:rFonts w:ascii="Times New Roman" w:eastAsia="Times New Roman"/>
          <w:b/>
          <w:vertAlign w:val="superscript"/>
        </w:rPr>
        <w:t>1</w:t>
      </w:r>
      <w:r>
        <w:rPr>
          <w:rFonts w:ascii="Times New Roman" w:eastAsia="Times New Roman"/>
          <w:b/>
          <w:vertAlign w:val="superscript"/>
        </w:rPr>
        <w:t>9</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17" w:right="314" w:firstLine="420"/>
      </w:pPr>
      <w:r>
        <w:rPr>
          <w:spacing w:val="-7"/>
        </w:rPr>
        <w:t>本附加合同所保障的重大疾病共 </w:t>
      </w:r>
      <w:r>
        <w:rPr>
          <w:rFonts w:ascii="Times New Roman" w:eastAsia="Times New Roman"/>
        </w:rPr>
        <w:t>35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3"/>
        </w:rPr>
        <w:t>义使用规范》中列明的重大疾病，该规范由中国保险行业协会制定，其他为我们增加的重大疾病。</w:t>
      </w:r>
    </w:p>
    <w:p>
      <w:pPr>
        <w:pStyle w:val="BodyText"/>
        <w:rPr>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6"/>
        <w:gridCol w:w="786"/>
        <w:gridCol w:w="7211"/>
      </w:tblGrid>
      <w:tr>
        <w:trPr>
          <w:trHeight w:val="3705" w:hRule="atLeast"/>
        </w:trPr>
        <w:tc>
          <w:tcPr>
            <w:tcW w:w="2316" w:type="dxa"/>
          </w:tcPr>
          <w:p>
            <w:pPr>
              <w:pStyle w:val="TableParagraph"/>
              <w:spacing w:line="234" w:lineRule="exact"/>
              <w:ind w:left="200"/>
              <w:rPr>
                <w:sz w:val="21"/>
              </w:rPr>
            </w:pPr>
            <w:r>
              <w:rPr>
                <w:rFonts w:ascii="Times New Roman" w:eastAsia="Times New Roman"/>
                <w:sz w:val="21"/>
              </w:rPr>
              <w:t>1.  </w:t>
            </w:r>
            <w:r>
              <w:rPr>
                <w:sz w:val="21"/>
              </w:rPr>
              <w:t>恶性肿瘤</w:t>
            </w:r>
          </w:p>
        </w:tc>
        <w:tc>
          <w:tcPr>
            <w:tcW w:w="786" w:type="dxa"/>
          </w:tcPr>
          <w:p>
            <w:pPr>
              <w:pStyle w:val="TableParagraph"/>
              <w:spacing w:line="203" w:lineRule="exact"/>
              <w:ind w:left="0" w:right="14"/>
              <w:jc w:val="right"/>
              <w:rPr>
                <w:sz w:val="21"/>
              </w:rPr>
            </w:pPr>
            <w:r>
              <w:rPr>
                <w:spacing w:val="-34"/>
                <w:w w:val="100"/>
                <w:sz w:val="21"/>
              </w:rPr>
              <w:t>：</w:t>
            </w:r>
          </w:p>
        </w:tc>
        <w:tc>
          <w:tcPr>
            <w:tcW w:w="7211" w:type="dxa"/>
          </w:tcPr>
          <w:p>
            <w:pPr>
              <w:pStyle w:val="TableParagraph"/>
              <w:spacing w:line="218" w:lineRule="exact"/>
              <w:rPr>
                <w:sz w:val="21"/>
              </w:rPr>
            </w:pPr>
            <w:r>
              <w:rPr>
                <w:sz w:val="21"/>
              </w:rPr>
              <w:t>指恶性细胞不受控制的进行性增长和扩散，浸润和破坏周围正常组织，可以</w:t>
            </w:r>
          </w:p>
          <w:p>
            <w:pPr>
              <w:pStyle w:val="TableParagraph"/>
              <w:spacing w:line="273" w:lineRule="auto" w:before="37"/>
              <w:ind w:right="204"/>
              <w:jc w:val="both"/>
              <w:rPr>
                <w:sz w:val="21"/>
              </w:rPr>
            </w:pPr>
            <w:r>
              <w:rPr>
                <w:sz w:val="21"/>
              </w:rPr>
              <w:t>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jc w:val="both"/>
              <w:rPr>
                <w:b/>
                <w:sz w:val="21"/>
              </w:rPr>
            </w:pPr>
            <w:r>
              <w:rPr>
                <w:b/>
                <w:sz w:val="21"/>
              </w:rPr>
              <w:t>下列疾病不在保障范围内：</w:t>
            </w:r>
          </w:p>
          <w:p>
            <w:pPr>
              <w:pStyle w:val="TableParagraph"/>
              <w:spacing w:before="37"/>
              <w:jc w:val="both"/>
              <w:rPr>
                <w:b/>
                <w:sz w:val="21"/>
              </w:rPr>
            </w:pPr>
            <w:r>
              <w:rPr>
                <w:b/>
                <w:sz w:val="21"/>
              </w:rPr>
              <w:t>（</w:t>
            </w:r>
            <w:r>
              <w:rPr>
                <w:rFonts w:ascii="Times New Roman" w:eastAsia="Times New Roman"/>
                <w:b/>
                <w:sz w:val="21"/>
              </w:rPr>
              <w:t>1</w:t>
            </w:r>
            <w:r>
              <w:rPr>
                <w:b/>
                <w:sz w:val="21"/>
              </w:rPr>
              <w:t>）原位癌；</w:t>
            </w:r>
          </w:p>
          <w:p>
            <w:pPr>
              <w:pStyle w:val="TableParagraph"/>
              <w:spacing w:before="21"/>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jc w:val="both"/>
              <w:rPr>
                <w:b/>
                <w:sz w:val="21"/>
              </w:rPr>
            </w:pPr>
            <w:r>
              <w:rPr>
                <w:b/>
                <w:sz w:val="21"/>
              </w:rPr>
              <w:t>（</w:t>
            </w:r>
            <w:r>
              <w:rPr>
                <w:rFonts w:ascii="Times New Roman" w:eastAsia="Times New Roman"/>
                <w:b/>
                <w:sz w:val="21"/>
              </w:rPr>
              <w:t>3</w:t>
            </w:r>
            <w:r>
              <w:rPr>
                <w:b/>
                <w:sz w:val="21"/>
              </w:rPr>
              <w:t>）</w:t>
            </w:r>
            <w:r>
              <w:rPr>
                <w:b/>
                <w:spacing w:val="-14"/>
                <w:sz w:val="21"/>
              </w:rPr>
              <w:t>相当于 </w:t>
            </w:r>
            <w:r>
              <w:rPr>
                <w:rFonts w:ascii="Times New Roman" w:eastAsia="Times New Roman"/>
                <w:b/>
                <w:sz w:val="21"/>
              </w:rPr>
              <w:t>Ann Arbor </w:t>
            </w:r>
            <w:r>
              <w:rPr>
                <w:b/>
                <w:spacing w:val="-11"/>
                <w:sz w:val="21"/>
              </w:rPr>
              <w:t>分期方案 </w:t>
            </w:r>
            <w:r>
              <w:rPr>
                <w:rFonts w:ascii="Times New Roman" w:eastAsia="Times New Roman"/>
                <w:b/>
                <w:sz w:val="21"/>
              </w:rPr>
              <w:t>I </w:t>
            </w:r>
            <w:r>
              <w:rPr>
                <w:b/>
                <w:spacing w:val="-1"/>
                <w:sz w:val="21"/>
              </w:rPr>
              <w:t>期程度的何杰金氏病；</w:t>
            </w:r>
          </w:p>
          <w:p>
            <w:pPr>
              <w:pStyle w:val="TableParagraph"/>
              <w:spacing w:before="21"/>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9" w:lineRule="auto" w:before="21"/>
              <w:ind w:right="197"/>
              <w:rPr>
                <w:b/>
                <w:sz w:val="21"/>
              </w:rPr>
            </w:pPr>
            <w:r>
              <w:rPr>
                <w:b/>
                <w:spacing w:val="-7"/>
                <w:sz w:val="21"/>
              </w:rPr>
              <w:t>（</w:t>
            </w:r>
            <w:r>
              <w:rPr>
                <w:rFonts w:ascii="Times New Roman" w:eastAsia="Times New Roman"/>
                <w:b/>
                <w:spacing w:val="-7"/>
                <w:sz w:val="21"/>
              </w:rPr>
              <w:t>5</w:t>
            </w:r>
            <w:r>
              <w:rPr>
                <w:b/>
                <w:spacing w:val="-7"/>
                <w:sz w:val="21"/>
              </w:rPr>
              <w:t>）</w:t>
            </w:r>
            <w:r>
              <w:rPr>
                <w:rFonts w:ascii="Times New Roman" w:eastAsia="Times New Roman"/>
                <w:b/>
                <w:spacing w:val="-7"/>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5"/>
                <w:sz w:val="21"/>
                <w:vertAlign w:val="baseline"/>
              </w:rPr>
              <w:t>期或更轻分期的前列腺癌</w:t>
            </w:r>
            <w:r>
              <w:rPr>
                <w:b/>
                <w:sz w:val="21"/>
                <w:vertAlign w:val="baseline"/>
              </w:rPr>
              <w:t>（</w:t>
            </w:r>
            <w:r>
              <w:rPr>
                <w:b/>
                <w:spacing w:val="-7"/>
                <w:sz w:val="21"/>
                <w:vertAlign w:val="baseline"/>
              </w:rPr>
              <w:t>注：如果为女性重大疾</w:t>
            </w:r>
            <w:r>
              <w:rPr>
                <w:b/>
                <w:spacing w:val="-16"/>
                <w:w w:val="100"/>
                <w:sz w:val="21"/>
                <w:vertAlign w:val="baseline"/>
              </w:rPr>
              <w:t>病保险，则不包括此项。</w:t>
            </w:r>
            <w:r>
              <w:rPr>
                <w:b/>
                <w:spacing w:val="-108"/>
                <w:w w:val="100"/>
                <w:sz w:val="21"/>
                <w:vertAlign w:val="baseline"/>
              </w:rPr>
              <w:t>）</w:t>
            </w:r>
            <w:r>
              <w:rPr>
                <w:b/>
                <w:w w:val="100"/>
                <w:sz w:val="21"/>
                <w:vertAlign w:val="baseline"/>
              </w:rPr>
              <w:t>；</w:t>
            </w:r>
          </w:p>
          <w:p>
            <w:pPr>
              <w:pStyle w:val="TableParagraph"/>
              <w:spacing w:before="20"/>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1208" w:hRule="atLeast"/>
        </w:trPr>
        <w:tc>
          <w:tcPr>
            <w:tcW w:w="2316" w:type="dxa"/>
          </w:tcPr>
          <w:p>
            <w:pPr>
              <w:pStyle w:val="TableParagraph"/>
              <w:spacing w:line="273" w:lineRule="exact"/>
              <w:ind w:left="200"/>
              <w:rPr>
                <w:sz w:val="21"/>
              </w:rPr>
            </w:pPr>
            <w:r>
              <w:rPr>
                <w:rFonts w:ascii="Times New Roman" w:eastAsia="Times New Roman"/>
                <w:sz w:val="21"/>
              </w:rPr>
              <w:t>2.  </w:t>
            </w:r>
            <w:r>
              <w:rPr>
                <w:sz w:val="21"/>
              </w:rPr>
              <w:t>急性心肌梗塞</w:t>
            </w:r>
          </w:p>
        </w:tc>
        <w:tc>
          <w:tcPr>
            <w:tcW w:w="786" w:type="dxa"/>
          </w:tcPr>
          <w:p>
            <w:pPr>
              <w:pStyle w:val="TableParagraph"/>
              <w:spacing w:line="242" w:lineRule="exact"/>
              <w:ind w:left="0" w:right="14"/>
              <w:jc w:val="right"/>
              <w:rPr>
                <w:sz w:val="21"/>
              </w:rPr>
            </w:pPr>
            <w:r>
              <w:rPr>
                <w:spacing w:val="-34"/>
                <w:w w:val="100"/>
                <w:sz w:val="21"/>
              </w:rPr>
              <w:t>：</w:t>
            </w:r>
          </w:p>
        </w:tc>
        <w:tc>
          <w:tcPr>
            <w:tcW w:w="7211" w:type="dxa"/>
          </w:tcPr>
          <w:p>
            <w:pPr>
              <w:pStyle w:val="TableParagraph"/>
              <w:spacing w:line="257" w:lineRule="exact"/>
              <w:rPr>
                <w:sz w:val="21"/>
              </w:rPr>
            </w:pPr>
            <w:r>
              <w:rPr>
                <w:sz w:val="21"/>
              </w:rPr>
              <w:t>指因冠状动脉阻塞导致的相应区域供血不足造成部分心肌坏死。须满足下列</w:t>
            </w:r>
          </w:p>
          <w:p>
            <w:pPr>
              <w:pStyle w:val="TableParagraph"/>
              <w:spacing w:before="37"/>
              <w:rPr>
                <w:sz w:val="21"/>
              </w:rPr>
            </w:pPr>
            <w:r>
              <w:rPr>
                <w:sz w:val="21"/>
              </w:rPr>
              <w:t>至少三项条件：</w:t>
            </w:r>
          </w:p>
          <w:p>
            <w:pPr>
              <w:pStyle w:val="TableParagraph"/>
              <w:spacing w:before="37"/>
              <w:rPr>
                <w:sz w:val="21"/>
              </w:rPr>
            </w:pPr>
            <w:r>
              <w:rPr>
                <w:sz w:val="21"/>
              </w:rPr>
              <w:t>（</w:t>
            </w:r>
            <w:r>
              <w:rPr>
                <w:rFonts w:ascii="Times New Roman" w:eastAsia="Times New Roman"/>
                <w:sz w:val="21"/>
              </w:rPr>
              <w:t>1</w:t>
            </w:r>
            <w:r>
              <w:rPr>
                <w:sz w:val="21"/>
              </w:rPr>
              <w:t>）典型临床表现，例如急性胸痛等；</w:t>
            </w:r>
          </w:p>
          <w:p>
            <w:pPr>
              <w:pStyle w:val="TableParagraph"/>
              <w:spacing w:line="271" w:lineRule="exact" w:before="21"/>
              <w:rPr>
                <w:sz w:val="21"/>
              </w:rPr>
            </w:pPr>
            <w:r>
              <w:rPr>
                <w:sz w:val="21"/>
              </w:rPr>
              <w:t>（</w:t>
            </w:r>
            <w:r>
              <w:rPr>
                <w:rFonts w:ascii="Times New Roman" w:eastAsia="Times New Roman"/>
                <w:sz w:val="21"/>
              </w:rPr>
              <w:t>2</w:t>
            </w:r>
            <w:r>
              <w:rPr>
                <w:sz w:val="21"/>
              </w:rPr>
              <w:t>）新近的心电图改变提示急性心肌梗塞；</w:t>
            </w:r>
          </w:p>
        </w:tc>
      </w:tr>
    </w:tbl>
    <w:p>
      <w:pPr>
        <w:pStyle w:val="BodyText"/>
        <w:spacing w:before="1"/>
        <w:rPr>
          <w:sz w:val="23"/>
        </w:rPr>
      </w:pPr>
      <w:r>
        <w:rPr/>
        <w:pict>
          <v:line style="position:absolute;mso-position-horizontal-relative:page;mso-position-vertical-relative:paragraph;z-index:1216;mso-wrap-distance-left:0;mso-wrap-distance-right:0" from="53.880001pt,17.302864pt" to="197.930001pt,17.302864pt" stroked="true" strokeweight=".48004pt" strokecolor="#000000">
            <v:stroke dashstyle="solid"/>
            <w10:wrap type="topAndBottom"/>
          </v:line>
        </w:pict>
      </w:r>
    </w:p>
    <w:p>
      <w:pPr>
        <w:pStyle w:val="BodyText"/>
        <w:spacing w:line="281" w:lineRule="exact" w:before="35"/>
        <w:ind w:left="317"/>
        <w:rPr>
          <w:rFonts w:ascii="楷体" w:eastAsia="楷体" w:hint="eastAsia"/>
        </w:rPr>
      </w:pPr>
      <w:r>
        <w:rPr>
          <w:rFonts w:ascii="Times New Roman" w:eastAsia="Times New Roman"/>
          <w:w w:val="99"/>
          <w:position w:val="10"/>
          <w:sz w:val="14"/>
        </w:rPr>
        <w:t>19</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31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708" w:top="1360" w:bottom="900" w:left="760" w:right="600"/>
        </w:sectPr>
      </w:pPr>
    </w:p>
    <w:p>
      <w:pPr>
        <w:pStyle w:val="BodyText"/>
        <w:spacing w:line="256" w:lineRule="auto" w:before="27"/>
        <w:ind w:left="3003" w:right="110"/>
      </w:pPr>
      <w:r>
        <w:rPr/>
        <w:t>（</w:t>
      </w:r>
      <w:r>
        <w:rPr>
          <w:rFonts w:ascii="Times New Roman" w:eastAsia="Times New Roman"/>
        </w:rPr>
        <w:t>3</w:t>
      </w:r>
      <w:r>
        <w:rPr/>
        <w:t>）心肌酶或肌钙蛋白有诊断意义的升高，或呈符合急性心肌梗塞的动态性变化；</w:t>
      </w:r>
    </w:p>
    <w:p>
      <w:pPr>
        <w:pStyle w:val="BodyText"/>
        <w:spacing w:before="22"/>
        <w:ind w:left="3003"/>
        <w:rPr>
          <w:rFonts w:ascii="Times New Roman" w:eastAsia="Times New Roman"/>
        </w:rPr>
      </w:pPr>
      <w:r>
        <w:rPr>
          <w:w w:val="100"/>
        </w:rPr>
        <w:t>（</w:t>
      </w:r>
      <w:r>
        <w:rPr>
          <w:rFonts w:ascii="Times New Roman" w:eastAsia="Times New Roman"/>
          <w:w w:val="100"/>
        </w:rPr>
        <w:t>4</w:t>
      </w:r>
      <w:r>
        <w:rPr>
          <w:spacing w:val="-99"/>
          <w:w w:val="100"/>
        </w:rPr>
        <w:t>）</w:t>
      </w:r>
      <w:r>
        <w:rPr>
          <w:w w:val="100"/>
        </w:rPr>
        <w:t>发病</w:t>
      </w:r>
      <w:r>
        <w:rPr>
          <w:spacing w:val="-55"/>
        </w:rPr>
        <w:t> </w:t>
      </w:r>
      <w:r>
        <w:rPr>
          <w:rFonts w:ascii="Times New Roman" w:eastAsia="Times New Roman"/>
          <w:w w:val="100"/>
        </w:rPr>
        <w:t>90</w:t>
      </w:r>
      <w:r>
        <w:rPr>
          <w:rFonts w:ascii="Times New Roman" w:eastAsia="Times New Roman"/>
          <w:spacing w:val="-1"/>
        </w:rPr>
        <w:t>  </w:t>
      </w:r>
      <w:r>
        <w:rPr>
          <w:spacing w:val="-17"/>
          <w:w w:val="100"/>
        </w:rPr>
        <w:t>天后，经检查证实左心室功能降低，如左心室射血分数低于</w:t>
      </w:r>
      <w:r>
        <w:rPr>
          <w:spacing w:val="-52"/>
        </w:rPr>
        <w:t> </w:t>
      </w:r>
      <w:r>
        <w:rPr>
          <w:rFonts w:ascii="Times New Roman" w:eastAsia="Times New Roman"/>
          <w:spacing w:val="-3"/>
          <w:w w:val="100"/>
        </w:rPr>
        <w:t>5</w:t>
      </w:r>
      <w:r>
        <w:rPr>
          <w:rFonts w:ascii="Times New Roman" w:eastAsia="Times New Roman"/>
          <w:w w:val="100"/>
        </w:rPr>
        <w:t>0%</w:t>
      </w:r>
    </w:p>
    <w:p>
      <w:pPr>
        <w:pStyle w:val="ListParagraph"/>
        <w:numPr>
          <w:ilvl w:val="0"/>
          <w:numId w:val="5"/>
        </w:numPr>
        <w:tabs>
          <w:tab w:pos="383" w:val="left" w:leader="none"/>
          <w:tab w:pos="2825" w:val="left" w:leader="none"/>
        </w:tabs>
        <w:spacing w:line="256" w:lineRule="auto" w:before="11" w:after="0"/>
        <w:ind w:left="3003" w:right="107" w:hanging="2886"/>
        <w:jc w:val="both"/>
        <w:rPr>
          <w:sz w:val="21"/>
        </w:rPr>
      </w:pPr>
      <w:r>
        <w:rPr>
          <w:spacing w:val="-3"/>
          <w:sz w:val="21"/>
        </w:rPr>
        <w:t>脑</w:t>
      </w:r>
      <w:r>
        <w:rPr>
          <w:sz w:val="21"/>
        </w:rPr>
        <w:t>中</w:t>
      </w:r>
      <w:r>
        <w:rPr>
          <w:spacing w:val="-3"/>
          <w:sz w:val="21"/>
        </w:rPr>
        <w:t>风</w:t>
      </w:r>
      <w:r>
        <w:rPr>
          <w:sz w:val="21"/>
        </w:rPr>
        <w:t>后</w:t>
      </w:r>
      <w:r>
        <w:rPr>
          <w:spacing w:val="-3"/>
          <w:sz w:val="21"/>
        </w:rPr>
        <w:t>遗</w:t>
      </w:r>
      <w:r>
        <w:rPr>
          <w:sz w:val="21"/>
        </w:rPr>
        <w:t>症</w:t>
        <w:tab/>
      </w:r>
      <w:r>
        <w:rPr>
          <w:spacing w:val="-34"/>
          <w:position w:val="1"/>
          <w:sz w:val="21"/>
        </w:rPr>
        <w:t>：</w:t>
      </w:r>
      <w:r>
        <w:rPr>
          <w:sz w:val="21"/>
        </w:rPr>
        <w:t>指因脑血管的突发病变引起脑血管出血、栓塞或梗塞，并导致神经系统永久 性的</w:t>
      </w:r>
      <w:r>
        <w:rPr>
          <w:spacing w:val="-3"/>
          <w:sz w:val="21"/>
        </w:rPr>
        <w:t>功</w:t>
      </w:r>
      <w:r>
        <w:rPr>
          <w:sz w:val="21"/>
        </w:rPr>
        <w:t>能</w:t>
      </w:r>
      <w:r>
        <w:rPr>
          <w:spacing w:val="-3"/>
          <w:sz w:val="21"/>
        </w:rPr>
        <w:t>障</w:t>
      </w:r>
      <w:r>
        <w:rPr>
          <w:sz w:val="21"/>
        </w:rPr>
        <w:t>碍</w:t>
      </w:r>
      <w:r>
        <w:rPr>
          <w:spacing w:val="-3"/>
          <w:sz w:val="21"/>
        </w:rPr>
        <w:t>。</w:t>
      </w:r>
      <w:r>
        <w:rPr>
          <w:sz w:val="21"/>
        </w:rPr>
        <w:t>神</w:t>
      </w:r>
      <w:r>
        <w:rPr>
          <w:spacing w:val="-3"/>
          <w:sz w:val="21"/>
        </w:rPr>
        <w:t>经</w:t>
      </w:r>
      <w:r>
        <w:rPr>
          <w:sz w:val="21"/>
        </w:rPr>
        <w:t>系</w:t>
      </w:r>
      <w:r>
        <w:rPr>
          <w:spacing w:val="-3"/>
          <w:sz w:val="21"/>
        </w:rPr>
        <w:t>统</w:t>
      </w:r>
      <w:r>
        <w:rPr>
          <w:sz w:val="21"/>
        </w:rPr>
        <w:t>永久</w:t>
      </w:r>
      <w:r>
        <w:rPr>
          <w:spacing w:val="-3"/>
          <w:sz w:val="21"/>
        </w:rPr>
        <w:t>性</w:t>
      </w:r>
      <w:r>
        <w:rPr>
          <w:sz w:val="21"/>
        </w:rPr>
        <w:t>的</w:t>
      </w:r>
      <w:r>
        <w:rPr>
          <w:spacing w:val="-3"/>
          <w:sz w:val="21"/>
        </w:rPr>
        <w:t>功</w:t>
      </w:r>
      <w:r>
        <w:rPr>
          <w:sz w:val="21"/>
        </w:rPr>
        <w:t>能</w:t>
      </w:r>
      <w:r>
        <w:rPr>
          <w:spacing w:val="-3"/>
          <w:sz w:val="21"/>
        </w:rPr>
        <w:t>障</w:t>
      </w:r>
      <w:r>
        <w:rPr>
          <w:sz w:val="21"/>
        </w:rPr>
        <w:t>碍</w:t>
      </w:r>
      <w:r>
        <w:rPr>
          <w:spacing w:val="-3"/>
          <w:sz w:val="21"/>
        </w:rPr>
        <w:t>，</w:t>
      </w:r>
      <w:r>
        <w:rPr>
          <w:sz w:val="21"/>
        </w:rPr>
        <w:t>指</w:t>
      </w:r>
      <w:r>
        <w:rPr>
          <w:spacing w:val="-3"/>
          <w:sz w:val="21"/>
        </w:rPr>
        <w:t>疾</w:t>
      </w:r>
      <w:r>
        <w:rPr>
          <w:sz w:val="21"/>
        </w:rPr>
        <w:t>病确诊</w:t>
      </w:r>
      <w:r>
        <w:rPr>
          <w:spacing w:val="5"/>
          <w:sz w:val="21"/>
        </w:rPr>
        <w:t> </w:t>
      </w:r>
      <w:r>
        <w:rPr>
          <w:rFonts w:ascii="Times New Roman" w:eastAsia="Times New Roman"/>
          <w:sz w:val="21"/>
        </w:rPr>
        <w:t>180</w:t>
      </w:r>
      <w:r>
        <w:rPr>
          <w:rFonts w:ascii="Times New Roman" w:eastAsia="Times New Roman"/>
          <w:spacing w:val="16"/>
          <w:sz w:val="21"/>
        </w:rPr>
        <w:t> </w:t>
      </w:r>
      <w:r>
        <w:rPr>
          <w:sz w:val="21"/>
        </w:rPr>
        <w:t>天</w:t>
      </w:r>
      <w:r>
        <w:rPr>
          <w:spacing w:val="-3"/>
          <w:sz w:val="21"/>
        </w:rPr>
        <w:t>后</w:t>
      </w:r>
      <w:r>
        <w:rPr>
          <w:sz w:val="21"/>
        </w:rPr>
        <w:t>，</w:t>
      </w:r>
      <w:r>
        <w:rPr>
          <w:spacing w:val="-3"/>
          <w:sz w:val="21"/>
        </w:rPr>
        <w:t>仍</w:t>
      </w:r>
      <w:r>
        <w:rPr>
          <w:sz w:val="21"/>
        </w:rPr>
        <w:t>遗留下列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w:t>
      </w:r>
      <w:r>
        <w:rPr>
          <w:spacing w:val="-3"/>
          <w:sz w:val="21"/>
        </w:rPr>
        <w:t>碍</w:t>
      </w:r>
      <w:r>
        <w:rPr>
          <w:sz w:val="21"/>
        </w:rPr>
        <w:t>：</w:t>
      </w:r>
    </w:p>
    <w:p>
      <w:pPr>
        <w:spacing w:before="22"/>
        <w:ind w:left="3003"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w:t>
      </w:r>
    </w:p>
    <w:p>
      <w:pPr>
        <w:pStyle w:val="Heading2"/>
        <w:spacing w:before="21"/>
        <w:ind w:left="3003"/>
        <w:rPr>
          <w:b w:val="0"/>
        </w:rPr>
      </w:pPr>
      <w:r>
        <w:rPr>
          <w:b w:val="0"/>
        </w:rPr>
        <w:t>（</w:t>
      </w:r>
      <w:r>
        <w:rPr>
          <w:rFonts w:ascii="Times New Roman" w:eastAsia="Times New Roman"/>
          <w:b w:val="0"/>
        </w:rPr>
        <w:t>2</w:t>
      </w:r>
      <w:r>
        <w:rPr>
          <w:b w:val="0"/>
        </w:rPr>
        <w:t>）</w:t>
      </w:r>
      <w:r>
        <w:rPr/>
        <w:t>语言能力或咀嚼吞咽能力完全丧失</w:t>
      </w:r>
      <w:r>
        <w:rPr>
          <w:rFonts w:ascii="Times New Roman" w:eastAsia="Times New Roman"/>
          <w:vertAlign w:val="superscript"/>
        </w:rPr>
        <w:t>21</w:t>
      </w:r>
      <w:r>
        <w:rPr>
          <w:rFonts w:ascii="Times New Roman" w:eastAsia="Times New Roman"/>
          <w:vertAlign w:val="baseline"/>
        </w:rPr>
      </w:r>
      <w:r>
        <w:rPr>
          <w:b w:val="0"/>
          <w:vertAlign w:val="baseline"/>
        </w:rPr>
        <w:t>；</w:t>
      </w:r>
    </w:p>
    <w:p>
      <w:pPr>
        <w:spacing w:line="256" w:lineRule="auto" w:before="21"/>
        <w:ind w:left="3003" w:right="112"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中的三项或三项以上。</w:t>
      </w:r>
    </w:p>
    <w:p>
      <w:pPr>
        <w:pStyle w:val="ListParagraph"/>
        <w:numPr>
          <w:ilvl w:val="0"/>
          <w:numId w:val="5"/>
        </w:numPr>
        <w:tabs>
          <w:tab w:pos="395" w:val="left" w:leader="none"/>
        </w:tabs>
        <w:spacing w:line="240" w:lineRule="auto" w:before="12" w:after="0"/>
        <w:ind w:left="394" w:right="0" w:hanging="277"/>
        <w:jc w:val="left"/>
        <w:rPr>
          <w:sz w:val="21"/>
        </w:rPr>
      </w:pPr>
      <w:r>
        <w:rPr>
          <w:spacing w:val="6"/>
          <w:sz w:val="21"/>
        </w:rPr>
        <w:t>重大器官移植术或造血干</w:t>
      </w:r>
      <w:r>
        <w:rPr>
          <w:spacing w:val="-34"/>
          <w:position w:val="1"/>
          <w:sz w:val="21"/>
        </w:rPr>
        <w:t>：</w:t>
      </w:r>
      <w:r>
        <w:rPr>
          <w:sz w:val="21"/>
        </w:rPr>
        <w:t>重大器官移植术，指因相应器官功能衰竭，已经实施了肾脏、肝脏、心脏或</w:t>
      </w:r>
    </w:p>
    <w:p>
      <w:pPr>
        <w:spacing w:after="0" w:line="240" w:lineRule="auto"/>
        <w:jc w:val="left"/>
        <w:rPr>
          <w:sz w:val="21"/>
        </w:rPr>
        <w:sectPr>
          <w:pgSz w:w="11910" w:h="16160"/>
          <w:pgMar w:header="0" w:footer="708" w:top="1340" w:bottom="900" w:left="960" w:right="800"/>
        </w:sectPr>
      </w:pPr>
    </w:p>
    <w:p>
      <w:pPr>
        <w:pStyle w:val="BodyText"/>
        <w:spacing w:before="21"/>
        <w:ind w:left="117"/>
      </w:pPr>
      <w:r>
        <w:rPr/>
        <w:t>细胞移植术</w:t>
      </w:r>
    </w:p>
    <w:p>
      <w:pPr>
        <w:pStyle w:val="BodyText"/>
        <w:spacing w:before="21"/>
        <w:ind w:left="117"/>
      </w:pPr>
      <w:r>
        <w:rPr/>
        <w:br w:type="column"/>
      </w:r>
      <w:r>
        <w:rPr/>
        <w:t>肺脏的异体移植手术。</w:t>
      </w:r>
    </w:p>
    <w:p>
      <w:pPr>
        <w:pStyle w:val="BodyText"/>
        <w:spacing w:line="273" w:lineRule="auto" w:before="36"/>
        <w:ind w:left="117" w:right="117"/>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160"/>
          <w:pgMar w:top="580" w:bottom="280" w:left="960" w:right="800"/>
          <w:cols w:num="2" w:equalWidth="0">
            <w:col w:w="1172" w:space="1714"/>
            <w:col w:w="7264"/>
          </w:cols>
        </w:sectPr>
      </w:pPr>
    </w:p>
    <w:p>
      <w:pPr>
        <w:pStyle w:val="ListParagraph"/>
        <w:numPr>
          <w:ilvl w:val="0"/>
          <w:numId w:val="5"/>
        </w:numPr>
        <w:tabs>
          <w:tab w:pos="383" w:val="left" w:leader="none"/>
        </w:tabs>
        <w:spacing w:line="298" w:lineRule="exact" w:before="0" w:after="0"/>
        <w:ind w:left="3003" w:right="0" w:hanging="2886"/>
        <w:jc w:val="left"/>
        <w:rPr>
          <w:sz w:val="21"/>
        </w:rPr>
      </w:pPr>
      <w:r>
        <w:rPr>
          <w:spacing w:val="-14"/>
          <w:sz w:val="21"/>
        </w:rPr>
        <w:t>冠状动脉搭桥术</w:t>
      </w:r>
      <w:r>
        <w:rPr>
          <w:spacing w:val="-3"/>
          <w:sz w:val="21"/>
        </w:rPr>
        <w:t>（或称冠状</w:t>
      </w:r>
      <w:r>
        <w:rPr>
          <w:spacing w:val="-34"/>
          <w:position w:val="1"/>
          <w:sz w:val="21"/>
        </w:rPr>
        <w:t>：</w:t>
      </w:r>
      <w:r>
        <w:rPr>
          <w:sz w:val="21"/>
        </w:rPr>
        <w:t>指为治疗严重的冠心病，实际实施了开胸进行的冠状动脉血管旁路移植的手</w:t>
      </w:r>
    </w:p>
    <w:p>
      <w:pPr>
        <w:spacing w:after="0" w:line="298" w:lineRule="exact"/>
        <w:jc w:val="left"/>
        <w:rPr>
          <w:sz w:val="21"/>
        </w:rPr>
        <w:sectPr>
          <w:type w:val="continuous"/>
          <w:pgSz w:w="11910" w:h="16160"/>
          <w:pgMar w:top="580" w:bottom="280" w:left="960" w:right="800"/>
        </w:sectPr>
      </w:pPr>
    </w:p>
    <w:p>
      <w:pPr>
        <w:pStyle w:val="BodyText"/>
        <w:spacing w:before="21"/>
        <w:ind w:left="117"/>
      </w:pPr>
      <w:r>
        <w:rPr/>
        <w:t>动脉旁路移植术）</w:t>
      </w:r>
    </w:p>
    <w:p>
      <w:pPr>
        <w:spacing w:before="21"/>
        <w:ind w:left="117" w:right="0" w:firstLine="0"/>
        <w:jc w:val="left"/>
        <w:rPr>
          <w:sz w:val="21"/>
        </w:rPr>
      </w:pPr>
      <w:r>
        <w:rPr/>
        <w:br w:type="column"/>
      </w:r>
      <w:r>
        <w:rPr>
          <w:sz w:val="21"/>
        </w:rPr>
        <w:t>术。</w:t>
      </w:r>
    </w:p>
    <w:p>
      <w:pPr>
        <w:spacing w:line="273" w:lineRule="auto" w:before="37"/>
        <w:ind w:left="117" w:right="120" w:firstLine="0"/>
        <w:jc w:val="left"/>
        <w:rPr>
          <w:b/>
          <w:sz w:val="21"/>
        </w:rPr>
      </w:pPr>
      <w:r>
        <w:rPr>
          <w:b/>
          <w:sz w:val="21"/>
        </w:rPr>
        <w:t>冠状动脉支架植入术、心导管球囊扩张术、激光射频技术及其它非开胸的介入手术、腔镜手术不在保障范围内。</w:t>
      </w:r>
    </w:p>
    <w:p>
      <w:pPr>
        <w:spacing w:after="0" w:line="273" w:lineRule="auto"/>
        <w:jc w:val="left"/>
        <w:rPr>
          <w:sz w:val="21"/>
        </w:rPr>
        <w:sectPr>
          <w:type w:val="continuous"/>
          <w:pgSz w:w="11910" w:h="16160"/>
          <w:pgMar w:top="580" w:bottom="280" w:left="960" w:right="800"/>
          <w:cols w:num="2" w:equalWidth="0">
            <w:col w:w="1801" w:space="1085"/>
            <w:col w:w="7264"/>
          </w:cols>
        </w:sectPr>
      </w:pPr>
    </w:p>
    <w:p>
      <w:pPr>
        <w:pStyle w:val="ListParagraph"/>
        <w:numPr>
          <w:ilvl w:val="0"/>
          <w:numId w:val="5"/>
        </w:numPr>
        <w:tabs>
          <w:tab w:pos="383" w:val="left" w:leader="none"/>
        </w:tabs>
        <w:spacing w:line="299" w:lineRule="exact" w:before="0" w:after="0"/>
        <w:ind w:left="3003" w:right="0" w:hanging="2886"/>
        <w:jc w:val="left"/>
        <w:rPr>
          <w:rFonts w:ascii="Times New Roman" w:eastAsia="Times New Roman"/>
          <w:sz w:val="21"/>
        </w:rPr>
      </w:pPr>
      <w:r>
        <w:rPr>
          <w:spacing w:val="-18"/>
          <w:sz w:val="21"/>
        </w:rPr>
        <w:t>终末期肾病</w:t>
      </w:r>
      <w:r>
        <w:rPr>
          <w:spacing w:val="-3"/>
          <w:sz w:val="21"/>
        </w:rPr>
        <w:t>（或称慢性肾功</w:t>
      </w:r>
      <w:r>
        <w:rPr>
          <w:spacing w:val="-34"/>
          <w:position w:val="1"/>
          <w:sz w:val="21"/>
        </w:rPr>
        <w:t>：</w:t>
      </w:r>
      <w:r>
        <w:rPr>
          <w:spacing w:val="-2"/>
          <w:sz w:val="21"/>
        </w:rPr>
        <w:t>指双肾功能慢性不可逆性衰竭，达到尿毒症期，经诊断后已经进行了至少 </w:t>
      </w:r>
      <w:r>
        <w:rPr>
          <w:rFonts w:ascii="Times New Roman" w:eastAsia="Times New Roman"/>
          <w:spacing w:val="-3"/>
          <w:sz w:val="21"/>
        </w:rPr>
        <w:t>90</w:t>
      </w:r>
    </w:p>
    <w:p>
      <w:pPr>
        <w:pStyle w:val="BodyText"/>
        <w:tabs>
          <w:tab w:pos="3003" w:val="left" w:leader="none"/>
        </w:tabs>
        <w:spacing w:before="21"/>
        <w:ind w:left="117"/>
      </w:pPr>
      <w:r>
        <w:rPr/>
        <w:t>能衰</w:t>
      </w:r>
      <w:r>
        <w:rPr>
          <w:spacing w:val="-3"/>
        </w:rPr>
        <w:t>竭</w:t>
      </w:r>
      <w:r>
        <w:rPr/>
        <w:t>尿</w:t>
      </w:r>
      <w:r>
        <w:rPr>
          <w:spacing w:val="-3"/>
        </w:rPr>
        <w:t>毒</w:t>
      </w:r>
      <w:r>
        <w:rPr/>
        <w:t>症</w:t>
      </w:r>
      <w:r>
        <w:rPr>
          <w:spacing w:val="-3"/>
        </w:rPr>
        <w:t>期</w:t>
      </w:r>
      <w:r>
        <w:rPr/>
        <w:t>）</w:t>
        <w:tab/>
        <w:t>天的</w:t>
      </w:r>
      <w:r>
        <w:rPr>
          <w:spacing w:val="-3"/>
        </w:rPr>
        <w:t>规</w:t>
      </w:r>
      <w:r>
        <w:rPr/>
        <w:t>律</w:t>
      </w:r>
      <w:r>
        <w:rPr>
          <w:spacing w:val="-3"/>
        </w:rPr>
        <w:t>性</w:t>
      </w:r>
      <w:r>
        <w:rPr/>
        <w:t>透</w:t>
      </w:r>
      <w:r>
        <w:rPr>
          <w:spacing w:val="-3"/>
        </w:rPr>
        <w:t>析</w:t>
      </w:r>
      <w:r>
        <w:rPr/>
        <w:t>治</w:t>
      </w:r>
      <w:r>
        <w:rPr>
          <w:spacing w:val="-3"/>
        </w:rPr>
        <w:t>疗</w:t>
      </w:r>
      <w:r>
        <w:rPr/>
        <w:t>或</w:t>
      </w:r>
      <w:r>
        <w:rPr>
          <w:spacing w:val="-3"/>
        </w:rPr>
        <w:t>实</w:t>
      </w:r>
      <w:r>
        <w:rPr/>
        <w:t>施了</w:t>
      </w:r>
      <w:r>
        <w:rPr>
          <w:spacing w:val="-3"/>
        </w:rPr>
        <w:t>肾</w:t>
      </w:r>
      <w:r>
        <w:rPr/>
        <w:t>脏</w:t>
      </w:r>
      <w:r>
        <w:rPr>
          <w:spacing w:val="-3"/>
        </w:rPr>
        <w:t>移</w:t>
      </w:r>
      <w:r>
        <w:rPr/>
        <w:t>植</w:t>
      </w:r>
      <w:r>
        <w:rPr>
          <w:spacing w:val="-3"/>
        </w:rPr>
        <w:t>手</w:t>
      </w:r>
      <w:r>
        <w:rPr/>
        <w:t>术。</w:t>
      </w:r>
    </w:p>
    <w:p>
      <w:pPr>
        <w:pStyle w:val="ListParagraph"/>
        <w:numPr>
          <w:ilvl w:val="0"/>
          <w:numId w:val="5"/>
        </w:numPr>
        <w:tabs>
          <w:tab w:pos="383" w:val="left" w:leader="none"/>
          <w:tab w:pos="2825" w:val="left" w:leader="none"/>
        </w:tabs>
        <w:spacing w:line="256" w:lineRule="auto" w:before="27" w:after="0"/>
        <w:ind w:left="3003" w:right="120" w:hanging="2886"/>
        <w:jc w:val="both"/>
        <w:rPr>
          <w:sz w:val="21"/>
        </w:rPr>
      </w:pPr>
      <w:r>
        <w:rPr>
          <w:spacing w:val="-3"/>
          <w:sz w:val="21"/>
        </w:rPr>
        <w:t>多</w:t>
      </w:r>
      <w:r>
        <w:rPr>
          <w:sz w:val="21"/>
        </w:rPr>
        <w:t>个</w:t>
      </w:r>
      <w:r>
        <w:rPr>
          <w:spacing w:val="-3"/>
          <w:sz w:val="21"/>
        </w:rPr>
        <w:t>肢</w:t>
      </w:r>
      <w:r>
        <w:rPr>
          <w:sz w:val="21"/>
        </w:rPr>
        <w:t>体</w:t>
      </w:r>
      <w:r>
        <w:rPr>
          <w:spacing w:val="-3"/>
          <w:sz w:val="21"/>
        </w:rPr>
        <w:t>缺</w:t>
      </w:r>
      <w:r>
        <w:rPr>
          <w:sz w:val="21"/>
        </w:rPr>
        <w:t>失</w:t>
        <w:tab/>
      </w:r>
      <w:r>
        <w:rPr>
          <w:spacing w:val="-34"/>
          <w:position w:val="1"/>
          <w:sz w:val="21"/>
        </w:rPr>
        <w:t>：</w:t>
      </w:r>
      <w:r>
        <w:rPr>
          <w:sz w:val="21"/>
        </w:rPr>
        <w:t>指因疾病或意外伤害导致两个或两个以上肢体自腕关节或踝关节近端（靠近 躯干</w:t>
      </w:r>
      <w:r>
        <w:rPr>
          <w:spacing w:val="-3"/>
          <w:sz w:val="21"/>
        </w:rPr>
        <w:t>端</w:t>
      </w:r>
      <w:r>
        <w:rPr>
          <w:sz w:val="21"/>
        </w:rPr>
        <w:t>）</w:t>
      </w:r>
      <w:r>
        <w:rPr>
          <w:spacing w:val="-3"/>
          <w:sz w:val="21"/>
        </w:rPr>
        <w:t>以</w:t>
      </w:r>
      <w:r>
        <w:rPr>
          <w:sz w:val="21"/>
        </w:rPr>
        <w:t>上</w:t>
      </w:r>
      <w:r>
        <w:rPr>
          <w:spacing w:val="-3"/>
          <w:sz w:val="21"/>
        </w:rPr>
        <w:t>完</w:t>
      </w:r>
      <w:r>
        <w:rPr>
          <w:sz w:val="21"/>
        </w:rPr>
        <w:t>全</w:t>
      </w:r>
      <w:r>
        <w:rPr>
          <w:spacing w:val="-3"/>
          <w:sz w:val="21"/>
        </w:rPr>
        <w:t>性</w:t>
      </w:r>
      <w:r>
        <w:rPr>
          <w:sz w:val="21"/>
        </w:rPr>
        <w:t>断</w:t>
      </w:r>
      <w:r>
        <w:rPr>
          <w:spacing w:val="-3"/>
          <w:sz w:val="21"/>
        </w:rPr>
        <w:t>离</w:t>
      </w:r>
      <w:r>
        <w:rPr>
          <w:sz w:val="21"/>
        </w:rPr>
        <w:t>。</w:t>
      </w:r>
    </w:p>
    <w:p>
      <w:pPr>
        <w:pStyle w:val="ListParagraph"/>
        <w:numPr>
          <w:ilvl w:val="0"/>
          <w:numId w:val="5"/>
        </w:numPr>
        <w:tabs>
          <w:tab w:pos="383" w:val="left" w:leader="none"/>
        </w:tabs>
        <w:spacing w:line="256" w:lineRule="auto" w:before="12" w:after="0"/>
        <w:ind w:left="3003" w:right="120" w:hanging="2886"/>
        <w:jc w:val="both"/>
        <w:rPr>
          <w:sz w:val="21"/>
        </w:rPr>
      </w:pPr>
      <w:r>
        <w:rPr>
          <w:spacing w:val="-2"/>
          <w:sz w:val="21"/>
        </w:rPr>
        <w:t>急性或亚急性重症肝炎   </w:t>
      </w:r>
      <w:r>
        <w:rPr>
          <w:spacing w:val="-34"/>
          <w:position w:val="1"/>
          <w:sz w:val="21"/>
        </w:rPr>
        <w:t>：</w:t>
      </w:r>
      <w:r>
        <w:rPr>
          <w:sz w:val="21"/>
        </w:rPr>
        <w:t>指因肝炎病毒感染引起肝脏组织弥漫性坏死，导致急性肝功能衰竭，且经血</w:t>
      </w:r>
      <w:r>
        <w:rPr>
          <w:spacing w:val="-3"/>
          <w:sz w:val="21"/>
        </w:rPr>
        <w:t>清学或病毒学检查证实，并须满足下列全部条件：</w:t>
      </w:r>
    </w:p>
    <w:p>
      <w:pPr>
        <w:pStyle w:val="BodyText"/>
        <w:spacing w:before="22"/>
        <w:ind w:left="3003"/>
      </w:pPr>
      <w:r>
        <w:rPr/>
        <w:t>（</w:t>
      </w:r>
      <w:r>
        <w:rPr>
          <w:rFonts w:ascii="Times New Roman" w:eastAsia="Times New Roman"/>
        </w:rPr>
        <w:t>1</w:t>
      </w:r>
      <w:r>
        <w:rPr/>
        <w:t>）重度黄疸或黄疸迅速加重；</w:t>
      </w:r>
    </w:p>
    <w:p>
      <w:pPr>
        <w:pStyle w:val="BodyText"/>
        <w:spacing w:before="21"/>
        <w:ind w:left="3003"/>
      </w:pPr>
      <w:r>
        <w:rPr/>
        <w:t>（</w:t>
      </w:r>
      <w:r>
        <w:rPr>
          <w:rFonts w:ascii="Times New Roman" w:eastAsia="Times New Roman"/>
        </w:rPr>
        <w:t>2</w:t>
      </w:r>
      <w:r>
        <w:rPr/>
        <w:t>）肝性脑病；</w:t>
      </w:r>
    </w:p>
    <w:p>
      <w:pPr>
        <w:pStyle w:val="BodyText"/>
        <w:spacing w:before="21"/>
        <w:ind w:left="3003"/>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21"/>
        <w:ind w:left="3003"/>
      </w:pPr>
      <w:r>
        <w:rPr/>
        <w:t>（</w:t>
      </w:r>
      <w:r>
        <w:rPr>
          <w:rFonts w:ascii="Times New Roman" w:eastAsia="Times New Roman"/>
        </w:rPr>
        <w:t>4</w:t>
      </w:r>
      <w:r>
        <w:rPr/>
        <w:t>）肝功能指标进行性恶化。</w:t>
      </w:r>
    </w:p>
    <w:p>
      <w:pPr>
        <w:pStyle w:val="ListParagraph"/>
        <w:numPr>
          <w:ilvl w:val="0"/>
          <w:numId w:val="5"/>
        </w:numPr>
        <w:tabs>
          <w:tab w:pos="383" w:val="left" w:leader="none"/>
          <w:tab w:pos="2825" w:val="left" w:leader="none"/>
        </w:tabs>
        <w:spacing w:line="256" w:lineRule="auto" w:before="11" w:after="0"/>
        <w:ind w:left="3003" w:right="109" w:hanging="2886"/>
        <w:jc w:val="both"/>
        <w:rPr>
          <w:sz w:val="21"/>
        </w:rPr>
      </w:pPr>
      <w:r>
        <w:rPr>
          <w:spacing w:val="-3"/>
          <w:sz w:val="21"/>
        </w:rPr>
        <w:t>良</w:t>
      </w:r>
      <w:r>
        <w:rPr>
          <w:sz w:val="21"/>
        </w:rPr>
        <w:t>性</w:t>
      </w:r>
      <w:r>
        <w:rPr>
          <w:spacing w:val="-3"/>
          <w:sz w:val="21"/>
        </w:rPr>
        <w:t>脑</w:t>
      </w:r>
      <w:r>
        <w:rPr>
          <w:sz w:val="21"/>
        </w:rPr>
        <w:t>肿瘤</w:t>
        <w:tab/>
      </w:r>
      <w:r>
        <w:rPr>
          <w:spacing w:val="-34"/>
          <w:position w:val="1"/>
          <w:sz w:val="21"/>
        </w:rPr>
        <w:t>：</w:t>
      </w:r>
      <w:r>
        <w:rPr>
          <w:sz w:val="21"/>
        </w:rPr>
        <w:t>指脑的良性肿瘤，已经引起颅内压增高，临床表现为视神经乳头水肿、精神 </w:t>
      </w:r>
      <w:r>
        <w:rPr>
          <w:w w:val="100"/>
          <w:sz w:val="21"/>
        </w:rPr>
        <w:t>症状</w:t>
      </w:r>
      <w:r>
        <w:rPr>
          <w:spacing w:val="-17"/>
          <w:w w:val="100"/>
          <w:sz w:val="21"/>
        </w:rPr>
        <w:t>、</w:t>
      </w:r>
      <w:r>
        <w:rPr>
          <w:w w:val="100"/>
          <w:sz w:val="21"/>
        </w:rPr>
        <w:t>癫</w:t>
      </w:r>
      <w:r>
        <w:rPr>
          <w:spacing w:val="-3"/>
          <w:w w:val="100"/>
          <w:sz w:val="21"/>
        </w:rPr>
        <w:t>痫</w:t>
      </w:r>
      <w:r>
        <w:rPr>
          <w:w w:val="100"/>
          <w:sz w:val="21"/>
        </w:rPr>
        <w:t>及</w:t>
      </w:r>
      <w:r>
        <w:rPr>
          <w:spacing w:val="-3"/>
          <w:w w:val="100"/>
          <w:sz w:val="21"/>
        </w:rPr>
        <w:t>运</w:t>
      </w:r>
      <w:r>
        <w:rPr>
          <w:w w:val="100"/>
          <w:sz w:val="21"/>
        </w:rPr>
        <w:t>动</w:t>
      </w:r>
      <w:r>
        <w:rPr>
          <w:spacing w:val="-3"/>
          <w:w w:val="100"/>
          <w:sz w:val="21"/>
        </w:rPr>
        <w:t>感</w:t>
      </w:r>
      <w:r>
        <w:rPr>
          <w:w w:val="100"/>
          <w:sz w:val="21"/>
        </w:rPr>
        <w:t>觉</w:t>
      </w:r>
      <w:r>
        <w:rPr>
          <w:spacing w:val="-3"/>
          <w:w w:val="100"/>
          <w:sz w:val="21"/>
        </w:rPr>
        <w:t>障</w:t>
      </w:r>
      <w:r>
        <w:rPr>
          <w:w w:val="100"/>
          <w:sz w:val="21"/>
        </w:rPr>
        <w:t>碍等</w:t>
      </w:r>
      <w:r>
        <w:rPr>
          <w:spacing w:val="-17"/>
          <w:w w:val="100"/>
          <w:sz w:val="21"/>
        </w:rPr>
        <w:t>，</w:t>
      </w:r>
      <w:r>
        <w:rPr>
          <w:w w:val="100"/>
          <w:sz w:val="21"/>
        </w:rPr>
        <w:t>并</w:t>
      </w:r>
      <w:r>
        <w:rPr>
          <w:spacing w:val="-3"/>
          <w:w w:val="100"/>
          <w:sz w:val="21"/>
        </w:rPr>
        <w:t>危</w:t>
      </w:r>
      <w:r>
        <w:rPr>
          <w:w w:val="100"/>
          <w:sz w:val="21"/>
        </w:rPr>
        <w:t>及</w:t>
      </w:r>
      <w:r>
        <w:rPr>
          <w:spacing w:val="-3"/>
          <w:w w:val="100"/>
          <w:sz w:val="21"/>
        </w:rPr>
        <w:t>生</w:t>
      </w:r>
      <w:r>
        <w:rPr>
          <w:w w:val="100"/>
          <w:sz w:val="21"/>
        </w:rPr>
        <w:t>命</w:t>
      </w:r>
      <w:r>
        <w:rPr>
          <w:spacing w:val="-15"/>
          <w:w w:val="100"/>
          <w:sz w:val="21"/>
        </w:rPr>
        <w:t>。</w:t>
      </w:r>
      <w:r>
        <w:rPr>
          <w:spacing w:val="-3"/>
          <w:w w:val="100"/>
          <w:sz w:val="21"/>
        </w:rPr>
        <w:t>须由</w:t>
      </w:r>
      <w:r>
        <w:rPr>
          <w:w w:val="100"/>
          <w:sz w:val="21"/>
        </w:rPr>
        <w:t>头颅</w:t>
      </w:r>
      <w:r>
        <w:rPr>
          <w:spacing w:val="-3"/>
          <w:w w:val="100"/>
          <w:sz w:val="21"/>
        </w:rPr>
        <w:t>断</w:t>
      </w:r>
      <w:r>
        <w:rPr>
          <w:w w:val="100"/>
          <w:sz w:val="21"/>
        </w:rPr>
        <w:t>层</w:t>
      </w:r>
      <w:r>
        <w:rPr>
          <w:spacing w:val="-3"/>
          <w:w w:val="100"/>
          <w:sz w:val="21"/>
        </w:rPr>
        <w:t>扫</w:t>
      </w:r>
      <w:r>
        <w:rPr>
          <w:spacing w:val="-15"/>
          <w:w w:val="100"/>
          <w:sz w:val="21"/>
        </w:rPr>
        <w:t>描</w:t>
      </w:r>
      <w:r>
        <w:rPr>
          <w:spacing w:val="-2"/>
          <w:w w:val="100"/>
          <w:sz w:val="21"/>
        </w:rPr>
        <w:t>（</w:t>
      </w:r>
      <w:r>
        <w:rPr>
          <w:rFonts w:ascii="Times New Roman" w:eastAsia="Times New Roman"/>
          <w:w w:val="100"/>
          <w:sz w:val="21"/>
        </w:rPr>
        <w:t>CT</w:t>
      </w:r>
      <w:r>
        <w:rPr>
          <w:spacing w:val="-108"/>
          <w:w w:val="100"/>
          <w:sz w:val="21"/>
        </w:rPr>
        <w:t>）</w:t>
      </w:r>
      <w:r>
        <w:rPr>
          <w:spacing w:val="-15"/>
          <w:w w:val="100"/>
          <w:sz w:val="21"/>
        </w:rPr>
        <w:t>、</w:t>
      </w:r>
      <w:r>
        <w:rPr>
          <w:spacing w:val="-3"/>
          <w:w w:val="100"/>
          <w:sz w:val="21"/>
        </w:rPr>
        <w:t>核</w:t>
      </w:r>
      <w:r>
        <w:rPr>
          <w:w w:val="100"/>
          <w:sz w:val="21"/>
        </w:rPr>
        <w:t>磁</w:t>
      </w:r>
      <w:r>
        <w:rPr>
          <w:sz w:val="21"/>
        </w:rPr>
        <w:t>共振</w:t>
      </w:r>
      <w:r>
        <w:rPr>
          <w:spacing w:val="-3"/>
          <w:sz w:val="21"/>
        </w:rPr>
        <w:t>检</w:t>
      </w:r>
      <w:r>
        <w:rPr>
          <w:spacing w:val="-10"/>
          <w:sz w:val="21"/>
        </w:rPr>
        <w:t>查</w:t>
      </w:r>
      <w:r>
        <w:rPr>
          <w:spacing w:val="-4"/>
          <w:sz w:val="21"/>
        </w:rPr>
        <w:t>（</w:t>
      </w:r>
      <w:r>
        <w:rPr>
          <w:rFonts w:ascii="Times New Roman" w:eastAsia="Times New Roman"/>
          <w:spacing w:val="-4"/>
          <w:sz w:val="21"/>
        </w:rPr>
        <w:t>MRI</w:t>
      </w:r>
      <w:r>
        <w:rPr>
          <w:spacing w:val="-4"/>
          <w:sz w:val="21"/>
        </w:rPr>
        <w:t>）</w:t>
      </w:r>
      <w:r>
        <w:rPr>
          <w:sz w:val="21"/>
        </w:rPr>
        <w:t>或正</w:t>
      </w:r>
      <w:r>
        <w:rPr>
          <w:spacing w:val="-3"/>
          <w:sz w:val="21"/>
        </w:rPr>
        <w:t>电</w:t>
      </w:r>
      <w:r>
        <w:rPr>
          <w:sz w:val="21"/>
        </w:rPr>
        <w:t>子发</w:t>
      </w:r>
      <w:r>
        <w:rPr>
          <w:spacing w:val="-3"/>
          <w:sz w:val="21"/>
        </w:rPr>
        <w:t>射</w:t>
      </w:r>
      <w:r>
        <w:rPr>
          <w:sz w:val="21"/>
        </w:rPr>
        <w:t>断</w:t>
      </w:r>
      <w:r>
        <w:rPr>
          <w:spacing w:val="-3"/>
          <w:sz w:val="21"/>
        </w:rPr>
        <w:t>层</w:t>
      </w:r>
      <w:r>
        <w:rPr>
          <w:sz w:val="21"/>
        </w:rPr>
        <w:t>扫</w:t>
      </w:r>
      <w:r>
        <w:rPr>
          <w:spacing w:val="-13"/>
          <w:sz w:val="21"/>
        </w:rPr>
        <w:t>描</w:t>
      </w:r>
      <w:r>
        <w:rPr>
          <w:spacing w:val="-4"/>
          <w:sz w:val="21"/>
        </w:rPr>
        <w:t>（</w:t>
      </w:r>
      <w:r>
        <w:rPr>
          <w:rFonts w:ascii="Times New Roman" w:eastAsia="Times New Roman"/>
          <w:spacing w:val="-4"/>
          <w:sz w:val="21"/>
        </w:rPr>
        <w:t>PET</w:t>
      </w:r>
      <w:r>
        <w:rPr>
          <w:spacing w:val="-4"/>
          <w:sz w:val="21"/>
        </w:rPr>
        <w:t>）</w:t>
      </w:r>
      <w:r>
        <w:rPr>
          <w:spacing w:val="-3"/>
          <w:sz w:val="21"/>
        </w:rPr>
        <w:t>等</w:t>
      </w:r>
      <w:r>
        <w:rPr>
          <w:sz w:val="21"/>
        </w:rPr>
        <w:t>影像</w:t>
      </w:r>
      <w:r>
        <w:rPr>
          <w:spacing w:val="-3"/>
          <w:sz w:val="21"/>
        </w:rPr>
        <w:t>学</w:t>
      </w:r>
      <w:r>
        <w:rPr>
          <w:sz w:val="21"/>
        </w:rPr>
        <w:t>检</w:t>
      </w:r>
      <w:r>
        <w:rPr>
          <w:spacing w:val="-3"/>
          <w:sz w:val="21"/>
        </w:rPr>
        <w:t>查</w:t>
      </w:r>
      <w:r>
        <w:rPr>
          <w:sz w:val="21"/>
        </w:rPr>
        <w:t>证</w:t>
      </w:r>
      <w:r>
        <w:rPr>
          <w:spacing w:val="-3"/>
          <w:sz w:val="21"/>
        </w:rPr>
        <w:t>实</w:t>
      </w:r>
      <w:r>
        <w:rPr>
          <w:spacing w:val="-10"/>
          <w:sz w:val="21"/>
        </w:rPr>
        <w:t>，</w:t>
      </w:r>
      <w:r>
        <w:rPr>
          <w:spacing w:val="-3"/>
          <w:sz w:val="21"/>
        </w:rPr>
        <w:t>并</w:t>
      </w:r>
      <w:r>
        <w:rPr>
          <w:sz w:val="21"/>
        </w:rPr>
        <w:t>须满足下</w:t>
      </w:r>
      <w:r>
        <w:rPr>
          <w:spacing w:val="-3"/>
          <w:sz w:val="21"/>
        </w:rPr>
        <w:t>列</w:t>
      </w:r>
      <w:r>
        <w:rPr>
          <w:sz w:val="21"/>
        </w:rPr>
        <w:t>至</w:t>
      </w:r>
      <w:r>
        <w:rPr>
          <w:spacing w:val="-3"/>
          <w:sz w:val="21"/>
        </w:rPr>
        <w:t>少</w:t>
      </w:r>
      <w:r>
        <w:rPr>
          <w:sz w:val="21"/>
        </w:rPr>
        <w:t>一</w:t>
      </w:r>
      <w:r>
        <w:rPr>
          <w:spacing w:val="-3"/>
          <w:sz w:val="21"/>
        </w:rPr>
        <w:t>项</w:t>
      </w:r>
      <w:r>
        <w:rPr>
          <w:sz w:val="21"/>
        </w:rPr>
        <w:t>条</w:t>
      </w:r>
      <w:r>
        <w:rPr>
          <w:spacing w:val="-3"/>
          <w:sz w:val="21"/>
        </w:rPr>
        <w:t>件</w:t>
      </w:r>
      <w:r>
        <w:rPr>
          <w:sz w:val="21"/>
        </w:rPr>
        <w:t>：</w:t>
      </w:r>
    </w:p>
    <w:p>
      <w:pPr>
        <w:pStyle w:val="BodyText"/>
        <w:spacing w:before="23"/>
        <w:ind w:left="3003"/>
      </w:pPr>
      <w:r>
        <w:rPr/>
        <w:t>（</w:t>
      </w:r>
      <w:r>
        <w:rPr>
          <w:rFonts w:ascii="Times New Roman" w:eastAsia="Times New Roman"/>
        </w:rPr>
        <w:t>1</w:t>
      </w:r>
      <w:r>
        <w:rPr/>
        <w:t>）实际实施了开颅进行的脑肿瘤完全切除或部分切除的手术；</w:t>
      </w:r>
    </w:p>
    <w:p>
      <w:pPr>
        <w:pStyle w:val="BodyText"/>
        <w:spacing w:before="21"/>
        <w:ind w:left="3003"/>
      </w:pPr>
      <w:r>
        <w:rPr/>
        <w:t>（</w:t>
      </w:r>
      <w:r>
        <w:rPr>
          <w:rFonts w:ascii="Times New Roman" w:eastAsia="Times New Roman"/>
        </w:rPr>
        <w:t>2</w:t>
      </w:r>
      <w:r>
        <w:rPr/>
        <w:t>）实际实施了对脑肿瘤进行的放射治疗。</w:t>
      </w:r>
    </w:p>
    <w:p>
      <w:pPr>
        <w:pStyle w:val="BodyText"/>
        <w:spacing w:before="5"/>
        <w:rPr>
          <w:sz w:val="14"/>
        </w:rPr>
      </w:pPr>
      <w:r>
        <w:rPr/>
        <w:pict>
          <v:line style="position:absolute;mso-position-horizontal-relative:page;mso-position-vertical-relative:paragraph;z-index:1240;mso-wrap-distance-left:0;mso-wrap-distance-right:0" from="53.880001pt,11.643785pt" to="197.930001pt,11.643785pt" stroked="true" strokeweight=".47998pt" strokecolor="#000000">
            <v:stroke dashstyle="solid"/>
            <w10:wrap type="topAndBottom"/>
          </v:line>
        </w:pict>
      </w:r>
    </w:p>
    <w:p>
      <w:pPr>
        <w:spacing w:line="274" w:lineRule="exact" w:before="32"/>
        <w:ind w:left="117" w:right="0" w:firstLine="0"/>
        <w:jc w:val="left"/>
        <w:rPr>
          <w:rFonts w:ascii="楷体" w:eastAsia="楷体" w:hint="eastAsia"/>
          <w:sz w:val="21"/>
        </w:rPr>
      </w:pPr>
      <w:r>
        <w:rPr>
          <w:rFonts w:ascii="Times New Roman" w:eastAsia="Times New Roman"/>
          <w:position w:val="10"/>
          <w:sz w:val="14"/>
        </w:rPr>
        <w:t>20</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117"/>
        <w:rPr>
          <w:rFonts w:ascii="楷体" w:eastAsia="楷体" w:hint="eastAsia"/>
        </w:rPr>
      </w:pPr>
      <w:r>
        <w:rPr>
          <w:rFonts w:ascii="楷体" w:eastAsia="楷体" w:hint="eastAsia"/>
        </w:rPr>
        <w:t>个上肢或包括髋关节的整个下肢。</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117" w:right="146"/>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9" w:lineRule="exact" w:before="0"/>
        <w:ind w:left="117" w:right="0" w:firstLine="0"/>
        <w:jc w:val="left"/>
        <w:rPr>
          <w:rFonts w:ascii="楷体" w:eastAsia="楷体" w:hint="eastAsia"/>
          <w:sz w:val="21"/>
        </w:rPr>
      </w:pPr>
      <w:r>
        <w:rPr>
          <w:rFonts w:ascii="Times New Roman" w:eastAsia="Times New Roman"/>
          <w:w w:val="99"/>
          <w:position w:val="10"/>
          <w:sz w:val="14"/>
        </w:rPr>
        <w:t>22</w:t>
      </w:r>
      <w:r>
        <w:rPr>
          <w:rFonts w:ascii="楷体" w:eastAsia="楷体" w:hint="eastAsia"/>
          <w:b/>
          <w:spacing w:val="-2"/>
          <w:w w:val="100"/>
          <w:sz w:val="21"/>
        </w:rPr>
        <w:t>六项基本日常生活活动：</w:t>
      </w:r>
      <w:r>
        <w:rPr>
          <w:rFonts w:ascii="楷体" w:eastAsia="楷体" w:hint="eastAsia"/>
          <w:w w:val="100"/>
          <w:sz w:val="21"/>
        </w:rPr>
        <w:t>指（</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2"/>
          <w:w w:val="100"/>
          <w:sz w:val="21"/>
        </w:rPr>
        <w:t>穿衣：自己能够穿衣及脱衣；</w:t>
      </w:r>
      <w:r>
        <w:rPr>
          <w:rFonts w:ascii="楷体" w:eastAsia="楷体" w:hint="eastAsia"/>
          <w:spacing w:val="-1"/>
          <w:w w:val="100"/>
          <w:sz w:val="21"/>
        </w:rPr>
        <w:t>（</w:t>
      </w:r>
      <w:r>
        <w:rPr>
          <w:rFonts w:ascii="Times New Roman" w:eastAsia="Times New Roman"/>
          <w:w w:val="100"/>
          <w:sz w:val="21"/>
        </w:rPr>
        <w:t>2</w:t>
      </w:r>
      <w:r>
        <w:rPr>
          <w:rFonts w:ascii="楷体" w:eastAsia="楷体" w:hint="eastAsia"/>
          <w:spacing w:val="-3"/>
          <w:w w:val="100"/>
          <w:sz w:val="21"/>
        </w:rPr>
        <w:t>）移动：自己从一个房间到另一个房间；</w:t>
      </w:r>
    </w:p>
    <w:p>
      <w:pPr>
        <w:pStyle w:val="BodyText"/>
        <w:spacing w:line="223" w:lineRule="auto" w:before="12"/>
        <w:ind w:left="117" w:right="114"/>
        <w:rPr>
          <w:rFonts w:ascii="楷体" w:eastAsia="楷体" w:hint="eastAsia"/>
        </w:rPr>
      </w:pPr>
      <w:r>
        <w:rPr>
          <w:rFonts w:ascii="楷体" w:eastAsia="楷体" w:hint="eastAsia"/>
          <w:w w:val="100"/>
        </w:rPr>
        <w:t>（</w:t>
      </w:r>
      <w:r>
        <w:rPr>
          <w:rFonts w:ascii="Times New Roman" w:eastAsia="Times New Roman"/>
          <w:w w:val="100"/>
        </w:rPr>
        <w:t>3</w:t>
      </w:r>
      <w:r>
        <w:rPr>
          <w:rFonts w:ascii="楷体" w:eastAsia="楷体" w:hint="eastAsia"/>
          <w:spacing w:val="-10"/>
          <w:w w:val="100"/>
        </w:rPr>
        <w:t>）</w:t>
      </w:r>
      <w:r>
        <w:rPr>
          <w:rFonts w:ascii="楷体" w:eastAsia="楷体" w:hint="eastAsia"/>
          <w:spacing w:val="-12"/>
          <w:w w:val="100"/>
        </w:rPr>
        <w:t>行动：自己上下床或上下轮椅；</w:t>
      </w:r>
      <w:r>
        <w:rPr>
          <w:rFonts w:ascii="楷体" w:eastAsia="楷体" w:hint="eastAsia"/>
          <w:spacing w:val="-3"/>
          <w:w w:val="100"/>
        </w:rPr>
        <w:t>（</w:t>
      </w:r>
      <w:r>
        <w:rPr>
          <w:rFonts w:ascii="Times New Roman" w:eastAsia="Times New Roman"/>
          <w:w w:val="100"/>
        </w:rPr>
        <w:t>4</w:t>
      </w:r>
      <w:r>
        <w:rPr>
          <w:rFonts w:ascii="楷体" w:eastAsia="楷体" w:hint="eastAsia"/>
          <w:spacing w:val="-10"/>
          <w:w w:val="100"/>
        </w:rPr>
        <w:t>）</w:t>
      </w:r>
      <w:r>
        <w:rPr>
          <w:rFonts w:ascii="楷体" w:eastAsia="楷体" w:hint="eastAsia"/>
          <w:spacing w:val="-13"/>
          <w:w w:val="100"/>
        </w:rPr>
        <w:t>如厕：自己控制进行大小便；</w:t>
      </w:r>
      <w:r>
        <w:rPr>
          <w:rFonts w:ascii="楷体" w:eastAsia="楷体" w:hint="eastAsia"/>
          <w:spacing w:val="-3"/>
          <w:w w:val="100"/>
        </w:rPr>
        <w:t>（</w:t>
      </w:r>
      <w:r>
        <w:rPr>
          <w:rFonts w:ascii="Times New Roman" w:eastAsia="Times New Roman"/>
          <w:w w:val="100"/>
        </w:rPr>
        <w:t>5</w:t>
      </w:r>
      <w:r>
        <w:rPr>
          <w:rFonts w:ascii="楷体" w:eastAsia="楷体" w:hint="eastAsia"/>
          <w:spacing w:val="-13"/>
          <w:w w:val="100"/>
        </w:rPr>
        <w:t>）</w:t>
      </w:r>
      <w:r>
        <w:rPr>
          <w:rFonts w:ascii="楷体" w:eastAsia="楷体" w:hint="eastAsia"/>
          <w:spacing w:val="-4"/>
          <w:w w:val="100"/>
        </w:rPr>
        <w:t>进食：自己从已准备好的碗或碟</w:t>
      </w:r>
      <w:r>
        <w:rPr>
          <w:rFonts w:ascii="楷体" w:eastAsia="楷体" w:hint="eastAsia"/>
          <w:spacing w:val="-15"/>
          <w:w w:val="100"/>
        </w:rPr>
        <w:t>中取食物放入口中；</w:t>
      </w:r>
      <w:r>
        <w:rPr>
          <w:rFonts w:ascii="楷体" w:eastAsia="楷体" w:hint="eastAsia"/>
          <w:w w:val="100"/>
        </w:rPr>
        <w:t>（</w:t>
      </w:r>
      <w:r>
        <w:rPr>
          <w:rFonts w:ascii="Times New Roman" w:eastAsia="Times New Roman"/>
          <w:w w:val="100"/>
        </w:rPr>
        <w:t>6</w:t>
      </w:r>
      <w:r>
        <w:rPr>
          <w:rFonts w:ascii="楷体" w:eastAsia="楷体" w:hint="eastAsia"/>
          <w:spacing w:val="-3"/>
          <w:w w:val="100"/>
        </w:rPr>
        <w:t>）洗澡：自己进行淋浴或盆浴。</w:t>
      </w:r>
    </w:p>
    <w:p>
      <w:pPr>
        <w:spacing w:after="0" w:line="223" w:lineRule="auto"/>
        <w:rPr>
          <w:rFonts w:ascii="楷体" w:eastAsia="楷体" w:hint="eastAsia"/>
        </w:rPr>
        <w:sectPr>
          <w:type w:val="continuous"/>
          <w:pgSz w:w="11910" w:h="16160"/>
          <w:pgMar w:top="580" w:bottom="280" w:left="960" w:right="800"/>
        </w:sectPr>
      </w:pPr>
    </w:p>
    <w:p>
      <w:pPr>
        <w:spacing w:before="7"/>
        <w:ind w:left="3003" w:right="0" w:firstLine="0"/>
        <w:jc w:val="left"/>
        <w:rPr>
          <w:b/>
          <w:sz w:val="21"/>
        </w:rPr>
      </w:pPr>
      <w:r>
        <w:rPr>
          <w:b/>
          <w:sz w:val="21"/>
        </w:rPr>
        <w:t>脑垂体瘤、脑囊肿、脑血管性疾病不在保障范围内。</w:t>
      </w:r>
    </w:p>
    <w:p>
      <w:pPr>
        <w:pStyle w:val="ListParagraph"/>
        <w:numPr>
          <w:ilvl w:val="0"/>
          <w:numId w:val="5"/>
        </w:numPr>
        <w:tabs>
          <w:tab w:pos="488" w:val="left" w:leader="none"/>
        </w:tabs>
        <w:spacing w:line="240" w:lineRule="auto" w:before="46" w:after="0"/>
        <w:ind w:left="487" w:right="0" w:hanging="370"/>
        <w:jc w:val="left"/>
        <w:rPr>
          <w:sz w:val="21"/>
        </w:rPr>
      </w:pPr>
      <w:r>
        <w:rPr>
          <w:spacing w:val="-1"/>
          <w:sz w:val="21"/>
        </w:rPr>
        <w:t>慢性肝功能衰竭失代偿期</w:t>
      </w:r>
      <w:r>
        <w:rPr>
          <w:spacing w:val="-34"/>
          <w:position w:val="1"/>
          <w:sz w:val="21"/>
        </w:rPr>
        <w:t>：</w:t>
      </w:r>
      <w:r>
        <w:rPr>
          <w:spacing w:val="-3"/>
          <w:sz w:val="21"/>
        </w:rPr>
        <w:t>指因慢性肝脏疾病导致肝功能衰竭。须满足下列全部条件：</w:t>
      </w:r>
    </w:p>
    <w:p>
      <w:pPr>
        <w:pStyle w:val="BodyText"/>
        <w:spacing w:before="21"/>
        <w:ind w:left="3003"/>
      </w:pPr>
      <w:r>
        <w:rPr/>
        <w:t>（</w:t>
      </w:r>
      <w:r>
        <w:rPr>
          <w:rFonts w:ascii="Times New Roman" w:eastAsia="Times New Roman"/>
        </w:rPr>
        <w:t>1</w:t>
      </w:r>
      <w:r>
        <w:rPr/>
        <w:t>）持续性黄疸；</w:t>
      </w:r>
    </w:p>
    <w:p>
      <w:pPr>
        <w:pStyle w:val="BodyText"/>
        <w:spacing w:before="21"/>
        <w:ind w:left="3003"/>
      </w:pPr>
      <w:r>
        <w:rPr/>
        <w:t>（</w:t>
      </w:r>
      <w:r>
        <w:rPr>
          <w:rFonts w:ascii="Times New Roman" w:eastAsia="Times New Roman"/>
        </w:rPr>
        <w:t>2</w:t>
      </w:r>
      <w:r>
        <w:rPr/>
        <w:t>）腹水；</w:t>
      </w:r>
    </w:p>
    <w:p>
      <w:pPr>
        <w:pStyle w:val="BodyText"/>
        <w:spacing w:before="21"/>
        <w:ind w:left="3003"/>
      </w:pPr>
      <w:r>
        <w:rPr/>
        <w:t>（</w:t>
      </w:r>
      <w:r>
        <w:rPr>
          <w:rFonts w:ascii="Times New Roman" w:eastAsia="Times New Roman"/>
        </w:rPr>
        <w:t>3</w:t>
      </w:r>
      <w:r>
        <w:rPr/>
        <w:t>）肝性脑病；</w:t>
      </w:r>
    </w:p>
    <w:p>
      <w:pPr>
        <w:spacing w:line="256" w:lineRule="auto" w:before="21"/>
        <w:ind w:left="3003" w:right="1992" w:firstLine="0"/>
        <w:jc w:val="left"/>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p>
      <w:pPr>
        <w:pStyle w:val="ListParagraph"/>
        <w:numPr>
          <w:ilvl w:val="0"/>
          <w:numId w:val="5"/>
        </w:numPr>
        <w:tabs>
          <w:tab w:pos="483" w:val="left" w:leader="none"/>
        </w:tabs>
        <w:spacing w:line="240" w:lineRule="auto" w:before="12" w:after="0"/>
        <w:ind w:left="482" w:right="0" w:hanging="365"/>
        <w:jc w:val="left"/>
        <w:rPr>
          <w:sz w:val="21"/>
        </w:rPr>
      </w:pPr>
      <w:r>
        <w:rPr>
          <w:sz w:val="21"/>
        </w:rPr>
        <w:t>脑炎后遗症或脑膜炎后遗</w:t>
      </w:r>
      <w:r>
        <w:rPr>
          <w:spacing w:val="-34"/>
          <w:position w:val="1"/>
          <w:sz w:val="21"/>
        </w:rPr>
        <w:t>：</w:t>
      </w:r>
      <w:r>
        <w:rPr>
          <w:sz w:val="21"/>
        </w:rPr>
        <w:t>指因患脑炎或脑膜炎导致的神经系统永久性的功能障碍。神经系统永久性的</w:t>
      </w:r>
    </w:p>
    <w:p>
      <w:pPr>
        <w:pStyle w:val="BodyText"/>
        <w:tabs>
          <w:tab w:pos="3003" w:val="left" w:leader="none"/>
        </w:tabs>
        <w:spacing w:before="21"/>
        <w:ind w:left="117"/>
      </w:pPr>
      <w:r>
        <w:rPr/>
        <w:t>症</w:t>
        <w:tab/>
        <w:t>功能</w:t>
      </w:r>
      <w:r>
        <w:rPr>
          <w:spacing w:val="-3"/>
        </w:rPr>
        <w:t>障</w:t>
      </w:r>
      <w:r>
        <w:rPr/>
        <w:t>碍</w:t>
      </w:r>
      <w:r>
        <w:rPr>
          <w:spacing w:val="-3"/>
        </w:rPr>
        <w:t>，</w:t>
      </w:r>
      <w:r>
        <w:rPr/>
        <w:t>指</w:t>
      </w:r>
      <w:r>
        <w:rPr>
          <w:spacing w:val="-3"/>
        </w:rPr>
        <w:t>疾</w:t>
      </w:r>
      <w:r>
        <w:rPr/>
        <w:t>病</w:t>
      </w:r>
      <w:r>
        <w:rPr>
          <w:spacing w:val="-3"/>
        </w:rPr>
        <w:t>确</w:t>
      </w:r>
      <w:r>
        <w:rPr/>
        <w:t>诊</w:t>
      </w:r>
      <w:r>
        <w:rPr>
          <w:spacing w:val="-44"/>
        </w:rPr>
        <w:t> </w:t>
      </w:r>
      <w:r>
        <w:rPr>
          <w:rFonts w:ascii="Times New Roman" w:eastAsia="Times New Roman"/>
        </w:rPr>
        <w:t>180 </w:t>
      </w:r>
      <w:r>
        <w:rPr>
          <w:rFonts w:ascii="Times New Roman" w:eastAsia="Times New Roman"/>
          <w:spacing w:val="18"/>
        </w:rPr>
        <w:t> </w:t>
      </w:r>
      <w:r>
        <w:rPr/>
        <w:t>天</w:t>
      </w:r>
      <w:r>
        <w:rPr>
          <w:spacing w:val="-3"/>
        </w:rPr>
        <w:t>后</w:t>
      </w:r>
      <w:r>
        <w:rPr/>
        <w:t>，</w:t>
      </w:r>
      <w:r>
        <w:rPr>
          <w:spacing w:val="-3"/>
        </w:rPr>
        <w:t>仍</w:t>
      </w:r>
      <w:r>
        <w:rPr/>
        <w:t>遗</w:t>
      </w:r>
      <w:r>
        <w:rPr>
          <w:spacing w:val="-3"/>
        </w:rPr>
        <w:t>留</w:t>
      </w:r>
      <w:r>
        <w:rPr/>
        <w:t>下</w:t>
      </w:r>
      <w:r>
        <w:rPr>
          <w:spacing w:val="-3"/>
        </w:rPr>
        <w:t>列</w:t>
      </w:r>
      <w:r>
        <w:rPr/>
        <w:t>一</w:t>
      </w:r>
      <w:r>
        <w:rPr>
          <w:spacing w:val="-3"/>
        </w:rPr>
        <w:t>种</w:t>
      </w:r>
      <w:r>
        <w:rPr/>
        <w:t>或一</w:t>
      </w:r>
      <w:r>
        <w:rPr>
          <w:spacing w:val="-3"/>
        </w:rPr>
        <w:t>种</w:t>
      </w:r>
      <w:r>
        <w:rPr/>
        <w:t>以</w:t>
      </w:r>
      <w:r>
        <w:rPr>
          <w:spacing w:val="-3"/>
        </w:rPr>
        <w:t>上</w:t>
      </w:r>
      <w:r>
        <w:rPr/>
        <w:t>障</w:t>
      </w:r>
      <w:r>
        <w:rPr>
          <w:spacing w:val="-3"/>
        </w:rPr>
        <w:t>碍</w:t>
      </w:r>
      <w:r>
        <w:rPr/>
        <w:t>：</w:t>
      </w:r>
    </w:p>
    <w:p>
      <w:pPr>
        <w:pStyle w:val="BodyText"/>
        <w:spacing w:before="21"/>
        <w:ind w:left="3003"/>
      </w:pPr>
      <w:r>
        <w:rPr/>
        <w:t>（</w:t>
      </w:r>
      <w:r>
        <w:rPr>
          <w:rFonts w:ascii="Times New Roman" w:eastAsia="Times New Roman"/>
        </w:rPr>
        <w:t>1</w:t>
      </w:r>
      <w:r>
        <w:rPr/>
        <w:t>）一肢或一肢以上肢体机能完全丧失；</w:t>
      </w:r>
    </w:p>
    <w:p>
      <w:pPr>
        <w:pStyle w:val="BodyText"/>
        <w:spacing w:before="21"/>
        <w:ind w:left="3003"/>
      </w:pPr>
      <w:r>
        <w:rPr/>
        <w:t>（</w:t>
      </w:r>
      <w:r>
        <w:rPr>
          <w:rFonts w:ascii="Times New Roman" w:eastAsia="Times New Roman"/>
        </w:rPr>
        <w:t>2</w:t>
      </w:r>
      <w:r>
        <w:rPr/>
        <w:t>）语言能力或咀嚼吞咽能力完全丧失；</w:t>
      </w:r>
    </w:p>
    <w:p>
      <w:pPr>
        <w:pStyle w:val="BodyText"/>
        <w:spacing w:line="256" w:lineRule="auto" w:before="22"/>
        <w:ind w:left="3003"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5"/>
        </w:numPr>
        <w:tabs>
          <w:tab w:pos="488" w:val="left" w:leader="none"/>
          <w:tab w:pos="2825" w:val="left" w:leader="none"/>
        </w:tabs>
        <w:spacing w:line="256" w:lineRule="auto" w:before="12" w:after="0"/>
        <w:ind w:left="3003" w:right="105" w:hanging="2886"/>
        <w:jc w:val="both"/>
        <w:rPr>
          <w:sz w:val="21"/>
        </w:rPr>
      </w:pPr>
      <w:r>
        <w:rPr>
          <w:spacing w:val="-3"/>
          <w:sz w:val="21"/>
        </w:rPr>
        <w:t>深</w:t>
      </w:r>
      <w:r>
        <w:rPr>
          <w:sz w:val="21"/>
        </w:rPr>
        <w:t>度</w:t>
      </w:r>
      <w:r>
        <w:rPr>
          <w:spacing w:val="-3"/>
          <w:sz w:val="21"/>
        </w:rPr>
        <w:t>昏</w:t>
      </w:r>
      <w:r>
        <w:rPr>
          <w:sz w:val="21"/>
        </w:rPr>
        <w:t>迷</w:t>
        <w:tab/>
      </w:r>
      <w:r>
        <w:rPr>
          <w:spacing w:val="-34"/>
          <w:position w:val="1"/>
          <w:sz w:val="21"/>
        </w:rPr>
        <w:t>：</w:t>
      </w:r>
      <w:r>
        <w:rPr>
          <w:spacing w:val="2"/>
          <w:sz w:val="21"/>
        </w:rPr>
        <w:t>指因疾病或意外伤害</w:t>
      </w:r>
      <w:r>
        <w:rPr>
          <w:spacing w:val="5"/>
          <w:sz w:val="21"/>
        </w:rPr>
        <w:t>导</w:t>
      </w:r>
      <w:r>
        <w:rPr>
          <w:spacing w:val="2"/>
          <w:sz w:val="21"/>
        </w:rPr>
        <w:t>致意识丧</w:t>
      </w:r>
      <w:r>
        <w:rPr>
          <w:spacing w:val="5"/>
          <w:sz w:val="21"/>
        </w:rPr>
        <w:t>失</w:t>
      </w:r>
      <w:r>
        <w:rPr>
          <w:rFonts w:ascii="Times New Roman" w:eastAsia="Times New Roman"/>
          <w:spacing w:val="2"/>
          <w:sz w:val="21"/>
        </w:rPr>
        <w:t>,</w:t>
      </w:r>
      <w:r>
        <w:rPr>
          <w:spacing w:val="2"/>
          <w:sz w:val="21"/>
        </w:rPr>
        <w:t>对外界刺激和体内需求均无反</w:t>
      </w:r>
      <w:r>
        <w:rPr>
          <w:spacing w:val="6"/>
          <w:sz w:val="21"/>
        </w:rPr>
        <w:t>应</w:t>
      </w:r>
      <w:r>
        <w:rPr>
          <w:rFonts w:ascii="Times New Roman" w:eastAsia="Times New Roman"/>
          <w:spacing w:val="2"/>
          <w:sz w:val="21"/>
        </w:rPr>
        <w:t>,</w:t>
      </w:r>
      <w:r>
        <w:rPr>
          <w:spacing w:val="2"/>
          <w:sz w:val="21"/>
        </w:rPr>
        <w:t>昏迷程 </w:t>
      </w:r>
      <w:r>
        <w:rPr>
          <w:sz w:val="21"/>
        </w:rPr>
        <w:t>度按</w:t>
      </w:r>
      <w:r>
        <w:rPr>
          <w:spacing w:val="-3"/>
          <w:sz w:val="21"/>
        </w:rPr>
        <w:t>照</w:t>
      </w:r>
      <w:r>
        <w:rPr>
          <w:sz w:val="21"/>
        </w:rPr>
        <w:t>格</w:t>
      </w:r>
      <w:r>
        <w:rPr>
          <w:spacing w:val="-3"/>
          <w:sz w:val="21"/>
        </w:rPr>
        <w:t>拉</w:t>
      </w:r>
      <w:r>
        <w:rPr>
          <w:sz w:val="21"/>
        </w:rPr>
        <w:t>斯</w:t>
      </w:r>
      <w:r>
        <w:rPr>
          <w:spacing w:val="-3"/>
          <w:sz w:val="21"/>
        </w:rPr>
        <w:t>哥</w:t>
      </w:r>
      <w:r>
        <w:rPr>
          <w:sz w:val="21"/>
        </w:rPr>
        <w:t>昏</w:t>
      </w:r>
      <w:r>
        <w:rPr>
          <w:spacing w:val="-3"/>
          <w:sz w:val="21"/>
        </w:rPr>
        <w:t>迷</w:t>
      </w:r>
      <w:r>
        <w:rPr>
          <w:sz w:val="21"/>
        </w:rPr>
        <w:t>分</w:t>
      </w:r>
      <w:r>
        <w:rPr>
          <w:spacing w:val="-22"/>
          <w:sz w:val="21"/>
        </w:rPr>
        <w:t>级</w:t>
      </w:r>
      <w:r>
        <w:rPr>
          <w:sz w:val="21"/>
        </w:rPr>
        <w:t>（</w:t>
      </w:r>
      <w:r>
        <w:rPr>
          <w:rFonts w:ascii="Times New Roman" w:eastAsia="Times New Roman"/>
          <w:sz w:val="21"/>
        </w:rPr>
        <w:t>Glasgow</w:t>
      </w:r>
      <w:r>
        <w:rPr>
          <w:rFonts w:ascii="Times New Roman" w:eastAsia="Times New Roman"/>
          <w:spacing w:val="1"/>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pacing w:val="-4"/>
          <w:sz w:val="21"/>
        </w:rPr>
        <w:t>scale</w:t>
      </w:r>
      <w:r>
        <w:rPr>
          <w:spacing w:val="-4"/>
          <w:sz w:val="21"/>
        </w:rPr>
        <w:t>）</w:t>
      </w:r>
      <w:r>
        <w:rPr>
          <w:spacing w:val="-3"/>
          <w:sz w:val="21"/>
        </w:rPr>
        <w:t>结</w:t>
      </w:r>
      <w:r>
        <w:rPr>
          <w:sz w:val="21"/>
        </w:rPr>
        <w:t>果为</w:t>
      </w:r>
      <w:r>
        <w:rPr>
          <w:spacing w:val="-50"/>
          <w:sz w:val="21"/>
        </w:rPr>
        <w:t> </w:t>
      </w:r>
      <w:r>
        <w:rPr>
          <w:rFonts w:ascii="Times New Roman" w:eastAsia="Times New Roman"/>
          <w:sz w:val="21"/>
        </w:rPr>
        <w:t>5</w:t>
      </w:r>
      <w:r>
        <w:rPr>
          <w:rFonts w:ascii="Times New Roman" w:eastAsia="Times New Roman"/>
          <w:spacing w:val="3"/>
          <w:sz w:val="21"/>
        </w:rPr>
        <w:t> </w:t>
      </w:r>
      <w:r>
        <w:rPr>
          <w:spacing w:val="-3"/>
          <w:sz w:val="21"/>
        </w:rPr>
        <w:t>分</w:t>
      </w:r>
      <w:r>
        <w:rPr>
          <w:sz w:val="21"/>
        </w:rPr>
        <w:t>或</w:t>
      </w:r>
      <w:r>
        <w:rPr>
          <w:spacing w:val="-50"/>
          <w:sz w:val="21"/>
        </w:rPr>
        <w:t> </w:t>
      </w:r>
      <w:r>
        <w:rPr>
          <w:rFonts w:ascii="Times New Roman" w:eastAsia="Times New Roman"/>
          <w:sz w:val="21"/>
        </w:rPr>
        <w:t>5</w:t>
      </w:r>
      <w:r>
        <w:rPr>
          <w:rFonts w:ascii="Times New Roman" w:eastAsia="Times New Roman"/>
          <w:spacing w:val="3"/>
          <w:sz w:val="21"/>
        </w:rPr>
        <w:t> </w:t>
      </w:r>
      <w:r>
        <w:rPr>
          <w:sz w:val="21"/>
        </w:rPr>
        <w:t>分</w:t>
      </w:r>
      <w:r>
        <w:rPr>
          <w:spacing w:val="-3"/>
          <w:sz w:val="21"/>
        </w:rPr>
        <w:t>以</w:t>
      </w:r>
      <w:r>
        <w:rPr>
          <w:sz w:val="21"/>
        </w:rPr>
        <w:t>下</w:t>
      </w:r>
      <w:r>
        <w:rPr>
          <w:spacing w:val="-20"/>
          <w:sz w:val="21"/>
        </w:rPr>
        <w:t>，</w:t>
      </w:r>
      <w:r>
        <w:rPr>
          <w:sz w:val="21"/>
        </w:rPr>
        <w:t>且已经</w:t>
      </w:r>
      <w:r>
        <w:rPr>
          <w:spacing w:val="-3"/>
          <w:sz w:val="21"/>
        </w:rPr>
        <w:t>持</w:t>
      </w:r>
      <w:r>
        <w:rPr>
          <w:sz w:val="21"/>
        </w:rPr>
        <w:t>续</w:t>
      </w:r>
      <w:r>
        <w:rPr>
          <w:spacing w:val="-3"/>
          <w:sz w:val="21"/>
        </w:rPr>
        <w:t>使</w:t>
      </w:r>
      <w:r>
        <w:rPr>
          <w:sz w:val="21"/>
        </w:rPr>
        <w:t>用</w:t>
      </w:r>
      <w:r>
        <w:rPr>
          <w:spacing w:val="-3"/>
          <w:sz w:val="21"/>
        </w:rPr>
        <w:t>呼</w:t>
      </w:r>
      <w:r>
        <w:rPr>
          <w:sz w:val="21"/>
        </w:rPr>
        <w:t>吸</w:t>
      </w:r>
      <w:r>
        <w:rPr>
          <w:spacing w:val="-3"/>
          <w:sz w:val="21"/>
        </w:rPr>
        <w:t>机</w:t>
      </w:r>
      <w:r>
        <w:rPr>
          <w:sz w:val="21"/>
        </w:rPr>
        <w:t>及</w:t>
      </w:r>
      <w:r>
        <w:rPr>
          <w:spacing w:val="-3"/>
          <w:sz w:val="21"/>
        </w:rPr>
        <w:t>其</w:t>
      </w:r>
      <w:r>
        <w:rPr>
          <w:sz w:val="21"/>
        </w:rPr>
        <w:t>它生</w:t>
      </w:r>
      <w:r>
        <w:rPr>
          <w:spacing w:val="-3"/>
          <w:sz w:val="21"/>
        </w:rPr>
        <w:t>命</w:t>
      </w:r>
      <w:r>
        <w:rPr>
          <w:sz w:val="21"/>
        </w:rPr>
        <w:t>维</w:t>
      </w:r>
      <w:r>
        <w:rPr>
          <w:spacing w:val="-3"/>
          <w:sz w:val="21"/>
        </w:rPr>
        <w:t>持系</w:t>
      </w:r>
      <w:r>
        <w:rPr>
          <w:sz w:val="21"/>
        </w:rPr>
        <w:t>统</w:t>
      </w:r>
      <w:r>
        <w:rPr>
          <w:spacing w:val="-38"/>
          <w:sz w:val="21"/>
        </w:rPr>
        <w:t> </w:t>
      </w:r>
      <w:r>
        <w:rPr>
          <w:rFonts w:ascii="Times New Roman" w:eastAsia="Times New Roman"/>
          <w:sz w:val="21"/>
        </w:rPr>
        <w:t>96</w:t>
      </w:r>
      <w:r>
        <w:rPr>
          <w:rFonts w:ascii="Times New Roman" w:eastAsia="Times New Roman"/>
          <w:spacing w:val="10"/>
          <w:sz w:val="21"/>
        </w:rPr>
        <w:t> </w:t>
      </w:r>
      <w:r>
        <w:rPr>
          <w:sz w:val="21"/>
        </w:rPr>
        <w:t>小</w:t>
      </w:r>
      <w:r>
        <w:rPr>
          <w:spacing w:val="-3"/>
          <w:sz w:val="21"/>
        </w:rPr>
        <w:t>时以</w:t>
      </w:r>
      <w:r>
        <w:rPr>
          <w:sz w:val="21"/>
        </w:rPr>
        <w:t>上。</w:t>
      </w:r>
    </w:p>
    <w:p>
      <w:pPr>
        <w:spacing w:before="4"/>
        <w:ind w:left="3003" w:right="0" w:firstLine="0"/>
        <w:jc w:val="left"/>
        <w:rPr>
          <w:b/>
          <w:sz w:val="21"/>
        </w:rPr>
      </w:pPr>
      <w:r>
        <w:rPr>
          <w:b/>
          <w:sz w:val="21"/>
        </w:rPr>
        <w:t>因酗酒或药物滥用导致的深度昏迷不在保障范围内。</w:t>
      </w:r>
    </w:p>
    <w:p>
      <w:pPr>
        <w:pStyle w:val="ListParagraph"/>
        <w:numPr>
          <w:ilvl w:val="0"/>
          <w:numId w:val="5"/>
        </w:numPr>
        <w:tabs>
          <w:tab w:pos="488" w:val="left" w:leader="none"/>
        </w:tabs>
        <w:spacing w:line="256" w:lineRule="auto" w:before="27" w:after="0"/>
        <w:ind w:left="3003" w:right="110" w:hanging="2886"/>
        <w:jc w:val="both"/>
        <w:rPr>
          <w:sz w:val="21"/>
        </w:rPr>
      </w:pPr>
      <w:r>
        <w:rPr>
          <w:spacing w:val="-2"/>
          <w:sz w:val="21"/>
        </w:rPr>
        <w:t>双耳失聪 </w:t>
      </w:r>
      <w:r>
        <w:rPr>
          <w:rFonts w:ascii="Times New Roman" w:eastAsia="Times New Roman"/>
          <w:sz w:val="21"/>
        </w:rPr>
        <w:t>- </w:t>
      </w:r>
      <w:r>
        <w:rPr>
          <w:b/>
          <w:spacing w:val="10"/>
          <w:sz w:val="21"/>
        </w:rPr>
        <w:t>三岁始理赔 </w:t>
      </w:r>
      <w:r>
        <w:rPr>
          <w:spacing w:val="-34"/>
          <w:position w:val="1"/>
          <w:sz w:val="21"/>
        </w:rPr>
        <w:t>：</w:t>
      </w:r>
      <w:r>
        <w:rPr>
          <w:spacing w:val="-3"/>
          <w:sz w:val="21"/>
        </w:rPr>
        <w:t>指因疾病或意外伤害导致双耳听力</w:t>
      </w:r>
      <w:r>
        <w:rPr>
          <w:b/>
          <w:sz w:val="21"/>
        </w:rPr>
        <w:t>永久不可逆</w:t>
      </w:r>
      <w:r>
        <w:rPr>
          <w:rFonts w:ascii="Times New Roman" w:eastAsia="Times New Roman"/>
          <w:b/>
          <w:sz w:val="21"/>
          <w:vertAlign w:val="superscript"/>
        </w:rPr>
        <w:t>23</w:t>
      </w:r>
      <w:r>
        <w:rPr>
          <w:rFonts w:ascii="Times New Roman" w:eastAsia="Times New Roman"/>
          <w:b/>
          <w:sz w:val="21"/>
          <w:vertAlign w:val="baseline"/>
        </w:rPr>
      </w:r>
      <w:r>
        <w:rPr>
          <w:spacing w:val="-28"/>
          <w:sz w:val="21"/>
          <w:vertAlign w:val="baseline"/>
        </w:rPr>
        <w:t>性丧失，在 </w:t>
      </w:r>
      <w:r>
        <w:rPr>
          <w:rFonts w:ascii="Times New Roman" w:eastAsia="Times New Roman"/>
          <w:sz w:val="21"/>
          <w:vertAlign w:val="baseline"/>
        </w:rPr>
        <w:t>500</w:t>
      </w:r>
      <w:r>
        <w:rPr>
          <w:rFonts w:ascii="Times New Roman" w:eastAsia="Times New Roman"/>
          <w:spacing w:val="2"/>
          <w:sz w:val="21"/>
          <w:vertAlign w:val="baseline"/>
        </w:rPr>
        <w:t> </w:t>
      </w:r>
      <w:r>
        <w:rPr>
          <w:spacing w:val="-36"/>
          <w:sz w:val="21"/>
          <w:vertAlign w:val="baseline"/>
        </w:rPr>
        <w:t>赫兹、</w:t>
      </w:r>
      <w:r>
        <w:rPr>
          <w:rFonts w:ascii="Times New Roman" w:eastAsia="Times New Roman"/>
          <w:sz w:val="21"/>
          <w:vertAlign w:val="baseline"/>
        </w:rPr>
        <w:t>1000</w:t>
      </w:r>
      <w:r>
        <w:rPr>
          <w:rFonts w:ascii="Times New Roman" w:eastAsia="Times New Roman"/>
          <w:spacing w:val="5"/>
          <w:sz w:val="21"/>
          <w:vertAlign w:val="baseline"/>
        </w:rPr>
        <w:t> </w:t>
      </w:r>
      <w:r>
        <w:rPr>
          <w:sz w:val="21"/>
          <w:vertAlign w:val="baseline"/>
        </w:rPr>
        <w:t>赫</w:t>
      </w:r>
      <w:r>
        <w:rPr>
          <w:spacing w:val="-16"/>
          <w:sz w:val="21"/>
          <w:vertAlign w:val="baseline"/>
        </w:rPr>
        <w:t>兹和 </w:t>
      </w:r>
      <w:r>
        <w:rPr>
          <w:rFonts w:ascii="Times New Roman" w:eastAsia="Times New Roman"/>
          <w:sz w:val="21"/>
          <w:vertAlign w:val="baseline"/>
        </w:rPr>
        <w:t>2000</w:t>
      </w:r>
      <w:r>
        <w:rPr>
          <w:rFonts w:ascii="Times New Roman" w:eastAsia="Times New Roman"/>
          <w:spacing w:val="8"/>
          <w:sz w:val="21"/>
          <w:vertAlign w:val="baseline"/>
        </w:rPr>
        <w:t> </w:t>
      </w:r>
      <w:r>
        <w:rPr>
          <w:spacing w:val="-7"/>
          <w:sz w:val="21"/>
          <w:vertAlign w:val="baseline"/>
        </w:rPr>
        <w:t>赫兹语音频率下，平均听阈大于 </w:t>
      </w:r>
      <w:r>
        <w:rPr>
          <w:rFonts w:ascii="Times New Roman" w:eastAsia="Times New Roman"/>
          <w:sz w:val="21"/>
          <w:vertAlign w:val="baseline"/>
        </w:rPr>
        <w:t>90</w:t>
      </w:r>
      <w:r>
        <w:rPr>
          <w:rFonts w:ascii="Times New Roman" w:eastAsia="Times New Roman"/>
          <w:spacing w:val="8"/>
          <w:sz w:val="21"/>
          <w:vertAlign w:val="baseline"/>
        </w:rPr>
        <w:t> </w:t>
      </w:r>
      <w:r>
        <w:rPr>
          <w:spacing w:val="-4"/>
          <w:sz w:val="21"/>
          <w:vertAlign w:val="baseline"/>
        </w:rPr>
        <w:t>分贝，且经纯音听力测试、声</w:t>
      </w:r>
      <w:r>
        <w:rPr>
          <w:spacing w:val="-3"/>
          <w:sz w:val="21"/>
          <w:vertAlign w:val="baseline"/>
        </w:rPr>
        <w:t>导抗检测或听觉诱发电位检测等证实。</w:t>
      </w:r>
    </w:p>
    <w:p>
      <w:pPr>
        <w:spacing w:line="273" w:lineRule="auto" w:before="22"/>
        <w:ind w:left="3003" w:right="112" w:firstLine="0"/>
        <w:jc w:val="left"/>
        <w:rPr>
          <w:sz w:val="21"/>
        </w:rPr>
      </w:pPr>
      <w:r>
        <w:rPr>
          <w:b/>
          <w:sz w:val="21"/>
        </w:rPr>
        <w:t>被保险人申请理赔时年龄必须在三周岁以上</w:t>
      </w:r>
      <w:r>
        <w:rPr>
          <w:sz w:val="21"/>
        </w:rPr>
        <w:t>，并且提供理赔当时的听力丧失诊断及检查证据。</w:t>
      </w:r>
    </w:p>
    <w:p>
      <w:pPr>
        <w:pStyle w:val="ListParagraph"/>
        <w:numPr>
          <w:ilvl w:val="0"/>
          <w:numId w:val="5"/>
        </w:numPr>
        <w:tabs>
          <w:tab w:pos="488" w:val="left" w:leader="none"/>
        </w:tabs>
        <w:spacing w:line="256" w:lineRule="auto" w:before="0" w:after="0"/>
        <w:ind w:left="3003" w:right="116" w:hanging="2886"/>
        <w:jc w:val="both"/>
        <w:rPr>
          <w:sz w:val="21"/>
        </w:rPr>
      </w:pPr>
      <w:r>
        <w:rPr>
          <w:spacing w:val="1"/>
          <w:sz w:val="21"/>
        </w:rPr>
        <w:t>双目失明 </w:t>
      </w:r>
      <w:r>
        <w:rPr>
          <w:rFonts w:ascii="Times New Roman" w:eastAsia="Times New Roman"/>
          <w:spacing w:val="10"/>
          <w:sz w:val="21"/>
        </w:rPr>
        <w:t>- </w:t>
      </w:r>
      <w:r>
        <w:rPr>
          <w:b/>
          <w:spacing w:val="15"/>
          <w:sz w:val="21"/>
        </w:rPr>
        <w:t>三岁始理赔 </w:t>
      </w:r>
      <w:r>
        <w:rPr>
          <w:spacing w:val="-34"/>
          <w:position w:val="1"/>
          <w:sz w:val="21"/>
        </w:rPr>
        <w:t>：</w:t>
      </w:r>
      <w:r>
        <w:rPr>
          <w:sz w:val="21"/>
        </w:rPr>
        <w:t>指因疾病或意外伤害导致双眼视力永久不可逆性丧失，双眼中较好眼须满足</w:t>
      </w:r>
      <w:r>
        <w:rPr>
          <w:spacing w:val="-3"/>
          <w:sz w:val="21"/>
        </w:rPr>
        <w:t>下列至少一项条件：</w:t>
      </w:r>
    </w:p>
    <w:p>
      <w:pPr>
        <w:pStyle w:val="BodyText"/>
        <w:spacing w:before="25"/>
        <w:ind w:left="3003"/>
      </w:pPr>
      <w:r>
        <w:rPr/>
        <w:t>（</w:t>
      </w:r>
      <w:r>
        <w:rPr>
          <w:rFonts w:ascii="Times New Roman" w:eastAsia="Times New Roman"/>
        </w:rPr>
        <w:t>1</w:t>
      </w:r>
      <w:r>
        <w:rPr/>
        <w:t>）眼球缺失或摘除；</w:t>
      </w:r>
    </w:p>
    <w:p>
      <w:pPr>
        <w:pStyle w:val="BodyText"/>
        <w:spacing w:line="256" w:lineRule="auto" w:before="21"/>
        <w:ind w:left="3003" w:right="110"/>
      </w:pPr>
      <w:r>
        <w:rPr/>
        <w:t>（</w:t>
      </w:r>
      <w:r>
        <w:rPr>
          <w:rFonts w:ascii="Times New Roman" w:eastAsia="Times New Roman"/>
        </w:rPr>
        <w:t>2</w:t>
      </w:r>
      <w:r>
        <w:rPr/>
        <w:t>）</w:t>
      </w:r>
      <w:r>
        <w:rPr>
          <w:spacing w:val="-8"/>
        </w:rPr>
        <w:t>矫正视力低于 </w:t>
      </w:r>
      <w:r>
        <w:rPr>
          <w:rFonts w:ascii="Times New Roman" w:eastAsia="Times New Roman"/>
        </w:rPr>
        <w:t>0.02</w:t>
      </w:r>
      <w:r>
        <w:rPr/>
        <w:t>（</w:t>
      </w:r>
      <w:r>
        <w:rPr>
          <w:spacing w:val="-4"/>
        </w:rPr>
        <w:t>采用国际标准视力表，如果使用其它视力表应进行</w:t>
      </w:r>
      <w:r>
        <w:rPr>
          <w:spacing w:val="-4"/>
          <w:w w:val="100"/>
        </w:rPr>
        <w:t>换算</w:t>
      </w:r>
      <w:r>
        <w:rPr>
          <w:spacing w:val="-108"/>
          <w:w w:val="100"/>
        </w:rPr>
        <w:t>）</w:t>
      </w:r>
      <w:r>
        <w:rPr>
          <w:w w:val="100"/>
        </w:rPr>
        <w:t>；</w:t>
      </w:r>
    </w:p>
    <w:p>
      <w:pPr>
        <w:pStyle w:val="BodyText"/>
        <w:spacing w:before="22"/>
        <w:ind w:left="3003"/>
      </w:pPr>
      <w:r>
        <w:rPr/>
        <w:t>（</w:t>
      </w:r>
      <w:r>
        <w:rPr>
          <w:rFonts w:ascii="Times New Roman" w:eastAsia="Times New Roman"/>
        </w:rPr>
        <w:t>3</w:t>
      </w:r>
      <w:r>
        <w:rPr/>
        <w:t>）视野半径小于 </w:t>
      </w:r>
      <w:r>
        <w:rPr>
          <w:rFonts w:ascii="Times New Roman" w:eastAsia="Times New Roman"/>
        </w:rPr>
        <w:t>5  </w:t>
      </w:r>
      <w:r>
        <w:rPr/>
        <w:t>度。</w:t>
      </w:r>
    </w:p>
    <w:p>
      <w:pPr>
        <w:spacing w:line="273" w:lineRule="auto" w:before="21"/>
        <w:ind w:left="3003" w:right="112" w:firstLine="0"/>
        <w:jc w:val="left"/>
        <w:rPr>
          <w:sz w:val="21"/>
        </w:rPr>
      </w:pPr>
      <w:r>
        <w:rPr>
          <w:b/>
          <w:sz w:val="21"/>
        </w:rPr>
        <w:t>被保险人申请理赔时年龄必须在三周岁以上</w:t>
      </w:r>
      <w:r>
        <w:rPr>
          <w:sz w:val="21"/>
        </w:rPr>
        <w:t>，并且提供理赔当时的视力丧失诊断及检查证据。</w:t>
      </w:r>
    </w:p>
    <w:p>
      <w:pPr>
        <w:pStyle w:val="ListParagraph"/>
        <w:numPr>
          <w:ilvl w:val="0"/>
          <w:numId w:val="5"/>
        </w:numPr>
        <w:tabs>
          <w:tab w:pos="488" w:val="left" w:leader="none"/>
          <w:tab w:pos="2825" w:val="left" w:leader="none"/>
        </w:tabs>
        <w:spacing w:line="256" w:lineRule="auto" w:before="0" w:after="0"/>
        <w:ind w:left="3003" w:right="110" w:hanging="2886"/>
        <w:jc w:val="both"/>
        <w:rPr>
          <w:sz w:val="21"/>
        </w:rPr>
      </w:pPr>
      <w:r>
        <w:rPr>
          <w:spacing w:val="-3"/>
          <w:sz w:val="21"/>
        </w:rPr>
        <w:t>瘫</w:t>
      </w:r>
      <w:r>
        <w:rPr>
          <w:sz w:val="21"/>
        </w:rPr>
        <w:t>痪</w:t>
        <w:tab/>
      </w:r>
      <w:r>
        <w:rPr>
          <w:spacing w:val="-34"/>
          <w:position w:val="1"/>
          <w:sz w:val="21"/>
        </w:rPr>
        <w:t>：</w:t>
      </w:r>
      <w:r>
        <w:rPr>
          <w:sz w:val="21"/>
        </w:rPr>
        <w:t>指因疾病或意外伤害导致两肢或两肢以上肢体机能永久完全丧失。肢体机能 永久</w:t>
      </w:r>
      <w:r>
        <w:rPr>
          <w:spacing w:val="-3"/>
          <w:sz w:val="21"/>
        </w:rPr>
        <w:t>完</w:t>
      </w:r>
      <w:r>
        <w:rPr>
          <w:sz w:val="21"/>
        </w:rPr>
        <w:t>全</w:t>
      </w:r>
      <w:r>
        <w:rPr>
          <w:spacing w:val="-3"/>
          <w:sz w:val="21"/>
        </w:rPr>
        <w:t>丧</w:t>
      </w:r>
      <w:r>
        <w:rPr>
          <w:sz w:val="21"/>
        </w:rPr>
        <w:t>失</w:t>
      </w:r>
      <w:r>
        <w:rPr>
          <w:spacing w:val="-8"/>
          <w:sz w:val="21"/>
        </w:rPr>
        <w:t>，</w:t>
      </w:r>
      <w:r>
        <w:rPr>
          <w:sz w:val="21"/>
        </w:rPr>
        <w:t>指</w:t>
      </w:r>
      <w:r>
        <w:rPr>
          <w:spacing w:val="-3"/>
          <w:sz w:val="21"/>
        </w:rPr>
        <w:t>疾</w:t>
      </w:r>
      <w:r>
        <w:rPr>
          <w:sz w:val="21"/>
        </w:rPr>
        <w:t>病</w:t>
      </w:r>
      <w:r>
        <w:rPr>
          <w:spacing w:val="-3"/>
          <w:sz w:val="21"/>
        </w:rPr>
        <w:t>确</w:t>
      </w:r>
      <w:r>
        <w:rPr>
          <w:sz w:val="21"/>
        </w:rPr>
        <w:t>诊</w:t>
      </w:r>
      <w:r>
        <w:rPr>
          <w:spacing w:val="-47"/>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3"/>
          <w:sz w:val="21"/>
        </w:rPr>
        <w:t>或</w:t>
      </w:r>
      <w:r>
        <w:rPr>
          <w:sz w:val="21"/>
        </w:rPr>
        <w:t>意</w:t>
      </w:r>
      <w:r>
        <w:rPr>
          <w:spacing w:val="-3"/>
          <w:sz w:val="21"/>
        </w:rPr>
        <w:t>外</w:t>
      </w:r>
      <w:r>
        <w:rPr>
          <w:sz w:val="21"/>
        </w:rPr>
        <w:t>伤</w:t>
      </w:r>
      <w:r>
        <w:rPr>
          <w:spacing w:val="-3"/>
          <w:sz w:val="21"/>
        </w:rPr>
        <w:t>害发</w:t>
      </w:r>
      <w:r>
        <w:rPr>
          <w:sz w:val="21"/>
        </w:rPr>
        <w:t>生</w:t>
      </w:r>
      <w:r>
        <w:rPr>
          <w:spacing w:val="-46"/>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5"/>
          <w:sz w:val="21"/>
        </w:rPr>
        <w:t>，</w:t>
      </w:r>
      <w:r>
        <w:rPr>
          <w:spacing w:val="-3"/>
          <w:sz w:val="21"/>
        </w:rPr>
        <w:t>每</w:t>
      </w:r>
      <w:r>
        <w:rPr>
          <w:sz w:val="21"/>
        </w:rPr>
        <w:t>肢</w:t>
      </w:r>
      <w:r>
        <w:rPr>
          <w:spacing w:val="-3"/>
          <w:sz w:val="21"/>
        </w:rPr>
        <w:t>三</w:t>
      </w:r>
      <w:r>
        <w:rPr>
          <w:sz w:val="21"/>
        </w:rPr>
        <w:t>大关节中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ListParagraph"/>
        <w:numPr>
          <w:ilvl w:val="0"/>
          <w:numId w:val="5"/>
        </w:numPr>
        <w:tabs>
          <w:tab w:pos="488" w:val="left" w:leader="none"/>
          <w:tab w:pos="2825" w:val="left" w:leader="none"/>
        </w:tabs>
        <w:spacing w:line="240" w:lineRule="auto" w:before="15" w:after="0"/>
        <w:ind w:left="487" w:right="0" w:hanging="370"/>
        <w:jc w:val="left"/>
        <w:rPr>
          <w:sz w:val="21"/>
        </w:rPr>
      </w:pPr>
      <w:r>
        <w:rPr>
          <w:spacing w:val="-3"/>
          <w:sz w:val="21"/>
        </w:rPr>
        <w:t>心</w:t>
      </w:r>
      <w:r>
        <w:rPr>
          <w:sz w:val="21"/>
        </w:rPr>
        <w:t>脏</w:t>
      </w:r>
      <w:r>
        <w:rPr>
          <w:spacing w:val="-3"/>
          <w:sz w:val="21"/>
        </w:rPr>
        <w:t>瓣</w:t>
      </w:r>
      <w:r>
        <w:rPr>
          <w:sz w:val="21"/>
        </w:rPr>
        <w:t>膜</w:t>
      </w:r>
      <w:r>
        <w:rPr>
          <w:spacing w:val="-3"/>
          <w:sz w:val="21"/>
        </w:rPr>
        <w:t>手</w:t>
      </w:r>
      <w:r>
        <w:rPr>
          <w:sz w:val="21"/>
        </w:rPr>
        <w:t>术</w:t>
        <w:tab/>
      </w:r>
      <w:r>
        <w:rPr>
          <w:spacing w:val="-34"/>
          <w:position w:val="1"/>
          <w:sz w:val="21"/>
        </w:rPr>
        <w:t>：</w:t>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13"/>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w:t>
      </w:r>
      <w:r>
        <w:rPr>
          <w:sz w:val="21"/>
        </w:rPr>
        <w:t>手术</w:t>
      </w:r>
    </w:p>
    <w:p>
      <w:pPr>
        <w:pStyle w:val="ListParagraph"/>
        <w:numPr>
          <w:ilvl w:val="0"/>
          <w:numId w:val="5"/>
        </w:numPr>
        <w:tabs>
          <w:tab w:pos="488" w:val="left" w:leader="none"/>
        </w:tabs>
        <w:spacing w:line="261" w:lineRule="auto" w:before="27" w:after="0"/>
        <w:ind w:left="3003" w:right="108" w:hanging="2886"/>
        <w:jc w:val="both"/>
        <w:rPr>
          <w:sz w:val="21"/>
        </w:rPr>
      </w:pPr>
      <w:r>
        <w:rPr>
          <w:spacing w:val="-1"/>
          <w:sz w:val="21"/>
        </w:rPr>
        <w:t>严重阿尔茨海默病      </w:t>
      </w:r>
      <w:r>
        <w:rPr>
          <w:spacing w:val="-34"/>
          <w:position w:val="1"/>
          <w:sz w:val="21"/>
        </w:rPr>
        <w:t>：</w:t>
      </w:r>
      <w:r>
        <w:rPr>
          <w:sz w:val="21"/>
        </w:rPr>
        <w:t>指因大脑进行性、不可逆性改变导致智能严重衰退或丧失，临床表现为明显的认知能力障碍、行为异常和社交能力减退，其日常生活必须持续受到他人</w:t>
      </w:r>
      <w:r>
        <w:rPr>
          <w:spacing w:val="-5"/>
          <w:w w:val="100"/>
          <w:sz w:val="21"/>
        </w:rPr>
        <w:t>监护。须由头颅断层扫描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5"/>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3"/>
          <w:w w:val="100"/>
          <w:sz w:val="21"/>
        </w:rPr>
        <w:t>或正电子发射断层扫</w:t>
      </w:r>
      <w:r>
        <w:rPr>
          <w:spacing w:val="-17"/>
          <w:sz w:val="21"/>
        </w:rPr>
        <w:t>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等影像学检查证实，且自主生活能力完全丧失，无法独立完成六项</w:t>
      </w:r>
      <w:r>
        <w:rPr>
          <w:spacing w:val="-4"/>
          <w:sz w:val="21"/>
        </w:rPr>
        <w:t>基本日常生活活动中的三项或三项以上。</w:t>
      </w:r>
    </w:p>
    <w:p>
      <w:pPr>
        <w:spacing w:before="17"/>
        <w:ind w:left="3003" w:right="0" w:firstLine="0"/>
        <w:jc w:val="left"/>
        <w:rPr>
          <w:b/>
          <w:sz w:val="21"/>
        </w:rPr>
      </w:pPr>
      <w:r>
        <w:rPr>
          <w:b/>
          <w:sz w:val="21"/>
        </w:rPr>
        <w:t>神经官能症和精神疾病不在保障范围内。</w:t>
      </w:r>
    </w:p>
    <w:p>
      <w:pPr>
        <w:pStyle w:val="ListParagraph"/>
        <w:numPr>
          <w:ilvl w:val="0"/>
          <w:numId w:val="5"/>
        </w:numPr>
        <w:tabs>
          <w:tab w:pos="488" w:val="left" w:leader="none"/>
          <w:tab w:pos="2825" w:val="left" w:leader="none"/>
        </w:tabs>
        <w:spacing w:line="240" w:lineRule="auto" w:before="26" w:after="0"/>
        <w:ind w:left="487" w:right="0" w:hanging="370"/>
        <w:jc w:val="left"/>
        <w:rPr>
          <w:sz w:val="21"/>
        </w:rPr>
      </w:pPr>
      <w:r>
        <w:rPr>
          <w:spacing w:val="-3"/>
          <w:sz w:val="21"/>
        </w:rPr>
        <w:t>严</w:t>
      </w:r>
      <w:r>
        <w:rPr>
          <w:sz w:val="21"/>
        </w:rPr>
        <w:t>重</w:t>
      </w:r>
      <w:r>
        <w:rPr>
          <w:spacing w:val="-3"/>
          <w:sz w:val="21"/>
        </w:rPr>
        <w:t>脑</w:t>
      </w:r>
      <w:r>
        <w:rPr>
          <w:sz w:val="21"/>
        </w:rPr>
        <w:t>损伤</w:t>
        <w:tab/>
      </w:r>
      <w:r>
        <w:rPr>
          <w:spacing w:val="-34"/>
          <w:position w:val="1"/>
          <w:sz w:val="21"/>
        </w:rPr>
        <w:t>：</w:t>
      </w:r>
      <w:r>
        <w:rPr>
          <w:sz w:val="21"/>
        </w:rPr>
        <w:t>指因头部遭受机械性外力，引起脑重要部位</w:t>
      </w:r>
      <w:r>
        <w:rPr>
          <w:spacing w:val="5"/>
          <w:sz w:val="21"/>
        </w:rPr>
        <w:t>损</w:t>
      </w:r>
      <w:r>
        <w:rPr>
          <w:sz w:val="21"/>
        </w:rPr>
        <w:t>伤，导致神经系统永久性的功</w:t>
      </w:r>
    </w:p>
    <w:p>
      <w:pPr>
        <w:pStyle w:val="BodyText"/>
        <w:spacing w:before="2"/>
        <w:rPr>
          <w:sz w:val="14"/>
        </w:rPr>
      </w:pPr>
      <w:r>
        <w:rPr/>
        <w:pict>
          <v:line style="position:absolute;mso-position-horizontal-relative:page;mso-position-vertical-relative:paragraph;z-index:1264;mso-wrap-distance-left:0;mso-wrap-distance-right:0" from="53.880001pt,11.497118pt" to="197.930001pt,11.497118pt" stroked="true" strokeweight=".47998pt" strokecolor="#000000">
            <v:stroke dashstyle="solid"/>
            <w10:wrap type="topAndBottom"/>
          </v:line>
        </w:pict>
      </w:r>
    </w:p>
    <w:p>
      <w:pPr>
        <w:pStyle w:val="BodyText"/>
        <w:spacing w:line="223" w:lineRule="auto" w:before="55"/>
        <w:ind w:left="117" w:right="162"/>
        <w:rPr>
          <w:rFonts w:ascii="楷体" w:eastAsia="楷体" w:hint="eastAsia"/>
        </w:rPr>
      </w:pPr>
      <w:r>
        <w:rPr>
          <w:rFonts w:ascii="Times New Roman" w:eastAsia="Times New Roman"/>
          <w:position w:val="10"/>
          <w:sz w:val="14"/>
        </w:rPr>
        <w:t>23</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footerReference w:type="default" r:id="rId9"/>
          <w:pgSz w:w="11910" w:h="16160"/>
          <w:pgMar w:footer="708" w:header="0" w:top="1360" w:bottom="900" w:left="960" w:right="800"/>
          <w:pgNumType w:start="9"/>
        </w:sectPr>
      </w:pPr>
    </w:p>
    <w:p>
      <w:pPr>
        <w:pStyle w:val="BodyText"/>
        <w:spacing w:line="256" w:lineRule="auto" w:before="27"/>
        <w:ind w:left="3003" w:right="110"/>
        <w:jc w:val="both"/>
      </w:pPr>
      <w:r>
        <w:rPr>
          <w:spacing w:val="-5"/>
          <w:w w:val="100"/>
        </w:rPr>
        <w:t>能障碍。须由头颅断层扫描</w:t>
      </w:r>
      <w:r>
        <w:rPr>
          <w:spacing w:val="-1"/>
          <w:w w:val="100"/>
        </w:rPr>
        <w:t>（</w:t>
      </w:r>
      <w:r>
        <w:rPr>
          <w:rFonts w:ascii="Times New Roman" w:eastAsia="Times New Roman"/>
          <w:spacing w:val="-2"/>
          <w:w w:val="100"/>
        </w:rPr>
        <w:t>C</w:t>
      </w:r>
      <w:r>
        <w:rPr>
          <w:rFonts w:ascii="Times New Roman" w:eastAsia="Times New Roman"/>
          <w:w w:val="100"/>
        </w:rPr>
        <w:t>T</w:t>
      </w:r>
      <w:r>
        <w:rPr>
          <w:spacing w:val="-106"/>
          <w:w w:val="100"/>
        </w:rPr>
        <w:t>）</w:t>
      </w:r>
      <w:r>
        <w:rPr>
          <w:spacing w:val="-6"/>
          <w:w w:val="100"/>
        </w:rPr>
        <w:t>、核磁共振检查</w:t>
      </w:r>
      <w:r>
        <w:rPr>
          <w:spacing w:val="-3"/>
          <w:w w:val="100"/>
        </w:rPr>
        <w:t>（</w:t>
      </w:r>
      <w:r>
        <w:rPr>
          <w:rFonts w:ascii="Times New Roman" w:eastAsia="Times New Roman"/>
          <w:w w:val="100"/>
        </w:rPr>
        <w:t>MR</w:t>
      </w:r>
      <w:r>
        <w:rPr>
          <w:rFonts w:ascii="Times New Roman" w:eastAsia="Times New Roman"/>
          <w:spacing w:val="-3"/>
          <w:w w:val="100"/>
        </w:rPr>
        <w:t>I</w:t>
      </w:r>
      <w:r>
        <w:rPr>
          <w:spacing w:val="-10"/>
          <w:w w:val="100"/>
        </w:rPr>
        <w:t>）</w:t>
      </w:r>
      <w:r>
        <w:rPr>
          <w:spacing w:val="-3"/>
          <w:w w:val="100"/>
        </w:rPr>
        <w:t>或正电子发射断层</w:t>
      </w:r>
      <w:r>
        <w:rPr>
          <w:spacing w:val="-4"/>
        </w:rPr>
        <w:t>扫描</w:t>
      </w:r>
      <w:r>
        <w:rPr>
          <w:spacing w:val="-3"/>
        </w:rPr>
        <w:t>（</w:t>
      </w:r>
      <w:r>
        <w:rPr>
          <w:rFonts w:ascii="Times New Roman" w:eastAsia="Times New Roman"/>
          <w:spacing w:val="-3"/>
        </w:rPr>
        <w:t>PET</w:t>
      </w:r>
      <w:r>
        <w:rPr>
          <w:spacing w:val="-3"/>
        </w:rPr>
        <w:t>）</w:t>
      </w:r>
      <w:r>
        <w:rPr>
          <w:spacing w:val="-6"/>
        </w:rPr>
        <w:t>等影像学检查证实。神经系统永久性的功能障碍，指脑损伤 </w:t>
      </w:r>
      <w:r>
        <w:rPr>
          <w:rFonts w:ascii="Times New Roman" w:eastAsia="Times New Roman"/>
        </w:rPr>
        <w:t>180 </w:t>
      </w:r>
      <w:r>
        <w:rPr>
          <w:spacing w:val="-3"/>
        </w:rPr>
        <w:t>天后，仍遗留下列一种或一种以上障碍：</w:t>
      </w:r>
    </w:p>
    <w:p>
      <w:pPr>
        <w:pStyle w:val="BodyText"/>
        <w:spacing w:before="22"/>
        <w:ind w:left="3003"/>
      </w:pPr>
      <w:r>
        <w:rPr/>
        <w:t>（</w:t>
      </w:r>
      <w:r>
        <w:rPr>
          <w:rFonts w:ascii="Times New Roman" w:eastAsia="Times New Roman"/>
        </w:rPr>
        <w:t>1</w:t>
      </w:r>
      <w:r>
        <w:rPr/>
        <w:t>）一肢或一肢以上肢体机能完全丧失；</w:t>
      </w:r>
    </w:p>
    <w:p>
      <w:pPr>
        <w:pStyle w:val="BodyText"/>
        <w:spacing w:before="21"/>
        <w:ind w:left="3003"/>
      </w:pPr>
      <w:r>
        <w:rPr/>
        <w:t>（</w:t>
      </w:r>
      <w:r>
        <w:rPr>
          <w:rFonts w:ascii="Times New Roman" w:eastAsia="Times New Roman"/>
        </w:rPr>
        <w:t>2</w:t>
      </w:r>
      <w:r>
        <w:rPr/>
        <w:t>）语言能力或咀嚼吞咽能力完全丧失；</w:t>
      </w:r>
    </w:p>
    <w:p>
      <w:pPr>
        <w:pStyle w:val="BodyText"/>
        <w:spacing w:line="256" w:lineRule="auto" w:before="21"/>
        <w:ind w:left="3003"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5"/>
        </w:numPr>
        <w:tabs>
          <w:tab w:pos="488" w:val="left" w:leader="none"/>
        </w:tabs>
        <w:spacing w:line="256" w:lineRule="auto" w:before="12" w:after="0"/>
        <w:ind w:left="3003" w:right="120" w:hanging="2886"/>
        <w:jc w:val="both"/>
        <w:rPr>
          <w:sz w:val="21"/>
        </w:rPr>
      </w:pPr>
      <w:r>
        <w:rPr>
          <w:spacing w:val="-1"/>
          <w:sz w:val="21"/>
        </w:rPr>
        <w:t>严重帕金森病          </w:t>
      </w:r>
      <w:r>
        <w:rPr>
          <w:spacing w:val="-34"/>
          <w:position w:val="1"/>
          <w:sz w:val="21"/>
        </w:rPr>
        <w:t>：</w:t>
      </w:r>
      <w:r>
        <w:rPr>
          <w:sz w:val="21"/>
        </w:rPr>
        <w:t>是一种中枢神经系统的退行性疾病，临床表现为震颤麻痹、共济失调等。须</w:t>
      </w:r>
      <w:r>
        <w:rPr>
          <w:spacing w:val="-3"/>
          <w:sz w:val="21"/>
        </w:rPr>
        <w:t>满足下列全部条件：</w:t>
      </w:r>
    </w:p>
    <w:p>
      <w:pPr>
        <w:pStyle w:val="BodyText"/>
        <w:spacing w:before="22"/>
        <w:ind w:left="3003"/>
      </w:pPr>
      <w:r>
        <w:rPr/>
        <w:t>（</w:t>
      </w:r>
      <w:r>
        <w:rPr>
          <w:rFonts w:ascii="Times New Roman" w:eastAsia="Times New Roman"/>
        </w:rPr>
        <w:t>1</w:t>
      </w:r>
      <w:r>
        <w:rPr/>
        <w:t>）药物治疗无法控制病情；</w:t>
      </w:r>
    </w:p>
    <w:p>
      <w:pPr>
        <w:pStyle w:val="BodyText"/>
        <w:spacing w:line="259" w:lineRule="auto" w:before="21"/>
        <w:ind w:left="3003" w:right="110"/>
      </w:pPr>
      <w:r>
        <w:rPr/>
        <w:t>（</w:t>
      </w:r>
      <w:r>
        <w:rPr>
          <w:rFonts w:ascii="Times New Roman" w:eastAsia="Times New Roman"/>
        </w:rPr>
        <w:t>2</w:t>
      </w:r>
      <w:r>
        <w:rPr/>
        <w:t>）自主生活能力完全丧失，无法独立完成六项基本日常生活活动中的三项或三项以上。</w:t>
      </w:r>
    </w:p>
    <w:p>
      <w:pPr>
        <w:spacing w:before="20"/>
        <w:ind w:left="3003" w:right="0" w:firstLine="0"/>
        <w:jc w:val="left"/>
        <w:rPr>
          <w:b/>
          <w:sz w:val="21"/>
        </w:rPr>
      </w:pPr>
      <w:r>
        <w:rPr>
          <w:b/>
          <w:sz w:val="21"/>
        </w:rPr>
        <w:t>继发性帕金森综合征不在保障范围内。</w:t>
      </w:r>
    </w:p>
    <w:p>
      <w:pPr>
        <w:pStyle w:val="ListParagraph"/>
        <w:numPr>
          <w:ilvl w:val="0"/>
          <w:numId w:val="5"/>
        </w:numPr>
        <w:tabs>
          <w:tab w:pos="488" w:val="left" w:leader="none"/>
        </w:tabs>
        <w:spacing w:line="256" w:lineRule="auto" w:before="27" w:after="0"/>
        <w:ind w:left="3003" w:right="215" w:hanging="2886"/>
        <w:jc w:val="both"/>
        <w:rPr>
          <w:sz w:val="21"/>
        </w:rPr>
      </w:pPr>
      <w:r>
        <w:rPr>
          <w:spacing w:val="1"/>
          <w:sz w:val="21"/>
        </w:rPr>
        <w:t>严重Ⅲ度烧伤         </w:t>
      </w:r>
      <w:r>
        <w:rPr>
          <w:spacing w:val="-34"/>
          <w:position w:val="1"/>
          <w:sz w:val="21"/>
        </w:rPr>
        <w:t>：</w:t>
      </w:r>
      <w:r>
        <w:rPr>
          <w:spacing w:val="-14"/>
          <w:sz w:val="21"/>
        </w:rPr>
        <w:t>指烧伤程度为Ⅲ度，且Ⅲ度烧伤的面积达到全身体表面积的 </w:t>
      </w:r>
      <w:r>
        <w:rPr>
          <w:rFonts w:ascii="Times New Roman" w:hAnsi="Times New Roman" w:eastAsia="Times New Roman"/>
          <w:sz w:val="21"/>
        </w:rPr>
        <w:t>20</w:t>
      </w:r>
      <w:r>
        <w:rPr>
          <w:spacing w:val="-19"/>
          <w:sz w:val="21"/>
        </w:rPr>
        <w:t>％或 </w:t>
      </w:r>
      <w:r>
        <w:rPr>
          <w:rFonts w:ascii="Times New Roman" w:hAnsi="Times New Roman" w:eastAsia="Times New Roman"/>
          <w:sz w:val="21"/>
        </w:rPr>
        <w:t>20</w:t>
      </w:r>
      <w:r>
        <w:rPr>
          <w:spacing w:val="-2"/>
          <w:sz w:val="21"/>
        </w:rPr>
        <w:t>％以上</w:t>
      </w:r>
      <w:r>
        <w:rPr>
          <w:spacing w:val="-3"/>
          <w:sz w:val="21"/>
        </w:rPr>
        <w:t>体表面积根据《中国新九分法》计算。</w:t>
      </w:r>
    </w:p>
    <w:p>
      <w:pPr>
        <w:pStyle w:val="ListParagraph"/>
        <w:numPr>
          <w:ilvl w:val="0"/>
          <w:numId w:val="5"/>
        </w:numPr>
        <w:tabs>
          <w:tab w:pos="488" w:val="left" w:leader="none"/>
        </w:tabs>
        <w:spacing w:line="264" w:lineRule="auto" w:before="12" w:after="0"/>
        <w:ind w:left="3003" w:right="120" w:hanging="2886"/>
        <w:jc w:val="both"/>
        <w:rPr>
          <w:sz w:val="21"/>
        </w:rPr>
      </w:pPr>
      <w:r>
        <w:rPr>
          <w:spacing w:val="-2"/>
          <w:sz w:val="21"/>
        </w:rPr>
        <w:t>严重原发性肺动脉高压  </w:t>
      </w:r>
      <w:r>
        <w:rPr>
          <w:spacing w:val="-34"/>
          <w:position w:val="1"/>
          <w:sz w:val="21"/>
        </w:rPr>
        <w:t>：</w:t>
      </w:r>
      <w:r>
        <w:rPr>
          <w:sz w:val="21"/>
        </w:rPr>
        <w:t>指不明原因的肺动脉压力持续性增高，进行性发展而导致的慢性疾病，已经造成永久不可逆性的体力活动能力受限，达到美国纽约心脏病学会心功能状</w:t>
      </w:r>
      <w:r>
        <w:rPr>
          <w:spacing w:val="-14"/>
          <w:sz w:val="21"/>
        </w:rPr>
        <w:t>态分级 </w:t>
      </w:r>
      <w:r>
        <w:rPr>
          <w:rFonts w:ascii="Times New Roman" w:eastAsia="Times New Roman"/>
          <w:sz w:val="21"/>
        </w:rPr>
        <w:t>IV</w:t>
      </w:r>
      <w:r>
        <w:rPr>
          <w:rFonts w:ascii="Times New Roman" w:eastAsia="Times New Roman"/>
          <w:spacing w:val="2"/>
          <w:sz w:val="21"/>
        </w:rPr>
        <w:t>  </w:t>
      </w:r>
      <w:r>
        <w:rPr>
          <w:spacing w:val="-6"/>
          <w:sz w:val="21"/>
        </w:rPr>
        <w:t>级，且静息状态下肺动脉平均压超过 </w:t>
      </w:r>
      <w:r>
        <w:rPr>
          <w:rFonts w:ascii="Times New Roman" w:eastAsia="Times New Roman"/>
          <w:spacing w:val="-2"/>
          <w:sz w:val="21"/>
        </w:rPr>
        <w:t>30mmHg</w:t>
      </w:r>
      <w:r>
        <w:rPr>
          <w:sz w:val="21"/>
        </w:rPr>
        <w:t>。</w:t>
      </w:r>
    </w:p>
    <w:p>
      <w:pPr>
        <w:pStyle w:val="ListParagraph"/>
        <w:numPr>
          <w:ilvl w:val="0"/>
          <w:numId w:val="5"/>
        </w:numPr>
        <w:tabs>
          <w:tab w:pos="488" w:val="left" w:leader="none"/>
          <w:tab w:pos="2825" w:val="left" w:leader="none"/>
        </w:tabs>
        <w:spacing w:line="266" w:lineRule="auto" w:before="0" w:after="0"/>
        <w:ind w:left="3003" w:right="120" w:hanging="2886"/>
        <w:jc w:val="left"/>
        <w:rPr>
          <w:sz w:val="21"/>
        </w:rPr>
      </w:pPr>
      <w:r>
        <w:rPr>
          <w:spacing w:val="-3"/>
          <w:sz w:val="21"/>
        </w:rPr>
        <w:t>严</w:t>
      </w:r>
      <w:r>
        <w:rPr>
          <w:sz w:val="21"/>
        </w:rPr>
        <w:t>重</w:t>
      </w:r>
      <w:r>
        <w:rPr>
          <w:spacing w:val="-3"/>
          <w:sz w:val="21"/>
        </w:rPr>
        <w:t>运</w:t>
      </w:r>
      <w:r>
        <w:rPr>
          <w:sz w:val="21"/>
        </w:rPr>
        <w:t>动</w:t>
      </w:r>
      <w:r>
        <w:rPr>
          <w:spacing w:val="-3"/>
          <w:sz w:val="21"/>
        </w:rPr>
        <w:t>神</w:t>
      </w:r>
      <w:r>
        <w:rPr>
          <w:sz w:val="21"/>
        </w:rPr>
        <w:t>经</w:t>
      </w:r>
      <w:r>
        <w:rPr>
          <w:spacing w:val="-3"/>
          <w:sz w:val="21"/>
        </w:rPr>
        <w:t>元</w:t>
      </w:r>
      <w:r>
        <w:rPr>
          <w:sz w:val="21"/>
        </w:rPr>
        <w:t>病</w:t>
        <w:tab/>
      </w:r>
      <w:r>
        <w:rPr>
          <w:spacing w:val="-34"/>
          <w:position w:val="1"/>
          <w:sz w:val="21"/>
        </w:rPr>
        <w:t>：</w:t>
      </w:r>
      <w:r>
        <w:rPr>
          <w:sz w:val="21"/>
        </w:rPr>
        <w:t>是一</w:t>
      </w:r>
      <w:r>
        <w:rPr>
          <w:spacing w:val="-3"/>
          <w:sz w:val="21"/>
        </w:rPr>
        <w:t>组</w:t>
      </w:r>
      <w:r>
        <w:rPr>
          <w:sz w:val="21"/>
        </w:rPr>
        <w:t>中</w:t>
      </w:r>
      <w:r>
        <w:rPr>
          <w:spacing w:val="-3"/>
          <w:sz w:val="21"/>
        </w:rPr>
        <w:t>枢</w:t>
      </w:r>
      <w:r>
        <w:rPr>
          <w:sz w:val="21"/>
        </w:rPr>
        <w:t>神</w:t>
      </w:r>
      <w:r>
        <w:rPr>
          <w:spacing w:val="-3"/>
          <w:sz w:val="21"/>
        </w:rPr>
        <w:t>经</w:t>
      </w:r>
      <w:r>
        <w:rPr>
          <w:sz w:val="21"/>
        </w:rPr>
        <w:t>系</w:t>
      </w:r>
      <w:r>
        <w:rPr>
          <w:spacing w:val="-3"/>
          <w:sz w:val="21"/>
        </w:rPr>
        <w:t>统</w:t>
      </w:r>
      <w:r>
        <w:rPr>
          <w:sz w:val="21"/>
        </w:rPr>
        <w:t>运</w:t>
      </w:r>
      <w:r>
        <w:rPr>
          <w:spacing w:val="-3"/>
          <w:sz w:val="21"/>
        </w:rPr>
        <w:t>动</w:t>
      </w:r>
      <w:r>
        <w:rPr>
          <w:sz w:val="21"/>
        </w:rPr>
        <w:t>神经</w:t>
      </w:r>
      <w:r>
        <w:rPr>
          <w:spacing w:val="-3"/>
          <w:sz w:val="21"/>
        </w:rPr>
        <w:t>元</w:t>
      </w:r>
      <w:r>
        <w:rPr>
          <w:sz w:val="21"/>
        </w:rPr>
        <w:t>的</w:t>
      </w:r>
      <w:r>
        <w:rPr>
          <w:spacing w:val="-3"/>
          <w:sz w:val="21"/>
        </w:rPr>
        <w:t>进</w:t>
      </w:r>
      <w:r>
        <w:rPr>
          <w:sz w:val="21"/>
        </w:rPr>
        <w:t>行</w:t>
      </w:r>
      <w:r>
        <w:rPr>
          <w:spacing w:val="-3"/>
          <w:sz w:val="21"/>
        </w:rPr>
        <w:t>性</w:t>
      </w:r>
      <w:r>
        <w:rPr>
          <w:sz w:val="21"/>
        </w:rPr>
        <w:t>变</w:t>
      </w:r>
      <w:r>
        <w:rPr>
          <w:spacing w:val="-3"/>
          <w:sz w:val="21"/>
        </w:rPr>
        <w:t>性</w:t>
      </w:r>
      <w:r>
        <w:rPr>
          <w:sz w:val="21"/>
        </w:rPr>
        <w:t>疾</w:t>
      </w:r>
      <w:r>
        <w:rPr>
          <w:spacing w:val="-3"/>
          <w:sz w:val="21"/>
        </w:rPr>
        <w:t>病</w:t>
      </w:r>
      <w:r>
        <w:rPr>
          <w:spacing w:val="-10"/>
          <w:sz w:val="21"/>
        </w:rPr>
        <w:t>，</w:t>
      </w:r>
      <w:r>
        <w:rPr>
          <w:sz w:val="21"/>
        </w:rPr>
        <w:t>包</w:t>
      </w:r>
      <w:r>
        <w:rPr>
          <w:spacing w:val="-3"/>
          <w:sz w:val="21"/>
        </w:rPr>
        <w:t>括</w:t>
      </w:r>
      <w:r>
        <w:rPr>
          <w:sz w:val="21"/>
        </w:rPr>
        <w:t>进</w:t>
      </w:r>
      <w:r>
        <w:rPr>
          <w:spacing w:val="-3"/>
          <w:sz w:val="21"/>
        </w:rPr>
        <w:t>行</w:t>
      </w:r>
      <w:r>
        <w:rPr>
          <w:sz w:val="21"/>
        </w:rPr>
        <w:t>性</w:t>
      </w:r>
      <w:r>
        <w:rPr>
          <w:spacing w:val="-3"/>
          <w:sz w:val="21"/>
        </w:rPr>
        <w:t>脊</w:t>
      </w:r>
      <w:r>
        <w:rPr>
          <w:sz w:val="21"/>
        </w:rPr>
        <w:t>肌</w:t>
      </w:r>
      <w:r>
        <w:rPr>
          <w:spacing w:val="-3"/>
          <w:sz w:val="21"/>
        </w:rPr>
        <w:t>萎</w:t>
      </w:r>
      <w:r>
        <w:rPr>
          <w:sz w:val="21"/>
        </w:rPr>
        <w:t>缩症 进行性延髓麻痹症、原发性侧索硬化症、肌萎缩性侧索硬化症。须满足自主生活能力完全丧失，无法独立完成六项基本日常生活活动中的三项或三项以上的</w:t>
      </w:r>
      <w:r>
        <w:rPr>
          <w:spacing w:val="-3"/>
          <w:sz w:val="21"/>
        </w:rPr>
        <w:t>条</w:t>
      </w:r>
      <w:r>
        <w:rPr>
          <w:sz w:val="21"/>
        </w:rPr>
        <w:t>件。</w:t>
      </w:r>
    </w:p>
    <w:p>
      <w:pPr>
        <w:pStyle w:val="ListParagraph"/>
        <w:numPr>
          <w:ilvl w:val="0"/>
          <w:numId w:val="5"/>
        </w:numPr>
        <w:tabs>
          <w:tab w:pos="488" w:val="left" w:leader="none"/>
        </w:tabs>
        <w:spacing w:line="256" w:lineRule="auto" w:before="17" w:after="0"/>
        <w:ind w:left="3003" w:right="109" w:hanging="2886"/>
        <w:jc w:val="both"/>
        <w:rPr>
          <w:sz w:val="21"/>
        </w:rPr>
      </w:pPr>
      <w:r>
        <w:rPr>
          <w:spacing w:val="6"/>
          <w:sz w:val="21"/>
        </w:rPr>
        <w:t>语言能力丧失 </w:t>
      </w:r>
      <w:r>
        <w:rPr>
          <w:spacing w:val="-34"/>
          <w:position w:val="1"/>
          <w:sz w:val="21"/>
        </w:rPr>
        <w:t>：</w:t>
      </w:r>
      <w:r>
        <w:rPr>
          <w:spacing w:val="-6"/>
          <w:sz w:val="21"/>
        </w:rPr>
        <w:t>指因疾病或意外伤害导致完全丧失语言能力，经过积极治疗至少 </w:t>
      </w:r>
      <w:r>
        <w:rPr>
          <w:rFonts w:ascii="Times New Roman" w:eastAsia="Times New Roman"/>
          <w:sz w:val="21"/>
        </w:rPr>
        <w:t>12</w:t>
      </w:r>
      <w:r>
        <w:rPr>
          <w:rFonts w:ascii="Times New Roman" w:eastAsia="Times New Roman"/>
          <w:spacing w:val="0"/>
          <w:sz w:val="21"/>
        </w:rPr>
        <w:t> </w:t>
      </w:r>
      <w:r>
        <w:rPr>
          <w:spacing w:val="-4"/>
          <w:sz w:val="21"/>
        </w:rPr>
        <w:t>个月</w:t>
      </w:r>
      <w:r>
        <w:rPr>
          <w:spacing w:val="-3"/>
          <w:sz w:val="21"/>
        </w:rPr>
        <w:t>（</w:t>
      </w:r>
      <w:r>
        <w:rPr>
          <w:sz w:val="21"/>
        </w:rPr>
        <w:t>声</w:t>
      </w:r>
      <w:r>
        <w:rPr>
          <w:spacing w:val="-1"/>
          <w:w w:val="100"/>
          <w:sz w:val="21"/>
        </w:rPr>
        <w:t>带完全切</w:t>
      </w:r>
      <w:r>
        <w:rPr>
          <w:spacing w:val="-3"/>
          <w:w w:val="100"/>
          <w:sz w:val="21"/>
        </w:rPr>
        <w:t>除不受此时间限制</w:t>
      </w:r>
      <w:r>
        <w:rPr>
          <w:spacing w:val="-106"/>
          <w:w w:val="100"/>
          <w:sz w:val="21"/>
        </w:rPr>
        <w:t>）</w:t>
      </w:r>
      <w:r>
        <w:rPr>
          <w:spacing w:val="-3"/>
          <w:w w:val="100"/>
          <w:sz w:val="21"/>
        </w:rPr>
        <w:t>，仍无法通过现有医疗手段恢复。</w:t>
      </w:r>
    </w:p>
    <w:p>
      <w:pPr>
        <w:spacing w:before="22"/>
        <w:ind w:left="3003" w:right="0" w:firstLine="0"/>
        <w:jc w:val="left"/>
        <w:rPr>
          <w:b/>
          <w:sz w:val="21"/>
        </w:rPr>
      </w:pPr>
      <w:r>
        <w:rPr>
          <w:b/>
          <w:sz w:val="21"/>
        </w:rPr>
        <w:t>精神心理因素所致的语言能力丧失不在保障范围内。</w:t>
      </w:r>
    </w:p>
    <w:p>
      <w:pPr>
        <w:spacing w:line="273" w:lineRule="auto" w:before="36"/>
        <w:ind w:left="3003" w:right="112" w:firstLine="0"/>
        <w:jc w:val="left"/>
        <w:rPr>
          <w:sz w:val="21"/>
        </w:rPr>
      </w:pPr>
      <w:r>
        <w:rPr>
          <w:b/>
          <w:sz w:val="21"/>
        </w:rPr>
        <w:t>被保险人申请理赔时年龄必须在三周岁以上，</w:t>
      </w:r>
      <w:r>
        <w:rPr>
          <w:sz w:val="21"/>
        </w:rPr>
        <w:t>并且提供理赔当时的语言能力丧失诊断及检查证据。</w:t>
      </w:r>
    </w:p>
    <w:p>
      <w:pPr>
        <w:pStyle w:val="ListParagraph"/>
        <w:numPr>
          <w:ilvl w:val="0"/>
          <w:numId w:val="5"/>
        </w:numPr>
        <w:tabs>
          <w:tab w:pos="488" w:val="left" w:leader="none"/>
        </w:tabs>
        <w:spacing w:line="256" w:lineRule="auto" w:before="0" w:after="0"/>
        <w:ind w:left="3003" w:right="120" w:hanging="2886"/>
        <w:jc w:val="both"/>
        <w:rPr>
          <w:sz w:val="21"/>
        </w:rPr>
      </w:pPr>
      <w:r>
        <w:rPr>
          <w:spacing w:val="-2"/>
          <w:sz w:val="21"/>
        </w:rPr>
        <w:t>重型再生障碍性贫血    </w:t>
      </w:r>
      <w:r>
        <w:rPr>
          <w:spacing w:val="-34"/>
          <w:position w:val="1"/>
          <w:sz w:val="21"/>
        </w:rPr>
        <w:t>：</w:t>
      </w:r>
      <w:r>
        <w:rPr>
          <w:sz w:val="21"/>
        </w:rPr>
        <w:t>指因骨髓造血功能慢性持续性衰竭导致的贫血、中性粒细胞减少及血小板减</w:t>
      </w:r>
      <w:r>
        <w:rPr>
          <w:spacing w:val="-3"/>
          <w:sz w:val="21"/>
        </w:rPr>
        <w:t>少。须满足下列全部条件：</w:t>
      </w:r>
    </w:p>
    <w:p>
      <w:pPr>
        <w:pStyle w:val="BodyText"/>
        <w:spacing w:before="25"/>
        <w:ind w:left="3003"/>
      </w:pPr>
      <w:r>
        <w:rPr/>
        <w:t>（</w:t>
      </w:r>
      <w:r>
        <w:rPr>
          <w:rFonts w:ascii="Times New Roman" w:eastAsia="Times New Roman"/>
        </w:rPr>
        <w:t>1</w:t>
      </w:r>
      <w:r>
        <w:rPr/>
        <w:t>）骨髓穿刺检查或骨髓活检结果支持诊断；</w:t>
      </w:r>
    </w:p>
    <w:p>
      <w:pPr>
        <w:pStyle w:val="BodyText"/>
        <w:spacing w:before="21"/>
        <w:ind w:left="3003"/>
      </w:pPr>
      <w:r>
        <w:rPr/>
        <w:t>（</w:t>
      </w:r>
      <w:r>
        <w:rPr>
          <w:rFonts w:ascii="Times New Roman" w:eastAsia="Times New Roman"/>
        </w:rPr>
        <w:t>2</w:t>
      </w:r>
      <w:r>
        <w:rPr/>
        <w:t>）外周血象须具备以下三项条件：</w:t>
      </w:r>
    </w:p>
    <w:p>
      <w:pPr>
        <w:pStyle w:val="BodyText"/>
        <w:spacing w:before="21"/>
        <w:ind w:right="30"/>
        <w:jc w:val="center"/>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before="21"/>
        <w:ind w:right="1230"/>
        <w:jc w:val="center"/>
      </w:pPr>
      <w:r>
        <w:rPr/>
        <w:t>② 网织红细胞＜</w:t>
      </w:r>
      <w:r>
        <w:rPr>
          <w:rFonts w:ascii="Times New Roman" w:hAnsi="Times New Roman" w:eastAsia="Times New Roman"/>
        </w:rPr>
        <w:t>1%</w:t>
      </w:r>
      <w:r>
        <w:rPr/>
        <w:t>；</w:t>
      </w:r>
    </w:p>
    <w:p>
      <w:pPr>
        <w:pStyle w:val="BodyText"/>
        <w:spacing w:before="22"/>
        <w:ind w:right="604"/>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ListParagraph"/>
        <w:numPr>
          <w:ilvl w:val="0"/>
          <w:numId w:val="5"/>
        </w:numPr>
        <w:tabs>
          <w:tab w:pos="488" w:val="left" w:leader="none"/>
          <w:tab w:pos="2825" w:val="left" w:leader="none"/>
        </w:tabs>
        <w:spacing w:line="264" w:lineRule="auto" w:before="11" w:after="0"/>
        <w:ind w:left="3003" w:right="120" w:hanging="2886"/>
        <w:jc w:val="both"/>
        <w:rPr>
          <w:sz w:val="21"/>
        </w:rPr>
      </w:pPr>
      <w:r>
        <w:rPr>
          <w:spacing w:val="-3"/>
          <w:sz w:val="21"/>
        </w:rPr>
        <w:t>主</w:t>
      </w:r>
      <w:r>
        <w:rPr>
          <w:sz w:val="21"/>
        </w:rPr>
        <w:t>动</w:t>
      </w:r>
      <w:r>
        <w:rPr>
          <w:spacing w:val="-3"/>
          <w:sz w:val="21"/>
        </w:rPr>
        <w:t>脉</w:t>
      </w:r>
      <w:r>
        <w:rPr>
          <w:sz w:val="21"/>
        </w:rPr>
        <w:t>手术</w:t>
        <w:tab/>
      </w:r>
      <w:r>
        <w:rPr>
          <w:spacing w:val="-34"/>
          <w:position w:val="1"/>
          <w:sz w:val="21"/>
        </w:rPr>
        <w:t>：</w:t>
      </w:r>
      <w:r>
        <w:rPr>
          <w:sz w:val="21"/>
        </w:rPr>
        <w:t>指为治疗主动脉疾病，实际实施了开胸或开腹进行的切除、置换、修补病损 主动脉血管的手术。主动脉指胸主动脉和腹主动脉，不包括胸主动脉和腹主动脉</w:t>
      </w:r>
      <w:r>
        <w:rPr>
          <w:spacing w:val="-3"/>
          <w:sz w:val="21"/>
        </w:rPr>
        <w:t>的</w:t>
      </w:r>
      <w:r>
        <w:rPr>
          <w:sz w:val="21"/>
        </w:rPr>
        <w:t>分</w:t>
      </w:r>
      <w:r>
        <w:rPr>
          <w:spacing w:val="-3"/>
          <w:sz w:val="21"/>
        </w:rPr>
        <w:t>支</w:t>
      </w:r>
      <w:r>
        <w:rPr>
          <w:sz w:val="21"/>
        </w:rPr>
        <w:t>血</w:t>
      </w:r>
      <w:r>
        <w:rPr>
          <w:spacing w:val="-3"/>
          <w:sz w:val="21"/>
        </w:rPr>
        <w:t>管</w:t>
      </w:r>
      <w:r>
        <w:rPr>
          <w:sz w:val="21"/>
        </w:rPr>
        <w:t>。</w:t>
      </w:r>
    </w:p>
    <w:p>
      <w:pPr>
        <w:spacing w:before="15"/>
        <w:ind w:left="3003" w:right="0" w:firstLine="0"/>
        <w:jc w:val="left"/>
        <w:rPr>
          <w:b/>
          <w:sz w:val="21"/>
        </w:rPr>
      </w:pPr>
      <w:r>
        <w:rPr>
          <w:b/>
          <w:sz w:val="21"/>
        </w:rPr>
        <w:t>动脉内血管成形术不在保障范围内。</w:t>
      </w:r>
    </w:p>
    <w:p>
      <w:pPr>
        <w:pStyle w:val="BodyText"/>
        <w:spacing w:before="36"/>
        <w:ind w:left="117"/>
      </w:pPr>
      <w:r>
        <w:rPr/>
        <w:t>（</w:t>
      </w:r>
      <w:r>
        <w:rPr>
          <w:rFonts w:ascii="Times New Roman" w:eastAsia="Times New Roman"/>
        </w:rPr>
        <w:t>26-35 </w:t>
      </w:r>
      <w:r>
        <w:rPr/>
        <w:t>为我们增加的疾病）</w:t>
      </w:r>
    </w:p>
    <w:p>
      <w:pPr>
        <w:pStyle w:val="ListParagraph"/>
        <w:numPr>
          <w:ilvl w:val="0"/>
          <w:numId w:val="5"/>
        </w:numPr>
        <w:tabs>
          <w:tab w:pos="488" w:val="left" w:leader="none"/>
        </w:tabs>
        <w:spacing w:line="261" w:lineRule="auto" w:before="40" w:after="0"/>
        <w:ind w:left="3003" w:right="110" w:hanging="2886"/>
        <w:jc w:val="both"/>
        <w:rPr>
          <w:sz w:val="21"/>
        </w:rPr>
      </w:pPr>
      <w:r>
        <w:rPr>
          <w:spacing w:val="-4"/>
          <w:sz w:val="21"/>
        </w:rPr>
        <w:t>严重多发性硬化        ：多发性硬化为中枢神经系统白质多灶性脱髓鞘病变，病变有时累及灰质。多</w:t>
      </w:r>
      <w:r>
        <w:rPr>
          <w:spacing w:val="-6"/>
          <w:sz w:val="21"/>
        </w:rPr>
        <w:t>发性硬化须由核磁共振</w:t>
      </w:r>
      <w:r>
        <w:rPr>
          <w:spacing w:val="-8"/>
          <w:sz w:val="21"/>
        </w:rPr>
        <w:t>（</w:t>
      </w:r>
      <w:r>
        <w:rPr>
          <w:rFonts w:ascii="Times New Roman" w:eastAsia="Times New Roman"/>
          <w:spacing w:val="-8"/>
          <w:sz w:val="21"/>
        </w:rPr>
        <w:t>MRI</w:t>
      </w:r>
      <w:r>
        <w:rPr>
          <w:spacing w:val="-8"/>
          <w:sz w:val="21"/>
        </w:rPr>
        <w:t>）</w:t>
      </w:r>
      <w:r>
        <w:rPr>
          <w:spacing w:val="-7"/>
          <w:sz w:val="21"/>
        </w:rPr>
        <w:t>等影像学检查证实，经三级医院神经科专科医生明确诊断，并且已经造成永久不可逆的神经系统功能损害。永久不可逆神</w:t>
      </w:r>
      <w:r>
        <w:rPr>
          <w:spacing w:val="-8"/>
          <w:sz w:val="21"/>
        </w:rPr>
        <w:t>经系统功能损害指被保险人持续 </w:t>
      </w:r>
      <w:r>
        <w:rPr>
          <w:rFonts w:ascii="Times New Roman" w:eastAsia="Times New Roman"/>
          <w:sz w:val="21"/>
        </w:rPr>
        <w:t>180</w:t>
      </w:r>
      <w:r>
        <w:rPr>
          <w:rFonts w:ascii="Times New Roman" w:eastAsia="Times New Roman"/>
          <w:spacing w:val="11"/>
          <w:sz w:val="21"/>
        </w:rPr>
        <w:t> </w:t>
      </w:r>
      <w:r>
        <w:rPr>
          <w:spacing w:val="-3"/>
          <w:sz w:val="21"/>
        </w:rPr>
        <w:t>天无法独立完成下列基本日常生活活动</w:t>
      </w:r>
    </w:p>
    <w:p>
      <w:pPr>
        <w:spacing w:after="0" w:line="261" w:lineRule="auto"/>
        <w:jc w:val="both"/>
        <w:rPr>
          <w:sz w:val="21"/>
        </w:rPr>
        <w:sectPr>
          <w:pgSz w:w="11910" w:h="16160"/>
          <w:pgMar w:header="0" w:footer="708" w:top="1340" w:bottom="900" w:left="960" w:right="800"/>
        </w:sectPr>
      </w:pPr>
    </w:p>
    <w:p>
      <w:pPr>
        <w:pStyle w:val="BodyText"/>
        <w:spacing w:before="27"/>
        <w:ind w:left="3005"/>
      </w:pPr>
      <w:r>
        <w:rPr/>
        <w:t>（</w:t>
      </w:r>
      <w:r>
        <w:rPr>
          <w:rFonts w:ascii="Times New Roman" w:eastAsia="Times New Roman"/>
        </w:rPr>
        <w:t>1</w:t>
      </w:r>
      <w:r>
        <w:rPr/>
        <w:t>）移动：自己从一个房间移动到另一个房间；或者</w:t>
      </w:r>
    </w:p>
    <w:p>
      <w:pPr>
        <w:pStyle w:val="BodyText"/>
        <w:spacing w:before="21"/>
        <w:ind w:left="3005"/>
      </w:pPr>
      <w:r>
        <w:rPr/>
        <w:t>（</w:t>
      </w:r>
      <w:r>
        <w:rPr>
          <w:rFonts w:ascii="Times New Roman" w:eastAsia="Times New Roman"/>
        </w:rPr>
        <w:t>2</w:t>
      </w:r>
      <w:r>
        <w:rPr/>
        <w:t>）进食：自己从已准备好的碗或碟中取食物放入口中。</w:t>
      </w:r>
    </w:p>
    <w:p>
      <w:pPr>
        <w:pStyle w:val="ListParagraph"/>
        <w:numPr>
          <w:ilvl w:val="0"/>
          <w:numId w:val="5"/>
        </w:numPr>
        <w:tabs>
          <w:tab w:pos="488" w:val="left" w:leader="none"/>
        </w:tabs>
        <w:spacing w:line="240" w:lineRule="auto" w:before="11" w:after="0"/>
        <w:ind w:left="487" w:right="0" w:hanging="370"/>
        <w:jc w:val="left"/>
        <w:rPr>
          <w:sz w:val="21"/>
        </w:rPr>
      </w:pPr>
      <w:r>
        <w:rPr>
          <w:spacing w:val="0"/>
          <w:sz w:val="21"/>
        </w:rPr>
        <w:t>因职业关系导致的</w:t>
      </w:r>
      <w:r>
        <w:rPr>
          <w:rFonts w:ascii="Times New Roman" w:eastAsia="Times New Roman"/>
          <w:sz w:val="21"/>
        </w:rPr>
        <w:t>HIV</w:t>
      </w:r>
      <w:r>
        <w:rPr>
          <w:rFonts w:ascii="Times New Roman" w:eastAsia="Times New Roman"/>
          <w:spacing w:val="15"/>
          <w:sz w:val="21"/>
        </w:rPr>
        <w:t>  </w:t>
      </w:r>
      <w:r>
        <w:rPr>
          <w:spacing w:val="-3"/>
          <w:sz w:val="21"/>
        </w:rPr>
        <w:t>感</w:t>
      </w:r>
      <w:r>
        <w:rPr>
          <w:spacing w:val="-34"/>
          <w:position w:val="1"/>
          <w:sz w:val="21"/>
        </w:rPr>
        <w:t>：</w:t>
      </w:r>
      <w:r>
        <w:rPr>
          <w:sz w:val="21"/>
        </w:rPr>
        <w:t>被保险人在其常规职业工作过程中遭遇外伤，或者职业需要处理血液或者其</w:t>
      </w:r>
    </w:p>
    <w:p>
      <w:pPr>
        <w:pStyle w:val="BodyText"/>
        <w:tabs>
          <w:tab w:pos="3003" w:val="left" w:leader="none"/>
        </w:tabs>
        <w:spacing w:line="256" w:lineRule="auto" w:before="21"/>
        <w:ind w:left="3003" w:right="3197" w:hanging="2886"/>
      </w:pPr>
      <w:r>
        <w:rPr>
          <w:w w:val="100"/>
        </w:rPr>
        <w:t>染</w:t>
      </w:r>
      <w:r>
        <w:rPr/>
        <w:tab/>
      </w:r>
      <w:r>
        <w:rPr>
          <w:w w:val="100"/>
        </w:rPr>
        <w:t>他体</w:t>
      </w:r>
      <w:r>
        <w:rPr>
          <w:spacing w:val="-3"/>
          <w:w w:val="100"/>
        </w:rPr>
        <w:t>液</w:t>
      </w:r>
      <w:r>
        <w:rPr>
          <w:w w:val="100"/>
        </w:rPr>
        <w:t>时</w:t>
      </w:r>
      <w:r>
        <w:rPr>
          <w:spacing w:val="-3"/>
          <w:w w:val="100"/>
        </w:rPr>
        <w:t>感</w:t>
      </w:r>
      <w:r>
        <w:rPr>
          <w:w w:val="100"/>
        </w:rPr>
        <w:t>染</w:t>
      </w:r>
      <w:r>
        <w:rPr>
          <w:spacing w:val="-3"/>
          <w:w w:val="100"/>
        </w:rPr>
        <w:t>上</w:t>
      </w:r>
      <w:r>
        <w:rPr>
          <w:w w:val="100"/>
        </w:rPr>
        <w:t>人</w:t>
      </w:r>
      <w:r>
        <w:rPr>
          <w:spacing w:val="-3"/>
          <w:w w:val="100"/>
        </w:rPr>
        <w:t>类</w:t>
      </w:r>
      <w:r>
        <w:rPr>
          <w:w w:val="100"/>
        </w:rPr>
        <w:t>免</w:t>
      </w:r>
      <w:r>
        <w:rPr>
          <w:spacing w:val="-3"/>
          <w:w w:val="100"/>
        </w:rPr>
        <w:t>疫</w:t>
      </w:r>
      <w:r>
        <w:rPr>
          <w:w w:val="100"/>
        </w:rPr>
        <w:t>缺陷</w:t>
      </w:r>
      <w:r>
        <w:rPr>
          <w:spacing w:val="-3"/>
          <w:w w:val="100"/>
        </w:rPr>
        <w:t>病</w:t>
      </w:r>
      <w:r>
        <w:rPr>
          <w:w w:val="100"/>
        </w:rPr>
        <w:t>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t>理赔</w:t>
      </w:r>
      <w:r>
        <w:rPr>
          <w:spacing w:val="-3"/>
        </w:rPr>
        <w:t>必</w:t>
      </w:r>
      <w:r>
        <w:rPr/>
        <w:t>须</w:t>
      </w:r>
      <w:r>
        <w:rPr>
          <w:spacing w:val="-3"/>
        </w:rPr>
        <w:t>符</w:t>
      </w:r>
      <w:r>
        <w:rPr/>
        <w:t>合</w:t>
      </w:r>
      <w:r>
        <w:rPr>
          <w:spacing w:val="-3"/>
        </w:rPr>
        <w:t>下</w:t>
      </w:r>
      <w:r>
        <w:rPr/>
        <w:t>列</w:t>
      </w:r>
      <w:r>
        <w:rPr>
          <w:spacing w:val="-3"/>
        </w:rPr>
        <w:t>所</w:t>
      </w:r>
      <w:r>
        <w:rPr/>
        <w:t>有</w:t>
      </w:r>
      <w:r>
        <w:rPr>
          <w:spacing w:val="-3"/>
        </w:rPr>
        <w:t>条</w:t>
      </w:r>
      <w:r>
        <w:rPr/>
        <w:t>件：</w:t>
      </w:r>
    </w:p>
    <w:p>
      <w:pPr>
        <w:pStyle w:val="BodyText"/>
        <w:spacing w:line="256" w:lineRule="auto" w:before="22"/>
        <w:ind w:left="3003" w:right="110"/>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left="3003" w:right="44"/>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5"/>
        <w:ind w:left="3003"/>
        <w:rPr>
          <w:rFonts w:ascii="Times New Roman" w:eastAsia="Times New Roman"/>
        </w:rPr>
      </w:pPr>
      <w:r>
        <w:rPr>
          <w:spacing w:val="-26"/>
        </w:rPr>
        <w:t>（</w:t>
      </w:r>
      <w:r>
        <w:rPr>
          <w:rFonts w:ascii="Times New Roman" w:eastAsia="Times New Roman"/>
          <w:spacing w:val="-26"/>
        </w:rPr>
        <w:t>3</w:t>
      </w:r>
      <w:r>
        <w:rPr>
          <w:spacing w:val="-26"/>
        </w:rPr>
        <w:t>）</w:t>
      </w:r>
      <w:r>
        <w:rPr>
          <w:spacing w:val="-8"/>
        </w:rPr>
        <w:t>必须在事故发生后的 </w:t>
      </w:r>
      <w:r>
        <w:rPr>
          <w:rFonts w:ascii="Times New Roman" w:eastAsia="Times New Roman"/>
        </w:rPr>
        <w:t>6 </w:t>
      </w:r>
      <w:r>
        <w:rPr>
          <w:spacing w:val="-7"/>
        </w:rPr>
        <w:t>个月内证实被保险人体内存在 </w:t>
      </w:r>
      <w:r>
        <w:rPr>
          <w:rFonts w:ascii="Times New Roman" w:eastAsia="Times New Roman"/>
        </w:rPr>
        <w:t>HIV </w:t>
      </w:r>
      <w:r>
        <w:rPr>
          <w:spacing w:val="-12"/>
        </w:rPr>
        <w:t>病毒或者 </w:t>
      </w:r>
      <w:r>
        <w:rPr>
          <w:rFonts w:ascii="Times New Roman" w:eastAsia="Times New Roman"/>
        </w:rPr>
        <w:t>HIV</w:t>
      </w:r>
    </w:p>
    <w:p>
      <w:pPr>
        <w:pStyle w:val="BodyText"/>
        <w:spacing w:line="259" w:lineRule="auto" w:before="21" w:after="15"/>
        <w:ind w:left="3003" w:right="2551"/>
        <w:rPr>
          <w:rFonts w:ascii="Times New Roman" w:eastAsia="Times New Roman"/>
        </w:rPr>
      </w:pPr>
      <w:r>
        <w:rPr>
          <w:spacing w:val="-10"/>
        </w:rPr>
        <w:t>抗体，即血液 </w:t>
      </w:r>
      <w:r>
        <w:rPr>
          <w:rFonts w:ascii="Times New Roman" w:eastAsia="Times New Roman"/>
        </w:rPr>
        <w:t>HIV </w:t>
      </w:r>
      <w:r>
        <w:rPr>
          <w:spacing w:val="-3"/>
        </w:rPr>
        <w:t>病毒阳性和</w:t>
      </w:r>
      <w:r>
        <w:rPr>
          <w:rFonts w:ascii="Times New Roman" w:eastAsia="Times New Roman"/>
        </w:rPr>
        <w:t>/</w:t>
      </w:r>
      <w:r>
        <w:rPr>
          <w:spacing w:val="-26"/>
        </w:rPr>
        <w:t>或 </w:t>
      </w:r>
      <w:r>
        <w:rPr>
          <w:rFonts w:ascii="Times New Roman" w:eastAsia="Times New Roman"/>
        </w:rPr>
        <w:t>HIV </w:t>
      </w:r>
      <w:r>
        <w:rPr>
          <w:spacing w:val="-3"/>
        </w:rPr>
        <w:t>抗体阳性。职业限制如下所示</w:t>
      </w:r>
      <w:r>
        <w:rPr>
          <w:rFonts w:ascii="Times New Roman" w:eastAsia="Times New Roman"/>
        </w:rPr>
        <w:t>:</w:t>
      </w:r>
    </w:p>
    <w:tbl>
      <w:tblPr>
        <w:tblW w:w="0" w:type="auto"/>
        <w:jc w:val="left"/>
        <w:tblInd w:w="3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3236"/>
      </w:tblGrid>
      <w:tr>
        <w:trPr>
          <w:trHeight w:val="311" w:hRule="atLeast"/>
        </w:trPr>
        <w:tc>
          <w:tcPr>
            <w:tcW w:w="3125"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3236" w:type="dxa"/>
            <w:tcBorders>
              <w:left w:val="single" w:sz="6" w:space="0" w:color="000000"/>
              <w:bottom w:val="single" w:sz="6" w:space="0" w:color="000000"/>
            </w:tcBorders>
          </w:tcPr>
          <w:p>
            <w:pPr>
              <w:pStyle w:val="TableParagraph"/>
              <w:spacing w:line="262" w:lineRule="exact"/>
              <w:ind w:left="67"/>
              <w:rPr>
                <w:sz w:val="21"/>
              </w:rPr>
            </w:pPr>
            <w:r>
              <w:rPr>
                <w:sz w:val="21"/>
              </w:rPr>
              <w:t>护士</w:t>
            </w:r>
          </w:p>
        </w:tc>
      </w:tr>
      <w:tr>
        <w:trPr>
          <w:trHeight w:val="313" w:hRule="atLeast"/>
        </w:trPr>
        <w:tc>
          <w:tcPr>
            <w:tcW w:w="3125"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实验室工作人员</w:t>
            </w:r>
          </w:p>
        </w:tc>
        <w:tc>
          <w:tcPr>
            <w:tcW w:w="3236" w:type="dxa"/>
            <w:tcBorders>
              <w:top w:val="single" w:sz="6" w:space="0" w:color="000000"/>
              <w:left w:val="single" w:sz="6" w:space="0" w:color="000000"/>
              <w:bottom w:val="single" w:sz="6" w:space="0" w:color="000000"/>
            </w:tcBorders>
          </w:tcPr>
          <w:p>
            <w:pPr>
              <w:pStyle w:val="TableParagraph"/>
              <w:spacing w:line="264" w:lineRule="exact"/>
              <w:ind w:left="67"/>
              <w:rPr>
                <w:sz w:val="21"/>
              </w:rPr>
            </w:pPr>
            <w:r>
              <w:rPr>
                <w:sz w:val="21"/>
              </w:rPr>
              <w:t>医院护工</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救护车工作人员</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助产士</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消防队员</w:t>
            </w:r>
          </w:p>
        </w:tc>
      </w:tr>
      <w:tr>
        <w:trPr>
          <w:trHeight w:val="313" w:hRule="atLeast"/>
        </w:trPr>
        <w:tc>
          <w:tcPr>
            <w:tcW w:w="3125"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3236" w:type="dxa"/>
            <w:tcBorders>
              <w:top w:val="single" w:sz="6" w:space="0" w:color="000000"/>
              <w:left w:val="single" w:sz="6" w:space="0" w:color="000000"/>
            </w:tcBorders>
          </w:tcPr>
          <w:p>
            <w:pPr>
              <w:pStyle w:val="TableParagraph"/>
              <w:spacing w:line="262" w:lineRule="exact"/>
              <w:ind w:left="67"/>
              <w:rPr>
                <w:sz w:val="21"/>
              </w:rPr>
            </w:pPr>
            <w:r>
              <w:rPr>
                <w:sz w:val="21"/>
              </w:rPr>
              <w:t>狱警</w:t>
            </w:r>
          </w:p>
        </w:tc>
      </w:tr>
    </w:tbl>
    <w:p>
      <w:pPr>
        <w:pStyle w:val="BodyText"/>
        <w:spacing w:line="273" w:lineRule="auto"/>
        <w:ind w:left="3003" w:right="112"/>
      </w:pPr>
      <w:r>
        <w:rPr/>
        <w:t>本附加合同第八条责任免除中“被保险人感染艾滋病病毒或患艾滋病”不适用于本项疾病。</w:t>
      </w:r>
    </w:p>
    <w:p>
      <w:pPr>
        <w:pStyle w:val="ListParagraph"/>
        <w:numPr>
          <w:ilvl w:val="0"/>
          <w:numId w:val="5"/>
        </w:numPr>
        <w:tabs>
          <w:tab w:pos="488" w:val="left" w:leader="none"/>
          <w:tab w:pos="2825" w:val="left" w:leader="none"/>
        </w:tabs>
        <w:spacing w:line="256" w:lineRule="auto" w:before="10" w:after="0"/>
        <w:ind w:left="3003" w:right="120" w:hanging="2886"/>
        <w:jc w:val="left"/>
        <w:rPr>
          <w:sz w:val="21"/>
        </w:rPr>
      </w:pPr>
      <w:r>
        <w:rPr>
          <w:spacing w:val="-3"/>
          <w:sz w:val="21"/>
        </w:rPr>
        <w:t>严</w:t>
      </w:r>
      <w:r>
        <w:rPr>
          <w:sz w:val="21"/>
        </w:rPr>
        <w:t>重</w:t>
      </w:r>
      <w:r>
        <w:rPr>
          <w:spacing w:val="-3"/>
          <w:sz w:val="21"/>
        </w:rPr>
        <w:t>慢</w:t>
      </w:r>
      <w:r>
        <w:rPr>
          <w:sz w:val="21"/>
        </w:rPr>
        <w:t>性</w:t>
      </w:r>
      <w:r>
        <w:rPr>
          <w:spacing w:val="-3"/>
          <w:sz w:val="21"/>
        </w:rPr>
        <w:t>呼</w:t>
      </w:r>
      <w:r>
        <w:rPr>
          <w:sz w:val="21"/>
        </w:rPr>
        <w:t>吸</w:t>
      </w:r>
      <w:r>
        <w:rPr>
          <w:spacing w:val="-3"/>
          <w:sz w:val="21"/>
        </w:rPr>
        <w:t>功</w:t>
      </w:r>
      <w:r>
        <w:rPr>
          <w:sz w:val="21"/>
        </w:rPr>
        <w:t>能</w:t>
      </w:r>
      <w:r>
        <w:rPr>
          <w:spacing w:val="-3"/>
          <w:sz w:val="21"/>
        </w:rPr>
        <w:t>衰</w:t>
      </w:r>
      <w:r>
        <w:rPr>
          <w:sz w:val="21"/>
        </w:rPr>
        <w:t>竭</w:t>
        <w:tab/>
      </w:r>
      <w:r>
        <w:rPr>
          <w:spacing w:val="-34"/>
          <w:position w:val="1"/>
          <w:sz w:val="21"/>
        </w:rPr>
        <w:t>：</w:t>
      </w:r>
      <w:r>
        <w:rPr>
          <w:sz w:val="21"/>
        </w:rPr>
        <w:t>慢性肺部疾病导致永久不可逆性的慢性呼吸功能衰竭，必须由呼吸专科医师 确认</w:t>
      </w:r>
      <w:r>
        <w:rPr>
          <w:spacing w:val="-3"/>
          <w:sz w:val="21"/>
        </w:rPr>
        <w:t>并</w:t>
      </w:r>
      <w:r>
        <w:rPr>
          <w:sz w:val="21"/>
        </w:rPr>
        <w:t>符</w:t>
      </w:r>
      <w:r>
        <w:rPr>
          <w:spacing w:val="-3"/>
          <w:sz w:val="21"/>
        </w:rPr>
        <w:t>合</w:t>
      </w:r>
      <w:r>
        <w:rPr>
          <w:sz w:val="21"/>
        </w:rPr>
        <w:t>下</w:t>
      </w:r>
      <w:r>
        <w:rPr>
          <w:spacing w:val="-3"/>
          <w:sz w:val="21"/>
        </w:rPr>
        <w:t>列</w:t>
      </w:r>
      <w:r>
        <w:rPr>
          <w:sz w:val="21"/>
        </w:rPr>
        <w:t>所</w:t>
      </w:r>
      <w:r>
        <w:rPr>
          <w:spacing w:val="-3"/>
          <w:sz w:val="21"/>
        </w:rPr>
        <w:t>有</w:t>
      </w:r>
      <w:r>
        <w:rPr>
          <w:sz w:val="21"/>
        </w:rPr>
        <w:t>条</w:t>
      </w:r>
      <w:r>
        <w:rPr>
          <w:spacing w:val="-3"/>
          <w:sz w:val="21"/>
        </w:rPr>
        <w:t>件</w:t>
      </w:r>
      <w:r>
        <w:rPr>
          <w:sz w:val="21"/>
        </w:rPr>
        <w:t>：</w:t>
      </w:r>
    </w:p>
    <w:p>
      <w:pPr>
        <w:pStyle w:val="BodyText"/>
        <w:spacing w:before="22"/>
        <w:ind w:left="3003"/>
      </w:pPr>
      <w:r>
        <w:rPr/>
        <w:t>（</w:t>
      </w:r>
      <w:r>
        <w:rPr>
          <w:rFonts w:ascii="Times New Roman" w:eastAsia="Times New Roman"/>
        </w:rPr>
        <w:t>1</w:t>
      </w:r>
      <w:r>
        <w:rPr/>
        <w:t>）休息时出现呼吸困难；</w:t>
      </w:r>
    </w:p>
    <w:p>
      <w:pPr>
        <w:pStyle w:val="BodyText"/>
        <w:spacing w:before="21"/>
        <w:ind w:left="3003"/>
      </w:pPr>
      <w:r>
        <w:rPr/>
        <w:t>（</w:t>
      </w:r>
      <w:r>
        <w:rPr>
          <w:rFonts w:ascii="Times New Roman" w:eastAsia="Times New Roman"/>
        </w:rPr>
        <w:t>2</w:t>
      </w:r>
      <w:r>
        <w:rPr/>
        <w:t>）动脉血氧分压 （</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t>  </w:t>
      </w:r>
      <w:r>
        <w:rPr>
          <w:vertAlign w:val="baseline"/>
        </w:rPr>
        <w:t>）</w:t>
      </w:r>
      <w:r>
        <w:rPr>
          <w:rFonts w:ascii="Times New Roman" w:eastAsia="Times New Roman"/>
          <w:vertAlign w:val="baseline"/>
        </w:rPr>
        <w:t>&lt; 50mmHg</w:t>
      </w:r>
      <w:r>
        <w:rPr>
          <w:vertAlign w:val="baseline"/>
        </w:rPr>
        <w:t>；</w:t>
      </w:r>
    </w:p>
    <w:p>
      <w:pPr>
        <w:pStyle w:val="BodyText"/>
        <w:spacing w:before="21"/>
        <w:ind w:left="3003"/>
      </w:pPr>
      <w:r>
        <w:rPr/>
        <w:t>（</w:t>
      </w:r>
      <w:r>
        <w:rPr>
          <w:rFonts w:ascii="Times New Roman" w:eastAsia="Times New Roman"/>
        </w:rPr>
        <w:t>3</w:t>
      </w:r>
      <w:r>
        <w:rPr/>
        <w:t>）</w:t>
      </w:r>
      <w:r>
        <w:rPr>
          <w:spacing w:val="-3"/>
        </w:rPr>
        <w:t>动脉血氧饱和度 </w:t>
      </w:r>
      <w:r>
        <w:rPr/>
        <w:t>（</w:t>
      </w:r>
      <w:r>
        <w:rPr>
          <w:rFonts w:ascii="Times New Roman" w:eastAsia="Times New Roman"/>
        </w:rPr>
        <w:t>SaO</w:t>
      </w:r>
      <w:r>
        <w:rPr>
          <w:rFonts w:ascii="Times New Roman" w:eastAsia="Times New Roman"/>
          <w:vertAlign w:val="subscript"/>
        </w:rPr>
        <w:t>2</w:t>
      </w:r>
      <w:r>
        <w:rPr>
          <w:rFonts w:ascii="Times New Roman" w:eastAsia="Times New Roman"/>
          <w:spacing w:val="50"/>
          <w:vertAlign w:val="baseline"/>
        </w:rPr>
        <w:t> </w:t>
      </w:r>
      <w:r>
        <w:rPr>
          <w:vertAlign w:val="baseline"/>
        </w:rPr>
        <w:t>）</w:t>
      </w:r>
      <w:r>
        <w:rPr>
          <w:rFonts w:ascii="Times New Roman" w:eastAsia="Times New Roman"/>
          <w:spacing w:val="-1"/>
          <w:vertAlign w:val="baseline"/>
        </w:rPr>
        <w:t>&lt; </w:t>
      </w:r>
      <w:r>
        <w:rPr>
          <w:rFonts w:ascii="Times New Roman" w:eastAsia="Times New Roman"/>
          <w:vertAlign w:val="baseline"/>
        </w:rPr>
        <w:t>80</w:t>
      </w:r>
      <w:r>
        <w:rPr>
          <w:vertAlign w:val="baseline"/>
        </w:rPr>
        <w:t>％；</w:t>
      </w:r>
    </w:p>
    <w:p>
      <w:pPr>
        <w:pStyle w:val="BodyText"/>
        <w:spacing w:before="21"/>
        <w:ind w:left="3003"/>
      </w:pPr>
      <w:r>
        <w:rPr/>
        <w:t>（</w:t>
      </w:r>
      <w:r>
        <w:rPr>
          <w:rFonts w:ascii="Times New Roman" w:eastAsia="Times New Roman"/>
        </w:rPr>
        <w:t>4</w:t>
      </w:r>
      <w:r>
        <w:rPr/>
        <w:t>）因缺氧必须接受持续的输氧治疗。</w:t>
      </w:r>
    </w:p>
    <w:p>
      <w:pPr>
        <w:pStyle w:val="ListParagraph"/>
        <w:numPr>
          <w:ilvl w:val="0"/>
          <w:numId w:val="5"/>
        </w:numPr>
        <w:tabs>
          <w:tab w:pos="491" w:val="left" w:leader="none"/>
        </w:tabs>
        <w:spacing w:line="240" w:lineRule="auto" w:before="11" w:after="0"/>
        <w:ind w:left="490" w:right="0" w:hanging="373"/>
        <w:jc w:val="left"/>
        <w:rPr>
          <w:sz w:val="21"/>
        </w:rPr>
      </w:pPr>
      <w:r>
        <w:rPr>
          <w:sz w:val="21"/>
        </w:rPr>
        <w:t>严重冠状动脉粥样硬化性</w:t>
      </w:r>
      <w:r>
        <w:rPr>
          <w:spacing w:val="-34"/>
          <w:position w:val="1"/>
          <w:sz w:val="21"/>
        </w:rPr>
        <w:t>：</w:t>
      </w:r>
      <w:r>
        <w:rPr>
          <w:sz w:val="21"/>
        </w:rPr>
        <w:t>指经心脏科专科医师根据冠状动脉造影检查结果确诊的三支主要血管（左冠</w:t>
      </w:r>
    </w:p>
    <w:p>
      <w:pPr>
        <w:spacing w:after="0" w:line="240" w:lineRule="auto"/>
        <w:jc w:val="left"/>
        <w:rPr>
          <w:sz w:val="21"/>
        </w:rPr>
        <w:sectPr>
          <w:pgSz w:w="11910" w:h="16160"/>
          <w:pgMar w:header="0" w:footer="708" w:top="1340" w:bottom="900" w:left="960" w:right="800"/>
        </w:sectPr>
      </w:pPr>
    </w:p>
    <w:p>
      <w:pPr>
        <w:pStyle w:val="BodyText"/>
        <w:spacing w:before="21"/>
        <w:ind w:left="117"/>
      </w:pPr>
      <w:r>
        <w:rPr/>
        <w:t>心脏病</w:t>
      </w:r>
    </w:p>
    <w:p>
      <w:pPr>
        <w:pStyle w:val="BodyText"/>
        <w:spacing w:line="266" w:lineRule="auto" w:before="21"/>
        <w:ind w:left="117" w:right="108"/>
        <w:jc w:val="both"/>
      </w:pPr>
      <w:r>
        <w:rPr/>
        <w:br w:type="column"/>
      </w:r>
      <w:r>
        <w:rPr/>
        <w:t>状动脉主干和右冠状动脉，或前降支、左旋支和右冠状动脉）严重狭窄性病</w:t>
      </w:r>
      <w:r>
        <w:rPr>
          <w:spacing w:val="-10"/>
        </w:rPr>
        <w:t>变</w:t>
      </w:r>
      <w:r>
        <w:rPr/>
        <w:t>（</w:t>
      </w:r>
      <w:r>
        <w:rPr>
          <w:spacing w:val="-6"/>
        </w:rPr>
        <w:t>至少一支血管管腔直径减少 </w:t>
      </w:r>
      <w:r>
        <w:rPr>
          <w:rFonts w:ascii="Times New Roman" w:eastAsia="Times New Roman"/>
        </w:rPr>
        <w:t>75</w:t>
      </w:r>
      <w:r>
        <w:rPr>
          <w:spacing w:val="-6"/>
        </w:rPr>
        <w:t>％以上和其他两支血管管腔直径减少 </w:t>
      </w:r>
      <w:r>
        <w:rPr>
          <w:rFonts w:ascii="Times New Roman" w:eastAsia="Times New Roman"/>
        </w:rPr>
        <w:t>60</w:t>
      </w:r>
      <w:r>
        <w:rPr/>
        <w:t>％ 以上</w:t>
      </w:r>
      <w:r>
        <w:rPr>
          <w:spacing w:val="-108"/>
        </w:rPr>
        <w:t>）</w:t>
      </w:r>
      <w:r>
        <w:rPr>
          <w:spacing w:val="-4"/>
        </w:rPr>
        <w:t>。前降支、左旋支及右冠状动脉的分支血管的狭窄不作为本保障的衡量指标。</w:t>
      </w:r>
    </w:p>
    <w:p>
      <w:pPr>
        <w:spacing w:after="0" w:line="266" w:lineRule="auto"/>
        <w:jc w:val="both"/>
        <w:sectPr>
          <w:type w:val="continuous"/>
          <w:pgSz w:w="11910" w:h="16160"/>
          <w:pgMar w:top="580" w:bottom="280" w:left="960" w:right="800"/>
          <w:cols w:num="2" w:equalWidth="0">
            <w:col w:w="752" w:space="2134"/>
            <w:col w:w="7264"/>
          </w:cols>
        </w:sectPr>
      </w:pPr>
    </w:p>
    <w:p>
      <w:pPr>
        <w:pStyle w:val="ListParagraph"/>
        <w:numPr>
          <w:ilvl w:val="0"/>
          <w:numId w:val="5"/>
        </w:numPr>
        <w:tabs>
          <w:tab w:pos="488" w:val="left" w:leader="none"/>
          <w:tab w:pos="2825" w:val="left" w:leader="none"/>
        </w:tabs>
        <w:spacing w:line="264" w:lineRule="auto" w:before="13" w:after="0"/>
        <w:ind w:left="3003" w:right="112" w:hanging="2886"/>
        <w:jc w:val="both"/>
        <w:rPr>
          <w:sz w:val="21"/>
        </w:rPr>
      </w:pPr>
      <w:r>
        <w:rPr>
          <w:spacing w:val="-3"/>
          <w:sz w:val="21"/>
        </w:rPr>
        <w:t>脊</w:t>
      </w:r>
      <w:r>
        <w:rPr>
          <w:sz w:val="21"/>
        </w:rPr>
        <w:t>髓</w:t>
      </w:r>
      <w:r>
        <w:rPr>
          <w:spacing w:val="-3"/>
          <w:sz w:val="21"/>
        </w:rPr>
        <w:t>灰</w:t>
      </w:r>
      <w:r>
        <w:rPr>
          <w:sz w:val="21"/>
        </w:rPr>
        <w:t>质炎</w:t>
        <w:tab/>
      </w:r>
      <w:r>
        <w:rPr>
          <w:spacing w:val="-34"/>
          <w:sz w:val="21"/>
        </w:rPr>
        <w:t>：</w:t>
      </w:r>
      <w:r>
        <w:rPr>
          <w:sz w:val="21"/>
        </w:rPr>
        <w:t>脊髓灰质炎是由于脊髓灰质炎病毒感染所致的瘫痪性疾病，临床表现为运动 功能损害或呼吸无力。脊髓灰质炎必须明确诊断。本保单仅对脊髓灰质炎造成的神经系统功能损害导致被保险人一肢或一肢以上肢体机能永久完全丧失的情</w:t>
      </w:r>
      <w:r>
        <w:rPr>
          <w:spacing w:val="-3"/>
          <w:sz w:val="21"/>
        </w:rPr>
        <w:t>况</w:t>
      </w:r>
      <w:r>
        <w:rPr>
          <w:sz w:val="21"/>
        </w:rPr>
        <w:t>予</w:t>
      </w:r>
      <w:r>
        <w:rPr>
          <w:spacing w:val="-3"/>
          <w:sz w:val="21"/>
        </w:rPr>
        <w:t>以</w:t>
      </w:r>
      <w:r>
        <w:rPr>
          <w:sz w:val="21"/>
        </w:rPr>
        <w:t>理</w:t>
      </w:r>
      <w:r>
        <w:rPr>
          <w:spacing w:val="-3"/>
          <w:sz w:val="21"/>
        </w:rPr>
        <w:t>赔</w:t>
      </w:r>
      <w:r>
        <w:rPr>
          <w:spacing w:val="-5"/>
          <w:sz w:val="21"/>
        </w:rPr>
        <w:t>。</w:t>
      </w:r>
      <w:r>
        <w:rPr>
          <w:sz w:val="21"/>
        </w:rPr>
        <w:t>肢</w:t>
      </w:r>
      <w:r>
        <w:rPr>
          <w:spacing w:val="-3"/>
          <w:sz w:val="21"/>
        </w:rPr>
        <w:t>体机</w:t>
      </w:r>
      <w:r>
        <w:rPr>
          <w:sz w:val="21"/>
        </w:rPr>
        <w:t>能永</w:t>
      </w:r>
      <w:r>
        <w:rPr>
          <w:spacing w:val="-3"/>
          <w:sz w:val="21"/>
        </w:rPr>
        <w:t>久</w:t>
      </w:r>
      <w:r>
        <w:rPr>
          <w:sz w:val="21"/>
        </w:rPr>
        <w:t>完</w:t>
      </w:r>
      <w:r>
        <w:rPr>
          <w:spacing w:val="-3"/>
          <w:sz w:val="21"/>
        </w:rPr>
        <w:t>全</w:t>
      </w:r>
      <w:r>
        <w:rPr>
          <w:sz w:val="21"/>
        </w:rPr>
        <w:t>丧</w:t>
      </w:r>
      <w:r>
        <w:rPr>
          <w:spacing w:val="-3"/>
          <w:sz w:val="21"/>
        </w:rPr>
        <w:t>失</w:t>
      </w:r>
      <w:r>
        <w:rPr>
          <w:spacing w:val="-5"/>
          <w:sz w:val="21"/>
        </w:rPr>
        <w:t>，</w:t>
      </w:r>
      <w:r>
        <w:rPr>
          <w:sz w:val="21"/>
        </w:rPr>
        <w:t>指</w:t>
      </w:r>
      <w:r>
        <w:rPr>
          <w:spacing w:val="-3"/>
          <w:sz w:val="21"/>
        </w:rPr>
        <w:t>疾病</w:t>
      </w:r>
      <w:r>
        <w:rPr>
          <w:sz w:val="21"/>
        </w:rPr>
        <w:t>确诊</w:t>
      </w:r>
      <w:r>
        <w:rPr>
          <w:rFonts w:ascii="Times New Roman" w:eastAsia="Times New Roman"/>
          <w:sz w:val="21"/>
        </w:rPr>
        <w:t>180</w:t>
      </w:r>
      <w:r>
        <w:rPr>
          <w:spacing w:val="-3"/>
          <w:sz w:val="21"/>
        </w:rPr>
        <w:t>天</w:t>
      </w:r>
      <w:r>
        <w:rPr>
          <w:sz w:val="21"/>
        </w:rPr>
        <w:t>后</w:t>
      </w:r>
      <w:r>
        <w:rPr>
          <w:spacing w:val="-5"/>
          <w:sz w:val="21"/>
        </w:rPr>
        <w:t>，</w:t>
      </w:r>
      <w:r>
        <w:rPr>
          <w:sz w:val="21"/>
        </w:rPr>
        <w:t>每</w:t>
      </w:r>
      <w:r>
        <w:rPr>
          <w:spacing w:val="-3"/>
          <w:sz w:val="21"/>
        </w:rPr>
        <w:t>肢</w:t>
      </w:r>
      <w:r>
        <w:rPr>
          <w:sz w:val="21"/>
        </w:rPr>
        <w:t>三</w:t>
      </w:r>
      <w:r>
        <w:rPr>
          <w:spacing w:val="-3"/>
          <w:sz w:val="21"/>
        </w:rPr>
        <w:t>大</w:t>
      </w:r>
      <w:r>
        <w:rPr>
          <w:sz w:val="21"/>
        </w:rPr>
        <w:t>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ListParagraph"/>
        <w:numPr>
          <w:ilvl w:val="0"/>
          <w:numId w:val="5"/>
        </w:numPr>
        <w:tabs>
          <w:tab w:pos="488" w:val="left" w:leader="none"/>
        </w:tabs>
        <w:spacing w:line="264" w:lineRule="auto" w:before="15" w:after="0"/>
        <w:ind w:left="3003" w:right="120" w:hanging="2886"/>
        <w:jc w:val="both"/>
        <w:rPr>
          <w:sz w:val="21"/>
        </w:rPr>
      </w:pPr>
      <w:r>
        <w:rPr>
          <w:spacing w:val="-4"/>
          <w:sz w:val="21"/>
        </w:rPr>
        <w:t>全身性重症肌无力      ：重症肌无力是一种神经肌肉接头传递障碍所致的疾病，表现为局部或全身骨骼肌（特别是眼外肌）极易疲劳。疾病可以累及呼吸肌、上肢或下肢的近端</w:t>
      </w:r>
      <w:r>
        <w:rPr>
          <w:spacing w:val="-3"/>
          <w:sz w:val="21"/>
        </w:rPr>
        <w:t>肌群或全身肌肉，必须满足下列全部条件：</w:t>
      </w:r>
    </w:p>
    <w:p>
      <w:pPr>
        <w:pStyle w:val="BodyText"/>
        <w:spacing w:before="15"/>
        <w:ind w:left="3003"/>
      </w:pPr>
      <w:r>
        <w:rPr/>
        <w:t>（</w:t>
      </w:r>
      <w:r>
        <w:rPr>
          <w:rFonts w:ascii="Times New Roman" w:eastAsia="Times New Roman"/>
        </w:rPr>
        <w:t>1</w:t>
      </w:r>
      <w:r>
        <w:rPr/>
        <w:t>）经药物治疗和胸腺切除治疗一年以上仍无法控制病情；</w:t>
      </w:r>
    </w:p>
    <w:p>
      <w:pPr>
        <w:pStyle w:val="BodyText"/>
        <w:spacing w:line="256" w:lineRule="auto" w:before="20"/>
        <w:ind w:left="3003" w:right="110"/>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5"/>
        </w:numPr>
        <w:tabs>
          <w:tab w:pos="488" w:val="left" w:leader="none"/>
          <w:tab w:pos="2825" w:val="left" w:leader="none"/>
        </w:tabs>
        <w:spacing w:line="256" w:lineRule="auto" w:before="22" w:after="0"/>
        <w:ind w:left="3003" w:right="110" w:hanging="2886"/>
        <w:jc w:val="both"/>
        <w:rPr>
          <w:sz w:val="21"/>
        </w:rPr>
      </w:pPr>
      <w:r>
        <w:rPr>
          <w:spacing w:val="-3"/>
          <w:sz w:val="21"/>
        </w:rPr>
        <w:t>严</w:t>
      </w:r>
      <w:r>
        <w:rPr>
          <w:sz w:val="21"/>
        </w:rPr>
        <w:t>重</w:t>
      </w:r>
      <w:r>
        <w:rPr>
          <w:spacing w:val="-3"/>
          <w:sz w:val="21"/>
        </w:rPr>
        <w:t>心</w:t>
      </w:r>
      <w:r>
        <w:rPr>
          <w:sz w:val="21"/>
        </w:rPr>
        <w:t>肌病</w:t>
        <w:tab/>
      </w:r>
      <w:r>
        <w:rPr>
          <w:spacing w:val="-34"/>
          <w:sz w:val="21"/>
        </w:rPr>
        <w:t>：</w:t>
      </w:r>
      <w:r>
        <w:rPr>
          <w:sz w:val="21"/>
        </w:rPr>
        <w:t>指被保人因心肌病导致慢性心</w:t>
      </w:r>
      <w:r>
        <w:rPr>
          <w:spacing w:val="5"/>
          <w:sz w:val="21"/>
        </w:rPr>
        <w:t>功</w:t>
      </w:r>
      <w:r>
        <w:rPr>
          <w:sz w:val="21"/>
        </w:rPr>
        <w:t>能损害造成永久不可逆性的心功能衰竭。心 功能衰竭程度达到纽约心脏病学会的心功能分级标准之心功</w:t>
      </w:r>
      <w:r>
        <w:rPr>
          <w:spacing w:val="6"/>
          <w:sz w:val="21"/>
        </w:rPr>
        <w:t>能</w:t>
      </w:r>
      <w:r>
        <w:rPr>
          <w:rFonts w:ascii="Times New Roman" w:eastAsia="Times New Roman"/>
          <w:sz w:val="21"/>
        </w:rPr>
        <w:t>IV</w:t>
      </w:r>
      <w:r>
        <w:rPr>
          <w:sz w:val="21"/>
        </w:rPr>
        <w:t>级。被保险</w:t>
      </w:r>
    </w:p>
    <w:p>
      <w:pPr>
        <w:spacing w:after="0" w:line="256" w:lineRule="auto"/>
        <w:jc w:val="both"/>
        <w:rPr>
          <w:sz w:val="21"/>
        </w:rPr>
        <w:sectPr>
          <w:type w:val="continuous"/>
          <w:pgSz w:w="11910" w:h="16160"/>
          <w:pgMar w:top="580" w:bottom="280" w:left="960" w:right="800"/>
        </w:sectPr>
      </w:pPr>
    </w:p>
    <w:p>
      <w:pPr>
        <w:pStyle w:val="BodyText"/>
        <w:spacing w:before="7"/>
        <w:ind w:left="3003"/>
      </w:pPr>
      <w:r>
        <w:rPr/>
        <w:t>人永久不可逆性的体力活动能力受限，不能从事任何体力活动。</w:t>
      </w:r>
    </w:p>
    <w:p>
      <w:pPr>
        <w:pStyle w:val="ListParagraph"/>
        <w:numPr>
          <w:ilvl w:val="0"/>
          <w:numId w:val="5"/>
        </w:numPr>
        <w:tabs>
          <w:tab w:pos="512" w:val="left" w:leader="none"/>
        </w:tabs>
        <w:spacing w:line="240" w:lineRule="auto" w:before="49" w:after="0"/>
        <w:ind w:left="511" w:right="0" w:hanging="394"/>
        <w:jc w:val="left"/>
        <w:rPr>
          <w:sz w:val="21"/>
        </w:rPr>
      </w:pPr>
      <w:r>
        <w:rPr>
          <w:spacing w:val="21"/>
          <w:sz w:val="21"/>
        </w:rPr>
        <w:t>严重克罗恩病</w:t>
      </w:r>
      <w:r>
        <w:rPr>
          <w:sz w:val="21"/>
        </w:rPr>
        <w:t>（</w:t>
      </w:r>
      <w:r>
        <w:rPr>
          <w:spacing w:val="-17"/>
          <w:sz w:val="21"/>
        </w:rPr>
        <w:t> </w:t>
      </w:r>
      <w:r>
        <w:rPr>
          <w:rFonts w:ascii="Times New Roman" w:hAnsi="Times New Roman" w:eastAsia="Times New Roman"/>
          <w:spacing w:val="-7"/>
          <w:sz w:val="21"/>
        </w:rPr>
        <w:t>Crohn’s</w:t>
      </w:r>
      <w:r>
        <w:rPr>
          <w:spacing w:val="-4"/>
          <w:sz w:val="21"/>
        </w:rPr>
        <w:t>：克罗恩病是一种慢性肉芽肿性肠炎，具有特征性的克罗恩病病理组织学变化</w:t>
      </w:r>
    </w:p>
    <w:p>
      <w:pPr>
        <w:pStyle w:val="BodyText"/>
        <w:tabs>
          <w:tab w:pos="3003" w:val="left" w:leader="none"/>
        </w:tabs>
        <w:spacing w:line="273" w:lineRule="auto" w:before="21"/>
        <w:ind w:left="3003" w:right="120" w:hanging="2886"/>
      </w:pPr>
      <w:r>
        <w:rPr/>
        <w:t>病）</w:t>
        <w:tab/>
        <w:t>诊断必须由病理检查结果证实。被保险人所患的克罗恩病必须已经造成瘘管 形成</w:t>
      </w:r>
      <w:r>
        <w:rPr>
          <w:spacing w:val="-3"/>
        </w:rPr>
        <w:t>并</w:t>
      </w:r>
      <w:r>
        <w:rPr/>
        <w:t>伴</w:t>
      </w:r>
      <w:r>
        <w:rPr>
          <w:spacing w:val="-3"/>
        </w:rPr>
        <w:t>有</w:t>
      </w:r>
      <w:r>
        <w:rPr/>
        <w:t>肠</w:t>
      </w:r>
      <w:r>
        <w:rPr>
          <w:spacing w:val="-3"/>
        </w:rPr>
        <w:t>梗</w:t>
      </w:r>
      <w:r>
        <w:rPr/>
        <w:t>阻</w:t>
      </w:r>
      <w:r>
        <w:rPr>
          <w:spacing w:val="-3"/>
        </w:rPr>
        <w:t>或</w:t>
      </w:r>
      <w:r>
        <w:rPr/>
        <w:t>肠</w:t>
      </w:r>
      <w:r>
        <w:rPr>
          <w:spacing w:val="-3"/>
        </w:rPr>
        <w:t>穿</w:t>
      </w:r>
      <w:r>
        <w:rPr/>
        <w:t>孔。</w:t>
      </w:r>
    </w:p>
    <w:p>
      <w:pPr>
        <w:pStyle w:val="ListParagraph"/>
        <w:numPr>
          <w:ilvl w:val="0"/>
          <w:numId w:val="5"/>
        </w:numPr>
        <w:tabs>
          <w:tab w:pos="488" w:val="left" w:leader="none"/>
        </w:tabs>
        <w:spacing w:line="266" w:lineRule="auto" w:before="7" w:after="0"/>
        <w:ind w:left="3003" w:right="115" w:hanging="2886"/>
        <w:jc w:val="both"/>
        <w:rPr>
          <w:sz w:val="21"/>
        </w:rPr>
      </w:pPr>
      <w:r>
        <w:rPr>
          <w:spacing w:val="-4"/>
          <w:sz w:val="21"/>
        </w:rPr>
        <w:t>严重溃疡性结肠炎      ：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w:t>
      </w:r>
      <w:r>
        <w:rPr>
          <w:spacing w:val="-3"/>
          <w:sz w:val="21"/>
        </w:rPr>
        <w:t>点诊断，并且被保险人已经接受了结肠切除和</w:t>
      </w:r>
      <w:r>
        <w:rPr>
          <w:rFonts w:ascii="Times New Roman" w:eastAsia="Times New Roman"/>
          <w:spacing w:val="-4"/>
          <w:sz w:val="21"/>
        </w:rPr>
        <w:t>/</w:t>
      </w:r>
      <w:r>
        <w:rPr>
          <w:spacing w:val="-3"/>
          <w:sz w:val="21"/>
        </w:rPr>
        <w:t>或回肠造瘘术。</w:t>
      </w:r>
    </w:p>
    <w:p>
      <w:pPr>
        <w:pStyle w:val="ListParagraph"/>
        <w:numPr>
          <w:ilvl w:val="0"/>
          <w:numId w:val="5"/>
        </w:numPr>
        <w:tabs>
          <w:tab w:pos="488" w:val="left" w:leader="none"/>
          <w:tab w:pos="2825" w:val="left" w:leader="none"/>
        </w:tabs>
        <w:spacing w:line="266" w:lineRule="auto" w:before="0" w:after="0"/>
        <w:ind w:left="3003" w:right="110" w:hanging="2886"/>
        <w:jc w:val="both"/>
        <w:rPr>
          <w:sz w:val="21"/>
        </w:rPr>
      </w:pPr>
      <w:r>
        <w:rPr>
          <w:spacing w:val="-3"/>
          <w:sz w:val="21"/>
        </w:rPr>
        <w:t>植</w:t>
      </w:r>
      <w:r>
        <w:rPr>
          <w:sz w:val="21"/>
        </w:rPr>
        <w:t>物</w:t>
      </w:r>
      <w:r>
        <w:rPr>
          <w:spacing w:val="-3"/>
          <w:sz w:val="21"/>
        </w:rPr>
        <w:t>人</w:t>
      </w:r>
      <w:r>
        <w:rPr>
          <w:sz w:val="21"/>
        </w:rPr>
        <w:t>状态</w:t>
        <w:tab/>
      </w:r>
      <w:r>
        <w:rPr>
          <w:spacing w:val="-34"/>
          <w:sz w:val="21"/>
        </w:rPr>
        <w:t>：</w:t>
      </w:r>
      <w:r>
        <w:rPr>
          <w:sz w:val="21"/>
        </w:rPr>
        <w:t>植物人状态系指由于严重颅脑外伤造成大脑和</w:t>
      </w:r>
      <w:r>
        <w:rPr>
          <w:rFonts w:ascii="Times New Roman" w:eastAsia="Times New Roman"/>
          <w:sz w:val="21"/>
        </w:rPr>
        <w:t>/</w:t>
      </w:r>
      <w:r>
        <w:rPr>
          <w:sz w:val="21"/>
        </w:rPr>
        <w:t>或脑干严重损害导致完全永久 性的对自身和环境的意识丧失和中枢神经系统功能丧失，仅残存植物神经功能的疾病状态。诊断必须明确并且具有严重颅脑外伤和脑损害的证据。植物人状</w:t>
      </w:r>
      <w:r>
        <w:rPr>
          <w:spacing w:val="-3"/>
          <w:sz w:val="21"/>
        </w:rPr>
        <w:t>态</w:t>
      </w:r>
      <w:r>
        <w:rPr>
          <w:sz w:val="21"/>
        </w:rPr>
        <w:t>必</w:t>
      </w:r>
      <w:r>
        <w:rPr>
          <w:spacing w:val="-3"/>
          <w:sz w:val="21"/>
        </w:rPr>
        <w:t>须</w:t>
      </w:r>
      <w:r>
        <w:rPr>
          <w:sz w:val="21"/>
        </w:rPr>
        <w:t>持</w:t>
      </w:r>
      <w:r>
        <w:rPr>
          <w:spacing w:val="-3"/>
          <w:sz w:val="21"/>
        </w:rPr>
        <w:t>续</w:t>
      </w:r>
      <w:r>
        <w:rPr>
          <w:rFonts w:ascii="Times New Roman" w:eastAsia="Times New Roman"/>
          <w:sz w:val="21"/>
        </w:rPr>
        <w:t>30</w:t>
      </w:r>
      <w:r>
        <w:rPr>
          <w:spacing w:val="-3"/>
          <w:sz w:val="21"/>
        </w:rPr>
        <w:t>天</w:t>
      </w:r>
      <w:r>
        <w:rPr>
          <w:sz w:val="21"/>
        </w:rPr>
        <w:t>以</w:t>
      </w:r>
      <w:r>
        <w:rPr>
          <w:spacing w:val="-3"/>
          <w:sz w:val="21"/>
        </w:rPr>
        <w:t>上</w:t>
      </w:r>
      <w:r>
        <w:rPr>
          <w:sz w:val="21"/>
        </w:rPr>
        <w:t>方可</w:t>
      </w:r>
      <w:r>
        <w:rPr>
          <w:spacing w:val="-3"/>
          <w:sz w:val="21"/>
        </w:rPr>
        <w:t>申</w:t>
      </w:r>
      <w:r>
        <w:rPr>
          <w:sz w:val="21"/>
        </w:rPr>
        <w:t>请</w:t>
      </w:r>
      <w:r>
        <w:rPr>
          <w:spacing w:val="-3"/>
          <w:sz w:val="21"/>
        </w:rPr>
        <w:t>理</w:t>
      </w:r>
      <w:r>
        <w:rPr>
          <w:sz w:val="21"/>
        </w:rPr>
        <w:t>赔。</w:t>
      </w:r>
    </w:p>
    <w:p>
      <w:pPr>
        <w:pStyle w:val="BodyText"/>
        <w:rPr>
          <w:sz w:val="22"/>
        </w:rPr>
      </w:pPr>
    </w:p>
    <w:p>
      <w:pPr>
        <w:pStyle w:val="BodyText"/>
        <w:rPr>
          <w:sz w:val="22"/>
        </w:rPr>
      </w:pPr>
    </w:p>
    <w:p>
      <w:pPr>
        <w:pStyle w:val="BodyText"/>
        <w:spacing w:before="7"/>
        <w:rPr>
          <w:sz w:val="27"/>
        </w:rPr>
      </w:pPr>
    </w:p>
    <w:p>
      <w:pPr>
        <w:spacing w:before="0"/>
        <w:ind w:left="0" w:right="1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708" w:top="1360" w:bottom="900" w:left="9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490005pt;margin-top:761.549866pt;width:224.45pt;height:13.7pt;mso-position-horizontal-relative:page;mso-position-vertical-relative:page;z-index:-15232" type="#_x0000_t202" filled="false" stroked="false">
          <v:textbox inset="0,0,0,0">
            <w:txbxContent>
              <w:p>
                <w:pPr>
                  <w:pStyle w:val="BodyText"/>
                  <w:spacing w:line="254" w:lineRule="exact"/>
                  <w:ind w:left="20"/>
                </w:pPr>
                <w:r>
                  <w:rPr/>
                  <w:t>太平附加安康</w:t>
                </w:r>
                <w:r>
                  <w:rPr>
                    <w:rFonts w:ascii="Times New Roman" w:eastAsia="Times New Roman"/>
                  </w:rPr>
                  <w:t>B</w:t>
                </w:r>
                <w:r>
                  <w:rPr/>
                  <w:t>款重大疾病保险，第</w:t>
                </w:r>
                <w:r>
                  <w:rPr/>
                  <w:fldChar w:fldCharType="begin"/>
                </w:r>
                <w:r>
                  <w:rPr>
                    <w:rFonts w:ascii="Times New Roman" w:eastAsia="Times New Roman"/>
                  </w:rPr>
                  <w:instrText> PAGE </w:instrText>
                </w:r>
                <w:r>
                  <w:rPr/>
                  <w:fldChar w:fldCharType="separate"/>
                </w:r>
                <w:r>
                  <w:rPr/>
                  <w:t>2</w:t>
                </w:r>
                <w:r>
                  <w:rPr/>
                  <w:fldChar w:fldCharType="end"/>
                </w:r>
                <w:r>
                  <w:rPr/>
                  <w:t>页，共</w:t>
                </w:r>
                <w:r>
                  <w:rPr>
                    <w:rFonts w:ascii="Times New Roman" w:eastAsia="Times New Roman"/>
                  </w:rPr>
                  <w:t>12</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6.850006pt;margin-top:761.549866pt;width:229.7pt;height:13.7pt;mso-position-horizontal-relative:page;mso-position-vertical-relative:page;z-index:-15208" type="#_x0000_t202" filled="false" stroked="false">
          <v:textbox inset="0,0,0,0">
            <w:txbxContent>
              <w:p>
                <w:pPr>
                  <w:pStyle w:val="BodyText"/>
                  <w:spacing w:line="254" w:lineRule="exact"/>
                  <w:ind w:left="20"/>
                </w:pPr>
                <w:r>
                  <w:rPr/>
                  <w:t>太平附加安康</w:t>
                </w:r>
                <w:r>
                  <w:rPr>
                    <w:rFonts w:ascii="Times New Roman" w:eastAsia="Times New Roman"/>
                  </w:rPr>
                  <w:t>B</w:t>
                </w:r>
                <w:r>
                  <w:rPr/>
                  <w:t>款重大疾病保险，第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12</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3"/>
      <w:numFmt w:val="decimal"/>
      <w:lvlText w:val="%1."/>
      <w:lvlJc w:val="left"/>
      <w:pPr>
        <w:ind w:left="3003" w:hanging="265"/>
        <w:jc w:val="left"/>
      </w:pPr>
      <w:rPr>
        <w:rFonts w:hint="default" w:ascii="Times New Roman" w:hAnsi="Times New Roman" w:eastAsia="Times New Roman" w:cs="Times New Roman"/>
        <w:w w:val="100"/>
        <w:sz w:val="21"/>
        <w:szCs w:val="21"/>
      </w:rPr>
    </w:lvl>
    <w:lvl w:ilvl="1">
      <w:start w:val="0"/>
      <w:numFmt w:val="bullet"/>
      <w:lvlText w:val="•"/>
      <w:lvlJc w:val="left"/>
      <w:pPr>
        <w:ind w:left="3714" w:hanging="265"/>
      </w:pPr>
      <w:rPr>
        <w:rFonts w:hint="default"/>
      </w:rPr>
    </w:lvl>
    <w:lvl w:ilvl="2">
      <w:start w:val="0"/>
      <w:numFmt w:val="bullet"/>
      <w:lvlText w:val="•"/>
      <w:lvlJc w:val="left"/>
      <w:pPr>
        <w:ind w:left="4429" w:hanging="265"/>
      </w:pPr>
      <w:rPr>
        <w:rFonts w:hint="default"/>
      </w:rPr>
    </w:lvl>
    <w:lvl w:ilvl="3">
      <w:start w:val="0"/>
      <w:numFmt w:val="bullet"/>
      <w:lvlText w:val="•"/>
      <w:lvlJc w:val="left"/>
      <w:pPr>
        <w:ind w:left="5143" w:hanging="265"/>
      </w:pPr>
      <w:rPr>
        <w:rFonts w:hint="default"/>
      </w:rPr>
    </w:lvl>
    <w:lvl w:ilvl="4">
      <w:start w:val="0"/>
      <w:numFmt w:val="bullet"/>
      <w:lvlText w:val="•"/>
      <w:lvlJc w:val="left"/>
      <w:pPr>
        <w:ind w:left="5858" w:hanging="265"/>
      </w:pPr>
      <w:rPr>
        <w:rFonts w:hint="default"/>
      </w:rPr>
    </w:lvl>
    <w:lvl w:ilvl="5">
      <w:start w:val="0"/>
      <w:numFmt w:val="bullet"/>
      <w:lvlText w:val="•"/>
      <w:lvlJc w:val="left"/>
      <w:pPr>
        <w:ind w:left="6573" w:hanging="265"/>
      </w:pPr>
      <w:rPr>
        <w:rFonts w:hint="default"/>
      </w:rPr>
    </w:lvl>
    <w:lvl w:ilvl="6">
      <w:start w:val="0"/>
      <w:numFmt w:val="bullet"/>
      <w:lvlText w:val="•"/>
      <w:lvlJc w:val="left"/>
      <w:pPr>
        <w:ind w:left="7287" w:hanging="265"/>
      </w:pPr>
      <w:rPr>
        <w:rFonts w:hint="default"/>
      </w:rPr>
    </w:lvl>
    <w:lvl w:ilvl="7">
      <w:start w:val="0"/>
      <w:numFmt w:val="bullet"/>
      <w:lvlText w:val="•"/>
      <w:lvlJc w:val="left"/>
      <w:pPr>
        <w:ind w:left="8002" w:hanging="265"/>
      </w:pPr>
      <w:rPr>
        <w:rFonts w:hint="default"/>
      </w:rPr>
    </w:lvl>
    <w:lvl w:ilvl="8">
      <w:start w:val="0"/>
      <w:numFmt w:val="bullet"/>
      <w:lvlText w:val="•"/>
      <w:lvlJc w:val="left"/>
      <w:pPr>
        <w:ind w:left="8717" w:hanging="265"/>
      </w:pPr>
      <w:rPr>
        <w:rFonts w:hint="default"/>
      </w:rPr>
    </w:lvl>
  </w:abstractNum>
  <w:abstractNum w:abstractNumId="3">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0" w:hanging="264"/>
      </w:pPr>
      <w:rPr>
        <w:rFonts w:hint="default"/>
      </w:rPr>
    </w:lvl>
    <w:lvl w:ilvl="2">
      <w:start w:val="0"/>
      <w:numFmt w:val="bullet"/>
      <w:lvlText w:val="•"/>
      <w:lvlJc w:val="left"/>
      <w:pPr>
        <w:ind w:left="2461" w:hanging="264"/>
      </w:pPr>
      <w:rPr>
        <w:rFonts w:hint="default"/>
      </w:rPr>
    </w:lvl>
    <w:lvl w:ilvl="3">
      <w:start w:val="0"/>
      <w:numFmt w:val="bullet"/>
      <w:lvlText w:val="•"/>
      <w:lvlJc w:val="left"/>
      <w:pPr>
        <w:ind w:left="3421" w:hanging="264"/>
      </w:pPr>
      <w:rPr>
        <w:rFonts w:hint="default"/>
      </w:rPr>
    </w:lvl>
    <w:lvl w:ilvl="4">
      <w:start w:val="0"/>
      <w:numFmt w:val="bullet"/>
      <w:lvlText w:val="•"/>
      <w:lvlJc w:val="left"/>
      <w:pPr>
        <w:ind w:left="4382" w:hanging="264"/>
      </w:pPr>
      <w:rPr>
        <w:rFonts w:hint="default"/>
      </w:rPr>
    </w:lvl>
    <w:lvl w:ilvl="5">
      <w:start w:val="0"/>
      <w:numFmt w:val="bullet"/>
      <w:lvlText w:val="•"/>
      <w:lvlJc w:val="left"/>
      <w:pPr>
        <w:ind w:left="5343" w:hanging="264"/>
      </w:pPr>
      <w:rPr>
        <w:rFonts w:hint="default"/>
      </w:rPr>
    </w:lvl>
    <w:lvl w:ilvl="6">
      <w:start w:val="0"/>
      <w:numFmt w:val="bullet"/>
      <w:lvlText w:val="•"/>
      <w:lvlJc w:val="left"/>
      <w:pPr>
        <w:ind w:left="6303" w:hanging="264"/>
      </w:pPr>
      <w:rPr>
        <w:rFonts w:hint="default"/>
      </w:rPr>
    </w:lvl>
    <w:lvl w:ilvl="7">
      <w:start w:val="0"/>
      <w:numFmt w:val="bullet"/>
      <w:lvlText w:val="•"/>
      <w:lvlJc w:val="left"/>
      <w:pPr>
        <w:ind w:left="7264" w:hanging="264"/>
      </w:pPr>
      <w:rPr>
        <w:rFonts w:hint="default"/>
      </w:rPr>
    </w:lvl>
    <w:lvl w:ilvl="8">
      <w:start w:val="0"/>
      <w:numFmt w:val="bullet"/>
      <w:lvlText w:val="•"/>
      <w:lvlJc w:val="left"/>
      <w:pPr>
        <w:ind w:left="8225" w:hanging="264"/>
      </w:pPr>
      <w:rPr>
        <w:rFonts w:hint="default"/>
      </w:rPr>
    </w:lvl>
  </w:abstractNum>
  <w:abstractNum w:abstractNumId="2">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7"/>
      </w:pPr>
      <w:rPr>
        <w:rFonts w:hint="default"/>
      </w:rPr>
    </w:lvl>
    <w:lvl w:ilvl="2">
      <w:start w:val="0"/>
      <w:numFmt w:val="bullet"/>
      <w:lvlText w:val="•"/>
      <w:lvlJc w:val="left"/>
      <w:pPr>
        <w:ind w:left="2145" w:hanging="267"/>
      </w:pPr>
      <w:rPr>
        <w:rFonts w:hint="default"/>
      </w:rPr>
    </w:lvl>
    <w:lvl w:ilvl="3">
      <w:start w:val="0"/>
      <w:numFmt w:val="bullet"/>
      <w:lvlText w:val="•"/>
      <w:lvlJc w:val="left"/>
      <w:pPr>
        <w:ind w:left="3157" w:hanging="267"/>
      </w:pPr>
      <w:rPr>
        <w:rFonts w:hint="default"/>
      </w:rPr>
    </w:lvl>
    <w:lvl w:ilvl="4">
      <w:start w:val="0"/>
      <w:numFmt w:val="bullet"/>
      <w:lvlText w:val="•"/>
      <w:lvlJc w:val="left"/>
      <w:pPr>
        <w:ind w:left="4170" w:hanging="267"/>
      </w:pPr>
      <w:rPr>
        <w:rFonts w:hint="default"/>
      </w:rPr>
    </w:lvl>
    <w:lvl w:ilvl="5">
      <w:start w:val="0"/>
      <w:numFmt w:val="bullet"/>
      <w:lvlText w:val="•"/>
      <w:lvlJc w:val="left"/>
      <w:pPr>
        <w:ind w:left="5183" w:hanging="267"/>
      </w:pPr>
      <w:rPr>
        <w:rFonts w:hint="default"/>
      </w:rPr>
    </w:lvl>
    <w:lvl w:ilvl="6">
      <w:start w:val="0"/>
      <w:numFmt w:val="bullet"/>
      <w:lvlText w:val="•"/>
      <w:lvlJc w:val="left"/>
      <w:pPr>
        <w:ind w:left="6195" w:hanging="267"/>
      </w:pPr>
      <w:rPr>
        <w:rFonts w:hint="default"/>
      </w:rPr>
    </w:lvl>
    <w:lvl w:ilvl="7">
      <w:start w:val="0"/>
      <w:numFmt w:val="bullet"/>
      <w:lvlText w:val="•"/>
      <w:lvlJc w:val="left"/>
      <w:pPr>
        <w:ind w:left="7208" w:hanging="267"/>
      </w:pPr>
      <w:rPr>
        <w:rFonts w:hint="default"/>
      </w:rPr>
    </w:lvl>
    <w:lvl w:ilvl="8">
      <w:start w:val="0"/>
      <w:numFmt w:val="bullet"/>
      <w:lvlText w:val="•"/>
      <w:lvlJc w:val="left"/>
      <w:pPr>
        <w:ind w:left="822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673" w:hanging="420"/>
      </w:pPr>
      <w:rPr>
        <w:rFonts w:hint="default"/>
      </w:rPr>
    </w:lvl>
    <w:lvl w:ilvl="4">
      <w:start w:val="0"/>
      <w:numFmt w:val="bullet"/>
      <w:lvlText w:val="•"/>
      <w:lvlJc w:val="left"/>
      <w:pPr>
        <w:ind w:left="5598" w:hanging="420"/>
      </w:pPr>
      <w:rPr>
        <w:rFonts w:hint="default"/>
      </w:rPr>
    </w:lvl>
    <w:lvl w:ilvl="5">
      <w:start w:val="0"/>
      <w:numFmt w:val="bullet"/>
      <w:lvlText w:val="•"/>
      <w:lvlJc w:val="left"/>
      <w:pPr>
        <w:ind w:left="6523" w:hanging="420"/>
      </w:pPr>
      <w:rPr>
        <w:rFonts w:hint="default"/>
      </w:rPr>
    </w:lvl>
    <w:lvl w:ilvl="6">
      <w:start w:val="0"/>
      <w:numFmt w:val="bullet"/>
      <w:lvlText w:val="•"/>
      <w:lvlJc w:val="left"/>
      <w:pPr>
        <w:ind w:left="7447" w:hanging="420"/>
      </w:pPr>
      <w:rPr>
        <w:rFonts w:hint="default"/>
      </w:rPr>
    </w:lvl>
    <w:lvl w:ilvl="7">
      <w:start w:val="0"/>
      <w:numFmt w:val="bullet"/>
      <w:lvlText w:val="•"/>
      <w:lvlJc w:val="left"/>
      <w:pPr>
        <w:ind w:left="8372" w:hanging="420"/>
      </w:pPr>
      <w:rPr>
        <w:rFonts w:hint="default"/>
      </w:rPr>
    </w:lvl>
    <w:lvl w:ilvl="8">
      <w:start w:val="0"/>
      <w:numFmt w:val="bullet"/>
      <w:lvlText w:val="•"/>
      <w:lvlJc w:val="left"/>
      <w:pPr>
        <w:ind w:left="9297"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3003" w:hanging="2886"/>
    </w:pPr>
    <w:rPr>
      <w:rFonts w:ascii="宋体" w:hAnsi="宋体" w:eastAsia="宋体" w:cs="宋体"/>
    </w:rPr>
  </w:style>
  <w:style w:styleId="TableParagraph" w:type="paragraph">
    <w:name w:val="Table Paragraph"/>
    <w:basedOn w:val="Normal"/>
    <w:uiPriority w:val="1"/>
    <w:qFormat/>
    <w:pPr>
      <w:ind w:left="-1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华岚</dc:creator>
  <dcterms:created xsi:type="dcterms:W3CDTF">2018-10-20T00:58:34Z</dcterms:created>
  <dcterms:modified xsi:type="dcterms:W3CDTF">2018-10-20T00:58:34Z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2014-08-05T00:00:00Z</vt:filetime>
  </property>
  <property fmtid="{D5CDD505-2E9C-101B-9397-08002B2CF9AE}" pid="3" name="Creator">
    <vt:lpwstr>Microsoft® Word 2010</vt:lpwstr>
  </property>
  <property fmtid="{D5CDD505-2E9C-101B-9397-08002B2CF9AE}" pid="4" name="LastSaved">
    <vt:filetime>2018-10-19T00:00:00Z</vt:filetime>
  </property>
</Properties>
</file>