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347" w:val="left" w:leader="none"/>
        </w:tabs>
        <w:spacing w:line="407" w:lineRule="exact" w:before="0"/>
        <w:ind w:left="363" w:right="0" w:firstLine="0"/>
        <w:jc w:val="left"/>
        <w:rPr>
          <w:sz w:val="20"/>
        </w:rPr>
      </w:pPr>
      <w:r>
        <w:rPr/>
        <w:drawing>
          <wp:anchor distT="0" distB="0" distL="0" distR="0" allowOverlap="1" layoutInCell="1" locked="0" behindDoc="1" simplePos="0" relativeHeight="268420631">
            <wp:simplePos x="0" y="0"/>
            <wp:positionH relativeFrom="page">
              <wp:posOffset>5180329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204</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sz w:val="30"/>
        </w:rPr>
        <w:t>附加如意长期重大疾病保险（A 款）条款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402"/>
            <w:col w:w="3843"/>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4"/>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在特定情况下，我们不承担保险责任，并作了显著标识，请您注意...........第四、五、十二、十三条解除合同会给您造成一定的损失，请您慎重抉择...........................第十二条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7">
              <w:r>
                <w:rPr>
                  <w:sz w:val="21"/>
                </w:rPr>
                <w:t>第八条</w:t>
              </w:r>
            </w:hyperlink>
          </w:p>
        </w:tc>
        <w:tc>
          <w:tcPr>
            <w:tcW w:w="2676" w:type="dxa"/>
          </w:tcPr>
          <w:p>
            <w:pPr>
              <w:pStyle w:val="TableParagraph"/>
              <w:spacing w:before="92"/>
              <w:ind w:left="108"/>
              <w:rPr>
                <w:sz w:val="21"/>
              </w:rPr>
            </w:pPr>
            <w:hyperlink w:history="true" w:anchor="_bookmark7">
              <w:r>
                <w:rPr>
                  <w:sz w:val="21"/>
                </w:rPr>
                <w:t>受益人</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8">
              <w:r>
                <w:rPr>
                  <w:sz w:val="21"/>
                </w:rPr>
                <w:t>第九条</w:t>
              </w:r>
            </w:hyperlink>
          </w:p>
        </w:tc>
        <w:tc>
          <w:tcPr>
            <w:tcW w:w="2676" w:type="dxa"/>
          </w:tcPr>
          <w:p>
            <w:pPr>
              <w:pStyle w:val="TableParagraph"/>
              <w:spacing w:before="36"/>
              <w:ind w:left="108"/>
              <w:rPr>
                <w:sz w:val="21"/>
              </w:rPr>
            </w:pPr>
            <w:hyperlink w:history="true" w:anchor="_bookmark8">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0">
              <w:r>
                <w:rPr>
                  <w:sz w:val="21"/>
                </w:rPr>
                <w:t>第十一条</w:t>
              </w:r>
            </w:hyperlink>
          </w:p>
        </w:tc>
        <w:tc>
          <w:tcPr>
            <w:tcW w:w="2676" w:type="dxa"/>
          </w:tcPr>
          <w:p>
            <w:pPr>
              <w:pStyle w:val="TableParagraph"/>
              <w:spacing w:before="34"/>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1">
              <w:r>
                <w:rPr>
                  <w:sz w:val="21"/>
                </w:rPr>
                <w:t>第十二条</w:t>
              </w:r>
            </w:hyperlink>
          </w:p>
        </w:tc>
        <w:tc>
          <w:tcPr>
            <w:tcW w:w="2676" w:type="dxa"/>
          </w:tcPr>
          <w:p>
            <w:pPr>
              <w:pStyle w:val="TableParagraph"/>
              <w:spacing w:before="36"/>
              <w:ind w:left="317"/>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2">
              <w:r>
                <w:rPr>
                  <w:sz w:val="21"/>
                </w:rPr>
                <w:t>第十三条</w:t>
              </w:r>
            </w:hyperlink>
          </w:p>
        </w:tc>
        <w:tc>
          <w:tcPr>
            <w:tcW w:w="2676" w:type="dxa"/>
          </w:tcPr>
          <w:p>
            <w:pPr>
              <w:pStyle w:val="TableParagraph"/>
              <w:spacing w:before="34"/>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44" w:hanging="651"/>
        <w:jc w:val="both"/>
        <w:rPr>
          <w:sz w:val="18"/>
        </w:rPr>
      </w:pPr>
      <w:r>
        <w:rPr>
          <w:sz w:val="18"/>
        </w:rPr>
        <w:t>本《附加如意长期重大疾病保险（A</w:t>
      </w:r>
      <w:r>
        <w:rPr>
          <w:spacing w:val="-4"/>
          <w:sz w:val="18"/>
        </w:rPr>
        <w:t> 款</w:t>
      </w:r>
      <w:r>
        <w:rPr>
          <w:sz w:val="18"/>
        </w:rPr>
        <w:t>）》合同（以下简称“本附加合同”）必须附加于我们提供选择的人身保险合同</w:t>
      </w:r>
      <w:r>
        <w:rPr>
          <w:spacing w:val="2"/>
          <w:sz w:val="18"/>
        </w:rPr>
        <w:t>（</w:t>
      </w:r>
      <w:r>
        <w:rPr>
          <w:sz w:val="18"/>
        </w:rPr>
        <w:t>以下简称“主合同”）。如投保人（以下简称“您”）申请投保本附加合同，经我们审核同意后，可订立本附加合同。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无息返还已交保险费</w:t>
      </w:r>
    </w:p>
    <w:p>
      <w:pPr>
        <w:pStyle w:val="Heading3"/>
        <w:ind w:left="1530"/>
        <w:jc w:val="both"/>
      </w:pPr>
      <w:r>
        <w:rPr/>
        <w:t>在本附加合同保险期间内，若被保险人于等待期（见释义）内因疾病导致被保险人首次发病并经专科医生</w:t>
      </w:r>
    </w:p>
    <w:p>
      <w:pPr>
        <w:spacing w:line="357" w:lineRule="auto" w:before="116"/>
        <w:ind w:left="1530" w:right="145" w:firstLine="0"/>
        <w:jc w:val="left"/>
        <w:rPr>
          <w:b/>
          <w:sz w:val="18"/>
        </w:rPr>
      </w:pPr>
      <w:r>
        <w:rPr>
          <w:b/>
          <w:sz w:val="18"/>
        </w:rPr>
        <w:t>（见释义）首次确诊患有本附加合同约定的重大疾病（见释义）中一项或多项，我们将无息返还《如意两全保险（</w:t>
      </w:r>
      <w:r>
        <w:rPr>
          <w:rFonts w:ascii="Arial" w:eastAsia="Arial"/>
          <w:b/>
          <w:sz w:val="18"/>
        </w:rPr>
        <w:t>A </w:t>
      </w:r>
      <w:r>
        <w:rPr>
          <w:b/>
          <w:sz w:val="18"/>
        </w:rPr>
        <w:t>款）》及本附加合同已交保险费的总和，《如意两全保险（</w:t>
      </w:r>
      <w:r>
        <w:rPr>
          <w:rFonts w:ascii="Arial" w:eastAsia="Arial"/>
          <w:b/>
          <w:sz w:val="18"/>
        </w:rPr>
        <w:t>A </w:t>
      </w:r>
      <w:r>
        <w:rPr>
          <w:b/>
          <w:sz w:val="18"/>
        </w:rPr>
        <w:t>款）》及本附加合同同时终止。</w:t>
      </w:r>
    </w:p>
    <w:p>
      <w:pPr>
        <w:pStyle w:val="ListParagraph"/>
        <w:numPr>
          <w:ilvl w:val="2"/>
          <w:numId w:val="3"/>
        </w:numPr>
        <w:tabs>
          <w:tab w:pos="1552" w:val="left" w:leader="none"/>
        </w:tabs>
        <w:spacing w:line="240" w:lineRule="auto" w:before="7" w:after="0"/>
        <w:ind w:left="1551" w:right="0" w:hanging="480"/>
        <w:jc w:val="left"/>
        <w:rPr>
          <w:sz w:val="18"/>
        </w:rPr>
      </w:pPr>
      <w:r>
        <w:rPr>
          <w:sz w:val="18"/>
        </w:rPr>
        <w:t>重大疾病保险金</w:t>
      </w:r>
    </w:p>
    <w:p>
      <w:pPr>
        <w:pStyle w:val="BodyText"/>
        <w:spacing w:line="357" w:lineRule="auto" w:before="106"/>
        <w:ind w:left="1530" w:right="148"/>
        <w:jc w:val="both"/>
      </w:pPr>
      <w:r>
        <w:rPr/>
        <w:t>在本附加合同保险期间内，若被保险人因意外伤害事故</w:t>
      </w:r>
      <w:r>
        <w:rPr>
          <w:b/>
        </w:rPr>
        <w:t>（见释义）</w:t>
      </w:r>
      <w:r>
        <w:rPr/>
        <w:t>或于等待期后因疾病导致被保险人首次发病并经专科医生首次确诊患有本附加合同约定的重大疾病中一项或多项，我们将按以下二项中的金额较大者给付该重大疾病保险金，《如意两全保险（</w:t>
      </w:r>
      <w:r>
        <w:rPr>
          <w:rFonts w:ascii="Arial" w:eastAsia="Arial"/>
        </w:rPr>
        <w:t>A </w:t>
      </w:r>
      <w:r>
        <w:rPr/>
        <w:t>款）》及本附加合同同时终止。</w:t>
      </w:r>
    </w:p>
    <w:p>
      <w:pPr>
        <w:pStyle w:val="ListParagraph"/>
        <w:numPr>
          <w:ilvl w:val="3"/>
          <w:numId w:val="3"/>
        </w:numPr>
        <w:tabs>
          <w:tab w:pos="2031" w:val="left" w:leader="none"/>
          <w:tab w:pos="2032" w:val="left" w:leader="none"/>
        </w:tabs>
        <w:spacing w:line="240" w:lineRule="auto" w:before="5" w:after="0"/>
        <w:ind w:left="2031" w:right="0" w:hanging="470"/>
        <w:jc w:val="left"/>
        <w:rPr>
          <w:sz w:val="18"/>
        </w:rPr>
      </w:pPr>
      <w:r>
        <w:rPr>
          <w:w w:val="95"/>
          <w:sz w:val="18"/>
        </w:rPr>
        <w:t>本附加合同所载的基本保险金额；</w:t>
      </w:r>
    </w:p>
    <w:p>
      <w:pPr>
        <w:pStyle w:val="ListParagraph"/>
        <w:numPr>
          <w:ilvl w:val="3"/>
          <w:numId w:val="3"/>
        </w:numPr>
        <w:tabs>
          <w:tab w:pos="2031" w:val="left" w:leader="none"/>
          <w:tab w:pos="2032" w:val="left" w:leader="none"/>
        </w:tabs>
        <w:spacing w:line="240" w:lineRule="auto" w:before="106" w:after="0"/>
        <w:ind w:left="2031" w:right="0" w:hanging="470"/>
        <w:jc w:val="left"/>
        <w:rPr>
          <w:sz w:val="18"/>
        </w:rPr>
      </w:pPr>
      <w:r>
        <w:rPr>
          <w:sz w:val="18"/>
        </w:rPr>
        <w:t>当时已交《如意两全保险（</w:t>
      </w:r>
      <w:r>
        <w:rPr>
          <w:rFonts w:ascii="Arial" w:eastAsia="Arial"/>
          <w:sz w:val="18"/>
        </w:rPr>
        <w:t>A</w:t>
      </w:r>
      <w:r>
        <w:rPr>
          <w:rFonts w:ascii="Arial" w:eastAsia="Arial"/>
          <w:spacing w:val="-11"/>
          <w:sz w:val="18"/>
        </w:rPr>
        <w:t> </w:t>
      </w:r>
      <w:r>
        <w:rPr>
          <w:sz w:val="18"/>
        </w:rPr>
        <w:t>款）》以及本附加合同保险费的总和。</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额外给付保险金</w:t>
      </w:r>
    </w:p>
    <w:p>
      <w:pPr>
        <w:pStyle w:val="ListParagraph"/>
        <w:numPr>
          <w:ilvl w:val="3"/>
          <w:numId w:val="4"/>
        </w:numPr>
        <w:tabs>
          <w:tab w:pos="2238" w:val="left" w:leader="none"/>
        </w:tabs>
        <w:spacing w:line="345" w:lineRule="auto" w:before="106" w:after="0"/>
        <w:ind w:left="2238" w:right="145" w:hanging="708"/>
        <w:jc w:val="both"/>
        <w:rPr>
          <w:sz w:val="18"/>
        </w:rPr>
      </w:pPr>
      <w:r>
        <w:rPr>
          <w:sz w:val="18"/>
        </w:rPr>
        <w:t>在本附加合同保险期间内，若被保险人为女性且于等待期后因疾病导致被保险人首次发病并经专科医生首次确诊患有本附加合同约定的乳腺癌</w:t>
      </w:r>
      <w:r>
        <w:rPr>
          <w:b/>
          <w:sz w:val="18"/>
        </w:rPr>
        <w:t>（见释义）</w:t>
      </w:r>
      <w:r>
        <w:rPr>
          <w:sz w:val="18"/>
        </w:rPr>
        <w:t>或子宫癌</w:t>
      </w:r>
      <w:r>
        <w:rPr>
          <w:b/>
          <w:sz w:val="18"/>
        </w:rPr>
        <w:t>（见释义）</w:t>
      </w:r>
      <w:r>
        <w:rPr>
          <w:sz w:val="18"/>
        </w:rPr>
        <w:t>，除上述重大疾病保险金， </w:t>
      </w:r>
      <w:r>
        <w:rPr>
          <w:spacing w:val="0"/>
          <w:sz w:val="18"/>
        </w:rPr>
        <w:t>我们将按本附加合同所载的基本保险金额的 </w:t>
      </w:r>
      <w:r>
        <w:rPr>
          <w:rFonts w:ascii="Arial" w:eastAsia="Arial"/>
          <w:sz w:val="18"/>
        </w:rPr>
        <w:t>50%</w:t>
      </w:r>
      <w:r>
        <w:rPr>
          <w:sz w:val="18"/>
        </w:rPr>
        <w:t>给付额外给付保险金，《如意两全保险（</w:t>
      </w:r>
      <w:r>
        <w:rPr>
          <w:rFonts w:ascii="Arial" w:eastAsia="Arial"/>
          <w:sz w:val="18"/>
        </w:rPr>
        <w:t>A</w:t>
      </w:r>
      <w:r>
        <w:rPr>
          <w:rFonts w:ascii="Arial" w:eastAsia="Arial"/>
          <w:spacing w:val="11"/>
          <w:sz w:val="18"/>
        </w:rPr>
        <w:t> </w:t>
      </w:r>
      <w:r>
        <w:rPr>
          <w:sz w:val="18"/>
        </w:rPr>
        <w:t>款）》及本附加合同同时终止。</w:t>
      </w:r>
    </w:p>
    <w:p>
      <w:pPr>
        <w:pStyle w:val="ListParagraph"/>
        <w:numPr>
          <w:ilvl w:val="3"/>
          <w:numId w:val="4"/>
        </w:numPr>
        <w:tabs>
          <w:tab w:pos="2238" w:val="left" w:leader="none"/>
        </w:tabs>
        <w:spacing w:line="345" w:lineRule="auto" w:before="38" w:after="0"/>
        <w:ind w:left="2238" w:right="145" w:hanging="708"/>
        <w:jc w:val="both"/>
        <w:rPr>
          <w:sz w:val="18"/>
        </w:rPr>
      </w:pPr>
      <w:r>
        <w:rPr>
          <w:sz w:val="18"/>
        </w:rPr>
        <w:t>在本附加合同保险期间内，若被保险人为男性且于等待期后因疾病导致被保险人首次发病并经专科医生首次确诊患有本附加合同约定的肝癌</w:t>
      </w:r>
      <w:r>
        <w:rPr>
          <w:b/>
          <w:sz w:val="18"/>
        </w:rPr>
        <w:t>（见释义）</w:t>
      </w:r>
      <w:r>
        <w:rPr>
          <w:sz w:val="18"/>
        </w:rPr>
        <w:t>或肺癌</w:t>
      </w:r>
      <w:r>
        <w:rPr>
          <w:b/>
          <w:sz w:val="18"/>
        </w:rPr>
        <w:t>（见释义）</w:t>
      </w:r>
      <w:r>
        <w:rPr>
          <w:sz w:val="18"/>
        </w:rPr>
        <w:t>，除上述重大疾病保险金，我们</w:t>
      </w:r>
      <w:r>
        <w:rPr>
          <w:spacing w:val="1"/>
          <w:sz w:val="18"/>
        </w:rPr>
        <w:t>将按本附加合同所载的基本保险金额的 </w:t>
      </w:r>
      <w:r>
        <w:rPr>
          <w:rFonts w:ascii="Arial" w:eastAsia="Arial"/>
          <w:sz w:val="18"/>
        </w:rPr>
        <w:t>50%</w:t>
      </w:r>
      <w:r>
        <w:rPr>
          <w:sz w:val="18"/>
        </w:rPr>
        <w:t>给付额外给付保险金，《如意两全保险（</w:t>
      </w:r>
      <w:r>
        <w:rPr>
          <w:rFonts w:ascii="Arial" w:eastAsia="Arial"/>
          <w:sz w:val="18"/>
        </w:rPr>
        <w:t>A</w:t>
      </w:r>
      <w:r>
        <w:rPr>
          <w:rFonts w:ascii="Arial" w:eastAsia="Arial"/>
          <w:spacing w:val="8"/>
          <w:sz w:val="18"/>
        </w:rPr>
        <w:t> </w:t>
      </w:r>
      <w:r>
        <w:rPr>
          <w:sz w:val="18"/>
        </w:rPr>
        <w:t>款）》及本附加合同同时终止。</w:t>
      </w:r>
    </w:p>
    <w:p>
      <w:pPr>
        <w:pStyle w:val="Heading3"/>
        <w:numPr>
          <w:ilvl w:val="1"/>
          <w:numId w:val="4"/>
        </w:numPr>
        <w:tabs>
          <w:tab w:pos="1102" w:val="left" w:leader="none"/>
          <w:tab w:pos="1103" w:val="left" w:leader="none"/>
        </w:tabs>
        <w:spacing w:line="240" w:lineRule="auto" w:before="38" w:after="0"/>
        <w:ind w:left="1102" w:right="0" w:hanging="544"/>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spacing w:after="0" w:line="240" w:lineRule="auto"/>
        <w:jc w:val="left"/>
        <w:rPr>
          <w:sz w:val="18"/>
        </w:rPr>
        <w:sectPr>
          <w:headerReference w:type="default" r:id="rId7"/>
          <w:pgSz w:w="11910" w:h="16840"/>
          <w:pgMar w:header="672" w:footer="757" w:top="860" w:bottom="940" w:left="880" w:right="700"/>
        </w:sectPr>
      </w:pPr>
    </w:p>
    <w:p>
      <w:pPr>
        <w:pStyle w:val="BodyText"/>
        <w:spacing w:before="9"/>
        <w:ind w:left="0"/>
        <w:rPr>
          <w:b/>
          <w:sz w:val="13"/>
        </w:rPr>
      </w:pPr>
    </w:p>
    <w:p>
      <w:pPr>
        <w:pStyle w:val="ListParagraph"/>
        <w:numPr>
          <w:ilvl w:val="2"/>
          <w:numId w:val="5"/>
        </w:numPr>
        <w:tabs>
          <w:tab w:pos="1672" w:val="left" w:leader="none"/>
        </w:tabs>
        <w:spacing w:line="340" w:lineRule="auto" w:before="53" w:after="0"/>
        <w:ind w:left="1671" w:right="116"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340" w:lineRule="auto" w:before="41" w:after="0"/>
        <w:ind w:left="1671" w:right="108" w:hanging="566"/>
        <w:jc w:val="left"/>
        <w:rPr>
          <w:b/>
          <w:sz w:val="18"/>
        </w:rPr>
      </w:pPr>
      <w:r>
        <w:rPr>
          <w:b/>
          <w:spacing w:val="2"/>
          <w:sz w:val="18"/>
        </w:rPr>
        <w:t>被保险人感染艾滋病病毒或患艾滋病（见释义</w:t>
      </w:r>
      <w:r>
        <w:rPr>
          <w:b/>
          <w:spacing w:val="3"/>
          <w:sz w:val="18"/>
        </w:rPr>
        <w:t>）（</w:t>
      </w:r>
      <w:r>
        <w:rPr>
          <w:b/>
          <w:spacing w:val="2"/>
          <w:sz w:val="18"/>
        </w:rPr>
        <w:t>急诊和医疗服务导致的艾滋病病毒感染（</w:t>
      </w:r>
      <w:r>
        <w:rPr>
          <w:b/>
          <w:spacing w:val="1"/>
          <w:sz w:val="18"/>
        </w:rPr>
        <w:t>见重大疾病释</w:t>
      </w:r>
      <w:r>
        <w:rPr>
          <w:b/>
          <w:spacing w:val="1"/>
          <w:w w:val="95"/>
          <w:sz w:val="18"/>
        </w:rPr>
        <w:t>义）除外）；</w:t>
      </w:r>
    </w:p>
    <w:p>
      <w:pPr>
        <w:pStyle w:val="ListParagraph"/>
        <w:numPr>
          <w:ilvl w:val="2"/>
          <w:numId w:val="5"/>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340" w:lineRule="auto" w:before="106" w:after="0"/>
        <w:ind w:left="1671" w:right="110" w:hanging="566"/>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5"/>
        </w:numPr>
        <w:tabs>
          <w:tab w:pos="1047" w:val="left" w:leader="none"/>
          <w:tab w:pos="1048" w:val="left" w:leader="none"/>
        </w:tabs>
        <w:spacing w:line="340" w:lineRule="auto" w:before="41"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5"/>
        </w:numPr>
        <w:tabs>
          <w:tab w:pos="1047" w:val="left" w:leader="none"/>
          <w:tab w:pos="1048" w:val="left" w:leader="none"/>
        </w:tabs>
        <w:spacing w:line="240" w:lineRule="auto" w:before="41"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1"/>
          <w:sz w:val="18"/>
        </w:rPr>
        <w:t> </w:t>
      </w:r>
      <w:r>
        <w:rPr>
          <w:spacing w:val="-1"/>
          <w:sz w:val="18"/>
        </w:rPr>
        <w:t>外其他情形导致被保险人发生保险事故，本附加合同终止，我们向您退还本附加合同的现金价值。</w:t>
      </w:r>
    </w:p>
    <w:p>
      <w:pPr>
        <w:pStyle w:val="Heading1"/>
      </w:pPr>
      <w:bookmarkStart w:name="_bookmark5" w:id="6"/>
      <w:bookmarkEnd w:id="6"/>
      <w:r>
        <w:rPr>
          <w:b w:val="0"/>
        </w:rPr>
      </w:r>
      <w:r>
        <w:rPr/>
        <w:t>第六条 保险期间</w:t>
      </w:r>
    </w:p>
    <w:p>
      <w:pPr>
        <w:pStyle w:val="BodyText"/>
        <w:tabs>
          <w:tab w:pos="1105" w:val="left" w:leader="none"/>
        </w:tabs>
        <w:spacing w:before="140"/>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5" w:val="left" w:leader="none"/>
          <w:tab w:pos="1106" w:val="left" w:leader="none"/>
        </w:tabs>
        <w:spacing w:line="338" w:lineRule="auto" w:before="141" w:after="0"/>
        <w:ind w:left="1105" w:right="109" w:hanging="567"/>
        <w:jc w:val="left"/>
        <w:rPr>
          <w:sz w:val="18"/>
        </w:rPr>
      </w:pPr>
      <w:r>
        <w:rPr>
          <w:sz w:val="18"/>
        </w:rPr>
        <w:t>在本附加合同的有效期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5"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7"/>
        </w:numPr>
        <w:tabs>
          <w:tab w:pos="1105" w:val="left" w:leader="none"/>
          <w:tab w:pos="1106" w:val="left" w:leader="none"/>
        </w:tabs>
        <w:spacing w:line="240" w:lineRule="auto" w:before="139" w:after="0"/>
        <w:ind w:left="1105" w:right="0" w:hanging="543"/>
        <w:jc w:val="left"/>
        <w:rPr>
          <w:sz w:val="18"/>
        </w:rPr>
      </w:pPr>
      <w:r>
        <w:rPr>
          <w:sz w:val="18"/>
        </w:rPr>
        <w:t>除本附加合同另有约定外，重大疾病保险金受益人、额外给付保险金受益人为被保险人本人。</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pacing w:val="-1"/>
          <w:sz w:val="18"/>
        </w:rPr>
        <w:t>被保险人为无民事行为能力人或限制民事行为能力人的，可以由其监护人指定受益人。</w:t>
      </w:r>
    </w:p>
    <w:p>
      <w:pPr>
        <w:pStyle w:val="ListParagraph"/>
        <w:numPr>
          <w:ilvl w:val="1"/>
          <w:numId w:val="7"/>
        </w:numPr>
        <w:tabs>
          <w:tab w:pos="1105" w:val="left" w:leader="none"/>
          <w:tab w:pos="1106" w:val="left" w:leader="none"/>
        </w:tabs>
        <w:spacing w:line="340" w:lineRule="auto" w:before="106" w:after="0"/>
        <w:ind w:left="1105" w:right="108" w:hanging="543"/>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105" w:val="left" w:leader="none"/>
          <w:tab w:pos="1106" w:val="left" w:leader="none"/>
        </w:tabs>
        <w:spacing w:line="240" w:lineRule="auto" w:before="41" w:after="0"/>
        <w:ind w:left="1105" w:right="0" w:hanging="543"/>
        <w:jc w:val="left"/>
        <w:rPr>
          <w:sz w:val="18"/>
        </w:rPr>
      </w:pPr>
      <w:r>
        <w:rPr>
          <w:sz w:val="18"/>
        </w:rPr>
        <w:t>您在指定和变更受益人时，必须经过被保险人同意。</w:t>
      </w:r>
    </w:p>
    <w:p>
      <w:pPr>
        <w:pStyle w:val="ListParagraph"/>
        <w:numPr>
          <w:ilvl w:val="1"/>
          <w:numId w:val="7"/>
        </w:numPr>
        <w:tabs>
          <w:tab w:pos="1105" w:val="left" w:leader="none"/>
          <w:tab w:pos="1106" w:val="left" w:leader="none"/>
        </w:tabs>
        <w:spacing w:line="340" w:lineRule="auto" w:before="106" w:after="0"/>
        <w:ind w:left="1105" w:right="108" w:hanging="543"/>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1"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6"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受益人与被保险人在同一事件中身故，且不能确定身故先后顺序的，推定受益人身故在先。</w:t>
      </w:r>
    </w:p>
    <w:p>
      <w:pPr>
        <w:pStyle w:val="ListParagraph"/>
        <w:numPr>
          <w:ilvl w:val="1"/>
          <w:numId w:val="7"/>
        </w:numPr>
        <w:tabs>
          <w:tab w:pos="1105" w:val="left" w:leader="none"/>
          <w:tab w:pos="1106" w:val="left" w:leader="none"/>
        </w:tabs>
        <w:spacing w:line="240" w:lineRule="auto" w:before="106" w:after="0"/>
        <w:ind w:left="1105" w:right="0" w:hanging="543"/>
        <w:jc w:val="left"/>
        <w:rPr>
          <w:sz w:val="18"/>
        </w:rPr>
      </w:pPr>
      <w:r>
        <w:rPr>
          <w:sz w:val="18"/>
        </w:rPr>
        <w:t>受益人故意造成被保险人身故、伤残、疾病的，或者故意杀害被保险人未遂的，该受益人丧失受益权。</w:t>
      </w:r>
    </w:p>
    <w:p>
      <w:pPr>
        <w:pStyle w:val="Heading1"/>
        <w:spacing w:before="103"/>
      </w:pPr>
      <w:bookmarkStart w:name="_bookmark8" w:id="9"/>
      <w:bookmarkEnd w:id="9"/>
      <w:r>
        <w:rPr>
          <w:b w:val="0"/>
        </w:rPr>
      </w:r>
      <w:r>
        <w:rPr/>
        <w:t>第九条 保险金申请</w:t>
      </w:r>
    </w:p>
    <w:p>
      <w:pPr>
        <w:pStyle w:val="ListParagraph"/>
        <w:numPr>
          <w:ilvl w:val="1"/>
          <w:numId w:val="8"/>
        </w:numPr>
        <w:tabs>
          <w:tab w:pos="1105" w:val="left" w:leader="none"/>
          <w:tab w:pos="1106" w:val="left" w:leader="none"/>
        </w:tabs>
        <w:spacing w:line="340" w:lineRule="auto" w:before="142" w:after="0"/>
        <w:ind w:left="1105" w:right="102" w:hanging="567"/>
        <w:jc w:val="left"/>
        <w:rPr>
          <w:sz w:val="18"/>
        </w:rPr>
      </w:pPr>
      <w:r>
        <w:rPr>
          <w:sz w:val="18"/>
        </w:rPr>
        <w:t>重大疾病保险金的申请人为重大疾病保险金受益人，额外给付保险金申请人为额外给付保险金受益人，在申请重大</w:t>
      </w:r>
      <w:r>
        <w:rPr>
          <w:spacing w:val="-1"/>
          <w:sz w:val="18"/>
        </w:rPr>
        <w:t>疾病保险金和额外给付保险金时，申请人须填写保险金给付申请书，并提供下列证明和资料：</w:t>
      </w:r>
    </w:p>
    <w:p>
      <w:pPr>
        <w:pStyle w:val="ListParagraph"/>
        <w:numPr>
          <w:ilvl w:val="2"/>
          <w:numId w:val="8"/>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申请人与被保险人的相关关系证明（如有需要）。</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1"/>
          <w:numId w:val="8"/>
        </w:numPr>
        <w:tabs>
          <w:tab w:pos="1105" w:val="left" w:leader="none"/>
          <w:tab w:pos="1106" w:val="left" w:leader="none"/>
        </w:tabs>
        <w:spacing w:line="240" w:lineRule="auto" w:before="53"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4"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除上述相关证明和资料外，我们如认为必要，可以对被保险人的身体进行检查，相关检查费用由我们承担。</w:t>
      </w:r>
    </w:p>
    <w:p>
      <w:pPr>
        <w:pStyle w:val="Heading1"/>
      </w:pPr>
      <w:bookmarkStart w:name="_bookmark9" w:id="10"/>
      <w:bookmarkEnd w:id="10"/>
      <w:r>
        <w:rPr>
          <w:b w:val="0"/>
        </w:rPr>
      </w:r>
      <w:r>
        <w:rPr/>
        <w:t>第十条 诉讼时效</w:t>
      </w:r>
    </w:p>
    <w:p>
      <w:pPr>
        <w:pStyle w:val="BodyText"/>
        <w:tabs>
          <w:tab w:pos="1105" w:val="left" w:leader="none"/>
        </w:tabs>
        <w:spacing w:before="141"/>
        <w:ind w:left="538"/>
      </w:pPr>
      <w:r>
        <w:rPr>
          <w:rFonts w:ascii="Arial" w:eastAsia="Arial"/>
        </w:rPr>
        <w:t>10.1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spacing w:before="104"/>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38"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您于本附加合同的有效期内按约定申请解除本附加合同；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4"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41"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642" w:val="left" w:leader="none"/>
          <w:tab w:pos="1643" w:val="left" w:leader="none"/>
        </w:tabs>
        <w:spacing w:line="240" w:lineRule="auto" w:before="106" w:after="0"/>
        <w:ind w:left="1642" w:right="0" w:hanging="506"/>
        <w:jc w:val="left"/>
        <w:rPr>
          <w:sz w:val="18"/>
        </w:rPr>
      </w:pPr>
      <w:r>
        <w:rPr>
          <w:w w:val="95"/>
          <w:sz w:val="18"/>
        </w:rPr>
        <w:t>保险合同；</w:t>
      </w:r>
    </w:p>
    <w:p>
      <w:pPr>
        <w:pStyle w:val="ListParagraph"/>
        <w:numPr>
          <w:ilvl w:val="2"/>
          <w:numId w:val="10"/>
        </w:numPr>
        <w:tabs>
          <w:tab w:pos="1642" w:val="left" w:leader="none"/>
          <w:tab w:pos="1643" w:val="left" w:leader="none"/>
        </w:tabs>
        <w:spacing w:line="240" w:lineRule="auto" w:before="106" w:after="0"/>
        <w:ind w:left="1642" w:right="0" w:hanging="506"/>
        <w:jc w:val="left"/>
        <w:rPr>
          <w:sz w:val="18"/>
        </w:rPr>
      </w:pPr>
      <w:r>
        <w:rPr>
          <w:w w:val="95"/>
          <w:sz w:val="18"/>
        </w:rPr>
        <w:t>您的有效身份证件。</w:t>
      </w:r>
    </w:p>
    <w:p>
      <w:pPr>
        <w:pStyle w:val="ListParagraph"/>
        <w:numPr>
          <w:ilvl w:val="1"/>
          <w:numId w:val="10"/>
        </w:numPr>
        <w:tabs>
          <w:tab w:pos="1106" w:val="left" w:leader="none"/>
        </w:tabs>
        <w:spacing w:line="350" w:lineRule="auto" w:before="104" w:after="0"/>
        <w:ind w:left="1105" w:right="98" w:hanging="567"/>
        <w:jc w:val="both"/>
        <w:rPr>
          <w:sz w:val="18"/>
        </w:rPr>
      </w:pPr>
      <w:r>
        <w:rPr>
          <w:sz w:val="18"/>
        </w:rPr>
        <w:t>如您在</w:t>
      </w:r>
      <w:r>
        <w:rPr>
          <w:b/>
          <w:sz w:val="18"/>
        </w:rPr>
        <w:t>犹豫期</w:t>
      </w:r>
      <w:r>
        <w:rPr>
          <w:sz w:val="18"/>
        </w:rPr>
        <w:t>（见释义）内申请解除本附加合同，自我们收到解除合同申请书时起，本附加合同终止，《如意两全保险（A</w:t>
      </w:r>
      <w:r>
        <w:rPr>
          <w:spacing w:val="10"/>
          <w:sz w:val="18"/>
        </w:rPr>
        <w:t> 款</w:t>
      </w:r>
      <w:r>
        <w:rPr>
          <w:sz w:val="18"/>
        </w:rPr>
        <w:t>）》亦一并解除，</w:t>
      </w:r>
      <w:r>
        <w:rPr>
          <w:b/>
          <w:sz w:val="18"/>
        </w:rPr>
        <w:t>我们自本附加合同生效日起自始不承担《如意两全保险（A</w:t>
      </w:r>
      <w:r>
        <w:rPr>
          <w:b/>
          <w:spacing w:val="7"/>
          <w:sz w:val="18"/>
        </w:rPr>
        <w:t> 款</w:t>
      </w:r>
      <w:r>
        <w:rPr>
          <w:b/>
          <w:sz w:val="18"/>
        </w:rPr>
        <w:t>）》及本附加合同的任何保险责任</w:t>
      </w:r>
      <w:r>
        <w:rPr>
          <w:spacing w:val="-4"/>
          <w:sz w:val="18"/>
        </w:rPr>
        <w:t>，并将自收到解除合同申请书之日起 </w:t>
      </w:r>
      <w:r>
        <w:rPr>
          <w:rFonts w:ascii="Arial" w:eastAsia="Arial"/>
          <w:sz w:val="18"/>
        </w:rPr>
        <w:t>30</w:t>
      </w:r>
      <w:r>
        <w:rPr>
          <w:rFonts w:ascii="Arial" w:eastAsia="Arial"/>
          <w:spacing w:val="-11"/>
          <w:sz w:val="18"/>
        </w:rPr>
        <w:t> </w:t>
      </w:r>
      <w:r>
        <w:rPr>
          <w:spacing w:val="-1"/>
          <w:sz w:val="18"/>
        </w:rPr>
        <w:t>日内无息退还已收保险费。</w:t>
      </w:r>
    </w:p>
    <w:p>
      <w:pPr>
        <w:pStyle w:val="ListParagraph"/>
        <w:numPr>
          <w:ilvl w:val="1"/>
          <w:numId w:val="10"/>
        </w:numPr>
        <w:tabs>
          <w:tab w:pos="1106" w:val="left" w:leader="none"/>
        </w:tabs>
        <w:spacing w:line="340" w:lineRule="auto" w:before="11" w:after="0"/>
        <w:ind w:left="1105" w:right="100" w:hanging="567"/>
        <w:jc w:val="both"/>
        <w:rPr>
          <w:sz w:val="18"/>
        </w:rPr>
      </w:pPr>
      <w:r>
        <w:rPr>
          <w:spacing w:val="5"/>
          <w:sz w:val="18"/>
        </w:rPr>
        <w:t>如您在犹豫期后申请解除本附加合同，自我们收到解除合同申请书时起，本附加合同终止，《如意两全保险</w:t>
      </w:r>
      <w:r>
        <w:rPr>
          <w:spacing w:val="2"/>
          <w:sz w:val="18"/>
        </w:rPr>
        <w:t>（A </w:t>
      </w:r>
      <w:r>
        <w:rPr>
          <w:sz w:val="18"/>
        </w:rPr>
        <w:t>款）</w:t>
      </w:r>
      <w:r>
        <w:rPr>
          <w:spacing w:val="-2"/>
          <w:sz w:val="18"/>
        </w:rPr>
        <w:t>》亦一并解除。我们自收到解除合同申请书之日起 </w:t>
      </w:r>
      <w:r>
        <w:rPr>
          <w:rFonts w:ascii="Arial" w:eastAsia="Arial"/>
          <w:sz w:val="18"/>
        </w:rPr>
        <w:t>30</w:t>
      </w:r>
      <w:r>
        <w:rPr>
          <w:rFonts w:ascii="Arial" w:eastAsia="Arial"/>
          <w:spacing w:val="-10"/>
          <w:sz w:val="18"/>
        </w:rPr>
        <w:t> </w:t>
      </w:r>
      <w:r>
        <w:rPr>
          <w:sz w:val="18"/>
        </w:rPr>
        <w:t>日内向您退还《如意两全保险（A</w:t>
      </w:r>
      <w:r>
        <w:rPr>
          <w:spacing w:val="-19"/>
          <w:sz w:val="18"/>
        </w:rPr>
        <w:t> 款</w:t>
      </w:r>
      <w:r>
        <w:rPr>
          <w:sz w:val="18"/>
        </w:rPr>
        <w:t>）》及本附加合同的现金价值。</w:t>
      </w:r>
    </w:p>
    <w:p>
      <w:pPr>
        <w:pStyle w:val="ListParagraph"/>
        <w:numPr>
          <w:ilvl w:val="1"/>
          <w:numId w:val="10"/>
        </w:numPr>
        <w:tabs>
          <w:tab w:pos="1105" w:val="left" w:leader="none"/>
          <w:tab w:pos="1106" w:val="left" w:leader="none"/>
        </w:tabs>
        <w:spacing w:line="240" w:lineRule="auto" w:before="41" w:after="0"/>
        <w:ind w:left="1105" w:right="0" w:hanging="567"/>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1"/>
        </w:numPr>
        <w:tabs>
          <w:tab w:pos="1105" w:val="left" w:leader="none"/>
          <w:tab w:pos="1106" w:val="left" w:leader="none"/>
        </w:tabs>
        <w:spacing w:line="240" w:lineRule="auto" w:before="138" w:after="0"/>
        <w:ind w:left="536" w:right="0" w:firstLine="2"/>
        <w:jc w:val="left"/>
        <w:rPr>
          <w:sz w:val="18"/>
        </w:rPr>
      </w:pPr>
      <w:r>
        <w:rPr>
          <w:sz w:val="18"/>
        </w:rPr>
        <w:t>恶性肿瘤</w:t>
      </w:r>
    </w:p>
    <w:p>
      <w:pPr>
        <w:pStyle w:val="BodyText"/>
        <w:spacing w:line="360" w:lineRule="auto" w:before="103"/>
        <w:ind w:left="951" w:right="15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5"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1"/>
        <w:ind w:left="1052"/>
      </w:pPr>
      <w:r>
        <w:rPr>
          <w:w w:val="95"/>
        </w:rPr>
        <w:t>（</w:t>
      </w:r>
      <w:r>
        <w:rPr>
          <w:rFonts w:ascii="Arial" w:eastAsia="Arial"/>
          <w:w w:val="95"/>
        </w:rPr>
        <w:t>1</w:t>
      </w:r>
      <w:r>
        <w:rPr>
          <w:w w:val="95"/>
        </w:rPr>
        <w:t>）原位癌；</w:t>
      </w:r>
    </w:p>
    <w:p>
      <w:pPr>
        <w:spacing w:before="104"/>
        <w:ind w:left="105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1"/>
        <w:ind w:left="105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1"/>
        <w:ind w:left="105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05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5"/>
        <w:ind w:left="105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急性心肌梗塞</w:t>
      </w:r>
    </w:p>
    <w:p>
      <w:pPr>
        <w:pStyle w:val="BodyText"/>
        <w:ind w:left="951"/>
      </w:pPr>
      <w:r>
        <w:rPr/>
        <w:t>指因冠状动脉阻塞导致的相应区域供血不足造成部分心肌坏死。须满足下列至少三项条件：</w:t>
      </w:r>
    </w:p>
    <w:p>
      <w:pPr>
        <w:pStyle w:val="BodyText"/>
        <w:spacing w:before="115"/>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ind w:left="1052"/>
      </w:pPr>
      <w:r>
        <w:rPr/>
        <w:t>（</w:t>
      </w:r>
      <w:r>
        <w:rPr>
          <w:rFonts w:ascii="Arial" w:eastAsia="Arial"/>
        </w:rPr>
        <w:t>3</w:t>
      </w:r>
      <w:r>
        <w:rPr/>
        <w:t>）心肌酶或肌钙蛋白有诊断意义的升高，或呈符合急性心肌梗塞的动态性变化；</w:t>
      </w:r>
    </w:p>
    <w:p>
      <w:pPr>
        <w:pStyle w:val="BodyText"/>
        <w:spacing w:before="103"/>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5" w:val="left" w:leader="none"/>
          <w:tab w:pos="1106" w:val="left" w:leader="none"/>
        </w:tabs>
        <w:spacing w:line="240" w:lineRule="auto" w:before="104"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03" w:after="0"/>
        <w:ind w:left="536" w:right="0" w:firstLine="2"/>
        <w:jc w:val="left"/>
        <w:rPr>
          <w:sz w:val="18"/>
        </w:rPr>
      </w:pPr>
      <w:r>
        <w:rPr>
          <w:sz w:val="18"/>
        </w:rPr>
        <w:t>重大器官移植术或造血干细胞移植术</w:t>
      </w:r>
    </w:p>
    <w:p>
      <w:pPr>
        <w:pStyle w:val="BodyText"/>
        <w:spacing w:before="103"/>
        <w:ind w:left="951"/>
        <w:jc w:val="both"/>
      </w:pPr>
      <w:r>
        <w:rPr/>
        <w:t>重大器官移植术，指因相应器官功能衰竭，已经实施了肾脏、肝脏、心脏或肺脏的异体移植手术。</w:t>
      </w:r>
    </w:p>
    <w:p>
      <w:pPr>
        <w:pStyle w:val="BodyText"/>
        <w:spacing w:line="357"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31" w:after="0"/>
        <w:ind w:left="536" w:right="0" w:firstLine="2"/>
        <w:jc w:val="left"/>
        <w:rPr>
          <w:sz w:val="18"/>
        </w:rPr>
      </w:pPr>
      <w:r>
        <w:rPr>
          <w:sz w:val="18"/>
        </w:rPr>
        <w:t>冠状动脉搭桥术（或称冠状动脉旁路移植术）</w:t>
      </w:r>
    </w:p>
    <w:p>
      <w:pPr>
        <w:pStyle w:val="BodyText"/>
        <w:ind w:left="951"/>
        <w:jc w:val="both"/>
      </w:pPr>
      <w:r>
        <w:rPr/>
        <w:t>指为治疗严重的冠心病，实际实施了开胸进行的冠状动脉血管旁路移植的手术。</w:t>
      </w:r>
    </w:p>
    <w:p>
      <w:pPr>
        <w:pStyle w:val="BodyText"/>
        <w:spacing w:before="114"/>
        <w:ind w:left="951"/>
        <w:jc w:val="both"/>
      </w:pPr>
      <w:r>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终末期肾病（或称慢性肾功能衰竭尿毒症期）</w:t>
      </w:r>
    </w:p>
    <w:p>
      <w:pPr>
        <w:pStyle w:val="BodyText"/>
        <w:spacing w:line="338" w:lineRule="auto"/>
        <w:ind w:left="951" w:right="16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5" w:val="left" w:leader="none"/>
          <w:tab w:pos="1106" w:val="left" w:leader="none"/>
        </w:tabs>
        <w:spacing w:line="240" w:lineRule="auto" w:before="45" w:after="0"/>
        <w:ind w:left="536" w:right="0" w:firstLine="2"/>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3"/>
        <w:ind w:left="1131"/>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3" w:after="0"/>
        <w:ind w:left="536" w:right="0" w:firstLine="2"/>
        <w:jc w:val="left"/>
        <w:rPr>
          <w:sz w:val="18"/>
        </w:rPr>
      </w:pPr>
      <w:r>
        <w:rPr>
          <w:sz w:val="18"/>
        </w:rPr>
        <w:t>良性脑肿瘤</w:t>
      </w:r>
    </w:p>
    <w:p>
      <w:pPr>
        <w:pStyle w:val="BodyText"/>
        <w:spacing w:line="348" w:lineRule="auto" w:before="103"/>
        <w:ind w:left="951" w:right="13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5"/>
        <w:ind w:left="1131"/>
      </w:pPr>
      <w:r>
        <w:rPr>
          <w:w w:val="95"/>
        </w:rPr>
        <w:t>（</w:t>
      </w:r>
      <w:r>
        <w:rPr>
          <w:rFonts w:ascii="Arial" w:eastAsia="Arial"/>
          <w:w w:val="95"/>
        </w:rPr>
        <w:t>1</w:t>
      </w:r>
      <w:r>
        <w:rPr>
          <w:w w:val="95"/>
        </w:rPr>
        <w:t>）实际实施了开颅进行的脑肿瘤完全切除或部分切除的手术；</w:t>
      </w:r>
    </w:p>
    <w:p>
      <w:pPr>
        <w:pStyle w:val="BodyText"/>
        <w:spacing w:before="101"/>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6" w:after="0"/>
        <w:ind w:left="536" w:right="0" w:firstLine="2"/>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7"/>
        <w:ind w:left="1071"/>
      </w:pPr>
      <w:r>
        <w:rPr/>
        <w:t>（</w:t>
      </w:r>
      <w:r>
        <w:rPr>
          <w:rFonts w:ascii="Arial" w:eastAsia="Arial"/>
        </w:rPr>
        <w:t>1</w:t>
      </w:r>
      <w:r>
        <w:rPr/>
        <w:t>）持续性黄疸；</w:t>
      </w:r>
    </w:p>
    <w:p>
      <w:pPr>
        <w:pStyle w:val="BodyText"/>
        <w:spacing w:before="102"/>
        <w:ind w:left="1071"/>
      </w:pPr>
      <w:r>
        <w:rPr/>
        <w:t>（</w:t>
      </w:r>
      <w:r>
        <w:rPr>
          <w:rFonts w:ascii="Arial" w:eastAsia="Arial"/>
        </w:rPr>
        <w:t>2</w:t>
      </w:r>
      <w:r>
        <w:rPr/>
        <w:t>）腹水；</w:t>
      </w:r>
    </w:p>
    <w:p>
      <w:pPr>
        <w:pStyle w:val="BodyText"/>
        <w:spacing w:before="102"/>
        <w:ind w:left="1071"/>
      </w:pPr>
      <w:r>
        <w:rPr/>
        <w:t>（</w:t>
      </w:r>
      <w:r>
        <w:rPr>
          <w:rFonts w:ascii="Arial" w:eastAsia="Arial"/>
        </w:rPr>
        <w:t>3</w:t>
      </w:r>
      <w:r>
        <w:rPr/>
        <w:t>）肝性脑病；</w:t>
      </w:r>
    </w:p>
    <w:p>
      <w:pPr>
        <w:spacing w:line="340" w:lineRule="auto" w:before="102"/>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6" w:val="left" w:leader="none"/>
        </w:tabs>
        <w:spacing w:line="240" w:lineRule="auto" w:before="41" w:after="0"/>
        <w:ind w:left="536" w:right="0" w:firstLine="2"/>
        <w:jc w:val="left"/>
        <w:rPr>
          <w:sz w:val="18"/>
        </w:rPr>
      </w:pPr>
      <w:r>
        <w:rPr>
          <w:sz w:val="18"/>
        </w:rPr>
        <w:t>深度昏迷</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BodyText"/>
        <w:spacing w:line="340" w:lineRule="auto" w:before="53"/>
        <w:ind w:left="951" w:right="121"/>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7"/>
        <w:ind w:left="951"/>
      </w:pPr>
      <w:r>
        <w:rPr>
          <w:w w:val="95"/>
        </w:rPr>
        <w:t>因酗酒或药物滥用导致的深度昏迷不在保障范围内。</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双耳失聪</w:t>
      </w:r>
    </w:p>
    <w:p>
      <w:pPr>
        <w:pStyle w:val="BodyText"/>
        <w:ind w:left="961"/>
      </w:pPr>
      <w:r>
        <w:rPr/>
        <w:t>指因疾病或意外伤害导致双耳听力</w:t>
      </w:r>
      <w:r>
        <w:rPr>
          <w:b/>
        </w:rPr>
        <w:t>永久不可逆</w:t>
      </w:r>
      <w:r>
        <w:rPr/>
        <w:t>（见释义）</w:t>
      </w:r>
      <w:r>
        <w:rPr>
          <w:spacing w:val="-10"/>
        </w:rPr>
        <w:t>性丧失，在 </w:t>
      </w:r>
      <w:r>
        <w:rPr/>
        <w:t>500</w:t>
      </w:r>
      <w:r>
        <w:rPr>
          <w:spacing w:val="-12"/>
        </w:rPr>
        <w:t> 赫兹、</w:t>
      </w:r>
      <w:r>
        <w:rPr/>
        <w:t>1000</w:t>
      </w:r>
      <w:r>
        <w:rPr>
          <w:spacing w:val="-20"/>
        </w:rPr>
        <w:t> 赫兹和 </w:t>
      </w:r>
      <w:r>
        <w:rPr/>
        <w:t>2000</w:t>
      </w:r>
      <w:r>
        <w:rPr>
          <w:spacing w:val="-7"/>
        </w:rPr>
        <w:t> 赫兹语音频率下，</w:t>
      </w:r>
    </w:p>
    <w:p>
      <w:pPr>
        <w:pStyle w:val="BodyText"/>
        <w:spacing w:before="114"/>
        <w:ind w:left="961"/>
      </w:pPr>
      <w:r>
        <w:rPr/>
        <w:t>平均听阈大于 90 分贝，且经纯音听力测试、声导抗检测或听觉诱发电位检测等证实。</w:t>
      </w:r>
    </w:p>
    <w:p>
      <w:pPr>
        <w:pStyle w:val="ListParagraph"/>
        <w:numPr>
          <w:ilvl w:val="1"/>
          <w:numId w:val="11"/>
        </w:numPr>
        <w:tabs>
          <w:tab w:pos="1106" w:val="left" w:leader="none"/>
        </w:tabs>
        <w:spacing w:line="240" w:lineRule="auto" w:before="119" w:after="0"/>
        <w:ind w:left="536" w:right="0" w:firstLine="2"/>
        <w:jc w:val="left"/>
        <w:rPr>
          <w:sz w:val="18"/>
        </w:rPr>
      </w:pPr>
      <w:r>
        <w:rPr>
          <w:sz w:val="18"/>
        </w:rPr>
        <w:t>双目失明</w:t>
      </w:r>
    </w:p>
    <w:p>
      <w:pPr>
        <w:pStyle w:val="BodyText"/>
        <w:spacing w:before="101"/>
        <w:ind w:left="951"/>
      </w:pPr>
      <w:r>
        <w:rPr/>
        <w:t>指因疾病或意外伤害导致双眼视力永久不可逆性丧失，双眼中较好眼须满足下列至少一项条件：</w:t>
      </w:r>
    </w:p>
    <w:p>
      <w:pPr>
        <w:pStyle w:val="BodyText"/>
        <w:spacing w:before="116"/>
        <w:ind w:left="1251"/>
      </w:pPr>
      <w:r>
        <w:rPr>
          <w:w w:val="95"/>
        </w:rPr>
        <w:t>（</w:t>
      </w:r>
      <w:r>
        <w:rPr>
          <w:rFonts w:ascii="Arial" w:eastAsia="Arial"/>
          <w:w w:val="95"/>
        </w:rPr>
        <w:t>1</w:t>
      </w:r>
      <w:r>
        <w:rPr>
          <w:w w:val="95"/>
        </w:rPr>
        <w:t>）眼球缺失或摘除；</w:t>
      </w:r>
    </w:p>
    <w:p>
      <w:pPr>
        <w:pStyle w:val="BodyText"/>
        <w:spacing w:before="101"/>
        <w:ind w:left="972" w:right="1960"/>
        <w:jc w:val="center"/>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25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6" w:after="0"/>
        <w:ind w:left="536" w:right="0" w:firstLine="2"/>
        <w:jc w:val="left"/>
        <w:rPr>
          <w:sz w:val="18"/>
        </w:rPr>
      </w:pPr>
      <w:r>
        <w:rPr>
          <w:sz w:val="18"/>
        </w:rPr>
        <w:t>严重阿尔茨海默病</w:t>
      </w:r>
    </w:p>
    <w:p>
      <w:pPr>
        <w:pStyle w:val="BodyText"/>
        <w:spacing w:line="357" w:lineRule="auto" w:before="103"/>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40" w:lineRule="auto" w:before="3"/>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39"/>
        <w:ind w:left="83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严重脑损伤</w:t>
      </w:r>
    </w:p>
    <w:p>
      <w:pPr>
        <w:pStyle w:val="BodyText"/>
        <w:spacing w:line="340" w:lineRule="auto" w:before="105"/>
        <w:ind w:left="831" w:right="21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9"/>
        <w:ind w:left="1011"/>
      </w:pPr>
      <w:r>
        <w:rPr/>
        <w:t>（</w:t>
      </w:r>
      <w:r>
        <w:rPr>
          <w:rFonts w:ascii="Arial" w:eastAsia="Arial"/>
        </w:rPr>
        <w:t>1</w:t>
      </w:r>
      <w:r>
        <w:rPr/>
        <w:t>）一肢或一肢以上肢体机能完全丧失；</w:t>
      </w:r>
    </w:p>
    <w:p>
      <w:pPr>
        <w:pStyle w:val="BodyText"/>
        <w:spacing w:before="101"/>
        <w:ind w:left="1011"/>
      </w:pPr>
      <w:r>
        <w:rPr/>
        <w:t>（</w:t>
      </w:r>
      <w:r>
        <w:rPr>
          <w:rFonts w:ascii="Arial" w:eastAsia="Arial"/>
        </w:rPr>
        <w:t>2</w:t>
      </w:r>
      <w:r>
        <w:rPr/>
        <w:t>）语言能力或咀嚼吞咽能力完全丧失；</w:t>
      </w:r>
    </w:p>
    <w:p>
      <w:pPr>
        <w:pStyle w:val="BodyText"/>
        <w:spacing w:before="101"/>
        <w:ind w:left="1011"/>
      </w:pPr>
      <w:r>
        <w:rPr/>
        <w:t>（</w:t>
      </w:r>
      <w:r>
        <w:rPr>
          <w:rFonts w:ascii="Arial" w:eastAsia="Arial"/>
        </w:rPr>
        <w:t>3</w:t>
      </w:r>
      <w:r>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严重帕金森病</w:t>
      </w:r>
    </w:p>
    <w:p>
      <w:pPr>
        <w:pStyle w:val="BodyText"/>
        <w:ind w:left="831"/>
      </w:pPr>
      <w:r>
        <w:rPr/>
        <w:t>是一种中枢神经系统的退行性疾病，临床表现为震颤麻痹、共济失调等。须满足下列全部条件：</w:t>
      </w:r>
    </w:p>
    <w:p>
      <w:pPr>
        <w:pStyle w:val="BodyText"/>
        <w:spacing w:before="115"/>
        <w:ind w:left="1011"/>
      </w:pPr>
      <w:r>
        <w:rPr/>
        <w:t>（</w:t>
      </w:r>
      <w:r>
        <w:rPr>
          <w:rFonts w:ascii="Arial" w:eastAsia="Arial"/>
        </w:rPr>
        <w:t>1</w:t>
      </w:r>
      <w:r>
        <w:rPr/>
        <w:t>）药物治疗无法控制病情；</w:t>
      </w:r>
    </w:p>
    <w:p>
      <w:pPr>
        <w:spacing w:line="338"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4"/>
        <w:ind w:left="831"/>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4" w:after="0"/>
        <w:ind w:left="536" w:right="0" w:firstLine="2"/>
        <w:jc w:val="left"/>
        <w:rPr>
          <w:sz w:val="18"/>
        </w:rPr>
      </w:pPr>
      <w:r>
        <w:rPr>
          <w:spacing w:val="-1"/>
          <w:sz w:val="18"/>
        </w:rPr>
        <w:t>严重Ⅲ度烧伤</w:t>
      </w:r>
    </w:p>
    <w:p>
      <w:pPr>
        <w:pStyle w:val="BodyText"/>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6" w:val="left" w:leader="none"/>
        </w:tabs>
        <w:spacing w:line="240" w:lineRule="auto" w:before="6" w:after="0"/>
        <w:ind w:left="536" w:right="0" w:firstLine="2"/>
        <w:jc w:val="left"/>
        <w:rPr>
          <w:sz w:val="18"/>
        </w:rPr>
      </w:pPr>
      <w:r>
        <w:rPr>
          <w:spacing w:val="-1"/>
          <w:sz w:val="18"/>
        </w:rPr>
        <w:t>严重运动神经元病</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57" w:lineRule="auto" w:before="44"/>
        <w:ind w:left="831" w:right="455"/>
        <w:jc w:val="both"/>
      </w:pP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ListParagraph"/>
        <w:numPr>
          <w:ilvl w:val="1"/>
          <w:numId w:val="11"/>
        </w:numPr>
        <w:tabs>
          <w:tab w:pos="1106" w:val="left" w:leader="none"/>
        </w:tabs>
        <w:spacing w:line="240" w:lineRule="auto" w:before="28" w:after="0"/>
        <w:ind w:left="536" w:right="0" w:firstLine="2"/>
        <w:jc w:val="left"/>
        <w:rPr>
          <w:sz w:val="18"/>
        </w:rPr>
      </w:pPr>
      <w:r>
        <w:rPr>
          <w:sz w:val="18"/>
        </w:rPr>
        <w:t>语言能力丧失</w:t>
      </w:r>
    </w:p>
    <w:p>
      <w:pPr>
        <w:pStyle w:val="BodyText"/>
        <w:spacing w:line="338" w:lineRule="auto"/>
        <w:ind w:left="831" w:right="103"/>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ListParagraph"/>
        <w:numPr>
          <w:ilvl w:val="1"/>
          <w:numId w:val="11"/>
        </w:numPr>
        <w:tabs>
          <w:tab w:pos="1106" w:val="left" w:leader="none"/>
        </w:tabs>
        <w:spacing w:line="240" w:lineRule="auto" w:before="46" w:after="0"/>
        <w:ind w:left="536" w:right="0" w:firstLine="2"/>
        <w:jc w:val="left"/>
        <w:rPr>
          <w:sz w:val="18"/>
        </w:rPr>
      </w:pPr>
      <w:r>
        <w:rPr>
          <w:sz w:val="18"/>
        </w:rPr>
        <w:t>重型再生障碍性贫血</w:t>
      </w:r>
    </w:p>
    <w:p>
      <w:pPr>
        <w:pStyle w:val="BodyText"/>
        <w:spacing w:before="102"/>
        <w:ind w:left="831"/>
        <w:jc w:val="both"/>
      </w:pPr>
      <w:r>
        <w:rPr/>
        <w:t>指因骨髓造血功能慢性持续性衰竭导致的贫血、中性粒细胞减少及血小板减少。须满足下列全部条件：</w:t>
      </w:r>
    </w:p>
    <w:p>
      <w:pPr>
        <w:pStyle w:val="BodyText"/>
        <w:spacing w:before="117"/>
        <w:ind w:left="1011"/>
      </w:pPr>
      <w:r>
        <w:rPr/>
        <w:t>（</w:t>
      </w:r>
      <w:r>
        <w:rPr>
          <w:rFonts w:ascii="Arial" w:eastAsia="Arial"/>
        </w:rPr>
        <w:t>1</w:t>
      </w:r>
      <w:r>
        <w:rPr/>
        <w:t>）骨髓穿刺检查或骨髓活检结果支持诊断；</w:t>
      </w:r>
    </w:p>
    <w:p>
      <w:pPr>
        <w:pStyle w:val="BodyText"/>
        <w:spacing w:before="102"/>
        <w:ind w:left="1011"/>
      </w:pPr>
      <w:r>
        <w:rPr/>
        <w:t>（</w:t>
      </w:r>
      <w:r>
        <w:rPr>
          <w:rFonts w:ascii="Arial" w:eastAsia="Arial"/>
        </w:rPr>
        <w:t>2</w:t>
      </w:r>
      <w:r>
        <w:rPr/>
        <w:t>）外周血象须具备以下三项条件：</w:t>
      </w:r>
    </w:p>
    <w:p>
      <w:pPr>
        <w:pStyle w:val="BodyText"/>
        <w:spacing w:before="102"/>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2"/>
        <w:ind w:left="1611"/>
      </w:pPr>
      <w:r>
        <w:rPr/>
        <w:t>② 网织红细胞＜</w:t>
      </w:r>
      <w:r>
        <w:rPr>
          <w:rFonts w:ascii="Arial" w:hAnsi="Arial" w:eastAsia="Arial"/>
        </w:rPr>
        <w:t>1%</w:t>
      </w:r>
      <w:r>
        <w:rPr/>
        <w:t>；</w:t>
      </w:r>
    </w:p>
    <w:p>
      <w:pPr>
        <w:pStyle w:val="BodyText"/>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主动脉手术</w:t>
      </w:r>
    </w:p>
    <w:p>
      <w:pPr>
        <w:pStyle w:val="BodyText"/>
        <w:spacing w:line="357" w:lineRule="auto"/>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1"/>
        </w:numPr>
        <w:tabs>
          <w:tab w:pos="1106" w:val="left" w:leader="none"/>
        </w:tabs>
        <w:spacing w:line="240" w:lineRule="auto" w:before="119" w:after="0"/>
        <w:ind w:left="536" w:right="0" w:firstLine="2"/>
        <w:jc w:val="left"/>
        <w:rPr>
          <w:sz w:val="18"/>
        </w:rPr>
      </w:pPr>
      <w:r>
        <w:rPr>
          <w:sz w:val="18"/>
        </w:rPr>
        <w:t>多发性硬化</w:t>
      </w:r>
    </w:p>
    <w:p>
      <w:pPr>
        <w:pStyle w:val="BodyText"/>
        <w:spacing w:line="348" w:lineRule="auto"/>
        <w:ind w:left="831" w:right="268"/>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6" w:val="left" w:leader="none"/>
        </w:tabs>
        <w:spacing w:line="240" w:lineRule="auto" w:before="106" w:after="0"/>
        <w:ind w:left="536" w:right="0" w:firstLine="2"/>
        <w:jc w:val="left"/>
        <w:rPr>
          <w:sz w:val="18"/>
        </w:rPr>
      </w:pPr>
      <w:r>
        <w:rPr>
          <w:spacing w:val="-1"/>
          <w:sz w:val="18"/>
        </w:rPr>
        <w:t>肌营养不良症</w:t>
      </w:r>
    </w:p>
    <w:p>
      <w:pPr>
        <w:pStyle w:val="BodyText"/>
        <w:spacing w:line="360" w:lineRule="auto" w:before="102"/>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5"/>
        <w:ind w:left="1011"/>
      </w:pPr>
      <w:r>
        <w:rPr/>
        <w:t>（</w:t>
      </w:r>
      <w:r>
        <w:rPr>
          <w:rFonts w:ascii="Arial" w:eastAsia="Arial"/>
        </w:rPr>
        <w:t>1</w:t>
      </w:r>
      <w:r>
        <w:rPr/>
        <w:t>）家族史中有其他成员患相同疾病；</w:t>
      </w:r>
    </w:p>
    <w:p>
      <w:pPr>
        <w:pStyle w:val="BodyText"/>
        <w:spacing w:before="102"/>
        <w:ind w:left="1011"/>
      </w:pPr>
      <w:r>
        <w:rPr/>
        <w:t>（</w:t>
      </w:r>
      <w:r>
        <w:rPr>
          <w:rFonts w:ascii="Arial" w:eastAsia="Arial"/>
        </w:rPr>
        <w:t>2</w:t>
      </w:r>
      <w:r>
        <w:rPr/>
        <w:t>）临床表现包括：无感觉神经紊乱，正常脑脊液及轻微腱反射的减退；</w:t>
      </w:r>
    </w:p>
    <w:p>
      <w:pPr>
        <w:pStyle w:val="BodyText"/>
        <w:spacing w:before="102"/>
        <w:ind w:left="1011"/>
      </w:pPr>
      <w:r>
        <w:rPr/>
        <w:t>（</w:t>
      </w:r>
      <w:r>
        <w:rPr>
          <w:rFonts w:ascii="Arial" w:eastAsia="Arial"/>
        </w:rPr>
        <w:t>3</w:t>
      </w:r>
      <w:r>
        <w:rPr/>
        <w:t>）典型的肌电图；</w:t>
      </w:r>
    </w:p>
    <w:p>
      <w:pPr>
        <w:pStyle w:val="BodyText"/>
        <w:ind w:left="1011"/>
      </w:pPr>
      <w:r>
        <w:rPr/>
        <w:t>（</w:t>
      </w:r>
      <w:r>
        <w:rPr>
          <w:rFonts w:ascii="Arial" w:eastAsia="Arial"/>
        </w:rPr>
        <w:t>4</w:t>
      </w:r>
      <w:r>
        <w:rPr/>
        <w:t>）临床推测必须有肌肉或组织检查加以证实。</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急诊和医疗服务导致的艾滋病病毒感染</w:t>
      </w:r>
    </w:p>
    <w:p>
      <w:pPr>
        <w:pStyle w:val="BodyText"/>
        <w:spacing w:line="357" w:lineRule="auto"/>
        <w:ind w:left="831" w:right="453"/>
      </w:pPr>
      <w:r>
        <w:rPr/>
        <w:t>在本附加险保单签发日、合同签署日或复效日（取其最晚者）之后，被保险人在从事正常职业生活中感染艾滋病病毒，并且证实满足以下所有条件者：</w:t>
      </w:r>
    </w:p>
    <w:p>
      <w:pPr>
        <w:pStyle w:val="BodyText"/>
        <w:spacing w:before="26"/>
        <w:ind w:left="1071"/>
      </w:pPr>
      <w:r>
        <w:rPr/>
        <w:t>（</w:t>
      </w:r>
      <w:r>
        <w:rPr>
          <w:rFonts w:ascii="Arial" w:eastAsia="Arial"/>
        </w:rPr>
        <w:t>1</w:t>
      </w:r>
      <w:r>
        <w:rPr/>
        <w:t>）导致感染艾滋病病毒的意外伤害事故必须在意外发生后 </w:t>
      </w:r>
      <w:r>
        <w:rPr>
          <w:rFonts w:ascii="Arial" w:eastAsia="Arial"/>
        </w:rPr>
        <w:t>30 </w:t>
      </w:r>
      <w:r>
        <w:rPr/>
        <w:t>日内（含第 </w:t>
      </w:r>
      <w:r>
        <w:rPr>
          <w:rFonts w:ascii="Arial" w:eastAsia="Arial"/>
        </w:rPr>
        <w:t>30 </w:t>
      </w:r>
      <w:r>
        <w:rPr/>
        <w:t>日）向我们报告；</w:t>
      </w:r>
    </w:p>
    <w:p>
      <w:pPr>
        <w:pStyle w:val="BodyText"/>
        <w:ind w:left="1071"/>
      </w:pPr>
      <w:r>
        <w:rPr/>
        <w:t>（</w:t>
      </w:r>
      <w:r>
        <w:rPr>
          <w:rFonts w:ascii="Arial" w:eastAsia="Arial"/>
        </w:rPr>
        <w:t>2</w:t>
      </w:r>
      <w:r>
        <w:rPr/>
        <w:t>）导致意外伤害事故的明确的艾滋病病毒感染的液体的证据；</w:t>
      </w:r>
    </w:p>
    <w:p>
      <w:pPr>
        <w:pStyle w:val="BodyText"/>
        <w:spacing w:line="338" w:lineRule="auto" w:before="102"/>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ind w:left="831"/>
      </w:pPr>
      <w:r>
        <w:rPr>
          <w:w w:val="95"/>
        </w:rPr>
        <w:t>由其他途径感染的艾滋病病毒，包括性行为和静脉注射毒品不在保障范围内。</w:t>
      </w:r>
    </w:p>
    <w:p>
      <w:pPr>
        <w:pStyle w:val="BodyText"/>
        <w:spacing w:before="117"/>
        <w:ind w:left="819"/>
      </w:pPr>
      <w:r>
        <w:rPr/>
        <w:t>意外伤害事故后 </w:t>
      </w:r>
      <w:r>
        <w:rPr>
          <w:rFonts w:ascii="Arial" w:eastAsia="Arial"/>
        </w:rPr>
        <w:t>12 </w:t>
      </w:r>
      <w:r>
        <w:rPr/>
        <w:t>个月内需要进行进一步的血液检查以确认存在艾滋病病毒抗体的存在。</w:t>
      </w:r>
    </w:p>
    <w:p>
      <w:pPr>
        <w:pStyle w:val="BodyText"/>
        <w:spacing w:line="357" w:lineRule="auto" w:before="102"/>
        <w:ind w:left="831" w:right="274"/>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6" w:val="left" w:leader="none"/>
        </w:tabs>
        <w:spacing w:line="240" w:lineRule="auto" w:before="29" w:after="0"/>
        <w:ind w:left="536" w:right="0" w:firstLine="2"/>
        <w:jc w:val="left"/>
        <w:rPr>
          <w:sz w:val="18"/>
        </w:rPr>
      </w:pPr>
      <w:r>
        <w:rPr>
          <w:sz w:val="18"/>
        </w:rPr>
        <w:t>慢性复发性胰腺炎</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48" w:lineRule="auto" w:before="44"/>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pStyle w:val="BodyText"/>
        <w:spacing w:line="338" w:lineRule="auto" w:before="116"/>
        <w:ind w:left="831" w:right="153"/>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831"/>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1" w:after="0"/>
        <w:ind w:left="1292" w:right="5004"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4" w:val="left" w:leader="none"/>
        </w:tabs>
        <w:spacing w:line="240" w:lineRule="auto" w:before="103" w:after="0"/>
        <w:ind w:left="1333" w:right="4963" w:hanging="142"/>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1" w:after="0"/>
        <w:ind w:left="1383" w:right="4913"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1" w:after="0"/>
        <w:ind w:left="1402" w:right="4893"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3" w:val="left" w:leader="none"/>
        </w:tabs>
        <w:spacing w:line="240" w:lineRule="auto" w:before="102"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4" w:after="0"/>
        <w:ind w:left="1402" w:right="4713"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1"/>
        <w:ind w:left="831" w:right="266"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6" w:val="left" w:leader="none"/>
        </w:tabs>
        <w:spacing w:line="240" w:lineRule="auto" w:before="28" w:after="0"/>
        <w:ind w:left="536" w:right="0" w:firstLine="2"/>
        <w:jc w:val="left"/>
        <w:rPr>
          <w:sz w:val="18"/>
        </w:rPr>
      </w:pPr>
      <w:r>
        <w:rPr>
          <w:sz w:val="18"/>
        </w:rPr>
        <w:t>乙脑</w:t>
      </w:r>
    </w:p>
    <w:p>
      <w:pPr>
        <w:pStyle w:val="BodyText"/>
        <w:spacing w:line="357" w:lineRule="auto"/>
        <w:ind w:left="831" w:right="275"/>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9"/>
        <w:ind w:left="1011"/>
      </w:pPr>
      <w:r>
        <w:rPr/>
        <w:t>（</w:t>
      </w:r>
      <w:r>
        <w:rPr>
          <w:rFonts w:ascii="Arial" w:eastAsia="Arial"/>
        </w:rPr>
        <w:t>1</w:t>
      </w:r>
      <w:r>
        <w:rPr/>
        <w:t>）一肢以上感觉或运动功能完全丧失；</w:t>
      </w:r>
    </w:p>
    <w:p>
      <w:pPr>
        <w:pStyle w:val="BodyText"/>
        <w:spacing w:before="102"/>
        <w:ind w:left="1011"/>
      </w:pPr>
      <w:r>
        <w:rPr/>
        <w:t>（</w:t>
      </w:r>
      <w:r>
        <w:rPr>
          <w:rFonts w:ascii="Arial" w:eastAsia="Arial"/>
        </w:rPr>
        <w:t>2</w:t>
      </w:r>
      <w:r>
        <w:rPr/>
        <w:t>）两肢以上感觉或运动功能障碍而无法自理基本日常生活活动中的全部六项；</w:t>
      </w:r>
    </w:p>
    <w:p>
      <w:pPr>
        <w:pStyle w:val="BodyText"/>
        <w:spacing w:before="102"/>
        <w:ind w:left="1011"/>
      </w:pPr>
      <w:r>
        <w:rPr/>
        <w:t>（</w:t>
      </w:r>
      <w:r>
        <w:rPr>
          <w:rFonts w:ascii="Arial" w:eastAsia="Arial"/>
        </w:rPr>
        <w:t>3</w:t>
      </w:r>
      <w:r>
        <w:rPr/>
        <w:t>）植物人状态；</w:t>
      </w:r>
    </w:p>
    <w:p>
      <w:pPr>
        <w:pStyle w:val="BodyText"/>
        <w:spacing w:before="102"/>
        <w:ind w:left="1011"/>
      </w:pPr>
      <w:r>
        <w:rPr/>
        <w:t>（</w:t>
      </w:r>
      <w:r>
        <w:rPr>
          <w:rFonts w:ascii="Arial" w:eastAsia="Arial"/>
        </w:rPr>
        <w:t>4</w:t>
      </w:r>
      <w:r>
        <w:rPr/>
        <w:t>）完全丧失言语或咀嚼功能。</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植物人状态</w:t>
      </w:r>
    </w:p>
    <w:p>
      <w:pPr>
        <w:pStyle w:val="BodyText"/>
        <w:spacing w:line="357" w:lineRule="auto"/>
        <w:ind w:left="831" w:right="273"/>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29" w:after="0"/>
        <w:ind w:left="536" w:right="0" w:firstLine="2"/>
        <w:jc w:val="left"/>
        <w:rPr>
          <w:sz w:val="18"/>
        </w:rPr>
      </w:pPr>
      <w:r>
        <w:rPr>
          <w:sz w:val="18"/>
        </w:rPr>
        <w:t>终末期肺病</w:t>
      </w:r>
    </w:p>
    <w:p>
      <w:pPr>
        <w:pStyle w:val="BodyText"/>
        <w:ind w:left="831"/>
      </w:pPr>
      <w:r>
        <w:rPr/>
        <w:t>由我们认可的呼吸科专家确诊被保险人患有终末期肺病而出现慢性呼吸功能衰竭，其诊断标准包括以下各项：</w:t>
      </w:r>
    </w:p>
    <w:p>
      <w:pPr>
        <w:pStyle w:val="BodyText"/>
        <w:spacing w:before="117"/>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2"/>
        <w:ind w:left="1011"/>
      </w:pPr>
      <w:r>
        <w:rPr/>
        <w:t>（</w:t>
      </w:r>
      <w:r>
        <w:rPr>
          <w:rFonts w:ascii="Arial" w:eastAsia="Arial"/>
        </w:rPr>
        <w:t>2</w:t>
      </w:r>
      <w:r>
        <w:rPr/>
        <w:t>）病人缺氧必须广泛而持续地进行输氧治疗；</w:t>
      </w:r>
    </w:p>
    <w:p>
      <w:pPr>
        <w:pStyle w:val="BodyText"/>
        <w:spacing w:before="102"/>
        <w:ind w:left="972" w:right="5836"/>
        <w:jc w:val="center"/>
      </w:pPr>
      <w:r>
        <w:rPr/>
        <w:t>（</w:t>
      </w:r>
      <w:r>
        <w:rPr>
          <w:rFonts w:ascii="Arial" w:eastAsia="Arial"/>
        </w:rPr>
        <w:t>3</w:t>
      </w:r>
      <w:r>
        <w:rPr/>
        <w:t>）动脉血气分析氧分压低于 </w:t>
      </w:r>
      <w:r>
        <w:rPr>
          <w:rFonts w:ascii="Arial" w:eastAsia="Arial"/>
        </w:rPr>
        <w:t>55mmHg</w:t>
      </w:r>
      <w:r>
        <w:rPr/>
        <w:t>。</w:t>
      </w:r>
    </w:p>
    <w:p>
      <w:pPr>
        <w:pStyle w:val="BodyText"/>
        <w:spacing w:before="102"/>
        <w:ind w:left="831"/>
      </w:pPr>
      <w:r>
        <w:rPr/>
        <w:t>理赔时必须提供以上各项中相应的医院证明文件或检查报告。</w:t>
      </w:r>
    </w:p>
    <w:p>
      <w:pPr>
        <w:pStyle w:val="ListParagraph"/>
        <w:numPr>
          <w:ilvl w:val="1"/>
          <w:numId w:val="11"/>
        </w:numPr>
        <w:tabs>
          <w:tab w:pos="1106" w:val="left" w:leader="none"/>
        </w:tabs>
        <w:spacing w:line="240" w:lineRule="auto" w:before="120" w:after="0"/>
        <w:ind w:left="536" w:right="0" w:firstLine="2"/>
        <w:jc w:val="left"/>
        <w:rPr>
          <w:sz w:val="18"/>
        </w:rPr>
      </w:pPr>
      <w:r>
        <w:rPr>
          <w:sz w:val="18"/>
        </w:rPr>
        <w:t>严重脊髓灰质炎</w:t>
      </w:r>
    </w:p>
    <w:p>
      <w:pPr>
        <w:spacing w:line="357" w:lineRule="auto" w:before="101"/>
        <w:ind w:left="819" w:right="184" w:firstLine="0"/>
        <w:jc w:val="left"/>
        <w:rPr>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w:t>
      </w:r>
      <w:r>
        <w:rPr>
          <w:b/>
          <w:sz w:val="18"/>
        </w:rPr>
        <w:t>被保险人若无因此感染而导致</w:t>
      </w:r>
      <w:r>
        <w:rPr>
          <w:b/>
          <w:w w:val="95"/>
          <w:sz w:val="18"/>
        </w:rPr>
        <w:t>的瘫痪，则不符合理赔条件。未导致肢体瘫痪及其它病因所致的瘫痪，例如格林-巴利综合征（急性感染性多神经炎）    则不在保障范围内</w:t>
      </w:r>
      <w:r>
        <w:rPr>
          <w:w w:val="95"/>
          <w:sz w:val="18"/>
        </w:rPr>
        <w:t>。</w:t>
      </w:r>
    </w:p>
    <w:p>
      <w:pPr>
        <w:pStyle w:val="ListParagraph"/>
        <w:numPr>
          <w:ilvl w:val="1"/>
          <w:numId w:val="11"/>
        </w:numPr>
        <w:tabs>
          <w:tab w:pos="1106" w:val="left" w:leader="none"/>
        </w:tabs>
        <w:spacing w:line="340" w:lineRule="auto" w:before="28" w:after="0"/>
        <w:ind w:left="536" w:right="154"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13.23</w:t>
      </w:r>
      <w:r>
        <w:rPr>
          <w:rFonts w:ascii="Arial" w:eastAsia="Arial"/>
          <w:spacing w:val="-10"/>
          <w:sz w:val="18"/>
        </w:rPr>
        <w:t> </w:t>
      </w:r>
      <w:r>
        <w:rPr>
          <w:spacing w:val="-1"/>
          <w:sz w:val="18"/>
        </w:rPr>
        <w:t>为中国保险行业协会制定的《重大疾病保险的疾病定义使用规范》中所定义的疾病。</w:t>
      </w:r>
    </w:p>
    <w:p>
      <w:pPr>
        <w:spacing w:after="0" w:line="340" w:lineRule="auto"/>
        <w:jc w:val="left"/>
        <w:rPr>
          <w:sz w:val="18"/>
        </w:rPr>
        <w:sectPr>
          <w:pgSz w:w="11910" w:h="16840"/>
          <w:pgMar w:header="672" w:footer="757" w:top="860" w:bottom="940" w:left="880" w:right="740"/>
        </w:sectPr>
      </w:pPr>
    </w:p>
    <w:p>
      <w:pPr>
        <w:pStyle w:val="BodyText"/>
        <w:spacing w:before="1"/>
        <w:ind w:left="0"/>
        <w:rPr>
          <w:sz w:val="15"/>
        </w:rPr>
      </w:pPr>
    </w:p>
    <w:p>
      <w:pPr>
        <w:pStyle w:val="Heading1"/>
        <w:tabs>
          <w:tab w:pos="1623" w:val="left" w:leader="none"/>
        </w:tabs>
        <w:spacing w:before="36"/>
      </w:pPr>
      <w:bookmarkStart w:name="_bookmark13" w:id="14"/>
      <w:bookmarkEnd w:id="14"/>
      <w:r>
        <w:rPr>
          <w:b w:val="0"/>
        </w:rPr>
      </w:r>
      <w:r>
        <w:rPr/>
        <w:t>第十</w:t>
      </w:r>
      <w:r>
        <w:rPr>
          <w:spacing w:val="-3"/>
        </w:rPr>
        <w:t>四</w:t>
      </w:r>
      <w:r>
        <w:rPr/>
        <w:t>条</w:t>
        <w:tab/>
        <w:t>释义</w:t>
      </w:r>
    </w:p>
    <w:p>
      <w:pPr>
        <w:pStyle w:val="ListParagraph"/>
        <w:numPr>
          <w:ilvl w:val="1"/>
          <w:numId w:val="13"/>
        </w:numPr>
        <w:tabs>
          <w:tab w:pos="1263" w:val="left" w:leader="none"/>
          <w:tab w:pos="1264" w:val="left" w:leader="none"/>
        </w:tabs>
        <w:spacing w:line="240" w:lineRule="auto" w:before="141"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240" w:lineRule="auto" w:before="107" w:after="0"/>
        <w:ind w:left="1244" w:right="0" w:hanging="706"/>
        <w:jc w:val="left"/>
        <w:rPr>
          <w:sz w:val="18"/>
        </w:rPr>
      </w:pPr>
      <w:r>
        <w:rPr>
          <w:sz w:val="18"/>
        </w:rPr>
        <w:t>专科医生：专科医生应当同时满足以下四项资格条件：</w:t>
      </w:r>
    </w:p>
    <w:p>
      <w:pPr>
        <w:pStyle w:val="BodyText"/>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63" w:val="left" w:leader="none"/>
          <w:tab w:pos="1264" w:val="left" w:leader="none"/>
        </w:tabs>
        <w:spacing w:line="240" w:lineRule="auto" w:before="119" w:after="0"/>
        <w:ind w:left="1244" w:right="0" w:hanging="706"/>
        <w:jc w:val="left"/>
        <w:rPr>
          <w:sz w:val="18"/>
        </w:rPr>
      </w:pPr>
      <w:r>
        <w:rPr>
          <w:sz w:val="18"/>
        </w:rPr>
        <w:t>重大疾病：指本附加合同第十三条所约定的疾病、疾病状态或手术。</w:t>
      </w:r>
    </w:p>
    <w:p>
      <w:pPr>
        <w:pStyle w:val="ListParagraph"/>
        <w:numPr>
          <w:ilvl w:val="1"/>
          <w:numId w:val="13"/>
        </w:numPr>
        <w:tabs>
          <w:tab w:pos="1244" w:val="left" w:leader="none"/>
          <w:tab w:pos="1245" w:val="left" w:leader="none"/>
        </w:tabs>
        <w:spacing w:line="292" w:lineRule="auto" w:before="108" w:after="0"/>
        <w:ind w:left="1244" w:right="102" w:hanging="708"/>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3"/>
        </w:numPr>
        <w:tabs>
          <w:tab w:pos="1244" w:val="left" w:leader="none"/>
          <w:tab w:pos="1245" w:val="left" w:leader="none"/>
        </w:tabs>
        <w:spacing w:line="295" w:lineRule="auto" w:before="34" w:after="0"/>
        <w:ind w:left="1244" w:right="4044" w:hanging="706"/>
        <w:jc w:val="left"/>
        <w:rPr>
          <w:b/>
          <w:sz w:val="18"/>
        </w:rPr>
      </w:pPr>
      <w:r>
        <w:rPr>
          <w:spacing w:val="-2"/>
          <w:sz w:val="18"/>
        </w:rPr>
        <w:t>乳腺癌：原发于乳腺组织的恶性肿瘤，国际疾病分类码为 </w:t>
      </w:r>
      <w:r>
        <w:rPr>
          <w:sz w:val="18"/>
        </w:rPr>
        <w:t>C50。</w:t>
      </w:r>
      <w:r>
        <w:rPr>
          <w:b/>
          <w:w w:val="95"/>
          <w:sz w:val="18"/>
        </w:rPr>
        <w:t>下列疾病不在保障范围内：</w:t>
      </w:r>
    </w:p>
    <w:p>
      <w:pPr>
        <w:pStyle w:val="Heading3"/>
        <w:spacing w:before="73"/>
      </w:pPr>
      <w:r>
        <w:rPr>
          <w:w w:val="95"/>
        </w:rPr>
        <w:t>（1）原位癌；</w:t>
      </w:r>
    </w:p>
    <w:p>
      <w:pPr>
        <w:spacing w:before="115"/>
        <w:ind w:left="1244" w:right="0" w:firstLine="0"/>
        <w:jc w:val="left"/>
        <w:rPr>
          <w:b/>
          <w:sz w:val="18"/>
        </w:rPr>
      </w:pPr>
      <w:r>
        <w:rPr>
          <w:b/>
          <w:w w:val="95"/>
          <w:sz w:val="18"/>
        </w:rPr>
        <w:t>（2）转移至乳腺的其他恶性肿瘤；</w:t>
      </w:r>
    </w:p>
    <w:p>
      <w:pPr>
        <w:spacing w:before="115"/>
        <w:ind w:left="1244" w:right="0" w:firstLine="0"/>
        <w:jc w:val="left"/>
        <w:rPr>
          <w:b/>
          <w:sz w:val="18"/>
        </w:rPr>
      </w:pPr>
      <w:r>
        <w:rPr>
          <w:b/>
          <w:w w:val="95"/>
          <w:sz w:val="18"/>
        </w:rPr>
        <w:t>（3）感染艾滋病病毒或患艾滋病期间所患恶性肿瘤。</w:t>
      </w:r>
    </w:p>
    <w:p>
      <w:pPr>
        <w:pStyle w:val="ListParagraph"/>
        <w:numPr>
          <w:ilvl w:val="1"/>
          <w:numId w:val="13"/>
        </w:numPr>
        <w:tabs>
          <w:tab w:pos="1244" w:val="left" w:leader="none"/>
          <w:tab w:pos="1245" w:val="left" w:leader="none"/>
        </w:tabs>
        <w:spacing w:line="292" w:lineRule="auto" w:before="122" w:after="0"/>
        <w:ind w:left="1244" w:right="3387" w:hanging="706"/>
        <w:jc w:val="left"/>
        <w:rPr>
          <w:b/>
          <w:sz w:val="18"/>
        </w:rPr>
      </w:pPr>
      <w:r>
        <w:rPr>
          <w:sz w:val="18"/>
        </w:rPr>
        <w:t>子宫癌</w:t>
      </w:r>
      <w:r>
        <w:rPr>
          <w:b/>
          <w:sz w:val="18"/>
        </w:rPr>
        <w:t>：</w:t>
      </w:r>
      <w:r>
        <w:rPr>
          <w:spacing w:val="-3"/>
          <w:sz w:val="18"/>
        </w:rPr>
        <w:t>原发于子宫组织的恶性肿瘤，国际疾病分类码为 </w:t>
      </w:r>
      <w:r>
        <w:rPr>
          <w:rFonts w:ascii="Arial" w:eastAsia="Arial"/>
          <w:sz w:val="18"/>
        </w:rPr>
        <w:t>C53</w:t>
      </w:r>
      <w:r>
        <w:rPr>
          <w:rFonts w:ascii="Arial" w:eastAsia="Arial"/>
          <w:spacing w:val="-9"/>
          <w:sz w:val="18"/>
        </w:rPr>
        <w:t> </w:t>
      </w:r>
      <w:r>
        <w:rPr>
          <w:spacing w:val="-23"/>
          <w:sz w:val="18"/>
        </w:rPr>
        <w:t>和 </w:t>
      </w:r>
      <w:r>
        <w:rPr>
          <w:rFonts w:ascii="Arial" w:eastAsia="Arial"/>
          <w:sz w:val="18"/>
        </w:rPr>
        <w:t>C54</w:t>
      </w:r>
      <w:r>
        <w:rPr>
          <w:sz w:val="18"/>
        </w:rPr>
        <w:t>。</w:t>
      </w:r>
      <w:r>
        <w:rPr>
          <w:b/>
          <w:w w:val="95"/>
          <w:sz w:val="18"/>
        </w:rPr>
        <w:t>下列疾病不在保障范围内：</w:t>
      </w:r>
    </w:p>
    <w:p>
      <w:pPr>
        <w:pStyle w:val="Heading3"/>
        <w:spacing w:before="75"/>
      </w:pPr>
      <w:r>
        <w:rPr>
          <w:w w:val="95"/>
        </w:rPr>
        <w:t>（1）原位癌；</w:t>
      </w:r>
    </w:p>
    <w:p>
      <w:pPr>
        <w:spacing w:before="117"/>
        <w:ind w:left="1244" w:right="0" w:firstLine="0"/>
        <w:jc w:val="left"/>
        <w:rPr>
          <w:b/>
          <w:sz w:val="18"/>
        </w:rPr>
      </w:pPr>
      <w:r>
        <w:rPr>
          <w:b/>
          <w:w w:val="95"/>
          <w:sz w:val="18"/>
        </w:rPr>
        <w:t>（2）转移至子宫的其他恶性肿瘤；</w:t>
      </w:r>
    </w:p>
    <w:p>
      <w:pPr>
        <w:spacing w:before="115"/>
        <w:ind w:left="1244" w:right="0" w:firstLine="0"/>
        <w:jc w:val="left"/>
        <w:rPr>
          <w:b/>
          <w:sz w:val="18"/>
        </w:rPr>
      </w:pPr>
      <w:r>
        <w:rPr>
          <w:b/>
          <w:w w:val="95"/>
          <w:sz w:val="18"/>
        </w:rPr>
        <w:t>（3）感染艾滋病病毒或患艾滋病期间所患恶性肿瘤。</w:t>
      </w:r>
    </w:p>
    <w:p>
      <w:pPr>
        <w:pStyle w:val="ListParagraph"/>
        <w:numPr>
          <w:ilvl w:val="1"/>
          <w:numId w:val="13"/>
        </w:numPr>
        <w:tabs>
          <w:tab w:pos="1244" w:val="left" w:leader="none"/>
          <w:tab w:pos="1245" w:val="left" w:leader="none"/>
        </w:tabs>
        <w:spacing w:line="292" w:lineRule="auto" w:before="120" w:after="0"/>
        <w:ind w:left="1244" w:right="4344" w:hanging="706"/>
        <w:jc w:val="left"/>
        <w:rPr>
          <w:b/>
          <w:sz w:val="18"/>
        </w:rPr>
      </w:pPr>
      <w:r>
        <w:rPr>
          <w:sz w:val="18"/>
        </w:rPr>
        <w:t>肝癌</w:t>
      </w:r>
      <w:r>
        <w:rPr>
          <w:b/>
          <w:sz w:val="18"/>
        </w:rPr>
        <w:t>：</w:t>
      </w:r>
      <w:r>
        <w:rPr>
          <w:spacing w:val="-4"/>
          <w:sz w:val="18"/>
        </w:rPr>
        <w:t>原发于肝组织的恶性肿瘤，国际疾病分类码为 </w:t>
      </w:r>
      <w:r>
        <w:rPr>
          <w:rFonts w:ascii="Arial" w:eastAsia="Arial"/>
          <w:sz w:val="18"/>
        </w:rPr>
        <w:t>C22</w:t>
      </w:r>
      <w:r>
        <w:rPr>
          <w:sz w:val="18"/>
        </w:rPr>
        <w:t>。</w:t>
      </w:r>
      <w:r>
        <w:rPr>
          <w:b/>
          <w:w w:val="95"/>
          <w:sz w:val="18"/>
        </w:rPr>
        <w:t>下列疾病不在保障范围内：</w:t>
      </w:r>
    </w:p>
    <w:p>
      <w:pPr>
        <w:pStyle w:val="Heading3"/>
        <w:spacing w:before="78"/>
      </w:pPr>
      <w:r>
        <w:rPr>
          <w:w w:val="95"/>
        </w:rPr>
        <w:t>（1）原位癌；</w:t>
      </w:r>
    </w:p>
    <w:p>
      <w:pPr>
        <w:spacing w:before="115"/>
        <w:ind w:left="1244" w:right="0" w:firstLine="0"/>
        <w:jc w:val="left"/>
        <w:rPr>
          <w:b/>
          <w:sz w:val="18"/>
        </w:rPr>
      </w:pPr>
      <w:r>
        <w:rPr>
          <w:b/>
          <w:w w:val="95"/>
          <w:sz w:val="18"/>
        </w:rPr>
        <w:t>（2）转移至肝的其他恶性肿瘤；</w:t>
      </w:r>
    </w:p>
    <w:p>
      <w:pPr>
        <w:spacing w:before="115"/>
        <w:ind w:left="1244" w:right="0" w:firstLine="0"/>
        <w:jc w:val="left"/>
        <w:rPr>
          <w:b/>
          <w:sz w:val="18"/>
        </w:rPr>
      </w:pPr>
      <w:r>
        <w:rPr>
          <w:b/>
          <w:w w:val="95"/>
          <w:sz w:val="18"/>
        </w:rPr>
        <w:t>（3）感染艾滋病病毒或患艾滋病期间所患恶性肿瘤。</w:t>
      </w:r>
    </w:p>
    <w:p>
      <w:pPr>
        <w:pStyle w:val="ListParagraph"/>
        <w:numPr>
          <w:ilvl w:val="1"/>
          <w:numId w:val="13"/>
        </w:numPr>
        <w:tabs>
          <w:tab w:pos="1244" w:val="left" w:leader="none"/>
          <w:tab w:pos="1245" w:val="left" w:leader="none"/>
        </w:tabs>
        <w:spacing w:line="295" w:lineRule="auto" w:before="119" w:after="0"/>
        <w:ind w:left="1244" w:right="4404" w:hanging="706"/>
        <w:jc w:val="left"/>
        <w:rPr>
          <w:b/>
          <w:sz w:val="18"/>
        </w:rPr>
      </w:pPr>
      <w:r>
        <w:rPr>
          <w:spacing w:val="-2"/>
          <w:sz w:val="18"/>
        </w:rPr>
        <w:t>肺癌：原发于肺组织的恶性肿瘤，国际疾病分类码为 </w:t>
      </w:r>
      <w:r>
        <w:rPr>
          <w:sz w:val="18"/>
        </w:rPr>
        <w:t>C34。</w:t>
      </w:r>
      <w:r>
        <w:rPr>
          <w:b/>
          <w:w w:val="95"/>
          <w:sz w:val="18"/>
        </w:rPr>
        <w:t>下列疾病不在保障范围内：</w:t>
      </w:r>
    </w:p>
    <w:p>
      <w:pPr>
        <w:pStyle w:val="Heading3"/>
        <w:spacing w:before="73"/>
      </w:pPr>
      <w:r>
        <w:rPr>
          <w:w w:val="95"/>
        </w:rPr>
        <w:t>（1）原位癌；</w:t>
      </w:r>
    </w:p>
    <w:p>
      <w:pPr>
        <w:spacing w:before="115"/>
        <w:ind w:left="1244" w:right="0" w:firstLine="0"/>
        <w:jc w:val="left"/>
        <w:rPr>
          <w:b/>
          <w:sz w:val="18"/>
        </w:rPr>
      </w:pPr>
      <w:r>
        <w:rPr>
          <w:b/>
          <w:w w:val="95"/>
          <w:sz w:val="18"/>
        </w:rPr>
        <w:t>（2）转移至肺的其他恶性肿瘤；</w:t>
      </w:r>
    </w:p>
    <w:p>
      <w:pPr>
        <w:spacing w:before="117"/>
        <w:ind w:left="1244" w:right="0" w:firstLine="0"/>
        <w:jc w:val="left"/>
        <w:rPr>
          <w:b/>
          <w:sz w:val="18"/>
        </w:rPr>
      </w:pPr>
      <w:r>
        <w:rPr>
          <w:b/>
          <w:w w:val="95"/>
          <w:sz w:val="18"/>
        </w:rPr>
        <w:t>（3）感染艾滋病病毒或患艾滋病期间所患恶性肿瘤。</w:t>
      </w:r>
    </w:p>
    <w:p>
      <w:pPr>
        <w:pStyle w:val="ListParagraph"/>
        <w:numPr>
          <w:ilvl w:val="1"/>
          <w:numId w:val="13"/>
        </w:numPr>
        <w:tabs>
          <w:tab w:pos="1245" w:val="left" w:leader="none"/>
        </w:tabs>
        <w:spacing w:line="300" w:lineRule="auto" w:before="119" w:after="0"/>
        <w:ind w:left="1244" w:right="103" w:hanging="708"/>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44" w:val="left" w:leader="none"/>
          <w:tab w:pos="1245" w:val="left" w:leader="none"/>
        </w:tabs>
        <w:spacing w:line="292" w:lineRule="auto" w:before="29" w:after="0"/>
        <w:ind w:left="1244" w:right="104" w:hanging="708"/>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44" w:val="left" w:leader="none"/>
          <w:tab w:pos="1245" w:val="left" w:leader="none"/>
        </w:tabs>
        <w:spacing w:line="240" w:lineRule="auto" w:before="35" w:after="0"/>
        <w:ind w:left="1244" w:right="0" w:hanging="708"/>
        <w:jc w:val="left"/>
        <w:rPr>
          <w:sz w:val="18"/>
        </w:rPr>
      </w:pPr>
      <w:r>
        <w:rPr>
          <w:sz w:val="18"/>
        </w:rPr>
        <w:t>无合法有效驾驶证驾驶：是指下列情形之一：</w:t>
      </w:r>
    </w:p>
    <w:p>
      <w:pPr>
        <w:pStyle w:val="BodyText"/>
        <w:spacing w:before="53"/>
        <w:ind w:left="1244"/>
      </w:pPr>
      <w:r>
        <w:rPr/>
        <w:t>（1）没有取得驾驶资格；</w:t>
      </w:r>
    </w:p>
    <w:p>
      <w:pPr>
        <w:pStyle w:val="BodyText"/>
        <w:spacing w:before="116"/>
        <w:ind w:left="1244"/>
      </w:pPr>
      <w:r>
        <w:rPr/>
        <w:t>（2）驾驶与驾驶证准驾车型不相符合的车辆；</w:t>
      </w:r>
    </w:p>
    <w:p>
      <w:pPr>
        <w:pStyle w:val="BodyText"/>
        <w:spacing w:before="114"/>
        <w:ind w:left="1244"/>
      </w:pPr>
      <w:r>
        <w:rPr/>
        <w:t>（3）持审验不合格的驾驶证驾驶；</w:t>
      </w:r>
    </w:p>
    <w:p>
      <w:pPr>
        <w:pStyle w:val="BodyText"/>
        <w:spacing w:before="114"/>
        <w:ind w:left="1244"/>
      </w:pPr>
      <w:r>
        <w:rPr/>
        <w:t>（4）持学习驾驶证学习驾车时，无教练员随车指导，或不按指定时间、路线学习驾车。</w:t>
      </w:r>
    </w:p>
    <w:p>
      <w:pPr>
        <w:pStyle w:val="ListParagraph"/>
        <w:numPr>
          <w:ilvl w:val="1"/>
          <w:numId w:val="13"/>
        </w:numPr>
        <w:tabs>
          <w:tab w:pos="1244" w:val="left" w:leader="none"/>
          <w:tab w:pos="1245" w:val="left" w:leader="none"/>
        </w:tabs>
        <w:spacing w:line="240" w:lineRule="auto" w:before="119" w:after="0"/>
        <w:ind w:left="1244" w:right="0" w:hanging="708"/>
        <w:jc w:val="left"/>
        <w:rPr>
          <w:sz w:val="18"/>
        </w:rPr>
      </w:pPr>
      <w:r>
        <w:rPr>
          <w:sz w:val="18"/>
        </w:rPr>
        <w:t>无有效行驶证：是指下列情形之一：</w:t>
      </w:r>
    </w:p>
    <w:p>
      <w:pPr>
        <w:pStyle w:val="BodyText"/>
        <w:spacing w:before="56"/>
        <w:ind w:left="1244"/>
      </w:pPr>
      <w:r>
        <w:rPr/>
        <w:t>（1）没有机动车行驶证或已被依法注销登记；</w:t>
      </w:r>
    </w:p>
    <w:p>
      <w:pPr>
        <w:pStyle w:val="BodyText"/>
        <w:spacing w:before="114"/>
        <w:ind w:left="1244"/>
      </w:pPr>
      <w:r>
        <w:rPr/>
        <w:t>（2）未依法按时进行或通过机动车安全技术检验。</w:t>
      </w:r>
    </w:p>
    <w:p>
      <w:pPr>
        <w:spacing w:after="0"/>
        <w:sectPr>
          <w:pgSz w:w="11910" w:h="16840"/>
          <w:pgMar w:header="672" w:footer="757" w:top="860" w:bottom="940" w:left="880" w:right="740"/>
        </w:sectPr>
      </w:pPr>
    </w:p>
    <w:p>
      <w:pPr>
        <w:pStyle w:val="BodyText"/>
        <w:spacing w:before="9"/>
        <w:ind w:left="0"/>
        <w:rPr>
          <w:sz w:val="13"/>
        </w:rPr>
      </w:pPr>
    </w:p>
    <w:p>
      <w:pPr>
        <w:pStyle w:val="ListParagraph"/>
        <w:numPr>
          <w:ilvl w:val="1"/>
          <w:numId w:val="13"/>
        </w:numPr>
        <w:tabs>
          <w:tab w:pos="1284" w:val="left" w:leader="none"/>
        </w:tabs>
        <w:spacing w:line="340" w:lineRule="auto" w:before="53" w:after="0"/>
        <w:ind w:left="1264" w:right="54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64" w:val="left" w:leader="none"/>
          <w:tab w:pos="1265" w:val="left" w:leader="none"/>
        </w:tabs>
        <w:spacing w:line="292" w:lineRule="auto" w:before="43" w:after="0"/>
        <w:ind w:left="1264" w:right="544" w:hanging="708"/>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4" w:val="left" w:leader="none"/>
          <w:tab w:pos="1265" w:val="left" w:leader="none"/>
        </w:tabs>
        <w:spacing w:line="295" w:lineRule="auto" w:before="34" w:after="0"/>
        <w:ind w:left="1264" w:right="543" w:hanging="708"/>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4" w:val="left" w:leader="none"/>
          <w:tab w:pos="1265" w:val="left" w:leader="none"/>
        </w:tabs>
        <w:spacing w:line="295" w:lineRule="auto" w:before="30" w:after="0"/>
        <w:ind w:left="1264" w:right="544" w:hanging="708"/>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先天性畸形、变形或染色体异常：指被保险人出生时就具有的畸形、变形或染色体异常。先天性畸形、变形和染色体异常依照世界卫生组织《疾病和有关健康问题的国际统计分类》（ICD-10）确定。</w:t>
      </w:r>
    </w:p>
    <w:p>
      <w:pPr>
        <w:pStyle w:val="ListParagraph"/>
        <w:numPr>
          <w:ilvl w:val="1"/>
          <w:numId w:val="13"/>
        </w:numPr>
        <w:tabs>
          <w:tab w:pos="1264" w:val="left" w:leader="none"/>
          <w:tab w:pos="1265" w:val="left" w:leader="none"/>
        </w:tabs>
        <w:spacing w:line="240" w:lineRule="auto" w:before="32" w:after="0"/>
        <w:ind w:left="1264" w:right="0" w:hanging="708"/>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4" w:val="left" w:leader="none"/>
          <w:tab w:pos="1265" w:val="left" w:leader="none"/>
        </w:tabs>
        <w:spacing w:line="240" w:lineRule="auto" w:before="56" w:after="0"/>
        <w:ind w:left="1264" w:right="0" w:hanging="706"/>
        <w:jc w:val="left"/>
        <w:rPr>
          <w:sz w:val="18"/>
        </w:rPr>
      </w:pPr>
      <w:r>
        <w:rPr>
          <w:sz w:val="18"/>
        </w:rPr>
        <w:t>犹豫期：是指您在书面签收保险合同之日起的十日内（含第十日）。</w:t>
      </w:r>
    </w:p>
    <w:p>
      <w:pPr>
        <w:pStyle w:val="ListParagraph"/>
        <w:numPr>
          <w:ilvl w:val="1"/>
          <w:numId w:val="13"/>
        </w:numPr>
        <w:tabs>
          <w:tab w:pos="1283" w:val="left" w:leader="none"/>
          <w:tab w:pos="1284" w:val="left" w:leader="none"/>
        </w:tabs>
        <w:spacing w:line="340" w:lineRule="auto" w:before="107" w:after="0"/>
        <w:ind w:left="1264" w:right="540"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64" w:val="left" w:leader="none"/>
          <w:tab w:pos="1265" w:val="left" w:leader="none"/>
        </w:tabs>
        <w:spacing w:line="240" w:lineRule="auto" w:before="44" w:after="0"/>
        <w:ind w:left="1264" w:right="0" w:hanging="708"/>
        <w:jc w:val="left"/>
        <w:rPr>
          <w:sz w:val="18"/>
        </w:rPr>
      </w:pPr>
      <w:r>
        <w:rPr>
          <w:sz w:val="18"/>
        </w:rPr>
        <w:t>语言能力或咀嚼吞咽能力完全丧失：</w:t>
      </w:r>
    </w:p>
    <w:p>
      <w:pPr>
        <w:pStyle w:val="BodyText"/>
        <w:spacing w:line="360" w:lineRule="auto" w:before="57"/>
        <w:ind w:left="1264" w:right="544"/>
      </w:pPr>
      <w:r>
        <w:rPr/>
        <w:t>语言能力完全丧失，指无法发出四种语音（包括口唇音、齿舌音、口盖音和喉头音）中的任何三种、或声带全部切除，或因大脑语言中枢受伤害而患失语症。</w:t>
      </w:r>
    </w:p>
    <w:p>
      <w:pPr>
        <w:pStyle w:val="BodyText"/>
        <w:spacing w:line="360" w:lineRule="auto" w:before="30"/>
        <w:ind w:left="1264" w:right="544"/>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64" w:val="left" w:leader="none"/>
          <w:tab w:pos="1265" w:val="left" w:leader="none"/>
        </w:tabs>
        <w:spacing w:line="240" w:lineRule="auto" w:before="30" w:after="0"/>
        <w:ind w:left="1264" w:right="0" w:hanging="708"/>
        <w:jc w:val="left"/>
        <w:rPr>
          <w:sz w:val="18"/>
        </w:rPr>
      </w:pPr>
      <w:r>
        <w:rPr>
          <w:sz w:val="18"/>
        </w:rPr>
        <w:t>六项基本日常生活活动是指：</w:t>
      </w:r>
    </w:p>
    <w:p>
      <w:pPr>
        <w:pStyle w:val="BodyText"/>
        <w:spacing w:before="56"/>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3"/>
        </w:numPr>
        <w:tabs>
          <w:tab w:pos="1264" w:val="left" w:leader="none"/>
          <w:tab w:pos="1265" w:val="left" w:leader="none"/>
        </w:tabs>
        <w:spacing w:line="240" w:lineRule="auto" w:before="121" w:after="0"/>
        <w:ind w:left="1264" w:right="0" w:hanging="708"/>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BodyText"/>
        <w:spacing w:before="0"/>
        <w:ind w:left="0"/>
        <w:rPr>
          <w:sz w:val="20"/>
        </w:rPr>
      </w:pPr>
    </w:p>
    <w:p>
      <w:pPr>
        <w:pStyle w:val="BodyText"/>
        <w:spacing w:before="2"/>
        <w:ind w:left="0"/>
        <w:rPr>
          <w:sz w:val="12"/>
        </w:rPr>
      </w:pPr>
      <w:r>
        <w:rPr/>
        <w:pict>
          <v:line style="position:absolute;mso-position-horizontal-relative:page;mso-position-vertical-relative:paragraph;z-index:1072;mso-wrap-distance-left:0;mso-wrap-distance-right:0" from="48.119999pt,10.175895pt" to="575.279999pt,10.175895pt" stroked="true" strokeweight=".48pt" strokecolor="#000000">
            <v:stroke dashstyle="shortdot"/>
            <w10:wrap type="topAndBottom"/>
          </v:line>
        </w:pict>
      </w:r>
    </w:p>
    <w:p>
      <w:pPr>
        <w:spacing w:before="39"/>
        <w:ind w:left="4973" w:right="4976" w:firstLine="0"/>
        <w:jc w:val="center"/>
        <w:rPr>
          <w:sz w:val="20"/>
        </w:rPr>
      </w:pPr>
      <w:r>
        <w:rPr>
          <w:w w:val="95"/>
          <w:sz w:val="20"/>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2.35pt;height:11pt;mso-position-horizontal-relative:page;mso-position-vertical-relative:page;z-index:-14848" type="#_x0000_t202" filled="false" stroked="false">
          <v:textbox inset="0,0,0,0">
            <w:txbxContent>
              <w:p>
                <w:pPr>
                  <w:spacing w:before="15"/>
                  <w:ind w:left="20" w:right="0" w:firstLine="0"/>
                  <w:jc w:val="left"/>
                  <w:rPr>
                    <w:rFonts w:ascii="Arial"/>
                    <w:sz w:val="16"/>
                  </w:rPr>
                </w:pPr>
                <w:r>
                  <w:rPr>
                    <w:rFonts w:ascii="Arial"/>
                    <w:sz w:val="16"/>
                  </w:rPr>
                  <w:t>ACI06-A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4824"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spacing w:val="-47"/>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20" w:hanging="567"/>
      </w:pPr>
      <w:rPr>
        <w:rFonts w:hint="default"/>
      </w:rPr>
    </w:lvl>
    <w:lvl w:ilvl="3">
      <w:start w:val="0"/>
      <w:numFmt w:val="bullet"/>
      <w:lvlText w:val="•"/>
      <w:lvlJc w:val="left"/>
      <w:pPr>
        <w:ind w:left="2616" w:hanging="567"/>
      </w:pPr>
      <w:rPr>
        <w:rFonts w:hint="default"/>
      </w:rPr>
    </w:lvl>
    <w:lvl w:ilvl="4">
      <w:start w:val="0"/>
      <w:numFmt w:val="bullet"/>
      <w:lvlText w:val="•"/>
      <w:lvlJc w:val="left"/>
      <w:pPr>
        <w:ind w:left="3712" w:hanging="567"/>
      </w:pPr>
      <w:rPr>
        <w:rFonts w:hint="default"/>
      </w:rPr>
    </w:lvl>
    <w:lvl w:ilvl="5">
      <w:start w:val="0"/>
      <w:numFmt w:val="bullet"/>
      <w:lvlText w:val="•"/>
      <w:lvlJc w:val="left"/>
      <w:pPr>
        <w:ind w:left="4808" w:hanging="567"/>
      </w:pPr>
      <w:rPr>
        <w:rFonts w:hint="default"/>
      </w:rPr>
    </w:lvl>
    <w:lvl w:ilvl="6">
      <w:start w:val="0"/>
      <w:numFmt w:val="bullet"/>
      <w:lvlText w:val="•"/>
      <w:lvlJc w:val="left"/>
      <w:pPr>
        <w:ind w:left="5904"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96" w:hanging="567"/>
      </w:pPr>
      <w:rPr>
        <w:rFonts w:hint="default"/>
      </w:rPr>
    </w:lvl>
  </w:abstractNum>
  <w:abstractNum w:abstractNumId="9">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07"/>
        <w:jc w:val="left"/>
      </w:pPr>
      <w:rPr>
        <w:rFonts w:hint="default" w:ascii="Arial" w:hAnsi="Arial" w:eastAsia="Arial" w:cs="Arial"/>
        <w:w w:val="99"/>
        <w:sz w:val="18"/>
        <w:szCs w:val="18"/>
      </w:rPr>
    </w:lvl>
    <w:lvl w:ilvl="3">
      <w:start w:val="0"/>
      <w:numFmt w:val="bullet"/>
      <w:lvlText w:val="•"/>
      <w:lvlJc w:val="left"/>
      <w:pPr>
        <w:ind w:left="3561" w:hanging="507"/>
      </w:pPr>
      <w:rPr>
        <w:rFonts w:hint="default"/>
      </w:rPr>
    </w:lvl>
    <w:lvl w:ilvl="4">
      <w:start w:val="0"/>
      <w:numFmt w:val="bullet"/>
      <w:lvlText w:val="•"/>
      <w:lvlJc w:val="left"/>
      <w:pPr>
        <w:ind w:left="4522" w:hanging="507"/>
      </w:pPr>
      <w:rPr>
        <w:rFonts w:hint="default"/>
      </w:rPr>
    </w:lvl>
    <w:lvl w:ilvl="5">
      <w:start w:val="0"/>
      <w:numFmt w:val="bullet"/>
      <w:lvlText w:val="•"/>
      <w:lvlJc w:val="left"/>
      <w:pPr>
        <w:ind w:left="5483" w:hanging="507"/>
      </w:pPr>
      <w:rPr>
        <w:rFonts w:hint="default"/>
      </w:rPr>
    </w:lvl>
    <w:lvl w:ilvl="6">
      <w:start w:val="0"/>
      <w:numFmt w:val="bullet"/>
      <w:lvlText w:val="•"/>
      <w:lvlJc w:val="left"/>
      <w:pPr>
        <w:ind w:left="6444" w:hanging="507"/>
      </w:pPr>
      <w:rPr>
        <w:rFonts w:hint="default"/>
      </w:rPr>
    </w:lvl>
    <w:lvl w:ilvl="7">
      <w:start w:val="0"/>
      <w:numFmt w:val="bullet"/>
      <w:lvlText w:val="•"/>
      <w:lvlJc w:val="left"/>
      <w:pPr>
        <w:ind w:left="7405" w:hanging="507"/>
      </w:pPr>
      <w:rPr>
        <w:rFonts w:hint="default"/>
      </w:rPr>
    </w:lvl>
    <w:lvl w:ilvl="8">
      <w:start w:val="0"/>
      <w:numFmt w:val="bullet"/>
      <w:lvlText w:val="•"/>
      <w:lvlJc w:val="left"/>
      <w:pPr>
        <w:ind w:left="8366" w:hanging="507"/>
      </w:pPr>
      <w:rPr>
        <w:rFonts w:hint="default"/>
      </w:rPr>
    </w:lvl>
  </w:abstractNum>
  <w:abstractNum w:abstractNumId="8">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6">
    <w:multiLevelType w:val="hybridMultilevel"/>
    <w:lvl w:ilvl="0">
      <w:start w:val="8"/>
      <w:numFmt w:val="decimal"/>
      <w:lvlText w:val="%1"/>
      <w:lvlJc w:val="left"/>
      <w:pPr>
        <w:ind w:left="1105" w:hanging="543"/>
        <w:jc w:val="left"/>
      </w:pPr>
      <w:rPr>
        <w:rFonts w:hint="default"/>
      </w:rPr>
    </w:lvl>
    <w:lvl w:ilvl="1">
      <w:start w:val="1"/>
      <w:numFmt w:val="decimal"/>
      <w:lvlText w:val="%1.%2"/>
      <w:lvlJc w:val="left"/>
      <w:pPr>
        <w:ind w:left="1105" w:hanging="543"/>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601" w:hanging="569"/>
      </w:pPr>
      <w:rPr>
        <w:rFonts w:hint="default"/>
      </w:rPr>
    </w:lvl>
    <w:lvl w:ilvl="4">
      <w:start w:val="0"/>
      <w:numFmt w:val="bullet"/>
      <w:lvlText w:val="•"/>
      <w:lvlJc w:val="left"/>
      <w:pPr>
        <w:ind w:left="4562" w:hanging="569"/>
      </w:pPr>
      <w:rPr>
        <w:rFonts w:hint="default"/>
      </w:rPr>
    </w:lvl>
    <w:lvl w:ilvl="5">
      <w:start w:val="0"/>
      <w:numFmt w:val="bullet"/>
      <w:lvlText w:val="•"/>
      <w:lvlJc w:val="left"/>
      <w:pPr>
        <w:ind w:left="5523" w:hanging="569"/>
      </w:pPr>
      <w:rPr>
        <w:rFonts w:hint="default"/>
      </w:rPr>
    </w:lvl>
    <w:lvl w:ilvl="6">
      <w:start w:val="0"/>
      <w:numFmt w:val="bullet"/>
      <w:lvlText w:val="•"/>
      <w:lvlJc w:val="left"/>
      <w:pPr>
        <w:ind w:left="6484" w:hanging="569"/>
      </w:pPr>
      <w:rPr>
        <w:rFonts w:hint="default"/>
      </w:rPr>
    </w:lvl>
    <w:lvl w:ilvl="7">
      <w:start w:val="0"/>
      <w:numFmt w:val="bullet"/>
      <w:lvlText w:val="•"/>
      <w:lvlJc w:val="left"/>
      <w:pPr>
        <w:ind w:left="7445" w:hanging="569"/>
      </w:pPr>
      <w:rPr>
        <w:rFonts w:hint="default"/>
      </w:rPr>
    </w:lvl>
    <w:lvl w:ilvl="8">
      <w:start w:val="0"/>
      <w:numFmt w:val="bullet"/>
      <w:lvlText w:val="•"/>
      <w:lvlJc w:val="left"/>
      <w:pPr>
        <w:ind w:left="8406" w:hanging="569"/>
      </w:pPr>
      <w:rPr>
        <w:rFonts w:hint="default"/>
      </w:rPr>
    </w:lvl>
  </w:abstractNum>
  <w:abstractNum w:abstractNumId="3">
    <w:multiLevelType w:val="hybridMultilevel"/>
    <w:lvl w:ilvl="0">
      <w:start w:val="4"/>
      <w:numFmt w:val="decimal"/>
      <w:lvlText w:val="%1"/>
      <w:lvlJc w:val="left"/>
      <w:pPr>
        <w:ind w:left="2238" w:hanging="708"/>
        <w:jc w:val="left"/>
      </w:pPr>
      <w:rPr>
        <w:rFonts w:hint="default"/>
      </w:rPr>
    </w:lvl>
    <w:lvl w:ilvl="1">
      <w:start w:val="1"/>
      <w:numFmt w:val="decimal"/>
      <w:lvlText w:val="%1.%2"/>
      <w:lvlJc w:val="left"/>
      <w:pPr>
        <w:ind w:left="2238" w:hanging="708"/>
        <w:jc w:val="right"/>
      </w:pPr>
      <w:rPr>
        <w:rFonts w:hint="default"/>
      </w:rPr>
    </w:lvl>
    <w:lvl w:ilvl="2">
      <w:start w:val="3"/>
      <w:numFmt w:val="decimal"/>
      <w:lvlText w:val="%1.%2.%3"/>
      <w:lvlJc w:val="left"/>
      <w:pPr>
        <w:ind w:left="2238" w:hanging="708"/>
        <w:jc w:val="left"/>
      </w:pPr>
      <w:rPr>
        <w:rFonts w:hint="default"/>
      </w:rPr>
    </w:lvl>
    <w:lvl w:ilvl="3">
      <w:start w:val="1"/>
      <w:numFmt w:val="decimal"/>
      <w:lvlText w:val="%1.%2.%3.%4"/>
      <w:lvlJc w:val="left"/>
      <w:pPr>
        <w:ind w:left="2238" w:hanging="708"/>
        <w:jc w:val="left"/>
      </w:pPr>
      <w:rPr>
        <w:rFonts w:hint="default" w:ascii="Arial" w:hAnsi="Arial" w:eastAsia="Arial" w:cs="Arial"/>
        <w:spacing w:val="-2"/>
        <w:w w:val="99"/>
        <w:sz w:val="18"/>
        <w:szCs w:val="18"/>
      </w:rPr>
    </w:lvl>
    <w:lvl w:ilvl="4">
      <w:start w:val="0"/>
      <w:numFmt w:val="bullet"/>
      <w:lvlText w:val="•"/>
      <w:lvlJc w:val="left"/>
      <w:pPr>
        <w:ind w:left="5475" w:hanging="708"/>
      </w:pPr>
      <w:rPr>
        <w:rFonts w:hint="default"/>
      </w:rPr>
    </w:lvl>
    <w:lvl w:ilvl="5">
      <w:start w:val="0"/>
      <w:numFmt w:val="bullet"/>
      <w:lvlText w:val="•"/>
      <w:lvlJc w:val="left"/>
      <w:pPr>
        <w:ind w:left="6284" w:hanging="708"/>
      </w:pPr>
      <w:rPr>
        <w:rFonts w:hint="default"/>
      </w:rPr>
    </w:lvl>
    <w:lvl w:ilvl="6">
      <w:start w:val="0"/>
      <w:numFmt w:val="bullet"/>
      <w:lvlText w:val="•"/>
      <w:lvlJc w:val="left"/>
      <w:pPr>
        <w:ind w:left="7093" w:hanging="708"/>
      </w:pPr>
      <w:rPr>
        <w:rFonts w:hint="default"/>
      </w:rPr>
    </w:lvl>
    <w:lvl w:ilvl="7">
      <w:start w:val="0"/>
      <w:numFmt w:val="bullet"/>
      <w:lvlText w:val="•"/>
      <w:lvlJc w:val="left"/>
      <w:pPr>
        <w:ind w:left="7902" w:hanging="708"/>
      </w:pPr>
      <w:rPr>
        <w:rFonts w:hint="default"/>
      </w:rPr>
    </w:lvl>
    <w:lvl w:ilvl="8">
      <w:start w:val="0"/>
      <w:numFmt w:val="bullet"/>
      <w:lvlText w:val="•"/>
      <w:lvlJc w:val="left"/>
      <w:pPr>
        <w:ind w:left="8711" w:hanging="708"/>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ascii="Arial" w:hAnsi="Arial" w:eastAsia="Arial" w:cs="Arial"/>
        <w:w w:val="99"/>
        <w:sz w:val="18"/>
        <w:szCs w:val="18"/>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4)"/>
      <w:lvlJc w:val="left"/>
      <w:pPr>
        <w:ind w:left="2031" w:hanging="471"/>
        <w:jc w:val="left"/>
      </w:pPr>
      <w:rPr>
        <w:rFonts w:hint="default" w:ascii="Arial" w:hAnsi="Arial" w:eastAsia="Arial" w:cs="Arial"/>
        <w:w w:val="99"/>
        <w:sz w:val="18"/>
        <w:szCs w:val="18"/>
      </w:rPr>
    </w:lvl>
    <w:lvl w:ilvl="4">
      <w:start w:val="0"/>
      <w:numFmt w:val="bullet"/>
      <w:lvlText w:val="•"/>
      <w:lvlJc w:val="left"/>
      <w:pPr>
        <w:ind w:left="4112" w:hanging="471"/>
      </w:pPr>
      <w:rPr>
        <w:rFonts w:hint="default"/>
      </w:rPr>
    </w:lvl>
    <w:lvl w:ilvl="5">
      <w:start w:val="0"/>
      <w:numFmt w:val="bullet"/>
      <w:lvlText w:val="•"/>
      <w:lvlJc w:val="left"/>
      <w:pPr>
        <w:ind w:left="5148" w:hanging="471"/>
      </w:pPr>
      <w:rPr>
        <w:rFonts w:hint="default"/>
      </w:rPr>
    </w:lvl>
    <w:lvl w:ilvl="6">
      <w:start w:val="0"/>
      <w:numFmt w:val="bullet"/>
      <w:lvlText w:val="•"/>
      <w:lvlJc w:val="left"/>
      <w:pPr>
        <w:ind w:left="6184" w:hanging="471"/>
      </w:pPr>
      <w:rPr>
        <w:rFonts w:hint="default"/>
      </w:rPr>
    </w:lvl>
    <w:lvl w:ilvl="7">
      <w:start w:val="0"/>
      <w:numFmt w:val="bullet"/>
      <w:lvlText w:val="•"/>
      <w:lvlJc w:val="left"/>
      <w:pPr>
        <w:ind w:left="7220" w:hanging="471"/>
      </w:pPr>
      <w:rPr>
        <w:rFonts w:hint="default"/>
      </w:rPr>
    </w:lvl>
    <w:lvl w:ilvl="8">
      <w:start w:val="0"/>
      <w:numFmt w:val="bullet"/>
      <w:lvlText w:val="•"/>
      <w:lvlJc w:val="left"/>
      <w:pPr>
        <w:ind w:left="8256" w:hanging="471"/>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8"/>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536"/>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536" w:firstLine="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2018-10-19T23:52:57Z</dcterms:created>
  <dcterms:modified xsi:type="dcterms:W3CDTF">2018-10-19T23:52:57Z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