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0" w:right="0" w:firstLine="0"/>
        <w:jc w:val="center"/>
        <w:rPr>
          <w:b/>
          <w:sz w:val="44"/>
        </w:rPr>
      </w:pPr>
      <w:r>
        <w:rPr>
          <w:b/>
          <w:w w:val="95"/>
          <w:sz w:val="44"/>
        </w:rPr>
        <w:t>康宁短期团体重大疾病保险条款</w:t>
      </w:r>
    </w:p>
    <w:p>
      <w:pPr>
        <w:spacing w:line="300" w:lineRule="auto" w:before="0"/>
        <w:ind w:left="732" w:right="348" w:firstLine="0"/>
        <w:jc w:val="center"/>
        <w:rPr>
          <w:sz w:val="18"/>
        </w:rPr>
      </w:pPr>
      <w:r>
        <w:rPr/>
        <w:br w:type="column"/>
      </w:r>
      <w:r>
        <w:rPr>
          <w:sz w:val="18"/>
        </w:rPr>
        <w:t>昆仑健康</w:t>
      </w:r>
      <w:r>
        <w:rPr>
          <w:rFonts w:ascii="Times New Roman" w:eastAsia="Times New Roman"/>
          <w:sz w:val="18"/>
        </w:rPr>
        <w:t>[2012] </w:t>
      </w:r>
      <w:r>
        <w:rPr>
          <w:sz w:val="18"/>
        </w:rPr>
        <w:t>疾病保险 </w:t>
      </w:r>
      <w:r>
        <w:rPr>
          <w:rFonts w:ascii="Times New Roman" w:eastAsia="Times New Roman"/>
          <w:sz w:val="18"/>
        </w:rPr>
        <w:t>011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pStyle w:val="BodyText"/>
        <w:spacing w:before="10"/>
        <w:ind w:left="0"/>
        <w:rPr>
          <w:sz w:val="14"/>
        </w:rPr>
      </w:pPr>
    </w:p>
    <w:p>
      <w:pPr>
        <w:tabs>
          <w:tab w:pos="642" w:val="left" w:leader="none"/>
        </w:tabs>
        <w:spacing w:before="1"/>
        <w:ind w:left="0" w:right="1295" w:firstLine="0"/>
        <w:jc w:val="center"/>
        <w:rPr>
          <w:b/>
          <w:sz w:val="32"/>
        </w:rPr>
      </w:pPr>
      <w:r>
        <w:rPr>
          <w:b/>
          <w:sz w:val="32"/>
        </w:rPr>
        <w:t>目</w:t>
        <w:tab/>
        <w:t>录</w:t>
      </w:r>
    </w:p>
    <w:sdt>
      <w:sdtPr>
        <w:docPartObj>
          <w:docPartGallery w:val="Table of Contents"/>
          <w:docPartUnique/>
        </w:docPartObj>
      </w:sdtPr>
      <w:sdtEndPr/>
      <w:sdtContent>
        <w:p>
          <w:pPr>
            <w:pStyle w:val="TOC1"/>
            <w:tabs>
              <w:tab w:pos="8418" w:val="right" w:leader="dot"/>
            </w:tabs>
            <w:spacing w:before="137"/>
            <w:rPr>
              <w:rFonts w:ascii="Times New Roman" w:eastAsia="Times New Roman"/>
              <w:b w:val="0"/>
            </w:rPr>
          </w:pPr>
          <w:r>
            <w:fldChar w:fldCharType="begin"/>
          </w:r>
          <w:r>
            <w:instrText>TOC \o "1-2" \h \z \u </w:instrText>
          </w:r>
          <w:r>
            <w:fldChar w:fldCharType="separate"/>
          </w:r>
          <w:hyperlink w:history="true" w:anchor="_TOC_250026">
            <w:r>
              <w:rPr/>
              <w:t>第一部分</w:t>
            </w:r>
            <w:r>
              <w:rPr>
                <w:spacing w:val="-1"/>
              </w:rPr>
              <w:t> </w:t>
            </w:r>
            <w:r>
              <w:rPr/>
              <w:t>总则</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5">
            <w:r>
              <w:rPr/>
              <w:t>第一条</w:t>
              <w:tab/>
              <w:t>合同构成</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4">
            <w:r>
              <w:rPr/>
              <w:t>第二条</w:t>
              <w:tab/>
              <w:t>合同成立与生效</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3">
            <w:r>
              <w:rPr/>
              <w:t>第三条</w:t>
              <w:tab/>
              <w:t>犹豫期</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2">
            <w:r>
              <w:rPr/>
              <w:t>第四条</w:t>
              <w:tab/>
              <w:t>明确说明与如实告知</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1">
            <w:r>
              <w:rPr/>
              <w:t>第五条</w:t>
              <w:tab/>
              <w:t>本公司合同解除权的限制</w:t>
              <w:tab/>
            </w:r>
            <w:r>
              <w:rPr>
                <w:rFonts w:ascii="Times New Roman" w:eastAsia="Times New Roman"/>
                <w:b w:val="0"/>
              </w:rPr>
              <w:t>2</w:t>
            </w:r>
          </w:hyperlink>
        </w:p>
        <w:p>
          <w:pPr>
            <w:pStyle w:val="TOC1"/>
            <w:tabs>
              <w:tab w:pos="8416" w:val="right" w:leader="dot"/>
            </w:tabs>
            <w:rPr>
              <w:rFonts w:ascii="Times New Roman" w:eastAsia="Times New Roman"/>
              <w:b w:val="0"/>
            </w:rPr>
          </w:pPr>
          <w:hyperlink w:history="true" w:anchor="_TOC_250020">
            <w:r>
              <w:rPr/>
              <w:t>第二部分</w:t>
            </w:r>
            <w:r>
              <w:rPr>
                <w:spacing w:val="-1"/>
              </w:rPr>
              <w:t> </w:t>
            </w:r>
            <w:r>
              <w:rPr/>
              <w:t>保障利益条款</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19">
            <w:r>
              <w:rPr/>
              <w:t>第六条</w:t>
              <w:tab/>
              <w:t>保险对象</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18">
            <w:r>
              <w:rPr/>
              <w:t>第七条</w:t>
              <w:tab/>
              <w:t>保险责任</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17">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7" w:val="right" w:leader="dot"/>
            </w:tabs>
            <w:rPr>
              <w:rFonts w:ascii="Times New Roman" w:eastAsia="Times New Roman"/>
              <w:b w:val="0"/>
            </w:rPr>
          </w:pPr>
          <w:hyperlink w:history="true" w:anchor="_TOC_250016">
            <w:r>
              <w:rPr/>
              <w:t>第九条</w:t>
              <w:tab/>
              <w:t>保险期间和续保</w:t>
              <w:tab/>
            </w:r>
            <w:r>
              <w:rPr>
                <w:rFonts w:ascii="Times New Roman" w:eastAsia="Times New Roman"/>
                <w:b w:val="0"/>
              </w:rPr>
              <w:t>3</w:t>
            </w:r>
          </w:hyperlink>
        </w:p>
        <w:p>
          <w:pPr>
            <w:pStyle w:val="TOC2"/>
            <w:tabs>
              <w:tab w:pos="1587" w:val="left" w:leader="none"/>
              <w:tab w:pos="8417" w:val="right" w:leader="dot"/>
            </w:tabs>
            <w:rPr>
              <w:rFonts w:ascii="Times New Roman" w:eastAsia="Times New Roman"/>
              <w:b w:val="0"/>
            </w:rPr>
          </w:pPr>
          <w:hyperlink w:history="true" w:anchor="_TOC_250015">
            <w:r>
              <w:rPr/>
              <w:t>第十条</w:t>
              <w:tab/>
              <w:t>保险金额和保险费</w:t>
              <w:tab/>
            </w:r>
            <w:r>
              <w:rPr>
                <w:rFonts w:ascii="Times New Roman" w:eastAsia="Times New Roman"/>
                <w:b w:val="0"/>
              </w:rPr>
              <w:t>4</w:t>
            </w:r>
          </w:hyperlink>
        </w:p>
        <w:p>
          <w:pPr>
            <w:pStyle w:val="TOC1"/>
            <w:tabs>
              <w:tab w:pos="8416" w:val="right" w:leader="dot"/>
            </w:tabs>
            <w:rPr>
              <w:rFonts w:ascii="Times New Roman" w:eastAsia="Times New Roman"/>
              <w:b w:val="0"/>
            </w:rPr>
          </w:pPr>
          <w:hyperlink w:history="true" w:anchor="_TOC_250014">
            <w:r>
              <w:rPr/>
              <w:t>第三部分</w:t>
            </w:r>
            <w:r>
              <w:rPr>
                <w:spacing w:val="-1"/>
              </w:rPr>
              <w:t> </w:t>
            </w:r>
            <w:r>
              <w:rPr/>
              <w:t>保险服务条款</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3">
            <w:r>
              <w:rPr/>
              <w:t>第十一条</w:t>
              <w:tab/>
              <w:t>合同内容变更</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2">
            <w:r>
              <w:rPr/>
              <w:t>第十二条</w:t>
              <w:tab/>
              <w:t>受益人指定和变更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1">
            <w:r>
              <w:rPr/>
              <w:t>第十三条</w:t>
              <w:tab/>
              <w:t>被保险人变动</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0">
            <w:r>
              <w:rPr/>
              <w:t>第十四条</w:t>
              <w:tab/>
              <w:t>通讯地址变更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09">
            <w:r>
              <w:rPr/>
              <w:t>第十五条</w:t>
              <w:tab/>
              <w:t>年龄性别错误</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8">
            <w:r>
              <w:rPr/>
              <w:t>第十六条</w:t>
              <w:tab/>
              <w:t>合同解除</w:t>
              <w:tab/>
            </w:r>
            <w:r>
              <w:rPr>
                <w:rFonts w:ascii="Times New Roman" w:eastAsia="Times New Roman"/>
                <w:b w:val="0"/>
              </w:rPr>
              <w:t>5</w:t>
            </w:r>
          </w:hyperlink>
        </w:p>
        <w:p>
          <w:pPr>
            <w:pStyle w:val="TOC1"/>
            <w:tabs>
              <w:tab w:pos="8416" w:val="right" w:leader="dot"/>
            </w:tabs>
            <w:rPr>
              <w:rFonts w:ascii="Times New Roman" w:eastAsia="Times New Roman"/>
              <w:b w:val="0"/>
            </w:rPr>
          </w:pPr>
          <w:hyperlink w:history="true" w:anchor="_TOC_250007">
            <w:r>
              <w:rPr/>
              <w:t>第四部分</w:t>
            </w:r>
            <w:r>
              <w:rPr>
                <w:spacing w:val="-1"/>
              </w:rPr>
              <w:t> </w:t>
            </w:r>
            <w:r>
              <w:rPr/>
              <w:t>保险理赔条款</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6">
            <w:r>
              <w:rPr/>
              <w:t>第十七条</w:t>
              <w:tab/>
              <w:t>保险事故通知</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5">
            <w:r>
              <w:rPr/>
              <w:t>第十八条</w:t>
              <w:tab/>
              <w:t>保险金申请</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4">
            <w:r>
              <w:rPr/>
              <w:t>第十九条</w:t>
              <w:tab/>
              <w:t>保险金给付</w:t>
              <w:tab/>
            </w:r>
            <w:r>
              <w:rPr>
                <w:rFonts w:ascii="Times New Roman" w:eastAsia="Times New Roman"/>
                <w:b w:val="0"/>
              </w:rPr>
              <w:t>6</w:t>
            </w:r>
          </w:hyperlink>
        </w:p>
        <w:p>
          <w:pPr>
            <w:pStyle w:val="TOC2"/>
            <w:tabs>
              <w:tab w:pos="1587" w:val="left" w:leader="none"/>
              <w:tab w:pos="8416" w:val="right" w:leader="dot"/>
            </w:tabs>
            <w:rPr>
              <w:rFonts w:ascii="Times New Roman" w:eastAsia="Times New Roman"/>
              <w:b w:val="0"/>
            </w:rPr>
          </w:pPr>
          <w:hyperlink w:history="true" w:anchor="_TOC_250003">
            <w:r>
              <w:rPr/>
              <w:t>第二十条</w:t>
              <w:tab/>
              <w:t>诉讼时效</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2">
            <w:r>
              <w:rPr/>
              <w:t>第二十一条</w:t>
              <w:tab/>
              <w:t>争议处理</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1">
            <w:r>
              <w:rPr/>
              <w:t>第二十二条</w:t>
              <w:tab/>
              <w:t>司法管辖</w:t>
              <w:tab/>
            </w:r>
            <w:r>
              <w:rPr>
                <w:rFonts w:ascii="Times New Roman" w:eastAsia="Times New Roman"/>
                <w:b w:val="0"/>
              </w:rPr>
              <w:t>6</w:t>
            </w:r>
          </w:hyperlink>
        </w:p>
        <w:p>
          <w:pPr>
            <w:pStyle w:val="TOC1"/>
            <w:tabs>
              <w:tab w:pos="8418" w:val="right" w:leader="dot"/>
            </w:tabs>
            <w:rPr>
              <w:rFonts w:ascii="Times New Roman" w:eastAsia="Times New Roman"/>
              <w:b w:val="0"/>
            </w:rPr>
          </w:pPr>
          <w:hyperlink w:history="true" w:anchor="_TOC_250000">
            <w:r>
              <w:rPr/>
              <w:t>第五部分</w:t>
            </w:r>
            <w:r>
              <w:rPr>
                <w:spacing w:val="-1"/>
              </w:rPr>
              <w:t> </w:t>
            </w:r>
            <w:r>
              <w:rPr/>
              <w:t>释义</w:t>
              <w:tab/>
            </w:r>
            <w:r>
              <w:rPr>
                <w:rFonts w:ascii="Times New Roman" w:eastAsia="Times New Roman"/>
                <w:b w:val="0"/>
              </w:rPr>
              <w:t>7</w:t>
            </w:r>
          </w:hyperlink>
        </w:p>
        <w:p>
          <w:pPr/>
          <w:r>
            <w:fldChar w:fldCharType="end"/>
          </w:r>
        </w:p>
      </w:sdtContent>
    </w:sdt>
    <w:p>
      <w:pPr>
        <w:spacing w:after="0"/>
        <w:sectPr>
          <w:type w:val="continuous"/>
          <w:pgSz w:w="11910" w:h="16840"/>
          <w:pgMar w:top="260" w:bottom="1200" w:left="1680" w:right="380"/>
        </w:sectPr>
      </w:pPr>
    </w:p>
    <w:p>
      <w:pPr>
        <w:pStyle w:val="Heading1"/>
        <w:spacing w:before="1"/>
        <w:ind w:right="3086"/>
      </w:pPr>
      <w:bookmarkStart w:name="_TOC_250026" w:id="1"/>
      <w:bookmarkEnd w:id="1"/>
      <w:r>
        <w:rPr/>
        <w:t>第一部分 总则</w:t>
      </w:r>
    </w:p>
    <w:p>
      <w:pPr>
        <w:pStyle w:val="BodyText"/>
        <w:spacing w:before="5"/>
        <w:ind w:left="0"/>
        <w:rPr>
          <w:b/>
          <w:sz w:val="25"/>
        </w:rPr>
      </w:pPr>
    </w:p>
    <w:p>
      <w:pPr>
        <w:pStyle w:val="Heading2"/>
        <w:spacing w:before="1"/>
      </w:pPr>
      <w:bookmarkStart w:name="_TOC_250025" w:id="2"/>
      <w:bookmarkEnd w:id="2"/>
      <w:r>
        <w:rPr/>
        <w:t>第一条 合同构成</w:t>
      </w:r>
    </w:p>
    <w:p>
      <w:pPr>
        <w:pStyle w:val="BodyText"/>
        <w:spacing w:line="273" w:lineRule="auto"/>
        <w:ind w:left="117" w:right="106" w:firstLine="420"/>
        <w:jc w:val="both"/>
      </w:pPr>
      <w:r>
        <w:rPr/>
        <w:t>“昆仑健康保险股份有限公司康宁短期团体重大疾病保险合同</w:t>
      </w:r>
      <w:r>
        <w:rPr>
          <w:spacing w:val="-149"/>
        </w:rPr>
        <w:t>”</w:t>
      </w:r>
      <w:r>
        <w:rPr/>
        <w:t>（</w:t>
      </w:r>
      <w:r>
        <w:rPr>
          <w:spacing w:val="-7"/>
        </w:rPr>
        <w:t>以下简称“本合同</w:t>
      </w:r>
      <w:r>
        <w:rPr/>
        <w:t>”）</w:t>
      </w:r>
      <w:r>
        <w:rPr>
          <w:spacing w:val="-13"/>
        </w:rPr>
        <w:t>由保险单及所附条款、投保单、被保险人名册、与本合同有关的投保文件、合法有效的声明、</w:t>
      </w:r>
      <w:r>
        <w:rPr>
          <w:spacing w:val="-1"/>
        </w:rPr>
        <w:t>批注、附贴批单和其他书面协议构成。</w:t>
      </w:r>
    </w:p>
    <w:p>
      <w:pPr>
        <w:pStyle w:val="BodyText"/>
        <w:spacing w:before="5"/>
        <w:ind w:left="0"/>
        <w:rPr>
          <w:sz w:val="24"/>
        </w:rPr>
      </w:pPr>
    </w:p>
    <w:p>
      <w:pPr>
        <w:pStyle w:val="Heading2"/>
      </w:pPr>
      <w:bookmarkStart w:name="_TOC_250024" w:id="3"/>
      <w:bookmarkEnd w:id="3"/>
      <w:r>
        <w:rPr/>
        <w:t>第二条 合同成立与生效</w:t>
      </w:r>
    </w:p>
    <w:p>
      <w:pPr>
        <w:pStyle w:val="BodyText"/>
        <w:spacing w:line="273" w:lineRule="auto" w:before="36"/>
        <w:ind w:left="117" w:right="211" w:firstLine="420"/>
      </w:pPr>
      <w:r>
        <w:rPr>
          <w:spacing w:val="-7"/>
        </w:rPr>
        <w:t>投保人提出保险申请、本公司同意承保，本合同成立。自本合同成立、本公司收取保险费并签发保险单的次日零时起本合同生效。合同生效日期在保险单上载明。</w:t>
      </w:r>
    </w:p>
    <w:p>
      <w:pPr>
        <w:pStyle w:val="BodyText"/>
        <w:spacing w:before="5"/>
        <w:ind w:left="0"/>
        <w:rPr>
          <w:sz w:val="24"/>
        </w:rPr>
      </w:pPr>
    </w:p>
    <w:p>
      <w:pPr>
        <w:pStyle w:val="Heading2"/>
      </w:pPr>
      <w:bookmarkStart w:name="_TOC_250023" w:id="4"/>
      <w:bookmarkEnd w:id="4"/>
      <w:r>
        <w:rPr/>
        <w:t>第三条 犹豫期</w:t>
      </w:r>
    </w:p>
    <w:p>
      <w:pPr>
        <w:pStyle w:val="BodyText"/>
        <w:ind w:left="531"/>
      </w:pPr>
      <w:r>
        <w:rPr/>
        <w:t>自投保人签收本合同之日起，有 10 日的犹豫期。如果投保人在此期间提出撤销合同，</w:t>
      </w:r>
    </w:p>
    <w:p>
      <w:pPr>
        <w:pStyle w:val="BodyText"/>
        <w:spacing w:line="273" w:lineRule="auto"/>
        <w:ind w:left="117" w:right="2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2"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left="117"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left="117" w:right="132" w:firstLine="420"/>
      </w:pPr>
      <w:r>
        <w:rPr/>
        <w:t>投保人故意或者因重大过失未履行如实告知义务，足以影响本公司决定是否同意承保或提高保险费率的，本公司有权解除本合同或该被保险人资格。</w:t>
      </w:r>
    </w:p>
    <w:p>
      <w:pPr>
        <w:pStyle w:val="BodyText"/>
        <w:spacing w:line="273" w:lineRule="auto" w:before="7"/>
        <w:ind w:left="117" w:right="212" w:firstLine="420"/>
      </w:pPr>
      <w:r>
        <w:rPr>
          <w:spacing w:val="-6"/>
        </w:rPr>
        <w:t>投保人故意不履行如实告知义务的，对于解除本合同或该被保险人资格前发生的保险事故，本公司不承担给付保险金责任，并不退还保险费。</w:t>
      </w:r>
    </w:p>
    <w:p>
      <w:pPr>
        <w:pStyle w:val="BodyText"/>
        <w:spacing w:line="273" w:lineRule="auto" w:before="7"/>
        <w:ind w:left="117" w:right="106" w:firstLine="420"/>
      </w:pPr>
      <w:r>
        <w:rPr>
          <w:spacing w:val="-5"/>
        </w:rPr>
        <w:t>投保人因重大过失未履行如实告知义务，对保险事故的发生有严重影响的，对于解除本</w:t>
      </w:r>
      <w:r>
        <w:rPr>
          <w:spacing w:val="-13"/>
        </w:rPr>
        <w:t>合同或该被保险人资格前发生的保险事故，本公司不承担给付保险金责任，但会退还保险费。</w:t>
      </w:r>
    </w:p>
    <w:p>
      <w:pPr>
        <w:pStyle w:val="BodyText"/>
        <w:spacing w:line="273" w:lineRule="auto" w:before="7"/>
        <w:ind w:left="117" w:right="132" w:firstLine="420"/>
      </w:pPr>
      <w:r>
        <w:rPr/>
        <w:t>本公司在合同订立时已经知道投保人未如实告知的情况的，本公司不得解除合同或该被保险人资格；发生保险事故的，本公司承担给付保险金的责任。</w:t>
      </w:r>
    </w:p>
    <w:p>
      <w:pPr>
        <w:pStyle w:val="BodyText"/>
        <w:spacing w:before="5"/>
        <w:ind w:left="0"/>
        <w:rPr>
          <w:sz w:val="24"/>
        </w:rPr>
      </w:pPr>
    </w:p>
    <w:p>
      <w:pPr>
        <w:pStyle w:val="Heading2"/>
      </w:pPr>
      <w:bookmarkStart w:name="_TOC_250021" w:id="6"/>
      <w:bookmarkEnd w:id="6"/>
      <w:r>
        <w:rPr/>
        <w:t>第五条 本公司合同解除权的限制</w:t>
      </w:r>
    </w:p>
    <w:p>
      <w:pPr>
        <w:pStyle w:val="BodyText"/>
        <w:spacing w:line="273" w:lineRule="auto"/>
        <w:ind w:left="117" w:right="131" w:firstLine="420"/>
      </w:pPr>
      <w:r>
        <w:rPr/>
        <w:t>本合同第四条中规定的合同解除权，自本公司知道有解除事由之日起，超过 30 日不行使而消灭。</w:t>
      </w:r>
    </w:p>
    <w:p>
      <w:pPr>
        <w:pStyle w:val="BodyText"/>
        <w:spacing w:before="0"/>
        <w:ind w:left="0"/>
        <w:rPr>
          <w:sz w:val="20"/>
        </w:rPr>
      </w:pPr>
    </w:p>
    <w:p>
      <w:pPr>
        <w:pStyle w:val="BodyText"/>
        <w:spacing w:before="5"/>
        <w:ind w:left="0"/>
        <w:rPr>
          <w:sz w:val="26"/>
        </w:rPr>
      </w:pPr>
    </w:p>
    <w:p>
      <w:pPr>
        <w:pStyle w:val="Heading1"/>
        <w:ind w:right="3087"/>
      </w:pPr>
      <w:bookmarkStart w:name="_TOC_250020" w:id="7"/>
      <w:bookmarkEnd w:id="7"/>
      <w:r>
        <w:rPr/>
        <w:t>第二部分 保障利益条款</w:t>
      </w:r>
    </w:p>
    <w:p>
      <w:pPr>
        <w:pStyle w:val="BodyText"/>
        <w:spacing w:before="6"/>
        <w:ind w:left="0"/>
        <w:rPr>
          <w:b/>
          <w:sz w:val="25"/>
        </w:rPr>
      </w:pPr>
    </w:p>
    <w:p>
      <w:pPr>
        <w:pStyle w:val="Heading2"/>
      </w:pPr>
      <w:bookmarkStart w:name="_TOC_250019" w:id="8"/>
      <w:bookmarkEnd w:id="8"/>
      <w:r>
        <w:rPr/>
        <w:t>第六条 保险对象</w:t>
      </w:r>
    </w:p>
    <w:p>
      <w:pPr>
        <w:pStyle w:val="BodyText"/>
        <w:spacing w:line="273" w:lineRule="auto" w:before="36"/>
        <w:ind w:left="117" w:right="109" w:firstLine="422"/>
      </w:pPr>
      <w:r>
        <w:rPr>
          <w:b/>
        </w:rPr>
        <w:t>团体</w:t>
      </w:r>
      <w:r>
        <w:rPr>
          <w:spacing w:val="-9"/>
        </w:rPr>
        <w:t>可作为投保人，为其成员向本公司投保本保险，参保成员的配偶与子女也可参加本</w:t>
      </w:r>
      <w:r>
        <w:rPr>
          <w:spacing w:val="-11"/>
        </w:rPr>
        <w:t>保险。投保时，符合参加本保险条件的团体成员必须 </w:t>
      </w:r>
      <w:r>
        <w:rPr>
          <w:rFonts w:ascii="Times New Roman" w:eastAsia="Times New Roman"/>
        </w:rPr>
        <w:t>75%</w:t>
      </w:r>
      <w:r>
        <w:rPr>
          <w:spacing w:val="-5"/>
        </w:rPr>
        <w:t>以上投保且投保人数不低于 </w:t>
      </w:r>
      <w:r>
        <w:rPr>
          <w:rFonts w:ascii="Times New Roman" w:eastAsia="Times New Roman"/>
        </w:rPr>
        <w:t>5 </w:t>
      </w:r>
      <w:r>
        <w:rPr/>
        <w:t>人。</w:t>
      </w:r>
    </w:p>
    <w:p>
      <w:pPr>
        <w:pStyle w:val="BodyText"/>
        <w:spacing w:before="12"/>
        <w:ind w:left="0"/>
        <w:rPr>
          <w:sz w:val="22"/>
        </w:rPr>
      </w:pPr>
    </w:p>
    <w:p>
      <w:pPr>
        <w:pStyle w:val="Heading2"/>
      </w:pPr>
      <w:bookmarkStart w:name="_TOC_250018" w:id="9"/>
      <w:bookmarkEnd w:id="9"/>
      <w:r>
        <w:rPr/>
        <w:t>第七条 保险责任</w:t>
      </w:r>
    </w:p>
    <w:p>
      <w:pPr>
        <w:spacing w:after="0"/>
        <w:sectPr>
          <w:pgSz w:w="11910" w:h="16840"/>
          <w:pgMar w:header="0" w:footer="1008" w:top="1400" w:bottom="1200" w:left="1680" w:right="1580"/>
        </w:sectPr>
      </w:pPr>
    </w:p>
    <w:p>
      <w:pPr>
        <w:pStyle w:val="BodyText"/>
        <w:spacing w:line="273" w:lineRule="auto" w:before="25"/>
        <w:ind w:left="537" w:right="3675"/>
      </w:pPr>
      <w:r>
        <w:rPr/>
        <w:t>在本合同有效期内，本公司承担如下保险责任： 一、重大疾病保险金</w:t>
      </w:r>
    </w:p>
    <w:p>
      <w:pPr>
        <w:pStyle w:val="BodyText"/>
        <w:spacing w:line="273" w:lineRule="auto" w:before="7"/>
        <w:ind w:left="117" w:right="104" w:firstLine="419"/>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w:t>
      </w:r>
      <w:r>
        <w:rPr>
          <w:spacing w:val="-4"/>
        </w:rPr>
        <w:t>或者被保险人在本合同生效日起满 </w:t>
      </w:r>
      <w:r>
        <w:rPr/>
        <w:t>90</w:t>
      </w:r>
      <w:r>
        <w:rPr>
          <w:spacing w:val="-18"/>
        </w:rPr>
        <w:t> 日后</w:t>
      </w:r>
      <w:r>
        <w:rPr/>
        <w:t>（在续保情况下，自本公司对被保险人承担续保保险责任之日起</w:t>
      </w:r>
      <w:r>
        <w:rPr>
          <w:spacing w:val="-105"/>
        </w:rPr>
        <w:t>）</w:t>
      </w:r>
      <w:r>
        <w:rPr>
          <w:spacing w:val="-1"/>
        </w:rPr>
        <w:t>，因疾病首次发生并被确诊为本合同列明的重大疾病</w:t>
      </w:r>
      <w:r>
        <w:rPr/>
        <w:t>（无论一种或多种</w:t>
      </w:r>
      <w:r>
        <w:rPr>
          <w:spacing w:val="-105"/>
        </w:rPr>
        <w:t>）</w:t>
      </w:r>
      <w:r>
        <w:rPr/>
        <w:t>，本公司按该被保险人对应的保险金额给付保险金，对该被保险人的保险责任终止。</w:t>
      </w:r>
    </w:p>
    <w:p>
      <w:pPr>
        <w:pStyle w:val="BodyText"/>
        <w:spacing w:line="273" w:lineRule="auto" w:before="7"/>
        <w:ind w:left="117" w:right="191" w:firstLine="420"/>
        <w:jc w:val="both"/>
      </w:pPr>
      <w:r>
        <w:rPr>
          <w:spacing w:val="-4"/>
        </w:rPr>
        <w:t>被保险人在本合同生效日起 </w:t>
      </w:r>
      <w:r>
        <w:rPr/>
        <w:t>90</w:t>
      </w:r>
      <w:r>
        <w:rPr>
          <w:spacing w:val="-16"/>
        </w:rPr>
        <w:t> 日内</w:t>
      </w:r>
      <w:r>
        <w:rPr/>
        <w:t>（续保除外）因疾病首次发生并被确诊为本合同列明的重大疾病（无论一种或多种</w:t>
      </w:r>
      <w:r>
        <w:rPr>
          <w:spacing w:val="-104"/>
        </w:rPr>
        <w:t>）</w:t>
      </w:r>
      <w:r>
        <w:rPr/>
        <w:t>，本公司向投保人无息退还该被保险人对应的保险费，对该被保险人的保险责任终止。</w:t>
      </w:r>
    </w:p>
    <w:p>
      <w:pPr>
        <w:pStyle w:val="BodyText"/>
        <w:spacing w:before="7"/>
        <w:ind w:left="537"/>
      </w:pPr>
      <w:r>
        <w:rPr/>
        <w:t>二、疾病身故保险金</w:t>
      </w:r>
    </w:p>
    <w:p>
      <w:pPr>
        <w:pStyle w:val="BodyText"/>
        <w:spacing w:line="273" w:lineRule="auto" w:before="36"/>
        <w:ind w:left="117" w:right="191" w:firstLine="420"/>
        <w:jc w:val="both"/>
      </w:pPr>
      <w:r>
        <w:rPr>
          <w:spacing w:val="-4"/>
        </w:rPr>
        <w:t>被保险人在本合同生效日起满 </w:t>
      </w:r>
      <w:r>
        <w:rPr/>
        <w:t>90</w:t>
      </w:r>
      <w:r>
        <w:rPr>
          <w:spacing w:val="-16"/>
        </w:rPr>
        <w:t> 日后</w:t>
      </w:r>
      <w:r>
        <w:rPr/>
        <w:t>（在续保情况下，自本公司对被保险人承担续保保险责任之日起</w:t>
      </w:r>
      <w:r>
        <w:rPr>
          <w:spacing w:val="-105"/>
        </w:rPr>
        <w:t>）</w:t>
      </w:r>
      <w:r>
        <w:rPr/>
        <w:t>，因疾病身故，本公司按该被保险人对应的保险金额给付保险金，对该被保险人的保险责任终止。</w:t>
      </w:r>
    </w:p>
    <w:p>
      <w:pPr>
        <w:pStyle w:val="BodyText"/>
        <w:spacing w:line="273" w:lineRule="auto" w:before="7"/>
        <w:ind w:left="117" w:right="111" w:firstLine="420"/>
      </w:pPr>
      <w:r>
        <w:rPr/>
        <w:t>被保险人在本合同生效日起 90 日内（续保除外）因疾病身故，本公司向投保人无息退还该被保险人对应的保险费，对该被保险人的保险责任终止。</w:t>
      </w:r>
    </w:p>
    <w:p>
      <w:pPr>
        <w:pStyle w:val="BodyText"/>
        <w:spacing w:before="5"/>
        <w:ind w:left="0"/>
        <w:rPr>
          <w:sz w:val="24"/>
        </w:rPr>
      </w:pPr>
    </w:p>
    <w:p>
      <w:pPr>
        <w:pStyle w:val="Heading2"/>
        <w:rPr>
          <w:rFonts w:ascii="黑体" w:eastAsia="黑体" w:hint="eastAsia"/>
        </w:rPr>
      </w:pPr>
      <w:bookmarkStart w:name="_TOC_250017" w:id="10"/>
      <w:bookmarkEnd w:id="10"/>
      <w:r>
        <w:rPr>
          <w:rFonts w:ascii="黑体" w:eastAsia="黑体" w:hint="eastAsia"/>
        </w:rPr>
        <w:t>第八条 责任免除</w:t>
      </w:r>
    </w:p>
    <w:p>
      <w:pPr>
        <w:pStyle w:val="BodyText"/>
        <w:spacing w:line="273" w:lineRule="auto" w:before="36"/>
        <w:ind w:left="117" w:right="19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7" w:after="0"/>
        <w:ind w:left="957" w:right="147" w:hanging="420"/>
        <w:jc w:val="left"/>
        <w:rPr>
          <w:rFonts w:ascii="黑体" w:eastAsia="黑体" w:hint="eastAsia"/>
          <w:sz w:val="21"/>
        </w:rPr>
      </w:pPr>
      <w:r>
        <w:rPr>
          <w:rFonts w:ascii="黑体" w:eastAsia="黑体" w:hint="eastAsia"/>
          <w:spacing w:val="-5"/>
          <w:sz w:val="21"/>
        </w:rPr>
        <w:t>被保险人自本合同成立起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6" w:after="0"/>
        <w:ind w:left="957" w:right="19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7" w:after="0"/>
        <w:ind w:left="957" w:right="9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核爆炸、核辐射或核污染。</w:t>
      </w:r>
    </w:p>
    <w:p>
      <w:pPr>
        <w:pStyle w:val="BodyText"/>
        <w:spacing w:before="36"/>
        <w:ind w:left="537"/>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spacing w:line="273" w:lineRule="auto" w:before="36"/>
        <w:ind w:left="117" w:right="188"/>
        <w:rPr>
          <w:rFonts w:ascii="黑体" w:eastAsia="黑体" w:hint="eastAsia"/>
        </w:rPr>
      </w:pPr>
      <w:r>
        <w:rPr>
          <w:rFonts w:ascii="黑体" w:eastAsia="黑体" w:hint="eastAsia"/>
          <w:spacing w:val="0"/>
        </w:rPr>
        <w:t>（</w:t>
      </w:r>
      <w:r>
        <w:rPr>
          <w:rFonts w:ascii="黑体" w:eastAsia="黑体" w:hint="eastAsia"/>
        </w:rPr>
        <w:t>无论一种或多种</w:t>
      </w:r>
      <w:r>
        <w:rPr>
          <w:rFonts w:ascii="黑体" w:eastAsia="黑体" w:hint="eastAsia"/>
          <w:spacing w:val="-106"/>
        </w:rPr>
        <w:t>）</w:t>
      </w:r>
      <w:r>
        <w:rPr>
          <w:rFonts w:ascii="黑体" w:eastAsia="黑体" w:hint="eastAsia"/>
        </w:rPr>
        <w:t>，本合同对于该被保险人的效力终止</w:t>
      </w:r>
      <w:r>
        <w:rPr>
          <w:w w:val="100"/>
          <w:sz w:val="20"/>
        </w:rPr>
        <w:t>，</w:t>
      </w:r>
      <w:r>
        <w:rPr>
          <w:rFonts w:ascii="黑体" w:eastAsia="黑体" w:hint="eastAsia"/>
        </w:rPr>
        <w:t>本公司退还本合同项下该被保险</w:t>
      </w:r>
      <w:r>
        <w:rPr>
          <w:rFonts w:ascii="黑体" w:eastAsia="黑体" w:hint="eastAsia"/>
          <w:w w:val="95"/>
        </w:rPr>
        <w:t>人对应的</w:t>
      </w:r>
      <w:r>
        <w:rPr>
          <w:rFonts w:ascii="黑体" w:eastAsia="黑体" w:hint="eastAsia"/>
          <w:b/>
          <w:w w:val="95"/>
        </w:rPr>
        <w:t>未满期净保费</w:t>
      </w:r>
      <w:r>
        <w:rPr>
          <w:rFonts w:ascii="黑体" w:eastAsia="黑体" w:hint="eastAsia"/>
          <w:w w:val="95"/>
        </w:rPr>
        <w:t>。</w:t>
      </w:r>
    </w:p>
    <w:p>
      <w:pPr>
        <w:pStyle w:val="BodyText"/>
        <w:spacing w:before="4"/>
        <w:ind w:left="0"/>
        <w:rPr>
          <w:rFonts w:ascii="黑体"/>
          <w:sz w:val="24"/>
        </w:rPr>
      </w:pPr>
    </w:p>
    <w:p>
      <w:pPr>
        <w:pStyle w:val="Heading2"/>
        <w:spacing w:before="1"/>
      </w:pPr>
      <w:bookmarkStart w:name="_TOC_250016" w:id="11"/>
      <w:bookmarkEnd w:id="11"/>
      <w:r>
        <w:rPr/>
        <w:t>第九条 保险期间和续保</w:t>
      </w:r>
    </w:p>
    <w:p>
      <w:pPr>
        <w:pStyle w:val="BodyText"/>
        <w:ind w:left="537"/>
      </w:pPr>
      <w:r>
        <w:rPr/>
        <w:t>本合同的保险期间为 1 年，本公司自生效日的零时起开始承担保险责任。</w:t>
      </w:r>
    </w:p>
    <w:p>
      <w:pPr>
        <w:pStyle w:val="BodyText"/>
        <w:spacing w:line="273" w:lineRule="auto"/>
        <w:ind w:left="117" w:right="191" w:firstLine="420"/>
        <w:jc w:val="both"/>
      </w:pPr>
      <w:r>
        <w:rPr>
          <w:spacing w:val="-6"/>
        </w:rPr>
        <w:t>保险期间届满之前，本公司将审核被保险人是否符合续保条件。若本公司审核同意，投</w:t>
      </w:r>
      <w:r>
        <w:rPr>
          <w:spacing w:val="-11"/>
        </w:rPr>
        <w:t>保人可于每个保险期间届满时，按续保时对应的费率向本公司交纳续期保险费，本合同将延</w:t>
      </w:r>
      <w:r>
        <w:rPr>
          <w:spacing w:val="-22"/>
        </w:rPr>
        <w:t>续有效 </w:t>
      </w:r>
      <w:r>
        <w:rPr/>
        <w:t>1</w:t>
      </w:r>
      <w:r>
        <w:rPr>
          <w:spacing w:val="-13"/>
        </w:rPr>
        <w:t> 年。若本公司不接受续保，本公司将在本合同保险期间届满之前，以书面形式通知投保人。</w:t>
      </w:r>
    </w:p>
    <w:p>
      <w:pPr>
        <w:spacing w:after="0" w:line="273" w:lineRule="auto"/>
        <w:jc w:val="both"/>
        <w:sectPr>
          <w:pgSz w:w="11910" w:h="16840"/>
          <w:pgMar w:header="0" w:footer="1008" w:top="1400" w:bottom="1200" w:left="1680" w:right="1600"/>
        </w:sectPr>
      </w:pPr>
    </w:p>
    <w:p>
      <w:pPr>
        <w:pStyle w:val="BodyText"/>
        <w:spacing w:before="10"/>
        <w:ind w:left="0"/>
        <w:rPr>
          <w:sz w:val="7"/>
        </w:rPr>
      </w:pPr>
    </w:p>
    <w:p>
      <w:pPr>
        <w:pStyle w:val="Heading2"/>
        <w:spacing w:before="35"/>
      </w:pPr>
      <w:bookmarkStart w:name="_TOC_250015" w:id="12"/>
      <w:bookmarkEnd w:id="12"/>
      <w:r>
        <w:rPr/>
        <w:t>第十条 保险金额和保险费</w:t>
      </w:r>
    </w:p>
    <w:p>
      <w:pPr>
        <w:pStyle w:val="BodyText"/>
        <w:spacing w:before="36"/>
        <w:ind w:left="537"/>
      </w:pPr>
      <w:r>
        <w:rPr/>
        <w:t>本合同的保险金额由投保人和本公司双方协商约定并在保险单上载明。</w:t>
      </w:r>
    </w:p>
    <w:p>
      <w:pPr>
        <w:pStyle w:val="BodyText"/>
        <w:spacing w:line="273" w:lineRule="auto" w:before="36"/>
        <w:ind w:left="117" w:right="193" w:firstLine="420"/>
        <w:jc w:val="both"/>
      </w:pPr>
      <w:r>
        <w:rPr>
          <w:spacing w:val="-5"/>
        </w:rPr>
        <w:t>本合同的保险费根据被保险人的年龄、性别及与本公司约定的保险金额确定，并在保险单上载明。交费方式和交费期间由投保人和本公司约定并在保险单上载明。</w:t>
      </w:r>
    </w:p>
    <w:p>
      <w:pPr>
        <w:pStyle w:val="BodyText"/>
        <w:spacing w:before="0"/>
        <w:ind w:left="0"/>
        <w:rPr>
          <w:sz w:val="20"/>
        </w:rPr>
      </w:pPr>
    </w:p>
    <w:p>
      <w:pPr>
        <w:pStyle w:val="BodyText"/>
        <w:spacing w:before="5"/>
        <w:ind w:left="0"/>
        <w:rPr>
          <w:sz w:val="26"/>
        </w:rPr>
      </w:pPr>
    </w:p>
    <w:p>
      <w:pPr>
        <w:pStyle w:val="Heading1"/>
        <w:ind w:left="2991" w:right="3067"/>
      </w:pPr>
      <w:bookmarkStart w:name="_TOC_250014" w:id="13"/>
      <w:bookmarkEnd w:id="13"/>
      <w:r>
        <w:rPr/>
        <w:t>第三部分 保险服务条款</w:t>
      </w:r>
    </w:p>
    <w:p>
      <w:pPr>
        <w:pStyle w:val="BodyText"/>
        <w:spacing w:before="5"/>
        <w:ind w:left="0"/>
        <w:rPr>
          <w:b/>
          <w:sz w:val="25"/>
        </w:rPr>
      </w:pPr>
    </w:p>
    <w:p>
      <w:pPr>
        <w:pStyle w:val="Heading2"/>
      </w:pPr>
      <w:bookmarkStart w:name="_TOC_250013" w:id="14"/>
      <w:bookmarkEnd w:id="14"/>
      <w:r>
        <w:rPr/>
        <w:t>第十一条 合同内容变更</w:t>
      </w:r>
    </w:p>
    <w:p>
      <w:pPr>
        <w:pStyle w:val="BodyText"/>
        <w:spacing w:line="273" w:lineRule="auto" w:before="36"/>
        <w:ind w:left="117" w:right="19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2" w:id="15"/>
      <w:bookmarkEnd w:id="15"/>
      <w:r>
        <w:rPr/>
        <w:t>第十二条 受益人指定和变更</w:t>
      </w:r>
    </w:p>
    <w:p>
      <w:pPr>
        <w:pStyle w:val="BodyText"/>
        <w:ind w:left="537"/>
      </w:pPr>
      <w:r>
        <w:rPr/>
        <w:t>除合同另有约定外，本合同重大疾病保险金的受益人为被保险人本人。</w:t>
      </w:r>
    </w:p>
    <w:p>
      <w:pPr>
        <w:pStyle w:val="BodyText"/>
        <w:spacing w:line="273" w:lineRule="auto"/>
        <w:ind w:left="117" w:right="191" w:firstLine="420"/>
        <w:jc w:val="both"/>
      </w:pPr>
      <w:r>
        <w:rPr>
          <w:spacing w:val="-4"/>
        </w:rPr>
        <w:t>被保险人或者投保人可指定一人或数人为身故保险金的受益人。身故保险金受益人为数</w:t>
      </w:r>
      <w:r>
        <w:rPr>
          <w:spacing w:val="-8"/>
        </w:rPr>
        <w:t>人时，被保险人或者投保人可以确定受益顺序和受益份额，未确定受益顺序的，身故保险金</w:t>
      </w:r>
      <w:r>
        <w:rPr>
          <w:spacing w:val="-13"/>
        </w:rPr>
        <w:t>受益人按照相同的顺序享有受益权；未确定受益份额的，身故保险金受益人按照相等份额享有受益权。</w:t>
      </w:r>
    </w:p>
    <w:p>
      <w:pPr>
        <w:pStyle w:val="BodyText"/>
        <w:spacing w:line="273" w:lineRule="auto" w:before="7"/>
        <w:ind w:left="537" w:right="10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4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left="117" w:right="19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3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before="36"/>
        <w:ind w:left="117" w:right="104" w:firstLine="420"/>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1" w:id="16"/>
      <w:bookmarkEnd w:id="16"/>
      <w:r>
        <w:rPr/>
        <w:t>第十三条 被保险人变动</w:t>
      </w:r>
    </w:p>
    <w:p>
      <w:pPr>
        <w:pStyle w:val="BodyText"/>
        <w:spacing w:line="273" w:lineRule="auto"/>
        <w:ind w:left="117" w:right="193" w:firstLine="420"/>
        <w:jc w:val="both"/>
      </w:pPr>
      <w:r>
        <w:rPr>
          <w:spacing w:val="-5"/>
        </w:rPr>
        <w:t>投保人因团体成员变动需要增加被保险人的，应书面通知本公司，经本公司审核同意并</w:t>
      </w:r>
      <w:r>
        <w:rPr>
          <w:spacing w:val="-1"/>
        </w:rPr>
        <w:t>收取相应的保险费后，开始承担保险责任。</w:t>
      </w:r>
    </w:p>
    <w:p>
      <w:pPr>
        <w:pStyle w:val="BodyText"/>
        <w:spacing w:line="273" w:lineRule="auto" w:before="7"/>
        <w:ind w:left="117" w:right="193" w:firstLine="420"/>
        <w:jc w:val="both"/>
      </w:pPr>
      <w:r>
        <w:rPr>
          <w:spacing w:val="-5"/>
        </w:rPr>
        <w:t>投保人因团体成员变动需要减少被保险人的，应书面通知本公司，本公司对该被保险人</w:t>
      </w:r>
      <w:r>
        <w:rPr>
          <w:spacing w:val="-8"/>
        </w:rPr>
        <w:t>所承担的保险责任自通知到达次日零时起终止。若对该被保险人未发生过保险金给付，本公司向投保人退还其对应的未满期净保费；否则，不予退还。</w:t>
      </w:r>
    </w:p>
    <w:p>
      <w:pPr>
        <w:pStyle w:val="BodyText"/>
        <w:spacing w:line="273" w:lineRule="auto" w:before="7"/>
        <w:ind w:left="117" w:right="191" w:firstLine="420"/>
        <w:jc w:val="both"/>
      </w:pPr>
      <w:r>
        <w:rPr>
          <w:spacing w:val="-3"/>
        </w:rPr>
        <w:t>如果本合同被保险人人数减少到低于符合参加本保险条件的人员总数的 </w:t>
      </w:r>
      <w:r>
        <w:rPr/>
        <w:t>75%</w:t>
      </w:r>
      <w:r>
        <w:rPr>
          <w:spacing w:val="-17"/>
        </w:rPr>
        <w:t>或少于 </w:t>
      </w:r>
      <w:r>
        <w:rPr/>
        <w:t>5</w:t>
      </w:r>
      <w:r>
        <w:rPr>
          <w:spacing w:val="-33"/>
        </w:rPr>
        <w:t> 人</w:t>
      </w:r>
      <w:r>
        <w:rPr>
          <w:spacing w:val="-12"/>
        </w:rPr>
        <w:t>时，本公司有权解除本合同。解除本合同时，若对该被保险人未发生过保险金给付，本公司向投保人退还其对应的未满期净保费；否则，不予退还。</w:t>
      </w:r>
    </w:p>
    <w:p>
      <w:pPr>
        <w:pStyle w:val="BodyText"/>
        <w:spacing w:before="5"/>
        <w:ind w:left="0"/>
        <w:rPr>
          <w:sz w:val="24"/>
        </w:rPr>
      </w:pPr>
    </w:p>
    <w:p>
      <w:pPr>
        <w:pStyle w:val="Heading2"/>
      </w:pPr>
      <w:bookmarkStart w:name="_TOC_250010" w:id="17"/>
      <w:bookmarkEnd w:id="17"/>
      <w:r>
        <w:rPr/>
        <w:t>第十四条 通讯地址变更</w:t>
      </w:r>
    </w:p>
    <w:p>
      <w:pPr>
        <w:spacing w:after="0"/>
        <w:sectPr>
          <w:pgSz w:w="11910" w:h="16840"/>
          <w:pgMar w:header="0" w:footer="1008" w:top="1600" w:bottom="1200" w:left="1680" w:right="1600"/>
        </w:sectPr>
      </w:pPr>
    </w:p>
    <w:p>
      <w:pPr>
        <w:pStyle w:val="BodyText"/>
        <w:spacing w:line="273" w:lineRule="auto" w:before="25"/>
        <w:ind w:left="117" w:right="111" w:firstLine="420"/>
      </w:pPr>
      <w:r>
        <w:rPr>
          <w:spacing w:val="-6"/>
        </w:rPr>
        <w:t>投保人变更通讯地址时，应及时书面通知本公司。投保人未及时书面通知本公司的，本公司将按本合同载明的最后通讯地址发送有关通知，并视为已送达。</w:t>
      </w:r>
    </w:p>
    <w:p>
      <w:pPr>
        <w:pStyle w:val="BodyText"/>
        <w:spacing w:before="5"/>
        <w:ind w:left="0"/>
        <w:rPr>
          <w:sz w:val="24"/>
        </w:rPr>
      </w:pPr>
    </w:p>
    <w:p>
      <w:pPr>
        <w:pStyle w:val="Heading2"/>
      </w:pPr>
      <w:bookmarkStart w:name="_TOC_250009" w:id="18"/>
      <w:bookmarkEnd w:id="18"/>
      <w:r>
        <w:rPr/>
        <w:t>第十五条 年龄性别错误</w:t>
      </w:r>
    </w:p>
    <w:p>
      <w:pPr>
        <w:pStyle w:val="BodyText"/>
        <w:spacing w:line="273" w:lineRule="auto" w:before="36"/>
        <w:ind w:left="117" w:right="112" w:firstLine="420"/>
      </w:pPr>
      <w:r>
        <w:rPr/>
        <w:t>被保险人的年龄以</w:t>
      </w:r>
      <w:r>
        <w:rPr>
          <w:b/>
        </w:rPr>
        <w:t>周岁</w:t>
      </w:r>
      <w:r>
        <w:rPr>
          <w:spacing w:val="-10"/>
        </w:rPr>
        <w:t>计算。投保人在申请投保时，应将与有效身份证件相符的被保险人的出生日期、年龄和性别在投保单上填明，如果发生错误按照下列方式办理：</w:t>
      </w:r>
    </w:p>
    <w:p>
      <w:pPr>
        <w:pStyle w:val="BodyText"/>
        <w:spacing w:line="273" w:lineRule="auto" w:before="7"/>
        <w:ind w:left="117" w:right="111" w:firstLine="420"/>
        <w:jc w:val="both"/>
      </w:pPr>
      <w:r>
        <w:rPr>
          <w:spacing w:val="-6"/>
        </w:rPr>
        <w:t>若投保人申报的被保险人年龄不真实，并且其真实年龄不符合本合同约定投保年龄限制</w:t>
      </w:r>
      <w:r>
        <w:rPr>
          <w:spacing w:val="-9"/>
        </w:rPr>
        <w:t>的，本公司有权解除该被保险人资格。若对该被保险人未发生过保险金给付，本公司向投保人退还其对应的未满期净保费；否则，不予退还。</w:t>
      </w:r>
    </w:p>
    <w:p>
      <w:pPr>
        <w:pStyle w:val="BodyText"/>
        <w:spacing w:line="273" w:lineRule="auto" w:before="7"/>
        <w:ind w:left="117" w:right="11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left="117" w:right="110"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08" w:id="19"/>
      <w:bookmarkEnd w:id="19"/>
      <w:r>
        <w:rPr/>
        <w:t>第十六条 合同解除</w:t>
      </w:r>
    </w:p>
    <w:p>
      <w:pPr>
        <w:pStyle w:val="BodyText"/>
        <w:spacing w:line="273" w:lineRule="auto" w:before="36"/>
        <w:ind w:left="117" w:right="11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投保人证明；</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7" w:after="0"/>
        <w:ind w:left="852" w:right="0" w:hanging="315"/>
        <w:jc w:val="left"/>
        <w:rPr>
          <w:sz w:val="21"/>
        </w:rPr>
      </w:pPr>
      <w:r>
        <w:rPr>
          <w:spacing w:val="-1"/>
          <w:sz w:val="21"/>
        </w:rPr>
        <w:t>解除合同申请书。</w:t>
      </w:r>
    </w:p>
    <w:p>
      <w:pPr>
        <w:pStyle w:val="BodyText"/>
        <w:spacing w:line="273" w:lineRule="auto"/>
        <w:ind w:left="117" w:right="112" w:firstLine="420"/>
        <w:jc w:val="both"/>
      </w:pPr>
      <w:r>
        <w:rPr>
          <w:spacing w:val="-5"/>
        </w:rPr>
        <w:t>自本公司收到解除合同申请书之日起，本合同效力终止。本公司在收到上述证明和资料</w:t>
      </w:r>
      <w:r>
        <w:rPr>
          <w:spacing w:val="-15"/>
        </w:rPr>
        <w:t>之日起 </w:t>
      </w:r>
      <w:r>
        <w:rPr/>
        <w:t>30</w:t>
      </w:r>
      <w:r>
        <w:rPr>
          <w:spacing w:val="-7"/>
        </w:rPr>
        <w:t> 日内向投保人退还未发生过保险金给付的被保险人的未满期净保费；对于发生过保险金给付的被保险人，本公司不予退还。</w:t>
      </w:r>
    </w:p>
    <w:p>
      <w:pPr>
        <w:pStyle w:val="BodyText"/>
        <w:spacing w:before="0"/>
        <w:ind w:left="0"/>
        <w:rPr>
          <w:sz w:val="20"/>
        </w:rPr>
      </w:pPr>
    </w:p>
    <w:p>
      <w:pPr>
        <w:pStyle w:val="BodyText"/>
        <w:spacing w:before="5"/>
        <w:ind w:left="0"/>
        <w:rPr>
          <w:sz w:val="26"/>
        </w:rPr>
      </w:pPr>
    </w:p>
    <w:p>
      <w:pPr>
        <w:pStyle w:val="Heading1"/>
        <w:ind w:left="2990" w:right="2988"/>
      </w:pPr>
      <w:bookmarkStart w:name="_TOC_250007" w:id="20"/>
      <w:bookmarkEnd w:id="20"/>
      <w:r>
        <w:rPr/>
        <w:t>第四部分 保险理赔条款</w:t>
      </w:r>
    </w:p>
    <w:p>
      <w:pPr>
        <w:pStyle w:val="BodyText"/>
        <w:spacing w:before="5"/>
        <w:ind w:left="0"/>
        <w:rPr>
          <w:b/>
          <w:sz w:val="25"/>
        </w:rPr>
      </w:pPr>
    </w:p>
    <w:p>
      <w:pPr>
        <w:pStyle w:val="Heading2"/>
      </w:pPr>
      <w:bookmarkStart w:name="_TOC_250006" w:id="21"/>
      <w:bookmarkEnd w:id="21"/>
      <w:r>
        <w:rPr/>
        <w:t>第十七条 保险事故通知</w:t>
      </w:r>
    </w:p>
    <w:p>
      <w:pPr>
        <w:pStyle w:val="BodyText"/>
        <w:ind w:left="537"/>
      </w:pPr>
      <w:r>
        <w:rPr/>
        <w:t>投保人、被保险人、受益人或其他有权领取保险金的人应于知道保险事故发生之日起</w:t>
      </w:r>
    </w:p>
    <w:p>
      <w:pPr>
        <w:pStyle w:val="BodyText"/>
        <w:spacing w:line="273" w:lineRule="auto"/>
        <w:ind w:left="117" w:right="11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2"/>
      <w:bookmarkEnd w:id="22"/>
      <w:r>
        <w:rPr/>
        <w:t>第十八条 保险金申请</w:t>
      </w:r>
    </w:p>
    <w:p>
      <w:pPr>
        <w:pStyle w:val="BodyText"/>
        <w:spacing w:before="36"/>
        <w:ind w:left="557"/>
      </w:pPr>
      <w:r>
        <w:rPr/>
        <w:t>一、重大疾病保险金的申请</w:t>
      </w:r>
    </w:p>
    <w:p>
      <w:pPr>
        <w:pStyle w:val="BodyText"/>
        <w:spacing w:line="273" w:lineRule="auto" w:before="36"/>
        <w:ind w:left="117" w:right="111" w:firstLine="440"/>
      </w:pPr>
      <w:r>
        <w:rPr/>
        <w:t>在申请重大疾病保险金时，申请人须填写保险金给付申请书，并提交下列证明和资料向本公司申请给付：</w:t>
      </w:r>
    </w:p>
    <w:p>
      <w:pPr>
        <w:pStyle w:val="BodyText"/>
        <w:spacing w:before="7"/>
        <w:ind w:left="543"/>
      </w:pPr>
      <w:r>
        <w:rPr/>
        <w:t>1.保险合同或保险凭证；</w:t>
      </w:r>
    </w:p>
    <w:p>
      <w:pPr>
        <w:pStyle w:val="BodyText"/>
        <w:ind w:left="543"/>
      </w:pPr>
      <w:r>
        <w:rPr/>
        <w:t>2.投保人证明；</w:t>
      </w:r>
    </w:p>
    <w:p>
      <w:pPr>
        <w:pStyle w:val="BodyText"/>
        <w:ind w:left="543"/>
      </w:pPr>
      <w:r>
        <w:rPr/>
        <w:t>3.申请人的有效身份证件；</w:t>
      </w:r>
    </w:p>
    <w:p>
      <w:pPr>
        <w:pStyle w:val="BodyText"/>
        <w:ind w:left="543"/>
      </w:pPr>
      <w:r>
        <w:rPr/>
        <w:t>4.受益人或其他有权领取保险金的人的户籍证明或身份证明；</w:t>
      </w:r>
    </w:p>
    <w:p>
      <w:pPr>
        <w:spacing w:after="0"/>
        <w:sectPr>
          <w:pgSz w:w="11910" w:h="16840"/>
          <w:pgMar w:header="0" w:footer="1008" w:top="1400" w:bottom="1200" w:left="1680" w:right="1680"/>
        </w:sectPr>
      </w:pPr>
    </w:p>
    <w:p>
      <w:pPr>
        <w:pStyle w:val="BodyText"/>
        <w:spacing w:line="273" w:lineRule="auto" w:before="25"/>
        <w:ind w:left="826" w:right="213" w:hanging="284"/>
      </w:pPr>
      <w:r>
        <w:rPr/>
        <w:t>5.由医院出具的附有病理显微镜检查、血液检验及其他科学方法检验报告的疾病诊断证明书；</w:t>
      </w:r>
    </w:p>
    <w:p>
      <w:pPr>
        <w:pStyle w:val="BodyText"/>
        <w:spacing w:line="273" w:lineRule="auto" w:before="7"/>
        <w:ind w:left="558" w:right="1574" w:hanging="15"/>
      </w:pPr>
      <w:r>
        <w:rPr/>
        <w:t>6.所能提供的与确认保险事故的性质、原因等有关的其他证明和资料。二、身故保险金的申请</w:t>
      </w:r>
    </w:p>
    <w:p>
      <w:pPr>
        <w:pStyle w:val="BodyText"/>
        <w:spacing w:line="273" w:lineRule="auto" w:before="7"/>
        <w:ind w:left="117" w:right="211" w:firstLine="440"/>
      </w:pPr>
      <w:r>
        <w:rPr/>
        <w:t>在申请身故保险金时，申请人须填写保险金给付申请书，并提交下列证明和资料向本公司申请给付：</w:t>
      </w:r>
    </w:p>
    <w:p>
      <w:pPr>
        <w:pStyle w:val="BodyText"/>
        <w:spacing w:before="7"/>
        <w:ind w:left="543"/>
      </w:pPr>
      <w:r>
        <w:rPr/>
        <w:t>1.保险合同或保险凭证；</w:t>
      </w:r>
    </w:p>
    <w:p>
      <w:pPr>
        <w:pStyle w:val="BodyText"/>
        <w:spacing w:before="36"/>
        <w:ind w:left="543"/>
      </w:pPr>
      <w:r>
        <w:rPr/>
        <w:t>2.投保人证明；</w:t>
      </w:r>
    </w:p>
    <w:p>
      <w:pPr>
        <w:pStyle w:val="BodyText"/>
        <w:spacing w:before="36"/>
        <w:ind w:left="543"/>
      </w:pPr>
      <w:r>
        <w:rPr/>
        <w:t>3.申请人的有效身份证件；</w:t>
      </w:r>
    </w:p>
    <w:p>
      <w:pPr>
        <w:pStyle w:val="BodyText"/>
        <w:spacing w:before="36"/>
        <w:ind w:left="543"/>
      </w:pPr>
      <w:r>
        <w:rPr/>
        <w:t>4.受益人或其他有权领取保险金的人的户籍证明或身份证明；</w:t>
      </w:r>
    </w:p>
    <w:p>
      <w:pPr>
        <w:pStyle w:val="BodyText"/>
        <w:spacing w:line="273" w:lineRule="auto" w:before="36"/>
        <w:ind w:left="826" w:right="213" w:hanging="284"/>
      </w:pPr>
      <w:r>
        <w:rPr/>
        <w:t>5.国家卫生行政部门认定的医疗机构、公安部门或其他相关机构出具的被保险人的死亡证明；</w:t>
      </w:r>
    </w:p>
    <w:p>
      <w:pPr>
        <w:pStyle w:val="BodyText"/>
        <w:spacing w:before="7"/>
        <w:ind w:left="543"/>
      </w:pPr>
      <w:r>
        <w:rPr/>
        <w:t>6.被保险人的户籍注销证明；</w:t>
      </w:r>
    </w:p>
    <w:p>
      <w:pPr>
        <w:pStyle w:val="BodyText"/>
        <w:ind w:left="543"/>
      </w:pPr>
      <w:r>
        <w:rPr/>
        <w:t>7.所能提供的与确认保险事故的性质、原因等有关的其他证明和资料。</w:t>
      </w:r>
    </w:p>
    <w:p>
      <w:pPr>
        <w:pStyle w:val="BodyText"/>
        <w:ind w:left="558"/>
      </w:pPr>
      <w:r>
        <w:rPr/>
        <w:t>身故保险金作为被保险人遗产时，必须提供可证明合法继承权的相关权利文件。</w:t>
      </w:r>
    </w:p>
    <w:p>
      <w:pPr>
        <w:pStyle w:val="BodyText"/>
        <w:ind w:left="558"/>
      </w:pPr>
      <w:r>
        <w:rPr/>
        <w:t>以上证明和资料不完整的，本公司将及时一次性通知申请人补充提供有关证明和资料。</w:t>
      </w:r>
    </w:p>
    <w:p>
      <w:pPr>
        <w:pStyle w:val="BodyText"/>
        <w:spacing w:before="8"/>
        <w:ind w:left="0"/>
        <w:rPr>
          <w:sz w:val="26"/>
        </w:rPr>
      </w:pPr>
    </w:p>
    <w:p>
      <w:pPr>
        <w:pStyle w:val="Heading2"/>
        <w:spacing w:before="1"/>
      </w:pPr>
      <w:bookmarkStart w:name="_TOC_250004" w:id="23"/>
      <w:bookmarkEnd w:id="23"/>
      <w:r>
        <w:rPr/>
        <w:t>第十九条 保险金给付</w:t>
      </w:r>
    </w:p>
    <w:p>
      <w:pPr>
        <w:pStyle w:val="BodyText"/>
        <w:spacing w:line="273" w:lineRule="auto"/>
        <w:ind w:left="117" w:right="145" w:firstLine="399"/>
      </w:pPr>
      <w:r>
        <w:rPr/>
        <w:t>本公司在收到申请人的保险金给付申请书及上述有关证明和资料后，将及时作出核定； 情形复杂的，在30日内作出核定。</w:t>
      </w:r>
    </w:p>
    <w:p>
      <w:pPr>
        <w:pStyle w:val="BodyText"/>
        <w:spacing w:line="273" w:lineRule="auto" w:before="7"/>
        <w:ind w:left="117" w:right="23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left="117" w:right="23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left="117" w:right="211" w:firstLine="420"/>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4"/>
      <w:bookmarkEnd w:id="24"/>
      <w:r>
        <w:rPr/>
        <w:t>第二十条 诉讼时效</w:t>
      </w:r>
    </w:p>
    <w:p>
      <w:pPr>
        <w:pStyle w:val="BodyText"/>
        <w:spacing w:line="273" w:lineRule="auto"/>
        <w:ind w:left="117" w:right="23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5"/>
      <w:bookmarkEnd w:id="25"/>
      <w:r>
        <w:rPr/>
        <w:t>第二十一条 争议处理</w:t>
      </w:r>
    </w:p>
    <w:p>
      <w:pPr>
        <w:pStyle w:val="BodyText"/>
        <w:spacing w:before="36"/>
        <w:ind w:left="537"/>
      </w:pPr>
      <w:r>
        <w:rPr/>
        <w:t>合同争议解决方式由当事人在合同约定从下列两种方式中选择一种：</w:t>
      </w:r>
    </w:p>
    <w:p>
      <w:pPr>
        <w:pStyle w:val="BodyText"/>
        <w:tabs>
          <w:tab w:pos="8010" w:val="left" w:leader="none"/>
        </w:tabs>
        <w:spacing w:line="273" w:lineRule="auto" w:before="36"/>
        <w:ind w:left="117" w:right="210" w:firstLine="420"/>
      </w:pPr>
      <w:r>
        <w:rPr/>
        <w:t>一、因履行本合同发生的争议，由当事人协商解决，协商不成的，提交</w:t>
      </w:r>
      <w:r>
        <w:rPr>
          <w:u w:val="single"/>
        </w:rPr>
        <w:t> </w:t>
        <w:tab/>
      </w:r>
      <w:r>
        <w:rPr/>
        <w:t>仲裁委员会仲裁；</w:t>
      </w:r>
    </w:p>
    <w:p>
      <w:pPr>
        <w:pStyle w:val="BodyText"/>
        <w:spacing w:before="7"/>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spacing w:before="1"/>
      </w:pPr>
      <w:bookmarkStart w:name="_TOC_250001" w:id="26"/>
      <w:bookmarkEnd w:id="26"/>
      <w:r>
        <w:rPr/>
        <w:t>第二十二条 司法管辖</w:t>
      </w:r>
    </w:p>
    <w:p>
      <w:pPr>
        <w:pStyle w:val="BodyText"/>
        <w:ind w:left="537"/>
      </w:pPr>
      <w:r>
        <w:rPr/>
        <w:t>本合同受中华人民共和国司法管辖，适用中华人民共和国法律。</w:t>
      </w:r>
    </w:p>
    <w:p>
      <w:pPr>
        <w:spacing w:after="0"/>
        <w:sectPr>
          <w:pgSz w:w="11910" w:h="16840"/>
          <w:pgMar w:header="0" w:footer="1008" w:top="1400" w:bottom="1200" w:left="1680" w:right="1580"/>
        </w:sectPr>
      </w:pPr>
    </w:p>
    <w:p>
      <w:pPr>
        <w:pStyle w:val="Heading1"/>
        <w:spacing w:before="1"/>
        <w:ind w:left="3490"/>
        <w:jc w:val="left"/>
      </w:pPr>
      <w:bookmarkStart w:name="_TOC_250000" w:id="27"/>
      <w:bookmarkEnd w:id="27"/>
      <w:r>
        <w:rPr/>
        <w:t>第五部分 释义</w:t>
      </w:r>
    </w:p>
    <w:p>
      <w:pPr>
        <w:pStyle w:val="BodyText"/>
        <w:spacing w:before="5"/>
        <w:ind w:left="0"/>
        <w:rPr>
          <w:b/>
          <w:sz w:val="25"/>
        </w:rPr>
      </w:pPr>
    </w:p>
    <w:p>
      <w:pPr>
        <w:pStyle w:val="ListParagraph"/>
        <w:numPr>
          <w:ilvl w:val="0"/>
          <w:numId w:val="3"/>
        </w:numPr>
        <w:tabs>
          <w:tab w:pos="537" w:val="left" w:leader="none"/>
          <w:tab w:pos="538" w:val="left" w:leader="none"/>
        </w:tabs>
        <w:spacing w:line="273" w:lineRule="auto" w:before="1" w:after="0"/>
        <w:ind w:left="539" w:right="123" w:hanging="422"/>
        <w:jc w:val="left"/>
        <w:rPr>
          <w:sz w:val="21"/>
        </w:rPr>
      </w:pPr>
      <w:r>
        <w:rPr>
          <w:b/>
          <w:sz w:val="21"/>
        </w:rPr>
        <w:t>团体</w:t>
      </w:r>
      <w:r>
        <w:rPr>
          <w:spacing w:val="-7"/>
          <w:sz w:val="21"/>
        </w:rPr>
        <w:t>：指中国境内拥有 </w:t>
      </w:r>
      <w:r>
        <w:rPr>
          <w:sz w:val="21"/>
        </w:rPr>
        <w:t>5</w:t>
      </w:r>
      <w:r>
        <w:rPr>
          <w:spacing w:val="-9"/>
          <w:sz w:val="21"/>
        </w:rPr>
        <w:t> 位自然人以上</w:t>
      </w:r>
      <w:r>
        <w:rPr>
          <w:sz w:val="21"/>
        </w:rPr>
        <w:t>（</w:t>
      </w:r>
      <w:r>
        <w:rPr>
          <w:spacing w:val="-28"/>
          <w:sz w:val="21"/>
        </w:rPr>
        <w:t>含 </w:t>
      </w:r>
      <w:r>
        <w:rPr>
          <w:sz w:val="21"/>
        </w:rPr>
        <w:t>5</w:t>
      </w:r>
      <w:r>
        <w:rPr>
          <w:spacing w:val="-27"/>
          <w:sz w:val="21"/>
        </w:rPr>
        <w:t> 人</w:t>
      </w:r>
      <w:r>
        <w:rPr>
          <w:sz w:val="21"/>
        </w:rPr>
        <w:t>）且非因购买保险而组织的合法团体。包括但不限于院校、企业单位、行业组织、职业工会等。</w:t>
      </w:r>
    </w:p>
    <w:p>
      <w:pPr>
        <w:pStyle w:val="ListParagraph"/>
        <w:numPr>
          <w:ilvl w:val="0"/>
          <w:numId w:val="3"/>
        </w:numPr>
        <w:tabs>
          <w:tab w:pos="537" w:val="left" w:leader="none"/>
          <w:tab w:pos="538" w:val="left" w:leader="none"/>
        </w:tabs>
        <w:spacing w:line="240" w:lineRule="auto" w:before="8" w:after="0"/>
        <w:ind w:left="539" w:right="0" w:hanging="422"/>
        <w:jc w:val="left"/>
        <w:rPr>
          <w:sz w:val="21"/>
        </w:rPr>
      </w:pPr>
      <w:r>
        <w:rPr>
          <w:b/>
          <w:w w:val="95"/>
          <w:sz w:val="21"/>
        </w:rPr>
        <w:t>意外伤害</w:t>
      </w:r>
      <w:r>
        <w:rPr>
          <w:w w:val="95"/>
          <w:sz w:val="21"/>
        </w:rPr>
        <w:t>：指遭受外来的、突发的、非本意的、非疾病的使身体受到伤害的客观事件。</w:t>
      </w:r>
    </w:p>
    <w:p>
      <w:pPr>
        <w:pStyle w:val="ListParagraph"/>
        <w:numPr>
          <w:ilvl w:val="0"/>
          <w:numId w:val="3"/>
        </w:numPr>
        <w:tabs>
          <w:tab w:pos="537" w:val="left" w:leader="none"/>
          <w:tab w:pos="538" w:val="left" w:leader="none"/>
        </w:tabs>
        <w:spacing w:line="240" w:lineRule="auto" w:before="37" w:after="0"/>
        <w:ind w:left="539" w:right="0" w:hanging="422"/>
        <w:jc w:val="left"/>
        <w:rPr>
          <w:sz w:val="21"/>
        </w:rPr>
      </w:pPr>
      <w:r>
        <w:rPr>
          <w:b/>
          <w:w w:val="95"/>
          <w:sz w:val="21"/>
        </w:rPr>
        <w:t>重大疾病</w:t>
      </w:r>
      <w:r>
        <w:rPr>
          <w:spacing w:val="-34"/>
          <w:w w:val="95"/>
          <w:sz w:val="21"/>
        </w:rPr>
        <w:t>：指由</w:t>
      </w:r>
      <w:r>
        <w:rPr>
          <w:b/>
          <w:w w:val="95"/>
          <w:sz w:val="21"/>
        </w:rPr>
        <w:t>专科医生</w:t>
      </w:r>
      <w:r>
        <w:rPr>
          <w:spacing w:val="-11"/>
          <w:w w:val="95"/>
          <w:sz w:val="21"/>
        </w:rPr>
        <w:t>明确诊断，被保险人发生的符合以下疾病定义所述条件的疾病。</w:t>
      </w:r>
    </w:p>
    <w:p>
      <w:pPr>
        <w:pStyle w:val="ListParagraph"/>
        <w:numPr>
          <w:ilvl w:val="1"/>
          <w:numId w:val="3"/>
        </w:numPr>
        <w:tabs>
          <w:tab w:pos="1423" w:val="left" w:leader="none"/>
        </w:tabs>
        <w:spacing w:line="240" w:lineRule="auto" w:before="37" w:after="0"/>
        <w:ind w:left="1422" w:right="0" w:hanging="454"/>
        <w:jc w:val="left"/>
        <w:rPr>
          <w:sz w:val="21"/>
        </w:rPr>
      </w:pPr>
      <w:r>
        <w:rPr>
          <w:spacing w:val="-1"/>
          <w:sz w:val="21"/>
        </w:rPr>
        <w:t>中国保险行业协会推荐的重大疾病种类</w:t>
      </w:r>
    </w:p>
    <w:p>
      <w:pPr>
        <w:pStyle w:val="ListParagraph"/>
        <w:numPr>
          <w:ilvl w:val="2"/>
          <w:numId w:val="3"/>
        </w:numPr>
        <w:tabs>
          <w:tab w:pos="1624" w:val="left" w:leader="none"/>
        </w:tabs>
        <w:spacing w:line="240" w:lineRule="auto" w:before="37" w:after="0"/>
        <w:ind w:left="1623" w:right="0" w:hanging="655"/>
        <w:jc w:val="left"/>
        <w:rPr>
          <w:sz w:val="21"/>
        </w:rPr>
      </w:pPr>
      <w:r>
        <w:rPr>
          <w:sz w:val="21"/>
        </w:rPr>
        <w:t>恶性肿瘤</w:t>
      </w:r>
    </w:p>
    <w:p>
      <w:pPr>
        <w:pStyle w:val="BodyText"/>
        <w:spacing w:line="273" w:lineRule="auto"/>
        <w:ind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8"/>
        <w:ind w:left="1167" w:right="4716" w:firstLine="29"/>
      </w:pPr>
      <w:r>
        <w:rPr/>
        <w:t>（ICD-10）的恶性肿瘤范畴。下列疾病不在保障范围内：</w:t>
      </w:r>
    </w:p>
    <w:p>
      <w:pPr>
        <w:pStyle w:val="BodyText"/>
        <w:spacing w:before="8"/>
        <w:ind w:left="1272"/>
      </w:pPr>
      <w:r>
        <w:rPr/>
        <w:t>（1）原位癌；</w:t>
      </w:r>
    </w:p>
    <w:p>
      <w:pPr>
        <w:pStyle w:val="BodyText"/>
        <w:ind w:left="1272"/>
      </w:pPr>
      <w:r>
        <w:rPr/>
        <w:t>（2）相当于 Binet 分期方案 A 期程度的慢性淋巴细胞白血病；</w:t>
      </w:r>
    </w:p>
    <w:p>
      <w:pPr>
        <w:pStyle w:val="BodyText"/>
        <w:ind w:left="1273"/>
      </w:pPr>
      <w:r>
        <w:rPr/>
        <w:t>（3）相当于Ann Arbor 分期方案 I 期程度的何杰金氏病；</w:t>
      </w:r>
    </w:p>
    <w:p>
      <w:pPr>
        <w:pStyle w:val="BodyText"/>
        <w:ind w:left="1254"/>
      </w:pPr>
      <w:r>
        <w:rPr/>
        <w:t>（4）</w:t>
      </w:r>
      <w:r>
        <w:rPr>
          <w:spacing w:val="-1"/>
        </w:rPr>
        <w:t>皮肤癌</w:t>
      </w:r>
      <w:r>
        <w:rPr/>
        <w:t>（不包括恶性黑色素瘤及已发生转移的皮肤癌</w:t>
      </w:r>
      <w:r>
        <w:rPr>
          <w:spacing w:val="-106"/>
        </w:rPr>
        <w:t>）</w:t>
      </w:r>
      <w:r>
        <w:rPr/>
        <w:t>；</w:t>
      </w:r>
    </w:p>
    <w:p>
      <w:pPr>
        <w:pStyle w:val="BodyText"/>
        <w:spacing w:line="273" w:lineRule="auto" w:before="36"/>
        <w:ind w:left="1735" w:right="220" w:hanging="482"/>
      </w:pPr>
      <w:r>
        <w:rPr>
          <w:position w:val="1"/>
        </w:rPr>
        <w:t>（5）TNM</w:t>
      </w:r>
      <w:r>
        <w:rPr>
          <w:spacing w:val="-23"/>
          <w:position w:val="1"/>
        </w:rPr>
        <w:t> 分期为 </w:t>
      </w:r>
      <w:r>
        <w:rPr>
          <w:position w:val="1"/>
        </w:rPr>
        <w:t>T</w:t>
      </w:r>
      <w:r>
        <w:rPr>
          <w:sz w:val="11"/>
        </w:rPr>
        <w:t>1</w:t>
      </w:r>
      <w:r>
        <w:rPr>
          <w:position w:val="1"/>
        </w:rPr>
        <w:t>N</w:t>
      </w:r>
      <w:r>
        <w:rPr>
          <w:sz w:val="11"/>
        </w:rPr>
        <w:t>0</w:t>
      </w:r>
      <w:r>
        <w:rPr>
          <w:position w:val="1"/>
        </w:rPr>
        <w:t>M</w:t>
      </w:r>
      <w:r>
        <w:rPr>
          <w:sz w:val="11"/>
        </w:rPr>
        <w:t>0 </w:t>
      </w:r>
      <w:r>
        <w:rPr>
          <w:position w:val="1"/>
        </w:rPr>
        <w:t>期或更轻分期的前列腺癌（如果被保险人为女性，则不</w:t>
      </w:r>
      <w:r>
        <w:rPr/>
        <w:t>包括此项</w:t>
      </w:r>
      <w:r>
        <w:rPr>
          <w:spacing w:val="-105"/>
        </w:rPr>
        <w:t>）</w:t>
      </w:r>
      <w:r>
        <w:rPr/>
        <w:t>；</w:t>
      </w:r>
    </w:p>
    <w:p>
      <w:pPr>
        <w:pStyle w:val="BodyText"/>
        <w:spacing w:before="7"/>
        <w:ind w:left="1254"/>
      </w:pPr>
      <w:r>
        <w:rPr/>
        <w:t>（6）感染艾滋病病毒或患艾滋病期间所患恶性肿瘤。</w:t>
      </w:r>
    </w:p>
    <w:p>
      <w:pPr>
        <w:pStyle w:val="ListParagraph"/>
        <w:numPr>
          <w:ilvl w:val="2"/>
          <w:numId w:val="3"/>
        </w:numPr>
        <w:tabs>
          <w:tab w:pos="1624" w:val="left" w:leader="none"/>
        </w:tabs>
        <w:spacing w:line="240" w:lineRule="auto" w:before="37" w:after="0"/>
        <w:ind w:left="1623" w:right="0" w:hanging="655"/>
        <w:jc w:val="left"/>
        <w:rPr>
          <w:sz w:val="21"/>
        </w:rPr>
      </w:pPr>
      <w:r>
        <w:rPr>
          <w:spacing w:val="-1"/>
          <w:sz w:val="21"/>
        </w:rPr>
        <w:t>急性心肌梗塞</w:t>
      </w:r>
    </w:p>
    <w:p>
      <w:pPr>
        <w:pStyle w:val="BodyText"/>
        <w:spacing w:line="273" w:lineRule="auto"/>
        <w:ind w:right="305"/>
      </w:pPr>
      <w:r>
        <w:rPr/>
        <w:t>指因冠状动脉阻塞导致的相应区域供血不足造成部分心肌坏死。须满足下列至少三项条件：</w:t>
      </w:r>
    </w:p>
    <w:p>
      <w:pPr>
        <w:pStyle w:val="BodyText"/>
        <w:spacing w:before="7"/>
        <w:ind w:left="1254"/>
      </w:pPr>
      <w:r>
        <w:rPr/>
        <w:t>（1）典型临床表现，例如急性胸痛等；</w:t>
      </w:r>
    </w:p>
    <w:p>
      <w:pPr>
        <w:pStyle w:val="BodyText"/>
        <w:spacing w:before="36"/>
        <w:ind w:left="1254"/>
      </w:pPr>
      <w:r>
        <w:rPr/>
        <w:t>（2）新近的心电图改变提示急性心肌梗塞；</w:t>
      </w:r>
    </w:p>
    <w:p>
      <w:pPr>
        <w:pStyle w:val="BodyText"/>
        <w:spacing w:line="273" w:lineRule="auto" w:before="36"/>
        <w:ind w:left="1735" w:right="141" w:hanging="482"/>
      </w:pPr>
      <w:r>
        <w:rPr/>
        <w:t>（3）心肌酶或肌钙蛋白有诊断意义的升高，或呈符合急性心肌梗塞的动态性变化；</w:t>
      </w:r>
    </w:p>
    <w:p>
      <w:pPr>
        <w:pStyle w:val="BodyText"/>
        <w:spacing w:before="7"/>
        <w:ind w:left="1254"/>
      </w:pPr>
      <w:r>
        <w:rPr>
          <w:spacing w:val="-3"/>
        </w:rPr>
        <w:t>（4）</w:t>
      </w:r>
      <w:r>
        <w:rPr>
          <w:spacing w:val="-18"/>
        </w:rPr>
        <w:t>发病 </w:t>
      </w:r>
      <w:r>
        <w:rPr/>
        <w:t>90</w:t>
      </w:r>
      <w:r>
        <w:rPr>
          <w:spacing w:val="-10"/>
        </w:rPr>
        <w:t> 日后，经检查证实左心室功能降低，如左心室射血分数低于 </w:t>
      </w:r>
      <w:r>
        <w:rPr/>
        <w:t>50%。</w:t>
      </w:r>
    </w:p>
    <w:p>
      <w:pPr>
        <w:pStyle w:val="ListParagraph"/>
        <w:numPr>
          <w:ilvl w:val="2"/>
          <w:numId w:val="3"/>
        </w:numPr>
        <w:tabs>
          <w:tab w:pos="1624" w:val="left" w:leader="none"/>
        </w:tabs>
        <w:spacing w:line="240" w:lineRule="auto" w:before="37" w:after="0"/>
        <w:ind w:left="1623" w:right="0" w:hanging="655"/>
        <w:jc w:val="left"/>
        <w:rPr>
          <w:sz w:val="21"/>
        </w:rPr>
      </w:pPr>
      <w:r>
        <w:rPr>
          <w:spacing w:val="-1"/>
          <w:sz w:val="21"/>
        </w:rPr>
        <w:t>脑中风后遗症</w:t>
      </w:r>
    </w:p>
    <w:p>
      <w:pPr>
        <w:pStyle w:val="BodyText"/>
        <w:spacing w:line="273" w:lineRule="auto"/>
        <w:ind w:right="305"/>
        <w:jc w:val="both"/>
      </w:pPr>
      <w:r>
        <w:rPr/>
        <w:t>指因脑血管的突发病变引起脑血管出血、栓塞或梗塞，并导致神经系统永久性</w:t>
      </w:r>
      <w:r>
        <w:rPr>
          <w:spacing w:val="-3"/>
        </w:rPr>
        <w:t>的功能障碍。神经系统永久性的功能障碍，指疾病确诊 </w:t>
      </w:r>
      <w:r>
        <w:rPr/>
        <w:t>180</w:t>
      </w:r>
      <w:r>
        <w:rPr>
          <w:spacing w:val="-8"/>
        </w:rPr>
        <w:t> 日后，仍遗留下列</w:t>
      </w:r>
      <w:r>
        <w:rPr>
          <w:spacing w:val="-1"/>
        </w:rPr>
        <w:t>一种或一种以上障碍：</w:t>
      </w:r>
    </w:p>
    <w:p>
      <w:pPr>
        <w:spacing w:before="7"/>
        <w:ind w:left="1254"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27"/>
          <w:sz w:val="21"/>
        </w:rPr>
        <w:t>见 </w:t>
      </w:r>
      <w:r>
        <w:rPr>
          <w:spacing w:val="-1"/>
          <w:sz w:val="21"/>
        </w:rPr>
        <w:t>3</w:t>
      </w:r>
      <w:r>
        <w:rPr>
          <w:sz w:val="21"/>
        </w:rPr>
        <w:t>.</w:t>
      </w:r>
      <w:r>
        <w:rPr>
          <w:spacing w:val="-1"/>
          <w:sz w:val="21"/>
        </w:rPr>
        <w:t>3</w:t>
      </w:r>
      <w:r>
        <w:rPr>
          <w:sz w:val="21"/>
        </w:rPr>
        <w:t>.</w:t>
      </w:r>
      <w:r>
        <w:rPr>
          <w:spacing w:val="-1"/>
          <w:sz w:val="21"/>
        </w:rPr>
        <w:t>1</w:t>
      </w:r>
      <w:r>
        <w:rPr>
          <w:spacing w:val="-105"/>
          <w:sz w:val="21"/>
        </w:rPr>
        <w:t>）</w:t>
      </w:r>
      <w:r>
        <w:rPr>
          <w:sz w:val="21"/>
        </w:rPr>
        <w:t>；</w:t>
      </w:r>
    </w:p>
    <w:p>
      <w:pPr>
        <w:spacing w:before="36"/>
        <w:ind w:left="1254"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27"/>
          <w:sz w:val="21"/>
        </w:rPr>
        <w:t>见 </w:t>
      </w:r>
      <w:r>
        <w:rPr>
          <w:spacing w:val="-1"/>
          <w:sz w:val="21"/>
        </w:rPr>
        <w:t>3</w:t>
      </w:r>
      <w:r>
        <w:rPr>
          <w:sz w:val="21"/>
        </w:rPr>
        <w:t>.</w:t>
      </w:r>
      <w:r>
        <w:rPr>
          <w:spacing w:val="-1"/>
          <w:sz w:val="21"/>
        </w:rPr>
        <w:t>3</w:t>
      </w:r>
      <w:r>
        <w:rPr>
          <w:sz w:val="21"/>
        </w:rPr>
        <w:t>.</w:t>
      </w:r>
      <w:r>
        <w:rPr>
          <w:spacing w:val="-1"/>
          <w:sz w:val="21"/>
        </w:rPr>
        <w:t>2</w:t>
      </w:r>
      <w:r>
        <w:rPr>
          <w:spacing w:val="-105"/>
          <w:sz w:val="21"/>
        </w:rPr>
        <w:t>）</w:t>
      </w:r>
      <w:r>
        <w:rPr>
          <w:sz w:val="21"/>
        </w:rPr>
        <w:t>；</w:t>
      </w:r>
    </w:p>
    <w:p>
      <w:pPr>
        <w:pStyle w:val="BodyText"/>
        <w:spacing w:line="273" w:lineRule="auto" w:before="36"/>
        <w:ind w:left="1735" w:right="107" w:hanging="482"/>
      </w:pPr>
      <w:r>
        <w:rPr>
          <w:spacing w:val="-15"/>
        </w:rPr>
        <w:t>（3）</w:t>
      </w:r>
      <w:r>
        <w:rPr>
          <w:spacing w:val="-4"/>
        </w:rPr>
        <w:t>自主生活能力完全丧失，无法独立完成</w:t>
      </w:r>
      <w:r>
        <w:rPr>
          <w:b/>
          <w:spacing w:val="-5"/>
        </w:rPr>
        <w:t>六项基本日常生活活动</w:t>
      </w:r>
      <w:r>
        <w:rPr/>
        <w:t>（</w:t>
      </w:r>
      <w:r>
        <w:rPr>
          <w:spacing w:val="-30"/>
        </w:rPr>
        <w:t>见 </w:t>
      </w:r>
      <w:r>
        <w:rPr/>
        <w:t>3.3.3） </w:t>
      </w:r>
      <w:r>
        <w:rPr>
          <w:spacing w:val="-1"/>
        </w:rPr>
        <w:t>中的三项或三项以上。</w:t>
      </w:r>
    </w:p>
    <w:p>
      <w:pPr>
        <w:pStyle w:val="ListParagraph"/>
        <w:numPr>
          <w:ilvl w:val="2"/>
          <w:numId w:val="3"/>
        </w:numPr>
        <w:tabs>
          <w:tab w:pos="1624" w:val="left" w:leader="none"/>
        </w:tabs>
        <w:spacing w:line="240" w:lineRule="auto" w:before="7" w:after="0"/>
        <w:ind w:left="1623" w:right="0" w:hanging="655"/>
        <w:jc w:val="left"/>
        <w:rPr>
          <w:sz w:val="21"/>
        </w:rPr>
      </w:pPr>
      <w:r>
        <w:rPr>
          <w:spacing w:val="-1"/>
          <w:sz w:val="21"/>
        </w:rPr>
        <w:t>重大器官移植术或造血干细胞移植术</w:t>
      </w:r>
    </w:p>
    <w:p>
      <w:pPr>
        <w:pStyle w:val="BodyText"/>
        <w:spacing w:line="273" w:lineRule="auto"/>
        <w:ind w:right="305"/>
      </w:pPr>
      <w:r>
        <w:rPr/>
        <w:t>重大器官移植术，指因相应器官功能衰竭，已经实施了肾脏、肝脏、心脏或肺脏的异体移植手术。</w:t>
      </w:r>
    </w:p>
    <w:p>
      <w:pPr>
        <w:pStyle w:val="BodyText"/>
        <w:spacing w:line="273" w:lineRule="auto" w:before="8"/>
        <w:ind w:right="305"/>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3"/>
        </w:numPr>
        <w:tabs>
          <w:tab w:pos="1624" w:val="left" w:leader="none"/>
        </w:tabs>
        <w:spacing w:line="240" w:lineRule="auto" w:before="8" w:after="0"/>
        <w:ind w:left="1623" w:right="0" w:hanging="655"/>
        <w:jc w:val="left"/>
        <w:rPr>
          <w:sz w:val="21"/>
        </w:rPr>
      </w:pPr>
      <w:r>
        <w:rPr>
          <w:spacing w:val="-1"/>
          <w:sz w:val="21"/>
        </w:rPr>
        <w:t>冠状动脉搭桥术</w:t>
      </w:r>
      <w:r>
        <w:rPr>
          <w:sz w:val="21"/>
        </w:rPr>
        <w:t>（或称冠状动脉旁路移植术）</w:t>
      </w:r>
    </w:p>
    <w:p>
      <w:pPr>
        <w:pStyle w:val="BodyText"/>
      </w:pPr>
      <w:r>
        <w:rPr/>
        <w:t>指为治疗严重的冠心病，实际实施了开胸进行的冠状动脉血管旁路移植的手术。</w:t>
      </w:r>
    </w:p>
    <w:p>
      <w:pPr>
        <w:spacing w:after="0"/>
        <w:sectPr>
          <w:pgSz w:w="11910" w:h="16840"/>
          <w:pgMar w:header="0" w:footer="1008" w:top="1400" w:bottom="1200" w:left="1680" w:right="1580"/>
        </w:sectPr>
      </w:pPr>
    </w:p>
    <w:p>
      <w:pPr>
        <w:pStyle w:val="BodyText"/>
        <w:spacing w:line="273" w:lineRule="auto" w:before="25"/>
        <w:ind w:right="207"/>
      </w:pPr>
      <w:r>
        <w:rPr/>
        <w:t>冠状动脉支架植入术、心导管球囊扩张术、激光射频技术及其它非开胸的介入手术、腔镜手术不在保障范围内。</w:t>
      </w:r>
    </w:p>
    <w:p>
      <w:pPr>
        <w:pStyle w:val="ListParagraph"/>
        <w:numPr>
          <w:ilvl w:val="2"/>
          <w:numId w:val="3"/>
        </w:numPr>
        <w:tabs>
          <w:tab w:pos="1624" w:val="left" w:leader="none"/>
        </w:tabs>
        <w:spacing w:line="240" w:lineRule="auto" w:before="7" w:after="0"/>
        <w:ind w:left="1623" w:right="0" w:hanging="655"/>
        <w:jc w:val="left"/>
        <w:rPr>
          <w:sz w:val="21"/>
        </w:rPr>
      </w:pPr>
      <w:r>
        <w:rPr>
          <w:spacing w:val="-1"/>
          <w:sz w:val="21"/>
        </w:rPr>
        <w:t>终末期肾病</w:t>
      </w:r>
      <w:r>
        <w:rPr>
          <w:sz w:val="21"/>
        </w:rPr>
        <w:t>（或称慢性肾功能衰竭尿毒症期）</w:t>
      </w:r>
    </w:p>
    <w:p>
      <w:pPr>
        <w:pStyle w:val="BodyText"/>
        <w:spacing w:line="273" w:lineRule="auto" w:before="36"/>
        <w:ind w:right="113"/>
      </w:pPr>
      <w:r>
        <w:rPr>
          <w:spacing w:val="-4"/>
        </w:rPr>
        <w:t>指双肾功能慢性不可逆性衰竭，达到尿毒症期，经诊断后已经进行了至少 </w:t>
      </w:r>
      <w:r>
        <w:rPr/>
        <w:t>90</w:t>
      </w:r>
      <w:r>
        <w:rPr>
          <w:spacing w:val="-32"/>
        </w:rPr>
        <w:t> 日的规律性透析治疗或实施了肾脏移植手术。</w:t>
      </w:r>
    </w:p>
    <w:p>
      <w:pPr>
        <w:pStyle w:val="ListParagraph"/>
        <w:numPr>
          <w:ilvl w:val="2"/>
          <w:numId w:val="3"/>
        </w:numPr>
        <w:tabs>
          <w:tab w:pos="1624" w:val="left" w:leader="none"/>
        </w:tabs>
        <w:spacing w:line="240" w:lineRule="auto" w:before="7" w:after="0"/>
        <w:ind w:left="1623" w:right="0" w:hanging="655"/>
        <w:jc w:val="left"/>
        <w:rPr>
          <w:sz w:val="21"/>
        </w:rPr>
      </w:pPr>
      <w:r>
        <w:rPr>
          <w:spacing w:val="-1"/>
          <w:sz w:val="21"/>
        </w:rPr>
        <w:t>多个肢体缺失</w:t>
      </w:r>
    </w:p>
    <w:p>
      <w:pPr>
        <w:pStyle w:val="BodyText"/>
        <w:spacing w:line="273" w:lineRule="auto"/>
        <w:ind w:right="205"/>
      </w:pPr>
      <w:r>
        <w:rPr/>
        <w:t>指因疾病或意外伤害导致两个或两个以上肢体自腕关节或踝关节近端（靠近躯干端）以上完全性断离。</w:t>
      </w:r>
    </w:p>
    <w:p>
      <w:pPr>
        <w:pStyle w:val="ListParagraph"/>
        <w:numPr>
          <w:ilvl w:val="2"/>
          <w:numId w:val="3"/>
        </w:numPr>
        <w:tabs>
          <w:tab w:pos="1624" w:val="left" w:leader="none"/>
        </w:tabs>
        <w:spacing w:line="240" w:lineRule="auto" w:before="8" w:after="0"/>
        <w:ind w:left="1623" w:right="0" w:hanging="655"/>
        <w:jc w:val="left"/>
        <w:rPr>
          <w:sz w:val="21"/>
        </w:rPr>
      </w:pPr>
      <w:r>
        <w:rPr>
          <w:spacing w:val="-1"/>
          <w:sz w:val="21"/>
        </w:rPr>
        <w:t>急性或亚急性重症肝炎</w:t>
      </w:r>
    </w:p>
    <w:p>
      <w:pPr>
        <w:pStyle w:val="BodyText"/>
        <w:spacing w:line="273" w:lineRule="auto"/>
        <w:ind w:right="205"/>
      </w:pPr>
      <w:r>
        <w:rPr/>
        <w:t>指因肝炎病毒感染引起肝脏组织弥漫性坏死，导致急性肝功能衰竭，且经血清学或病毒学检查证实，并须满足下列全部条件：</w:t>
      </w:r>
    </w:p>
    <w:p>
      <w:pPr>
        <w:pStyle w:val="BodyText"/>
        <w:spacing w:before="7"/>
        <w:ind w:left="1254"/>
      </w:pPr>
      <w:r>
        <w:rPr/>
        <w:t>（1）重度黄疸或黄疸迅速加重；</w:t>
      </w:r>
    </w:p>
    <w:p>
      <w:pPr>
        <w:pStyle w:val="BodyText"/>
        <w:spacing w:before="36"/>
        <w:ind w:left="1254"/>
      </w:pPr>
      <w:r>
        <w:rPr/>
        <w:t>（2）肝性脑病；</w:t>
      </w:r>
    </w:p>
    <w:p>
      <w:pPr>
        <w:pStyle w:val="BodyText"/>
        <w:spacing w:before="36"/>
        <w:ind w:left="1254"/>
      </w:pPr>
      <w:r>
        <w:rPr/>
        <w:t>（3）B 超或其它影像学检查显示肝脏体积急速萎缩；</w:t>
      </w:r>
    </w:p>
    <w:p>
      <w:pPr>
        <w:pStyle w:val="BodyText"/>
        <w:spacing w:before="36"/>
        <w:ind w:left="1254"/>
      </w:pPr>
      <w:r>
        <w:rPr/>
        <w:t>（4）肝功能指标进行性恶化。</w:t>
      </w:r>
    </w:p>
    <w:p>
      <w:pPr>
        <w:pStyle w:val="ListParagraph"/>
        <w:numPr>
          <w:ilvl w:val="2"/>
          <w:numId w:val="3"/>
        </w:numPr>
        <w:tabs>
          <w:tab w:pos="1623" w:val="left" w:leader="none"/>
        </w:tabs>
        <w:spacing w:line="240" w:lineRule="auto" w:before="36" w:after="0"/>
        <w:ind w:left="1622" w:right="0" w:hanging="654"/>
        <w:jc w:val="left"/>
        <w:rPr>
          <w:sz w:val="21"/>
        </w:rPr>
      </w:pPr>
      <w:r>
        <w:rPr>
          <w:spacing w:val="-1"/>
          <w:sz w:val="21"/>
        </w:rPr>
        <w:t>良性脑肿瘤</w:t>
      </w:r>
    </w:p>
    <w:p>
      <w:pPr>
        <w:pStyle w:val="BodyText"/>
        <w:spacing w:line="273" w:lineRule="auto" w:before="36"/>
        <w:ind w:right="113"/>
      </w:pPr>
      <w:r>
        <w:rPr/>
        <w:t>指脑的良性肿瘤，已经引起颅内压增高，临床表现为视神经乳头水肿、精神症</w:t>
      </w:r>
      <w:r>
        <w:rPr>
          <w:spacing w:val="-3"/>
        </w:rPr>
        <w:t>状、癫痫及运动感觉障碍等，并危及生命。须由头颅断层扫描</w:t>
      </w:r>
      <w:r>
        <w:rPr>
          <w:spacing w:val="-1"/>
        </w:rPr>
        <w:t>（CT</w:t>
      </w:r>
      <w:r>
        <w:rPr>
          <w:spacing w:val="-104"/>
        </w:rPr>
        <w:t>）</w:t>
      </w:r>
      <w:r>
        <w:rPr>
          <w:spacing w:val="-2"/>
        </w:rPr>
        <w:t>、核磁共振检查（MRI）或正电子发射断层扫描（PET）等影像学检查证实，并须满足下列</w:t>
      </w:r>
      <w:r>
        <w:rPr>
          <w:spacing w:val="-1"/>
        </w:rPr>
        <w:t>至少一项条件：</w:t>
      </w:r>
    </w:p>
    <w:p>
      <w:pPr>
        <w:pStyle w:val="BodyText"/>
        <w:spacing w:before="7"/>
        <w:ind w:left="1254"/>
      </w:pPr>
      <w:r>
        <w:rPr/>
        <w:t>（1）实际实施了开颅进行的脑肿瘤完全切除或部分切除的手术；</w:t>
      </w:r>
    </w:p>
    <w:p>
      <w:pPr>
        <w:pStyle w:val="BodyText"/>
        <w:ind w:left="1254"/>
      </w:pPr>
      <w:r>
        <w:rPr/>
        <w:t>（2）实际实施了对脑肿瘤进行的放射治疗。</w:t>
      </w:r>
    </w:p>
    <w:p>
      <w:pPr>
        <w:pStyle w:val="BodyText"/>
        <w:ind w:left="1255"/>
      </w:pPr>
      <w:r>
        <w:rPr/>
        <w:t>脑垂体瘤、脑囊肿、脑血管性疾病不在保障范围内。</w:t>
      </w:r>
    </w:p>
    <w:p>
      <w:pPr>
        <w:pStyle w:val="ListParagraph"/>
        <w:numPr>
          <w:ilvl w:val="2"/>
          <w:numId w:val="3"/>
        </w:numPr>
        <w:tabs>
          <w:tab w:pos="1723" w:val="left" w:leader="none"/>
        </w:tabs>
        <w:spacing w:line="240" w:lineRule="auto" w:before="37" w:after="0"/>
        <w:ind w:left="1722" w:right="0" w:hanging="754"/>
        <w:jc w:val="left"/>
        <w:rPr>
          <w:sz w:val="21"/>
        </w:rPr>
      </w:pPr>
      <w:r>
        <w:rPr>
          <w:spacing w:val="-1"/>
          <w:sz w:val="21"/>
        </w:rPr>
        <w:t>慢性肝功能衰竭失代偿期</w:t>
      </w:r>
    </w:p>
    <w:p>
      <w:pPr>
        <w:pStyle w:val="BodyText"/>
      </w:pPr>
      <w:r>
        <w:rPr/>
        <w:t>指因慢性肝脏疾病导致肝功能衰竭。须满足下列全部条件：</w:t>
      </w:r>
    </w:p>
    <w:p>
      <w:pPr>
        <w:pStyle w:val="BodyText"/>
        <w:ind w:left="1254"/>
      </w:pPr>
      <w:r>
        <w:rPr/>
        <w:t>（1）持续性黄疸；</w:t>
      </w:r>
    </w:p>
    <w:p>
      <w:pPr>
        <w:pStyle w:val="BodyText"/>
        <w:ind w:left="1254"/>
      </w:pPr>
      <w:r>
        <w:rPr/>
        <w:t>（2）腹水；</w:t>
      </w:r>
    </w:p>
    <w:p>
      <w:pPr>
        <w:pStyle w:val="BodyText"/>
        <w:ind w:left="1254"/>
      </w:pPr>
      <w:r>
        <w:rPr/>
        <w:t>（3）肝性脑病；</w:t>
      </w:r>
    </w:p>
    <w:p>
      <w:pPr>
        <w:pStyle w:val="BodyText"/>
        <w:spacing w:line="273" w:lineRule="auto"/>
        <w:ind w:left="1255" w:right="2144" w:hanging="2"/>
      </w:pPr>
      <w:r>
        <w:rPr/>
        <w:t>（4）充血性脾肿大伴脾功能亢进或食管胃底静脉曲张。因酗酒或药物滥用导致的肝功能衰竭不在保障范围内。</w:t>
      </w:r>
    </w:p>
    <w:p>
      <w:pPr>
        <w:pStyle w:val="ListParagraph"/>
        <w:numPr>
          <w:ilvl w:val="2"/>
          <w:numId w:val="3"/>
        </w:numPr>
        <w:tabs>
          <w:tab w:pos="1723" w:val="left" w:leader="none"/>
        </w:tabs>
        <w:spacing w:line="240" w:lineRule="auto" w:before="7" w:after="0"/>
        <w:ind w:left="1722" w:right="0" w:hanging="754"/>
        <w:jc w:val="left"/>
        <w:rPr>
          <w:sz w:val="21"/>
        </w:rPr>
      </w:pPr>
      <w:r>
        <w:rPr>
          <w:spacing w:val="-1"/>
          <w:sz w:val="21"/>
        </w:rPr>
        <w:t>脑炎后遗症或脑膜炎后遗症</w:t>
      </w:r>
    </w:p>
    <w:p>
      <w:pPr>
        <w:pStyle w:val="BodyText"/>
        <w:spacing w:line="273" w:lineRule="auto" w:before="36"/>
        <w:ind w:right="205"/>
      </w:pPr>
      <w:r>
        <w:rPr/>
        <w:t>指因患脑炎或脑膜炎导致的神经系统永久性的功能障碍。神经系统永久性的功能障碍，指疾病确诊 180 日后，仍遗留下列一种或一种以上障碍：</w:t>
      </w:r>
    </w:p>
    <w:p>
      <w:pPr>
        <w:pStyle w:val="BodyText"/>
        <w:spacing w:before="7"/>
        <w:ind w:left="1254"/>
      </w:pPr>
      <w:r>
        <w:rPr/>
        <w:t>（1）一肢或一肢以上肢体机能完全丧失；</w:t>
      </w:r>
    </w:p>
    <w:p>
      <w:pPr>
        <w:pStyle w:val="BodyText"/>
        <w:ind w:left="1254"/>
      </w:pPr>
      <w:r>
        <w:rPr/>
        <w:t>（2）语言能力或咀嚼吞咽能力完全丧失；</w:t>
      </w:r>
    </w:p>
    <w:p>
      <w:pPr>
        <w:pStyle w:val="BodyText"/>
        <w:spacing w:line="273" w:lineRule="auto"/>
        <w:ind w:left="1735" w:right="41" w:hanging="482"/>
      </w:pPr>
      <w:r>
        <w:rPr/>
        <w:t>（3）自主生活能力完全丧失，无法独立完成六项基本日常生活活动中的三项或三项以上。</w:t>
      </w:r>
    </w:p>
    <w:p>
      <w:pPr>
        <w:pStyle w:val="ListParagraph"/>
        <w:numPr>
          <w:ilvl w:val="2"/>
          <w:numId w:val="3"/>
        </w:numPr>
        <w:tabs>
          <w:tab w:pos="1723" w:val="left" w:leader="none"/>
        </w:tabs>
        <w:spacing w:line="240" w:lineRule="auto" w:before="7" w:after="0"/>
        <w:ind w:left="1722" w:right="0" w:hanging="754"/>
        <w:jc w:val="left"/>
        <w:rPr>
          <w:sz w:val="21"/>
        </w:rPr>
      </w:pPr>
      <w:r>
        <w:rPr>
          <w:sz w:val="21"/>
        </w:rPr>
        <w:t>深度昏迷</w:t>
      </w:r>
    </w:p>
    <w:p>
      <w:pPr>
        <w:pStyle w:val="BodyText"/>
        <w:spacing w:line="273" w:lineRule="auto" w:before="36"/>
        <w:ind w:right="207"/>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9"/>
        </w:rPr>
        <w:t> 分以下，且已</w:t>
      </w:r>
      <w:r>
        <w:rPr>
          <w:spacing w:val="-13"/>
        </w:rPr>
        <w:t>经持续使用呼吸机及其它生命维持系统 </w:t>
      </w:r>
      <w:r>
        <w:rPr/>
        <w:t>96</w:t>
      </w:r>
      <w:r>
        <w:rPr>
          <w:spacing w:val="-12"/>
        </w:rPr>
        <w:t> 小时以上。</w:t>
      </w:r>
    </w:p>
    <w:p>
      <w:pPr>
        <w:pStyle w:val="BodyText"/>
        <w:spacing w:before="7"/>
      </w:pPr>
      <w:r>
        <w:rPr/>
        <w:t>因酗酒或药物滥用导致的深度昏迷不在保障范围内。</w:t>
      </w:r>
    </w:p>
    <w:p>
      <w:pPr>
        <w:pStyle w:val="ListParagraph"/>
        <w:numPr>
          <w:ilvl w:val="2"/>
          <w:numId w:val="3"/>
        </w:numPr>
        <w:tabs>
          <w:tab w:pos="1723" w:val="left" w:leader="none"/>
        </w:tabs>
        <w:spacing w:line="240" w:lineRule="auto" w:before="37" w:after="0"/>
        <w:ind w:left="1722" w:right="0" w:hanging="754"/>
        <w:jc w:val="left"/>
        <w:rPr>
          <w:sz w:val="21"/>
        </w:rPr>
      </w:pPr>
      <w:r>
        <w:rPr>
          <w:sz w:val="21"/>
        </w:rPr>
        <w:t>双耳失聪</w:t>
      </w:r>
    </w:p>
    <w:p>
      <w:pPr>
        <w:spacing w:after="0" w:line="240" w:lineRule="auto"/>
        <w:jc w:val="left"/>
        <w:rPr>
          <w:sz w:val="21"/>
        </w:rPr>
        <w:sectPr>
          <w:pgSz w:w="11910" w:h="16840"/>
          <w:pgMar w:header="0" w:footer="1008" w:top="1400" w:bottom="1200" w:left="1680" w:right="1680"/>
        </w:sectPr>
      </w:pPr>
    </w:p>
    <w:p>
      <w:pPr>
        <w:pStyle w:val="BodyText"/>
        <w:spacing w:before="25"/>
      </w:pPr>
      <w:r>
        <w:rPr/>
        <w:t>指因疾病或意外伤害导致双耳听力</w:t>
      </w:r>
      <w:r>
        <w:rPr>
          <w:b/>
          <w:spacing w:val="-12"/>
        </w:rPr>
        <w:t>永久不可逆</w:t>
      </w:r>
      <w:r>
        <w:rPr/>
        <w:t>（</w:t>
      </w:r>
      <w:r>
        <w:rPr>
          <w:spacing w:val="-28"/>
        </w:rPr>
        <w:t>见 </w:t>
      </w:r>
      <w:r>
        <w:rPr>
          <w:spacing w:val="-10"/>
        </w:rPr>
        <w:t>3.3.4）</w:t>
      </w:r>
      <w:r>
        <w:rPr>
          <w:spacing w:val="-20"/>
        </w:rPr>
        <w:t>性丧失，在 </w:t>
      </w:r>
      <w:r>
        <w:rPr/>
        <w:t>500</w:t>
      </w:r>
      <w:r>
        <w:rPr>
          <w:spacing w:val="-15"/>
        </w:rPr>
        <w:t> 赫兹、</w:t>
      </w:r>
    </w:p>
    <w:p>
      <w:pPr>
        <w:pStyle w:val="BodyText"/>
        <w:spacing w:line="273" w:lineRule="auto"/>
        <w:ind w:right="107"/>
      </w:pPr>
      <w:r>
        <w:rPr/>
        <w:t>1000</w:t>
      </w:r>
      <w:r>
        <w:rPr>
          <w:spacing w:val="-23"/>
        </w:rPr>
        <w:t> 赫兹和 </w:t>
      </w:r>
      <w:r>
        <w:rPr/>
        <w:t>2000</w:t>
      </w:r>
      <w:r>
        <w:rPr>
          <w:spacing w:val="-13"/>
        </w:rPr>
        <w:t> 赫兹语音频率下，平均听阈大于 </w:t>
      </w:r>
      <w:r>
        <w:rPr/>
        <w:t>90</w:t>
      </w:r>
      <w:r>
        <w:rPr>
          <w:spacing w:val="-10"/>
        </w:rPr>
        <w:t> 分贝，且经纯音听力测试、声导抗检测或听觉诱发电位检测等证实。</w:t>
      </w:r>
    </w:p>
    <w:p>
      <w:pPr>
        <w:pStyle w:val="ListParagraph"/>
        <w:numPr>
          <w:ilvl w:val="2"/>
          <w:numId w:val="3"/>
        </w:numPr>
        <w:tabs>
          <w:tab w:pos="1723" w:val="left" w:leader="none"/>
        </w:tabs>
        <w:spacing w:line="240" w:lineRule="auto" w:before="7" w:after="0"/>
        <w:ind w:left="1722" w:right="0" w:hanging="754"/>
        <w:jc w:val="left"/>
        <w:rPr>
          <w:sz w:val="21"/>
        </w:rPr>
      </w:pPr>
      <w:r>
        <w:rPr>
          <w:sz w:val="21"/>
        </w:rPr>
        <w:t>双目失明</w:t>
      </w:r>
    </w:p>
    <w:p>
      <w:pPr>
        <w:pStyle w:val="BodyText"/>
        <w:spacing w:line="273" w:lineRule="auto" w:before="36"/>
        <w:ind w:right="307"/>
      </w:pPr>
      <w:r>
        <w:rPr/>
        <w:t>指因疾病或意外伤害导致双眼视力永久不可逆性丧失，双眼中较好眼须满足下列至少一项条件：</w:t>
      </w:r>
    </w:p>
    <w:p>
      <w:pPr>
        <w:pStyle w:val="BodyText"/>
        <w:spacing w:before="7"/>
        <w:ind w:left="1254"/>
      </w:pPr>
      <w:r>
        <w:rPr/>
        <w:t>（1）眼球缺失或摘除；</w:t>
      </w:r>
    </w:p>
    <w:p>
      <w:pPr>
        <w:pStyle w:val="BodyText"/>
        <w:spacing w:line="273" w:lineRule="auto"/>
        <w:ind w:left="1735" w:right="301" w:hanging="482"/>
      </w:pPr>
      <w:r>
        <w:rPr/>
        <w:t>（2）</w:t>
      </w:r>
      <w:r>
        <w:rPr>
          <w:spacing w:val="-8"/>
        </w:rPr>
        <w:t>矫正视力低于 </w:t>
      </w:r>
      <w:r>
        <w:rPr/>
        <w:t>0.02（采用国际标准视力表，如果使用其它视力表应进行换算</w:t>
      </w:r>
      <w:r>
        <w:rPr>
          <w:spacing w:val="-105"/>
        </w:rPr>
        <w:t>）</w:t>
      </w:r>
      <w:r>
        <w:rPr/>
        <w:t>；</w:t>
      </w:r>
    </w:p>
    <w:p>
      <w:pPr>
        <w:pStyle w:val="BodyText"/>
        <w:spacing w:before="8"/>
        <w:ind w:left="1254"/>
      </w:pPr>
      <w:r>
        <w:rPr/>
        <w:t>（3）视野半径小于 5 度。</w:t>
      </w:r>
    </w:p>
    <w:p>
      <w:pPr>
        <w:pStyle w:val="ListParagraph"/>
        <w:numPr>
          <w:ilvl w:val="2"/>
          <w:numId w:val="3"/>
        </w:numPr>
        <w:tabs>
          <w:tab w:pos="1723" w:val="left" w:leader="none"/>
        </w:tabs>
        <w:spacing w:line="240" w:lineRule="auto" w:before="37" w:after="0"/>
        <w:ind w:left="1722" w:right="0" w:hanging="754"/>
        <w:jc w:val="left"/>
        <w:rPr>
          <w:sz w:val="21"/>
        </w:rPr>
      </w:pPr>
      <w:r>
        <w:rPr>
          <w:sz w:val="21"/>
        </w:rPr>
        <w:t>瘫痪</w:t>
      </w:r>
    </w:p>
    <w:p>
      <w:pPr>
        <w:pStyle w:val="BodyText"/>
        <w:spacing w:line="273" w:lineRule="auto"/>
        <w:ind w:right="307"/>
        <w:jc w:val="both"/>
      </w:pPr>
      <w:r>
        <w:rPr/>
        <w:t>指因疾病或意外伤害导致两肢或两肢以上肢体机能永久完全丧失。肢体机能永</w:t>
      </w:r>
      <w:r>
        <w:rPr>
          <w:spacing w:val="-5"/>
        </w:rPr>
        <w:t>久完全丧失，指疾病确诊 </w:t>
      </w:r>
      <w:r>
        <w:rPr/>
        <w:t>180</w:t>
      </w:r>
      <w:r>
        <w:rPr>
          <w:spacing w:val="-13"/>
        </w:rPr>
        <w:t> 日后或意外伤害发生 </w:t>
      </w:r>
      <w:r>
        <w:rPr/>
        <w:t>180</w:t>
      </w:r>
      <w:r>
        <w:rPr>
          <w:spacing w:val="-8"/>
        </w:rPr>
        <w:t> 日后，每肢三大关节中的两大关节仍然完全僵硬，或不能随意识活动。</w:t>
      </w:r>
    </w:p>
    <w:p>
      <w:pPr>
        <w:pStyle w:val="ListParagraph"/>
        <w:numPr>
          <w:ilvl w:val="2"/>
          <w:numId w:val="3"/>
        </w:numPr>
        <w:tabs>
          <w:tab w:pos="1723" w:val="left" w:leader="none"/>
        </w:tabs>
        <w:spacing w:line="240" w:lineRule="auto" w:before="8" w:after="0"/>
        <w:ind w:left="1722" w:right="0" w:hanging="754"/>
        <w:jc w:val="left"/>
        <w:rPr>
          <w:sz w:val="21"/>
        </w:rPr>
      </w:pPr>
      <w:r>
        <w:rPr>
          <w:spacing w:val="-1"/>
          <w:sz w:val="21"/>
        </w:rPr>
        <w:t>心脏瓣膜手术</w:t>
      </w:r>
    </w:p>
    <w:p>
      <w:pPr>
        <w:pStyle w:val="BodyText"/>
      </w:pPr>
      <w:r>
        <w:rPr/>
        <w:t>指为治疗心脏瓣膜疾病，实际实施了开胸进行的心脏瓣膜置换或修复的手术。</w:t>
      </w:r>
    </w:p>
    <w:p>
      <w:pPr>
        <w:pStyle w:val="ListParagraph"/>
        <w:numPr>
          <w:ilvl w:val="2"/>
          <w:numId w:val="3"/>
        </w:numPr>
        <w:tabs>
          <w:tab w:pos="1723" w:val="left" w:leader="none"/>
        </w:tabs>
        <w:spacing w:line="240" w:lineRule="auto" w:before="37" w:after="0"/>
        <w:ind w:left="1722" w:right="0" w:hanging="754"/>
        <w:jc w:val="left"/>
        <w:rPr>
          <w:sz w:val="21"/>
        </w:rPr>
      </w:pPr>
      <w:r>
        <w:rPr>
          <w:spacing w:val="-5"/>
          <w:sz w:val="21"/>
        </w:rPr>
        <w:t>严重阿尔茨海默病 (最多保障至 </w:t>
      </w:r>
      <w:r>
        <w:rPr>
          <w:sz w:val="21"/>
        </w:rPr>
        <w:t>60</w:t>
      </w:r>
      <w:r>
        <w:rPr>
          <w:spacing w:val="-8"/>
          <w:sz w:val="21"/>
        </w:rPr>
        <w:t> 周岁的保险单周年日零时止)</w:t>
      </w:r>
    </w:p>
    <w:p>
      <w:pPr>
        <w:pStyle w:val="BodyText"/>
        <w:spacing w:line="273" w:lineRule="auto"/>
        <w:ind w:right="108"/>
      </w:pPr>
      <w:r>
        <w:rPr/>
        <w:t>指因大脑进行性、不可逆性改变导致智能严重衰退或丧失，临床表现为明显的</w:t>
      </w:r>
      <w:r>
        <w:rPr>
          <w:spacing w:val="-2"/>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w:t>
      </w:r>
      <w:r>
        <w:rPr>
          <w:spacing w:val="0"/>
        </w:rPr>
        <w:t>T</w:t>
      </w:r>
      <w:r>
        <w:rPr/>
        <w:t>）等影像学检查证实，且自主生活能力完全丧失，无法独立完成六项基本日常生</w:t>
      </w:r>
      <w:r>
        <w:rPr>
          <w:spacing w:val="-1"/>
        </w:rPr>
        <w:t>活活动中的三项或三项以上。</w:t>
      </w:r>
    </w:p>
    <w:p>
      <w:pPr>
        <w:pStyle w:val="BodyText"/>
        <w:spacing w:before="7"/>
      </w:pPr>
      <w:r>
        <w:rPr/>
        <w:t>神经官能症和精神疾病不在保障范围内。</w:t>
      </w:r>
    </w:p>
    <w:p>
      <w:pPr>
        <w:pStyle w:val="ListParagraph"/>
        <w:numPr>
          <w:ilvl w:val="2"/>
          <w:numId w:val="3"/>
        </w:numPr>
        <w:tabs>
          <w:tab w:pos="1723" w:val="left" w:leader="none"/>
        </w:tabs>
        <w:spacing w:line="240" w:lineRule="auto" w:before="36" w:after="0"/>
        <w:ind w:left="1722" w:right="0" w:hanging="754"/>
        <w:jc w:val="left"/>
        <w:rPr>
          <w:sz w:val="21"/>
        </w:rPr>
      </w:pPr>
      <w:r>
        <w:rPr>
          <w:spacing w:val="-1"/>
          <w:sz w:val="21"/>
        </w:rPr>
        <w:t>严重脑损伤</w:t>
      </w:r>
    </w:p>
    <w:p>
      <w:pPr>
        <w:pStyle w:val="BodyText"/>
        <w:spacing w:line="273" w:lineRule="auto" w:before="36"/>
        <w:ind w:right="307"/>
      </w:pPr>
      <w:r>
        <w:rPr/>
        <w:t>指因头部遭受机械性外力，引起脑重要部位损伤，导致神经系统永久性的功能</w:t>
      </w:r>
      <w:r>
        <w:rPr>
          <w:spacing w:val="-1"/>
        </w:rPr>
        <w:t>障碍。须由头颅断层扫描（CT</w:t>
      </w:r>
      <w:r>
        <w:rPr>
          <w:spacing w:val="-104"/>
        </w:rPr>
        <w:t>）</w:t>
      </w:r>
      <w:r>
        <w:rPr>
          <w:spacing w:val="-1"/>
        </w:rPr>
        <w:t>、核磁共振检查</w:t>
      </w:r>
      <w:r>
        <w:rPr/>
        <w:t>（MRI）</w:t>
      </w:r>
      <w:r>
        <w:rPr>
          <w:spacing w:val="-1"/>
        </w:rPr>
        <w:t>或正电子发射断层扫描</w:t>
      </w:r>
    </w:p>
    <w:p>
      <w:pPr>
        <w:pStyle w:val="BodyText"/>
        <w:spacing w:line="273" w:lineRule="auto" w:before="7"/>
        <w:ind w:right="200"/>
      </w:pPr>
      <w:r>
        <w:rPr/>
        <w:t>（PET）</w:t>
      </w:r>
      <w:r>
        <w:rPr>
          <w:spacing w:val="-2"/>
        </w:rPr>
        <w:t>等影像学检查证实。神经系统永久性的功能障碍，指脑损伤 </w:t>
      </w:r>
      <w:r>
        <w:rPr/>
        <w:t>180</w:t>
      </w:r>
      <w:r>
        <w:rPr>
          <w:spacing w:val="-14"/>
        </w:rPr>
        <w:t> 日后， </w:t>
      </w:r>
      <w:r>
        <w:rPr>
          <w:spacing w:val="-1"/>
        </w:rPr>
        <w:t>仍遗留下列一种或一种以上障碍：</w:t>
      </w:r>
    </w:p>
    <w:p>
      <w:pPr>
        <w:pStyle w:val="BodyText"/>
        <w:spacing w:before="7"/>
        <w:ind w:left="1254"/>
      </w:pPr>
      <w:r>
        <w:rPr/>
        <w:t>（1）一肢或一肢以上肢体机能完全丧失；</w:t>
      </w:r>
    </w:p>
    <w:p>
      <w:pPr>
        <w:pStyle w:val="BodyText"/>
        <w:spacing w:before="36"/>
        <w:ind w:left="1254"/>
      </w:pPr>
      <w:r>
        <w:rPr/>
        <w:t>（2）语言能力或咀嚼吞咽能力完全丧失；</w:t>
      </w:r>
    </w:p>
    <w:p>
      <w:pPr>
        <w:pStyle w:val="BodyText"/>
        <w:spacing w:line="273" w:lineRule="auto" w:before="36"/>
        <w:ind w:left="1735" w:right="141" w:hanging="482"/>
      </w:pPr>
      <w:r>
        <w:rPr/>
        <w:t>（3）自主生活能力完全丧失，无法独立完成六项基本日常生活活动中的三项或三项以上。</w:t>
      </w:r>
    </w:p>
    <w:p>
      <w:pPr>
        <w:pStyle w:val="ListParagraph"/>
        <w:numPr>
          <w:ilvl w:val="2"/>
          <w:numId w:val="3"/>
        </w:numPr>
        <w:tabs>
          <w:tab w:pos="1723" w:val="left" w:leader="none"/>
        </w:tabs>
        <w:spacing w:line="240" w:lineRule="auto" w:before="7" w:after="0"/>
        <w:ind w:left="1722" w:right="0" w:hanging="754"/>
        <w:jc w:val="left"/>
        <w:rPr>
          <w:sz w:val="21"/>
        </w:rPr>
      </w:pPr>
      <w:r>
        <w:rPr>
          <w:spacing w:val="-8"/>
          <w:sz w:val="21"/>
        </w:rPr>
        <w:t>严重帕金森病 (最多保障至 </w:t>
      </w:r>
      <w:r>
        <w:rPr>
          <w:sz w:val="21"/>
        </w:rPr>
        <w:t>60</w:t>
      </w:r>
      <w:r>
        <w:rPr>
          <w:spacing w:val="-8"/>
          <w:sz w:val="21"/>
        </w:rPr>
        <w:t> 周岁的保险单周年日零时止)</w:t>
      </w:r>
    </w:p>
    <w:p>
      <w:pPr>
        <w:pStyle w:val="BodyText"/>
        <w:spacing w:line="273" w:lineRule="auto"/>
        <w:ind w:right="307"/>
      </w:pPr>
      <w:r>
        <w:rPr/>
        <w:t>是一种中枢神经系统的退行性疾病，临床表现为震颤麻痹、共济失调等。须满足下列全部条件：</w:t>
      </w:r>
    </w:p>
    <w:p>
      <w:pPr>
        <w:pStyle w:val="BodyText"/>
        <w:spacing w:before="8"/>
        <w:ind w:left="1254"/>
      </w:pPr>
      <w:r>
        <w:rPr/>
        <w:t>（1）药物治疗无法控制病情；</w:t>
      </w:r>
    </w:p>
    <w:p>
      <w:pPr>
        <w:pStyle w:val="BodyText"/>
        <w:spacing w:line="273" w:lineRule="auto"/>
        <w:ind w:left="1735" w:right="141" w:hanging="482"/>
      </w:pPr>
      <w:r>
        <w:rPr/>
        <w:t>（2）自主生活能力完全丧失，无法独立完成六项基本日常生活活动中的三项或三项以上。</w:t>
      </w:r>
    </w:p>
    <w:p>
      <w:pPr>
        <w:pStyle w:val="BodyText"/>
        <w:spacing w:before="7"/>
      </w:pPr>
      <w:r>
        <w:rPr/>
        <w:t>继发性帕金森综合征不在保障范围内。</w:t>
      </w:r>
    </w:p>
    <w:p>
      <w:pPr>
        <w:pStyle w:val="ListParagraph"/>
        <w:numPr>
          <w:ilvl w:val="2"/>
          <w:numId w:val="3"/>
        </w:numPr>
        <w:tabs>
          <w:tab w:pos="1723" w:val="left" w:leader="none"/>
        </w:tabs>
        <w:spacing w:line="240" w:lineRule="auto" w:before="36" w:after="0"/>
        <w:ind w:left="1722" w:right="0" w:hanging="754"/>
        <w:jc w:val="left"/>
        <w:rPr>
          <w:sz w:val="21"/>
        </w:rPr>
      </w:pPr>
      <w:r>
        <w:rPr>
          <w:spacing w:val="-1"/>
          <w:sz w:val="21"/>
        </w:rPr>
        <w:t>严重Ⅲ度烧伤</w:t>
      </w:r>
    </w:p>
    <w:p>
      <w:pPr>
        <w:pStyle w:val="BodyText"/>
        <w:spacing w:line="273" w:lineRule="auto" w:before="36"/>
        <w:ind w:right="200"/>
      </w:pPr>
      <w:r>
        <w:rPr>
          <w:spacing w:val="-2"/>
        </w:rPr>
        <w:t>指烧伤程度为Ⅲ度，且Ⅲ度烧伤的面积达到全身体表面积的 </w:t>
      </w:r>
      <w:r>
        <w:rPr/>
        <w:t>20</w:t>
      </w:r>
      <w:r>
        <w:rPr>
          <w:spacing w:val="-18"/>
        </w:rPr>
        <w:t>％或 </w:t>
      </w:r>
      <w:r>
        <w:rPr/>
        <w:t>20％以上。</w:t>
      </w:r>
      <w:r>
        <w:rPr>
          <w:spacing w:val="-1"/>
        </w:rPr>
        <w:t>体表面积根据《中国新九分法》计算。</w:t>
      </w:r>
    </w:p>
    <w:p>
      <w:pPr>
        <w:pStyle w:val="ListParagraph"/>
        <w:numPr>
          <w:ilvl w:val="2"/>
          <w:numId w:val="3"/>
        </w:numPr>
        <w:tabs>
          <w:tab w:pos="1723" w:val="left" w:leader="none"/>
        </w:tabs>
        <w:spacing w:line="240" w:lineRule="auto" w:before="7" w:after="0"/>
        <w:ind w:left="1722" w:right="0" w:hanging="754"/>
        <w:jc w:val="left"/>
        <w:rPr>
          <w:sz w:val="21"/>
        </w:rPr>
      </w:pPr>
      <w:r>
        <w:rPr>
          <w:spacing w:val="-1"/>
          <w:sz w:val="21"/>
        </w:rPr>
        <w:t>严重原发性肺动脉高压</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right="307"/>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ListParagraph"/>
        <w:numPr>
          <w:ilvl w:val="2"/>
          <w:numId w:val="3"/>
        </w:numPr>
        <w:tabs>
          <w:tab w:pos="1723" w:val="left" w:leader="none"/>
        </w:tabs>
        <w:spacing w:line="240" w:lineRule="auto" w:before="7" w:after="0"/>
        <w:ind w:left="1722" w:right="0" w:hanging="754"/>
        <w:jc w:val="left"/>
        <w:rPr>
          <w:sz w:val="21"/>
        </w:rPr>
      </w:pPr>
      <w:r>
        <w:rPr>
          <w:spacing w:val="-1"/>
          <w:sz w:val="21"/>
        </w:rPr>
        <w:t>严重运动神经元病</w:t>
      </w:r>
    </w:p>
    <w:p>
      <w:pPr>
        <w:pStyle w:val="BodyText"/>
        <w:spacing w:line="273" w:lineRule="auto" w:before="36"/>
        <w:ind w:right="30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3"/>
        </w:numPr>
        <w:tabs>
          <w:tab w:pos="1723" w:val="left" w:leader="none"/>
        </w:tabs>
        <w:spacing w:line="240" w:lineRule="auto" w:before="7" w:after="0"/>
        <w:ind w:left="1722" w:right="0" w:hanging="754"/>
        <w:jc w:val="left"/>
        <w:rPr>
          <w:sz w:val="21"/>
        </w:rPr>
      </w:pPr>
      <w:r>
        <w:rPr>
          <w:spacing w:val="-1"/>
          <w:sz w:val="21"/>
        </w:rPr>
        <w:t>语言能力丧失</w:t>
      </w:r>
    </w:p>
    <w:p>
      <w:pPr>
        <w:pStyle w:val="BodyText"/>
        <w:spacing w:line="273" w:lineRule="auto"/>
        <w:ind w:right="214"/>
      </w:pPr>
      <w:r>
        <w:rPr>
          <w:spacing w:val="-4"/>
        </w:rPr>
        <w:t>指因疾病或意外伤害导致完全丧失语言能力，经过积极治疗至少 </w:t>
      </w:r>
      <w:r>
        <w:rPr/>
        <w:t>12</w:t>
      </w:r>
      <w:r>
        <w:rPr>
          <w:spacing w:val="-24"/>
        </w:rPr>
        <w:t> 个月</w:t>
      </w:r>
      <w:r>
        <w:rPr/>
        <w:t>（声带完全切除不受此时间限制</w:t>
      </w:r>
      <w:r>
        <w:rPr>
          <w:spacing w:val="-105"/>
        </w:rPr>
        <w:t>）</w:t>
      </w:r>
      <w:r>
        <w:rPr>
          <w:spacing w:val="-2"/>
        </w:rPr>
        <w:t>，仍无法通过现有医疗手段恢复。</w:t>
      </w:r>
    </w:p>
    <w:p>
      <w:pPr>
        <w:pStyle w:val="BodyText"/>
        <w:spacing w:before="8"/>
      </w:pPr>
      <w:r>
        <w:rPr/>
        <w:t>精神心理因素所致的语言能力丧失不在保障范围内。</w:t>
      </w:r>
    </w:p>
    <w:p>
      <w:pPr>
        <w:pStyle w:val="ListParagraph"/>
        <w:numPr>
          <w:ilvl w:val="2"/>
          <w:numId w:val="3"/>
        </w:numPr>
        <w:tabs>
          <w:tab w:pos="1723" w:val="left" w:leader="none"/>
        </w:tabs>
        <w:spacing w:line="240" w:lineRule="auto" w:before="37" w:after="0"/>
        <w:ind w:left="1722" w:right="0" w:hanging="754"/>
        <w:jc w:val="left"/>
        <w:rPr>
          <w:sz w:val="21"/>
        </w:rPr>
      </w:pPr>
      <w:r>
        <w:rPr>
          <w:spacing w:val="-1"/>
          <w:sz w:val="21"/>
        </w:rPr>
        <w:t>重型再生障碍性贫血</w:t>
      </w:r>
    </w:p>
    <w:p>
      <w:pPr>
        <w:pStyle w:val="BodyText"/>
        <w:spacing w:line="273" w:lineRule="auto"/>
        <w:ind w:right="65"/>
      </w:pPr>
      <w:r>
        <w:rPr/>
        <w:t>指因骨髓造血功能慢性持续性衰竭导致的贫血、中性粒细胞减少及血小板减少。须满足下列全部条件：</w:t>
      </w:r>
    </w:p>
    <w:p>
      <w:pPr>
        <w:pStyle w:val="BodyText"/>
        <w:spacing w:before="8"/>
        <w:ind w:left="1254"/>
      </w:pPr>
      <w:r>
        <w:rPr/>
        <w:t>（1）骨髓穿刺检查或骨髓活检结果支持诊断；</w:t>
      </w:r>
    </w:p>
    <w:p>
      <w:pPr>
        <w:pStyle w:val="BodyText"/>
        <w:ind w:left="1254"/>
      </w:pPr>
      <w:r>
        <w:rPr/>
        <w:t>（2）外周血象须具备以下三项条件：</w:t>
      </w:r>
    </w:p>
    <w:p>
      <w:pPr>
        <w:pStyle w:val="BodyText"/>
        <w:ind w:left="1395"/>
      </w:pPr>
      <w:r>
        <w:rPr/>
        <w:t>① 中性粒细胞绝对值≤0.5×10</w:t>
      </w:r>
      <w:r>
        <w:rPr>
          <w:position w:val="11"/>
          <w:sz w:val="11"/>
        </w:rPr>
        <w:t>9</w:t>
      </w:r>
      <w:r>
        <w:rPr/>
        <w:t>/L；</w:t>
      </w:r>
    </w:p>
    <w:p>
      <w:pPr>
        <w:pStyle w:val="BodyText"/>
        <w:ind w:left="1395"/>
      </w:pPr>
      <w:r>
        <w:rPr/>
        <w:t>② 网织红细胞＜1%；</w:t>
      </w:r>
    </w:p>
    <w:p>
      <w:pPr>
        <w:pStyle w:val="BodyText"/>
        <w:ind w:left="1395"/>
      </w:pPr>
      <w:r>
        <w:rPr/>
        <w:t>③ 血小板绝对值≤20×10</w:t>
      </w:r>
      <w:r>
        <w:rPr>
          <w:position w:val="11"/>
          <w:sz w:val="11"/>
        </w:rPr>
        <w:t>9</w:t>
      </w:r>
      <w:r>
        <w:rPr/>
        <w:t>/L。</w:t>
      </w:r>
    </w:p>
    <w:p>
      <w:pPr>
        <w:pStyle w:val="ListParagraph"/>
        <w:numPr>
          <w:ilvl w:val="2"/>
          <w:numId w:val="3"/>
        </w:numPr>
        <w:tabs>
          <w:tab w:pos="1723" w:val="left" w:leader="none"/>
        </w:tabs>
        <w:spacing w:line="240" w:lineRule="auto" w:before="37" w:after="0"/>
        <w:ind w:left="1722" w:right="0" w:hanging="754"/>
        <w:jc w:val="left"/>
        <w:rPr>
          <w:sz w:val="21"/>
        </w:rPr>
      </w:pPr>
      <w:r>
        <w:rPr>
          <w:spacing w:val="-1"/>
          <w:sz w:val="21"/>
        </w:rPr>
        <w:t>主动脉手术</w:t>
      </w:r>
    </w:p>
    <w:p>
      <w:pPr>
        <w:pStyle w:val="BodyText"/>
        <w:spacing w:line="273" w:lineRule="auto"/>
        <w:ind w:right="306"/>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pPr>
      <w:r>
        <w:rPr/>
        <w:t>动脉内血管成形术不在保障范围内。</w:t>
      </w:r>
    </w:p>
    <w:p>
      <w:pPr>
        <w:pStyle w:val="ListParagraph"/>
        <w:numPr>
          <w:ilvl w:val="1"/>
          <w:numId w:val="4"/>
        </w:numPr>
        <w:tabs>
          <w:tab w:pos="1423" w:val="left" w:leader="none"/>
        </w:tabs>
        <w:spacing w:line="240" w:lineRule="auto" w:before="37" w:after="0"/>
        <w:ind w:left="1422" w:right="0" w:hanging="454"/>
        <w:jc w:val="left"/>
        <w:rPr>
          <w:sz w:val="21"/>
        </w:rPr>
      </w:pPr>
      <w:r>
        <w:rPr>
          <w:spacing w:val="-1"/>
          <w:sz w:val="21"/>
        </w:rPr>
        <w:t>本合同特有的重大疾病种类</w:t>
      </w:r>
    </w:p>
    <w:p>
      <w:pPr>
        <w:pStyle w:val="ListParagraph"/>
        <w:numPr>
          <w:ilvl w:val="2"/>
          <w:numId w:val="4"/>
        </w:numPr>
        <w:tabs>
          <w:tab w:pos="1624" w:val="left" w:leader="none"/>
        </w:tabs>
        <w:spacing w:line="240" w:lineRule="auto" w:before="37" w:after="0"/>
        <w:ind w:left="1623" w:right="0" w:hanging="655"/>
        <w:jc w:val="left"/>
        <w:rPr>
          <w:sz w:val="21"/>
        </w:rPr>
      </w:pPr>
      <w:r>
        <w:rPr>
          <w:spacing w:val="-1"/>
          <w:sz w:val="21"/>
        </w:rPr>
        <w:t>严重的原发性心肌病</w:t>
      </w:r>
    </w:p>
    <w:p>
      <w:pPr>
        <w:pStyle w:val="BodyText"/>
        <w:spacing w:line="273" w:lineRule="auto"/>
        <w:ind w:right="107"/>
      </w:pPr>
      <w:r>
        <w:rPr/>
        <w:t>指一组不明原因所致的心肌病变，包括原发性扩张型心肌病、原发性肥厚型心</w:t>
      </w:r>
      <w:r>
        <w:rPr>
          <w:spacing w:val="-1"/>
        </w:rPr>
        <w:t>肌病及原发性限制型心肌病三种，已经造成永久不可逆性的体力活动能力受限， </w:t>
      </w:r>
      <w:r>
        <w:rPr>
          <w:spacing w:val="-4"/>
        </w:rPr>
        <w:t>达到美国纽约心脏病学会心功能状态分级 </w:t>
      </w:r>
      <w:r>
        <w:rPr/>
        <w:t>IV</w:t>
      </w:r>
      <w:r>
        <w:rPr>
          <w:spacing w:val="-14"/>
        </w:rPr>
        <w:t> 级，且持续至少 </w:t>
      </w:r>
      <w:r>
        <w:rPr/>
        <w:t>90</w:t>
      </w:r>
      <w:r>
        <w:rPr>
          <w:spacing w:val="-8"/>
        </w:rPr>
        <w:t> 日。继发性的心肌病变不在保障范围内。</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肌营养不良症</w:t>
      </w:r>
    </w:p>
    <w:p>
      <w:pPr>
        <w:pStyle w:val="BodyText"/>
        <w:spacing w:line="273" w:lineRule="auto" w:before="36"/>
        <w:ind w:right="305"/>
      </w:pPr>
      <w:r>
        <w:rPr/>
        <w:t>指一组原发于肌肉的遗传性疾病，临床表现为与神经系统无关的肌肉无力和肌肉萎缩。须满足下列全部条件：</w:t>
      </w:r>
    </w:p>
    <w:p>
      <w:pPr>
        <w:pStyle w:val="BodyText"/>
        <w:spacing w:before="7"/>
      </w:pPr>
      <w:r>
        <w:rPr/>
        <w:t>（1）肌肉组织活检结果满足肌营养不良症的肌肉细胞变性、坏死等阳性改变；</w:t>
      </w:r>
    </w:p>
    <w:p>
      <w:pPr>
        <w:pStyle w:val="BodyText"/>
        <w:spacing w:line="273" w:lineRule="auto"/>
        <w:ind w:right="170"/>
      </w:pPr>
      <w:r>
        <w:rPr/>
        <w:t>（2）自主生活能力完全丧失，无法独立完成六项基本日常生活活动中的三项或三项以上。</w:t>
      </w:r>
    </w:p>
    <w:p>
      <w:pPr>
        <w:pStyle w:val="ListParagraph"/>
        <w:numPr>
          <w:ilvl w:val="2"/>
          <w:numId w:val="4"/>
        </w:numPr>
        <w:tabs>
          <w:tab w:pos="1519" w:val="left" w:leader="none"/>
        </w:tabs>
        <w:spacing w:line="240" w:lineRule="auto" w:before="7" w:after="0"/>
        <w:ind w:left="1518" w:right="0" w:hanging="550"/>
        <w:jc w:val="left"/>
        <w:rPr>
          <w:sz w:val="21"/>
        </w:rPr>
      </w:pPr>
      <w:r>
        <w:rPr>
          <w:sz w:val="21"/>
        </w:rPr>
        <w:t>多发性硬化症</w:t>
      </w:r>
    </w:p>
    <w:p>
      <w:pPr>
        <w:pStyle w:val="BodyText"/>
        <w:spacing w:line="273" w:lineRule="auto" w:before="36"/>
        <w:ind w:right="213"/>
      </w:pPr>
      <w:r>
        <w:rPr/>
        <w:t>指因中枢神经系统脱髓鞘所致的不可逆的神经系统功能障碍，须由计算机断层</w:t>
      </w:r>
      <w:r>
        <w:rPr>
          <w:spacing w:val="-2"/>
        </w:rPr>
        <w:t>扫描</w:t>
      </w:r>
      <w:r>
        <w:rPr/>
        <w:t>（CT</w:t>
      </w:r>
      <w:r>
        <w:rPr>
          <w:spacing w:val="-105"/>
        </w:rPr>
        <w:t>）</w:t>
      </w:r>
      <w:r>
        <w:rPr>
          <w:spacing w:val="-3"/>
        </w:rPr>
        <w:t>、核磁共振检查</w:t>
      </w:r>
      <w:r>
        <w:rPr/>
        <w:t>（MRI</w:t>
      </w:r>
      <w:r>
        <w:rPr>
          <w:spacing w:val="-3"/>
        </w:rPr>
        <w:t>）</w:t>
      </w:r>
      <w:r>
        <w:rPr>
          <w:spacing w:val="-2"/>
        </w:rPr>
        <w:t>或正电子发射断层扫描</w:t>
      </w:r>
      <w:r>
        <w:rPr/>
        <w:t>（PET</w:t>
      </w:r>
      <w:r>
        <w:rPr>
          <w:spacing w:val="-3"/>
        </w:rPr>
        <w:t>）</w:t>
      </w:r>
      <w:r>
        <w:rPr>
          <w:spacing w:val="-1"/>
        </w:rPr>
        <w:t>等影像学检查证实，且已经造成自主生活能力完全丧失，无法独立完成六项基本日常生活活</w:t>
      </w:r>
      <w:r>
        <w:rPr>
          <w:spacing w:val="-5"/>
        </w:rPr>
        <w:t>动中的三项或三项以上，持续至少 </w:t>
      </w:r>
      <w:r>
        <w:rPr/>
        <w:t>180</w:t>
      </w:r>
      <w:r>
        <w:rPr>
          <w:spacing w:val="-18"/>
        </w:rPr>
        <w:t> 日。</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经输血导致的人类免疫缺陷病毒感染</w:t>
      </w:r>
    </w:p>
    <w:p>
      <w:pPr>
        <w:pStyle w:val="BodyText"/>
      </w:pPr>
      <w:r>
        <w:rPr>
          <w:spacing w:val="-1"/>
        </w:rPr>
        <w:t>指因医疗输血而感染上人类免疫缺陷病毒（HIV</w:t>
      </w:r>
      <w:r>
        <w:rPr>
          <w:spacing w:val="-104"/>
        </w:rPr>
        <w:t>）</w:t>
      </w:r>
      <w:r>
        <w:rPr>
          <w:spacing w:val="-1"/>
        </w:rPr>
        <w:t>，且须满足下列全部条件：</w:t>
      </w:r>
    </w:p>
    <w:p>
      <w:pPr>
        <w:spacing w:after="0"/>
        <w:sectPr>
          <w:pgSz w:w="11910" w:h="16840"/>
          <w:pgMar w:header="0" w:footer="1008" w:top="1400" w:bottom="1200" w:left="1680" w:right="1580"/>
        </w:sectPr>
      </w:pPr>
    </w:p>
    <w:p>
      <w:pPr>
        <w:pStyle w:val="BodyText"/>
        <w:spacing w:line="273" w:lineRule="auto" w:before="25"/>
        <w:ind w:right="170"/>
      </w:pPr>
      <w:r>
        <w:rPr/>
        <w:t>（1）在保障起始日或复效日之后，被保险人因治疗必需而接受输血，并且因输血而感染人类免疫缺陷病毒；</w:t>
      </w:r>
    </w:p>
    <w:p>
      <w:pPr>
        <w:pStyle w:val="BodyText"/>
        <w:spacing w:line="273" w:lineRule="auto" w:before="7"/>
        <w:ind w:right="409"/>
      </w:pPr>
      <w:r>
        <w:rPr/>
        <w:t>（2）提供输血治疗的输血中心或</w:t>
      </w:r>
      <w:r>
        <w:rPr>
          <w:b/>
        </w:rPr>
        <w:t>医院</w:t>
      </w:r>
      <w:r>
        <w:rPr/>
        <w:t>出具该项输血感染属医疗责任事故的报告，或者法院终审裁定为医疗责任并且不准上诉；</w:t>
      </w:r>
    </w:p>
    <w:p>
      <w:pPr>
        <w:pStyle w:val="BodyText"/>
        <w:spacing w:before="7"/>
      </w:pPr>
      <w:r>
        <w:rPr/>
        <w:t>（3）提供输血治疗的输血中心或医院必须拥有合法经营执照；</w:t>
      </w:r>
    </w:p>
    <w:p>
      <w:pPr>
        <w:pStyle w:val="BodyText"/>
      </w:pPr>
      <w:r>
        <w:rPr/>
        <w:t>（4）受感染的被保险人不是血友病患者。</w:t>
      </w:r>
    </w:p>
    <w:p>
      <w:pPr>
        <w:pStyle w:val="BodyText"/>
      </w:pPr>
      <w:r>
        <w:rPr/>
        <w:t>任何因其他传播方式导致的人类免疫缺陷病毒感染不在保障范围内。</w:t>
      </w:r>
    </w:p>
    <w:p>
      <w:pPr>
        <w:pStyle w:val="ListParagraph"/>
        <w:numPr>
          <w:ilvl w:val="2"/>
          <w:numId w:val="4"/>
        </w:numPr>
        <w:tabs>
          <w:tab w:pos="1518" w:val="left" w:leader="none"/>
        </w:tabs>
        <w:spacing w:line="240" w:lineRule="auto" w:before="37" w:after="0"/>
        <w:ind w:left="1517" w:right="0" w:hanging="549"/>
        <w:jc w:val="left"/>
        <w:rPr>
          <w:sz w:val="21"/>
        </w:rPr>
      </w:pPr>
      <w:r>
        <w:rPr>
          <w:sz w:val="21"/>
        </w:rPr>
        <w:t>植物人状态</w:t>
      </w:r>
    </w:p>
    <w:p>
      <w:pPr>
        <w:pStyle w:val="BodyText"/>
        <w:spacing w:line="273" w:lineRule="auto"/>
        <w:ind w:right="106"/>
      </w:pPr>
      <w:r>
        <w:rPr/>
        <w:t>指因脑皮质广泛性坏死导致对自身及周边的认知能力完全丧失,但脑干功能依然</w:t>
      </w:r>
      <w:r>
        <w:rPr>
          <w:spacing w:val="-8"/>
        </w:rPr>
        <w:t>存在，须经专科医生明确诊断,且由头颅断层扫描</w:t>
      </w:r>
      <w:r>
        <w:rPr/>
        <w:t>（CT</w:t>
      </w:r>
      <w:r>
        <w:rPr>
          <w:spacing w:val="-104"/>
        </w:rPr>
        <w:t>）</w:t>
      </w:r>
      <w:r>
        <w:rPr>
          <w:spacing w:val="-11"/>
        </w:rPr>
        <w:t>，核磁共振检查</w:t>
      </w:r>
      <w:r>
        <w:rPr/>
        <w:t>（MRI）或正电子发射断层扫描（PET）</w:t>
      </w:r>
      <w:r>
        <w:rPr>
          <w:spacing w:val="-3"/>
        </w:rPr>
        <w:t>等影像学检查证实，这种状态持续至少 </w:t>
      </w:r>
      <w:r>
        <w:rPr/>
        <w:t>30</w:t>
      </w:r>
      <w:r>
        <w:rPr>
          <w:spacing w:val="-12"/>
        </w:rPr>
        <w:t> 日。 因酗酒或滥用药物所致的植物人状态不在保障范围内。</w:t>
      </w:r>
    </w:p>
    <w:p>
      <w:pPr>
        <w:pStyle w:val="ListParagraph"/>
        <w:numPr>
          <w:ilvl w:val="2"/>
          <w:numId w:val="4"/>
        </w:numPr>
        <w:tabs>
          <w:tab w:pos="1624" w:val="left" w:leader="none"/>
        </w:tabs>
        <w:spacing w:line="240" w:lineRule="auto" w:before="7" w:after="0"/>
        <w:ind w:left="1623" w:right="0" w:hanging="655"/>
        <w:jc w:val="left"/>
        <w:rPr>
          <w:sz w:val="21"/>
        </w:rPr>
      </w:pPr>
      <w:r>
        <w:rPr>
          <w:spacing w:val="-1"/>
          <w:sz w:val="21"/>
        </w:rPr>
        <w:t>系统性硬化病</w:t>
      </w:r>
      <w:r>
        <w:rPr>
          <w:sz w:val="21"/>
        </w:rPr>
        <w:t>（硬皮病）</w:t>
      </w:r>
    </w:p>
    <w:p>
      <w:pPr>
        <w:pStyle w:val="BodyText"/>
        <w:spacing w:line="273" w:lineRule="auto" w:before="36"/>
        <w:ind w:right="305"/>
      </w:pPr>
      <w:r>
        <w:rPr/>
        <w:t>指一种以局限性或弥漫性皮肤增厚和皮肤、血管、内脏器官异常纤维化为特征的结缔组织病。本病须经专科医生明确诊断，并须满足下列至少一项条件：</w:t>
      </w:r>
    </w:p>
    <w:p>
      <w:pPr>
        <w:pStyle w:val="BodyText"/>
        <w:spacing w:before="7"/>
      </w:pPr>
      <w:r>
        <w:rPr/>
        <w:t>（1）肺脏：肺部病变进而发展为肺间质纤维化和肺动脉高压；</w:t>
      </w:r>
    </w:p>
    <w:p>
      <w:pPr>
        <w:pStyle w:val="BodyText"/>
      </w:pPr>
      <w:r>
        <w:rPr/>
        <w:t>（2）心脏：心功能受损达到美国纽约心脏病学会心功能状态分级 IV 级；</w:t>
      </w:r>
    </w:p>
    <w:p>
      <w:pPr>
        <w:pStyle w:val="BodyText"/>
      </w:pPr>
      <w:r>
        <w:rPr/>
        <w:t>（3）肾脏：肾脏受损导致双肾功能慢性不可逆衰竭，达到尿毒症期。</w:t>
      </w:r>
    </w:p>
    <w:p>
      <w:pPr>
        <w:pStyle w:val="ListParagraph"/>
        <w:numPr>
          <w:ilvl w:val="2"/>
          <w:numId w:val="4"/>
        </w:numPr>
        <w:tabs>
          <w:tab w:pos="1624" w:val="left" w:leader="none"/>
        </w:tabs>
        <w:spacing w:line="240" w:lineRule="auto" w:before="37" w:after="0"/>
        <w:ind w:left="1623" w:right="0" w:hanging="655"/>
        <w:jc w:val="left"/>
        <w:rPr>
          <w:sz w:val="21"/>
        </w:rPr>
      </w:pPr>
      <w:r>
        <w:rPr>
          <w:spacing w:val="-1"/>
          <w:sz w:val="21"/>
        </w:rPr>
        <w:t>急性坏死性胰腺炎</w:t>
      </w:r>
    </w:p>
    <w:p>
      <w:pPr>
        <w:pStyle w:val="BodyText"/>
        <w:spacing w:line="273" w:lineRule="auto"/>
        <w:ind w:right="305"/>
        <w:jc w:val="both"/>
      </w:pPr>
      <w:r>
        <w:rPr/>
        <w:t>指胰酶在胰腺内激活后引起胰腺组织自身消化的急性化学性炎症。本病须经专科医生明确诊断，并已经实际实施了坏死组织清除、病灶切除或胰腺部分切除的手术治疗。</w:t>
      </w:r>
    </w:p>
    <w:p>
      <w:pPr>
        <w:pStyle w:val="BodyText"/>
        <w:spacing w:before="7"/>
      </w:pPr>
      <w:r>
        <w:rPr/>
        <w:t>因酒精作用所致的急性胰腺炎不在保障范围内。</w:t>
      </w:r>
    </w:p>
    <w:p>
      <w:pPr>
        <w:pStyle w:val="ListParagraph"/>
        <w:numPr>
          <w:ilvl w:val="2"/>
          <w:numId w:val="4"/>
        </w:numPr>
        <w:tabs>
          <w:tab w:pos="1624" w:val="left" w:leader="none"/>
        </w:tabs>
        <w:spacing w:line="240" w:lineRule="auto" w:before="36" w:after="0"/>
        <w:ind w:left="1623" w:right="0" w:hanging="655"/>
        <w:jc w:val="left"/>
        <w:rPr>
          <w:sz w:val="21"/>
        </w:rPr>
      </w:pPr>
      <w:r>
        <w:rPr>
          <w:sz w:val="21"/>
        </w:rPr>
        <w:t>终末期肺病</w:t>
      </w:r>
    </w:p>
    <w:p>
      <w:pPr>
        <w:pStyle w:val="BodyText"/>
        <w:spacing w:before="36"/>
      </w:pPr>
      <w:r>
        <w:rPr/>
        <w:t>指因慢性呼吸系统疾病导致呼吸功能衰竭，并须满足下列全部条件：</w:t>
      </w:r>
    </w:p>
    <w:p>
      <w:pPr>
        <w:pStyle w:val="BodyText"/>
        <w:spacing w:before="36"/>
      </w:pPr>
      <w:r>
        <w:rPr/>
        <w:t>（1）第一秒末用力呼气量（FEV1）小于 1 升；</w:t>
      </w:r>
    </w:p>
    <w:p>
      <w:pPr>
        <w:pStyle w:val="BodyText"/>
        <w:spacing w:before="36"/>
      </w:pPr>
      <w:r>
        <w:rPr/>
        <w:t>（2）气道内阻力增加，至少达到 0.5 kPa/l/s；</w:t>
      </w:r>
    </w:p>
    <w:p>
      <w:pPr>
        <w:pStyle w:val="BodyText"/>
        <w:spacing w:before="36"/>
      </w:pPr>
      <w:r>
        <w:rPr/>
        <w:t>（3）残气容积占肺总量(TLC)的 60%以上；</w:t>
      </w:r>
    </w:p>
    <w:p>
      <w:pPr>
        <w:pStyle w:val="BodyText"/>
        <w:spacing w:before="36"/>
      </w:pPr>
      <w:r>
        <w:rPr/>
        <w:t>（4）胸内气体容积升高，超过 170 (基值的百分比)；</w:t>
      </w:r>
    </w:p>
    <w:p>
      <w:pPr>
        <w:pStyle w:val="BodyText"/>
        <w:spacing w:before="36"/>
      </w:pPr>
      <w:r>
        <w:rPr>
          <w:position w:val="1"/>
        </w:rPr>
        <w:t>（5）PaO</w:t>
      </w:r>
      <w:r>
        <w:rPr>
          <w:sz w:val="11"/>
        </w:rPr>
        <w:t>2</w:t>
      </w:r>
      <w:r>
        <w:rPr>
          <w:position w:val="1"/>
        </w:rPr>
        <w:t>&lt;60mmHg，PaCO</w:t>
      </w:r>
      <w:r>
        <w:rPr>
          <w:sz w:val="11"/>
        </w:rPr>
        <w:t>2</w:t>
      </w:r>
      <w:r>
        <w:rPr>
          <w:position w:val="1"/>
        </w:rPr>
        <w:t>&gt;50mmHg。</w:t>
      </w:r>
    </w:p>
    <w:p>
      <w:pPr>
        <w:pStyle w:val="ListParagraph"/>
        <w:numPr>
          <w:ilvl w:val="2"/>
          <w:numId w:val="4"/>
        </w:numPr>
        <w:tabs>
          <w:tab w:pos="1624" w:val="left" w:leader="none"/>
        </w:tabs>
        <w:spacing w:line="240" w:lineRule="auto" w:before="37" w:after="0"/>
        <w:ind w:left="1623" w:right="0" w:hanging="655"/>
        <w:jc w:val="left"/>
        <w:rPr>
          <w:sz w:val="21"/>
        </w:rPr>
      </w:pPr>
      <w:r>
        <w:rPr>
          <w:spacing w:val="-1"/>
          <w:sz w:val="21"/>
        </w:rPr>
        <w:t>严重类风湿性关节炎</w:t>
      </w:r>
    </w:p>
    <w:p>
      <w:pPr>
        <w:pStyle w:val="BodyText"/>
        <w:spacing w:line="273" w:lineRule="auto"/>
        <w:ind w:right="305"/>
      </w:pPr>
      <w:r>
        <w:rPr/>
        <w:t>指一种慢性自身免疫性疾病，主要表现为慢性、进行性多关节病变。本病须经专科医生明确诊断，须满足下列所有条件:</w:t>
      </w:r>
    </w:p>
    <w:p>
      <w:pPr>
        <w:pStyle w:val="BodyText"/>
        <w:spacing w:line="273" w:lineRule="auto" w:before="8"/>
        <w:ind w:right="306"/>
      </w:pPr>
      <w:r>
        <w:rPr/>
        <w:t>（1）至少包括下列关节中的三组或以上有广泛受损和畸形改变:手指关节、腕关节、肘关节、膝关节、髋关节、踝关节、脊椎或脚趾关节；</w:t>
      </w:r>
    </w:p>
    <w:p>
      <w:pPr>
        <w:pStyle w:val="BodyText"/>
        <w:spacing w:before="8"/>
      </w:pPr>
      <w:r>
        <w:rPr/>
        <w:t>（2）X 线检查可见类风湿性关节炎的典型变化；</w:t>
      </w:r>
    </w:p>
    <w:p>
      <w:pPr>
        <w:pStyle w:val="BodyText"/>
      </w:pPr>
      <w:r>
        <w:rPr/>
        <w:t>（3）关节的畸形改变至少持续 180 日。</w:t>
      </w:r>
    </w:p>
    <w:p>
      <w:pPr>
        <w:pStyle w:val="ListParagraph"/>
        <w:numPr>
          <w:ilvl w:val="2"/>
          <w:numId w:val="4"/>
        </w:numPr>
        <w:tabs>
          <w:tab w:pos="1723" w:val="left" w:leader="none"/>
        </w:tabs>
        <w:spacing w:line="240" w:lineRule="auto" w:before="37" w:after="0"/>
        <w:ind w:left="1722" w:right="0" w:hanging="754"/>
        <w:jc w:val="left"/>
        <w:rPr>
          <w:sz w:val="21"/>
        </w:rPr>
      </w:pPr>
      <w:r>
        <w:rPr>
          <w:sz w:val="21"/>
        </w:rPr>
        <w:t>克隆病</w:t>
      </w:r>
    </w:p>
    <w:p>
      <w:pPr>
        <w:pStyle w:val="BodyText"/>
        <w:spacing w:line="273" w:lineRule="auto"/>
        <w:ind w:right="305"/>
      </w:pPr>
      <w:r>
        <w:rPr/>
        <w:t>指一种胃肠道慢性炎性肉芽肿性疾病，须有结肠镜检查和组织病理学检查作为诊断依据，且已经造成瘘管并伴有肠梗阻或肠穿孔。</w:t>
      </w:r>
    </w:p>
    <w:p>
      <w:pPr>
        <w:pStyle w:val="ListParagraph"/>
        <w:numPr>
          <w:ilvl w:val="1"/>
          <w:numId w:val="5"/>
        </w:numPr>
        <w:tabs>
          <w:tab w:pos="1423" w:val="left" w:leader="none"/>
        </w:tabs>
        <w:spacing w:line="240" w:lineRule="auto" w:before="7" w:after="0"/>
        <w:ind w:left="1422" w:right="0" w:hanging="454"/>
        <w:jc w:val="left"/>
        <w:rPr>
          <w:sz w:val="21"/>
        </w:rPr>
      </w:pPr>
      <w:r>
        <w:rPr>
          <w:spacing w:val="-1"/>
          <w:sz w:val="21"/>
        </w:rPr>
        <w:t>重大疾病术语释义</w:t>
      </w:r>
    </w:p>
    <w:p>
      <w:pPr>
        <w:pStyle w:val="ListParagraph"/>
        <w:numPr>
          <w:ilvl w:val="2"/>
          <w:numId w:val="5"/>
        </w:numPr>
        <w:tabs>
          <w:tab w:pos="1624" w:val="left" w:leader="none"/>
        </w:tabs>
        <w:spacing w:line="240" w:lineRule="auto" w:before="36" w:after="0"/>
        <w:ind w:left="1623" w:right="0" w:hanging="655"/>
        <w:jc w:val="left"/>
        <w:rPr>
          <w:sz w:val="21"/>
        </w:rPr>
      </w:pPr>
      <w:r>
        <w:rPr>
          <w:spacing w:val="-1"/>
          <w:sz w:val="21"/>
        </w:rPr>
        <w:t>肢体机能完全丧失</w:t>
      </w:r>
    </w:p>
    <w:p>
      <w:pPr>
        <w:pStyle w:val="BodyText"/>
        <w:spacing w:line="273" w:lineRule="auto" w:before="36"/>
        <w:ind w:right="305"/>
      </w:pPr>
      <w:r>
        <w:rPr/>
        <w:t>指肢体的三大关节中的两大关节僵硬，或不能随意识活动。肢体是指包括肩关节的整个上肢或包括髋关节的整个下肢。</w:t>
      </w:r>
    </w:p>
    <w:p>
      <w:pPr>
        <w:spacing w:after="0" w:line="273" w:lineRule="auto"/>
        <w:sectPr>
          <w:pgSz w:w="11910" w:h="16840"/>
          <w:pgMar w:header="0" w:footer="1008" w:top="1400" w:bottom="1200" w:left="1680" w:right="1580"/>
        </w:sectPr>
      </w:pPr>
    </w:p>
    <w:p>
      <w:pPr>
        <w:pStyle w:val="ListParagraph"/>
        <w:numPr>
          <w:ilvl w:val="2"/>
          <w:numId w:val="5"/>
        </w:numPr>
        <w:tabs>
          <w:tab w:pos="1624" w:val="left" w:leader="none"/>
        </w:tabs>
        <w:spacing w:line="240" w:lineRule="auto" w:before="25" w:after="0"/>
        <w:ind w:left="1623" w:right="0" w:hanging="655"/>
        <w:jc w:val="left"/>
        <w:rPr>
          <w:sz w:val="21"/>
        </w:rPr>
      </w:pPr>
      <w:r>
        <w:rPr>
          <w:spacing w:val="-1"/>
          <w:sz w:val="21"/>
        </w:rPr>
        <w:t>语言能力或咀嚼吞咽能力完全丧失</w:t>
      </w:r>
    </w:p>
    <w:p>
      <w:pPr>
        <w:pStyle w:val="BodyText"/>
        <w:spacing w:line="273" w:lineRule="auto"/>
        <w:ind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2"/>
          <w:numId w:val="5"/>
        </w:numPr>
        <w:tabs>
          <w:tab w:pos="1624" w:val="left" w:leader="none"/>
        </w:tabs>
        <w:spacing w:line="240" w:lineRule="auto" w:before="7" w:after="0"/>
        <w:ind w:left="1623" w:right="0" w:hanging="655"/>
        <w:jc w:val="left"/>
        <w:rPr>
          <w:sz w:val="21"/>
        </w:rPr>
      </w:pPr>
      <w:r>
        <w:rPr>
          <w:spacing w:val="-1"/>
          <w:sz w:val="21"/>
        </w:rPr>
        <w:t>六项基本日常生活活动</w:t>
      </w:r>
    </w:p>
    <w:p>
      <w:pPr>
        <w:pStyle w:val="BodyText"/>
        <w:spacing w:before="36"/>
      </w:pPr>
      <w:r>
        <w:rPr/>
        <w:t>（1）穿衣：自己能够穿衣及脱衣；</w:t>
      </w:r>
    </w:p>
    <w:p>
      <w:pPr>
        <w:pStyle w:val="BodyText"/>
        <w:spacing w:before="36"/>
      </w:pPr>
      <w:r>
        <w:rPr/>
        <w:t>（2）移动：自己从一个房间到另一个房间；</w:t>
      </w:r>
    </w:p>
    <w:p>
      <w:pPr>
        <w:pStyle w:val="BodyText"/>
        <w:spacing w:before="36"/>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t>（6）洗澡：自己进行淋浴或盆浴。</w:t>
      </w:r>
    </w:p>
    <w:p>
      <w:pPr>
        <w:pStyle w:val="ListParagraph"/>
        <w:numPr>
          <w:ilvl w:val="2"/>
          <w:numId w:val="5"/>
        </w:numPr>
        <w:tabs>
          <w:tab w:pos="1624" w:val="left" w:leader="none"/>
        </w:tabs>
        <w:spacing w:line="240" w:lineRule="auto" w:before="36" w:after="0"/>
        <w:ind w:left="1623" w:right="0" w:hanging="655"/>
        <w:jc w:val="left"/>
        <w:rPr>
          <w:sz w:val="21"/>
        </w:rPr>
      </w:pPr>
      <w:r>
        <w:rPr>
          <w:sz w:val="21"/>
        </w:rPr>
        <w:t>永久不可逆</w:t>
      </w:r>
    </w:p>
    <w:p>
      <w:pPr>
        <w:pStyle w:val="BodyText"/>
        <w:spacing w:line="273" w:lineRule="auto" w:before="36"/>
        <w:ind w:right="305"/>
      </w:pPr>
      <w:r>
        <w:rPr>
          <w:spacing w:val="-3"/>
        </w:rPr>
        <w:t>指自疾病确诊或意外伤害发生之日起，经过积极治疗 </w:t>
      </w:r>
      <w:r>
        <w:rPr/>
        <w:t>180</w:t>
      </w:r>
      <w:r>
        <w:rPr>
          <w:spacing w:val="-8"/>
        </w:rPr>
        <w:t> 日后，仍无法通过现有医疗手段恢复。</w:t>
      </w:r>
    </w:p>
    <w:p>
      <w:pPr>
        <w:pStyle w:val="ListParagraph"/>
        <w:numPr>
          <w:ilvl w:val="0"/>
          <w:numId w:val="3"/>
        </w:numPr>
        <w:tabs>
          <w:tab w:pos="537" w:val="left" w:leader="none"/>
          <w:tab w:pos="538" w:val="left" w:leader="none"/>
        </w:tabs>
        <w:spacing w:line="240" w:lineRule="auto" w:before="7" w:after="0"/>
        <w:ind w:left="537" w:right="0" w:hanging="420"/>
        <w:jc w:val="left"/>
        <w:rPr>
          <w:sz w:val="21"/>
        </w:rPr>
      </w:pPr>
      <w:r>
        <w:rPr>
          <w:b/>
          <w:w w:val="95"/>
          <w:sz w:val="21"/>
        </w:rPr>
        <w:t>专科医生</w:t>
      </w:r>
      <w:r>
        <w:rPr>
          <w:w w:val="95"/>
          <w:sz w:val="21"/>
        </w:rPr>
        <w:t>：应当同时满足以下四项资格条件：</w:t>
      </w:r>
    </w:p>
    <w:p>
      <w:pPr>
        <w:pStyle w:val="BodyText"/>
        <w:ind w:left="537"/>
      </w:pPr>
      <w:r>
        <w:rPr/>
        <w:t>(1)具有有效的中华人民共和国《医师资格证书》；</w:t>
      </w:r>
    </w:p>
    <w:p>
      <w:pPr>
        <w:pStyle w:val="BodyText"/>
        <w:ind w:left="537"/>
      </w:pPr>
      <w:r>
        <w:rPr/>
        <w:t>(2)具有有效的中华人民共和国《医师执业证书》，并按期到相关部门登记注册；</w:t>
      </w:r>
    </w:p>
    <w:p>
      <w:pPr>
        <w:pStyle w:val="BodyText"/>
        <w:ind w:left="537"/>
      </w:pPr>
      <w:r>
        <w:rPr/>
        <w:t>(3)具有有效的中华人民共和国主治医师或主治医师以上职称的《医师职称证书》；</w:t>
      </w:r>
    </w:p>
    <w:p>
      <w:pPr>
        <w:pStyle w:val="BodyText"/>
        <w:ind w:left="537"/>
      </w:pPr>
      <w:r>
        <w:rPr/>
        <w:t>(4)在二级或二级以上医院的相应科室从事临床工作三年以上。</w:t>
      </w:r>
    </w:p>
    <w:p>
      <w:pPr>
        <w:pStyle w:val="ListParagraph"/>
        <w:numPr>
          <w:ilvl w:val="0"/>
          <w:numId w:val="3"/>
        </w:numPr>
        <w:tabs>
          <w:tab w:pos="537" w:val="left" w:leader="none"/>
          <w:tab w:pos="538" w:val="left" w:leader="none"/>
        </w:tabs>
        <w:spacing w:line="273" w:lineRule="auto" w:before="37" w:after="0"/>
        <w:ind w:left="540" w:right="212" w:hanging="423"/>
        <w:jc w:val="left"/>
        <w:rPr>
          <w:sz w:val="21"/>
        </w:rPr>
      </w:pPr>
      <w:r>
        <w:rPr>
          <w:b/>
          <w:sz w:val="21"/>
        </w:rPr>
        <w:t>医院</w:t>
      </w:r>
      <w:r>
        <w:rPr>
          <w:spacing w:val="-9"/>
          <w:sz w:val="21"/>
        </w:rPr>
        <w:t>：指本公司指定医院或国家卫生部医院等级分类中的二级或二级以上的医院，但不包括主要作为康复、护理、疗养、戒酒、戒毒或相类似的医疗机构。</w:t>
      </w:r>
    </w:p>
    <w:p>
      <w:pPr>
        <w:pStyle w:val="ListParagraph"/>
        <w:numPr>
          <w:ilvl w:val="0"/>
          <w:numId w:val="3"/>
        </w:numPr>
        <w:tabs>
          <w:tab w:pos="537" w:val="left" w:leader="none"/>
          <w:tab w:pos="538" w:val="left" w:leader="none"/>
        </w:tabs>
        <w:spacing w:line="273" w:lineRule="auto" w:before="7" w:after="0"/>
        <w:ind w:left="540" w:right="105" w:hanging="423"/>
        <w:jc w:val="left"/>
        <w:rPr>
          <w:sz w:val="21"/>
        </w:rPr>
      </w:pPr>
      <w:r>
        <w:rPr>
          <w:b/>
          <w:sz w:val="21"/>
        </w:rPr>
        <w:t>毒品</w:t>
      </w:r>
      <w:r>
        <w:rPr>
          <w:spacing w:val="-7"/>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3"/>
        </w:numPr>
        <w:tabs>
          <w:tab w:pos="538" w:val="left" w:leader="none"/>
        </w:tabs>
        <w:spacing w:line="273" w:lineRule="auto" w:before="7" w:after="0"/>
        <w:ind w:left="540" w:right="212" w:hanging="423"/>
        <w:jc w:val="both"/>
        <w:rPr>
          <w:sz w:val="21"/>
        </w:rPr>
      </w:pPr>
      <w:r>
        <w:rPr>
          <w:b/>
          <w:sz w:val="21"/>
        </w:rPr>
        <w:t>酒后驾驶</w:t>
      </w:r>
      <w:r>
        <w:rPr>
          <w:spacing w:val="-10"/>
          <w:sz w:val="21"/>
        </w:rPr>
        <w:t>：指经检测或鉴定，发生事故时车辆驾驶人员每百毫升血液中的酒精含量达到</w:t>
      </w:r>
      <w:r>
        <w:rPr>
          <w:spacing w:val="-13"/>
          <w:sz w:val="21"/>
        </w:rPr>
        <w:t>或超过一定的标准，公安机关交通管理部门依据《道路交通安全法》的规定认定为饮酒后驾驶或醉酒后驾驶。</w:t>
      </w:r>
    </w:p>
    <w:p>
      <w:pPr>
        <w:pStyle w:val="ListParagraph"/>
        <w:numPr>
          <w:ilvl w:val="0"/>
          <w:numId w:val="3"/>
        </w:numPr>
        <w:tabs>
          <w:tab w:pos="537" w:val="left" w:leader="none"/>
          <w:tab w:pos="538" w:val="left" w:leader="none"/>
        </w:tabs>
        <w:spacing w:line="240" w:lineRule="auto" w:before="7" w:after="0"/>
        <w:ind w:left="537" w:right="0" w:hanging="420"/>
        <w:jc w:val="left"/>
        <w:rPr>
          <w:sz w:val="21"/>
        </w:rPr>
      </w:pPr>
      <w:r>
        <w:rPr>
          <w:b/>
          <w:spacing w:val="-1"/>
          <w:w w:val="95"/>
          <w:sz w:val="21"/>
        </w:rPr>
        <w:t>无合法有效驾驶证驾驶</w:t>
      </w:r>
      <w:r>
        <w:rPr>
          <w:w w:val="95"/>
          <w:sz w:val="21"/>
        </w:rPr>
        <w:t>：指下列情形之一：</w:t>
      </w:r>
    </w:p>
    <w:p>
      <w:pPr>
        <w:pStyle w:val="ListParagraph"/>
        <w:numPr>
          <w:ilvl w:val="0"/>
          <w:numId w:val="6"/>
        </w:numPr>
        <w:tabs>
          <w:tab w:pos="958" w:val="left" w:leader="none"/>
        </w:tabs>
        <w:spacing w:line="240" w:lineRule="auto" w:before="36" w:after="0"/>
        <w:ind w:left="957" w:right="0" w:hanging="420"/>
        <w:jc w:val="left"/>
        <w:rPr>
          <w:sz w:val="21"/>
        </w:rPr>
      </w:pPr>
      <w:r>
        <w:rPr>
          <w:sz w:val="21"/>
        </w:rPr>
        <w:t>没有取得驾驶资格；</w:t>
      </w:r>
    </w:p>
    <w:p>
      <w:pPr>
        <w:pStyle w:val="ListParagraph"/>
        <w:numPr>
          <w:ilvl w:val="0"/>
          <w:numId w:val="6"/>
        </w:numPr>
        <w:tabs>
          <w:tab w:pos="958" w:val="left" w:leader="none"/>
        </w:tabs>
        <w:spacing w:line="240" w:lineRule="auto" w:before="36" w:after="0"/>
        <w:ind w:left="957" w:right="0" w:hanging="420"/>
        <w:jc w:val="left"/>
        <w:rPr>
          <w:sz w:val="21"/>
        </w:rPr>
      </w:pPr>
      <w:r>
        <w:rPr>
          <w:sz w:val="21"/>
        </w:rPr>
        <w:t>持已过期或已注销驾驶证驾驶；</w:t>
      </w:r>
    </w:p>
    <w:p>
      <w:pPr>
        <w:pStyle w:val="ListParagraph"/>
        <w:numPr>
          <w:ilvl w:val="0"/>
          <w:numId w:val="6"/>
        </w:numPr>
        <w:tabs>
          <w:tab w:pos="958" w:val="left" w:leader="none"/>
        </w:tabs>
        <w:spacing w:line="240" w:lineRule="auto" w:before="36" w:after="0"/>
        <w:ind w:left="957" w:right="0" w:hanging="420"/>
        <w:jc w:val="left"/>
        <w:rPr>
          <w:sz w:val="21"/>
        </w:rPr>
      </w:pPr>
      <w:r>
        <w:rPr>
          <w:sz w:val="21"/>
        </w:rPr>
        <w:t>驾驶与驾驶证准驾车型不相符合的车辆；</w:t>
      </w:r>
    </w:p>
    <w:p>
      <w:pPr>
        <w:pStyle w:val="ListParagraph"/>
        <w:numPr>
          <w:ilvl w:val="0"/>
          <w:numId w:val="6"/>
        </w:numPr>
        <w:tabs>
          <w:tab w:pos="958" w:val="left" w:leader="none"/>
        </w:tabs>
        <w:spacing w:line="240" w:lineRule="auto" w:before="36" w:after="0"/>
        <w:ind w:left="957" w:right="0" w:hanging="420"/>
        <w:jc w:val="left"/>
        <w:rPr>
          <w:sz w:val="21"/>
        </w:rPr>
      </w:pPr>
      <w:r>
        <w:rPr>
          <w:sz w:val="21"/>
        </w:rPr>
        <w:t>持审验不合格或应审验而未经审验的驾驶证驾驶；</w:t>
      </w:r>
    </w:p>
    <w:p>
      <w:pPr>
        <w:pStyle w:val="ListParagraph"/>
        <w:numPr>
          <w:ilvl w:val="0"/>
          <w:numId w:val="6"/>
        </w:numPr>
        <w:tabs>
          <w:tab w:pos="958" w:val="left" w:leader="none"/>
        </w:tabs>
        <w:spacing w:line="240" w:lineRule="auto" w:before="36" w:after="0"/>
        <w:ind w:left="957" w:right="0" w:hanging="420"/>
        <w:jc w:val="left"/>
        <w:rPr>
          <w:sz w:val="21"/>
        </w:rPr>
      </w:pPr>
      <w:r>
        <w:rPr>
          <w:sz w:val="21"/>
        </w:rPr>
        <w:t>持学习驾驶证学习驾车时，无教练员随车指导，或不按指定时间路线学习驾车。</w:t>
      </w:r>
    </w:p>
    <w:p>
      <w:pPr>
        <w:pStyle w:val="ListParagraph"/>
        <w:numPr>
          <w:ilvl w:val="0"/>
          <w:numId w:val="3"/>
        </w:numPr>
        <w:tabs>
          <w:tab w:pos="537" w:val="left" w:leader="none"/>
          <w:tab w:pos="538" w:val="left" w:leader="none"/>
        </w:tabs>
        <w:spacing w:line="240" w:lineRule="auto" w:before="36" w:after="0"/>
        <w:ind w:left="537" w:right="0" w:hanging="420"/>
        <w:jc w:val="left"/>
        <w:rPr>
          <w:sz w:val="21"/>
        </w:rPr>
      </w:pPr>
      <w:r>
        <w:rPr>
          <w:b/>
          <w:w w:val="95"/>
          <w:sz w:val="21"/>
        </w:rPr>
        <w:t>无有效行驶证</w:t>
      </w:r>
      <w:r>
        <w:rPr>
          <w:w w:val="95"/>
          <w:sz w:val="21"/>
        </w:rPr>
        <w:t>：指下列情形之一：</w:t>
      </w:r>
    </w:p>
    <w:p>
      <w:pPr>
        <w:pStyle w:val="ListParagraph"/>
        <w:numPr>
          <w:ilvl w:val="0"/>
          <w:numId w:val="7"/>
        </w:numPr>
        <w:tabs>
          <w:tab w:pos="958" w:val="left" w:leader="none"/>
        </w:tabs>
        <w:spacing w:line="240" w:lineRule="auto" w:before="36" w:after="0"/>
        <w:ind w:left="957" w:right="0" w:hanging="420"/>
        <w:jc w:val="left"/>
        <w:rPr>
          <w:sz w:val="21"/>
        </w:rPr>
      </w:pPr>
      <w:r>
        <w:rPr>
          <w:sz w:val="21"/>
        </w:rPr>
        <w:t>没有机动车行驶证；</w:t>
      </w:r>
    </w:p>
    <w:p>
      <w:pPr>
        <w:pStyle w:val="ListParagraph"/>
        <w:numPr>
          <w:ilvl w:val="0"/>
          <w:numId w:val="7"/>
        </w:numPr>
        <w:tabs>
          <w:tab w:pos="958" w:val="left" w:leader="none"/>
        </w:tabs>
        <w:spacing w:line="240" w:lineRule="auto" w:before="36" w:after="0"/>
        <w:ind w:left="957" w:right="0" w:hanging="420"/>
        <w:jc w:val="left"/>
        <w:rPr>
          <w:sz w:val="21"/>
        </w:rPr>
      </w:pPr>
      <w:r>
        <w:rPr>
          <w:sz w:val="21"/>
        </w:rPr>
        <w:t>未在法律规定期限内按时进行或通过安全技术检验。</w:t>
      </w:r>
    </w:p>
    <w:p>
      <w:pPr>
        <w:pStyle w:val="ListParagraph"/>
        <w:numPr>
          <w:ilvl w:val="0"/>
          <w:numId w:val="3"/>
        </w:numPr>
        <w:tabs>
          <w:tab w:pos="538" w:val="left" w:leader="none"/>
        </w:tabs>
        <w:spacing w:line="273" w:lineRule="auto" w:before="36" w:after="0"/>
        <w:ind w:left="540" w:right="106" w:hanging="423"/>
        <w:jc w:val="both"/>
        <w:rPr>
          <w:sz w:val="21"/>
        </w:rPr>
      </w:pPr>
      <w:r>
        <w:rPr>
          <w:b/>
          <w:sz w:val="21"/>
        </w:rPr>
        <w:t>先天性疾病、先天性畸形</w:t>
      </w:r>
      <w:r>
        <w:rPr>
          <w:sz w:val="21"/>
        </w:rPr>
        <w:t>：是指被保险人一出生时就具有的疾病（病症或体征</w:t>
      </w:r>
      <w:r>
        <w:rPr>
          <w:spacing w:val="-105"/>
          <w:sz w:val="21"/>
        </w:rPr>
        <w:t>）</w:t>
      </w:r>
      <w:r>
        <w:rPr>
          <w:sz w:val="21"/>
        </w:rPr>
        <w:t>。这些</w:t>
      </w:r>
      <w:r>
        <w:rPr>
          <w:spacing w:val="-5"/>
          <w:sz w:val="21"/>
        </w:rPr>
        <w:t>疾病是指因人的遗传物质</w:t>
      </w:r>
      <w:r>
        <w:rPr>
          <w:sz w:val="21"/>
        </w:rPr>
        <w:t>（包括染色体以及位于其中的基因</w:t>
      </w:r>
      <w:r>
        <w:rPr>
          <w:spacing w:val="-46"/>
          <w:sz w:val="21"/>
        </w:rPr>
        <w:t>）</w:t>
      </w:r>
      <w:r>
        <w:rPr>
          <w:sz w:val="21"/>
        </w:rPr>
        <w:t>发生了对人体有害的改变</w:t>
      </w:r>
      <w:r>
        <w:rPr>
          <w:spacing w:val="-8"/>
          <w:sz w:val="21"/>
        </w:rPr>
        <w:t>而引起的，或因母亲怀孕期间受到内外环境中某些物理、化学和生物等因素的作用，使</w:t>
      </w:r>
      <w:r>
        <w:rPr>
          <w:spacing w:val="-18"/>
          <w:sz w:val="21"/>
        </w:rPr>
        <w:t>胎儿局部体细胞发育不正常，导致婴儿出生时有关器官、系统在形态或功能上呈现异常。</w:t>
      </w:r>
    </w:p>
    <w:p>
      <w:pPr>
        <w:pStyle w:val="ListParagraph"/>
        <w:numPr>
          <w:ilvl w:val="0"/>
          <w:numId w:val="3"/>
        </w:numPr>
        <w:tabs>
          <w:tab w:pos="538" w:val="left" w:leader="none"/>
        </w:tabs>
        <w:spacing w:line="273" w:lineRule="auto" w:before="7" w:after="0"/>
        <w:ind w:left="540" w:right="212" w:hanging="423"/>
        <w:jc w:val="left"/>
        <w:rPr>
          <w:sz w:val="21"/>
        </w:rPr>
      </w:pPr>
      <w:r>
        <w:rPr>
          <w:b/>
          <w:sz w:val="21"/>
        </w:rPr>
        <w:t>遗传性疾病</w:t>
      </w:r>
      <w:r>
        <w:rPr>
          <w:spacing w:val="-9"/>
          <w:sz w:val="21"/>
        </w:rPr>
        <w:t>：指由人体生殖细胞或受精卵的遗传物质异常或发生改变而引起的疾病，可以从亲代传至后代，即指单基因遗传病及染色体病。</w:t>
      </w:r>
    </w:p>
    <w:p>
      <w:pPr>
        <w:pStyle w:val="ListParagraph"/>
        <w:numPr>
          <w:ilvl w:val="0"/>
          <w:numId w:val="3"/>
        </w:numPr>
        <w:tabs>
          <w:tab w:pos="538" w:val="left" w:leader="none"/>
        </w:tabs>
        <w:spacing w:line="240" w:lineRule="auto" w:before="7" w:after="0"/>
        <w:ind w:left="537" w:right="0" w:hanging="420"/>
        <w:jc w:val="left"/>
        <w:rPr>
          <w:sz w:val="21"/>
        </w:rPr>
      </w:pPr>
      <w:r>
        <w:rPr>
          <w:b/>
          <w:w w:val="95"/>
          <w:sz w:val="21"/>
        </w:rPr>
        <w:t>潜水</w:t>
      </w:r>
      <w:r>
        <w:rPr>
          <w:w w:val="95"/>
          <w:sz w:val="21"/>
        </w:rPr>
        <w:t>：指使用辅助呼吸器材在江、河、湖、海、水库、运河等水域进行的水下运动。</w:t>
      </w:r>
    </w:p>
    <w:p>
      <w:pPr>
        <w:spacing w:after="0" w:line="240" w:lineRule="auto"/>
        <w:jc w:val="left"/>
        <w:rPr>
          <w:sz w:val="21"/>
        </w:rPr>
        <w:sectPr>
          <w:pgSz w:w="11910" w:h="16840"/>
          <w:pgMar w:header="0" w:footer="1008" w:top="1400" w:bottom="1200" w:left="1680" w:right="1580"/>
        </w:sectPr>
      </w:pPr>
    </w:p>
    <w:p>
      <w:pPr>
        <w:pStyle w:val="ListParagraph"/>
        <w:numPr>
          <w:ilvl w:val="0"/>
          <w:numId w:val="3"/>
        </w:numPr>
        <w:tabs>
          <w:tab w:pos="538" w:val="left" w:leader="none"/>
        </w:tabs>
        <w:spacing w:line="240" w:lineRule="auto" w:before="25" w:after="0"/>
        <w:ind w:left="539" w:right="0" w:hanging="422"/>
        <w:jc w:val="left"/>
        <w:rPr>
          <w:sz w:val="21"/>
        </w:rPr>
      </w:pPr>
      <w:r>
        <w:rPr>
          <w:b/>
          <w:w w:val="95"/>
          <w:sz w:val="21"/>
        </w:rPr>
        <w:t>攀岩</w:t>
      </w:r>
      <w:r>
        <w:rPr>
          <w:w w:val="95"/>
          <w:sz w:val="21"/>
        </w:rPr>
        <w:t>：指攀登悬崖、楼宇外墙、人造悬崖、冰崖、冰ft等运动。</w:t>
      </w:r>
    </w:p>
    <w:p>
      <w:pPr>
        <w:pStyle w:val="ListParagraph"/>
        <w:numPr>
          <w:ilvl w:val="0"/>
          <w:numId w:val="3"/>
        </w:numPr>
        <w:tabs>
          <w:tab w:pos="538" w:val="left" w:leader="none"/>
        </w:tabs>
        <w:spacing w:line="273" w:lineRule="auto" w:before="37" w:after="0"/>
        <w:ind w:left="539" w:right="192" w:hanging="422"/>
        <w:jc w:val="both"/>
        <w:rPr>
          <w:sz w:val="21"/>
        </w:rPr>
      </w:pPr>
      <w:r>
        <w:rPr>
          <w:b/>
          <w:sz w:val="21"/>
        </w:rPr>
        <w:t>探险</w:t>
      </w:r>
      <w:r>
        <w:rPr>
          <w:spacing w:val="-9"/>
          <w:sz w:val="21"/>
        </w:rPr>
        <w:t>：指明知在某种特定的自然条件下有失去生命或使身体受到伤害的危险，而故意使</w:t>
      </w:r>
      <w:r>
        <w:rPr>
          <w:spacing w:val="-13"/>
          <w:sz w:val="21"/>
        </w:rPr>
        <w:t>自己置身其中的行为，包括但不限于江河漂流、徒步穿越沙漠或人迹罕至的原始森林等活动。</w:t>
      </w:r>
    </w:p>
    <w:p>
      <w:pPr>
        <w:pStyle w:val="ListParagraph"/>
        <w:numPr>
          <w:ilvl w:val="0"/>
          <w:numId w:val="3"/>
        </w:numPr>
        <w:tabs>
          <w:tab w:pos="538" w:val="left" w:leader="none"/>
        </w:tabs>
        <w:spacing w:line="273" w:lineRule="auto" w:before="7" w:after="0"/>
        <w:ind w:left="539" w:right="192" w:hanging="422"/>
        <w:jc w:val="both"/>
        <w:rPr>
          <w:sz w:val="21"/>
        </w:rPr>
      </w:pPr>
      <w:r>
        <w:rPr>
          <w:b/>
          <w:sz w:val="21"/>
        </w:rPr>
        <w:t>武术比赛</w:t>
      </w:r>
      <w:r>
        <w:rPr>
          <w:spacing w:val="-9"/>
          <w:sz w:val="21"/>
        </w:rPr>
        <w:t>：指两人或两人以上对抗性柔道、空手道、跆拳道、散打、拳击等各种拳术及各种使用器械的对抗性比赛。</w:t>
      </w:r>
    </w:p>
    <w:p>
      <w:pPr>
        <w:pStyle w:val="ListParagraph"/>
        <w:numPr>
          <w:ilvl w:val="0"/>
          <w:numId w:val="3"/>
        </w:numPr>
        <w:tabs>
          <w:tab w:pos="538" w:val="left" w:leader="none"/>
        </w:tabs>
        <w:spacing w:line="240" w:lineRule="auto" w:before="7" w:after="0"/>
        <w:ind w:left="539" w:right="0" w:hanging="422"/>
        <w:jc w:val="left"/>
        <w:rPr>
          <w:sz w:val="21"/>
        </w:rPr>
      </w:pPr>
      <w:r>
        <w:rPr>
          <w:b/>
          <w:w w:val="95"/>
          <w:sz w:val="21"/>
        </w:rPr>
        <w:t>特技表演</w:t>
      </w:r>
      <w:r>
        <w:rPr>
          <w:w w:val="95"/>
          <w:sz w:val="21"/>
        </w:rPr>
        <w:t>：指进行马术、杂技、驯兽等表演。</w:t>
      </w:r>
    </w:p>
    <w:p>
      <w:pPr>
        <w:pStyle w:val="ListParagraph"/>
        <w:numPr>
          <w:ilvl w:val="0"/>
          <w:numId w:val="3"/>
        </w:numPr>
        <w:tabs>
          <w:tab w:pos="538" w:val="left" w:leader="none"/>
        </w:tabs>
        <w:spacing w:line="273" w:lineRule="auto" w:before="37" w:after="0"/>
        <w:ind w:left="540" w:right="191" w:hanging="423"/>
        <w:jc w:val="both"/>
        <w:rPr>
          <w:sz w:val="21"/>
        </w:rPr>
      </w:pPr>
      <w:r>
        <w:rPr>
          <w:b/>
          <w:sz w:val="21"/>
        </w:rPr>
        <w:t>未满期净保费</w:t>
      </w:r>
      <w:r>
        <w:rPr>
          <w:sz w:val="21"/>
        </w:rPr>
        <w:t>：计算公式为“保险费×（1-25%）×（1－保险单已经过日数/保险期间日数</w:t>
      </w:r>
      <w:r>
        <w:rPr>
          <w:spacing w:val="-105"/>
          <w:sz w:val="21"/>
        </w:rPr>
        <w:t>）”</w:t>
      </w:r>
      <w:r>
        <w:rPr>
          <w:spacing w:val="-11"/>
          <w:sz w:val="21"/>
        </w:rPr>
        <w:t>。“保险单已经过日数”指自保险单生效日起至依照本合同约定本公司向投保人退还未满期净保费期间的日数，不足一日按一日计。</w:t>
      </w:r>
    </w:p>
    <w:p>
      <w:pPr>
        <w:pStyle w:val="ListParagraph"/>
        <w:numPr>
          <w:ilvl w:val="0"/>
          <w:numId w:val="3"/>
        </w:numPr>
        <w:tabs>
          <w:tab w:pos="538" w:val="left" w:leader="none"/>
        </w:tabs>
        <w:spacing w:line="273" w:lineRule="auto" w:before="7" w:after="0"/>
        <w:ind w:left="540" w:right="103" w:hanging="423"/>
        <w:jc w:val="both"/>
        <w:rPr>
          <w:sz w:val="21"/>
        </w:rPr>
      </w:pPr>
      <w:r>
        <w:rPr>
          <w:b/>
          <w:sz w:val="21"/>
        </w:rPr>
        <w:t>周岁</w:t>
      </w:r>
      <w:r>
        <w:rPr>
          <w:sz w:val="21"/>
        </w:rPr>
        <w:t>：指按法定身份证明文件中记载的出生日期计算的年龄，自出生之日起为零周岁， 每经过一年增加一岁，不足一年的不计。</w:t>
      </w:r>
    </w:p>
    <w:sectPr>
      <w:pgSz w:w="11910" w:h="16840"/>
      <w:pgMar w:header="0" w:footer="1008" w:top="1400" w:bottom="120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319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5">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4">
    <w:multiLevelType w:val="hybridMultilevel"/>
    <w:lvl w:ilvl="0">
      <w:start w:val="3"/>
      <w:numFmt w:val="decimal"/>
      <w:lvlText w:val="%1"/>
      <w:lvlJc w:val="left"/>
      <w:pPr>
        <w:ind w:left="1422" w:hanging="455"/>
        <w:jc w:val="left"/>
      </w:pPr>
      <w:rPr>
        <w:rFonts w:hint="default"/>
      </w:rPr>
    </w:lvl>
    <w:lvl w:ilvl="1">
      <w:start w:val="3"/>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3180" w:hanging="655"/>
      </w:pPr>
      <w:rPr>
        <w:rFonts w:hint="default"/>
      </w:rPr>
    </w:lvl>
    <w:lvl w:ilvl="4">
      <w:start w:val="0"/>
      <w:numFmt w:val="bullet"/>
      <w:lvlText w:val="•"/>
      <w:lvlJc w:val="left"/>
      <w:pPr>
        <w:ind w:left="3961" w:hanging="655"/>
      </w:pPr>
      <w:rPr>
        <w:rFonts w:hint="default"/>
      </w:rPr>
    </w:lvl>
    <w:lvl w:ilvl="5">
      <w:start w:val="0"/>
      <w:numFmt w:val="bullet"/>
      <w:lvlText w:val="•"/>
      <w:lvlJc w:val="left"/>
      <w:pPr>
        <w:ind w:left="4741" w:hanging="655"/>
      </w:pPr>
      <w:rPr>
        <w:rFonts w:hint="default"/>
      </w:rPr>
    </w:lvl>
    <w:lvl w:ilvl="6">
      <w:start w:val="0"/>
      <w:numFmt w:val="bullet"/>
      <w:lvlText w:val="•"/>
      <w:lvlJc w:val="left"/>
      <w:pPr>
        <w:ind w:left="5522" w:hanging="655"/>
      </w:pPr>
      <w:rPr>
        <w:rFonts w:hint="default"/>
      </w:rPr>
    </w:lvl>
    <w:lvl w:ilvl="7">
      <w:start w:val="0"/>
      <w:numFmt w:val="bullet"/>
      <w:lvlText w:val="•"/>
      <w:lvlJc w:val="left"/>
      <w:pPr>
        <w:ind w:left="6302" w:hanging="655"/>
      </w:pPr>
      <w:rPr>
        <w:rFonts w:hint="default"/>
      </w:rPr>
    </w:lvl>
    <w:lvl w:ilvl="8">
      <w:start w:val="0"/>
      <w:numFmt w:val="bullet"/>
      <w:lvlText w:val="•"/>
      <w:lvlJc w:val="left"/>
      <w:pPr>
        <w:ind w:left="7083" w:hanging="655"/>
      </w:pPr>
      <w:rPr>
        <w:rFonts w:hint="default"/>
      </w:rPr>
    </w:lvl>
  </w:abstractNum>
  <w:abstractNum w:abstractNumId="3">
    <w:multiLevelType w:val="hybridMultilevel"/>
    <w:lvl w:ilvl="0">
      <w:start w:val="3"/>
      <w:numFmt w:val="decimal"/>
      <w:lvlText w:val="%1"/>
      <w:lvlJc w:val="left"/>
      <w:pPr>
        <w:ind w:left="1422" w:hanging="455"/>
        <w:jc w:val="left"/>
      </w:pPr>
      <w:rPr>
        <w:rFonts w:hint="default"/>
      </w:rPr>
    </w:lvl>
    <w:lvl w:ilvl="1">
      <w:start w:val="2"/>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2585" w:hanging="655"/>
      </w:pPr>
      <w:rPr>
        <w:rFonts w:hint="default"/>
      </w:rPr>
    </w:lvl>
    <w:lvl w:ilvl="4">
      <w:start w:val="0"/>
      <w:numFmt w:val="bullet"/>
      <w:lvlText w:val="•"/>
      <w:lvlJc w:val="left"/>
      <w:pPr>
        <w:ind w:left="3451" w:hanging="655"/>
      </w:pPr>
      <w:rPr>
        <w:rFonts w:hint="default"/>
      </w:rPr>
    </w:lvl>
    <w:lvl w:ilvl="5">
      <w:start w:val="0"/>
      <w:numFmt w:val="bullet"/>
      <w:lvlText w:val="•"/>
      <w:lvlJc w:val="left"/>
      <w:pPr>
        <w:ind w:left="4316" w:hanging="655"/>
      </w:pPr>
      <w:rPr>
        <w:rFonts w:hint="default"/>
      </w:rPr>
    </w:lvl>
    <w:lvl w:ilvl="6">
      <w:start w:val="0"/>
      <w:numFmt w:val="bullet"/>
      <w:lvlText w:val="•"/>
      <w:lvlJc w:val="left"/>
      <w:pPr>
        <w:ind w:left="5182" w:hanging="655"/>
      </w:pPr>
      <w:rPr>
        <w:rFonts w:hint="default"/>
      </w:rPr>
    </w:lvl>
    <w:lvl w:ilvl="7">
      <w:start w:val="0"/>
      <w:numFmt w:val="bullet"/>
      <w:lvlText w:val="•"/>
      <w:lvlJc w:val="left"/>
      <w:pPr>
        <w:ind w:left="6047" w:hanging="655"/>
      </w:pPr>
      <w:rPr>
        <w:rFonts w:hint="default"/>
      </w:rPr>
    </w:lvl>
    <w:lvl w:ilvl="8">
      <w:start w:val="0"/>
      <w:numFmt w:val="bullet"/>
      <w:lvlText w:val="•"/>
      <w:lvlJc w:val="left"/>
      <w:pPr>
        <w:ind w:left="6913" w:hanging="655"/>
      </w:pPr>
      <w:rPr>
        <w:rFonts w:hint="default"/>
      </w:rPr>
    </w:lvl>
  </w:abstractNum>
  <w:abstractNum w:abstractNumId="2">
    <w:multiLevelType w:val="hybridMultilevel"/>
    <w:lvl w:ilvl="0">
      <w:start w:val="1"/>
      <w:numFmt w:val="decimal"/>
      <w:lvlText w:val="%1."/>
      <w:lvlJc w:val="left"/>
      <w:pPr>
        <w:ind w:left="539" w:hanging="420"/>
        <w:jc w:val="left"/>
      </w:pPr>
      <w:rPr>
        <w:rFonts w:hint="default" w:ascii="宋体" w:hAnsi="宋体" w:eastAsia="宋体" w:cs="宋体"/>
        <w:spacing w:val="-53"/>
        <w:w w:val="99"/>
        <w:sz w:val="21"/>
        <w:szCs w:val="21"/>
      </w:rPr>
    </w:lvl>
    <w:lvl w:ilvl="1">
      <w:start w:val="1"/>
      <w:numFmt w:val="decimal"/>
      <w:lvlText w:val="%1.%2"/>
      <w:lvlJc w:val="left"/>
      <w:pPr>
        <w:ind w:left="1422" w:hanging="455"/>
        <w:jc w:val="left"/>
      </w:pPr>
      <w:rPr>
        <w:rFonts w:hint="default" w:ascii="宋体" w:hAnsi="宋体" w:eastAsia="宋体" w:cs="宋体"/>
        <w:spacing w:val="-1"/>
        <w:w w:val="100"/>
        <w:sz w:val="21"/>
        <w:szCs w:val="21"/>
      </w:rPr>
    </w:lvl>
    <w:lvl w:ilvl="2">
      <w:start w:val="1"/>
      <w:numFmt w:val="decimal"/>
      <w:lvlText w:val="%1.%2.%3"/>
      <w:lvlJc w:val="left"/>
      <w:pPr>
        <w:ind w:left="1623" w:hanging="655"/>
        <w:jc w:val="left"/>
      </w:pPr>
      <w:rPr>
        <w:rFonts w:hint="default" w:ascii="宋体" w:hAnsi="宋体" w:eastAsia="宋体" w:cs="宋体"/>
        <w:spacing w:val="-1"/>
        <w:w w:val="100"/>
        <w:sz w:val="21"/>
        <w:szCs w:val="21"/>
      </w:rPr>
    </w:lvl>
    <w:lvl w:ilvl="3">
      <w:start w:val="0"/>
      <w:numFmt w:val="bullet"/>
      <w:lvlText w:val="•"/>
      <w:lvlJc w:val="left"/>
      <w:pPr>
        <w:ind w:left="1740" w:hanging="655"/>
      </w:pPr>
      <w:rPr>
        <w:rFonts w:hint="default"/>
      </w:rPr>
    </w:lvl>
    <w:lvl w:ilvl="4">
      <w:start w:val="0"/>
      <w:numFmt w:val="bullet"/>
      <w:lvlText w:val="•"/>
      <w:lvlJc w:val="left"/>
      <w:pPr>
        <w:ind w:left="2726" w:hanging="655"/>
      </w:pPr>
      <w:rPr>
        <w:rFonts w:hint="default"/>
      </w:rPr>
    </w:lvl>
    <w:lvl w:ilvl="5">
      <w:start w:val="0"/>
      <w:numFmt w:val="bullet"/>
      <w:lvlText w:val="•"/>
      <w:lvlJc w:val="left"/>
      <w:pPr>
        <w:ind w:left="3712" w:hanging="655"/>
      </w:pPr>
      <w:rPr>
        <w:rFonts w:hint="default"/>
      </w:rPr>
    </w:lvl>
    <w:lvl w:ilvl="6">
      <w:start w:val="0"/>
      <w:numFmt w:val="bullet"/>
      <w:lvlText w:val="•"/>
      <w:lvlJc w:val="left"/>
      <w:pPr>
        <w:ind w:left="4699" w:hanging="655"/>
      </w:pPr>
      <w:rPr>
        <w:rFonts w:hint="default"/>
      </w:rPr>
    </w:lvl>
    <w:lvl w:ilvl="7">
      <w:start w:val="0"/>
      <w:numFmt w:val="bullet"/>
      <w:lvlText w:val="•"/>
      <w:lvlJc w:val="left"/>
      <w:pPr>
        <w:ind w:left="5685" w:hanging="655"/>
      </w:pPr>
      <w:rPr>
        <w:rFonts w:hint="default"/>
      </w:rPr>
    </w:lvl>
    <w:lvl w:ilvl="8">
      <w:start w:val="0"/>
      <w:numFmt w:val="bullet"/>
      <w:lvlText w:val="•"/>
      <w:lvlJc w:val="left"/>
      <w:pPr>
        <w:ind w:left="6671" w:hanging="655"/>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792" w:hanging="420"/>
      </w:pPr>
      <w:rPr>
        <w:rFonts w:hint="default"/>
      </w:rPr>
    </w:lvl>
    <w:lvl w:ilvl="6">
      <w:start w:val="0"/>
      <w:numFmt w:val="bullet"/>
      <w:lvlText w:val="•"/>
      <w:lvlJc w:val="left"/>
      <w:pPr>
        <w:ind w:left="5558"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091"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96"/>
    </w:pPr>
    <w:rPr>
      <w:rFonts w:ascii="宋体" w:hAnsi="宋体" w:eastAsia="宋体" w:cs="宋体"/>
      <w:sz w:val="21"/>
      <w:szCs w:val="21"/>
    </w:rPr>
  </w:style>
  <w:style w:styleId="Heading1" w:type="paragraph">
    <w:name w:val="Heading 1"/>
    <w:basedOn w:val="Normal"/>
    <w:uiPriority w:val="1"/>
    <w:qFormat/>
    <w:pPr>
      <w:ind w:left="2992"/>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957"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2018-10-19T22:09:37Z</dcterms:created>
  <dcterms:modified xsi:type="dcterms:W3CDTF">2018-10-19T22:09:37Z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