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8833"/>
        <w:rPr>
          <w:rFonts w:ascii="Times New Roman"/>
          <w:sz w:val="20"/>
        </w:rPr>
      </w:pPr>
      <w:r>
        <w:rPr>
          <w:rFonts w:ascii="Times New Roman"/>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inline>
        </w:drawing>
      </w:r>
      <w:r>
        <w:rPr>
          <w:rFonts w:ascii="Times New Roman"/>
          <w:sz w:val="20"/>
        </w:rPr>
      </w:r>
    </w:p>
    <w:p>
      <w:pPr>
        <w:spacing w:line="182" w:lineRule="auto" w:before="95"/>
        <w:ind w:left="7991" w:right="329" w:hanging="802"/>
        <w:jc w:val="right"/>
        <w:rPr>
          <w:sz w:val="20"/>
        </w:rPr>
      </w:pPr>
      <w:r>
        <w:rPr>
          <w:sz w:val="20"/>
        </w:rPr>
        <w:t>嘉禾人寿[2012]疾病保险 005 号</w:t>
      </w:r>
      <w:r>
        <w:rPr>
          <w:w w:val="99"/>
          <w:sz w:val="20"/>
        </w:rPr>
        <w:t> </w:t>
      </w:r>
      <w:r>
        <w:rPr>
          <w:w w:val="95"/>
          <w:sz w:val="20"/>
        </w:rPr>
        <w:t>请扫描以查询验证条款 </w:t>
      </w:r>
    </w:p>
    <w:p>
      <w:pPr>
        <w:spacing w:line="516" w:lineRule="exact" w:before="0"/>
        <w:ind w:left="1902" w:right="1894" w:firstLine="0"/>
        <w:jc w:val="center"/>
        <w:rPr>
          <w:rFonts w:ascii="微软雅黑" w:eastAsia="微软雅黑" w:hint="eastAsia"/>
          <w:b/>
          <w:sz w:val="32"/>
        </w:rPr>
      </w:pPr>
      <w:r>
        <w:rPr>
          <w:rFonts w:ascii="微软雅黑" w:eastAsia="微软雅黑" w:hint="eastAsia"/>
          <w:b/>
          <w:sz w:val="32"/>
        </w:rPr>
        <w:t>嘉禾健康保重大疾病保险条款</w:t>
      </w:r>
    </w:p>
    <w:p>
      <w:pPr>
        <w:spacing w:before="71"/>
        <w:ind w:left="1898" w:right="1894" w:firstLine="0"/>
        <w:jc w:val="center"/>
        <w:rPr>
          <w:rFonts w:ascii="微软雅黑" w:eastAsia="微软雅黑" w:hint="eastAsia"/>
          <w:b/>
          <w:sz w:val="32"/>
        </w:rPr>
      </w:pPr>
      <w:r>
        <w:rPr>
          <w:rFonts w:ascii="微软雅黑" w:eastAsia="微软雅黑" w:hint="eastAsia"/>
          <w:b/>
          <w:sz w:val="32"/>
        </w:rPr>
        <w:t>阅  读  指 引</w:t>
      </w:r>
    </w:p>
    <w:p>
      <w:pPr>
        <w:pStyle w:val="BodyText"/>
        <w:spacing w:before="110"/>
        <w:ind w:left="2003" w:right="1894"/>
        <w:jc w:val="center"/>
      </w:pPr>
      <w:r>
        <w:rPr/>
        <w:drawing>
          <wp:anchor distT="0" distB="0" distL="0" distR="0" allowOverlap="1" layoutInCell="1" locked="0" behindDoc="1" simplePos="0" relativeHeight="268377551">
            <wp:simplePos x="0" y="0"/>
            <wp:positionH relativeFrom="page">
              <wp:posOffset>542544</wp:posOffset>
            </wp:positionH>
            <wp:positionV relativeFrom="paragraph">
              <wp:posOffset>317038</wp:posOffset>
            </wp:positionV>
            <wp:extent cx="6473952" cy="6955536"/>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6473952" cy="6955536"/>
                    </a:xfrm>
                    <a:prstGeom prst="rect">
                      <a:avLst/>
                    </a:prstGeom>
                  </pic:spPr>
                </pic:pic>
              </a:graphicData>
            </a:graphic>
          </wp:anchor>
        </w:drawing>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2"/>
          <w:w w:val="100"/>
        </w:rPr>
        <w:t>您</w:t>
      </w:r>
      <w:r>
        <w:rPr>
          <w:spacing w:val="-63"/>
          <w:w w:val="100"/>
          <w:position w:val="-7"/>
        </w:rPr>
        <w:t>．</w:t>
      </w:r>
      <w:r>
        <w:rPr>
          <w:spacing w:val="-149"/>
          <w:w w:val="100"/>
        </w:rPr>
        <w:t>理</w:t>
      </w:r>
      <w:r>
        <w:rPr>
          <w:spacing w:val="-63"/>
          <w:w w:val="100"/>
          <w:position w:val="-7"/>
        </w:rPr>
        <w:t>．</w:t>
      </w:r>
      <w:r>
        <w:rPr>
          <w:spacing w:val="-152"/>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主</w:t>
      </w:r>
      <w:r>
        <w:rPr>
          <w:spacing w:val="-63"/>
          <w:w w:val="100"/>
          <w:position w:val="-7"/>
        </w:rPr>
        <w:t>．</w:t>
      </w:r>
      <w:r>
        <w:rPr>
          <w:spacing w:val="-152"/>
          <w:w w:val="100"/>
        </w:rPr>
        <w:t>险</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spacing w:val="-3"/>
          <w:w w:val="100"/>
        </w:rPr>
        <w:t>。</w:t>
      </w:r>
      <w:r>
        <w:rPr>
          <w:w w:val="100"/>
        </w:rPr>
        <w:t> </w:t>
      </w:r>
    </w:p>
    <w:p>
      <w:pPr>
        <w:pStyle w:val="Heading2"/>
        <w:spacing w:before="101"/>
        <w:ind w:left="1264"/>
      </w:pPr>
      <w:r>
        <w:rPr/>
        <w:pict>
          <v:shape style="position:absolute;margin-left:49.789917pt;margin-top:3.449838pt;width:18.850pt;height:28.85pt;mso-position-horizontal-relative:page;mso-position-vertical-relative:paragraph;z-index:1048" type="#_x0000_t202" filled="false" stroked="false">
            <v:textbox inset="0,0,0,0">
              <w:txbxContent>
                <w:p>
                  <w:pPr>
                    <w:spacing w:line="577" w:lineRule="exact" w:before="0"/>
                    <w:ind w:left="0" w:right="0" w:firstLine="0"/>
                    <w:jc w:val="left"/>
                    <w:rPr>
                      <w:rFonts w:ascii="Times New Roman"/>
                      <w:b/>
                      <w:sz w:val="52"/>
                    </w:rPr>
                  </w:pPr>
                  <w:r>
                    <w:rPr>
                      <w:rFonts w:ascii="Times New Roman"/>
                      <w:b/>
                      <w:w w:val="100"/>
                      <w:sz w:val="52"/>
                    </w:rPr>
                    <w:t>C</w:t>
                  </w:r>
                </w:p>
              </w:txbxContent>
            </v:textbox>
            <w10:wrap type="none"/>
          </v:shape>
        </w:pict>
      </w:r>
      <w:r>
        <w:rPr/>
        <w:t>您拥有的重要权益</w:t>
      </w:r>
    </w:p>
    <w:p>
      <w:pPr>
        <w:pStyle w:val="ListParagraph"/>
        <w:numPr>
          <w:ilvl w:val="0"/>
          <w:numId w:val="1"/>
        </w:numPr>
        <w:tabs>
          <w:tab w:pos="1645" w:val="left" w:leader="none"/>
          <w:tab w:pos="1646" w:val="left" w:leader="none"/>
        </w:tabs>
        <w:spacing w:line="284" w:lineRule="exact" w:before="5" w:after="0"/>
        <w:ind w:left="1645" w:right="0" w:hanging="422"/>
        <w:jc w:val="left"/>
        <w:rPr>
          <w:sz w:val="21"/>
        </w:rPr>
      </w:pPr>
      <w:r>
        <w:rPr>
          <w:rFonts w:ascii="仿宋" w:hAnsi="仿宋" w:eastAsia="仿宋" w:hint="eastAsia"/>
          <w:spacing w:val="-7"/>
          <w:sz w:val="21"/>
        </w:rPr>
        <w:t>签收本主险合同之日起 </w:t>
      </w:r>
      <w:r>
        <w:rPr>
          <w:rFonts w:ascii="仿宋" w:hAnsi="仿宋" w:eastAsia="仿宋" w:hint="eastAsia"/>
          <w:sz w:val="21"/>
        </w:rPr>
        <w:t>10</w:t>
      </w:r>
      <w:r>
        <w:rPr>
          <w:rFonts w:ascii="仿宋" w:hAnsi="仿宋" w:eastAsia="仿宋" w:hint="eastAsia"/>
          <w:spacing w:val="-23"/>
          <w:sz w:val="21"/>
        </w:rPr>
        <w:t> 日</w:t>
      </w:r>
      <w:r>
        <w:rPr>
          <w:rFonts w:ascii="仿宋" w:hAnsi="仿宋" w:eastAsia="仿宋" w:hint="eastAsia"/>
          <w:sz w:val="21"/>
        </w:rPr>
        <w:t>（</w:t>
      </w:r>
      <w:r>
        <w:rPr>
          <w:rFonts w:ascii="仿宋" w:hAnsi="仿宋" w:eastAsia="仿宋" w:hint="eastAsia"/>
          <w:spacing w:val="-3"/>
          <w:sz w:val="21"/>
        </w:rPr>
        <w:t>即犹豫期）</w:t>
      </w:r>
      <w:r>
        <w:rPr>
          <w:rFonts w:ascii="仿宋" w:hAnsi="仿宋" w:eastAsia="仿宋" w:hint="eastAsia"/>
          <w:spacing w:val="-2"/>
          <w:sz w:val="21"/>
        </w:rPr>
        <w:t>内您若要求退保，我们仅扣除工本费 </w:t>
      </w:r>
      <w:r>
        <w:rPr>
          <w:sz w:val="21"/>
        </w:rPr>
        <w:t>……1.4</w:t>
      </w:r>
    </w:p>
    <w:p>
      <w:pPr>
        <w:pStyle w:val="ListParagraph"/>
        <w:numPr>
          <w:ilvl w:val="0"/>
          <w:numId w:val="1"/>
        </w:numPr>
        <w:tabs>
          <w:tab w:pos="1645" w:val="left" w:leader="none"/>
          <w:tab w:pos="1646" w:val="left" w:leader="none"/>
          <w:tab w:pos="9733" w:val="right" w:leader="dot"/>
        </w:tabs>
        <w:spacing w:line="280" w:lineRule="exact" w:before="0" w:after="0"/>
        <w:ind w:left="1645" w:right="0" w:hanging="422"/>
        <w:jc w:val="left"/>
        <w:rPr>
          <w:sz w:val="21"/>
        </w:rPr>
      </w:pPr>
      <w:r>
        <w:rPr>
          <w:rFonts w:ascii="仿宋" w:eastAsia="仿宋" w:hint="eastAsia"/>
          <w:sz w:val="21"/>
        </w:rPr>
        <w:t>本主</w:t>
      </w:r>
      <w:r>
        <w:rPr>
          <w:rFonts w:ascii="仿宋" w:eastAsia="仿宋" w:hint="eastAsia"/>
          <w:spacing w:val="-3"/>
          <w:sz w:val="21"/>
        </w:rPr>
        <w:t>险</w:t>
      </w:r>
      <w:r>
        <w:rPr>
          <w:rFonts w:ascii="仿宋" w:eastAsia="仿宋" w:hint="eastAsia"/>
          <w:sz w:val="21"/>
        </w:rPr>
        <w:t>合</w:t>
      </w:r>
      <w:r>
        <w:rPr>
          <w:rFonts w:ascii="仿宋" w:eastAsia="仿宋" w:hint="eastAsia"/>
          <w:spacing w:val="-3"/>
          <w:sz w:val="21"/>
        </w:rPr>
        <w:t>同</w:t>
      </w:r>
      <w:r>
        <w:rPr>
          <w:rFonts w:ascii="仿宋" w:eastAsia="仿宋" w:hint="eastAsia"/>
          <w:sz w:val="21"/>
        </w:rPr>
        <w:t>提</w:t>
      </w:r>
      <w:r>
        <w:rPr>
          <w:rFonts w:ascii="仿宋" w:eastAsia="仿宋" w:hint="eastAsia"/>
          <w:spacing w:val="-3"/>
          <w:sz w:val="21"/>
        </w:rPr>
        <w:t>供</w:t>
      </w:r>
      <w:r>
        <w:rPr>
          <w:rFonts w:ascii="仿宋" w:eastAsia="仿宋" w:hint="eastAsia"/>
          <w:sz w:val="21"/>
        </w:rPr>
        <w:t>的</w:t>
      </w:r>
      <w:r>
        <w:rPr>
          <w:rFonts w:ascii="仿宋" w:eastAsia="仿宋" w:hint="eastAsia"/>
          <w:spacing w:val="-3"/>
          <w:sz w:val="21"/>
        </w:rPr>
        <w:t>保</w:t>
      </w:r>
      <w:r>
        <w:rPr>
          <w:rFonts w:ascii="仿宋" w:eastAsia="仿宋" w:hint="eastAsia"/>
          <w:sz w:val="21"/>
        </w:rPr>
        <w:t>障</w:t>
      </w:r>
      <w:r>
        <w:rPr>
          <w:rFonts w:ascii="仿宋" w:eastAsia="仿宋" w:hint="eastAsia"/>
          <w:spacing w:val="-3"/>
          <w:sz w:val="21"/>
        </w:rPr>
        <w:t>在</w:t>
      </w:r>
      <w:r>
        <w:rPr>
          <w:rFonts w:ascii="仿宋" w:eastAsia="仿宋" w:hint="eastAsia"/>
          <w:sz w:val="21"/>
        </w:rPr>
        <w:t>保险</w:t>
      </w:r>
      <w:r>
        <w:rPr>
          <w:rFonts w:ascii="仿宋" w:eastAsia="仿宋" w:hint="eastAsia"/>
          <w:spacing w:val="-3"/>
          <w:sz w:val="21"/>
        </w:rPr>
        <w:t>责</w:t>
      </w:r>
      <w:r>
        <w:rPr>
          <w:rFonts w:ascii="仿宋" w:eastAsia="仿宋" w:hint="eastAsia"/>
          <w:sz w:val="21"/>
        </w:rPr>
        <w:t>任</w:t>
      </w:r>
      <w:r>
        <w:rPr>
          <w:rFonts w:ascii="仿宋" w:eastAsia="仿宋" w:hint="eastAsia"/>
          <w:spacing w:val="-3"/>
          <w:sz w:val="21"/>
        </w:rPr>
        <w:t>条</w:t>
      </w:r>
      <w:r>
        <w:rPr>
          <w:rFonts w:ascii="仿宋" w:eastAsia="仿宋" w:hint="eastAsia"/>
          <w:sz w:val="21"/>
        </w:rPr>
        <w:t>款</w:t>
      </w:r>
      <w:r>
        <w:rPr>
          <w:rFonts w:ascii="仿宋" w:eastAsia="仿宋" w:hint="eastAsia"/>
          <w:spacing w:val="-3"/>
          <w:sz w:val="21"/>
        </w:rPr>
        <w:t>中</w:t>
      </w:r>
      <w:r>
        <w:rPr>
          <w:rFonts w:ascii="仿宋" w:eastAsia="仿宋" w:hint="eastAsia"/>
          <w:sz w:val="21"/>
        </w:rPr>
        <w:t>列明</w:t>
        <w:tab/>
      </w:r>
      <w:r>
        <w:rPr>
          <w:sz w:val="21"/>
        </w:rPr>
        <w:t>2.3</w:t>
      </w:r>
    </w:p>
    <w:p>
      <w:pPr>
        <w:pStyle w:val="ListParagraph"/>
        <w:numPr>
          <w:ilvl w:val="0"/>
          <w:numId w:val="1"/>
        </w:numPr>
        <w:tabs>
          <w:tab w:pos="1645" w:val="left" w:leader="none"/>
          <w:tab w:pos="1646" w:val="left" w:leader="none"/>
          <w:tab w:pos="9527" w:val="right" w:leader="dot"/>
        </w:tabs>
        <w:spacing w:line="285" w:lineRule="exact" w:before="0" w:after="0"/>
        <w:ind w:left="1645" w:right="0" w:hanging="422"/>
        <w:jc w:val="left"/>
        <w:rPr>
          <w:sz w:val="21"/>
        </w:rPr>
      </w:pPr>
      <w:r>
        <w:rPr/>
        <w:pict>
          <v:shape style="position:absolute;margin-left:49.789917pt;margin-top:13.679817pt;width:18.850pt;height:28.85pt;mso-position-horizontal-relative:page;mso-position-vertical-relative:paragraph;z-index:1072" type="#_x0000_t202" filled="false" stroked="false">
            <v:textbox inset="0,0,0,0">
              <w:txbxContent>
                <w:p>
                  <w:pPr>
                    <w:spacing w:line="577" w:lineRule="exact" w:before="0"/>
                    <w:ind w:left="0" w:right="0" w:firstLine="0"/>
                    <w:jc w:val="left"/>
                    <w:rPr>
                      <w:rFonts w:ascii="Times New Roman"/>
                      <w:b/>
                      <w:sz w:val="52"/>
                    </w:rPr>
                  </w:pPr>
                  <w:r>
                    <w:rPr>
                      <w:rFonts w:ascii="Times New Roman"/>
                      <w:b/>
                      <w:w w:val="100"/>
                      <w:sz w:val="52"/>
                    </w:rPr>
                    <w:t>C</w:t>
                  </w:r>
                </w:p>
              </w:txbxContent>
            </v:textbox>
            <w10:wrap type="none"/>
          </v:shape>
        </w:pict>
      </w:r>
      <w:r>
        <w:rPr>
          <w:rFonts w:ascii="仿宋" w:eastAsia="仿宋" w:hint="eastAsia"/>
          <w:sz w:val="21"/>
        </w:rPr>
        <w:t>您有</w:t>
      </w:r>
      <w:r>
        <w:rPr>
          <w:rFonts w:ascii="仿宋" w:eastAsia="仿宋" w:hint="eastAsia"/>
          <w:spacing w:val="-3"/>
          <w:sz w:val="21"/>
        </w:rPr>
        <w:t>退</w:t>
      </w:r>
      <w:r>
        <w:rPr>
          <w:rFonts w:ascii="仿宋" w:eastAsia="仿宋" w:hint="eastAsia"/>
          <w:sz w:val="21"/>
        </w:rPr>
        <w:t>保</w:t>
      </w:r>
      <w:r>
        <w:rPr>
          <w:rFonts w:ascii="仿宋" w:eastAsia="仿宋" w:hint="eastAsia"/>
          <w:spacing w:val="-3"/>
          <w:sz w:val="21"/>
        </w:rPr>
        <w:t>的</w:t>
      </w:r>
      <w:r>
        <w:rPr>
          <w:rFonts w:ascii="仿宋" w:eastAsia="仿宋" w:hint="eastAsia"/>
          <w:sz w:val="21"/>
        </w:rPr>
        <w:t>权</w:t>
      </w:r>
      <w:r>
        <w:rPr>
          <w:rFonts w:ascii="仿宋" w:eastAsia="仿宋" w:hint="eastAsia"/>
          <w:spacing w:val="-3"/>
          <w:sz w:val="21"/>
        </w:rPr>
        <w:t>利</w:t>
      </w:r>
      <w:r>
        <w:rPr>
          <w:rFonts w:ascii="仿宋" w:eastAsia="仿宋" w:hint="eastAsia"/>
          <w:sz w:val="21"/>
        </w:rPr>
        <w:t>，</w:t>
      </w:r>
      <w:r>
        <w:rPr>
          <w:rFonts w:ascii="仿宋" w:eastAsia="仿宋" w:hint="eastAsia"/>
          <w:spacing w:val="-3"/>
          <w:sz w:val="21"/>
        </w:rPr>
        <w:t>请</w:t>
      </w:r>
      <w:r>
        <w:rPr>
          <w:rFonts w:ascii="仿宋" w:eastAsia="仿宋" w:hint="eastAsia"/>
          <w:sz w:val="21"/>
        </w:rPr>
        <w:t>您</w:t>
      </w:r>
      <w:r>
        <w:rPr>
          <w:rFonts w:ascii="仿宋" w:eastAsia="仿宋" w:hint="eastAsia"/>
          <w:spacing w:val="-3"/>
          <w:sz w:val="21"/>
        </w:rPr>
        <w:t>注</w:t>
      </w:r>
      <w:r>
        <w:rPr>
          <w:rFonts w:ascii="仿宋" w:eastAsia="仿宋" w:hint="eastAsia"/>
          <w:sz w:val="21"/>
        </w:rPr>
        <w:t>意退</w:t>
      </w:r>
      <w:r>
        <w:rPr>
          <w:rFonts w:ascii="仿宋" w:eastAsia="仿宋" w:hint="eastAsia"/>
          <w:spacing w:val="-3"/>
          <w:sz w:val="21"/>
        </w:rPr>
        <w:t>保</w:t>
      </w:r>
      <w:r>
        <w:rPr>
          <w:rFonts w:ascii="仿宋" w:eastAsia="仿宋" w:hint="eastAsia"/>
          <w:sz w:val="21"/>
        </w:rPr>
        <w:t>事项</w:t>
        <w:tab/>
      </w:r>
      <w:r>
        <w:rPr>
          <w:sz w:val="21"/>
        </w:rPr>
        <w:t>7</w:t>
      </w:r>
    </w:p>
    <w:p>
      <w:pPr>
        <w:pStyle w:val="Heading2"/>
        <w:spacing w:before="20"/>
        <w:ind w:left="1264"/>
      </w:pPr>
      <w:r>
        <w:rPr/>
        <w:t>您应当特别注意的事项</w:t>
      </w:r>
    </w:p>
    <w:p>
      <w:pPr>
        <w:pStyle w:val="ListParagraph"/>
        <w:numPr>
          <w:ilvl w:val="0"/>
          <w:numId w:val="1"/>
        </w:numPr>
        <w:tabs>
          <w:tab w:pos="1645" w:val="left" w:leader="none"/>
          <w:tab w:pos="1646" w:val="left" w:leader="none"/>
          <w:tab w:pos="9733" w:val="right" w:leader="dot"/>
        </w:tabs>
        <w:spacing w:line="285" w:lineRule="exact" w:before="3" w:after="0"/>
        <w:ind w:left="1645" w:right="0" w:hanging="422"/>
        <w:jc w:val="left"/>
        <w:rPr>
          <w:sz w:val="21"/>
        </w:rPr>
      </w:pPr>
      <w:r>
        <w:rPr>
          <w:rFonts w:ascii="仿宋" w:eastAsia="仿宋" w:hint="eastAsia"/>
          <w:sz w:val="21"/>
        </w:rPr>
        <w:t>在某</w:t>
      </w:r>
      <w:r>
        <w:rPr>
          <w:rFonts w:ascii="仿宋" w:eastAsia="仿宋" w:hint="eastAsia"/>
          <w:spacing w:val="-3"/>
          <w:sz w:val="21"/>
        </w:rPr>
        <w:t>些</w:t>
      </w:r>
      <w:r>
        <w:rPr>
          <w:rFonts w:ascii="仿宋" w:eastAsia="仿宋" w:hint="eastAsia"/>
          <w:sz w:val="21"/>
        </w:rPr>
        <w:t>情</w:t>
      </w:r>
      <w:r>
        <w:rPr>
          <w:rFonts w:ascii="仿宋" w:eastAsia="仿宋" w:hint="eastAsia"/>
          <w:spacing w:val="-3"/>
          <w:sz w:val="21"/>
        </w:rPr>
        <w:t>况</w:t>
      </w:r>
      <w:r>
        <w:rPr>
          <w:rFonts w:ascii="仿宋" w:eastAsia="仿宋" w:hint="eastAsia"/>
          <w:sz w:val="21"/>
        </w:rPr>
        <w:t>下</w:t>
      </w:r>
      <w:r>
        <w:rPr>
          <w:rFonts w:ascii="仿宋" w:eastAsia="仿宋" w:hint="eastAsia"/>
          <w:spacing w:val="-3"/>
          <w:sz w:val="21"/>
        </w:rPr>
        <w:t>，</w:t>
      </w:r>
      <w:r>
        <w:rPr>
          <w:rFonts w:ascii="仿宋" w:eastAsia="仿宋" w:hint="eastAsia"/>
          <w:sz w:val="21"/>
        </w:rPr>
        <w:t>我</w:t>
      </w:r>
      <w:r>
        <w:rPr>
          <w:rFonts w:ascii="仿宋" w:eastAsia="仿宋" w:hint="eastAsia"/>
          <w:spacing w:val="-3"/>
          <w:sz w:val="21"/>
        </w:rPr>
        <w:t>们</w:t>
      </w:r>
      <w:r>
        <w:rPr>
          <w:rFonts w:ascii="仿宋" w:eastAsia="仿宋" w:hint="eastAsia"/>
          <w:sz w:val="21"/>
        </w:rPr>
        <w:t>不</w:t>
      </w:r>
      <w:r>
        <w:rPr>
          <w:rFonts w:ascii="仿宋" w:eastAsia="仿宋" w:hint="eastAsia"/>
          <w:spacing w:val="-3"/>
          <w:sz w:val="21"/>
        </w:rPr>
        <w:t>承</w:t>
      </w:r>
      <w:r>
        <w:rPr>
          <w:rFonts w:ascii="仿宋" w:eastAsia="仿宋" w:hint="eastAsia"/>
          <w:sz w:val="21"/>
        </w:rPr>
        <w:t>担保</w:t>
      </w:r>
      <w:r>
        <w:rPr>
          <w:rFonts w:ascii="仿宋" w:eastAsia="仿宋" w:hint="eastAsia"/>
          <w:spacing w:val="-3"/>
          <w:sz w:val="21"/>
        </w:rPr>
        <w:t>险</w:t>
      </w:r>
      <w:r>
        <w:rPr>
          <w:rFonts w:ascii="仿宋" w:eastAsia="仿宋" w:hint="eastAsia"/>
          <w:sz w:val="21"/>
        </w:rPr>
        <w:t>责任</w:t>
        <w:tab/>
      </w:r>
      <w:r>
        <w:rPr>
          <w:sz w:val="21"/>
        </w:rPr>
        <w:t>2.4</w:t>
      </w:r>
    </w:p>
    <w:p>
      <w:pPr>
        <w:pStyle w:val="ListParagraph"/>
        <w:numPr>
          <w:ilvl w:val="0"/>
          <w:numId w:val="1"/>
        </w:numPr>
        <w:tabs>
          <w:tab w:pos="1645" w:val="left" w:leader="none"/>
          <w:tab w:pos="1646" w:val="left" w:leader="none"/>
          <w:tab w:pos="9733" w:val="right" w:leader="dot"/>
        </w:tabs>
        <w:spacing w:line="281" w:lineRule="exact" w:before="0" w:after="0"/>
        <w:ind w:left="1645" w:right="0" w:hanging="422"/>
        <w:jc w:val="left"/>
        <w:rPr>
          <w:sz w:val="21"/>
        </w:rPr>
      </w:pPr>
      <w:r>
        <w:rPr>
          <w:rFonts w:ascii="仿宋" w:eastAsia="仿宋" w:hint="eastAsia"/>
          <w:sz w:val="21"/>
        </w:rPr>
        <w:t>保险</w:t>
      </w:r>
      <w:r>
        <w:rPr>
          <w:rFonts w:ascii="仿宋" w:eastAsia="仿宋" w:hint="eastAsia"/>
          <w:spacing w:val="-3"/>
          <w:sz w:val="21"/>
        </w:rPr>
        <w:t>事</w:t>
      </w:r>
      <w:r>
        <w:rPr>
          <w:rFonts w:ascii="仿宋" w:eastAsia="仿宋" w:hint="eastAsia"/>
          <w:sz w:val="21"/>
        </w:rPr>
        <w:t>故</w:t>
      </w:r>
      <w:r>
        <w:rPr>
          <w:rFonts w:ascii="仿宋" w:eastAsia="仿宋" w:hint="eastAsia"/>
          <w:spacing w:val="-3"/>
          <w:sz w:val="21"/>
        </w:rPr>
        <w:t>发</w:t>
      </w:r>
      <w:r>
        <w:rPr>
          <w:rFonts w:ascii="仿宋" w:eastAsia="仿宋" w:hint="eastAsia"/>
          <w:sz w:val="21"/>
        </w:rPr>
        <w:t>生</w:t>
      </w:r>
      <w:r>
        <w:rPr>
          <w:rFonts w:ascii="仿宋" w:eastAsia="仿宋" w:hint="eastAsia"/>
          <w:spacing w:val="-3"/>
          <w:sz w:val="21"/>
        </w:rPr>
        <w:t>后</w:t>
      </w:r>
      <w:r>
        <w:rPr>
          <w:rFonts w:ascii="仿宋" w:eastAsia="仿宋" w:hint="eastAsia"/>
          <w:sz w:val="21"/>
        </w:rPr>
        <w:t>，</w:t>
      </w:r>
      <w:r>
        <w:rPr>
          <w:rFonts w:ascii="仿宋" w:eastAsia="仿宋" w:hint="eastAsia"/>
          <w:spacing w:val="-3"/>
          <w:sz w:val="21"/>
        </w:rPr>
        <w:t>请</w:t>
      </w:r>
      <w:r>
        <w:rPr>
          <w:rFonts w:ascii="仿宋" w:eastAsia="仿宋" w:hint="eastAsia"/>
          <w:sz w:val="21"/>
        </w:rPr>
        <w:t>您</w:t>
      </w:r>
      <w:r>
        <w:rPr>
          <w:rFonts w:ascii="仿宋" w:eastAsia="仿宋" w:hint="eastAsia"/>
          <w:spacing w:val="-3"/>
          <w:sz w:val="21"/>
        </w:rPr>
        <w:t>及</w:t>
      </w:r>
      <w:r>
        <w:rPr>
          <w:rFonts w:ascii="仿宋" w:eastAsia="仿宋" w:hint="eastAsia"/>
          <w:sz w:val="21"/>
        </w:rPr>
        <w:t>时通</w:t>
      </w:r>
      <w:r>
        <w:rPr>
          <w:rFonts w:ascii="仿宋" w:eastAsia="仿宋" w:hint="eastAsia"/>
          <w:spacing w:val="-3"/>
          <w:sz w:val="21"/>
        </w:rPr>
        <w:t>知</w:t>
      </w:r>
      <w:r>
        <w:rPr>
          <w:rFonts w:ascii="仿宋" w:eastAsia="仿宋" w:hint="eastAsia"/>
          <w:sz w:val="21"/>
        </w:rPr>
        <w:t>我们</w:t>
        <w:tab/>
      </w:r>
      <w:r>
        <w:rPr>
          <w:sz w:val="21"/>
        </w:rPr>
        <w:t>3.2</w:t>
      </w:r>
    </w:p>
    <w:p>
      <w:pPr>
        <w:pStyle w:val="ListParagraph"/>
        <w:numPr>
          <w:ilvl w:val="0"/>
          <w:numId w:val="1"/>
        </w:numPr>
        <w:tabs>
          <w:tab w:pos="1645" w:val="left" w:leader="none"/>
          <w:tab w:pos="1646" w:val="left" w:leader="none"/>
          <w:tab w:pos="9733" w:val="right" w:leader="dot"/>
        </w:tabs>
        <w:spacing w:line="280" w:lineRule="exact" w:before="0" w:after="0"/>
        <w:ind w:left="1645" w:right="0" w:hanging="422"/>
        <w:jc w:val="left"/>
        <w:rPr>
          <w:sz w:val="21"/>
        </w:rPr>
      </w:pPr>
      <w:r>
        <w:rPr>
          <w:rFonts w:ascii="仿宋" w:eastAsia="仿宋" w:hint="eastAsia"/>
          <w:sz w:val="21"/>
        </w:rPr>
        <w:t>您应</w:t>
      </w:r>
      <w:r>
        <w:rPr>
          <w:rFonts w:ascii="仿宋" w:eastAsia="仿宋" w:hint="eastAsia"/>
          <w:spacing w:val="-3"/>
          <w:sz w:val="21"/>
        </w:rPr>
        <w:t>当</w:t>
      </w:r>
      <w:r>
        <w:rPr>
          <w:rFonts w:ascii="仿宋" w:eastAsia="仿宋" w:hint="eastAsia"/>
          <w:sz w:val="21"/>
        </w:rPr>
        <w:t>按</w:t>
      </w:r>
      <w:r>
        <w:rPr>
          <w:rFonts w:ascii="仿宋" w:eastAsia="仿宋" w:hint="eastAsia"/>
          <w:spacing w:val="-3"/>
          <w:sz w:val="21"/>
        </w:rPr>
        <w:t>时</w:t>
      </w:r>
      <w:r>
        <w:rPr>
          <w:rFonts w:ascii="仿宋" w:eastAsia="仿宋" w:hint="eastAsia"/>
          <w:sz w:val="21"/>
        </w:rPr>
        <w:t>支</w:t>
      </w:r>
      <w:r>
        <w:rPr>
          <w:rFonts w:ascii="仿宋" w:eastAsia="仿宋" w:hint="eastAsia"/>
          <w:spacing w:val="-3"/>
          <w:sz w:val="21"/>
        </w:rPr>
        <w:t>付</w:t>
      </w:r>
      <w:r>
        <w:rPr>
          <w:rFonts w:ascii="仿宋" w:eastAsia="仿宋" w:hint="eastAsia"/>
          <w:sz w:val="21"/>
        </w:rPr>
        <w:t>保</w:t>
      </w:r>
      <w:r>
        <w:rPr>
          <w:rFonts w:ascii="仿宋" w:eastAsia="仿宋" w:hint="eastAsia"/>
          <w:spacing w:val="-3"/>
          <w:sz w:val="21"/>
        </w:rPr>
        <w:t>险费</w:t>
        <w:tab/>
      </w:r>
      <w:r>
        <w:rPr>
          <w:sz w:val="21"/>
        </w:rPr>
        <w:t>4.1</w:t>
      </w:r>
    </w:p>
    <w:p>
      <w:pPr>
        <w:pStyle w:val="ListParagraph"/>
        <w:numPr>
          <w:ilvl w:val="0"/>
          <w:numId w:val="1"/>
        </w:numPr>
        <w:tabs>
          <w:tab w:pos="1645" w:val="left" w:leader="none"/>
          <w:tab w:pos="1646" w:val="left" w:leader="none"/>
          <w:tab w:pos="9527" w:val="right" w:leader="dot"/>
        </w:tabs>
        <w:spacing w:line="280" w:lineRule="exact" w:before="0" w:after="0"/>
        <w:ind w:left="1645" w:right="0" w:hanging="422"/>
        <w:jc w:val="left"/>
        <w:rPr>
          <w:sz w:val="21"/>
        </w:rPr>
      </w:pPr>
      <w:r>
        <w:rPr>
          <w:rFonts w:ascii="仿宋" w:eastAsia="仿宋" w:hint="eastAsia"/>
          <w:sz w:val="21"/>
        </w:rPr>
        <w:t>退保</w:t>
      </w:r>
      <w:r>
        <w:rPr>
          <w:rFonts w:ascii="仿宋" w:eastAsia="仿宋" w:hint="eastAsia"/>
          <w:spacing w:val="-3"/>
          <w:sz w:val="21"/>
        </w:rPr>
        <w:t>会</w:t>
      </w:r>
      <w:r>
        <w:rPr>
          <w:rFonts w:ascii="仿宋" w:eastAsia="仿宋" w:hint="eastAsia"/>
          <w:sz w:val="21"/>
        </w:rPr>
        <w:t>给</w:t>
      </w:r>
      <w:r>
        <w:rPr>
          <w:rFonts w:ascii="仿宋" w:eastAsia="仿宋" w:hint="eastAsia"/>
          <w:spacing w:val="-3"/>
          <w:sz w:val="21"/>
        </w:rPr>
        <w:t>您</w:t>
      </w:r>
      <w:r>
        <w:rPr>
          <w:rFonts w:ascii="仿宋" w:eastAsia="仿宋" w:hint="eastAsia"/>
          <w:sz w:val="21"/>
        </w:rPr>
        <w:t>造</w:t>
      </w:r>
      <w:r>
        <w:rPr>
          <w:rFonts w:ascii="仿宋" w:eastAsia="仿宋" w:hint="eastAsia"/>
          <w:spacing w:val="-3"/>
          <w:sz w:val="21"/>
        </w:rPr>
        <w:t>成</w:t>
      </w:r>
      <w:r>
        <w:rPr>
          <w:rFonts w:ascii="仿宋" w:eastAsia="仿宋" w:hint="eastAsia"/>
          <w:sz w:val="21"/>
        </w:rPr>
        <w:t>一</w:t>
      </w:r>
      <w:r>
        <w:rPr>
          <w:rFonts w:ascii="仿宋" w:eastAsia="仿宋" w:hint="eastAsia"/>
          <w:spacing w:val="-3"/>
          <w:sz w:val="21"/>
        </w:rPr>
        <w:t>定</w:t>
      </w:r>
      <w:r>
        <w:rPr>
          <w:rFonts w:ascii="仿宋" w:eastAsia="仿宋" w:hint="eastAsia"/>
          <w:sz w:val="21"/>
        </w:rPr>
        <w:t>的</w:t>
      </w:r>
      <w:r>
        <w:rPr>
          <w:rFonts w:ascii="仿宋" w:eastAsia="仿宋" w:hint="eastAsia"/>
          <w:spacing w:val="-3"/>
          <w:sz w:val="21"/>
        </w:rPr>
        <w:t>损</w:t>
      </w:r>
      <w:r>
        <w:rPr>
          <w:rFonts w:ascii="仿宋" w:eastAsia="仿宋" w:hint="eastAsia"/>
          <w:sz w:val="21"/>
        </w:rPr>
        <w:t>失，</w:t>
      </w:r>
      <w:r>
        <w:rPr>
          <w:rFonts w:ascii="仿宋" w:eastAsia="仿宋" w:hint="eastAsia"/>
          <w:spacing w:val="-3"/>
          <w:sz w:val="21"/>
        </w:rPr>
        <w:t>请</w:t>
      </w:r>
      <w:r>
        <w:rPr>
          <w:rFonts w:ascii="仿宋" w:eastAsia="仿宋" w:hint="eastAsia"/>
          <w:sz w:val="21"/>
        </w:rPr>
        <w:t>您</w:t>
      </w:r>
      <w:r>
        <w:rPr>
          <w:rFonts w:ascii="仿宋" w:eastAsia="仿宋" w:hint="eastAsia"/>
          <w:spacing w:val="-3"/>
          <w:sz w:val="21"/>
        </w:rPr>
        <w:t>慎</w:t>
      </w:r>
      <w:r>
        <w:rPr>
          <w:rFonts w:ascii="仿宋" w:eastAsia="仿宋" w:hint="eastAsia"/>
          <w:sz w:val="21"/>
        </w:rPr>
        <w:t>重</w:t>
      </w:r>
      <w:r>
        <w:rPr>
          <w:rFonts w:ascii="仿宋" w:eastAsia="仿宋" w:hint="eastAsia"/>
          <w:spacing w:val="-3"/>
          <w:sz w:val="21"/>
        </w:rPr>
        <w:t>决策</w:t>
        <w:tab/>
      </w:r>
      <w:r>
        <w:rPr>
          <w:sz w:val="21"/>
        </w:rPr>
        <w:t>7</w:t>
      </w:r>
    </w:p>
    <w:p>
      <w:pPr>
        <w:pStyle w:val="ListParagraph"/>
        <w:numPr>
          <w:ilvl w:val="0"/>
          <w:numId w:val="1"/>
        </w:numPr>
        <w:tabs>
          <w:tab w:pos="1645" w:val="left" w:leader="none"/>
          <w:tab w:pos="1646" w:val="left" w:leader="none"/>
          <w:tab w:pos="9733" w:val="right" w:leader="dot"/>
        </w:tabs>
        <w:spacing w:line="281" w:lineRule="exact" w:before="0" w:after="0"/>
        <w:ind w:left="1645" w:right="0" w:hanging="422"/>
        <w:jc w:val="left"/>
        <w:rPr>
          <w:sz w:val="21"/>
        </w:rPr>
      </w:pPr>
      <w:r>
        <w:rPr>
          <w:rFonts w:ascii="仿宋" w:eastAsia="仿宋" w:hint="eastAsia"/>
          <w:sz w:val="21"/>
        </w:rPr>
        <w:t>您有</w:t>
      </w:r>
      <w:r>
        <w:rPr>
          <w:rFonts w:ascii="仿宋" w:eastAsia="仿宋" w:hint="eastAsia"/>
          <w:spacing w:val="-3"/>
          <w:sz w:val="21"/>
        </w:rPr>
        <w:t>如</w:t>
      </w:r>
      <w:r>
        <w:rPr>
          <w:rFonts w:ascii="仿宋" w:eastAsia="仿宋" w:hint="eastAsia"/>
          <w:sz w:val="21"/>
        </w:rPr>
        <w:t>实</w:t>
      </w:r>
      <w:r>
        <w:rPr>
          <w:rFonts w:ascii="仿宋" w:eastAsia="仿宋" w:hint="eastAsia"/>
          <w:spacing w:val="-3"/>
          <w:sz w:val="21"/>
        </w:rPr>
        <w:t>告</w:t>
      </w:r>
      <w:r>
        <w:rPr>
          <w:rFonts w:ascii="仿宋" w:eastAsia="仿宋" w:hint="eastAsia"/>
          <w:sz w:val="21"/>
        </w:rPr>
        <w:t>知</w:t>
      </w:r>
      <w:r>
        <w:rPr>
          <w:rFonts w:ascii="仿宋" w:eastAsia="仿宋" w:hint="eastAsia"/>
          <w:spacing w:val="-3"/>
          <w:sz w:val="21"/>
        </w:rPr>
        <w:t>的</w:t>
      </w:r>
      <w:r>
        <w:rPr>
          <w:rFonts w:ascii="仿宋" w:eastAsia="仿宋" w:hint="eastAsia"/>
          <w:sz w:val="21"/>
        </w:rPr>
        <w:t>义务</w:t>
        <w:tab/>
      </w:r>
      <w:r>
        <w:rPr>
          <w:sz w:val="21"/>
        </w:rPr>
        <w:t>8.1</w:t>
      </w:r>
    </w:p>
    <w:p>
      <w:pPr>
        <w:pStyle w:val="ListParagraph"/>
        <w:numPr>
          <w:ilvl w:val="0"/>
          <w:numId w:val="1"/>
        </w:numPr>
        <w:tabs>
          <w:tab w:pos="1645" w:val="left" w:leader="none"/>
          <w:tab w:pos="1646" w:val="left" w:leader="none"/>
          <w:tab w:pos="9632" w:val="right" w:leader="dot"/>
        </w:tabs>
        <w:spacing w:line="280" w:lineRule="exact" w:before="0" w:after="0"/>
        <w:ind w:left="1645" w:right="0" w:hanging="422"/>
        <w:jc w:val="left"/>
        <w:rPr>
          <w:sz w:val="21"/>
        </w:rPr>
      </w:pPr>
      <w:r>
        <w:rPr>
          <w:rFonts w:ascii="仿宋" w:eastAsia="仿宋" w:hint="eastAsia"/>
          <w:sz w:val="21"/>
        </w:rPr>
        <w:t>我们</w:t>
      </w:r>
      <w:r>
        <w:rPr>
          <w:rFonts w:ascii="仿宋" w:eastAsia="仿宋" w:hint="eastAsia"/>
          <w:spacing w:val="-3"/>
          <w:sz w:val="21"/>
        </w:rPr>
        <w:t>对</w:t>
      </w:r>
      <w:r>
        <w:rPr>
          <w:rFonts w:ascii="仿宋" w:eastAsia="仿宋" w:hint="eastAsia"/>
          <w:sz w:val="21"/>
        </w:rPr>
        <w:t>一</w:t>
      </w:r>
      <w:r>
        <w:rPr>
          <w:rFonts w:ascii="仿宋" w:eastAsia="仿宋" w:hint="eastAsia"/>
          <w:spacing w:val="-3"/>
          <w:sz w:val="21"/>
        </w:rPr>
        <w:t>些</w:t>
      </w:r>
      <w:r>
        <w:rPr>
          <w:rFonts w:ascii="仿宋" w:eastAsia="仿宋" w:hint="eastAsia"/>
          <w:sz w:val="21"/>
        </w:rPr>
        <w:t>重</w:t>
      </w:r>
      <w:r>
        <w:rPr>
          <w:rFonts w:ascii="仿宋" w:eastAsia="仿宋" w:hint="eastAsia"/>
          <w:spacing w:val="-3"/>
          <w:sz w:val="21"/>
        </w:rPr>
        <w:t>要</w:t>
      </w:r>
      <w:r>
        <w:rPr>
          <w:rFonts w:ascii="仿宋" w:eastAsia="仿宋" w:hint="eastAsia"/>
          <w:sz w:val="21"/>
        </w:rPr>
        <w:t>术</w:t>
      </w:r>
      <w:r>
        <w:rPr>
          <w:rFonts w:ascii="仿宋" w:eastAsia="仿宋" w:hint="eastAsia"/>
          <w:spacing w:val="-3"/>
          <w:sz w:val="21"/>
        </w:rPr>
        <w:t>语</w:t>
      </w:r>
      <w:r>
        <w:rPr>
          <w:rFonts w:ascii="仿宋" w:eastAsia="仿宋" w:hint="eastAsia"/>
          <w:sz w:val="21"/>
        </w:rPr>
        <w:t>进</w:t>
      </w:r>
      <w:r>
        <w:rPr>
          <w:rFonts w:ascii="仿宋" w:eastAsia="仿宋" w:hint="eastAsia"/>
          <w:spacing w:val="-3"/>
          <w:sz w:val="21"/>
        </w:rPr>
        <w:t>行</w:t>
      </w:r>
      <w:r>
        <w:rPr>
          <w:rFonts w:ascii="仿宋" w:eastAsia="仿宋" w:hint="eastAsia"/>
          <w:sz w:val="21"/>
        </w:rPr>
        <w:t>了解</w:t>
      </w:r>
      <w:r>
        <w:rPr>
          <w:rFonts w:ascii="仿宋" w:eastAsia="仿宋" w:hint="eastAsia"/>
          <w:spacing w:val="-3"/>
          <w:sz w:val="21"/>
        </w:rPr>
        <w:t>释</w:t>
      </w:r>
      <w:r>
        <w:rPr>
          <w:rFonts w:ascii="仿宋" w:eastAsia="仿宋" w:hint="eastAsia"/>
          <w:sz w:val="21"/>
        </w:rPr>
        <w:t>，</w:t>
      </w:r>
      <w:r>
        <w:rPr>
          <w:rFonts w:ascii="仿宋" w:eastAsia="仿宋" w:hint="eastAsia"/>
          <w:spacing w:val="-3"/>
          <w:sz w:val="21"/>
        </w:rPr>
        <w:t>并</w:t>
      </w:r>
      <w:r>
        <w:rPr>
          <w:rFonts w:ascii="仿宋" w:eastAsia="仿宋" w:hint="eastAsia"/>
          <w:sz w:val="21"/>
        </w:rPr>
        <w:t>作</w:t>
      </w:r>
      <w:r>
        <w:rPr>
          <w:rFonts w:ascii="仿宋" w:eastAsia="仿宋" w:hint="eastAsia"/>
          <w:spacing w:val="-3"/>
          <w:sz w:val="21"/>
        </w:rPr>
        <w:t>了</w:t>
      </w:r>
      <w:r>
        <w:rPr>
          <w:rFonts w:ascii="仿宋" w:eastAsia="仿宋" w:hint="eastAsia"/>
          <w:sz w:val="21"/>
        </w:rPr>
        <w:t>显</w:t>
      </w:r>
      <w:r>
        <w:rPr>
          <w:rFonts w:ascii="仿宋" w:eastAsia="仿宋" w:hint="eastAsia"/>
          <w:spacing w:val="-3"/>
          <w:sz w:val="21"/>
        </w:rPr>
        <w:t>著</w:t>
      </w:r>
      <w:r>
        <w:rPr>
          <w:rFonts w:ascii="仿宋" w:eastAsia="仿宋" w:hint="eastAsia"/>
          <w:sz w:val="21"/>
        </w:rPr>
        <w:t>标</w:t>
      </w:r>
      <w:r>
        <w:rPr>
          <w:rFonts w:ascii="仿宋" w:eastAsia="仿宋" w:hint="eastAsia"/>
          <w:spacing w:val="-3"/>
          <w:sz w:val="21"/>
        </w:rPr>
        <w:t>识</w:t>
      </w:r>
      <w:r>
        <w:rPr>
          <w:rFonts w:ascii="仿宋" w:eastAsia="仿宋" w:hint="eastAsia"/>
          <w:sz w:val="21"/>
        </w:rPr>
        <w:t>，请</w:t>
      </w:r>
      <w:r>
        <w:rPr>
          <w:rFonts w:ascii="仿宋" w:eastAsia="仿宋" w:hint="eastAsia"/>
          <w:spacing w:val="-3"/>
          <w:sz w:val="21"/>
        </w:rPr>
        <w:t>您</w:t>
      </w:r>
      <w:r>
        <w:rPr>
          <w:rFonts w:ascii="仿宋" w:eastAsia="仿宋" w:hint="eastAsia"/>
          <w:sz w:val="21"/>
        </w:rPr>
        <w:t>注意</w:t>
        <w:tab/>
      </w:r>
      <w:r>
        <w:rPr>
          <w:sz w:val="21"/>
        </w:rPr>
        <w:t>10</w:t>
      </w:r>
    </w:p>
    <w:p>
      <w:pPr>
        <w:pStyle w:val="ListParagraph"/>
        <w:numPr>
          <w:ilvl w:val="0"/>
          <w:numId w:val="1"/>
        </w:numPr>
        <w:tabs>
          <w:tab w:pos="1645" w:val="left" w:leader="none"/>
          <w:tab w:pos="1646" w:val="left" w:leader="none"/>
          <w:tab w:pos="9841" w:val="right" w:leader="dot"/>
        </w:tabs>
        <w:spacing w:line="280" w:lineRule="exact" w:before="0" w:after="0"/>
        <w:ind w:left="1645" w:right="0" w:hanging="422"/>
        <w:jc w:val="left"/>
        <w:rPr>
          <w:sz w:val="21"/>
        </w:rPr>
      </w:pPr>
      <w:r>
        <w:rPr>
          <w:rFonts w:ascii="仿宋" w:eastAsia="仿宋" w:hint="eastAsia"/>
          <w:sz w:val="21"/>
        </w:rPr>
        <w:t>保险</w:t>
      </w:r>
      <w:r>
        <w:rPr>
          <w:rFonts w:ascii="仿宋" w:eastAsia="仿宋" w:hint="eastAsia"/>
          <w:spacing w:val="-3"/>
          <w:sz w:val="21"/>
        </w:rPr>
        <w:t>条</w:t>
      </w:r>
      <w:r>
        <w:rPr>
          <w:rFonts w:ascii="仿宋" w:eastAsia="仿宋" w:hint="eastAsia"/>
          <w:sz w:val="21"/>
        </w:rPr>
        <w:t>款</w:t>
      </w:r>
      <w:r>
        <w:rPr>
          <w:rFonts w:ascii="仿宋" w:eastAsia="仿宋" w:hint="eastAsia"/>
          <w:spacing w:val="-3"/>
          <w:sz w:val="21"/>
        </w:rPr>
        <w:t>有</w:t>
      </w:r>
      <w:r>
        <w:rPr>
          <w:rFonts w:ascii="仿宋" w:eastAsia="仿宋" w:hint="eastAsia"/>
          <w:sz w:val="21"/>
        </w:rPr>
        <w:t>关</w:t>
      </w:r>
      <w:r>
        <w:rPr>
          <w:rFonts w:ascii="仿宋" w:eastAsia="仿宋" w:hint="eastAsia"/>
          <w:spacing w:val="-3"/>
          <w:sz w:val="21"/>
        </w:rPr>
        <w:t>重</w:t>
      </w:r>
      <w:r>
        <w:rPr>
          <w:rFonts w:ascii="仿宋" w:eastAsia="仿宋" w:hint="eastAsia"/>
          <w:sz w:val="21"/>
        </w:rPr>
        <w:t>大</w:t>
      </w:r>
      <w:r>
        <w:rPr>
          <w:rFonts w:ascii="仿宋" w:eastAsia="仿宋" w:hint="eastAsia"/>
          <w:spacing w:val="-3"/>
          <w:sz w:val="21"/>
        </w:rPr>
        <w:t>疾</w:t>
      </w:r>
      <w:r>
        <w:rPr>
          <w:rFonts w:ascii="仿宋" w:eastAsia="仿宋" w:hint="eastAsia"/>
          <w:sz w:val="21"/>
        </w:rPr>
        <w:t>病</w:t>
      </w:r>
      <w:r>
        <w:rPr>
          <w:rFonts w:ascii="仿宋" w:eastAsia="仿宋" w:hint="eastAsia"/>
          <w:spacing w:val="-3"/>
          <w:sz w:val="21"/>
        </w:rPr>
        <w:t>的</w:t>
      </w:r>
      <w:r>
        <w:rPr>
          <w:rFonts w:ascii="仿宋" w:eastAsia="仿宋" w:hint="eastAsia"/>
          <w:sz w:val="21"/>
        </w:rPr>
        <w:t>释义</w:t>
      </w:r>
      <w:r>
        <w:rPr>
          <w:rFonts w:ascii="仿宋" w:eastAsia="仿宋" w:hint="eastAsia"/>
          <w:spacing w:val="-3"/>
          <w:sz w:val="21"/>
        </w:rPr>
        <w:t>，</w:t>
      </w:r>
      <w:r>
        <w:rPr>
          <w:rFonts w:ascii="仿宋" w:eastAsia="仿宋" w:hint="eastAsia"/>
          <w:sz w:val="21"/>
        </w:rPr>
        <w:t>请</w:t>
      </w:r>
      <w:r>
        <w:rPr>
          <w:rFonts w:ascii="仿宋" w:eastAsia="仿宋" w:hint="eastAsia"/>
          <w:spacing w:val="-3"/>
          <w:sz w:val="21"/>
        </w:rPr>
        <w:t>您</w:t>
      </w:r>
      <w:r>
        <w:rPr>
          <w:rFonts w:ascii="仿宋" w:eastAsia="仿宋" w:hint="eastAsia"/>
          <w:sz w:val="21"/>
        </w:rPr>
        <w:t>留意</w:t>
        <w:tab/>
      </w:r>
      <w:r>
        <w:rPr>
          <w:sz w:val="21"/>
        </w:rPr>
        <w:t>10.6</w:t>
      </w:r>
    </w:p>
    <w:p>
      <w:pPr>
        <w:pStyle w:val="ListParagraph"/>
        <w:numPr>
          <w:ilvl w:val="0"/>
          <w:numId w:val="1"/>
        </w:numPr>
        <w:tabs>
          <w:tab w:pos="1645" w:val="left" w:leader="none"/>
          <w:tab w:pos="1646" w:val="left" w:leader="none"/>
          <w:tab w:pos="9841" w:val="right" w:leader="dot"/>
        </w:tabs>
        <w:spacing w:line="269" w:lineRule="exact" w:before="0" w:after="0"/>
        <w:ind w:left="1645" w:right="0" w:hanging="422"/>
        <w:jc w:val="left"/>
        <w:rPr>
          <w:sz w:val="21"/>
        </w:rPr>
      </w:pPr>
      <w:r>
        <w:rPr>
          <w:rFonts w:ascii="仿宋" w:eastAsia="仿宋" w:hint="eastAsia"/>
          <w:sz w:val="21"/>
        </w:rPr>
        <w:t>保险</w:t>
      </w:r>
      <w:r>
        <w:rPr>
          <w:rFonts w:ascii="仿宋" w:eastAsia="仿宋" w:hint="eastAsia"/>
          <w:spacing w:val="-3"/>
          <w:sz w:val="21"/>
        </w:rPr>
        <w:t>条</w:t>
      </w:r>
      <w:r>
        <w:rPr>
          <w:rFonts w:ascii="仿宋" w:eastAsia="仿宋" w:hint="eastAsia"/>
          <w:sz w:val="21"/>
        </w:rPr>
        <w:t>款</w:t>
      </w:r>
      <w:r>
        <w:rPr>
          <w:rFonts w:ascii="仿宋" w:eastAsia="仿宋" w:hint="eastAsia"/>
          <w:spacing w:val="-3"/>
          <w:sz w:val="21"/>
        </w:rPr>
        <w:t>有</w:t>
      </w:r>
      <w:r>
        <w:rPr>
          <w:rFonts w:ascii="仿宋" w:eastAsia="仿宋" w:hint="eastAsia"/>
          <w:sz w:val="21"/>
        </w:rPr>
        <w:t>关</w:t>
      </w:r>
      <w:r>
        <w:rPr>
          <w:rFonts w:ascii="仿宋" w:eastAsia="仿宋" w:hint="eastAsia"/>
          <w:spacing w:val="-3"/>
          <w:sz w:val="21"/>
        </w:rPr>
        <w:t>轻</w:t>
      </w:r>
      <w:r>
        <w:rPr>
          <w:rFonts w:ascii="仿宋" w:eastAsia="仿宋" w:hint="eastAsia"/>
          <w:sz w:val="21"/>
        </w:rPr>
        <w:t>症</w:t>
      </w:r>
      <w:r>
        <w:rPr>
          <w:rFonts w:ascii="仿宋" w:eastAsia="仿宋" w:hint="eastAsia"/>
          <w:spacing w:val="-3"/>
          <w:sz w:val="21"/>
        </w:rPr>
        <w:t>疾</w:t>
      </w:r>
      <w:r>
        <w:rPr>
          <w:rFonts w:ascii="仿宋" w:eastAsia="仿宋" w:hint="eastAsia"/>
          <w:sz w:val="21"/>
        </w:rPr>
        <w:t>病</w:t>
      </w:r>
      <w:r>
        <w:rPr>
          <w:rFonts w:ascii="仿宋" w:eastAsia="仿宋" w:hint="eastAsia"/>
          <w:spacing w:val="-3"/>
          <w:sz w:val="21"/>
        </w:rPr>
        <w:t>的</w:t>
      </w:r>
      <w:r>
        <w:rPr>
          <w:rFonts w:ascii="仿宋" w:eastAsia="仿宋" w:hint="eastAsia"/>
          <w:sz w:val="21"/>
        </w:rPr>
        <w:t>释义</w:t>
      </w:r>
      <w:r>
        <w:rPr>
          <w:rFonts w:ascii="仿宋" w:eastAsia="仿宋" w:hint="eastAsia"/>
          <w:spacing w:val="-3"/>
          <w:sz w:val="21"/>
        </w:rPr>
        <w:t>，</w:t>
      </w:r>
      <w:r>
        <w:rPr>
          <w:rFonts w:ascii="仿宋" w:eastAsia="仿宋" w:hint="eastAsia"/>
          <w:sz w:val="21"/>
        </w:rPr>
        <w:t>请</w:t>
      </w:r>
      <w:r>
        <w:rPr>
          <w:rFonts w:ascii="仿宋" w:eastAsia="仿宋" w:hint="eastAsia"/>
          <w:spacing w:val="-3"/>
          <w:sz w:val="21"/>
        </w:rPr>
        <w:t>您</w:t>
      </w:r>
      <w:r>
        <w:rPr>
          <w:rFonts w:ascii="仿宋" w:eastAsia="仿宋" w:hint="eastAsia"/>
          <w:sz w:val="21"/>
        </w:rPr>
        <w:t>留意</w:t>
        <w:tab/>
      </w:r>
      <w:r>
        <w:rPr>
          <w:sz w:val="21"/>
        </w:rPr>
        <w:t>10.7</w:t>
      </w:r>
    </w:p>
    <w:p>
      <w:pPr>
        <w:pStyle w:val="Heading2"/>
        <w:tabs>
          <w:tab w:pos="1263" w:val="left" w:leader="none"/>
        </w:tabs>
        <w:spacing w:line="482" w:lineRule="exact"/>
        <w:ind w:left="255"/>
        <w:rPr>
          <w:rFonts w:ascii="宋体" w:eastAsia="宋体" w:hint="eastAsia"/>
          <w:b w:val="0"/>
        </w:rPr>
      </w:pPr>
      <w:r>
        <w:rPr>
          <w:rFonts w:ascii="Times New Roman" w:eastAsia="Times New Roman"/>
          <w:position w:val="-11"/>
          <w:sz w:val="52"/>
        </w:rPr>
        <w:t>C</w:t>
        <w:tab/>
      </w:r>
      <w:r>
        <w:rPr>
          <w:spacing w:val="-3"/>
        </w:rPr>
        <w:t>条款是保险合同的重要内容，为充分保障您的权益，请您仔细阅读本条款。</w:t>
      </w:r>
      <w:r>
        <w:rPr>
          <w:rFonts w:ascii="宋体" w:eastAsia="宋体" w:hint="eastAsia"/>
          <w:b w:val="0"/>
        </w:rPr>
        <w:t> </w:t>
      </w:r>
    </w:p>
    <w:p>
      <w:pPr>
        <w:tabs>
          <w:tab w:pos="1263" w:val="left" w:leader="none"/>
        </w:tabs>
        <w:spacing w:line="498" w:lineRule="exact" w:before="0"/>
        <w:ind w:left="255" w:right="0" w:firstLine="0"/>
        <w:jc w:val="left"/>
        <w:rPr>
          <w:sz w:val="21"/>
        </w:rPr>
      </w:pPr>
      <w:r>
        <w:rPr/>
        <w:pict>
          <v:shape style="position:absolute;margin-left:57.599998pt;margin-top:17.604708pt;width:480.15pt;height:307.7pt;mso-position-horizontal-relative:page;mso-position-vertical-relative:paragraph;z-index:109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8"/>
                    <w:gridCol w:w="3596"/>
                    <w:gridCol w:w="776"/>
                    <w:gridCol w:w="2601"/>
                  </w:tblGrid>
                  <w:tr>
                    <w:trPr>
                      <w:trHeight w:val="460" w:hRule="atLeast"/>
                    </w:trPr>
                    <w:tc>
                      <w:tcPr>
                        <w:tcW w:w="2618" w:type="dxa"/>
                        <w:tcBorders>
                          <w:top w:val="single" w:sz="4" w:space="0" w:color="000000"/>
                          <w:left w:val="single" w:sz="4" w:space="0" w:color="000000"/>
                        </w:tcBorders>
                      </w:tcPr>
                      <w:p>
                        <w:pPr>
                          <w:pStyle w:val="TableParagraph"/>
                          <w:spacing w:before="67"/>
                          <w:ind w:left="105"/>
                          <w:rPr>
                            <w:rFonts w:ascii="Microsoft JhengHei" w:eastAsia="Microsoft JhengHei" w:hint="eastAsia"/>
                            <w:b/>
                            <w:sz w:val="21"/>
                          </w:rPr>
                        </w:pPr>
                        <w:r>
                          <w:rPr>
                            <w:rFonts w:ascii="等线" w:eastAsia="等线" w:hint="eastAsia"/>
                            <w:b/>
                            <w:sz w:val="21"/>
                          </w:rPr>
                          <w:t>1.</w:t>
                        </w:r>
                        <w:r>
                          <w:rPr>
                            <w:rFonts w:ascii="Microsoft JhengHei" w:eastAsia="Microsoft JhengHei" w:hint="eastAsia"/>
                            <w:b/>
                            <w:sz w:val="21"/>
                          </w:rPr>
                          <w:t>您与我们订立的合同</w:t>
                        </w:r>
                      </w:p>
                    </w:tc>
                    <w:tc>
                      <w:tcPr>
                        <w:tcW w:w="3596" w:type="dxa"/>
                        <w:tcBorders>
                          <w:top w:val="single" w:sz="4" w:space="0" w:color="000000"/>
                        </w:tcBorders>
                      </w:tcPr>
                      <w:p>
                        <w:pPr>
                          <w:pStyle w:val="TableParagraph"/>
                          <w:spacing w:before="133"/>
                          <w:ind w:left="617"/>
                          <w:rPr>
                            <w:rFonts w:ascii="仿宋" w:eastAsia="仿宋" w:hint="eastAsia"/>
                            <w:sz w:val="21"/>
                          </w:rPr>
                        </w:pPr>
                        <w:r>
                          <w:rPr>
                            <w:rFonts w:ascii="仿宋" w:eastAsia="仿宋" w:hint="eastAsia"/>
                            <w:sz w:val="21"/>
                          </w:rPr>
                          <w:t>5.1 现金价值</w:t>
                        </w:r>
                      </w:p>
                    </w:tc>
                    <w:tc>
                      <w:tcPr>
                        <w:tcW w:w="776" w:type="dxa"/>
                        <w:tcBorders>
                          <w:top w:val="single" w:sz="4" w:space="0" w:color="000000"/>
                        </w:tcBorders>
                      </w:tcPr>
                      <w:p>
                        <w:pPr>
                          <w:pStyle w:val="TableParagraph"/>
                          <w:spacing w:before="133"/>
                          <w:ind w:left="256"/>
                          <w:rPr>
                            <w:rFonts w:ascii="仿宋"/>
                            <w:sz w:val="21"/>
                          </w:rPr>
                        </w:pPr>
                        <w:r>
                          <w:rPr>
                            <w:rFonts w:ascii="仿宋"/>
                            <w:sz w:val="21"/>
                          </w:rPr>
                          <w:t>10.6</w:t>
                        </w:r>
                      </w:p>
                    </w:tc>
                    <w:tc>
                      <w:tcPr>
                        <w:tcW w:w="2601" w:type="dxa"/>
                        <w:tcBorders>
                          <w:top w:val="single" w:sz="4" w:space="0" w:color="000000"/>
                          <w:right w:val="single" w:sz="4" w:space="0" w:color="000000"/>
                        </w:tcBorders>
                      </w:tcPr>
                      <w:p>
                        <w:pPr>
                          <w:pStyle w:val="TableParagraph"/>
                          <w:spacing w:before="133"/>
                          <w:ind w:left="6"/>
                          <w:rPr>
                            <w:rFonts w:ascii="仿宋" w:eastAsia="仿宋" w:hint="eastAsia"/>
                            <w:sz w:val="21"/>
                          </w:rPr>
                        </w:pPr>
                        <w:r>
                          <w:rPr>
                            <w:rFonts w:ascii="仿宋" w:eastAsia="仿宋" w:hint="eastAsia"/>
                            <w:sz w:val="21"/>
                          </w:rPr>
                          <w:t>重大疾病</w:t>
                        </w:r>
                      </w:p>
                    </w:tc>
                  </w:tr>
                  <w:tr>
                    <w:trPr>
                      <w:trHeight w:val="280" w:hRule="atLeast"/>
                    </w:trPr>
                    <w:tc>
                      <w:tcPr>
                        <w:tcW w:w="2618" w:type="dxa"/>
                        <w:tcBorders>
                          <w:left w:val="single" w:sz="4" w:space="0" w:color="000000"/>
                        </w:tcBorders>
                      </w:tcPr>
                      <w:p>
                        <w:pPr>
                          <w:pStyle w:val="TableParagraph"/>
                          <w:spacing w:line="229" w:lineRule="exact"/>
                          <w:ind w:left="316"/>
                          <w:rPr>
                            <w:rFonts w:ascii="仿宋" w:eastAsia="仿宋" w:hint="eastAsia"/>
                            <w:sz w:val="21"/>
                          </w:rPr>
                        </w:pPr>
                        <w:r>
                          <w:rPr>
                            <w:rFonts w:ascii="仿宋" w:eastAsia="仿宋" w:hint="eastAsia"/>
                            <w:sz w:val="21"/>
                          </w:rPr>
                          <w:t>1.1 合同构成</w:t>
                        </w:r>
                      </w:p>
                    </w:tc>
                    <w:tc>
                      <w:tcPr>
                        <w:tcW w:w="3596" w:type="dxa"/>
                      </w:tcPr>
                      <w:p>
                        <w:pPr>
                          <w:pStyle w:val="TableParagraph"/>
                          <w:spacing w:line="253" w:lineRule="exact"/>
                          <w:ind w:left="406"/>
                          <w:rPr>
                            <w:rFonts w:ascii="Microsoft JhengHei" w:eastAsia="Microsoft JhengHei" w:hint="eastAsia"/>
                            <w:b/>
                            <w:sz w:val="21"/>
                          </w:rPr>
                        </w:pPr>
                        <w:r>
                          <w:rPr>
                            <w:rFonts w:ascii="等线" w:eastAsia="等线" w:hint="eastAsia"/>
                            <w:b/>
                            <w:sz w:val="21"/>
                          </w:rPr>
                          <w:t>6.</w:t>
                        </w:r>
                        <w:r>
                          <w:rPr>
                            <w:rFonts w:ascii="Microsoft JhengHei" w:eastAsia="Microsoft JhengHei" w:hint="eastAsia"/>
                            <w:b/>
                            <w:sz w:val="21"/>
                          </w:rPr>
                          <w:t>合同效力的中止及恢复</w:t>
                        </w:r>
                      </w:p>
                    </w:tc>
                    <w:tc>
                      <w:tcPr>
                        <w:tcW w:w="776" w:type="dxa"/>
                      </w:tcPr>
                      <w:p>
                        <w:pPr>
                          <w:pStyle w:val="TableParagraph"/>
                          <w:spacing w:line="229" w:lineRule="exact"/>
                          <w:ind w:left="258"/>
                          <w:rPr>
                            <w:rFonts w:ascii="仿宋"/>
                            <w:sz w:val="21"/>
                          </w:rPr>
                        </w:pPr>
                        <w:r>
                          <w:rPr>
                            <w:rFonts w:ascii="仿宋"/>
                            <w:sz w:val="21"/>
                          </w:rPr>
                          <w:t>10.7</w:t>
                        </w:r>
                      </w:p>
                    </w:tc>
                    <w:tc>
                      <w:tcPr>
                        <w:tcW w:w="2601" w:type="dxa"/>
                        <w:tcBorders>
                          <w:right w:val="single" w:sz="4" w:space="0" w:color="000000"/>
                        </w:tcBorders>
                      </w:tcPr>
                      <w:p>
                        <w:pPr>
                          <w:pStyle w:val="TableParagraph"/>
                          <w:spacing w:line="229" w:lineRule="exact"/>
                          <w:ind w:left="8"/>
                          <w:rPr>
                            <w:rFonts w:ascii="仿宋" w:eastAsia="仿宋" w:hint="eastAsia"/>
                            <w:sz w:val="21"/>
                          </w:rPr>
                        </w:pPr>
                        <w:r>
                          <w:rPr>
                            <w:rFonts w:ascii="仿宋" w:eastAsia="仿宋" w:hint="eastAsia"/>
                            <w:sz w:val="21"/>
                          </w:rPr>
                          <w:t>轻症疾病</w:t>
                        </w:r>
                      </w:p>
                    </w:tc>
                  </w:tr>
                  <w:tr>
                    <w:trPr>
                      <w:trHeight w:val="262" w:hRule="atLeast"/>
                    </w:trPr>
                    <w:tc>
                      <w:tcPr>
                        <w:tcW w:w="2618" w:type="dxa"/>
                        <w:tcBorders>
                          <w:left w:val="single" w:sz="4" w:space="0" w:color="000000"/>
                        </w:tcBorders>
                      </w:tcPr>
                      <w:p>
                        <w:pPr>
                          <w:pStyle w:val="TableParagraph"/>
                          <w:spacing w:line="229" w:lineRule="exact"/>
                          <w:ind w:left="316"/>
                          <w:rPr>
                            <w:rFonts w:ascii="仿宋" w:eastAsia="仿宋" w:hint="eastAsia"/>
                            <w:sz w:val="21"/>
                          </w:rPr>
                        </w:pPr>
                        <w:r>
                          <w:rPr>
                            <w:rFonts w:ascii="仿宋" w:eastAsia="仿宋" w:hint="eastAsia"/>
                            <w:sz w:val="21"/>
                          </w:rPr>
                          <w:t>1.2 合同成立与生效</w:t>
                        </w:r>
                      </w:p>
                    </w:tc>
                    <w:tc>
                      <w:tcPr>
                        <w:tcW w:w="3596" w:type="dxa"/>
                      </w:tcPr>
                      <w:p>
                        <w:pPr>
                          <w:pStyle w:val="TableParagraph"/>
                          <w:spacing w:line="229" w:lineRule="exact"/>
                          <w:ind w:left="617"/>
                          <w:rPr>
                            <w:rFonts w:ascii="仿宋" w:eastAsia="仿宋" w:hint="eastAsia"/>
                            <w:sz w:val="21"/>
                          </w:rPr>
                        </w:pPr>
                        <w:r>
                          <w:rPr>
                            <w:rFonts w:ascii="仿宋" w:eastAsia="仿宋" w:hint="eastAsia"/>
                            <w:sz w:val="21"/>
                          </w:rPr>
                          <w:t>6.1 效力中止</w:t>
                        </w:r>
                      </w:p>
                    </w:tc>
                    <w:tc>
                      <w:tcPr>
                        <w:tcW w:w="776" w:type="dxa"/>
                      </w:tcPr>
                      <w:p>
                        <w:pPr>
                          <w:pStyle w:val="TableParagraph"/>
                          <w:spacing w:line="229" w:lineRule="exact"/>
                          <w:ind w:left="258"/>
                          <w:rPr>
                            <w:rFonts w:ascii="仿宋"/>
                            <w:sz w:val="21"/>
                          </w:rPr>
                        </w:pPr>
                        <w:r>
                          <w:rPr>
                            <w:rFonts w:ascii="仿宋"/>
                            <w:sz w:val="21"/>
                          </w:rPr>
                          <w:t>10.8</w:t>
                        </w:r>
                      </w:p>
                    </w:tc>
                    <w:tc>
                      <w:tcPr>
                        <w:tcW w:w="2601" w:type="dxa"/>
                        <w:tcBorders>
                          <w:right w:val="single" w:sz="4" w:space="0" w:color="000000"/>
                        </w:tcBorders>
                      </w:tcPr>
                      <w:p>
                        <w:pPr>
                          <w:pStyle w:val="TableParagraph"/>
                          <w:spacing w:line="229" w:lineRule="exact"/>
                          <w:ind w:left="114"/>
                          <w:rPr>
                            <w:rFonts w:ascii="仿宋" w:eastAsia="仿宋" w:hint="eastAsia"/>
                            <w:sz w:val="21"/>
                          </w:rPr>
                        </w:pPr>
                        <w:r>
                          <w:rPr>
                            <w:rFonts w:ascii="仿宋" w:eastAsia="仿宋" w:hint="eastAsia"/>
                            <w:sz w:val="21"/>
                          </w:rPr>
                          <w:t>意外伤害</w:t>
                        </w:r>
                      </w:p>
                    </w:tc>
                  </w:tr>
                  <w:tr>
                    <w:trPr>
                      <w:trHeight w:val="279" w:hRule="atLeast"/>
                    </w:trPr>
                    <w:tc>
                      <w:tcPr>
                        <w:tcW w:w="2618" w:type="dxa"/>
                        <w:tcBorders>
                          <w:left w:val="single" w:sz="4" w:space="0" w:color="000000"/>
                        </w:tcBorders>
                      </w:tcPr>
                      <w:p>
                        <w:pPr>
                          <w:pStyle w:val="TableParagraph"/>
                          <w:spacing w:line="245" w:lineRule="exact"/>
                          <w:ind w:left="316"/>
                          <w:rPr>
                            <w:rFonts w:ascii="仿宋" w:eastAsia="仿宋" w:hint="eastAsia"/>
                            <w:sz w:val="21"/>
                          </w:rPr>
                        </w:pPr>
                        <w:r>
                          <w:rPr>
                            <w:rFonts w:ascii="仿宋" w:eastAsia="仿宋" w:hint="eastAsia"/>
                            <w:sz w:val="21"/>
                          </w:rPr>
                          <w:t>1.3 投保年龄</w:t>
                        </w:r>
                      </w:p>
                    </w:tc>
                    <w:tc>
                      <w:tcPr>
                        <w:tcW w:w="3596" w:type="dxa"/>
                      </w:tcPr>
                      <w:p>
                        <w:pPr>
                          <w:pStyle w:val="TableParagraph"/>
                          <w:spacing w:line="245" w:lineRule="exact"/>
                          <w:ind w:left="617"/>
                          <w:rPr>
                            <w:rFonts w:ascii="仿宋" w:eastAsia="仿宋" w:hint="eastAsia"/>
                            <w:sz w:val="21"/>
                          </w:rPr>
                        </w:pPr>
                        <w:r>
                          <w:rPr>
                            <w:rFonts w:ascii="仿宋" w:eastAsia="仿宋" w:hint="eastAsia"/>
                            <w:sz w:val="21"/>
                          </w:rPr>
                          <w:t>6.2 效力恢复</w:t>
                        </w:r>
                      </w:p>
                    </w:tc>
                    <w:tc>
                      <w:tcPr>
                        <w:tcW w:w="776" w:type="dxa"/>
                      </w:tcPr>
                      <w:p>
                        <w:pPr>
                          <w:pStyle w:val="TableParagraph"/>
                          <w:spacing w:line="245" w:lineRule="exact"/>
                          <w:ind w:left="258"/>
                          <w:rPr>
                            <w:rFonts w:ascii="仿宋"/>
                            <w:sz w:val="21"/>
                          </w:rPr>
                        </w:pPr>
                        <w:r>
                          <w:rPr>
                            <w:rFonts w:ascii="仿宋"/>
                            <w:sz w:val="21"/>
                          </w:rPr>
                          <w:t>10.9</w:t>
                        </w:r>
                      </w:p>
                    </w:tc>
                    <w:tc>
                      <w:tcPr>
                        <w:tcW w:w="2601" w:type="dxa"/>
                        <w:tcBorders>
                          <w:right w:val="single" w:sz="4" w:space="0" w:color="000000"/>
                        </w:tcBorders>
                      </w:tcPr>
                      <w:p>
                        <w:pPr>
                          <w:pStyle w:val="TableParagraph"/>
                          <w:spacing w:line="245" w:lineRule="exact"/>
                          <w:ind w:left="114"/>
                          <w:rPr>
                            <w:rFonts w:ascii="仿宋" w:eastAsia="仿宋" w:hint="eastAsia"/>
                            <w:sz w:val="21"/>
                          </w:rPr>
                        </w:pPr>
                        <w:r>
                          <w:rPr>
                            <w:rFonts w:ascii="仿宋" w:eastAsia="仿宋" w:hint="eastAsia"/>
                            <w:sz w:val="21"/>
                          </w:rPr>
                          <w:t>全残</w:t>
                        </w:r>
                      </w:p>
                    </w:tc>
                  </w:tr>
                  <w:tr>
                    <w:trPr>
                      <w:trHeight w:val="297" w:hRule="atLeast"/>
                    </w:trPr>
                    <w:tc>
                      <w:tcPr>
                        <w:tcW w:w="2618" w:type="dxa"/>
                        <w:tcBorders>
                          <w:left w:val="single" w:sz="4" w:space="0" w:color="000000"/>
                        </w:tcBorders>
                      </w:tcPr>
                      <w:p>
                        <w:pPr>
                          <w:pStyle w:val="TableParagraph"/>
                          <w:spacing w:line="246" w:lineRule="exact"/>
                          <w:ind w:left="316"/>
                          <w:rPr>
                            <w:rFonts w:ascii="仿宋" w:eastAsia="仿宋" w:hint="eastAsia"/>
                            <w:sz w:val="21"/>
                          </w:rPr>
                        </w:pPr>
                        <w:r>
                          <w:rPr>
                            <w:rFonts w:ascii="仿宋" w:eastAsia="仿宋" w:hint="eastAsia"/>
                            <w:sz w:val="21"/>
                          </w:rPr>
                          <w:t>1.4 犹豫期</w:t>
                        </w:r>
                      </w:p>
                    </w:tc>
                    <w:tc>
                      <w:tcPr>
                        <w:tcW w:w="3596" w:type="dxa"/>
                      </w:tcPr>
                      <w:p>
                        <w:pPr>
                          <w:pStyle w:val="TableParagraph"/>
                          <w:spacing w:line="270" w:lineRule="exact"/>
                          <w:ind w:left="406"/>
                          <w:rPr>
                            <w:rFonts w:ascii="Microsoft JhengHei" w:eastAsia="Microsoft JhengHei" w:hint="eastAsia"/>
                            <w:b/>
                            <w:sz w:val="21"/>
                          </w:rPr>
                        </w:pPr>
                        <w:r>
                          <w:rPr>
                            <w:rFonts w:ascii="等线" w:eastAsia="等线" w:hint="eastAsia"/>
                            <w:b/>
                            <w:sz w:val="21"/>
                          </w:rPr>
                          <w:t>7.</w:t>
                        </w:r>
                        <w:r>
                          <w:rPr>
                            <w:rFonts w:ascii="Microsoft JhengHei" w:eastAsia="Microsoft JhengHei" w:hint="eastAsia"/>
                            <w:b/>
                            <w:sz w:val="21"/>
                          </w:rPr>
                          <w:t>合同解除</w:t>
                        </w:r>
                      </w:p>
                    </w:tc>
                    <w:tc>
                      <w:tcPr>
                        <w:tcW w:w="776" w:type="dxa"/>
                      </w:tcPr>
                      <w:p>
                        <w:pPr>
                          <w:pStyle w:val="TableParagraph"/>
                          <w:spacing w:line="246" w:lineRule="exact"/>
                          <w:ind w:left="258" w:right="-15"/>
                          <w:rPr>
                            <w:rFonts w:ascii="仿宋"/>
                            <w:sz w:val="21"/>
                          </w:rPr>
                        </w:pPr>
                        <w:r>
                          <w:rPr>
                            <w:rFonts w:ascii="仿宋"/>
                            <w:sz w:val="21"/>
                          </w:rPr>
                          <w:t>10.10</w:t>
                        </w:r>
                      </w:p>
                    </w:tc>
                    <w:tc>
                      <w:tcPr>
                        <w:tcW w:w="2601" w:type="dxa"/>
                        <w:tcBorders>
                          <w:right w:val="single" w:sz="4" w:space="0" w:color="000000"/>
                        </w:tcBorders>
                      </w:tcPr>
                      <w:p>
                        <w:pPr>
                          <w:pStyle w:val="TableParagraph"/>
                          <w:spacing w:line="246" w:lineRule="exact"/>
                          <w:ind w:left="114"/>
                          <w:rPr>
                            <w:rFonts w:ascii="仿宋" w:eastAsia="仿宋" w:hint="eastAsia"/>
                            <w:sz w:val="21"/>
                          </w:rPr>
                        </w:pPr>
                        <w:r>
                          <w:rPr>
                            <w:rFonts w:ascii="仿宋" w:eastAsia="仿宋" w:hint="eastAsia"/>
                            <w:sz w:val="21"/>
                          </w:rPr>
                          <w:t>毒品</w:t>
                        </w:r>
                      </w:p>
                    </w:tc>
                  </w:tr>
                  <w:tr>
                    <w:trPr>
                      <w:trHeight w:val="279" w:hRule="atLeast"/>
                    </w:trPr>
                    <w:tc>
                      <w:tcPr>
                        <w:tcW w:w="2618" w:type="dxa"/>
                        <w:tcBorders>
                          <w:left w:val="single" w:sz="4" w:space="0" w:color="000000"/>
                        </w:tcBorders>
                      </w:tcPr>
                      <w:p>
                        <w:pPr>
                          <w:pStyle w:val="TableParagraph"/>
                          <w:spacing w:line="253" w:lineRule="exact"/>
                          <w:ind w:left="105"/>
                          <w:rPr>
                            <w:rFonts w:ascii="Microsoft JhengHei" w:eastAsia="Microsoft JhengHei" w:hint="eastAsia"/>
                            <w:b/>
                            <w:sz w:val="21"/>
                          </w:rPr>
                        </w:pPr>
                        <w:r>
                          <w:rPr>
                            <w:rFonts w:ascii="等线" w:eastAsia="等线" w:hint="eastAsia"/>
                            <w:b/>
                            <w:sz w:val="21"/>
                          </w:rPr>
                          <w:t>2.</w:t>
                        </w:r>
                        <w:r>
                          <w:rPr>
                            <w:rFonts w:ascii="Microsoft JhengHei" w:eastAsia="Microsoft JhengHei" w:hint="eastAsia"/>
                            <w:b/>
                            <w:sz w:val="21"/>
                          </w:rPr>
                          <w:t>我们提供的保障</w:t>
                        </w:r>
                      </w:p>
                    </w:tc>
                    <w:tc>
                      <w:tcPr>
                        <w:tcW w:w="3596" w:type="dxa"/>
                      </w:tcPr>
                      <w:p>
                        <w:pPr>
                          <w:pStyle w:val="TableParagraph"/>
                          <w:spacing w:line="229" w:lineRule="exact"/>
                          <w:ind w:right="243"/>
                          <w:jc w:val="right"/>
                          <w:rPr>
                            <w:rFonts w:ascii="仿宋" w:eastAsia="仿宋" w:hint="eastAsia"/>
                            <w:sz w:val="21"/>
                          </w:rPr>
                        </w:pPr>
                        <w:r>
                          <w:rPr>
                            <w:rFonts w:ascii="仿宋" w:eastAsia="仿宋" w:hint="eastAsia"/>
                            <w:sz w:val="21"/>
                          </w:rPr>
                          <w:t>投保人解除合同的手续及风险</w:t>
                        </w:r>
                      </w:p>
                    </w:tc>
                    <w:tc>
                      <w:tcPr>
                        <w:tcW w:w="776" w:type="dxa"/>
                      </w:tcPr>
                      <w:p>
                        <w:pPr>
                          <w:pStyle w:val="TableParagraph"/>
                          <w:spacing w:line="229" w:lineRule="exact"/>
                          <w:ind w:left="258" w:right="-15"/>
                          <w:rPr>
                            <w:rFonts w:ascii="仿宋"/>
                            <w:sz w:val="21"/>
                          </w:rPr>
                        </w:pPr>
                        <w:r>
                          <w:rPr>
                            <w:rFonts w:ascii="仿宋"/>
                            <w:sz w:val="21"/>
                          </w:rPr>
                          <w:t>10.11</w:t>
                        </w:r>
                      </w:p>
                    </w:tc>
                    <w:tc>
                      <w:tcPr>
                        <w:tcW w:w="2601" w:type="dxa"/>
                        <w:tcBorders>
                          <w:right w:val="single" w:sz="4" w:space="0" w:color="000000"/>
                        </w:tcBorders>
                      </w:tcPr>
                      <w:p>
                        <w:pPr>
                          <w:pStyle w:val="TableParagraph"/>
                          <w:spacing w:line="229" w:lineRule="exact"/>
                          <w:ind w:left="114"/>
                          <w:rPr>
                            <w:rFonts w:ascii="仿宋" w:eastAsia="仿宋" w:hint="eastAsia"/>
                            <w:sz w:val="21"/>
                          </w:rPr>
                        </w:pPr>
                        <w:r>
                          <w:rPr>
                            <w:rFonts w:ascii="仿宋" w:eastAsia="仿宋" w:hint="eastAsia"/>
                            <w:sz w:val="21"/>
                          </w:rPr>
                          <w:t>酒后驾驶</w:t>
                        </w:r>
                      </w:p>
                    </w:tc>
                  </w:tr>
                  <w:tr>
                    <w:trPr>
                      <w:trHeight w:val="279" w:hRule="atLeast"/>
                    </w:trPr>
                    <w:tc>
                      <w:tcPr>
                        <w:tcW w:w="2618" w:type="dxa"/>
                        <w:tcBorders>
                          <w:left w:val="single" w:sz="4" w:space="0" w:color="000000"/>
                        </w:tcBorders>
                      </w:tcPr>
                      <w:p>
                        <w:pPr>
                          <w:pStyle w:val="TableParagraph"/>
                          <w:spacing w:line="228" w:lineRule="exact"/>
                          <w:ind w:left="316"/>
                          <w:rPr>
                            <w:rFonts w:ascii="仿宋" w:eastAsia="仿宋" w:hint="eastAsia"/>
                            <w:sz w:val="21"/>
                          </w:rPr>
                        </w:pPr>
                        <w:r>
                          <w:rPr>
                            <w:rFonts w:ascii="仿宋" w:eastAsia="仿宋" w:hint="eastAsia"/>
                            <w:sz w:val="21"/>
                          </w:rPr>
                          <w:t>2.1 保险金额</w:t>
                        </w:r>
                      </w:p>
                    </w:tc>
                    <w:tc>
                      <w:tcPr>
                        <w:tcW w:w="3596" w:type="dxa"/>
                      </w:tcPr>
                      <w:p>
                        <w:pPr>
                          <w:pStyle w:val="TableParagraph"/>
                          <w:spacing w:line="252" w:lineRule="exact"/>
                          <w:ind w:left="406"/>
                          <w:rPr>
                            <w:rFonts w:ascii="Microsoft JhengHei" w:eastAsia="Microsoft JhengHei" w:hint="eastAsia"/>
                            <w:b/>
                            <w:sz w:val="21"/>
                          </w:rPr>
                        </w:pPr>
                        <w:r>
                          <w:rPr>
                            <w:rFonts w:ascii="等线" w:eastAsia="等线" w:hint="eastAsia"/>
                            <w:b/>
                            <w:sz w:val="21"/>
                          </w:rPr>
                          <w:t>8.</w:t>
                        </w:r>
                        <w:r>
                          <w:rPr>
                            <w:rFonts w:ascii="Microsoft JhengHei" w:eastAsia="Microsoft JhengHei" w:hint="eastAsia"/>
                            <w:b/>
                            <w:sz w:val="21"/>
                          </w:rPr>
                          <w:t>如实告知</w:t>
                        </w:r>
                      </w:p>
                    </w:tc>
                    <w:tc>
                      <w:tcPr>
                        <w:tcW w:w="776" w:type="dxa"/>
                      </w:tcPr>
                      <w:p>
                        <w:pPr>
                          <w:pStyle w:val="TableParagraph"/>
                          <w:spacing w:line="228" w:lineRule="exact"/>
                          <w:ind w:left="258" w:right="-15"/>
                          <w:rPr>
                            <w:rFonts w:ascii="仿宋"/>
                            <w:sz w:val="21"/>
                          </w:rPr>
                        </w:pPr>
                        <w:r>
                          <w:rPr>
                            <w:rFonts w:ascii="仿宋"/>
                            <w:sz w:val="21"/>
                          </w:rPr>
                          <w:t>10.12</w:t>
                        </w:r>
                      </w:p>
                    </w:tc>
                    <w:tc>
                      <w:tcPr>
                        <w:tcW w:w="2601" w:type="dxa"/>
                        <w:tcBorders>
                          <w:right w:val="single" w:sz="4" w:space="0" w:color="000000"/>
                        </w:tcBorders>
                      </w:tcPr>
                      <w:p>
                        <w:pPr>
                          <w:pStyle w:val="TableParagraph"/>
                          <w:spacing w:line="228" w:lineRule="exact"/>
                          <w:ind w:left="114"/>
                          <w:rPr>
                            <w:rFonts w:ascii="仿宋" w:eastAsia="仿宋" w:hint="eastAsia"/>
                            <w:sz w:val="21"/>
                          </w:rPr>
                        </w:pPr>
                        <w:r>
                          <w:rPr>
                            <w:rFonts w:ascii="仿宋" w:eastAsia="仿宋" w:hint="eastAsia"/>
                            <w:sz w:val="21"/>
                          </w:rPr>
                          <w:t>无合法有效驾驶症驾驶</w:t>
                        </w:r>
                      </w:p>
                    </w:tc>
                  </w:tr>
                  <w:tr>
                    <w:trPr>
                      <w:trHeight w:val="263" w:hRule="atLeast"/>
                    </w:trPr>
                    <w:tc>
                      <w:tcPr>
                        <w:tcW w:w="2618" w:type="dxa"/>
                        <w:tcBorders>
                          <w:left w:val="single" w:sz="4" w:space="0" w:color="000000"/>
                        </w:tcBorders>
                      </w:tcPr>
                      <w:p>
                        <w:pPr>
                          <w:pStyle w:val="TableParagraph"/>
                          <w:spacing w:line="229" w:lineRule="exact"/>
                          <w:ind w:left="316"/>
                          <w:rPr>
                            <w:rFonts w:ascii="仿宋" w:eastAsia="仿宋" w:hint="eastAsia"/>
                            <w:sz w:val="21"/>
                          </w:rPr>
                        </w:pPr>
                        <w:r>
                          <w:rPr>
                            <w:rFonts w:ascii="仿宋" w:eastAsia="仿宋" w:hint="eastAsia"/>
                            <w:sz w:val="21"/>
                          </w:rPr>
                          <w:t>2.2 保险期间</w:t>
                        </w:r>
                      </w:p>
                    </w:tc>
                    <w:tc>
                      <w:tcPr>
                        <w:tcW w:w="3596" w:type="dxa"/>
                      </w:tcPr>
                      <w:p>
                        <w:pPr>
                          <w:pStyle w:val="TableParagraph"/>
                          <w:spacing w:line="229" w:lineRule="exact"/>
                          <w:ind w:left="617"/>
                          <w:rPr>
                            <w:rFonts w:ascii="仿宋" w:eastAsia="仿宋" w:hint="eastAsia"/>
                            <w:sz w:val="21"/>
                          </w:rPr>
                        </w:pPr>
                        <w:r>
                          <w:rPr>
                            <w:rFonts w:ascii="仿宋" w:eastAsia="仿宋" w:hint="eastAsia"/>
                            <w:sz w:val="21"/>
                          </w:rPr>
                          <w:t>8.1 明确说明和如实告知</w:t>
                        </w:r>
                      </w:p>
                    </w:tc>
                    <w:tc>
                      <w:tcPr>
                        <w:tcW w:w="776" w:type="dxa"/>
                      </w:tcPr>
                      <w:p>
                        <w:pPr>
                          <w:pStyle w:val="TableParagraph"/>
                          <w:spacing w:line="229" w:lineRule="exact"/>
                          <w:ind w:left="258" w:right="-15"/>
                          <w:rPr>
                            <w:rFonts w:ascii="仿宋"/>
                            <w:sz w:val="21"/>
                          </w:rPr>
                        </w:pPr>
                        <w:r>
                          <w:rPr>
                            <w:rFonts w:ascii="仿宋"/>
                            <w:sz w:val="21"/>
                          </w:rPr>
                          <w:t>10.13</w:t>
                        </w:r>
                      </w:p>
                    </w:tc>
                    <w:tc>
                      <w:tcPr>
                        <w:tcW w:w="2601" w:type="dxa"/>
                        <w:tcBorders>
                          <w:right w:val="single" w:sz="4" w:space="0" w:color="000000"/>
                        </w:tcBorders>
                      </w:tcPr>
                      <w:p>
                        <w:pPr>
                          <w:pStyle w:val="TableParagraph"/>
                          <w:spacing w:line="229" w:lineRule="exact"/>
                          <w:ind w:left="114"/>
                          <w:rPr>
                            <w:rFonts w:ascii="仿宋" w:eastAsia="仿宋" w:hint="eastAsia"/>
                            <w:sz w:val="21"/>
                          </w:rPr>
                        </w:pPr>
                        <w:r>
                          <w:rPr>
                            <w:rFonts w:ascii="仿宋" w:eastAsia="仿宋" w:hint="eastAsia"/>
                            <w:sz w:val="21"/>
                          </w:rPr>
                          <w:t>无有效行驶证</w:t>
                        </w:r>
                      </w:p>
                    </w:tc>
                  </w:tr>
                  <w:tr>
                    <w:trPr>
                      <w:trHeight w:val="279" w:hRule="atLeast"/>
                    </w:trPr>
                    <w:tc>
                      <w:tcPr>
                        <w:tcW w:w="2618" w:type="dxa"/>
                        <w:tcBorders>
                          <w:left w:val="single" w:sz="4" w:space="0" w:color="000000"/>
                        </w:tcBorders>
                      </w:tcPr>
                      <w:p>
                        <w:pPr>
                          <w:pStyle w:val="TableParagraph"/>
                          <w:spacing w:line="246" w:lineRule="exact"/>
                          <w:ind w:left="316"/>
                          <w:rPr>
                            <w:rFonts w:ascii="仿宋" w:eastAsia="仿宋" w:hint="eastAsia"/>
                            <w:sz w:val="21"/>
                          </w:rPr>
                        </w:pPr>
                        <w:r>
                          <w:rPr>
                            <w:rFonts w:ascii="仿宋" w:eastAsia="仿宋" w:hint="eastAsia"/>
                            <w:sz w:val="21"/>
                          </w:rPr>
                          <w:t>2.3 保险责任</w:t>
                        </w:r>
                      </w:p>
                    </w:tc>
                    <w:tc>
                      <w:tcPr>
                        <w:tcW w:w="3596" w:type="dxa"/>
                      </w:tcPr>
                      <w:p>
                        <w:pPr>
                          <w:pStyle w:val="TableParagraph"/>
                          <w:spacing w:line="246" w:lineRule="exact"/>
                          <w:ind w:right="245"/>
                          <w:jc w:val="right"/>
                          <w:rPr>
                            <w:rFonts w:ascii="仿宋" w:eastAsia="仿宋" w:hint="eastAsia"/>
                            <w:sz w:val="21"/>
                          </w:rPr>
                        </w:pPr>
                        <w:r>
                          <w:rPr>
                            <w:rFonts w:ascii="仿宋" w:eastAsia="仿宋" w:hint="eastAsia"/>
                            <w:sz w:val="21"/>
                          </w:rPr>
                          <w:t>8.2 本公司合同解除权的限制</w:t>
                        </w:r>
                      </w:p>
                    </w:tc>
                    <w:tc>
                      <w:tcPr>
                        <w:tcW w:w="776" w:type="dxa"/>
                      </w:tcPr>
                      <w:p>
                        <w:pPr>
                          <w:pStyle w:val="TableParagraph"/>
                          <w:spacing w:line="246" w:lineRule="exact"/>
                          <w:ind w:left="258" w:right="-15"/>
                          <w:rPr>
                            <w:rFonts w:ascii="仿宋"/>
                            <w:sz w:val="21"/>
                          </w:rPr>
                        </w:pPr>
                        <w:r>
                          <w:rPr>
                            <w:rFonts w:ascii="仿宋"/>
                            <w:sz w:val="21"/>
                          </w:rPr>
                          <w:t>10.14</w:t>
                        </w:r>
                      </w:p>
                    </w:tc>
                    <w:tc>
                      <w:tcPr>
                        <w:tcW w:w="2601" w:type="dxa"/>
                        <w:tcBorders>
                          <w:right w:val="single" w:sz="4" w:space="0" w:color="000000"/>
                        </w:tcBorders>
                      </w:tcPr>
                      <w:p>
                        <w:pPr>
                          <w:pStyle w:val="TableParagraph"/>
                          <w:spacing w:line="246" w:lineRule="exact"/>
                          <w:ind w:left="114"/>
                          <w:rPr>
                            <w:rFonts w:ascii="仿宋" w:eastAsia="仿宋" w:hint="eastAsia"/>
                            <w:sz w:val="21"/>
                          </w:rPr>
                        </w:pPr>
                        <w:r>
                          <w:rPr>
                            <w:rFonts w:ascii="仿宋" w:eastAsia="仿宋" w:hint="eastAsia"/>
                            <w:sz w:val="21"/>
                          </w:rPr>
                          <w:t>机动车</w:t>
                        </w:r>
                      </w:p>
                    </w:tc>
                  </w:tr>
                  <w:tr>
                    <w:trPr>
                      <w:trHeight w:val="296" w:hRule="atLeast"/>
                    </w:trPr>
                    <w:tc>
                      <w:tcPr>
                        <w:tcW w:w="2618" w:type="dxa"/>
                        <w:tcBorders>
                          <w:left w:val="single" w:sz="4" w:space="0" w:color="000000"/>
                        </w:tcBorders>
                      </w:tcPr>
                      <w:p>
                        <w:pPr>
                          <w:pStyle w:val="TableParagraph"/>
                          <w:spacing w:line="245" w:lineRule="exact"/>
                          <w:ind w:left="316"/>
                          <w:rPr>
                            <w:rFonts w:ascii="仿宋" w:eastAsia="仿宋" w:hint="eastAsia"/>
                            <w:sz w:val="21"/>
                          </w:rPr>
                        </w:pPr>
                        <w:r>
                          <w:rPr>
                            <w:rFonts w:ascii="仿宋" w:eastAsia="仿宋" w:hint="eastAsia"/>
                            <w:sz w:val="21"/>
                          </w:rPr>
                          <w:t>2.4 责任免除</w:t>
                        </w:r>
                      </w:p>
                    </w:tc>
                    <w:tc>
                      <w:tcPr>
                        <w:tcW w:w="3596" w:type="dxa"/>
                      </w:tcPr>
                      <w:p>
                        <w:pPr>
                          <w:pStyle w:val="TableParagraph"/>
                          <w:spacing w:line="269" w:lineRule="exact"/>
                          <w:ind w:left="406"/>
                          <w:rPr>
                            <w:rFonts w:ascii="Microsoft JhengHei" w:eastAsia="Microsoft JhengHei" w:hint="eastAsia"/>
                            <w:b/>
                            <w:sz w:val="21"/>
                          </w:rPr>
                        </w:pPr>
                        <w:r>
                          <w:rPr>
                            <w:rFonts w:ascii="等线" w:eastAsia="等线" w:hint="eastAsia"/>
                            <w:b/>
                            <w:sz w:val="21"/>
                          </w:rPr>
                          <w:t>9.</w:t>
                        </w:r>
                        <w:r>
                          <w:rPr>
                            <w:rFonts w:ascii="Microsoft JhengHei" w:eastAsia="Microsoft JhengHei" w:hint="eastAsia"/>
                            <w:b/>
                            <w:sz w:val="21"/>
                          </w:rPr>
                          <w:t>其他需要关注的事项</w:t>
                        </w:r>
                      </w:p>
                    </w:tc>
                    <w:tc>
                      <w:tcPr>
                        <w:tcW w:w="776" w:type="dxa"/>
                      </w:tcPr>
                      <w:p>
                        <w:pPr>
                          <w:pStyle w:val="TableParagraph"/>
                          <w:spacing w:line="245" w:lineRule="exact"/>
                          <w:ind w:left="258" w:right="-15"/>
                          <w:rPr>
                            <w:rFonts w:ascii="仿宋"/>
                            <w:sz w:val="21"/>
                          </w:rPr>
                        </w:pPr>
                        <w:r>
                          <w:rPr>
                            <w:rFonts w:ascii="仿宋"/>
                            <w:sz w:val="21"/>
                          </w:rPr>
                          <w:t>10.15</w:t>
                        </w:r>
                      </w:p>
                    </w:tc>
                    <w:tc>
                      <w:tcPr>
                        <w:tcW w:w="2601" w:type="dxa"/>
                        <w:tcBorders>
                          <w:right w:val="single" w:sz="4" w:space="0" w:color="000000"/>
                        </w:tcBorders>
                      </w:tcPr>
                      <w:p>
                        <w:pPr>
                          <w:pStyle w:val="TableParagraph"/>
                          <w:spacing w:line="245" w:lineRule="exact"/>
                          <w:ind w:right="166"/>
                          <w:jc w:val="right"/>
                          <w:rPr>
                            <w:rFonts w:ascii="仿宋" w:eastAsia="仿宋" w:hint="eastAsia"/>
                            <w:sz w:val="21"/>
                          </w:rPr>
                        </w:pPr>
                        <w:r>
                          <w:rPr>
                            <w:rFonts w:ascii="仿宋" w:eastAsia="仿宋" w:hint="eastAsia"/>
                            <w:sz w:val="21"/>
                          </w:rPr>
                          <w:t>先天性畸形，变形和染色</w:t>
                        </w:r>
                      </w:p>
                    </w:tc>
                  </w:tr>
                  <w:tr>
                    <w:trPr>
                      <w:trHeight w:val="280" w:hRule="atLeast"/>
                    </w:trPr>
                    <w:tc>
                      <w:tcPr>
                        <w:tcW w:w="2618" w:type="dxa"/>
                        <w:tcBorders>
                          <w:left w:val="single" w:sz="4" w:space="0" w:color="000000"/>
                        </w:tcBorders>
                      </w:tcPr>
                      <w:p>
                        <w:pPr>
                          <w:pStyle w:val="TableParagraph"/>
                          <w:spacing w:line="253" w:lineRule="exact"/>
                          <w:ind w:left="105"/>
                          <w:rPr>
                            <w:rFonts w:ascii="Microsoft JhengHei" w:eastAsia="Microsoft JhengHei" w:hint="eastAsia"/>
                            <w:b/>
                            <w:sz w:val="21"/>
                          </w:rPr>
                        </w:pPr>
                        <w:r>
                          <w:rPr>
                            <w:rFonts w:ascii="等线" w:eastAsia="等线" w:hint="eastAsia"/>
                            <w:b/>
                            <w:sz w:val="21"/>
                          </w:rPr>
                          <w:t>3.</w:t>
                        </w:r>
                        <w:r>
                          <w:rPr>
                            <w:rFonts w:ascii="Microsoft JhengHei" w:eastAsia="Microsoft JhengHei" w:hint="eastAsia"/>
                            <w:b/>
                            <w:sz w:val="21"/>
                          </w:rPr>
                          <w:t>保险金的申请</w:t>
                        </w:r>
                      </w:p>
                    </w:tc>
                    <w:tc>
                      <w:tcPr>
                        <w:tcW w:w="3596" w:type="dxa"/>
                      </w:tcPr>
                      <w:p>
                        <w:pPr>
                          <w:pStyle w:val="TableParagraph"/>
                          <w:spacing w:line="229" w:lineRule="exact"/>
                          <w:ind w:left="617"/>
                          <w:rPr>
                            <w:rFonts w:ascii="仿宋" w:eastAsia="仿宋" w:hint="eastAsia"/>
                            <w:sz w:val="21"/>
                          </w:rPr>
                        </w:pPr>
                        <w:r>
                          <w:rPr>
                            <w:rFonts w:ascii="仿宋" w:eastAsia="仿宋" w:hint="eastAsia"/>
                            <w:sz w:val="21"/>
                          </w:rPr>
                          <w:t>9.1 年龄错误</w:t>
                        </w:r>
                      </w:p>
                    </w:tc>
                    <w:tc>
                      <w:tcPr>
                        <w:tcW w:w="776" w:type="dxa"/>
                      </w:tcPr>
                      <w:p>
                        <w:pPr>
                          <w:pStyle w:val="TableParagraph"/>
                          <w:rPr>
                            <w:rFonts w:ascii="Times New Roman"/>
                            <w:sz w:val="20"/>
                          </w:rPr>
                        </w:pPr>
                      </w:p>
                    </w:tc>
                    <w:tc>
                      <w:tcPr>
                        <w:tcW w:w="2601" w:type="dxa"/>
                        <w:tcBorders>
                          <w:right w:val="single" w:sz="4" w:space="0" w:color="000000"/>
                        </w:tcBorders>
                      </w:tcPr>
                      <w:p>
                        <w:pPr>
                          <w:pStyle w:val="TableParagraph"/>
                          <w:spacing w:line="229" w:lineRule="exact"/>
                          <w:ind w:left="111"/>
                          <w:rPr>
                            <w:rFonts w:ascii="仿宋" w:eastAsia="仿宋" w:hint="eastAsia"/>
                            <w:sz w:val="21"/>
                          </w:rPr>
                        </w:pPr>
                        <w:r>
                          <w:rPr>
                            <w:rFonts w:ascii="仿宋" w:eastAsia="仿宋" w:hint="eastAsia"/>
                            <w:sz w:val="21"/>
                          </w:rPr>
                          <w:t>体异常</w:t>
                        </w:r>
                      </w:p>
                    </w:tc>
                  </w:tr>
                  <w:tr>
                    <w:trPr>
                      <w:trHeight w:val="262" w:hRule="atLeast"/>
                    </w:trPr>
                    <w:tc>
                      <w:tcPr>
                        <w:tcW w:w="2618" w:type="dxa"/>
                        <w:tcBorders>
                          <w:left w:val="single" w:sz="4" w:space="0" w:color="000000"/>
                        </w:tcBorders>
                      </w:tcPr>
                      <w:p>
                        <w:pPr>
                          <w:pStyle w:val="TableParagraph"/>
                          <w:spacing w:line="229" w:lineRule="exact"/>
                          <w:ind w:left="316"/>
                          <w:rPr>
                            <w:rFonts w:ascii="仿宋" w:eastAsia="仿宋" w:hint="eastAsia"/>
                            <w:sz w:val="21"/>
                          </w:rPr>
                        </w:pPr>
                        <w:r>
                          <w:rPr>
                            <w:rFonts w:ascii="仿宋" w:eastAsia="仿宋" w:hint="eastAsia"/>
                            <w:sz w:val="21"/>
                          </w:rPr>
                          <w:t>3.1 受益人</w:t>
                        </w:r>
                      </w:p>
                    </w:tc>
                    <w:tc>
                      <w:tcPr>
                        <w:tcW w:w="3596" w:type="dxa"/>
                      </w:tcPr>
                      <w:p>
                        <w:pPr>
                          <w:pStyle w:val="TableParagraph"/>
                          <w:spacing w:line="229" w:lineRule="exact"/>
                          <w:ind w:left="617"/>
                          <w:rPr>
                            <w:rFonts w:ascii="仿宋" w:eastAsia="仿宋" w:hint="eastAsia"/>
                            <w:sz w:val="21"/>
                          </w:rPr>
                        </w:pPr>
                        <w:r>
                          <w:rPr>
                            <w:rFonts w:ascii="仿宋" w:eastAsia="仿宋" w:hint="eastAsia"/>
                            <w:sz w:val="21"/>
                          </w:rPr>
                          <w:t>9.2 未还款项</w:t>
                        </w:r>
                      </w:p>
                    </w:tc>
                    <w:tc>
                      <w:tcPr>
                        <w:tcW w:w="776" w:type="dxa"/>
                      </w:tcPr>
                      <w:p>
                        <w:pPr>
                          <w:pStyle w:val="TableParagraph"/>
                          <w:spacing w:line="229" w:lineRule="exact"/>
                          <w:ind w:left="258" w:right="-15"/>
                          <w:rPr>
                            <w:rFonts w:ascii="仿宋"/>
                            <w:sz w:val="21"/>
                          </w:rPr>
                        </w:pPr>
                        <w:r>
                          <w:rPr>
                            <w:rFonts w:ascii="仿宋"/>
                            <w:sz w:val="21"/>
                          </w:rPr>
                          <w:t>10.16</w:t>
                        </w:r>
                      </w:p>
                    </w:tc>
                    <w:tc>
                      <w:tcPr>
                        <w:tcW w:w="2601" w:type="dxa"/>
                        <w:tcBorders>
                          <w:right w:val="single" w:sz="4" w:space="0" w:color="000000"/>
                        </w:tcBorders>
                      </w:tcPr>
                      <w:p>
                        <w:pPr>
                          <w:pStyle w:val="TableParagraph"/>
                          <w:spacing w:line="229" w:lineRule="exact"/>
                          <w:ind w:left="114"/>
                          <w:rPr>
                            <w:rFonts w:ascii="仿宋" w:eastAsia="仿宋" w:hint="eastAsia"/>
                            <w:sz w:val="21"/>
                          </w:rPr>
                        </w:pPr>
                        <w:r>
                          <w:rPr>
                            <w:rFonts w:ascii="仿宋" w:eastAsia="仿宋" w:hint="eastAsia"/>
                            <w:sz w:val="21"/>
                          </w:rPr>
                          <w:t>遗传性疾病</w:t>
                        </w:r>
                      </w:p>
                    </w:tc>
                  </w:tr>
                  <w:tr>
                    <w:trPr>
                      <w:trHeight w:val="279" w:hRule="atLeast"/>
                    </w:trPr>
                    <w:tc>
                      <w:tcPr>
                        <w:tcW w:w="2618" w:type="dxa"/>
                        <w:tcBorders>
                          <w:left w:val="single" w:sz="4" w:space="0" w:color="000000"/>
                        </w:tcBorders>
                      </w:tcPr>
                      <w:p>
                        <w:pPr>
                          <w:pStyle w:val="TableParagraph"/>
                          <w:spacing w:line="245" w:lineRule="exact"/>
                          <w:ind w:left="316"/>
                          <w:rPr>
                            <w:rFonts w:ascii="仿宋" w:eastAsia="仿宋" w:hint="eastAsia"/>
                            <w:sz w:val="21"/>
                          </w:rPr>
                        </w:pPr>
                        <w:r>
                          <w:rPr>
                            <w:rFonts w:ascii="仿宋" w:eastAsia="仿宋" w:hint="eastAsia"/>
                            <w:sz w:val="21"/>
                          </w:rPr>
                          <w:t>3.2 保险事故通知</w:t>
                        </w:r>
                      </w:p>
                    </w:tc>
                    <w:tc>
                      <w:tcPr>
                        <w:tcW w:w="3596" w:type="dxa"/>
                      </w:tcPr>
                      <w:p>
                        <w:pPr>
                          <w:pStyle w:val="TableParagraph"/>
                          <w:spacing w:line="245" w:lineRule="exact"/>
                          <w:ind w:left="617"/>
                          <w:rPr>
                            <w:rFonts w:ascii="仿宋" w:eastAsia="仿宋" w:hint="eastAsia"/>
                            <w:sz w:val="21"/>
                          </w:rPr>
                        </w:pPr>
                        <w:r>
                          <w:rPr>
                            <w:rFonts w:ascii="仿宋" w:eastAsia="仿宋" w:hint="eastAsia"/>
                            <w:sz w:val="21"/>
                          </w:rPr>
                          <w:t>9.3 合同内容变更</w:t>
                        </w:r>
                      </w:p>
                    </w:tc>
                    <w:tc>
                      <w:tcPr>
                        <w:tcW w:w="776" w:type="dxa"/>
                      </w:tcPr>
                      <w:p>
                        <w:pPr>
                          <w:pStyle w:val="TableParagraph"/>
                          <w:spacing w:line="245" w:lineRule="exact"/>
                          <w:ind w:left="258" w:right="-15"/>
                          <w:rPr>
                            <w:rFonts w:ascii="仿宋"/>
                            <w:sz w:val="21"/>
                          </w:rPr>
                        </w:pPr>
                        <w:r>
                          <w:rPr>
                            <w:rFonts w:ascii="仿宋"/>
                            <w:sz w:val="21"/>
                          </w:rPr>
                          <w:t>10.17</w:t>
                        </w:r>
                      </w:p>
                    </w:tc>
                    <w:tc>
                      <w:tcPr>
                        <w:tcW w:w="2601" w:type="dxa"/>
                        <w:tcBorders>
                          <w:right w:val="single" w:sz="4" w:space="0" w:color="000000"/>
                        </w:tcBorders>
                      </w:tcPr>
                      <w:p>
                        <w:pPr>
                          <w:pStyle w:val="TableParagraph"/>
                          <w:spacing w:line="245" w:lineRule="exact"/>
                          <w:ind w:left="114"/>
                          <w:rPr>
                            <w:rFonts w:ascii="仿宋" w:eastAsia="仿宋" w:hint="eastAsia"/>
                            <w:sz w:val="21"/>
                          </w:rPr>
                        </w:pPr>
                        <w:r>
                          <w:rPr>
                            <w:rFonts w:ascii="仿宋" w:eastAsia="仿宋" w:hint="eastAsia"/>
                            <w:sz w:val="21"/>
                          </w:rPr>
                          <w:t>现金价值</w:t>
                        </w:r>
                      </w:p>
                    </w:tc>
                  </w:tr>
                  <w:tr>
                    <w:trPr>
                      <w:trHeight w:val="280" w:hRule="atLeast"/>
                    </w:trPr>
                    <w:tc>
                      <w:tcPr>
                        <w:tcW w:w="2618" w:type="dxa"/>
                        <w:tcBorders>
                          <w:left w:val="single" w:sz="4" w:space="0" w:color="000000"/>
                        </w:tcBorders>
                      </w:tcPr>
                      <w:p>
                        <w:pPr>
                          <w:pStyle w:val="TableParagraph"/>
                          <w:spacing w:line="246" w:lineRule="exact"/>
                          <w:ind w:left="316"/>
                          <w:rPr>
                            <w:rFonts w:ascii="仿宋" w:eastAsia="仿宋" w:hint="eastAsia"/>
                            <w:sz w:val="21"/>
                          </w:rPr>
                        </w:pPr>
                        <w:r>
                          <w:rPr>
                            <w:rFonts w:ascii="仿宋" w:eastAsia="仿宋" w:hint="eastAsia"/>
                            <w:sz w:val="21"/>
                          </w:rPr>
                          <w:t>3.3 保险金申请</w:t>
                        </w:r>
                      </w:p>
                    </w:tc>
                    <w:tc>
                      <w:tcPr>
                        <w:tcW w:w="3596" w:type="dxa"/>
                      </w:tcPr>
                      <w:p>
                        <w:pPr>
                          <w:pStyle w:val="TableParagraph"/>
                          <w:spacing w:line="246" w:lineRule="exact"/>
                          <w:ind w:left="617"/>
                          <w:rPr>
                            <w:rFonts w:ascii="仿宋" w:eastAsia="仿宋" w:hint="eastAsia"/>
                            <w:sz w:val="21"/>
                          </w:rPr>
                        </w:pPr>
                        <w:r>
                          <w:rPr>
                            <w:rFonts w:ascii="仿宋" w:eastAsia="仿宋" w:hint="eastAsia"/>
                            <w:sz w:val="21"/>
                          </w:rPr>
                          <w:t>9.4 联系方式变更</w:t>
                        </w:r>
                      </w:p>
                    </w:tc>
                    <w:tc>
                      <w:tcPr>
                        <w:tcW w:w="776" w:type="dxa"/>
                      </w:tcPr>
                      <w:p>
                        <w:pPr>
                          <w:pStyle w:val="TableParagraph"/>
                          <w:spacing w:line="246" w:lineRule="exact"/>
                          <w:ind w:left="258" w:right="-15"/>
                          <w:rPr>
                            <w:rFonts w:ascii="仿宋"/>
                            <w:sz w:val="21"/>
                          </w:rPr>
                        </w:pPr>
                        <w:r>
                          <w:rPr>
                            <w:rFonts w:ascii="仿宋"/>
                            <w:sz w:val="21"/>
                          </w:rPr>
                          <w:t>10.18</w:t>
                        </w:r>
                      </w:p>
                    </w:tc>
                    <w:tc>
                      <w:tcPr>
                        <w:tcW w:w="2601" w:type="dxa"/>
                        <w:tcBorders>
                          <w:right w:val="single" w:sz="4" w:space="0" w:color="000000"/>
                        </w:tcBorders>
                      </w:tcPr>
                      <w:p>
                        <w:pPr>
                          <w:pStyle w:val="TableParagraph"/>
                          <w:spacing w:line="246" w:lineRule="exact"/>
                          <w:ind w:left="114"/>
                          <w:rPr>
                            <w:rFonts w:ascii="仿宋" w:eastAsia="仿宋" w:hint="eastAsia"/>
                            <w:sz w:val="21"/>
                          </w:rPr>
                        </w:pPr>
                        <w:r>
                          <w:rPr>
                            <w:rFonts w:ascii="仿宋" w:eastAsia="仿宋" w:hint="eastAsia"/>
                            <w:sz w:val="21"/>
                          </w:rPr>
                          <w:t>保单周年日</w:t>
                        </w:r>
                      </w:p>
                    </w:tc>
                  </w:tr>
                  <w:tr>
                    <w:trPr>
                      <w:trHeight w:val="279" w:hRule="atLeast"/>
                    </w:trPr>
                    <w:tc>
                      <w:tcPr>
                        <w:tcW w:w="2618" w:type="dxa"/>
                        <w:tcBorders>
                          <w:left w:val="single" w:sz="4" w:space="0" w:color="000000"/>
                        </w:tcBorders>
                      </w:tcPr>
                      <w:p>
                        <w:pPr>
                          <w:pStyle w:val="TableParagraph"/>
                          <w:spacing w:line="246" w:lineRule="exact"/>
                          <w:ind w:left="316"/>
                          <w:rPr>
                            <w:rFonts w:ascii="仿宋" w:eastAsia="仿宋" w:hint="eastAsia"/>
                            <w:sz w:val="21"/>
                          </w:rPr>
                        </w:pPr>
                        <w:r>
                          <w:rPr>
                            <w:rFonts w:ascii="仿宋" w:eastAsia="仿宋" w:hint="eastAsia"/>
                            <w:sz w:val="21"/>
                          </w:rPr>
                          <w:t>3.4 保险金给付</w:t>
                        </w:r>
                      </w:p>
                    </w:tc>
                    <w:tc>
                      <w:tcPr>
                        <w:tcW w:w="3596" w:type="dxa"/>
                      </w:tcPr>
                      <w:p>
                        <w:pPr>
                          <w:pStyle w:val="TableParagraph"/>
                          <w:spacing w:line="246" w:lineRule="exact"/>
                          <w:ind w:left="617"/>
                          <w:rPr>
                            <w:rFonts w:ascii="仿宋" w:eastAsia="仿宋" w:hint="eastAsia"/>
                            <w:sz w:val="21"/>
                          </w:rPr>
                        </w:pPr>
                        <w:r>
                          <w:rPr>
                            <w:rFonts w:ascii="仿宋" w:eastAsia="仿宋" w:hint="eastAsia"/>
                            <w:sz w:val="21"/>
                          </w:rPr>
                          <w:t>9.5 争议处理</w:t>
                        </w:r>
                      </w:p>
                    </w:tc>
                    <w:tc>
                      <w:tcPr>
                        <w:tcW w:w="776" w:type="dxa"/>
                      </w:tcPr>
                      <w:p>
                        <w:pPr>
                          <w:pStyle w:val="TableParagraph"/>
                          <w:spacing w:line="246" w:lineRule="exact"/>
                          <w:ind w:left="258" w:right="-15"/>
                          <w:rPr>
                            <w:rFonts w:ascii="仿宋"/>
                            <w:sz w:val="21"/>
                          </w:rPr>
                        </w:pPr>
                        <w:r>
                          <w:rPr>
                            <w:rFonts w:ascii="仿宋"/>
                            <w:sz w:val="21"/>
                          </w:rPr>
                          <w:t>10.19</w:t>
                        </w:r>
                      </w:p>
                    </w:tc>
                    <w:tc>
                      <w:tcPr>
                        <w:tcW w:w="2601" w:type="dxa"/>
                        <w:tcBorders>
                          <w:right w:val="single" w:sz="4" w:space="0" w:color="000000"/>
                        </w:tcBorders>
                      </w:tcPr>
                      <w:p>
                        <w:pPr>
                          <w:pStyle w:val="TableParagraph"/>
                          <w:spacing w:line="246" w:lineRule="exact"/>
                          <w:ind w:left="114"/>
                          <w:rPr>
                            <w:rFonts w:ascii="仿宋" w:eastAsia="仿宋" w:hint="eastAsia"/>
                            <w:sz w:val="21"/>
                          </w:rPr>
                        </w:pPr>
                        <w:r>
                          <w:rPr>
                            <w:rFonts w:ascii="仿宋" w:eastAsia="仿宋" w:hint="eastAsia"/>
                            <w:sz w:val="21"/>
                          </w:rPr>
                          <w:t>专科医生</w:t>
                        </w:r>
                      </w:p>
                    </w:tc>
                  </w:tr>
                  <w:tr>
                    <w:trPr>
                      <w:trHeight w:val="296" w:hRule="atLeast"/>
                    </w:trPr>
                    <w:tc>
                      <w:tcPr>
                        <w:tcW w:w="2618" w:type="dxa"/>
                        <w:tcBorders>
                          <w:left w:val="single" w:sz="4" w:space="0" w:color="000000"/>
                        </w:tcBorders>
                      </w:tcPr>
                      <w:p>
                        <w:pPr>
                          <w:pStyle w:val="TableParagraph"/>
                          <w:spacing w:line="245" w:lineRule="exact"/>
                          <w:ind w:left="316"/>
                          <w:rPr>
                            <w:rFonts w:ascii="仿宋" w:eastAsia="仿宋" w:hint="eastAsia"/>
                            <w:sz w:val="21"/>
                          </w:rPr>
                        </w:pPr>
                        <w:r>
                          <w:rPr>
                            <w:rFonts w:ascii="仿宋" w:eastAsia="仿宋" w:hint="eastAsia"/>
                            <w:sz w:val="21"/>
                          </w:rPr>
                          <w:t>3.5 宣告死亡处理</w:t>
                        </w:r>
                      </w:p>
                    </w:tc>
                    <w:tc>
                      <w:tcPr>
                        <w:tcW w:w="3596" w:type="dxa"/>
                      </w:tcPr>
                      <w:p>
                        <w:pPr>
                          <w:pStyle w:val="TableParagraph"/>
                          <w:spacing w:line="269" w:lineRule="exact"/>
                          <w:ind w:left="406"/>
                          <w:rPr>
                            <w:rFonts w:ascii="Microsoft JhengHei" w:eastAsia="Microsoft JhengHei" w:hint="eastAsia"/>
                            <w:b/>
                            <w:sz w:val="21"/>
                          </w:rPr>
                        </w:pPr>
                        <w:r>
                          <w:rPr>
                            <w:rFonts w:ascii="等线" w:eastAsia="等线" w:hint="eastAsia"/>
                            <w:b/>
                            <w:w w:val="105"/>
                            <w:sz w:val="21"/>
                          </w:rPr>
                          <w:t>10.</w:t>
                        </w:r>
                        <w:r>
                          <w:rPr>
                            <w:rFonts w:ascii="Microsoft JhengHei" w:eastAsia="Microsoft JhengHei" w:hint="eastAsia"/>
                            <w:b/>
                            <w:w w:val="105"/>
                            <w:sz w:val="21"/>
                          </w:rPr>
                          <w:t>释义</w:t>
                        </w:r>
                      </w:p>
                    </w:tc>
                    <w:tc>
                      <w:tcPr>
                        <w:tcW w:w="776" w:type="dxa"/>
                      </w:tcPr>
                      <w:p>
                        <w:pPr>
                          <w:pStyle w:val="TableParagraph"/>
                          <w:spacing w:line="245" w:lineRule="exact"/>
                          <w:ind w:left="258" w:right="-15"/>
                          <w:rPr>
                            <w:rFonts w:ascii="仿宋"/>
                            <w:sz w:val="21"/>
                          </w:rPr>
                        </w:pPr>
                        <w:r>
                          <w:rPr>
                            <w:rFonts w:ascii="仿宋"/>
                            <w:sz w:val="21"/>
                          </w:rPr>
                          <w:t>10.20</w:t>
                        </w:r>
                      </w:p>
                    </w:tc>
                    <w:tc>
                      <w:tcPr>
                        <w:tcW w:w="2601" w:type="dxa"/>
                        <w:tcBorders>
                          <w:right w:val="single" w:sz="4" w:space="0" w:color="000000"/>
                        </w:tcBorders>
                      </w:tcPr>
                      <w:p>
                        <w:pPr>
                          <w:pStyle w:val="TableParagraph"/>
                          <w:spacing w:line="245" w:lineRule="exact"/>
                          <w:ind w:left="114"/>
                          <w:rPr>
                            <w:rFonts w:ascii="仿宋" w:eastAsia="仿宋" w:hint="eastAsia"/>
                            <w:sz w:val="21"/>
                          </w:rPr>
                        </w:pPr>
                        <w:r>
                          <w:rPr>
                            <w:rFonts w:ascii="仿宋" w:eastAsia="仿宋" w:hint="eastAsia"/>
                            <w:sz w:val="21"/>
                          </w:rPr>
                          <w:t>肌体机能完全丧失</w:t>
                        </w:r>
                      </w:p>
                    </w:tc>
                  </w:tr>
                  <w:tr>
                    <w:trPr>
                      <w:trHeight w:val="263" w:hRule="atLeast"/>
                    </w:trPr>
                    <w:tc>
                      <w:tcPr>
                        <w:tcW w:w="2618" w:type="dxa"/>
                        <w:tcBorders>
                          <w:left w:val="single" w:sz="4" w:space="0" w:color="000000"/>
                        </w:tcBorders>
                      </w:tcPr>
                      <w:p>
                        <w:pPr>
                          <w:pStyle w:val="TableParagraph"/>
                          <w:spacing w:line="229" w:lineRule="exact"/>
                          <w:ind w:left="316"/>
                          <w:rPr>
                            <w:rFonts w:ascii="仿宋" w:eastAsia="仿宋" w:hint="eastAsia"/>
                            <w:sz w:val="21"/>
                          </w:rPr>
                        </w:pPr>
                        <w:r>
                          <w:rPr>
                            <w:rFonts w:ascii="仿宋" w:eastAsia="仿宋" w:hint="eastAsia"/>
                            <w:sz w:val="21"/>
                          </w:rPr>
                          <w:t>3.6 诉讼时效</w:t>
                        </w:r>
                      </w:p>
                    </w:tc>
                    <w:tc>
                      <w:tcPr>
                        <w:tcW w:w="3596" w:type="dxa"/>
                      </w:tcPr>
                      <w:p>
                        <w:pPr>
                          <w:pStyle w:val="TableParagraph"/>
                          <w:spacing w:line="229" w:lineRule="exact"/>
                          <w:ind w:left="617"/>
                          <w:rPr>
                            <w:rFonts w:ascii="仿宋" w:eastAsia="仿宋" w:hint="eastAsia"/>
                            <w:sz w:val="21"/>
                          </w:rPr>
                        </w:pPr>
                        <w:r>
                          <w:rPr>
                            <w:rFonts w:ascii="仿宋" w:eastAsia="仿宋" w:hint="eastAsia"/>
                            <w:sz w:val="21"/>
                          </w:rPr>
                          <w:t>10.1 保单年度</w:t>
                        </w:r>
                      </w:p>
                    </w:tc>
                    <w:tc>
                      <w:tcPr>
                        <w:tcW w:w="776" w:type="dxa"/>
                      </w:tcPr>
                      <w:p>
                        <w:pPr>
                          <w:pStyle w:val="TableParagraph"/>
                          <w:spacing w:line="229" w:lineRule="exact"/>
                          <w:ind w:left="258" w:right="-15"/>
                          <w:rPr>
                            <w:rFonts w:ascii="仿宋"/>
                            <w:sz w:val="21"/>
                          </w:rPr>
                        </w:pPr>
                        <w:r>
                          <w:rPr>
                            <w:rFonts w:ascii="仿宋"/>
                            <w:sz w:val="21"/>
                          </w:rPr>
                          <w:t>10.21</w:t>
                        </w:r>
                      </w:p>
                    </w:tc>
                    <w:tc>
                      <w:tcPr>
                        <w:tcW w:w="2601" w:type="dxa"/>
                        <w:tcBorders>
                          <w:right w:val="single" w:sz="4" w:space="0" w:color="000000"/>
                        </w:tcBorders>
                      </w:tcPr>
                      <w:p>
                        <w:pPr>
                          <w:pStyle w:val="TableParagraph"/>
                          <w:spacing w:line="229" w:lineRule="exact"/>
                          <w:ind w:right="166"/>
                          <w:jc w:val="right"/>
                          <w:rPr>
                            <w:rFonts w:ascii="仿宋" w:eastAsia="仿宋" w:hint="eastAsia"/>
                            <w:sz w:val="21"/>
                          </w:rPr>
                        </w:pPr>
                        <w:r>
                          <w:rPr>
                            <w:rFonts w:ascii="仿宋" w:eastAsia="仿宋" w:hint="eastAsia"/>
                            <w:sz w:val="21"/>
                          </w:rPr>
                          <w:t>语言能力或咀嚼吞咽能力</w:t>
                        </w:r>
                      </w:p>
                    </w:tc>
                  </w:tr>
                  <w:tr>
                    <w:trPr>
                      <w:trHeight w:val="559" w:hRule="atLeast"/>
                    </w:trPr>
                    <w:tc>
                      <w:tcPr>
                        <w:tcW w:w="2618" w:type="dxa"/>
                        <w:tcBorders>
                          <w:left w:val="single" w:sz="4" w:space="0" w:color="000000"/>
                        </w:tcBorders>
                      </w:tcPr>
                      <w:p>
                        <w:pPr>
                          <w:pStyle w:val="TableParagraph"/>
                          <w:spacing w:line="260" w:lineRule="exact"/>
                          <w:ind w:left="105"/>
                          <w:rPr>
                            <w:rFonts w:ascii="Microsoft JhengHei" w:eastAsia="Microsoft JhengHei" w:hint="eastAsia"/>
                            <w:b/>
                            <w:sz w:val="21"/>
                          </w:rPr>
                        </w:pPr>
                        <w:r>
                          <w:rPr>
                            <w:rFonts w:ascii="等线" w:eastAsia="等线" w:hint="eastAsia"/>
                            <w:b/>
                            <w:sz w:val="21"/>
                          </w:rPr>
                          <w:t>4.</w:t>
                        </w:r>
                        <w:r>
                          <w:rPr>
                            <w:rFonts w:ascii="Microsoft JhengHei" w:eastAsia="Microsoft JhengHei" w:hint="eastAsia"/>
                            <w:b/>
                            <w:sz w:val="21"/>
                          </w:rPr>
                          <w:t>保险费的支付</w:t>
                        </w:r>
                      </w:p>
                      <w:p>
                        <w:pPr>
                          <w:pStyle w:val="TableParagraph"/>
                          <w:spacing w:line="265" w:lineRule="exact"/>
                          <w:ind w:left="316"/>
                          <w:rPr>
                            <w:rFonts w:ascii="仿宋" w:eastAsia="仿宋" w:hint="eastAsia"/>
                            <w:sz w:val="21"/>
                          </w:rPr>
                        </w:pPr>
                        <w:r>
                          <w:rPr>
                            <w:rFonts w:ascii="仿宋" w:eastAsia="仿宋" w:hint="eastAsia"/>
                            <w:sz w:val="21"/>
                          </w:rPr>
                          <w:t>4.1 保险费的支付</w:t>
                        </w:r>
                      </w:p>
                    </w:tc>
                    <w:tc>
                      <w:tcPr>
                        <w:tcW w:w="3596" w:type="dxa"/>
                      </w:tcPr>
                      <w:p>
                        <w:pPr>
                          <w:pStyle w:val="TableParagraph"/>
                          <w:numPr>
                            <w:ilvl w:val="1"/>
                            <w:numId w:val="2"/>
                          </w:numPr>
                          <w:tabs>
                            <w:tab w:pos="1143" w:val="left" w:leader="none"/>
                          </w:tabs>
                          <w:spacing w:line="246" w:lineRule="exact" w:before="0" w:after="0"/>
                          <w:ind w:left="1142" w:right="0" w:hanging="525"/>
                          <w:jc w:val="left"/>
                          <w:rPr>
                            <w:rFonts w:ascii="仿宋" w:eastAsia="仿宋" w:hint="eastAsia"/>
                            <w:sz w:val="21"/>
                          </w:rPr>
                        </w:pPr>
                        <w:r>
                          <w:rPr>
                            <w:rFonts w:ascii="仿宋" w:eastAsia="仿宋" w:hint="eastAsia"/>
                            <w:spacing w:val="-3"/>
                            <w:sz w:val="21"/>
                          </w:rPr>
                          <w:t>保险费约定支付日</w:t>
                        </w:r>
                      </w:p>
                      <w:p>
                        <w:pPr>
                          <w:pStyle w:val="TableParagraph"/>
                          <w:numPr>
                            <w:ilvl w:val="1"/>
                            <w:numId w:val="2"/>
                          </w:numPr>
                          <w:tabs>
                            <w:tab w:pos="1143" w:val="left" w:leader="none"/>
                          </w:tabs>
                          <w:spacing w:line="240" w:lineRule="auto" w:before="3" w:after="0"/>
                          <w:ind w:left="1142" w:right="0" w:hanging="525"/>
                          <w:jc w:val="left"/>
                          <w:rPr>
                            <w:rFonts w:ascii="仿宋" w:eastAsia="仿宋" w:hint="eastAsia"/>
                            <w:sz w:val="21"/>
                          </w:rPr>
                        </w:pPr>
                        <w:r>
                          <w:rPr>
                            <w:rFonts w:ascii="仿宋" w:eastAsia="仿宋" w:hint="eastAsia"/>
                            <w:sz w:val="21"/>
                          </w:rPr>
                          <w:t>周岁</w:t>
                        </w:r>
                      </w:p>
                    </w:tc>
                    <w:tc>
                      <w:tcPr>
                        <w:tcW w:w="776" w:type="dxa"/>
                      </w:tcPr>
                      <w:p>
                        <w:pPr>
                          <w:pStyle w:val="TableParagraph"/>
                          <w:rPr>
                            <w:sz w:val="19"/>
                          </w:rPr>
                        </w:pPr>
                      </w:p>
                      <w:p>
                        <w:pPr>
                          <w:pStyle w:val="TableParagraph"/>
                          <w:ind w:left="258" w:right="-15"/>
                          <w:rPr>
                            <w:rFonts w:ascii="仿宋"/>
                            <w:sz w:val="21"/>
                          </w:rPr>
                        </w:pPr>
                        <w:r>
                          <w:rPr>
                            <w:rFonts w:ascii="仿宋"/>
                            <w:sz w:val="21"/>
                          </w:rPr>
                          <w:t>10.22</w:t>
                        </w:r>
                      </w:p>
                    </w:tc>
                    <w:tc>
                      <w:tcPr>
                        <w:tcW w:w="2601" w:type="dxa"/>
                        <w:tcBorders>
                          <w:right w:val="single" w:sz="4" w:space="0" w:color="000000"/>
                        </w:tcBorders>
                      </w:tcPr>
                      <w:p>
                        <w:pPr>
                          <w:pStyle w:val="TableParagraph"/>
                          <w:spacing w:line="246" w:lineRule="exact"/>
                          <w:ind w:left="111"/>
                          <w:rPr>
                            <w:rFonts w:ascii="仿宋" w:eastAsia="仿宋" w:hint="eastAsia"/>
                            <w:sz w:val="21"/>
                          </w:rPr>
                        </w:pPr>
                        <w:r>
                          <w:rPr>
                            <w:rFonts w:ascii="仿宋" w:eastAsia="仿宋" w:hint="eastAsia"/>
                            <w:sz w:val="21"/>
                          </w:rPr>
                          <w:t>完全丧失</w:t>
                        </w:r>
                      </w:p>
                      <w:p>
                        <w:pPr>
                          <w:pStyle w:val="TableParagraph"/>
                          <w:spacing w:before="3"/>
                          <w:ind w:left="114"/>
                          <w:rPr>
                            <w:rFonts w:ascii="仿宋" w:eastAsia="仿宋" w:hint="eastAsia"/>
                            <w:sz w:val="21"/>
                          </w:rPr>
                        </w:pPr>
                        <w:r>
                          <w:rPr>
                            <w:rFonts w:ascii="仿宋" w:eastAsia="仿宋" w:hint="eastAsia"/>
                            <w:sz w:val="21"/>
                          </w:rPr>
                          <w:t>六项基本日常生活活动</w:t>
                        </w:r>
                      </w:p>
                    </w:tc>
                  </w:tr>
                  <w:tr>
                    <w:trPr>
                      <w:trHeight w:val="280" w:hRule="atLeast"/>
                    </w:trPr>
                    <w:tc>
                      <w:tcPr>
                        <w:tcW w:w="2618" w:type="dxa"/>
                        <w:tcBorders>
                          <w:left w:val="single" w:sz="4" w:space="0" w:color="000000"/>
                        </w:tcBorders>
                      </w:tcPr>
                      <w:p>
                        <w:pPr>
                          <w:pStyle w:val="TableParagraph"/>
                          <w:spacing w:line="246" w:lineRule="exact"/>
                          <w:ind w:left="316"/>
                          <w:rPr>
                            <w:rFonts w:ascii="仿宋" w:eastAsia="仿宋" w:hint="eastAsia"/>
                            <w:sz w:val="21"/>
                          </w:rPr>
                        </w:pPr>
                        <w:r>
                          <w:rPr>
                            <w:rFonts w:ascii="仿宋" w:eastAsia="仿宋" w:hint="eastAsia"/>
                            <w:sz w:val="21"/>
                          </w:rPr>
                          <w:t>4.2 宽限期</w:t>
                        </w:r>
                      </w:p>
                    </w:tc>
                    <w:tc>
                      <w:tcPr>
                        <w:tcW w:w="3596" w:type="dxa"/>
                      </w:tcPr>
                      <w:p>
                        <w:pPr>
                          <w:pStyle w:val="TableParagraph"/>
                          <w:spacing w:line="246" w:lineRule="exact"/>
                          <w:ind w:left="617"/>
                          <w:rPr>
                            <w:rFonts w:ascii="仿宋" w:eastAsia="仿宋" w:hint="eastAsia"/>
                            <w:sz w:val="21"/>
                          </w:rPr>
                        </w:pPr>
                        <w:r>
                          <w:rPr>
                            <w:rFonts w:ascii="仿宋" w:eastAsia="仿宋" w:hint="eastAsia"/>
                            <w:sz w:val="21"/>
                          </w:rPr>
                          <w:t>10.4 有效身份证件</w:t>
                        </w:r>
                      </w:p>
                    </w:tc>
                    <w:tc>
                      <w:tcPr>
                        <w:tcW w:w="776" w:type="dxa"/>
                      </w:tcPr>
                      <w:p>
                        <w:pPr>
                          <w:pStyle w:val="TableParagraph"/>
                          <w:spacing w:line="246" w:lineRule="exact"/>
                          <w:ind w:left="258" w:right="-15"/>
                          <w:rPr>
                            <w:rFonts w:ascii="仿宋"/>
                            <w:sz w:val="21"/>
                          </w:rPr>
                        </w:pPr>
                        <w:r>
                          <w:rPr>
                            <w:rFonts w:ascii="仿宋"/>
                            <w:sz w:val="21"/>
                          </w:rPr>
                          <w:t>10.23</w:t>
                        </w:r>
                      </w:p>
                    </w:tc>
                    <w:tc>
                      <w:tcPr>
                        <w:tcW w:w="2601" w:type="dxa"/>
                        <w:tcBorders>
                          <w:right w:val="single" w:sz="4" w:space="0" w:color="000000"/>
                        </w:tcBorders>
                      </w:tcPr>
                      <w:p>
                        <w:pPr>
                          <w:pStyle w:val="TableParagraph"/>
                          <w:spacing w:line="246" w:lineRule="exact"/>
                          <w:ind w:left="114"/>
                          <w:rPr>
                            <w:rFonts w:ascii="仿宋" w:eastAsia="仿宋" w:hint="eastAsia"/>
                            <w:sz w:val="21"/>
                          </w:rPr>
                        </w:pPr>
                        <w:r>
                          <w:rPr>
                            <w:rFonts w:ascii="仿宋" w:eastAsia="仿宋" w:hint="eastAsia"/>
                            <w:sz w:val="21"/>
                          </w:rPr>
                          <w:t>永久不可逆</w:t>
                        </w:r>
                      </w:p>
                    </w:tc>
                  </w:tr>
                  <w:tr>
                    <w:trPr>
                      <w:trHeight w:val="369" w:hRule="atLeast"/>
                    </w:trPr>
                    <w:tc>
                      <w:tcPr>
                        <w:tcW w:w="2618" w:type="dxa"/>
                        <w:tcBorders>
                          <w:left w:val="single" w:sz="4" w:space="0" w:color="000000"/>
                          <w:bottom w:val="single" w:sz="4" w:space="0" w:color="000000"/>
                        </w:tcBorders>
                      </w:tcPr>
                      <w:p>
                        <w:pPr>
                          <w:pStyle w:val="TableParagraph"/>
                          <w:spacing w:line="270" w:lineRule="exact"/>
                          <w:ind w:left="105"/>
                          <w:rPr>
                            <w:rFonts w:ascii="Microsoft JhengHei" w:eastAsia="Microsoft JhengHei" w:hint="eastAsia"/>
                            <w:b/>
                            <w:sz w:val="21"/>
                          </w:rPr>
                        </w:pPr>
                        <w:r>
                          <w:rPr>
                            <w:rFonts w:ascii="等线" w:eastAsia="等线" w:hint="eastAsia"/>
                            <w:b/>
                            <w:sz w:val="21"/>
                          </w:rPr>
                          <w:t>5.</w:t>
                        </w:r>
                        <w:r>
                          <w:rPr>
                            <w:rFonts w:ascii="Microsoft JhengHei" w:eastAsia="Microsoft JhengHei" w:hint="eastAsia"/>
                            <w:b/>
                            <w:sz w:val="21"/>
                          </w:rPr>
                          <w:t>现金价值权益</w:t>
                        </w:r>
                      </w:p>
                    </w:tc>
                    <w:tc>
                      <w:tcPr>
                        <w:tcW w:w="3596" w:type="dxa"/>
                        <w:tcBorders>
                          <w:bottom w:val="single" w:sz="4" w:space="0" w:color="000000"/>
                        </w:tcBorders>
                      </w:tcPr>
                      <w:p>
                        <w:pPr>
                          <w:pStyle w:val="TableParagraph"/>
                          <w:spacing w:line="246" w:lineRule="exact"/>
                          <w:ind w:left="617"/>
                          <w:rPr>
                            <w:rFonts w:ascii="仿宋" w:eastAsia="仿宋" w:hint="eastAsia"/>
                            <w:sz w:val="21"/>
                          </w:rPr>
                        </w:pPr>
                        <w:r>
                          <w:rPr>
                            <w:rFonts w:ascii="仿宋" w:eastAsia="仿宋" w:hint="eastAsia"/>
                            <w:sz w:val="21"/>
                          </w:rPr>
                          <w:t>10.5 医疗机构</w:t>
                        </w:r>
                      </w:p>
                    </w:tc>
                    <w:tc>
                      <w:tcPr>
                        <w:tcW w:w="776" w:type="dxa"/>
                        <w:tcBorders>
                          <w:bottom w:val="single" w:sz="4" w:space="0" w:color="000000"/>
                        </w:tcBorders>
                      </w:tcPr>
                      <w:p>
                        <w:pPr>
                          <w:pStyle w:val="TableParagraph"/>
                          <w:rPr>
                            <w:rFonts w:ascii="Times New Roman"/>
                            <w:sz w:val="20"/>
                          </w:rPr>
                        </w:pPr>
                      </w:p>
                    </w:tc>
                    <w:tc>
                      <w:tcPr>
                        <w:tcW w:w="2601" w:type="dxa"/>
                        <w:tcBorders>
                          <w:bottom w:val="single" w:sz="4" w:space="0" w:color="000000"/>
                          <w:right w:val="single" w:sz="4" w:space="0" w:color="000000"/>
                        </w:tcBorders>
                      </w:tcPr>
                      <w:p>
                        <w:pPr>
                          <w:pStyle w:val="TableParagraph"/>
                          <w:rPr>
                            <w:rFonts w:ascii="Times New Roman"/>
                            <w:sz w:val="20"/>
                          </w:rPr>
                        </w:pPr>
                      </w:p>
                    </w:tc>
                  </w:tr>
                </w:tbl>
                <w:p>
                  <w:pPr>
                    <w:pStyle w:val="BodyText"/>
                    <w:spacing w:before="0"/>
                    <w:ind w:left="0"/>
                  </w:pPr>
                </w:p>
              </w:txbxContent>
            </v:textbox>
            <w10:wrap type="none"/>
          </v:shape>
        </w:pict>
      </w:r>
      <w:r>
        <w:rPr>
          <w:rFonts w:ascii="Times New Roman" w:eastAsia="Times New Roman"/>
          <w:b/>
          <w:position w:val="-11"/>
          <w:sz w:val="52"/>
        </w:rPr>
        <w:t>C</w:t>
        <w:tab/>
      </w:r>
      <w:r>
        <w:rPr>
          <w:rFonts w:ascii="Microsoft JhengHei" w:eastAsia="Microsoft JhengHei" w:hint="eastAsia"/>
          <w:b/>
          <w:spacing w:val="-1"/>
          <w:sz w:val="21"/>
        </w:rPr>
        <w:t>条款目录</w:t>
      </w:r>
      <w:r>
        <w:rPr>
          <w:sz w:val="21"/>
        </w:rPr>
        <w:t> </w:t>
      </w:r>
    </w:p>
    <w:p>
      <w:pPr>
        <w:spacing w:after="0" w:line="498" w:lineRule="exact"/>
        <w:jc w:val="left"/>
        <w:rPr>
          <w:sz w:val="21"/>
        </w:rPr>
        <w:sectPr>
          <w:footerReference w:type="default" r:id="rId5"/>
          <w:type w:val="continuous"/>
          <w:pgSz w:w="11900" w:h="16840"/>
          <w:pgMar w:footer="1204" w:top="820" w:bottom="1400" w:left="740" w:right="740"/>
          <w:pgNumType w:start="1"/>
        </w:sectPr>
      </w:pPr>
    </w:p>
    <w:p>
      <w:pPr>
        <w:spacing w:line="485" w:lineRule="exact" w:before="0"/>
        <w:ind w:left="2671" w:right="0" w:firstLine="0"/>
        <w:jc w:val="left"/>
        <w:rPr>
          <w:rFonts w:ascii="微软雅黑" w:eastAsia="微软雅黑" w:hint="eastAsia"/>
          <w:b/>
          <w:sz w:val="32"/>
        </w:rPr>
      </w:pPr>
      <w:r>
        <w:rPr>
          <w:rFonts w:ascii="微软雅黑" w:eastAsia="微软雅黑" w:hint="eastAsia"/>
          <w:b/>
          <w:sz w:val="32"/>
        </w:rPr>
        <w:t>嘉禾健康保重大疾病保险条款</w:t>
      </w:r>
    </w:p>
    <w:p>
      <w:pPr>
        <w:pStyle w:val="BodyText"/>
        <w:spacing w:line="273" w:lineRule="auto" w:before="107"/>
        <w:ind w:left="422" w:right="591" w:firstLine="420"/>
      </w:pPr>
      <w:r>
        <w:rPr>
          <w:spacing w:val="-7"/>
          <w:w w:val="100"/>
        </w:rPr>
        <w:t>在本条款中，“您”指投保人，“我们”指嘉禾人寿保险股份有限公司，“本主险合同”</w:t>
      </w:r>
      <w:r>
        <w:rPr>
          <w:spacing w:val="-3"/>
        </w:rPr>
        <w:t>指您与我们之间订立的“嘉禾健康保重大疾病保险合同”。</w:t>
      </w:r>
      <w:r>
        <w:rPr/>
        <w:t> </w:t>
      </w:r>
    </w:p>
    <w:p>
      <w:pPr>
        <w:pStyle w:val="BodyText"/>
        <w:spacing w:before="7"/>
        <w:ind w:left="600"/>
      </w:pPr>
      <w:r>
        <w:rPr>
          <w:w w:val="100"/>
        </w:rPr>
        <w:t> </w:t>
      </w:r>
    </w:p>
    <w:p>
      <w:pPr>
        <w:pStyle w:val="Heading1"/>
        <w:tabs>
          <w:tab w:pos="969" w:val="left" w:leader="none"/>
        </w:tabs>
        <w:ind w:left="226" w:firstLine="0"/>
      </w:pPr>
      <w:r>
        <w:rPr/>
        <w:pict>
          <v:group style="position:absolute;margin-left:65.760002pt;margin-top:37.513622pt;width:463.8pt;height:1pt;mso-position-horizontal-relative:page;mso-position-vertical-relative:paragraph;z-index:1120;mso-wrap-distance-left:0;mso-wrap-distance-right:0" coordorigin="1315,750" coordsize="9276,20">
            <v:line style="position:absolute" from="1315,760" to="2062,760" stroked="true" strokeweight=".96pt" strokecolor="#000000">
              <v:stroke dashstyle="solid"/>
            </v:line>
            <v:rect style="position:absolute;left:2061;top:750;width:20;height:20" filled="true" fillcolor="#000000" stroked="false">
              <v:fill type="solid"/>
            </v:rect>
            <v:line style="position:absolute" from="2081,760" to="3466,760" stroked="true" strokeweight=".96pt" strokecolor="#000000">
              <v:stroke dashstyle="solid"/>
            </v:line>
            <v:rect style="position:absolute;left:3465;top:750;width:20;height:20" filled="true" fillcolor="#000000" stroked="false">
              <v:fill type="solid"/>
            </v:rect>
            <v:line style="position:absolute" from="3485,760" to="10591,760" stroked="true" strokeweight=".96pt" strokecolor="#000000">
              <v:stroke dashstyle="solid"/>
            </v:line>
            <w10:wrap type="topAndBottom"/>
          </v:group>
        </w:pict>
      </w:r>
      <w:r>
        <w:rPr>
          <w:rFonts w:ascii="Times New Roman" w:eastAsia="Times New Roman"/>
          <w:position w:val="-3"/>
          <w:sz w:val="40"/>
        </w:rPr>
        <w:t>u</w:t>
        <w:tab/>
      </w:r>
      <w:r>
        <w:rPr/>
        <w:t>您与我们订立的合同</w:t>
      </w:r>
    </w:p>
    <w:p>
      <w:pPr>
        <w:pStyle w:val="BodyText"/>
        <w:tabs>
          <w:tab w:pos="969" w:val="left" w:leader="none"/>
          <w:tab w:pos="2373" w:val="left" w:leader="none"/>
        </w:tabs>
        <w:spacing w:before="39"/>
        <w:ind w:left="223"/>
      </w:pPr>
      <w:r>
        <w:rPr>
          <w:w w:val="100"/>
        </w:rPr>
        <w:t> </w:t>
      </w:r>
      <w:r>
        <w:rPr/>
        <w:tab/>
      </w:r>
      <w:r>
        <w:rPr>
          <w:w w:val="100"/>
        </w:rPr>
        <w:t> </w:t>
      </w:r>
      <w:r>
        <w:rPr/>
        <w:tab/>
      </w:r>
      <w:r>
        <w:rPr>
          <w:w w:val="100"/>
        </w:rPr>
        <w:t> </w:t>
      </w:r>
    </w:p>
    <w:p>
      <w:pPr>
        <w:pStyle w:val="ListParagraph"/>
        <w:numPr>
          <w:ilvl w:val="1"/>
          <w:numId w:val="3"/>
        </w:numPr>
        <w:tabs>
          <w:tab w:pos="970" w:val="left" w:leader="none"/>
          <w:tab w:pos="2373" w:val="left" w:leader="none"/>
        </w:tabs>
        <w:spacing w:line="259" w:lineRule="auto" w:before="46" w:after="0"/>
        <w:ind w:left="2373" w:right="231" w:hanging="2150"/>
        <w:jc w:val="both"/>
        <w:rPr>
          <w:sz w:val="21"/>
        </w:rPr>
      </w:pPr>
      <w:r>
        <w:rPr>
          <w:rFonts w:ascii="Microsoft JhengHei" w:eastAsia="Microsoft JhengHei" w:hint="eastAsia"/>
          <w:b/>
          <w:sz w:val="21"/>
        </w:rPr>
        <w:t>1     </w:t>
      </w:r>
      <w:r>
        <w:rPr>
          <w:rFonts w:ascii="Microsoft JhengHei" w:eastAsia="Microsoft JhengHei" w:hint="eastAsia"/>
          <w:b/>
          <w:spacing w:val="15"/>
          <w:sz w:val="21"/>
        </w:rPr>
        <w:t> </w:t>
      </w:r>
      <w:r>
        <w:rPr>
          <w:rFonts w:ascii="Microsoft JhengHei" w:eastAsia="Microsoft JhengHei" w:hint="eastAsia"/>
          <w:b/>
          <w:sz w:val="21"/>
        </w:rPr>
        <w:t>合 同 构成</w:t>
        <w:tab/>
      </w:r>
      <w:r>
        <w:rPr>
          <w:sz w:val="21"/>
        </w:rPr>
        <w:t>本主</w:t>
      </w:r>
      <w:r>
        <w:rPr>
          <w:spacing w:val="-3"/>
          <w:sz w:val="21"/>
        </w:rPr>
        <w:t>险</w:t>
      </w:r>
      <w:r>
        <w:rPr>
          <w:sz w:val="21"/>
        </w:rPr>
        <w:t>合</w:t>
      </w:r>
      <w:r>
        <w:rPr>
          <w:spacing w:val="-3"/>
          <w:sz w:val="21"/>
        </w:rPr>
        <w:t>同</w:t>
      </w:r>
      <w:r>
        <w:rPr>
          <w:sz w:val="21"/>
        </w:rPr>
        <w:t>是</w:t>
      </w:r>
      <w:r>
        <w:rPr>
          <w:spacing w:val="-3"/>
          <w:sz w:val="21"/>
        </w:rPr>
        <w:t>您</w:t>
      </w:r>
      <w:r>
        <w:rPr>
          <w:sz w:val="21"/>
        </w:rPr>
        <w:t>与</w:t>
      </w:r>
      <w:r>
        <w:rPr>
          <w:spacing w:val="-3"/>
          <w:sz w:val="21"/>
        </w:rPr>
        <w:t>我</w:t>
      </w:r>
      <w:r>
        <w:rPr>
          <w:sz w:val="21"/>
        </w:rPr>
        <w:t>们</w:t>
      </w:r>
      <w:r>
        <w:rPr>
          <w:spacing w:val="-3"/>
          <w:sz w:val="21"/>
        </w:rPr>
        <w:t>约</w:t>
      </w:r>
      <w:r>
        <w:rPr>
          <w:sz w:val="21"/>
        </w:rPr>
        <w:t>定保</w:t>
      </w:r>
      <w:r>
        <w:rPr>
          <w:spacing w:val="-3"/>
          <w:sz w:val="21"/>
        </w:rPr>
        <w:t>险</w:t>
      </w:r>
      <w:r>
        <w:rPr>
          <w:sz w:val="21"/>
        </w:rPr>
        <w:t>权</w:t>
      </w:r>
      <w:r>
        <w:rPr>
          <w:spacing w:val="-3"/>
          <w:sz w:val="21"/>
        </w:rPr>
        <w:t>利</w:t>
      </w:r>
      <w:r>
        <w:rPr>
          <w:sz w:val="21"/>
        </w:rPr>
        <w:t>义</w:t>
      </w:r>
      <w:r>
        <w:rPr>
          <w:spacing w:val="-3"/>
          <w:sz w:val="21"/>
        </w:rPr>
        <w:t>务</w:t>
      </w:r>
      <w:r>
        <w:rPr>
          <w:sz w:val="21"/>
        </w:rPr>
        <w:t>关</w:t>
      </w:r>
      <w:r>
        <w:rPr>
          <w:spacing w:val="-3"/>
          <w:sz w:val="21"/>
        </w:rPr>
        <w:t>系</w:t>
      </w:r>
      <w:r>
        <w:rPr>
          <w:sz w:val="21"/>
        </w:rPr>
        <w:t>的</w:t>
      </w:r>
      <w:r>
        <w:rPr>
          <w:spacing w:val="-3"/>
          <w:sz w:val="21"/>
        </w:rPr>
        <w:t>协</w:t>
      </w:r>
      <w:r>
        <w:rPr>
          <w:sz w:val="21"/>
        </w:rPr>
        <w:t>议</w:t>
      </w:r>
      <w:r>
        <w:rPr>
          <w:spacing w:val="-12"/>
          <w:sz w:val="21"/>
        </w:rPr>
        <w:t>，</w:t>
      </w:r>
      <w:r>
        <w:rPr>
          <w:sz w:val="21"/>
        </w:rPr>
        <w:t>包</w:t>
      </w:r>
      <w:r>
        <w:rPr>
          <w:spacing w:val="-3"/>
          <w:sz w:val="21"/>
        </w:rPr>
        <w:t>括</w:t>
      </w:r>
      <w:r>
        <w:rPr>
          <w:sz w:val="21"/>
        </w:rPr>
        <w:t>本</w:t>
      </w:r>
      <w:r>
        <w:rPr>
          <w:spacing w:val="-3"/>
          <w:sz w:val="21"/>
        </w:rPr>
        <w:t>保</w:t>
      </w:r>
      <w:r>
        <w:rPr>
          <w:sz w:val="21"/>
        </w:rPr>
        <w:t>险</w:t>
      </w:r>
      <w:r>
        <w:rPr>
          <w:spacing w:val="-3"/>
          <w:sz w:val="21"/>
        </w:rPr>
        <w:t>条款</w:t>
      </w:r>
      <w:r>
        <w:rPr>
          <w:spacing w:val="-10"/>
          <w:sz w:val="21"/>
        </w:rPr>
        <w:t>、保 </w:t>
      </w:r>
      <w:r>
        <w:rPr>
          <w:sz w:val="21"/>
        </w:rPr>
        <w:t>险单</w:t>
      </w:r>
      <w:r>
        <w:rPr>
          <w:spacing w:val="-3"/>
          <w:sz w:val="21"/>
        </w:rPr>
        <w:t>或</w:t>
      </w:r>
      <w:r>
        <w:rPr>
          <w:sz w:val="21"/>
        </w:rPr>
        <w:t>其</w:t>
      </w:r>
      <w:r>
        <w:rPr>
          <w:spacing w:val="-3"/>
          <w:sz w:val="21"/>
        </w:rPr>
        <w:t>他</w:t>
      </w:r>
      <w:r>
        <w:rPr>
          <w:sz w:val="21"/>
        </w:rPr>
        <w:t>保</w:t>
      </w:r>
      <w:r>
        <w:rPr>
          <w:spacing w:val="-3"/>
          <w:sz w:val="21"/>
        </w:rPr>
        <w:t>险</w:t>
      </w:r>
      <w:r>
        <w:rPr>
          <w:sz w:val="21"/>
        </w:rPr>
        <w:t>凭</w:t>
      </w:r>
      <w:r>
        <w:rPr>
          <w:spacing w:val="-3"/>
          <w:sz w:val="21"/>
        </w:rPr>
        <w:t>证</w:t>
      </w:r>
      <w:r>
        <w:rPr>
          <w:spacing w:val="-8"/>
          <w:sz w:val="21"/>
        </w:rPr>
        <w:t>、</w:t>
      </w:r>
      <w:r>
        <w:rPr>
          <w:spacing w:val="-3"/>
          <w:sz w:val="21"/>
        </w:rPr>
        <w:t>投</w:t>
      </w:r>
      <w:r>
        <w:rPr>
          <w:sz w:val="21"/>
        </w:rPr>
        <w:t>保单</w:t>
      </w:r>
      <w:r>
        <w:rPr>
          <w:spacing w:val="-10"/>
          <w:sz w:val="21"/>
        </w:rPr>
        <w:t>、</w:t>
      </w:r>
      <w:r>
        <w:rPr>
          <w:sz w:val="21"/>
        </w:rPr>
        <w:t>与</w:t>
      </w:r>
      <w:r>
        <w:rPr>
          <w:spacing w:val="-3"/>
          <w:sz w:val="21"/>
        </w:rPr>
        <w:t>本</w:t>
      </w:r>
      <w:r>
        <w:rPr>
          <w:sz w:val="21"/>
        </w:rPr>
        <w:t>主</w:t>
      </w:r>
      <w:r>
        <w:rPr>
          <w:spacing w:val="-3"/>
          <w:sz w:val="21"/>
        </w:rPr>
        <w:t>险</w:t>
      </w:r>
      <w:r>
        <w:rPr>
          <w:sz w:val="21"/>
        </w:rPr>
        <w:t>合</w:t>
      </w:r>
      <w:r>
        <w:rPr>
          <w:spacing w:val="-3"/>
          <w:sz w:val="21"/>
        </w:rPr>
        <w:t>同</w:t>
      </w:r>
      <w:r>
        <w:rPr>
          <w:sz w:val="21"/>
        </w:rPr>
        <w:t>有</w:t>
      </w:r>
      <w:r>
        <w:rPr>
          <w:spacing w:val="-3"/>
          <w:sz w:val="21"/>
        </w:rPr>
        <w:t>关</w:t>
      </w:r>
      <w:r>
        <w:rPr>
          <w:sz w:val="21"/>
        </w:rPr>
        <w:t>的投</w:t>
      </w:r>
      <w:r>
        <w:rPr>
          <w:spacing w:val="-3"/>
          <w:sz w:val="21"/>
        </w:rPr>
        <w:t>保</w:t>
      </w:r>
      <w:r>
        <w:rPr>
          <w:sz w:val="21"/>
        </w:rPr>
        <w:t>文</w:t>
      </w:r>
      <w:r>
        <w:rPr>
          <w:spacing w:val="-3"/>
          <w:sz w:val="21"/>
        </w:rPr>
        <w:t>件</w:t>
      </w:r>
      <w:r>
        <w:rPr>
          <w:spacing w:val="-8"/>
          <w:sz w:val="21"/>
        </w:rPr>
        <w:t>、</w:t>
      </w:r>
      <w:r>
        <w:rPr>
          <w:spacing w:val="-3"/>
          <w:sz w:val="21"/>
        </w:rPr>
        <w:t>合</w:t>
      </w:r>
      <w:r>
        <w:rPr>
          <w:sz w:val="21"/>
        </w:rPr>
        <w:t>法</w:t>
      </w:r>
      <w:r>
        <w:rPr>
          <w:spacing w:val="-3"/>
          <w:sz w:val="21"/>
        </w:rPr>
        <w:t>有</w:t>
      </w:r>
      <w:r>
        <w:rPr>
          <w:sz w:val="21"/>
        </w:rPr>
        <w:t>效的声明</w:t>
      </w:r>
      <w:r>
        <w:rPr>
          <w:spacing w:val="-3"/>
          <w:sz w:val="21"/>
        </w:rPr>
        <w:t>、</w:t>
      </w:r>
      <w:r>
        <w:rPr>
          <w:sz w:val="21"/>
        </w:rPr>
        <w:t>批</w:t>
      </w:r>
      <w:r>
        <w:rPr>
          <w:spacing w:val="-3"/>
          <w:sz w:val="21"/>
        </w:rPr>
        <w:t>注</w:t>
      </w:r>
      <w:r>
        <w:rPr>
          <w:sz w:val="21"/>
        </w:rPr>
        <w:t>、</w:t>
      </w:r>
      <w:r>
        <w:rPr>
          <w:spacing w:val="-3"/>
          <w:sz w:val="21"/>
        </w:rPr>
        <w:t>批</w:t>
      </w:r>
      <w:r>
        <w:rPr>
          <w:sz w:val="21"/>
        </w:rPr>
        <w:t>单</w:t>
      </w:r>
      <w:r>
        <w:rPr>
          <w:spacing w:val="-3"/>
          <w:sz w:val="21"/>
        </w:rPr>
        <w:t>及</w:t>
      </w:r>
      <w:r>
        <w:rPr>
          <w:sz w:val="21"/>
        </w:rPr>
        <w:t>其</w:t>
      </w:r>
      <w:r>
        <w:rPr>
          <w:spacing w:val="-3"/>
          <w:sz w:val="21"/>
        </w:rPr>
        <w:t>他</w:t>
      </w:r>
      <w:r>
        <w:rPr>
          <w:sz w:val="21"/>
        </w:rPr>
        <w:t>您与</w:t>
      </w:r>
      <w:r>
        <w:rPr>
          <w:spacing w:val="-3"/>
          <w:sz w:val="21"/>
        </w:rPr>
        <w:t>我</w:t>
      </w:r>
      <w:r>
        <w:rPr>
          <w:sz w:val="21"/>
        </w:rPr>
        <w:t>们</w:t>
      </w:r>
      <w:r>
        <w:rPr>
          <w:spacing w:val="-3"/>
          <w:sz w:val="21"/>
        </w:rPr>
        <w:t>共</w:t>
      </w:r>
      <w:r>
        <w:rPr>
          <w:sz w:val="21"/>
        </w:rPr>
        <w:t>同</w:t>
      </w:r>
      <w:r>
        <w:rPr>
          <w:spacing w:val="-3"/>
          <w:sz w:val="21"/>
        </w:rPr>
        <w:t>认</w:t>
      </w:r>
      <w:r>
        <w:rPr>
          <w:sz w:val="21"/>
        </w:rPr>
        <w:t>可</w:t>
      </w:r>
      <w:r>
        <w:rPr>
          <w:spacing w:val="-3"/>
          <w:sz w:val="21"/>
        </w:rPr>
        <w:t>的</w:t>
      </w:r>
      <w:r>
        <w:rPr>
          <w:sz w:val="21"/>
        </w:rPr>
        <w:t>书</w:t>
      </w:r>
      <w:r>
        <w:rPr>
          <w:spacing w:val="-3"/>
          <w:sz w:val="21"/>
        </w:rPr>
        <w:t>面</w:t>
      </w:r>
      <w:r>
        <w:rPr>
          <w:sz w:val="21"/>
        </w:rPr>
        <w:t>协议</w:t>
      </w:r>
      <w:r>
        <w:rPr>
          <w:spacing w:val="-3"/>
          <w:sz w:val="21"/>
        </w:rPr>
        <w:t>。</w:t>
      </w:r>
      <w:r>
        <w:rPr>
          <w:sz w:val="21"/>
        </w:rPr>
        <w:t> </w:t>
      </w:r>
    </w:p>
    <w:p>
      <w:pPr>
        <w:pStyle w:val="BodyText"/>
        <w:tabs>
          <w:tab w:pos="969" w:val="left" w:leader="none"/>
          <w:tab w:pos="2373" w:val="left" w:leader="none"/>
        </w:tabs>
        <w:spacing w:before="99"/>
        <w:ind w:left="223"/>
      </w:pPr>
      <w:r>
        <w:rPr>
          <w:w w:val="100"/>
        </w:rPr>
        <w:t> </w:t>
      </w:r>
      <w:r>
        <w:rPr/>
        <w:tab/>
      </w:r>
      <w:r>
        <w:rPr>
          <w:w w:val="100"/>
        </w:rPr>
        <w:t> </w:t>
      </w:r>
      <w:r>
        <w:rPr/>
        <w:tab/>
      </w:r>
      <w:r>
        <w:rPr>
          <w:w w:val="100"/>
        </w:rPr>
        <w:t> </w:t>
      </w:r>
    </w:p>
    <w:p>
      <w:pPr>
        <w:spacing w:after="0"/>
        <w:sectPr>
          <w:pgSz w:w="11900" w:h="16840"/>
          <w:pgMar w:header="0" w:footer="1204" w:top="1460" w:bottom="1400" w:left="1200" w:right="1180"/>
        </w:sectPr>
      </w:pPr>
    </w:p>
    <w:p>
      <w:pPr>
        <w:pStyle w:val="Heading2"/>
        <w:numPr>
          <w:ilvl w:val="1"/>
          <w:numId w:val="3"/>
        </w:numPr>
        <w:tabs>
          <w:tab w:pos="969" w:val="left" w:leader="none"/>
          <w:tab w:pos="970" w:val="left" w:leader="none"/>
        </w:tabs>
        <w:spacing w:line="204" w:lineRule="auto" w:before="102" w:after="0"/>
        <w:ind w:left="969" w:right="0" w:hanging="746"/>
        <w:jc w:val="left"/>
      </w:pPr>
      <w:r>
        <w:rPr>
          <w:w w:val="95"/>
        </w:rPr>
        <w:t>2</w:t>
        <w:tab/>
        <w:t>合同成立 </w:t>
      </w:r>
      <w:r>
        <w:rPr/>
        <w:t>与生效</w:t>
      </w:r>
    </w:p>
    <w:p>
      <w:pPr>
        <w:pStyle w:val="BodyText"/>
        <w:spacing w:before="0"/>
        <w:ind w:left="0"/>
        <w:rPr>
          <w:rFonts w:ascii="Microsoft JhengHei"/>
          <w:b/>
          <w:sz w:val="20"/>
        </w:rPr>
      </w:pPr>
    </w:p>
    <w:p>
      <w:pPr>
        <w:pStyle w:val="BodyText"/>
        <w:spacing w:before="0"/>
        <w:ind w:left="0"/>
        <w:rPr>
          <w:rFonts w:ascii="Microsoft JhengHei"/>
          <w:b/>
          <w:sz w:val="20"/>
        </w:rPr>
      </w:pPr>
    </w:p>
    <w:p>
      <w:pPr>
        <w:pStyle w:val="BodyText"/>
        <w:spacing w:before="0"/>
        <w:ind w:left="0"/>
        <w:rPr>
          <w:rFonts w:ascii="Microsoft JhengHei"/>
          <w:b/>
          <w:sz w:val="20"/>
        </w:rPr>
      </w:pPr>
    </w:p>
    <w:p>
      <w:pPr>
        <w:pStyle w:val="BodyText"/>
        <w:spacing w:before="0"/>
        <w:ind w:left="0"/>
        <w:rPr>
          <w:rFonts w:ascii="Microsoft JhengHei"/>
          <w:b/>
          <w:sz w:val="20"/>
        </w:rPr>
      </w:pPr>
    </w:p>
    <w:p>
      <w:pPr>
        <w:pStyle w:val="BodyText"/>
        <w:spacing w:before="6"/>
        <w:ind w:left="0"/>
        <w:rPr>
          <w:rFonts w:ascii="Microsoft JhengHei"/>
          <w:b/>
          <w:sz w:val="19"/>
        </w:rPr>
      </w:pPr>
    </w:p>
    <w:p>
      <w:pPr>
        <w:pStyle w:val="BodyText"/>
        <w:tabs>
          <w:tab w:pos="969" w:val="left" w:leader="none"/>
        </w:tabs>
        <w:spacing w:before="0"/>
        <w:ind w:left="223"/>
      </w:pPr>
      <w:r>
        <w:rPr>
          <w:w w:val="100"/>
        </w:rPr>
        <w:t> </w:t>
      </w:r>
      <w:r>
        <w:rPr/>
        <w:tab/>
      </w:r>
      <w:r>
        <w:rPr>
          <w:w w:val="100"/>
        </w:rPr>
        <w:t> </w:t>
      </w:r>
    </w:p>
    <w:p>
      <w:pPr>
        <w:pStyle w:val="BodyText"/>
        <w:spacing w:line="312" w:lineRule="exact" w:before="109"/>
        <w:ind w:left="223" w:right="231"/>
        <w:jc w:val="both"/>
      </w:pPr>
      <w:r>
        <w:rPr/>
        <w:br w:type="column"/>
      </w:r>
      <w:r>
        <w:rPr>
          <w:spacing w:val="-6"/>
        </w:rPr>
        <w:t>您提出保险申请、我们同意承保，本主险合同成立，本主险合同的成立日以保险单上载明的为准。自本主险合同成立、我们签发保险单的次日零时起本主险合同生效，本主险合同的生效日以保险单上载明的为准。</w:t>
      </w:r>
      <w:r>
        <w:rPr>
          <w:rFonts w:ascii="Microsoft JhengHei" w:eastAsia="Microsoft JhengHei" w:hint="eastAsia"/>
          <w:b/>
          <w:spacing w:val="-2"/>
        </w:rPr>
        <w:t>保单年度</w:t>
      </w:r>
      <w:r>
        <w:rPr>
          <w:spacing w:val="-3"/>
        </w:rPr>
        <w:t>（见</w:t>
      </w:r>
    </w:p>
    <w:p>
      <w:pPr>
        <w:spacing w:line="303" w:lineRule="exact" w:before="0"/>
        <w:ind w:left="223" w:right="0" w:firstLine="0"/>
        <w:jc w:val="left"/>
        <w:rPr>
          <w:sz w:val="21"/>
        </w:rPr>
      </w:pPr>
      <w:r>
        <w:rPr>
          <w:w w:val="100"/>
          <w:sz w:val="21"/>
        </w:rPr>
        <w:t>10.1</w:t>
      </w:r>
      <w:r>
        <w:rPr>
          <w:spacing w:val="-108"/>
          <w:w w:val="100"/>
          <w:sz w:val="21"/>
        </w:rPr>
        <w:t>）</w:t>
      </w:r>
      <w:r>
        <w:rPr>
          <w:spacing w:val="-3"/>
          <w:w w:val="100"/>
          <w:sz w:val="21"/>
        </w:rPr>
        <w:t>、</w:t>
      </w:r>
      <w:r>
        <w:rPr>
          <w:rFonts w:ascii="Microsoft JhengHei" w:eastAsia="Microsoft JhengHei" w:hint="eastAsia"/>
          <w:b/>
          <w:spacing w:val="-1"/>
          <w:w w:val="100"/>
          <w:sz w:val="21"/>
        </w:rPr>
        <w:t>保险费约定支付日</w:t>
      </w:r>
      <w:r>
        <w:rPr>
          <w:w w:val="100"/>
          <w:sz w:val="21"/>
        </w:rPr>
        <w:t>（见</w:t>
      </w:r>
      <w:r>
        <w:rPr>
          <w:spacing w:val="-53"/>
          <w:sz w:val="21"/>
        </w:rPr>
        <w:t> </w:t>
      </w:r>
      <w:r>
        <w:rPr>
          <w:spacing w:val="-3"/>
          <w:w w:val="100"/>
          <w:sz w:val="21"/>
        </w:rPr>
        <w:t>1</w:t>
      </w:r>
      <w:r>
        <w:rPr>
          <w:w w:val="100"/>
          <w:sz w:val="21"/>
        </w:rPr>
        <w:t>0.</w:t>
      </w:r>
      <w:r>
        <w:rPr>
          <w:spacing w:val="-3"/>
          <w:w w:val="100"/>
          <w:sz w:val="21"/>
        </w:rPr>
        <w:t>2</w:t>
      </w:r>
      <w:r>
        <w:rPr>
          <w:w w:val="100"/>
          <w:sz w:val="21"/>
        </w:rPr>
        <w:t>）</w:t>
      </w:r>
      <w:r>
        <w:rPr>
          <w:spacing w:val="-3"/>
          <w:w w:val="100"/>
          <w:sz w:val="21"/>
        </w:rPr>
        <w:t>均以该日期计算。</w:t>
      </w:r>
    </w:p>
    <w:p>
      <w:pPr>
        <w:pStyle w:val="BodyText"/>
        <w:spacing w:line="271" w:lineRule="auto" w:before="93"/>
        <w:ind w:left="223" w:right="231"/>
      </w:pPr>
      <w:r>
        <w:rPr>
          <w:spacing w:val="-5"/>
        </w:rPr>
        <w:t>我们自本主险合同生效、且收到您支付的首期保险费的次日零时开始承担本</w:t>
      </w:r>
      <w:r>
        <w:rPr>
          <w:spacing w:val="-6"/>
        </w:rPr>
        <w:t>主险合同的保险责任。自本主险合同生效日起 </w:t>
      </w:r>
      <w:r>
        <w:rPr/>
        <w:t>15</w:t>
      </w:r>
      <w:r>
        <w:rPr>
          <w:spacing w:val="-8"/>
        </w:rPr>
        <w:t> 日内，如果我们未收到首</w:t>
      </w:r>
      <w:r>
        <w:rPr>
          <w:spacing w:val="-5"/>
        </w:rPr>
        <w:t>期保险费，则本主险合同于生效日起第 </w:t>
      </w:r>
      <w:r>
        <w:rPr/>
        <w:t>16</w:t>
      </w:r>
      <w:r>
        <w:rPr>
          <w:spacing w:val="-8"/>
        </w:rPr>
        <w:t> 日零时起自动终止。</w:t>
      </w:r>
      <w:r>
        <w:rPr/>
        <w:t> </w:t>
      </w:r>
    </w:p>
    <w:p>
      <w:pPr>
        <w:spacing w:after="0" w:line="271" w:lineRule="auto"/>
        <w:sectPr>
          <w:type w:val="continuous"/>
          <w:pgSz w:w="11900" w:h="16840"/>
          <w:pgMar w:top="820" w:bottom="1400" w:left="1200" w:right="1180"/>
          <w:cols w:num="2" w:equalWidth="0">
            <w:col w:w="2026" w:space="124"/>
            <w:col w:w="7370"/>
          </w:cols>
        </w:sectPr>
      </w:pPr>
    </w:p>
    <w:p>
      <w:pPr>
        <w:pStyle w:val="ListParagraph"/>
        <w:numPr>
          <w:ilvl w:val="1"/>
          <w:numId w:val="4"/>
        </w:numPr>
        <w:tabs>
          <w:tab w:pos="969" w:val="left" w:leader="none"/>
          <w:tab w:pos="970" w:val="left" w:leader="none"/>
          <w:tab w:pos="2373" w:val="left" w:leader="none"/>
        </w:tabs>
        <w:spacing w:line="247" w:lineRule="auto" w:before="49" w:after="0"/>
        <w:ind w:left="2373" w:right="232" w:hanging="2150"/>
        <w:jc w:val="left"/>
        <w:rPr>
          <w:sz w:val="21"/>
        </w:rPr>
      </w:pPr>
      <w:r>
        <w:rPr>
          <w:rFonts w:ascii="Microsoft JhengHei" w:eastAsia="Microsoft JhengHei" w:hint="eastAsia"/>
          <w:b/>
          <w:sz w:val="21"/>
        </w:rPr>
        <w:t>3</w:t>
        <w:tab/>
        <w:t>投保年</w:t>
      </w:r>
      <w:r>
        <w:rPr>
          <w:rFonts w:ascii="Microsoft JhengHei" w:eastAsia="Microsoft JhengHei" w:hint="eastAsia"/>
          <w:b/>
          <w:spacing w:val="-3"/>
          <w:sz w:val="21"/>
        </w:rPr>
        <w:t>龄</w:t>
        <w:tab/>
      </w:r>
      <w:r>
        <w:rPr>
          <w:sz w:val="21"/>
        </w:rPr>
        <w:t>指投</w:t>
      </w:r>
      <w:r>
        <w:rPr>
          <w:spacing w:val="-3"/>
          <w:sz w:val="21"/>
        </w:rPr>
        <w:t>保</w:t>
      </w:r>
      <w:r>
        <w:rPr>
          <w:sz w:val="21"/>
        </w:rPr>
        <w:t>时</w:t>
      </w:r>
      <w:r>
        <w:rPr>
          <w:spacing w:val="-3"/>
          <w:sz w:val="21"/>
        </w:rPr>
        <w:t>被</w:t>
      </w:r>
      <w:r>
        <w:rPr>
          <w:sz w:val="21"/>
        </w:rPr>
        <w:t>保</w:t>
      </w:r>
      <w:r>
        <w:rPr>
          <w:spacing w:val="-3"/>
          <w:sz w:val="21"/>
        </w:rPr>
        <w:t>险</w:t>
      </w:r>
      <w:r>
        <w:rPr>
          <w:sz w:val="21"/>
        </w:rPr>
        <w:t>人</w:t>
      </w:r>
      <w:r>
        <w:rPr>
          <w:spacing w:val="-3"/>
          <w:sz w:val="21"/>
        </w:rPr>
        <w:t>的</w:t>
      </w:r>
      <w:r>
        <w:rPr>
          <w:sz w:val="21"/>
        </w:rPr>
        <w:t>年</w:t>
      </w:r>
      <w:r>
        <w:rPr>
          <w:spacing w:val="-3"/>
          <w:sz w:val="21"/>
        </w:rPr>
        <w:t>龄</w:t>
      </w:r>
      <w:r>
        <w:rPr>
          <w:spacing w:val="-20"/>
          <w:sz w:val="21"/>
        </w:rPr>
        <w:t>，</w:t>
      </w:r>
      <w:r>
        <w:rPr>
          <w:sz w:val="21"/>
        </w:rPr>
        <w:t>投</w:t>
      </w:r>
      <w:r>
        <w:rPr>
          <w:spacing w:val="-3"/>
          <w:sz w:val="21"/>
        </w:rPr>
        <w:t>保</w:t>
      </w:r>
      <w:r>
        <w:rPr>
          <w:sz w:val="21"/>
        </w:rPr>
        <w:t>年</w:t>
      </w:r>
      <w:r>
        <w:rPr>
          <w:spacing w:val="-3"/>
          <w:sz w:val="21"/>
        </w:rPr>
        <w:t>龄以</w:t>
      </w:r>
      <w:r>
        <w:rPr>
          <w:rFonts w:ascii="Microsoft JhengHei" w:eastAsia="Microsoft JhengHei" w:hint="eastAsia"/>
          <w:b/>
          <w:sz w:val="21"/>
        </w:rPr>
        <w:t>周</w:t>
      </w:r>
      <w:r>
        <w:rPr>
          <w:rFonts w:ascii="Microsoft JhengHei" w:eastAsia="Microsoft JhengHei" w:hint="eastAsia"/>
          <w:b/>
          <w:spacing w:val="-17"/>
          <w:sz w:val="21"/>
        </w:rPr>
        <w:t>岁</w:t>
      </w:r>
      <w:r>
        <w:rPr>
          <w:spacing w:val="-3"/>
          <w:sz w:val="21"/>
        </w:rPr>
        <w:t>（</w:t>
      </w:r>
      <w:r>
        <w:rPr>
          <w:sz w:val="21"/>
        </w:rPr>
        <w:t>见</w:t>
      </w:r>
      <w:r>
        <w:rPr>
          <w:spacing w:val="-39"/>
          <w:sz w:val="21"/>
        </w:rPr>
        <w:t> </w:t>
      </w:r>
      <w:r>
        <w:rPr>
          <w:spacing w:val="-6"/>
          <w:sz w:val="21"/>
        </w:rPr>
        <w:t>10.3）</w:t>
      </w:r>
      <w:r>
        <w:rPr>
          <w:spacing w:val="-3"/>
          <w:sz w:val="21"/>
        </w:rPr>
        <w:t>计</w:t>
      </w:r>
      <w:r>
        <w:rPr>
          <w:sz w:val="21"/>
        </w:rPr>
        <w:t>算</w:t>
      </w:r>
      <w:r>
        <w:rPr>
          <w:spacing w:val="-20"/>
          <w:sz w:val="21"/>
        </w:rPr>
        <w:t>，</w:t>
      </w:r>
      <w:r>
        <w:rPr>
          <w:spacing w:val="-3"/>
          <w:sz w:val="21"/>
        </w:rPr>
        <w:t>本</w:t>
      </w:r>
      <w:r>
        <w:rPr>
          <w:sz w:val="21"/>
        </w:rPr>
        <w:t>主</w:t>
      </w:r>
      <w:r>
        <w:rPr>
          <w:spacing w:val="-3"/>
          <w:sz w:val="21"/>
        </w:rPr>
        <w:t>险</w:t>
      </w:r>
      <w:r>
        <w:rPr>
          <w:sz w:val="21"/>
        </w:rPr>
        <w:t>合</w:t>
      </w:r>
      <w:r>
        <w:rPr>
          <w:spacing w:val="-3"/>
          <w:sz w:val="21"/>
        </w:rPr>
        <w:t>同</w:t>
      </w:r>
      <w:r>
        <w:rPr>
          <w:sz w:val="21"/>
        </w:rPr>
        <w:t>接受的</w:t>
      </w:r>
      <w:r>
        <w:rPr>
          <w:spacing w:val="-3"/>
          <w:sz w:val="21"/>
        </w:rPr>
        <w:t>投</w:t>
      </w:r>
      <w:r>
        <w:rPr>
          <w:sz w:val="21"/>
        </w:rPr>
        <w:t>保</w:t>
      </w:r>
      <w:r>
        <w:rPr>
          <w:spacing w:val="-3"/>
          <w:sz w:val="21"/>
        </w:rPr>
        <w:t>年龄</w:t>
      </w:r>
      <w:r>
        <w:rPr>
          <w:sz w:val="21"/>
        </w:rPr>
        <w:t>为</w:t>
      </w:r>
      <w:r>
        <w:rPr>
          <w:spacing w:val="-48"/>
          <w:sz w:val="21"/>
        </w:rPr>
        <w:t> </w:t>
      </w:r>
      <w:r>
        <w:rPr>
          <w:sz w:val="21"/>
        </w:rPr>
        <w:t>0</w:t>
      </w:r>
      <w:r>
        <w:rPr>
          <w:spacing w:val="-48"/>
          <w:sz w:val="21"/>
        </w:rPr>
        <w:t> </w:t>
      </w:r>
      <w:r>
        <w:rPr>
          <w:spacing w:val="-3"/>
          <w:sz w:val="21"/>
        </w:rPr>
        <w:t>周</w:t>
      </w:r>
      <w:r>
        <w:rPr>
          <w:sz w:val="21"/>
        </w:rPr>
        <w:t>岁</w:t>
      </w:r>
      <w:r>
        <w:rPr>
          <w:spacing w:val="-3"/>
          <w:sz w:val="21"/>
        </w:rPr>
        <w:t>（</w:t>
      </w:r>
      <w:r>
        <w:rPr>
          <w:sz w:val="21"/>
        </w:rPr>
        <w:t>指出</w:t>
      </w:r>
      <w:r>
        <w:rPr>
          <w:spacing w:val="-3"/>
          <w:sz w:val="21"/>
        </w:rPr>
        <w:t>生</w:t>
      </w:r>
      <w:r>
        <w:rPr>
          <w:sz w:val="21"/>
        </w:rPr>
        <w:t>满</w:t>
      </w:r>
      <w:r>
        <w:rPr>
          <w:spacing w:val="-48"/>
          <w:sz w:val="21"/>
        </w:rPr>
        <w:t> </w:t>
      </w:r>
      <w:r>
        <w:rPr>
          <w:sz w:val="21"/>
        </w:rPr>
        <w:t>30</w:t>
      </w:r>
      <w:r>
        <w:rPr>
          <w:spacing w:val="-48"/>
          <w:sz w:val="21"/>
        </w:rPr>
        <w:t> </w:t>
      </w:r>
      <w:r>
        <w:rPr>
          <w:spacing w:val="-3"/>
          <w:sz w:val="21"/>
        </w:rPr>
        <w:t>日</w:t>
      </w:r>
      <w:r>
        <w:rPr>
          <w:sz w:val="21"/>
        </w:rPr>
        <w:t>的</w:t>
      </w:r>
      <w:r>
        <w:rPr>
          <w:spacing w:val="-3"/>
          <w:sz w:val="21"/>
        </w:rPr>
        <w:t>婴</w:t>
      </w:r>
      <w:r>
        <w:rPr>
          <w:sz w:val="21"/>
        </w:rPr>
        <w:t>儿</w:t>
      </w:r>
      <w:r>
        <w:rPr>
          <w:spacing w:val="-3"/>
          <w:sz w:val="21"/>
        </w:rPr>
        <w:t>）</w:t>
      </w:r>
      <w:r>
        <w:rPr>
          <w:sz w:val="21"/>
        </w:rPr>
        <w:t>至</w:t>
      </w:r>
      <w:r>
        <w:rPr>
          <w:spacing w:val="-48"/>
          <w:sz w:val="21"/>
        </w:rPr>
        <w:t> </w:t>
      </w:r>
      <w:r>
        <w:rPr>
          <w:sz w:val="21"/>
        </w:rPr>
        <w:t>60</w:t>
      </w:r>
      <w:r>
        <w:rPr>
          <w:spacing w:val="-50"/>
          <w:sz w:val="21"/>
        </w:rPr>
        <w:t> </w:t>
      </w:r>
      <w:r>
        <w:rPr>
          <w:sz w:val="21"/>
        </w:rPr>
        <w:t>周</w:t>
      </w:r>
      <w:r>
        <w:rPr>
          <w:spacing w:val="-3"/>
          <w:sz w:val="21"/>
        </w:rPr>
        <w:t>岁。</w:t>
      </w:r>
      <w:r>
        <w:rPr>
          <w:sz w:val="21"/>
        </w:rPr>
        <w:t> </w:t>
      </w:r>
    </w:p>
    <w:p>
      <w:pPr>
        <w:pStyle w:val="BodyText"/>
        <w:tabs>
          <w:tab w:pos="969" w:val="left" w:leader="none"/>
        </w:tabs>
        <w:spacing w:before="110"/>
        <w:ind w:left="223"/>
      </w:pPr>
      <w:r>
        <w:rPr>
          <w:w w:val="100"/>
        </w:rPr>
        <w:t> </w:t>
      </w:r>
      <w:r>
        <w:rPr/>
        <w:tab/>
      </w:r>
      <w:r>
        <w:rPr>
          <w:w w:val="100"/>
        </w:rPr>
        <w:t> </w:t>
      </w:r>
    </w:p>
    <w:p>
      <w:pPr>
        <w:pStyle w:val="ListParagraph"/>
        <w:numPr>
          <w:ilvl w:val="1"/>
          <w:numId w:val="4"/>
        </w:numPr>
        <w:tabs>
          <w:tab w:pos="969" w:val="left" w:leader="none"/>
          <w:tab w:pos="970" w:val="left" w:leader="none"/>
          <w:tab w:pos="2373" w:val="left" w:leader="none"/>
        </w:tabs>
        <w:spacing w:line="259" w:lineRule="auto" w:before="49" w:after="0"/>
        <w:ind w:left="2373" w:right="107" w:hanging="2150"/>
        <w:jc w:val="left"/>
        <w:rPr>
          <w:sz w:val="21"/>
        </w:rPr>
      </w:pPr>
      <w:r>
        <w:rPr>
          <w:rFonts w:ascii="Microsoft JhengHei" w:eastAsia="Microsoft JhengHei" w:hint="eastAsia"/>
          <w:b/>
          <w:sz w:val="21"/>
        </w:rPr>
        <w:t>4</w:t>
        <w:tab/>
        <w:t>犹豫期</w:t>
        <w:tab/>
      </w:r>
      <w:r>
        <w:rPr>
          <w:sz w:val="21"/>
        </w:rPr>
        <w:t>自您</w:t>
      </w:r>
      <w:r>
        <w:rPr>
          <w:spacing w:val="-3"/>
          <w:sz w:val="21"/>
        </w:rPr>
        <w:t>签</w:t>
      </w:r>
      <w:r>
        <w:rPr>
          <w:sz w:val="21"/>
        </w:rPr>
        <w:t>收</w:t>
      </w:r>
      <w:r>
        <w:rPr>
          <w:spacing w:val="-3"/>
          <w:sz w:val="21"/>
        </w:rPr>
        <w:t>本</w:t>
      </w:r>
      <w:r>
        <w:rPr>
          <w:sz w:val="21"/>
        </w:rPr>
        <w:t>主</w:t>
      </w:r>
      <w:r>
        <w:rPr>
          <w:spacing w:val="-3"/>
          <w:sz w:val="21"/>
        </w:rPr>
        <w:t>险</w:t>
      </w:r>
      <w:r>
        <w:rPr>
          <w:sz w:val="21"/>
        </w:rPr>
        <w:t>合</w:t>
      </w:r>
      <w:r>
        <w:rPr>
          <w:spacing w:val="-3"/>
          <w:sz w:val="21"/>
        </w:rPr>
        <w:t>同</w:t>
      </w:r>
      <w:r>
        <w:rPr>
          <w:sz w:val="21"/>
        </w:rPr>
        <w:t>之</w:t>
      </w:r>
      <w:r>
        <w:rPr>
          <w:spacing w:val="-3"/>
          <w:sz w:val="21"/>
        </w:rPr>
        <w:t>日</w:t>
      </w:r>
      <w:r>
        <w:rPr>
          <w:sz w:val="21"/>
        </w:rPr>
        <w:t>起</w:t>
      </w:r>
      <w:r>
        <w:rPr>
          <w:spacing w:val="-12"/>
          <w:sz w:val="21"/>
        </w:rPr>
        <w:t>，</w:t>
      </w:r>
      <w:r>
        <w:rPr>
          <w:sz w:val="21"/>
        </w:rPr>
        <w:t>有</w:t>
      </w:r>
      <w:r>
        <w:rPr>
          <w:spacing w:val="-35"/>
          <w:sz w:val="21"/>
        </w:rPr>
        <w:t> </w:t>
      </w:r>
      <w:r>
        <w:rPr>
          <w:sz w:val="21"/>
        </w:rPr>
        <w:t>10</w:t>
      </w:r>
      <w:r>
        <w:rPr>
          <w:spacing w:val="-35"/>
          <w:sz w:val="21"/>
        </w:rPr>
        <w:t> </w:t>
      </w:r>
      <w:r>
        <w:rPr>
          <w:spacing w:val="-3"/>
          <w:sz w:val="21"/>
        </w:rPr>
        <w:t>日</w:t>
      </w:r>
      <w:r>
        <w:rPr>
          <w:sz w:val="21"/>
        </w:rPr>
        <w:t>的</w:t>
      </w:r>
      <w:r>
        <w:rPr>
          <w:spacing w:val="-3"/>
          <w:sz w:val="21"/>
        </w:rPr>
        <w:t>犹</w:t>
      </w:r>
      <w:r>
        <w:rPr>
          <w:sz w:val="21"/>
        </w:rPr>
        <w:t>豫</w:t>
      </w:r>
      <w:r>
        <w:rPr>
          <w:spacing w:val="-3"/>
          <w:sz w:val="21"/>
        </w:rPr>
        <w:t>期</w:t>
      </w:r>
      <w:r>
        <w:rPr>
          <w:spacing w:val="-10"/>
          <w:sz w:val="21"/>
        </w:rPr>
        <w:t>。</w:t>
      </w:r>
      <w:r>
        <w:rPr>
          <w:spacing w:val="-3"/>
          <w:sz w:val="21"/>
        </w:rPr>
        <w:t>请</w:t>
      </w:r>
      <w:r>
        <w:rPr>
          <w:sz w:val="21"/>
        </w:rPr>
        <w:t>您认</w:t>
      </w:r>
      <w:r>
        <w:rPr>
          <w:spacing w:val="-3"/>
          <w:sz w:val="21"/>
        </w:rPr>
        <w:t>真</w:t>
      </w:r>
      <w:r>
        <w:rPr>
          <w:sz w:val="21"/>
        </w:rPr>
        <w:t>审</w:t>
      </w:r>
      <w:r>
        <w:rPr>
          <w:spacing w:val="-3"/>
          <w:sz w:val="21"/>
        </w:rPr>
        <w:t>视</w:t>
      </w:r>
      <w:r>
        <w:rPr>
          <w:sz w:val="21"/>
        </w:rPr>
        <w:t>本</w:t>
      </w:r>
      <w:r>
        <w:rPr>
          <w:spacing w:val="-3"/>
          <w:sz w:val="21"/>
        </w:rPr>
        <w:t>主</w:t>
      </w:r>
      <w:r>
        <w:rPr>
          <w:sz w:val="21"/>
        </w:rPr>
        <w:t>险</w:t>
      </w:r>
      <w:r>
        <w:rPr>
          <w:spacing w:val="-3"/>
          <w:sz w:val="21"/>
        </w:rPr>
        <w:t>合</w:t>
      </w:r>
      <w:r>
        <w:rPr>
          <w:sz w:val="21"/>
        </w:rPr>
        <w:t>同，如果</w:t>
      </w:r>
      <w:r>
        <w:rPr>
          <w:spacing w:val="-3"/>
          <w:sz w:val="21"/>
        </w:rPr>
        <w:t>您</w:t>
      </w:r>
      <w:r>
        <w:rPr>
          <w:sz w:val="21"/>
        </w:rPr>
        <w:t>认</w:t>
      </w:r>
      <w:r>
        <w:rPr>
          <w:spacing w:val="-3"/>
          <w:sz w:val="21"/>
        </w:rPr>
        <w:t>为</w:t>
      </w:r>
      <w:r>
        <w:rPr>
          <w:sz w:val="21"/>
        </w:rPr>
        <w:t>本</w:t>
      </w:r>
      <w:r>
        <w:rPr>
          <w:spacing w:val="-3"/>
          <w:sz w:val="21"/>
        </w:rPr>
        <w:t>主</w:t>
      </w:r>
      <w:r>
        <w:rPr>
          <w:sz w:val="21"/>
        </w:rPr>
        <w:t>险</w:t>
      </w:r>
      <w:r>
        <w:rPr>
          <w:spacing w:val="-3"/>
          <w:sz w:val="21"/>
        </w:rPr>
        <w:t>合</w:t>
      </w:r>
      <w:r>
        <w:rPr>
          <w:sz w:val="21"/>
        </w:rPr>
        <w:t>同</w:t>
      </w:r>
      <w:r>
        <w:rPr>
          <w:spacing w:val="-3"/>
          <w:sz w:val="21"/>
        </w:rPr>
        <w:t>与</w:t>
      </w:r>
      <w:r>
        <w:rPr>
          <w:sz w:val="21"/>
        </w:rPr>
        <w:t>您的</w:t>
      </w:r>
      <w:r>
        <w:rPr>
          <w:spacing w:val="-3"/>
          <w:sz w:val="21"/>
        </w:rPr>
        <w:t>需</w:t>
      </w:r>
      <w:r>
        <w:rPr>
          <w:sz w:val="21"/>
        </w:rPr>
        <w:t>求</w:t>
      </w:r>
      <w:r>
        <w:rPr>
          <w:spacing w:val="-3"/>
          <w:sz w:val="21"/>
        </w:rPr>
        <w:t>不</w:t>
      </w:r>
      <w:r>
        <w:rPr>
          <w:sz w:val="21"/>
        </w:rPr>
        <w:t>相</w:t>
      </w:r>
      <w:r>
        <w:rPr>
          <w:spacing w:val="-3"/>
          <w:sz w:val="21"/>
        </w:rPr>
        <w:t>符</w:t>
      </w:r>
      <w:r>
        <w:rPr>
          <w:spacing w:val="-22"/>
          <w:sz w:val="21"/>
        </w:rPr>
        <w:t>，</w:t>
      </w:r>
      <w:r>
        <w:rPr>
          <w:spacing w:val="-3"/>
          <w:sz w:val="21"/>
        </w:rPr>
        <w:t>您</w:t>
      </w:r>
      <w:r>
        <w:rPr>
          <w:sz w:val="21"/>
        </w:rPr>
        <w:t>可</w:t>
      </w:r>
      <w:r>
        <w:rPr>
          <w:spacing w:val="-3"/>
          <w:sz w:val="21"/>
        </w:rPr>
        <w:t>以</w:t>
      </w:r>
      <w:r>
        <w:rPr>
          <w:sz w:val="21"/>
        </w:rPr>
        <w:t>在此</w:t>
      </w:r>
      <w:r>
        <w:rPr>
          <w:spacing w:val="-3"/>
          <w:sz w:val="21"/>
        </w:rPr>
        <w:t>期</w:t>
      </w:r>
      <w:r>
        <w:rPr>
          <w:sz w:val="21"/>
        </w:rPr>
        <w:t>间</w:t>
      </w:r>
      <w:r>
        <w:rPr>
          <w:spacing w:val="-3"/>
          <w:sz w:val="21"/>
        </w:rPr>
        <w:t>提</w:t>
      </w:r>
      <w:r>
        <w:rPr>
          <w:sz w:val="21"/>
        </w:rPr>
        <w:t>出</w:t>
      </w:r>
      <w:r>
        <w:rPr>
          <w:spacing w:val="-3"/>
          <w:sz w:val="21"/>
        </w:rPr>
        <w:t>解</w:t>
      </w:r>
      <w:r>
        <w:rPr>
          <w:sz w:val="21"/>
        </w:rPr>
        <w:t>除</w:t>
      </w:r>
      <w:r>
        <w:rPr>
          <w:spacing w:val="-3"/>
          <w:sz w:val="21"/>
        </w:rPr>
        <w:t>本</w:t>
      </w:r>
      <w:r>
        <w:rPr>
          <w:sz w:val="21"/>
        </w:rPr>
        <w:t>主险合同</w:t>
      </w:r>
      <w:r>
        <w:rPr>
          <w:spacing w:val="-3"/>
          <w:sz w:val="21"/>
        </w:rPr>
        <w:t>，</w:t>
      </w:r>
      <w:r>
        <w:rPr>
          <w:sz w:val="21"/>
        </w:rPr>
        <w:t>我</w:t>
      </w:r>
      <w:r>
        <w:rPr>
          <w:spacing w:val="-3"/>
          <w:sz w:val="21"/>
        </w:rPr>
        <w:t>们</w:t>
      </w:r>
      <w:r>
        <w:rPr>
          <w:sz w:val="21"/>
        </w:rPr>
        <w:t>将</w:t>
      </w:r>
      <w:r>
        <w:rPr>
          <w:spacing w:val="-3"/>
          <w:sz w:val="21"/>
        </w:rPr>
        <w:t>在扣</w:t>
      </w:r>
      <w:r>
        <w:rPr>
          <w:sz w:val="21"/>
        </w:rPr>
        <w:t>除</w:t>
      </w:r>
      <w:r>
        <w:rPr>
          <w:spacing w:val="-34"/>
          <w:sz w:val="21"/>
        </w:rPr>
        <w:t> </w:t>
      </w:r>
      <w:r>
        <w:rPr>
          <w:sz w:val="21"/>
        </w:rPr>
        <w:t>10</w:t>
      </w:r>
      <w:r>
        <w:rPr>
          <w:spacing w:val="-37"/>
          <w:sz w:val="21"/>
        </w:rPr>
        <w:t> </w:t>
      </w:r>
      <w:r>
        <w:rPr>
          <w:spacing w:val="-3"/>
          <w:sz w:val="21"/>
        </w:rPr>
        <w:t>元</w:t>
      </w:r>
      <w:r>
        <w:rPr>
          <w:sz w:val="21"/>
        </w:rPr>
        <w:t>的工</w:t>
      </w:r>
      <w:r>
        <w:rPr>
          <w:spacing w:val="-3"/>
          <w:sz w:val="21"/>
        </w:rPr>
        <w:t>本</w:t>
      </w:r>
      <w:r>
        <w:rPr>
          <w:sz w:val="21"/>
        </w:rPr>
        <w:t>费</w:t>
      </w:r>
      <w:r>
        <w:rPr>
          <w:spacing w:val="-3"/>
          <w:sz w:val="21"/>
        </w:rPr>
        <w:t>后</w:t>
      </w:r>
      <w:r>
        <w:rPr>
          <w:sz w:val="21"/>
        </w:rPr>
        <w:t>退</w:t>
      </w:r>
      <w:r>
        <w:rPr>
          <w:spacing w:val="-3"/>
          <w:sz w:val="21"/>
        </w:rPr>
        <w:t>还</w:t>
      </w:r>
      <w:r>
        <w:rPr>
          <w:sz w:val="21"/>
        </w:rPr>
        <w:t>您</w:t>
      </w:r>
      <w:r>
        <w:rPr>
          <w:spacing w:val="-3"/>
          <w:sz w:val="21"/>
        </w:rPr>
        <w:t>所</w:t>
      </w:r>
      <w:r>
        <w:rPr>
          <w:sz w:val="21"/>
        </w:rPr>
        <w:t>支</w:t>
      </w:r>
      <w:r>
        <w:rPr>
          <w:spacing w:val="-3"/>
          <w:sz w:val="21"/>
        </w:rPr>
        <w:t>付</w:t>
      </w:r>
      <w:r>
        <w:rPr>
          <w:sz w:val="21"/>
        </w:rPr>
        <w:t>的全</w:t>
      </w:r>
      <w:r>
        <w:rPr>
          <w:spacing w:val="-3"/>
          <w:sz w:val="21"/>
        </w:rPr>
        <w:t>部</w:t>
      </w:r>
      <w:r>
        <w:rPr>
          <w:sz w:val="21"/>
        </w:rPr>
        <w:t>保</w:t>
      </w:r>
      <w:r>
        <w:rPr>
          <w:spacing w:val="-3"/>
          <w:sz w:val="21"/>
        </w:rPr>
        <w:t>险</w:t>
      </w:r>
      <w:r>
        <w:rPr>
          <w:sz w:val="21"/>
        </w:rPr>
        <w:t>费</w:t>
      </w:r>
      <w:r>
        <w:rPr>
          <w:spacing w:val="-3"/>
          <w:sz w:val="21"/>
        </w:rPr>
        <w:t>。</w:t>
      </w:r>
      <w:r>
        <w:rPr>
          <w:sz w:val="21"/>
        </w:rPr>
        <w:t>   </w:t>
      </w:r>
      <w:r>
        <w:rPr>
          <w:spacing w:val="-3"/>
          <w:sz w:val="21"/>
        </w:rPr>
        <w:t> </w:t>
      </w:r>
      <w:r>
        <w:rPr>
          <w:sz w:val="21"/>
        </w:rPr>
        <w:t>   </w:t>
      </w:r>
      <w:r>
        <w:rPr>
          <w:spacing w:val="-3"/>
          <w:sz w:val="21"/>
        </w:rPr>
        <w:t> </w:t>
      </w:r>
    </w:p>
    <w:p>
      <w:pPr>
        <w:spacing w:line="204" w:lineRule="auto" w:before="7"/>
        <w:ind w:left="2373" w:right="234" w:firstLine="0"/>
        <w:jc w:val="both"/>
        <w:rPr>
          <w:sz w:val="21"/>
        </w:rPr>
      </w:pPr>
      <w:r>
        <w:rPr>
          <w:spacing w:val="-5"/>
          <w:sz w:val="21"/>
        </w:rPr>
        <w:t>解除本主险合同时，您需要填写申请书，并提供您的保险合同及</w:t>
      </w:r>
      <w:r>
        <w:rPr>
          <w:rFonts w:ascii="Microsoft JhengHei" w:eastAsia="Microsoft JhengHei" w:hint="eastAsia"/>
          <w:b/>
          <w:sz w:val="21"/>
        </w:rPr>
        <w:t>有效身份证</w:t>
      </w:r>
      <w:r>
        <w:rPr>
          <w:rFonts w:ascii="Microsoft JhengHei" w:eastAsia="Microsoft JhengHei" w:hint="eastAsia"/>
          <w:b/>
          <w:w w:val="100"/>
          <w:sz w:val="21"/>
        </w:rPr>
        <w:t>件</w:t>
      </w:r>
      <w:r>
        <w:rPr>
          <w:w w:val="100"/>
          <w:sz w:val="21"/>
        </w:rPr>
        <w:t>（见</w:t>
      </w:r>
      <w:r>
        <w:rPr>
          <w:spacing w:val="-55"/>
          <w:sz w:val="21"/>
        </w:rPr>
        <w:t> </w:t>
      </w:r>
      <w:r>
        <w:rPr>
          <w:w w:val="100"/>
          <w:sz w:val="21"/>
        </w:rPr>
        <w:t>10.4</w:t>
      </w:r>
      <w:r>
        <w:rPr>
          <w:spacing w:val="-108"/>
          <w:w w:val="100"/>
          <w:sz w:val="21"/>
        </w:rPr>
        <w:t>）</w:t>
      </w:r>
      <w:r>
        <w:rPr>
          <w:spacing w:val="-3"/>
          <w:w w:val="100"/>
          <w:sz w:val="21"/>
        </w:rPr>
        <w:t>。</w:t>
      </w:r>
      <w:r>
        <w:rPr>
          <w:rFonts w:ascii="Microsoft JhengHei" w:eastAsia="Microsoft JhengHei" w:hint="eastAsia"/>
          <w:b/>
          <w:spacing w:val="-3"/>
          <w:w w:val="100"/>
          <w:sz w:val="21"/>
        </w:rPr>
        <w:t>自我们收到您解除合同的书面申请时起，本主险合同即被解</w:t>
      </w:r>
      <w:r>
        <w:rPr>
          <w:rFonts w:ascii="Microsoft JhengHei" w:eastAsia="Microsoft JhengHei" w:hint="eastAsia"/>
          <w:b/>
          <w:spacing w:val="-3"/>
          <w:sz w:val="21"/>
        </w:rPr>
        <w:t>除，合同解除前发生的保险事故我们不承担保险责任。</w:t>
      </w:r>
      <w:r>
        <w:rPr>
          <w:spacing w:val="-3"/>
          <w:sz w:val="21"/>
        </w:rPr>
        <w:t> </w:t>
      </w:r>
    </w:p>
    <w:p>
      <w:pPr>
        <w:pStyle w:val="BodyText"/>
        <w:tabs>
          <w:tab w:pos="969" w:val="left" w:leader="none"/>
          <w:tab w:pos="2373" w:val="left" w:leader="none"/>
        </w:tabs>
        <w:spacing w:before="92"/>
        <w:ind w:left="223"/>
      </w:pPr>
      <w:r>
        <w:rPr>
          <w:w w:val="100"/>
        </w:rPr>
        <w:t> </w:t>
      </w:r>
      <w:r>
        <w:rPr/>
        <w:tab/>
      </w:r>
      <w:r>
        <w:rPr>
          <w:w w:val="100"/>
        </w:rPr>
        <w:t> </w:t>
      </w:r>
      <w:r>
        <w:rPr/>
        <w:tab/>
      </w:r>
      <w:r>
        <w:rPr>
          <w:w w:val="100"/>
        </w:rPr>
        <w:t> </w:t>
      </w:r>
    </w:p>
    <w:p>
      <w:pPr>
        <w:pStyle w:val="Heading1"/>
        <w:numPr>
          <w:ilvl w:val="0"/>
          <w:numId w:val="5"/>
        </w:numPr>
        <w:tabs>
          <w:tab w:pos="969" w:val="left" w:leader="none"/>
          <w:tab w:pos="970" w:val="left" w:leader="none"/>
        </w:tabs>
        <w:spacing w:line="240" w:lineRule="auto" w:before="168" w:after="0"/>
        <w:ind w:left="969" w:right="0" w:hanging="742"/>
        <w:jc w:val="left"/>
      </w:pPr>
      <w:r>
        <w:rPr/>
        <w:pict>
          <v:group style="position:absolute;margin-left:65.760002pt;margin-top:37.513653pt;width:463.8pt;height:1pt;mso-position-horizontal-relative:page;mso-position-vertical-relative:paragraph;z-index:1144;mso-wrap-distance-left:0;mso-wrap-distance-right:0" coordorigin="1315,750" coordsize="9276,20">
            <v:line style="position:absolute" from="1315,760" to="2062,760" stroked="true" strokeweight=".96pt" strokecolor="#000000">
              <v:stroke dashstyle="solid"/>
            </v:line>
            <v:rect style="position:absolute;left:2061;top:750;width:20;height:20" filled="true" fillcolor="#000000" stroked="false">
              <v:fill type="solid"/>
            </v:rect>
            <v:line style="position:absolute" from="2081,760" to="3466,760" stroked="true" strokeweight=".96pt" strokecolor="#000000">
              <v:stroke dashstyle="solid"/>
            </v:line>
            <v:rect style="position:absolute;left:3465;top:750;width:20;height:20" filled="true" fillcolor="#000000" stroked="false">
              <v:fill type="solid"/>
            </v:rect>
            <v:line style="position:absolute" from="3485,760" to="10591,760" stroked="true" strokeweight=".96pt" strokecolor="#000000">
              <v:stroke dashstyle="solid"/>
            </v:line>
            <w10:wrap type="topAndBottom"/>
          </v:group>
        </w:pict>
      </w:r>
      <w:r>
        <w:rPr/>
        <w:t>我们提供的保障</w:t>
      </w:r>
    </w:p>
    <w:p>
      <w:pPr>
        <w:pStyle w:val="BodyText"/>
        <w:spacing w:before="0"/>
        <w:ind w:left="0"/>
        <w:rPr>
          <w:rFonts w:ascii="Microsoft JhengHei"/>
          <w:b/>
          <w:sz w:val="4"/>
        </w:rPr>
      </w:pPr>
    </w:p>
    <w:p>
      <w:pPr>
        <w:spacing w:after="0"/>
        <w:rPr>
          <w:rFonts w:ascii="Microsoft JhengHei"/>
          <w:sz w:val="4"/>
        </w:rPr>
        <w:sectPr>
          <w:type w:val="continuous"/>
          <w:pgSz w:w="11900" w:h="16840"/>
          <w:pgMar w:top="820" w:bottom="1400" w:left="1200" w:right="1180"/>
        </w:sectPr>
      </w:pPr>
    </w:p>
    <w:p>
      <w:pPr>
        <w:pStyle w:val="BodyText"/>
        <w:spacing w:before="13"/>
        <w:ind w:left="0"/>
        <w:rPr>
          <w:rFonts w:ascii="Microsoft JhengHei"/>
          <w:b/>
          <w:sz w:val="16"/>
        </w:rPr>
      </w:pPr>
    </w:p>
    <w:p>
      <w:pPr>
        <w:pStyle w:val="Heading2"/>
        <w:tabs>
          <w:tab w:pos="969" w:val="left" w:leader="none"/>
        </w:tabs>
        <w:ind w:left="223"/>
      </w:pPr>
      <w:r>
        <w:rPr/>
        <w:t>2</w:t>
      </w:r>
      <w:r>
        <w:rPr>
          <w:spacing w:val="-17"/>
        </w:rPr>
        <w:t>. </w:t>
      </w:r>
      <w:r>
        <w:rPr/>
        <w:t>1</w:t>
        <w:tab/>
        <w:t>保险金额</w:t>
      </w:r>
    </w:p>
    <w:p>
      <w:pPr>
        <w:spacing w:line="245" w:lineRule="exact" w:before="0"/>
        <w:ind w:left="223" w:right="0" w:firstLine="0"/>
        <w:jc w:val="left"/>
        <w:rPr>
          <w:sz w:val="21"/>
        </w:rPr>
      </w:pPr>
      <w:r>
        <w:rPr/>
        <w:br w:type="column"/>
      </w:r>
      <w:r>
        <w:rPr>
          <w:w w:val="100"/>
          <w:sz w:val="21"/>
        </w:rPr>
        <w:t> </w:t>
      </w:r>
    </w:p>
    <w:p>
      <w:pPr>
        <w:pStyle w:val="BodyText"/>
        <w:spacing w:before="114"/>
        <w:ind w:left="223"/>
      </w:pPr>
      <w:r>
        <w:rPr/>
        <w:t>（1）基本保险金额 </w:t>
      </w:r>
    </w:p>
    <w:p>
      <w:pPr>
        <w:pStyle w:val="BodyText"/>
        <w:spacing w:line="271" w:lineRule="auto" w:before="116"/>
        <w:ind w:left="223" w:right="183"/>
      </w:pPr>
      <w:r>
        <w:rPr/>
        <w:t>本主险合同的基本保险金额由您在投保时与我们约定并在保险单上载明。若该金额发生变更，则以变更后的金额为基本保险金额。 </w:t>
      </w:r>
    </w:p>
    <w:p>
      <w:pPr>
        <w:pStyle w:val="BodyText"/>
        <w:spacing w:before="88"/>
        <w:ind w:left="223"/>
      </w:pPr>
      <w:r>
        <w:rPr/>
        <w:t>（2）保险金额 </w:t>
      </w:r>
    </w:p>
    <w:p>
      <w:pPr>
        <w:pStyle w:val="BodyText"/>
        <w:spacing w:before="115"/>
        <w:ind w:left="223"/>
      </w:pPr>
      <w:r>
        <w:rPr/>
        <w:t>保险金额是指我们根据本主险合同承担赔偿或者给付保险金责任的最高限</w:t>
      </w:r>
    </w:p>
    <w:p>
      <w:pPr>
        <w:pStyle w:val="BodyText"/>
        <w:spacing w:before="34"/>
        <w:ind w:left="223"/>
      </w:pPr>
      <w:r>
        <w:rPr/>
        <w:t>额。 </w:t>
      </w:r>
    </w:p>
    <w:p>
      <w:pPr>
        <w:spacing w:after="0"/>
        <w:sectPr>
          <w:type w:val="continuous"/>
          <w:pgSz w:w="11900" w:h="16840"/>
          <w:pgMar w:top="820" w:bottom="1400" w:left="1200" w:right="1180"/>
          <w:cols w:num="2" w:equalWidth="0">
            <w:col w:w="1815" w:space="335"/>
            <w:col w:w="7370"/>
          </w:cols>
        </w:sectPr>
      </w:pPr>
    </w:p>
    <w:p>
      <w:pPr>
        <w:pStyle w:val="BodyText"/>
        <w:tabs>
          <w:tab w:pos="969" w:val="left" w:leader="none"/>
          <w:tab w:pos="2373" w:val="left" w:leader="none"/>
        </w:tabs>
        <w:spacing w:before="116"/>
        <w:ind w:left="223"/>
      </w:pPr>
      <w:r>
        <w:rPr>
          <w:w w:val="100"/>
        </w:rPr>
        <w:t> </w:t>
      </w:r>
      <w:r>
        <w:rPr/>
        <w:tab/>
      </w:r>
      <w:r>
        <w:rPr>
          <w:w w:val="100"/>
        </w:rPr>
        <w:t> </w:t>
      </w:r>
      <w:r>
        <w:rPr/>
        <w:tab/>
      </w:r>
      <w:r>
        <w:rPr>
          <w:w w:val="100"/>
        </w:rPr>
        <w:t> </w:t>
      </w:r>
    </w:p>
    <w:p>
      <w:pPr>
        <w:spacing w:after="0"/>
        <w:sectPr>
          <w:type w:val="continuous"/>
          <w:pgSz w:w="11900" w:h="16840"/>
          <w:pgMar w:top="820" w:bottom="1400" w:left="1200" w:right="118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1"/>
        <w:gridCol w:w="1454"/>
        <w:gridCol w:w="7243"/>
      </w:tblGrid>
      <w:tr>
        <w:trPr>
          <w:trHeight w:val="620" w:hRule="atLeast"/>
        </w:trPr>
        <w:tc>
          <w:tcPr>
            <w:tcW w:w="571" w:type="dxa"/>
          </w:tcPr>
          <w:p>
            <w:pPr>
              <w:pStyle w:val="TableParagraph"/>
              <w:spacing w:line="245" w:lineRule="exact"/>
              <w:ind w:left="50"/>
              <w:rPr>
                <w:rFonts w:ascii="Microsoft JhengHei"/>
                <w:b/>
                <w:sz w:val="21"/>
              </w:rPr>
            </w:pPr>
            <w:r>
              <w:rPr>
                <w:rFonts w:ascii="Microsoft JhengHei"/>
                <w:b/>
                <w:w w:val="90"/>
                <w:sz w:val="21"/>
              </w:rPr>
              <w:t>2. 2</w:t>
            </w:r>
          </w:p>
        </w:tc>
        <w:tc>
          <w:tcPr>
            <w:tcW w:w="1454" w:type="dxa"/>
          </w:tcPr>
          <w:p>
            <w:pPr>
              <w:pStyle w:val="TableParagraph"/>
              <w:spacing w:line="245" w:lineRule="exact"/>
              <w:ind w:left="225"/>
              <w:rPr>
                <w:rFonts w:ascii="Microsoft JhengHei" w:eastAsia="Microsoft JhengHei" w:hint="eastAsia"/>
                <w:b/>
                <w:sz w:val="21"/>
              </w:rPr>
            </w:pPr>
            <w:r>
              <w:rPr>
                <w:rFonts w:ascii="Microsoft JhengHei" w:eastAsia="Microsoft JhengHei" w:hint="eastAsia"/>
                <w:b/>
                <w:sz w:val="21"/>
              </w:rPr>
              <w:t>保险期间</w:t>
            </w:r>
          </w:p>
        </w:tc>
        <w:tc>
          <w:tcPr>
            <w:tcW w:w="7243" w:type="dxa"/>
          </w:tcPr>
          <w:p>
            <w:pPr>
              <w:pStyle w:val="TableParagraph"/>
              <w:spacing w:line="221" w:lineRule="exact"/>
              <w:ind w:left="175"/>
              <w:rPr>
                <w:sz w:val="21"/>
              </w:rPr>
            </w:pPr>
            <w:r>
              <w:rPr>
                <w:sz w:val="21"/>
              </w:rPr>
              <w:t>本主险合同的保险期间由您在投保时与我们约定，并在我们签发的保险单上</w:t>
            </w:r>
          </w:p>
          <w:p>
            <w:pPr>
              <w:pStyle w:val="TableParagraph"/>
              <w:spacing w:before="34"/>
              <w:ind w:left="175"/>
              <w:rPr>
                <w:sz w:val="21"/>
              </w:rPr>
            </w:pPr>
            <w:r>
              <w:rPr>
                <w:sz w:val="21"/>
              </w:rPr>
              <w:t>载明。 </w:t>
            </w:r>
          </w:p>
        </w:tc>
      </w:tr>
      <w:tr>
        <w:trPr>
          <w:trHeight w:val="386" w:hRule="atLeast"/>
        </w:trPr>
        <w:tc>
          <w:tcPr>
            <w:tcW w:w="571" w:type="dxa"/>
          </w:tcPr>
          <w:p>
            <w:pPr>
              <w:pStyle w:val="TableParagraph"/>
              <w:spacing w:before="26"/>
              <w:ind w:left="50"/>
              <w:rPr>
                <w:sz w:val="21"/>
              </w:rPr>
            </w:pPr>
            <w:r>
              <w:rPr>
                <w:w w:val="100"/>
                <w:sz w:val="21"/>
              </w:rPr>
              <w:t> </w:t>
            </w:r>
          </w:p>
        </w:tc>
        <w:tc>
          <w:tcPr>
            <w:tcW w:w="1454" w:type="dxa"/>
          </w:tcPr>
          <w:p>
            <w:pPr>
              <w:pStyle w:val="TableParagraph"/>
              <w:spacing w:before="26"/>
              <w:ind w:left="225"/>
              <w:rPr>
                <w:sz w:val="21"/>
              </w:rPr>
            </w:pPr>
            <w:r>
              <w:rPr>
                <w:w w:val="100"/>
                <w:sz w:val="21"/>
              </w:rPr>
              <w:t> </w:t>
            </w:r>
          </w:p>
        </w:tc>
        <w:tc>
          <w:tcPr>
            <w:tcW w:w="7243" w:type="dxa"/>
          </w:tcPr>
          <w:p>
            <w:pPr>
              <w:pStyle w:val="TableParagraph"/>
              <w:spacing w:before="26"/>
              <w:ind w:left="175"/>
              <w:rPr>
                <w:sz w:val="21"/>
              </w:rPr>
            </w:pPr>
            <w:r>
              <w:rPr>
                <w:w w:val="100"/>
                <w:sz w:val="21"/>
              </w:rPr>
              <w:t> </w:t>
            </w:r>
          </w:p>
        </w:tc>
      </w:tr>
      <w:tr>
        <w:trPr>
          <w:trHeight w:val="402" w:hRule="atLeast"/>
        </w:trPr>
        <w:tc>
          <w:tcPr>
            <w:tcW w:w="571" w:type="dxa"/>
          </w:tcPr>
          <w:p>
            <w:pPr>
              <w:pStyle w:val="TableParagraph"/>
              <w:spacing w:line="330" w:lineRule="exact"/>
              <w:ind w:left="50"/>
              <w:rPr>
                <w:rFonts w:ascii="Microsoft JhengHei"/>
                <w:b/>
                <w:sz w:val="21"/>
              </w:rPr>
            </w:pPr>
            <w:r>
              <w:rPr>
                <w:rFonts w:ascii="Microsoft JhengHei"/>
                <w:b/>
                <w:w w:val="90"/>
                <w:sz w:val="21"/>
              </w:rPr>
              <w:t>2. 3</w:t>
            </w:r>
          </w:p>
        </w:tc>
        <w:tc>
          <w:tcPr>
            <w:tcW w:w="1454" w:type="dxa"/>
          </w:tcPr>
          <w:p>
            <w:pPr>
              <w:pStyle w:val="TableParagraph"/>
              <w:spacing w:line="330" w:lineRule="exact"/>
              <w:ind w:left="225"/>
              <w:rPr>
                <w:rFonts w:ascii="Microsoft JhengHei" w:eastAsia="Microsoft JhengHei" w:hint="eastAsia"/>
                <w:b/>
                <w:sz w:val="21"/>
              </w:rPr>
            </w:pPr>
            <w:r>
              <w:rPr>
                <w:rFonts w:ascii="Microsoft JhengHei" w:eastAsia="Microsoft JhengHei" w:hint="eastAsia"/>
                <w:b/>
                <w:sz w:val="21"/>
              </w:rPr>
              <w:t>保险责任</w:t>
            </w:r>
          </w:p>
        </w:tc>
        <w:tc>
          <w:tcPr>
            <w:tcW w:w="7243" w:type="dxa"/>
          </w:tcPr>
          <w:p>
            <w:pPr>
              <w:pStyle w:val="TableParagraph"/>
              <w:spacing w:before="31"/>
              <w:ind w:left="175"/>
              <w:rPr>
                <w:sz w:val="21"/>
              </w:rPr>
            </w:pPr>
            <w:r>
              <w:rPr>
                <w:sz w:val="21"/>
              </w:rPr>
              <w:t>在保险期间内，我们承担下列保险责任： </w:t>
            </w:r>
          </w:p>
        </w:tc>
      </w:tr>
      <w:tr>
        <w:trPr>
          <w:trHeight w:val="379" w:hRule="atLeast"/>
        </w:trPr>
        <w:tc>
          <w:tcPr>
            <w:tcW w:w="571" w:type="dxa"/>
          </w:tcPr>
          <w:p>
            <w:pPr>
              <w:pStyle w:val="TableParagraph"/>
              <w:spacing w:before="17"/>
              <w:ind w:left="50"/>
              <w:rPr>
                <w:sz w:val="21"/>
              </w:rPr>
            </w:pPr>
            <w:r>
              <w:rPr>
                <w:w w:val="100"/>
                <w:sz w:val="21"/>
              </w:rPr>
              <w:t> </w:t>
            </w:r>
          </w:p>
        </w:tc>
        <w:tc>
          <w:tcPr>
            <w:tcW w:w="1454" w:type="dxa"/>
          </w:tcPr>
          <w:p>
            <w:pPr>
              <w:pStyle w:val="TableParagraph"/>
              <w:spacing w:before="17"/>
              <w:ind w:left="225"/>
              <w:rPr>
                <w:sz w:val="21"/>
              </w:rPr>
            </w:pPr>
            <w:r>
              <w:rPr>
                <w:w w:val="100"/>
                <w:sz w:val="21"/>
              </w:rPr>
              <w:t> </w:t>
            </w:r>
          </w:p>
        </w:tc>
        <w:tc>
          <w:tcPr>
            <w:tcW w:w="7243" w:type="dxa"/>
          </w:tcPr>
          <w:p>
            <w:pPr>
              <w:pStyle w:val="TableParagraph"/>
              <w:spacing w:before="17"/>
              <w:ind w:left="175"/>
              <w:rPr>
                <w:sz w:val="21"/>
              </w:rPr>
            </w:pPr>
            <w:r>
              <w:rPr>
                <w:w w:val="100"/>
                <w:sz w:val="21"/>
              </w:rPr>
              <w:t> </w:t>
            </w:r>
          </w:p>
        </w:tc>
      </w:tr>
      <w:tr>
        <w:trPr>
          <w:trHeight w:val="663" w:hRule="atLeast"/>
        </w:trPr>
        <w:tc>
          <w:tcPr>
            <w:tcW w:w="571" w:type="dxa"/>
          </w:tcPr>
          <w:p>
            <w:pPr>
              <w:pStyle w:val="TableParagraph"/>
              <w:rPr>
                <w:rFonts w:ascii="Times New Roman"/>
                <w:sz w:val="20"/>
              </w:rPr>
            </w:pPr>
          </w:p>
        </w:tc>
        <w:tc>
          <w:tcPr>
            <w:tcW w:w="1454" w:type="dxa"/>
          </w:tcPr>
          <w:p>
            <w:pPr>
              <w:pStyle w:val="TableParagraph"/>
              <w:spacing w:line="204" w:lineRule="auto"/>
              <w:ind w:left="225" w:right="174"/>
              <w:rPr>
                <w:rFonts w:ascii="Microsoft JhengHei" w:eastAsia="Microsoft JhengHei" w:hint="eastAsia"/>
                <w:b/>
                <w:sz w:val="21"/>
              </w:rPr>
            </w:pPr>
            <w:r>
              <w:rPr>
                <w:rFonts w:ascii="Microsoft JhengHei" w:eastAsia="Microsoft JhengHei" w:hint="eastAsia"/>
                <w:b/>
                <w:sz w:val="21"/>
              </w:rPr>
              <w:t>重大疾病保险金</w:t>
            </w:r>
          </w:p>
        </w:tc>
        <w:tc>
          <w:tcPr>
            <w:tcW w:w="7243" w:type="dxa"/>
          </w:tcPr>
          <w:p>
            <w:pPr>
              <w:pStyle w:val="TableParagraph"/>
              <w:spacing w:line="218" w:lineRule="auto" w:before="54"/>
              <w:ind w:left="175" w:right="49"/>
              <w:rPr>
                <w:rFonts w:ascii="Microsoft JhengHei" w:eastAsia="Microsoft JhengHei" w:hint="eastAsia"/>
                <w:b/>
                <w:sz w:val="21"/>
              </w:rPr>
            </w:pPr>
            <w:r>
              <w:rPr>
                <w:spacing w:val="-9"/>
                <w:w w:val="100"/>
                <w:sz w:val="21"/>
              </w:rPr>
              <w:t>自本主险合同生效日或最后复效日</w:t>
            </w:r>
            <w:r>
              <w:rPr>
                <w:w w:val="100"/>
                <w:sz w:val="21"/>
              </w:rPr>
              <w:t>（</w:t>
            </w:r>
            <w:r>
              <w:rPr>
                <w:spacing w:val="-3"/>
                <w:w w:val="100"/>
                <w:sz w:val="21"/>
              </w:rPr>
              <w:t>以较迟者为准</w:t>
            </w:r>
            <w:r>
              <w:rPr>
                <w:spacing w:val="-80"/>
                <w:w w:val="100"/>
                <w:sz w:val="21"/>
              </w:rPr>
              <w:t>）</w:t>
            </w:r>
            <w:r>
              <w:rPr>
                <w:w w:val="100"/>
                <w:sz w:val="21"/>
              </w:rPr>
              <w:t>起</w:t>
            </w:r>
            <w:r>
              <w:rPr>
                <w:spacing w:val="-53"/>
                <w:sz w:val="21"/>
              </w:rPr>
              <w:t> </w:t>
            </w:r>
            <w:r>
              <w:rPr>
                <w:w w:val="100"/>
                <w:sz w:val="21"/>
              </w:rPr>
              <w:t>90</w:t>
            </w:r>
            <w:r>
              <w:rPr>
                <w:spacing w:val="-55"/>
                <w:sz w:val="21"/>
              </w:rPr>
              <w:t> </w:t>
            </w:r>
            <w:r>
              <w:rPr>
                <w:spacing w:val="-40"/>
                <w:w w:val="100"/>
                <w:sz w:val="21"/>
              </w:rPr>
              <w:t>日内</w:t>
            </w:r>
            <w:r>
              <w:rPr>
                <w:w w:val="100"/>
                <w:sz w:val="21"/>
              </w:rPr>
              <w:t>（</w:t>
            </w:r>
            <w:r>
              <w:rPr>
                <w:spacing w:val="-2"/>
                <w:w w:val="100"/>
                <w:sz w:val="21"/>
              </w:rPr>
              <w:t>含第</w:t>
            </w:r>
            <w:r>
              <w:rPr>
                <w:spacing w:val="-53"/>
                <w:sz w:val="21"/>
              </w:rPr>
              <w:t> </w:t>
            </w:r>
            <w:r>
              <w:rPr>
                <w:spacing w:val="-3"/>
                <w:w w:val="100"/>
                <w:sz w:val="21"/>
              </w:rPr>
              <w:t>9</w:t>
            </w:r>
            <w:r>
              <w:rPr>
                <w:w w:val="100"/>
                <w:sz w:val="21"/>
              </w:rPr>
              <w:t>0</w:t>
            </w:r>
            <w:r>
              <w:rPr>
                <w:spacing w:val="-53"/>
                <w:sz w:val="21"/>
              </w:rPr>
              <w:t> </w:t>
            </w:r>
            <w:r>
              <w:rPr>
                <w:w w:val="100"/>
                <w:sz w:val="21"/>
              </w:rPr>
              <w:t>日</w:t>
            </w:r>
            <w:r>
              <w:rPr>
                <w:spacing w:val="-108"/>
                <w:w w:val="100"/>
                <w:sz w:val="21"/>
              </w:rPr>
              <w:t>）</w:t>
            </w:r>
            <w:r>
              <w:rPr>
                <w:w w:val="100"/>
                <w:sz w:val="21"/>
              </w:rPr>
              <w:t>，</w:t>
            </w:r>
            <w:r>
              <w:rPr>
                <w:spacing w:val="-3"/>
                <w:sz w:val="21"/>
              </w:rPr>
              <w:t>若被保险人经</w:t>
            </w:r>
            <w:r>
              <w:rPr>
                <w:rFonts w:ascii="Microsoft JhengHei" w:eastAsia="Microsoft JhengHei" w:hint="eastAsia"/>
                <w:b/>
                <w:spacing w:val="-7"/>
                <w:sz w:val="21"/>
              </w:rPr>
              <w:t>医疗机构</w:t>
            </w:r>
            <w:r>
              <w:rPr>
                <w:spacing w:val="-3"/>
                <w:sz w:val="21"/>
              </w:rPr>
              <w:t>（</w:t>
            </w:r>
            <w:r>
              <w:rPr>
                <w:spacing w:val="-7"/>
                <w:sz w:val="21"/>
              </w:rPr>
              <w:t>见 </w:t>
            </w:r>
            <w:r>
              <w:rPr>
                <w:spacing w:val="-6"/>
                <w:sz w:val="21"/>
              </w:rPr>
              <w:t>10.5）</w:t>
            </w:r>
            <w:r>
              <w:rPr>
                <w:spacing w:val="-7"/>
                <w:sz w:val="21"/>
              </w:rPr>
              <w:t>确诊，首次患上符合本主险合同定义的</w:t>
            </w:r>
            <w:r>
              <w:rPr>
                <w:rFonts w:ascii="Microsoft JhengHei" w:eastAsia="Microsoft JhengHei" w:hint="eastAsia"/>
                <w:b/>
                <w:sz w:val="21"/>
              </w:rPr>
              <w:t>重</w:t>
            </w:r>
          </w:p>
        </w:tc>
      </w:tr>
      <w:tr>
        <w:trPr>
          <w:trHeight w:val="313" w:hRule="atLeast"/>
        </w:trPr>
        <w:tc>
          <w:tcPr>
            <w:tcW w:w="571" w:type="dxa"/>
          </w:tcPr>
          <w:p>
            <w:pPr>
              <w:pStyle w:val="TableParagraph"/>
              <w:rPr>
                <w:rFonts w:ascii="Times New Roman"/>
                <w:sz w:val="20"/>
              </w:rPr>
            </w:pPr>
          </w:p>
        </w:tc>
        <w:tc>
          <w:tcPr>
            <w:tcW w:w="1454" w:type="dxa"/>
          </w:tcPr>
          <w:p>
            <w:pPr>
              <w:pStyle w:val="TableParagraph"/>
              <w:rPr>
                <w:rFonts w:ascii="Times New Roman"/>
                <w:sz w:val="20"/>
              </w:rPr>
            </w:pPr>
          </w:p>
        </w:tc>
        <w:tc>
          <w:tcPr>
            <w:tcW w:w="7243" w:type="dxa"/>
          </w:tcPr>
          <w:p>
            <w:pPr>
              <w:pStyle w:val="TableParagraph"/>
              <w:spacing w:line="287" w:lineRule="exact"/>
              <w:ind w:left="175"/>
              <w:rPr>
                <w:sz w:val="21"/>
              </w:rPr>
            </w:pPr>
            <w:r>
              <w:rPr>
                <w:rFonts w:ascii="Microsoft JhengHei" w:eastAsia="Microsoft JhengHei" w:hint="eastAsia"/>
                <w:b/>
                <w:w w:val="100"/>
                <w:sz w:val="21"/>
              </w:rPr>
              <w:t>大疾病</w:t>
            </w:r>
            <w:r>
              <w:rPr>
                <w:w w:val="100"/>
                <w:sz w:val="21"/>
              </w:rPr>
              <w:t>（见</w:t>
            </w:r>
            <w:r>
              <w:rPr>
                <w:spacing w:val="-26"/>
                <w:sz w:val="21"/>
              </w:rPr>
              <w:t> </w:t>
            </w:r>
            <w:r>
              <w:rPr>
                <w:w w:val="100"/>
                <w:sz w:val="21"/>
              </w:rPr>
              <w:t>10.</w:t>
            </w:r>
            <w:r>
              <w:rPr>
                <w:spacing w:val="-3"/>
                <w:w w:val="100"/>
                <w:sz w:val="21"/>
              </w:rPr>
              <w:t>6</w:t>
            </w:r>
            <w:r>
              <w:rPr>
                <w:spacing w:val="-106"/>
                <w:w w:val="100"/>
                <w:sz w:val="21"/>
              </w:rPr>
              <w:t>）</w:t>
            </w:r>
            <w:r>
              <w:rPr>
                <w:spacing w:val="-3"/>
                <w:w w:val="100"/>
                <w:sz w:val="21"/>
              </w:rPr>
              <w:t>，我们将按您所支付的全部保险费给付重大疾病保险金，</w:t>
            </w:r>
          </w:p>
        </w:tc>
      </w:tr>
      <w:tr>
        <w:trPr>
          <w:trHeight w:val="351" w:hRule="atLeast"/>
        </w:trPr>
        <w:tc>
          <w:tcPr>
            <w:tcW w:w="571" w:type="dxa"/>
          </w:tcPr>
          <w:p>
            <w:pPr>
              <w:pStyle w:val="TableParagraph"/>
              <w:rPr>
                <w:rFonts w:ascii="Times New Roman"/>
                <w:sz w:val="20"/>
              </w:rPr>
            </w:pPr>
          </w:p>
        </w:tc>
        <w:tc>
          <w:tcPr>
            <w:tcW w:w="1454" w:type="dxa"/>
          </w:tcPr>
          <w:p>
            <w:pPr>
              <w:pStyle w:val="TableParagraph"/>
              <w:rPr>
                <w:rFonts w:ascii="Times New Roman"/>
                <w:sz w:val="20"/>
              </w:rPr>
            </w:pPr>
          </w:p>
        </w:tc>
        <w:tc>
          <w:tcPr>
            <w:tcW w:w="7243" w:type="dxa"/>
          </w:tcPr>
          <w:p>
            <w:pPr>
              <w:pStyle w:val="TableParagraph"/>
              <w:spacing w:line="261" w:lineRule="exact"/>
              <w:ind w:left="175"/>
              <w:rPr>
                <w:sz w:val="21"/>
              </w:rPr>
            </w:pPr>
            <w:r>
              <w:rPr>
                <w:sz w:val="21"/>
              </w:rPr>
              <w:t>本主险合同终止。 </w:t>
            </w:r>
          </w:p>
        </w:tc>
      </w:tr>
      <w:tr>
        <w:trPr>
          <w:trHeight w:val="351" w:hRule="atLeast"/>
        </w:trPr>
        <w:tc>
          <w:tcPr>
            <w:tcW w:w="571" w:type="dxa"/>
          </w:tcPr>
          <w:p>
            <w:pPr>
              <w:pStyle w:val="TableParagraph"/>
              <w:rPr>
                <w:rFonts w:ascii="Times New Roman"/>
                <w:sz w:val="20"/>
              </w:rPr>
            </w:pPr>
          </w:p>
        </w:tc>
        <w:tc>
          <w:tcPr>
            <w:tcW w:w="1454" w:type="dxa"/>
          </w:tcPr>
          <w:p>
            <w:pPr>
              <w:pStyle w:val="TableParagraph"/>
              <w:rPr>
                <w:rFonts w:ascii="Times New Roman"/>
                <w:sz w:val="20"/>
              </w:rPr>
            </w:pPr>
          </w:p>
        </w:tc>
        <w:tc>
          <w:tcPr>
            <w:tcW w:w="7243" w:type="dxa"/>
          </w:tcPr>
          <w:p>
            <w:pPr>
              <w:pStyle w:val="TableParagraph"/>
              <w:spacing w:before="26"/>
              <w:ind w:left="175"/>
              <w:rPr>
                <w:sz w:val="21"/>
              </w:rPr>
            </w:pPr>
            <w:r>
              <w:rPr>
                <w:sz w:val="21"/>
              </w:rPr>
              <w:t>自本主险合同生效日或最后复效日（以较迟者为准）起 90 日后（不含第 90</w:t>
            </w:r>
          </w:p>
        </w:tc>
      </w:tr>
      <w:tr>
        <w:trPr>
          <w:trHeight w:val="312" w:hRule="atLeast"/>
        </w:trPr>
        <w:tc>
          <w:tcPr>
            <w:tcW w:w="571" w:type="dxa"/>
          </w:tcPr>
          <w:p>
            <w:pPr>
              <w:pStyle w:val="TableParagraph"/>
              <w:rPr>
                <w:rFonts w:ascii="Times New Roman"/>
                <w:sz w:val="20"/>
              </w:rPr>
            </w:pPr>
          </w:p>
        </w:tc>
        <w:tc>
          <w:tcPr>
            <w:tcW w:w="1454" w:type="dxa"/>
          </w:tcPr>
          <w:p>
            <w:pPr>
              <w:pStyle w:val="TableParagraph"/>
              <w:rPr>
                <w:rFonts w:ascii="Times New Roman"/>
                <w:sz w:val="20"/>
              </w:rPr>
            </w:pPr>
          </w:p>
        </w:tc>
        <w:tc>
          <w:tcPr>
            <w:tcW w:w="7243" w:type="dxa"/>
          </w:tcPr>
          <w:p>
            <w:pPr>
              <w:pStyle w:val="TableParagraph"/>
              <w:spacing w:line="261" w:lineRule="exact"/>
              <w:ind w:left="175"/>
              <w:rPr>
                <w:sz w:val="21"/>
              </w:rPr>
            </w:pPr>
            <w:r>
              <w:rPr>
                <w:spacing w:val="1"/>
                <w:w w:val="100"/>
                <w:sz w:val="21"/>
              </w:rPr>
              <w:t>日</w:t>
            </w:r>
            <w:r>
              <w:rPr>
                <w:spacing w:val="-104"/>
                <w:w w:val="100"/>
                <w:sz w:val="21"/>
              </w:rPr>
              <w:t>）</w:t>
            </w:r>
            <w:r>
              <w:rPr>
                <w:w w:val="100"/>
                <w:sz w:val="21"/>
              </w:rPr>
              <w:t>，若被保险人经医疗机构确诊，首次患上符合本主险合同定义的重大疾</w:t>
            </w:r>
          </w:p>
        </w:tc>
      </w:tr>
      <w:tr>
        <w:trPr>
          <w:trHeight w:val="351" w:hRule="atLeast"/>
        </w:trPr>
        <w:tc>
          <w:tcPr>
            <w:tcW w:w="571" w:type="dxa"/>
          </w:tcPr>
          <w:p>
            <w:pPr>
              <w:pStyle w:val="TableParagraph"/>
              <w:rPr>
                <w:rFonts w:ascii="Times New Roman"/>
                <w:sz w:val="20"/>
              </w:rPr>
            </w:pPr>
          </w:p>
        </w:tc>
        <w:tc>
          <w:tcPr>
            <w:tcW w:w="1454" w:type="dxa"/>
          </w:tcPr>
          <w:p>
            <w:pPr>
              <w:pStyle w:val="TableParagraph"/>
              <w:rPr>
                <w:rFonts w:ascii="Times New Roman"/>
                <w:sz w:val="20"/>
              </w:rPr>
            </w:pPr>
          </w:p>
        </w:tc>
        <w:tc>
          <w:tcPr>
            <w:tcW w:w="7243" w:type="dxa"/>
          </w:tcPr>
          <w:p>
            <w:pPr>
              <w:pStyle w:val="TableParagraph"/>
              <w:spacing w:line="261" w:lineRule="exact"/>
              <w:ind w:left="175"/>
              <w:rPr>
                <w:sz w:val="21"/>
              </w:rPr>
            </w:pPr>
            <w:r>
              <w:rPr>
                <w:sz w:val="21"/>
              </w:rPr>
              <w:t>病，我们将按基本保险金额给付重大疾病保险金，本主险合同终止。 </w:t>
            </w:r>
          </w:p>
        </w:tc>
      </w:tr>
      <w:tr>
        <w:trPr>
          <w:trHeight w:val="350" w:hRule="atLeast"/>
        </w:trPr>
        <w:tc>
          <w:tcPr>
            <w:tcW w:w="571" w:type="dxa"/>
          </w:tcPr>
          <w:p>
            <w:pPr>
              <w:pStyle w:val="TableParagraph"/>
              <w:rPr>
                <w:rFonts w:ascii="Times New Roman"/>
                <w:sz w:val="20"/>
              </w:rPr>
            </w:pPr>
          </w:p>
        </w:tc>
        <w:tc>
          <w:tcPr>
            <w:tcW w:w="1454" w:type="dxa"/>
          </w:tcPr>
          <w:p>
            <w:pPr>
              <w:pStyle w:val="TableParagraph"/>
              <w:rPr>
                <w:rFonts w:ascii="Times New Roman"/>
                <w:sz w:val="20"/>
              </w:rPr>
            </w:pPr>
          </w:p>
        </w:tc>
        <w:tc>
          <w:tcPr>
            <w:tcW w:w="7243" w:type="dxa"/>
          </w:tcPr>
          <w:p>
            <w:pPr>
              <w:pStyle w:val="TableParagraph"/>
              <w:spacing w:before="26"/>
              <w:ind w:left="175"/>
              <w:rPr>
                <w:sz w:val="21"/>
              </w:rPr>
            </w:pPr>
            <w:r>
              <w:rPr>
                <w:sz w:val="21"/>
              </w:rPr>
              <w:t>被保险人经医疗机构确诊首次患上多种重大疾病的，重大疾病保险金的给付</w:t>
            </w:r>
          </w:p>
        </w:tc>
      </w:tr>
      <w:tr>
        <w:trPr>
          <w:trHeight w:val="350" w:hRule="atLeast"/>
        </w:trPr>
        <w:tc>
          <w:tcPr>
            <w:tcW w:w="571" w:type="dxa"/>
          </w:tcPr>
          <w:p>
            <w:pPr>
              <w:pStyle w:val="TableParagraph"/>
              <w:rPr>
                <w:rFonts w:ascii="Times New Roman"/>
                <w:sz w:val="20"/>
              </w:rPr>
            </w:pPr>
          </w:p>
        </w:tc>
        <w:tc>
          <w:tcPr>
            <w:tcW w:w="1454" w:type="dxa"/>
          </w:tcPr>
          <w:p>
            <w:pPr>
              <w:pStyle w:val="TableParagraph"/>
              <w:rPr>
                <w:rFonts w:ascii="Times New Roman"/>
                <w:sz w:val="20"/>
              </w:rPr>
            </w:pPr>
          </w:p>
        </w:tc>
        <w:tc>
          <w:tcPr>
            <w:tcW w:w="7243" w:type="dxa"/>
          </w:tcPr>
          <w:p>
            <w:pPr>
              <w:pStyle w:val="TableParagraph"/>
              <w:spacing w:line="260" w:lineRule="exact"/>
              <w:ind w:left="175"/>
              <w:rPr>
                <w:sz w:val="21"/>
              </w:rPr>
            </w:pPr>
            <w:r>
              <w:rPr>
                <w:sz w:val="21"/>
              </w:rPr>
              <w:t>以基本保险金额为限。 </w:t>
            </w:r>
          </w:p>
        </w:tc>
      </w:tr>
      <w:tr>
        <w:trPr>
          <w:trHeight w:val="387" w:hRule="atLeast"/>
        </w:trPr>
        <w:tc>
          <w:tcPr>
            <w:tcW w:w="571" w:type="dxa"/>
          </w:tcPr>
          <w:p>
            <w:pPr>
              <w:pStyle w:val="TableParagraph"/>
              <w:spacing w:before="26"/>
              <w:ind w:left="50"/>
              <w:rPr>
                <w:sz w:val="21"/>
              </w:rPr>
            </w:pPr>
            <w:r>
              <w:rPr>
                <w:w w:val="100"/>
                <w:sz w:val="21"/>
              </w:rPr>
              <w:t> </w:t>
            </w:r>
          </w:p>
        </w:tc>
        <w:tc>
          <w:tcPr>
            <w:tcW w:w="1454" w:type="dxa"/>
          </w:tcPr>
          <w:p>
            <w:pPr>
              <w:pStyle w:val="TableParagraph"/>
              <w:rPr>
                <w:rFonts w:ascii="Times New Roman"/>
                <w:sz w:val="20"/>
              </w:rPr>
            </w:pPr>
          </w:p>
        </w:tc>
        <w:tc>
          <w:tcPr>
            <w:tcW w:w="7243" w:type="dxa"/>
          </w:tcPr>
          <w:p>
            <w:pPr>
              <w:pStyle w:val="TableParagraph"/>
              <w:spacing w:before="26"/>
              <w:ind w:left="175"/>
              <w:rPr>
                <w:sz w:val="21"/>
              </w:rPr>
            </w:pPr>
            <w:r>
              <w:rPr>
                <w:w w:val="100"/>
                <w:sz w:val="21"/>
              </w:rPr>
              <w:t> </w:t>
            </w:r>
          </w:p>
        </w:tc>
      </w:tr>
      <w:tr>
        <w:trPr>
          <w:trHeight w:val="663" w:hRule="atLeast"/>
        </w:trPr>
        <w:tc>
          <w:tcPr>
            <w:tcW w:w="571" w:type="dxa"/>
          </w:tcPr>
          <w:p>
            <w:pPr>
              <w:pStyle w:val="TableParagraph"/>
              <w:spacing w:before="29"/>
              <w:ind w:left="50"/>
              <w:rPr>
                <w:sz w:val="21"/>
              </w:rPr>
            </w:pPr>
            <w:r>
              <w:rPr>
                <w:w w:val="100"/>
                <w:sz w:val="21"/>
              </w:rPr>
              <w:t> </w:t>
            </w:r>
          </w:p>
        </w:tc>
        <w:tc>
          <w:tcPr>
            <w:tcW w:w="1454" w:type="dxa"/>
          </w:tcPr>
          <w:p>
            <w:pPr>
              <w:pStyle w:val="TableParagraph"/>
              <w:spacing w:line="204" w:lineRule="auto"/>
              <w:ind w:left="225" w:right="174"/>
              <w:rPr>
                <w:rFonts w:ascii="Microsoft JhengHei" w:eastAsia="Microsoft JhengHei" w:hint="eastAsia"/>
                <w:b/>
                <w:sz w:val="21"/>
              </w:rPr>
            </w:pPr>
            <w:r>
              <w:rPr>
                <w:rFonts w:ascii="Microsoft JhengHei" w:eastAsia="Microsoft JhengHei" w:hint="eastAsia"/>
                <w:b/>
                <w:sz w:val="21"/>
              </w:rPr>
              <w:t>轻症疾病保险金</w:t>
            </w:r>
          </w:p>
        </w:tc>
        <w:tc>
          <w:tcPr>
            <w:tcW w:w="7243" w:type="dxa"/>
          </w:tcPr>
          <w:p>
            <w:pPr>
              <w:pStyle w:val="TableParagraph"/>
              <w:spacing w:line="259" w:lineRule="exact" w:before="29"/>
              <w:ind w:left="175"/>
              <w:rPr>
                <w:sz w:val="21"/>
              </w:rPr>
            </w:pPr>
            <w:r>
              <w:rPr>
                <w:spacing w:val="-7"/>
                <w:sz w:val="21"/>
              </w:rPr>
              <w:t>自本主险合同生效日或最后复效日</w:t>
            </w:r>
            <w:r>
              <w:rPr>
                <w:spacing w:val="-3"/>
                <w:sz w:val="21"/>
              </w:rPr>
              <w:t>（以较迟者为准</w:t>
            </w:r>
            <w:r>
              <w:rPr>
                <w:spacing w:val="-63"/>
                <w:sz w:val="21"/>
              </w:rPr>
              <w:t>）</w:t>
            </w:r>
            <w:r>
              <w:rPr>
                <w:spacing w:val="-20"/>
                <w:sz w:val="21"/>
              </w:rPr>
              <w:t>起 </w:t>
            </w:r>
            <w:r>
              <w:rPr>
                <w:sz w:val="21"/>
              </w:rPr>
              <w:t>360</w:t>
            </w:r>
            <w:r>
              <w:rPr>
                <w:spacing w:val="-35"/>
                <w:sz w:val="21"/>
              </w:rPr>
              <w:t> 日后</w:t>
            </w:r>
            <w:r>
              <w:rPr>
                <w:sz w:val="21"/>
              </w:rPr>
              <w:t>（</w:t>
            </w:r>
            <w:r>
              <w:rPr>
                <w:spacing w:val="-12"/>
                <w:sz w:val="21"/>
              </w:rPr>
              <w:t>不含第 </w:t>
            </w:r>
            <w:r>
              <w:rPr>
                <w:sz w:val="21"/>
              </w:rPr>
              <w:t>360</w:t>
            </w:r>
          </w:p>
          <w:p>
            <w:pPr>
              <w:pStyle w:val="TableParagraph"/>
              <w:spacing w:line="350" w:lineRule="exact"/>
              <w:ind w:left="175"/>
              <w:rPr>
                <w:rFonts w:ascii="Microsoft JhengHei" w:eastAsia="Microsoft JhengHei" w:hint="eastAsia"/>
                <w:b/>
                <w:sz w:val="21"/>
              </w:rPr>
            </w:pPr>
            <w:r>
              <w:rPr>
                <w:w w:val="100"/>
                <w:sz w:val="21"/>
              </w:rPr>
              <w:t>日</w:t>
            </w:r>
            <w:r>
              <w:rPr>
                <w:spacing w:val="-106"/>
                <w:w w:val="100"/>
                <w:sz w:val="21"/>
              </w:rPr>
              <w:t>）</w:t>
            </w:r>
            <w:r>
              <w:rPr>
                <w:spacing w:val="-6"/>
                <w:w w:val="100"/>
                <w:sz w:val="21"/>
              </w:rPr>
              <w:t>，若被保险人经医疗机构确诊，首次患上符合本主险合同定义的</w:t>
            </w:r>
            <w:r>
              <w:rPr>
                <w:spacing w:val="-53"/>
                <w:sz w:val="21"/>
              </w:rPr>
              <w:t> </w:t>
            </w:r>
            <w:r>
              <w:rPr>
                <w:w w:val="100"/>
                <w:sz w:val="21"/>
              </w:rPr>
              <w:t>16</w:t>
            </w:r>
            <w:r>
              <w:rPr>
                <w:spacing w:val="-55"/>
                <w:sz w:val="21"/>
              </w:rPr>
              <w:t> </w:t>
            </w:r>
            <w:r>
              <w:rPr>
                <w:spacing w:val="-3"/>
                <w:w w:val="100"/>
                <w:sz w:val="21"/>
              </w:rPr>
              <w:t>种</w:t>
            </w:r>
            <w:r>
              <w:rPr>
                <w:rFonts w:ascii="Microsoft JhengHei" w:eastAsia="Microsoft JhengHei" w:hint="eastAsia"/>
                <w:b/>
                <w:w w:val="100"/>
                <w:sz w:val="21"/>
              </w:rPr>
              <w:t>轻</w:t>
            </w:r>
          </w:p>
        </w:tc>
      </w:tr>
      <w:tr>
        <w:trPr>
          <w:trHeight w:val="313" w:hRule="atLeast"/>
        </w:trPr>
        <w:tc>
          <w:tcPr>
            <w:tcW w:w="571" w:type="dxa"/>
          </w:tcPr>
          <w:p>
            <w:pPr>
              <w:pStyle w:val="TableParagraph"/>
              <w:rPr>
                <w:rFonts w:ascii="Times New Roman"/>
                <w:sz w:val="20"/>
              </w:rPr>
            </w:pPr>
          </w:p>
        </w:tc>
        <w:tc>
          <w:tcPr>
            <w:tcW w:w="1454" w:type="dxa"/>
          </w:tcPr>
          <w:p>
            <w:pPr>
              <w:pStyle w:val="TableParagraph"/>
              <w:rPr>
                <w:rFonts w:ascii="Times New Roman"/>
                <w:sz w:val="20"/>
              </w:rPr>
            </w:pPr>
          </w:p>
        </w:tc>
        <w:tc>
          <w:tcPr>
            <w:tcW w:w="7243" w:type="dxa"/>
          </w:tcPr>
          <w:p>
            <w:pPr>
              <w:pStyle w:val="TableParagraph"/>
              <w:spacing w:line="287" w:lineRule="exact"/>
              <w:ind w:left="175"/>
              <w:rPr>
                <w:sz w:val="21"/>
              </w:rPr>
            </w:pPr>
            <w:r>
              <w:rPr>
                <w:rFonts w:ascii="Microsoft JhengHei" w:eastAsia="Microsoft JhengHei" w:hint="eastAsia"/>
                <w:b/>
                <w:w w:val="100"/>
                <w:sz w:val="21"/>
              </w:rPr>
              <w:t>症疾病</w:t>
            </w:r>
            <w:r>
              <w:rPr>
                <w:spacing w:val="-3"/>
                <w:w w:val="100"/>
                <w:sz w:val="21"/>
              </w:rPr>
              <w:t>（</w:t>
            </w:r>
            <w:r>
              <w:rPr>
                <w:w w:val="100"/>
                <w:sz w:val="21"/>
              </w:rPr>
              <w:t>见</w:t>
            </w:r>
            <w:r>
              <w:rPr>
                <w:spacing w:val="-12"/>
                <w:sz w:val="21"/>
              </w:rPr>
              <w:t> </w:t>
            </w:r>
            <w:r>
              <w:rPr>
                <w:w w:val="100"/>
                <w:sz w:val="21"/>
              </w:rPr>
              <w:t>10</w:t>
            </w:r>
            <w:r>
              <w:rPr>
                <w:spacing w:val="-3"/>
                <w:w w:val="100"/>
                <w:sz w:val="21"/>
              </w:rPr>
              <w:t>.</w:t>
            </w:r>
            <w:r>
              <w:rPr>
                <w:w w:val="100"/>
                <w:sz w:val="21"/>
              </w:rPr>
              <w:t>7</w:t>
            </w:r>
            <w:r>
              <w:rPr>
                <w:spacing w:val="-106"/>
                <w:w w:val="100"/>
                <w:sz w:val="21"/>
              </w:rPr>
              <w:t>）</w:t>
            </w:r>
            <w:r>
              <w:rPr>
                <w:spacing w:val="-3"/>
                <w:w w:val="100"/>
                <w:sz w:val="21"/>
              </w:rPr>
              <w:t>，我们将按基本保险金额的</w:t>
            </w:r>
            <w:r>
              <w:rPr>
                <w:spacing w:val="-12"/>
                <w:sz w:val="21"/>
              </w:rPr>
              <w:t> </w:t>
            </w:r>
            <w:r>
              <w:rPr>
                <w:w w:val="100"/>
                <w:sz w:val="21"/>
              </w:rPr>
              <w:t>20</w:t>
            </w:r>
            <w:r>
              <w:rPr>
                <w:spacing w:val="-3"/>
                <w:w w:val="100"/>
                <w:sz w:val="21"/>
              </w:rPr>
              <w:t>%给付轻症疾病保险金，轻</w:t>
            </w:r>
          </w:p>
        </w:tc>
      </w:tr>
      <w:tr>
        <w:trPr>
          <w:trHeight w:val="351" w:hRule="atLeast"/>
        </w:trPr>
        <w:tc>
          <w:tcPr>
            <w:tcW w:w="571" w:type="dxa"/>
          </w:tcPr>
          <w:p>
            <w:pPr>
              <w:pStyle w:val="TableParagraph"/>
              <w:rPr>
                <w:rFonts w:ascii="Times New Roman"/>
                <w:sz w:val="20"/>
              </w:rPr>
            </w:pPr>
          </w:p>
        </w:tc>
        <w:tc>
          <w:tcPr>
            <w:tcW w:w="1454" w:type="dxa"/>
          </w:tcPr>
          <w:p>
            <w:pPr>
              <w:pStyle w:val="TableParagraph"/>
              <w:rPr>
                <w:rFonts w:ascii="Times New Roman"/>
                <w:sz w:val="20"/>
              </w:rPr>
            </w:pPr>
          </w:p>
        </w:tc>
        <w:tc>
          <w:tcPr>
            <w:tcW w:w="7243" w:type="dxa"/>
          </w:tcPr>
          <w:p>
            <w:pPr>
              <w:pStyle w:val="TableParagraph"/>
              <w:spacing w:line="261" w:lineRule="exact"/>
              <w:ind w:left="175"/>
              <w:rPr>
                <w:sz w:val="21"/>
              </w:rPr>
            </w:pPr>
            <w:r>
              <w:rPr>
                <w:sz w:val="21"/>
              </w:rPr>
              <w:t>症疾病保险金责任终止，本主险合同继续有效，基本保险金额保持不变。 </w:t>
            </w:r>
          </w:p>
        </w:tc>
      </w:tr>
      <w:tr>
        <w:trPr>
          <w:trHeight w:val="351" w:hRule="atLeast"/>
        </w:trPr>
        <w:tc>
          <w:tcPr>
            <w:tcW w:w="571" w:type="dxa"/>
          </w:tcPr>
          <w:p>
            <w:pPr>
              <w:pStyle w:val="TableParagraph"/>
              <w:rPr>
                <w:rFonts w:ascii="Times New Roman"/>
                <w:sz w:val="20"/>
              </w:rPr>
            </w:pPr>
          </w:p>
        </w:tc>
        <w:tc>
          <w:tcPr>
            <w:tcW w:w="1454" w:type="dxa"/>
          </w:tcPr>
          <w:p>
            <w:pPr>
              <w:pStyle w:val="TableParagraph"/>
              <w:rPr>
                <w:rFonts w:ascii="Times New Roman"/>
                <w:sz w:val="20"/>
              </w:rPr>
            </w:pPr>
          </w:p>
        </w:tc>
        <w:tc>
          <w:tcPr>
            <w:tcW w:w="7243" w:type="dxa"/>
          </w:tcPr>
          <w:p>
            <w:pPr>
              <w:pStyle w:val="TableParagraph"/>
              <w:spacing w:before="26"/>
              <w:ind w:left="175"/>
              <w:rPr>
                <w:sz w:val="21"/>
              </w:rPr>
            </w:pPr>
            <w:r>
              <w:rPr>
                <w:sz w:val="21"/>
              </w:rPr>
              <w:t>被保险人经医疗机构确诊首次患上多种轻症疾病的，轻症疾病保险金的给付</w:t>
            </w:r>
          </w:p>
        </w:tc>
      </w:tr>
      <w:tr>
        <w:trPr>
          <w:trHeight w:val="351" w:hRule="atLeast"/>
        </w:trPr>
        <w:tc>
          <w:tcPr>
            <w:tcW w:w="571" w:type="dxa"/>
          </w:tcPr>
          <w:p>
            <w:pPr>
              <w:pStyle w:val="TableParagraph"/>
              <w:rPr>
                <w:rFonts w:ascii="Times New Roman"/>
                <w:sz w:val="20"/>
              </w:rPr>
            </w:pPr>
          </w:p>
        </w:tc>
        <w:tc>
          <w:tcPr>
            <w:tcW w:w="1454" w:type="dxa"/>
          </w:tcPr>
          <w:p>
            <w:pPr>
              <w:pStyle w:val="TableParagraph"/>
              <w:rPr>
                <w:rFonts w:ascii="Times New Roman"/>
                <w:sz w:val="20"/>
              </w:rPr>
            </w:pPr>
          </w:p>
        </w:tc>
        <w:tc>
          <w:tcPr>
            <w:tcW w:w="7243" w:type="dxa"/>
          </w:tcPr>
          <w:p>
            <w:pPr>
              <w:pStyle w:val="TableParagraph"/>
              <w:spacing w:line="261" w:lineRule="exact"/>
              <w:ind w:left="175"/>
              <w:rPr>
                <w:sz w:val="21"/>
              </w:rPr>
            </w:pPr>
            <w:r>
              <w:rPr>
                <w:sz w:val="21"/>
              </w:rPr>
              <w:t>以基本保险金额的 20%为限。 </w:t>
            </w:r>
          </w:p>
        </w:tc>
      </w:tr>
      <w:tr>
        <w:trPr>
          <w:trHeight w:val="386" w:hRule="atLeast"/>
        </w:trPr>
        <w:tc>
          <w:tcPr>
            <w:tcW w:w="571" w:type="dxa"/>
          </w:tcPr>
          <w:p>
            <w:pPr>
              <w:pStyle w:val="TableParagraph"/>
              <w:spacing w:before="26"/>
              <w:ind w:left="50"/>
              <w:rPr>
                <w:sz w:val="21"/>
              </w:rPr>
            </w:pPr>
            <w:r>
              <w:rPr>
                <w:w w:val="100"/>
                <w:sz w:val="21"/>
              </w:rPr>
              <w:t> </w:t>
            </w:r>
          </w:p>
        </w:tc>
        <w:tc>
          <w:tcPr>
            <w:tcW w:w="1454" w:type="dxa"/>
          </w:tcPr>
          <w:p>
            <w:pPr>
              <w:pStyle w:val="TableParagraph"/>
              <w:rPr>
                <w:rFonts w:ascii="Times New Roman"/>
                <w:sz w:val="20"/>
              </w:rPr>
            </w:pPr>
          </w:p>
        </w:tc>
        <w:tc>
          <w:tcPr>
            <w:tcW w:w="7243" w:type="dxa"/>
          </w:tcPr>
          <w:p>
            <w:pPr>
              <w:pStyle w:val="TableParagraph"/>
              <w:spacing w:before="26"/>
              <w:ind w:left="175"/>
              <w:rPr>
                <w:sz w:val="21"/>
              </w:rPr>
            </w:pPr>
            <w:r>
              <w:rPr>
                <w:w w:val="100"/>
                <w:sz w:val="21"/>
              </w:rPr>
              <w:t> </w:t>
            </w:r>
          </w:p>
        </w:tc>
      </w:tr>
      <w:tr>
        <w:trPr>
          <w:trHeight w:val="354" w:hRule="atLeast"/>
        </w:trPr>
        <w:tc>
          <w:tcPr>
            <w:tcW w:w="571" w:type="dxa"/>
          </w:tcPr>
          <w:p>
            <w:pPr>
              <w:pStyle w:val="TableParagraph"/>
              <w:spacing w:before="28"/>
              <w:ind w:left="50"/>
              <w:rPr>
                <w:sz w:val="21"/>
              </w:rPr>
            </w:pPr>
            <w:r>
              <w:rPr>
                <w:w w:val="100"/>
                <w:sz w:val="21"/>
              </w:rPr>
              <w:t> </w:t>
            </w:r>
          </w:p>
        </w:tc>
        <w:tc>
          <w:tcPr>
            <w:tcW w:w="1454" w:type="dxa"/>
          </w:tcPr>
          <w:p>
            <w:pPr>
              <w:pStyle w:val="TableParagraph"/>
              <w:spacing w:line="308" w:lineRule="exact"/>
              <w:ind w:left="225"/>
              <w:rPr>
                <w:rFonts w:ascii="Microsoft JhengHei" w:eastAsia="Microsoft JhengHei" w:hint="eastAsia"/>
                <w:b/>
                <w:sz w:val="21"/>
              </w:rPr>
            </w:pPr>
            <w:r>
              <w:rPr>
                <w:rFonts w:ascii="Microsoft JhengHei" w:eastAsia="Microsoft JhengHei" w:hint="eastAsia"/>
                <w:b/>
                <w:sz w:val="21"/>
              </w:rPr>
              <w:t>身故保险金</w:t>
            </w:r>
          </w:p>
        </w:tc>
        <w:tc>
          <w:tcPr>
            <w:tcW w:w="7243" w:type="dxa"/>
          </w:tcPr>
          <w:p>
            <w:pPr>
              <w:pStyle w:val="TableParagraph"/>
              <w:spacing w:line="327" w:lineRule="exact"/>
              <w:ind w:left="175"/>
              <w:rPr>
                <w:sz w:val="21"/>
              </w:rPr>
            </w:pPr>
            <w:r>
              <w:rPr>
                <w:sz w:val="21"/>
              </w:rPr>
              <w:t>若被保险人因</w:t>
            </w:r>
            <w:r>
              <w:rPr>
                <w:rFonts w:ascii="Microsoft JhengHei" w:eastAsia="Microsoft JhengHei" w:hint="eastAsia"/>
                <w:b/>
                <w:sz w:val="21"/>
              </w:rPr>
              <w:t>意外伤害</w:t>
            </w:r>
            <w:r>
              <w:rPr>
                <w:sz w:val="21"/>
              </w:rPr>
              <w:t>（见 10.8）身故，我们将按基本保险金额给付身故保</w:t>
            </w:r>
          </w:p>
        </w:tc>
      </w:tr>
      <w:tr>
        <w:trPr>
          <w:trHeight w:val="351" w:hRule="atLeast"/>
        </w:trPr>
        <w:tc>
          <w:tcPr>
            <w:tcW w:w="571" w:type="dxa"/>
          </w:tcPr>
          <w:p>
            <w:pPr>
              <w:pStyle w:val="TableParagraph"/>
              <w:rPr>
                <w:rFonts w:ascii="Times New Roman"/>
                <w:sz w:val="20"/>
              </w:rPr>
            </w:pPr>
          </w:p>
        </w:tc>
        <w:tc>
          <w:tcPr>
            <w:tcW w:w="1454" w:type="dxa"/>
          </w:tcPr>
          <w:p>
            <w:pPr>
              <w:pStyle w:val="TableParagraph"/>
              <w:rPr>
                <w:rFonts w:ascii="Times New Roman"/>
                <w:sz w:val="20"/>
              </w:rPr>
            </w:pPr>
          </w:p>
        </w:tc>
        <w:tc>
          <w:tcPr>
            <w:tcW w:w="7243" w:type="dxa"/>
          </w:tcPr>
          <w:p>
            <w:pPr>
              <w:pStyle w:val="TableParagraph"/>
              <w:spacing w:line="261" w:lineRule="exact"/>
              <w:ind w:left="175"/>
              <w:rPr>
                <w:sz w:val="21"/>
              </w:rPr>
            </w:pPr>
            <w:r>
              <w:rPr>
                <w:sz w:val="21"/>
              </w:rPr>
              <w:t>险金，本主险合同终止。 </w:t>
            </w:r>
          </w:p>
        </w:tc>
      </w:tr>
      <w:tr>
        <w:trPr>
          <w:trHeight w:val="350" w:hRule="atLeast"/>
        </w:trPr>
        <w:tc>
          <w:tcPr>
            <w:tcW w:w="571" w:type="dxa"/>
          </w:tcPr>
          <w:p>
            <w:pPr>
              <w:pStyle w:val="TableParagraph"/>
              <w:rPr>
                <w:rFonts w:ascii="Times New Roman"/>
                <w:sz w:val="20"/>
              </w:rPr>
            </w:pPr>
          </w:p>
        </w:tc>
        <w:tc>
          <w:tcPr>
            <w:tcW w:w="1454" w:type="dxa"/>
          </w:tcPr>
          <w:p>
            <w:pPr>
              <w:pStyle w:val="TableParagraph"/>
              <w:rPr>
                <w:rFonts w:ascii="Times New Roman"/>
                <w:sz w:val="20"/>
              </w:rPr>
            </w:pPr>
          </w:p>
        </w:tc>
        <w:tc>
          <w:tcPr>
            <w:tcW w:w="7243" w:type="dxa"/>
          </w:tcPr>
          <w:p>
            <w:pPr>
              <w:pStyle w:val="TableParagraph"/>
              <w:spacing w:before="26"/>
              <w:ind w:left="175"/>
              <w:rPr>
                <w:sz w:val="21"/>
              </w:rPr>
            </w:pPr>
            <w:r>
              <w:rPr>
                <w:spacing w:val="-9"/>
                <w:w w:val="100"/>
                <w:sz w:val="21"/>
              </w:rPr>
              <w:t>自本主险合同生效日或最后复效日</w:t>
            </w:r>
            <w:r>
              <w:rPr>
                <w:spacing w:val="-3"/>
                <w:w w:val="100"/>
                <w:sz w:val="21"/>
              </w:rPr>
              <w:t>（以较迟者为准</w:t>
            </w:r>
            <w:r>
              <w:rPr>
                <w:spacing w:val="-87"/>
                <w:w w:val="100"/>
                <w:sz w:val="21"/>
              </w:rPr>
              <w:t>）</w:t>
            </w:r>
            <w:r>
              <w:rPr>
                <w:w w:val="100"/>
                <w:sz w:val="21"/>
              </w:rPr>
              <w:t>起</w:t>
            </w:r>
            <w:r>
              <w:rPr>
                <w:spacing w:val="-53"/>
                <w:sz w:val="21"/>
              </w:rPr>
              <w:t> </w:t>
            </w:r>
            <w:r>
              <w:rPr>
                <w:w w:val="100"/>
                <w:sz w:val="21"/>
              </w:rPr>
              <w:t>90</w:t>
            </w:r>
            <w:r>
              <w:rPr>
                <w:spacing w:val="-55"/>
                <w:sz w:val="21"/>
              </w:rPr>
              <w:t> </w:t>
            </w:r>
            <w:r>
              <w:rPr>
                <w:spacing w:val="-44"/>
                <w:w w:val="100"/>
                <w:sz w:val="21"/>
              </w:rPr>
              <w:t>日内</w:t>
            </w:r>
            <w:r>
              <w:rPr>
                <w:w w:val="100"/>
                <w:sz w:val="21"/>
              </w:rPr>
              <w:t>（</w:t>
            </w:r>
            <w:r>
              <w:rPr>
                <w:spacing w:val="-2"/>
                <w:w w:val="100"/>
                <w:sz w:val="21"/>
              </w:rPr>
              <w:t>含第</w:t>
            </w:r>
            <w:r>
              <w:rPr>
                <w:spacing w:val="-53"/>
                <w:sz w:val="21"/>
              </w:rPr>
              <w:t> </w:t>
            </w:r>
            <w:r>
              <w:rPr>
                <w:w w:val="100"/>
                <w:sz w:val="21"/>
              </w:rPr>
              <w:t>90</w:t>
            </w:r>
            <w:r>
              <w:rPr>
                <w:spacing w:val="-55"/>
                <w:sz w:val="21"/>
              </w:rPr>
              <w:t> </w:t>
            </w:r>
            <w:r>
              <w:rPr>
                <w:w w:val="100"/>
                <w:sz w:val="21"/>
              </w:rPr>
              <w:t>日</w:t>
            </w:r>
            <w:r>
              <w:rPr>
                <w:spacing w:val="-87"/>
                <w:w w:val="100"/>
                <w:sz w:val="21"/>
              </w:rPr>
              <w:t>）</w:t>
            </w:r>
            <w:r>
              <w:rPr>
                <w:w w:val="100"/>
                <w:sz w:val="21"/>
              </w:rPr>
              <w:t>,</w:t>
            </w:r>
          </w:p>
        </w:tc>
      </w:tr>
      <w:tr>
        <w:trPr>
          <w:trHeight w:val="310" w:hRule="atLeast"/>
        </w:trPr>
        <w:tc>
          <w:tcPr>
            <w:tcW w:w="571" w:type="dxa"/>
          </w:tcPr>
          <w:p>
            <w:pPr>
              <w:pStyle w:val="TableParagraph"/>
              <w:rPr>
                <w:rFonts w:ascii="Times New Roman"/>
                <w:sz w:val="20"/>
              </w:rPr>
            </w:pPr>
          </w:p>
        </w:tc>
        <w:tc>
          <w:tcPr>
            <w:tcW w:w="1454" w:type="dxa"/>
          </w:tcPr>
          <w:p>
            <w:pPr>
              <w:pStyle w:val="TableParagraph"/>
              <w:rPr>
                <w:rFonts w:ascii="Times New Roman"/>
                <w:sz w:val="20"/>
              </w:rPr>
            </w:pPr>
          </w:p>
        </w:tc>
        <w:tc>
          <w:tcPr>
            <w:tcW w:w="7243" w:type="dxa"/>
          </w:tcPr>
          <w:p>
            <w:pPr>
              <w:pStyle w:val="TableParagraph"/>
              <w:spacing w:line="260" w:lineRule="exact"/>
              <w:ind w:left="175"/>
              <w:rPr>
                <w:sz w:val="21"/>
              </w:rPr>
            </w:pPr>
            <w:r>
              <w:rPr>
                <w:sz w:val="21"/>
              </w:rPr>
              <w:t>若被保险人因疾病身故，我们将按您所支付的全部保险费给付身故保险金，</w:t>
            </w:r>
          </w:p>
        </w:tc>
      </w:tr>
      <w:tr>
        <w:trPr>
          <w:trHeight w:val="351" w:hRule="atLeast"/>
        </w:trPr>
        <w:tc>
          <w:tcPr>
            <w:tcW w:w="571" w:type="dxa"/>
          </w:tcPr>
          <w:p>
            <w:pPr>
              <w:pStyle w:val="TableParagraph"/>
              <w:rPr>
                <w:rFonts w:ascii="Times New Roman"/>
                <w:sz w:val="20"/>
              </w:rPr>
            </w:pPr>
          </w:p>
        </w:tc>
        <w:tc>
          <w:tcPr>
            <w:tcW w:w="1454" w:type="dxa"/>
          </w:tcPr>
          <w:p>
            <w:pPr>
              <w:pStyle w:val="TableParagraph"/>
              <w:rPr>
                <w:rFonts w:ascii="Times New Roman"/>
                <w:sz w:val="20"/>
              </w:rPr>
            </w:pPr>
          </w:p>
        </w:tc>
        <w:tc>
          <w:tcPr>
            <w:tcW w:w="7243" w:type="dxa"/>
          </w:tcPr>
          <w:p>
            <w:pPr>
              <w:pStyle w:val="TableParagraph"/>
              <w:spacing w:line="261" w:lineRule="exact"/>
              <w:ind w:left="175"/>
              <w:rPr>
                <w:sz w:val="21"/>
              </w:rPr>
            </w:pPr>
            <w:r>
              <w:rPr>
                <w:sz w:val="21"/>
              </w:rPr>
              <w:t>本主险合同终止。 </w:t>
            </w:r>
          </w:p>
        </w:tc>
      </w:tr>
      <w:tr>
        <w:trPr>
          <w:trHeight w:val="351" w:hRule="atLeast"/>
        </w:trPr>
        <w:tc>
          <w:tcPr>
            <w:tcW w:w="571" w:type="dxa"/>
          </w:tcPr>
          <w:p>
            <w:pPr>
              <w:pStyle w:val="TableParagraph"/>
              <w:rPr>
                <w:rFonts w:ascii="Times New Roman"/>
                <w:sz w:val="20"/>
              </w:rPr>
            </w:pPr>
          </w:p>
        </w:tc>
        <w:tc>
          <w:tcPr>
            <w:tcW w:w="1454" w:type="dxa"/>
          </w:tcPr>
          <w:p>
            <w:pPr>
              <w:pStyle w:val="TableParagraph"/>
              <w:rPr>
                <w:rFonts w:ascii="Times New Roman"/>
                <w:sz w:val="20"/>
              </w:rPr>
            </w:pPr>
          </w:p>
        </w:tc>
        <w:tc>
          <w:tcPr>
            <w:tcW w:w="7243" w:type="dxa"/>
          </w:tcPr>
          <w:p>
            <w:pPr>
              <w:pStyle w:val="TableParagraph"/>
              <w:spacing w:before="26"/>
              <w:ind w:left="175"/>
              <w:rPr>
                <w:sz w:val="21"/>
              </w:rPr>
            </w:pPr>
            <w:r>
              <w:rPr>
                <w:sz w:val="21"/>
              </w:rPr>
              <w:t>自本主险合同生效日或最后复效日（以较迟者为准）起 90 日后（不含第 90</w:t>
            </w:r>
          </w:p>
        </w:tc>
      </w:tr>
      <w:tr>
        <w:trPr>
          <w:trHeight w:val="312" w:hRule="atLeast"/>
        </w:trPr>
        <w:tc>
          <w:tcPr>
            <w:tcW w:w="571" w:type="dxa"/>
          </w:tcPr>
          <w:p>
            <w:pPr>
              <w:pStyle w:val="TableParagraph"/>
              <w:rPr>
                <w:rFonts w:ascii="Times New Roman"/>
                <w:sz w:val="20"/>
              </w:rPr>
            </w:pPr>
          </w:p>
        </w:tc>
        <w:tc>
          <w:tcPr>
            <w:tcW w:w="1454" w:type="dxa"/>
          </w:tcPr>
          <w:p>
            <w:pPr>
              <w:pStyle w:val="TableParagraph"/>
              <w:rPr>
                <w:rFonts w:ascii="Times New Roman"/>
                <w:sz w:val="20"/>
              </w:rPr>
            </w:pPr>
          </w:p>
        </w:tc>
        <w:tc>
          <w:tcPr>
            <w:tcW w:w="7243" w:type="dxa"/>
          </w:tcPr>
          <w:p>
            <w:pPr>
              <w:pStyle w:val="TableParagraph"/>
              <w:spacing w:line="261" w:lineRule="exact"/>
              <w:ind w:left="175"/>
              <w:rPr>
                <w:sz w:val="21"/>
              </w:rPr>
            </w:pPr>
            <w:r>
              <w:rPr>
                <w:sz w:val="21"/>
              </w:rPr>
              <w:t>日）,若被保险人因疾病身故，我们将按基本保险金额给付身故保险金，本</w:t>
            </w:r>
          </w:p>
        </w:tc>
      </w:tr>
      <w:tr>
        <w:trPr>
          <w:trHeight w:val="351" w:hRule="atLeast"/>
        </w:trPr>
        <w:tc>
          <w:tcPr>
            <w:tcW w:w="571" w:type="dxa"/>
          </w:tcPr>
          <w:p>
            <w:pPr>
              <w:pStyle w:val="TableParagraph"/>
              <w:rPr>
                <w:rFonts w:ascii="Times New Roman"/>
                <w:sz w:val="20"/>
              </w:rPr>
            </w:pPr>
          </w:p>
        </w:tc>
        <w:tc>
          <w:tcPr>
            <w:tcW w:w="1454" w:type="dxa"/>
          </w:tcPr>
          <w:p>
            <w:pPr>
              <w:pStyle w:val="TableParagraph"/>
              <w:rPr>
                <w:rFonts w:ascii="Times New Roman"/>
                <w:sz w:val="20"/>
              </w:rPr>
            </w:pPr>
          </w:p>
        </w:tc>
        <w:tc>
          <w:tcPr>
            <w:tcW w:w="7243" w:type="dxa"/>
          </w:tcPr>
          <w:p>
            <w:pPr>
              <w:pStyle w:val="TableParagraph"/>
              <w:spacing w:line="261" w:lineRule="exact"/>
              <w:ind w:left="175"/>
              <w:rPr>
                <w:sz w:val="21"/>
              </w:rPr>
            </w:pPr>
            <w:r>
              <w:rPr>
                <w:sz w:val="21"/>
              </w:rPr>
              <w:t>主险合同终止。 </w:t>
            </w:r>
          </w:p>
        </w:tc>
      </w:tr>
      <w:tr>
        <w:trPr>
          <w:trHeight w:val="386" w:hRule="atLeast"/>
        </w:trPr>
        <w:tc>
          <w:tcPr>
            <w:tcW w:w="571" w:type="dxa"/>
          </w:tcPr>
          <w:p>
            <w:pPr>
              <w:pStyle w:val="TableParagraph"/>
              <w:spacing w:before="26"/>
              <w:ind w:left="50"/>
              <w:rPr>
                <w:sz w:val="21"/>
              </w:rPr>
            </w:pPr>
            <w:r>
              <w:rPr>
                <w:w w:val="100"/>
                <w:sz w:val="21"/>
              </w:rPr>
              <w:t> </w:t>
            </w:r>
          </w:p>
        </w:tc>
        <w:tc>
          <w:tcPr>
            <w:tcW w:w="1454" w:type="dxa"/>
          </w:tcPr>
          <w:p>
            <w:pPr>
              <w:pStyle w:val="TableParagraph"/>
              <w:rPr>
                <w:rFonts w:ascii="Times New Roman"/>
                <w:sz w:val="20"/>
              </w:rPr>
            </w:pPr>
          </w:p>
        </w:tc>
        <w:tc>
          <w:tcPr>
            <w:tcW w:w="7243" w:type="dxa"/>
          </w:tcPr>
          <w:p>
            <w:pPr>
              <w:pStyle w:val="TableParagraph"/>
              <w:spacing w:before="26"/>
              <w:ind w:left="175"/>
              <w:rPr>
                <w:sz w:val="21"/>
              </w:rPr>
            </w:pPr>
            <w:r>
              <w:rPr>
                <w:w w:val="100"/>
                <w:sz w:val="21"/>
              </w:rPr>
              <w:t> </w:t>
            </w:r>
          </w:p>
        </w:tc>
      </w:tr>
      <w:tr>
        <w:trPr>
          <w:trHeight w:val="352" w:hRule="atLeast"/>
        </w:trPr>
        <w:tc>
          <w:tcPr>
            <w:tcW w:w="571" w:type="dxa"/>
          </w:tcPr>
          <w:p>
            <w:pPr>
              <w:pStyle w:val="TableParagraph"/>
              <w:spacing w:before="28"/>
              <w:ind w:left="50"/>
              <w:rPr>
                <w:sz w:val="21"/>
              </w:rPr>
            </w:pPr>
            <w:r>
              <w:rPr>
                <w:w w:val="100"/>
                <w:sz w:val="21"/>
              </w:rPr>
              <w:t> </w:t>
            </w:r>
          </w:p>
        </w:tc>
        <w:tc>
          <w:tcPr>
            <w:tcW w:w="1454" w:type="dxa"/>
          </w:tcPr>
          <w:p>
            <w:pPr>
              <w:pStyle w:val="TableParagraph"/>
              <w:spacing w:line="308" w:lineRule="exact"/>
              <w:ind w:left="225"/>
              <w:rPr>
                <w:rFonts w:ascii="Microsoft JhengHei" w:eastAsia="Microsoft JhengHei" w:hint="eastAsia"/>
                <w:b/>
                <w:sz w:val="21"/>
              </w:rPr>
            </w:pPr>
            <w:r>
              <w:rPr>
                <w:rFonts w:ascii="Microsoft JhengHei" w:eastAsia="Microsoft JhengHei" w:hint="eastAsia"/>
                <w:b/>
                <w:sz w:val="21"/>
              </w:rPr>
              <w:t>全残保险金</w:t>
            </w:r>
          </w:p>
        </w:tc>
        <w:tc>
          <w:tcPr>
            <w:tcW w:w="7243" w:type="dxa"/>
          </w:tcPr>
          <w:p>
            <w:pPr>
              <w:pStyle w:val="TableParagraph"/>
              <w:spacing w:before="28"/>
              <w:ind w:left="175"/>
              <w:rPr>
                <w:sz w:val="21"/>
              </w:rPr>
            </w:pPr>
            <w:r>
              <w:rPr>
                <w:spacing w:val="-12"/>
                <w:w w:val="100"/>
                <w:sz w:val="21"/>
              </w:rPr>
              <w:t>若被保险人遭受意外伤害，并自意外伤害发生之日起</w:t>
            </w:r>
            <w:r>
              <w:rPr>
                <w:spacing w:val="-60"/>
                <w:sz w:val="21"/>
              </w:rPr>
              <w:t> </w:t>
            </w:r>
            <w:r>
              <w:rPr>
                <w:w w:val="100"/>
                <w:sz w:val="21"/>
              </w:rPr>
              <w:t>180</w:t>
            </w:r>
            <w:r>
              <w:rPr>
                <w:spacing w:val="-60"/>
                <w:sz w:val="21"/>
              </w:rPr>
              <w:t> </w:t>
            </w:r>
            <w:r>
              <w:rPr>
                <w:spacing w:val="-53"/>
                <w:w w:val="100"/>
                <w:sz w:val="21"/>
              </w:rPr>
              <w:t>日内</w:t>
            </w:r>
            <w:r>
              <w:rPr>
                <w:spacing w:val="-3"/>
                <w:w w:val="100"/>
                <w:sz w:val="21"/>
              </w:rPr>
              <w:t>（</w:t>
            </w:r>
            <w:r>
              <w:rPr>
                <w:spacing w:val="-2"/>
                <w:w w:val="100"/>
                <w:sz w:val="21"/>
              </w:rPr>
              <w:t>含第</w:t>
            </w:r>
            <w:r>
              <w:rPr>
                <w:spacing w:val="-57"/>
                <w:sz w:val="21"/>
              </w:rPr>
              <w:t> </w:t>
            </w:r>
            <w:r>
              <w:rPr>
                <w:w w:val="100"/>
                <w:sz w:val="21"/>
              </w:rPr>
              <w:t>1</w:t>
            </w:r>
            <w:r>
              <w:rPr>
                <w:spacing w:val="-3"/>
                <w:w w:val="100"/>
                <w:sz w:val="21"/>
              </w:rPr>
              <w:t>8</w:t>
            </w:r>
            <w:r>
              <w:rPr>
                <w:w w:val="100"/>
                <w:sz w:val="21"/>
              </w:rPr>
              <w:t>0</w:t>
            </w:r>
            <w:r>
              <w:rPr>
                <w:spacing w:val="-57"/>
                <w:sz w:val="21"/>
              </w:rPr>
              <w:t> </w:t>
            </w:r>
            <w:r>
              <w:rPr>
                <w:w w:val="100"/>
                <w:sz w:val="21"/>
              </w:rPr>
              <w:t>日</w:t>
            </w:r>
            <w:r>
              <w:rPr>
                <w:spacing w:val="-108"/>
                <w:w w:val="100"/>
                <w:sz w:val="21"/>
              </w:rPr>
              <w:t>）</w:t>
            </w:r>
            <w:r>
              <w:rPr>
                <w:w w:val="100"/>
                <w:sz w:val="21"/>
              </w:rPr>
              <w:t>，</w:t>
            </w:r>
          </w:p>
        </w:tc>
      </w:tr>
      <w:tr>
        <w:trPr>
          <w:trHeight w:val="313" w:hRule="atLeast"/>
        </w:trPr>
        <w:tc>
          <w:tcPr>
            <w:tcW w:w="571" w:type="dxa"/>
          </w:tcPr>
          <w:p>
            <w:pPr>
              <w:pStyle w:val="TableParagraph"/>
              <w:rPr>
                <w:rFonts w:ascii="Times New Roman"/>
                <w:sz w:val="20"/>
              </w:rPr>
            </w:pPr>
          </w:p>
        </w:tc>
        <w:tc>
          <w:tcPr>
            <w:tcW w:w="1454" w:type="dxa"/>
          </w:tcPr>
          <w:p>
            <w:pPr>
              <w:pStyle w:val="TableParagraph"/>
              <w:rPr>
                <w:rFonts w:ascii="Times New Roman"/>
                <w:sz w:val="20"/>
              </w:rPr>
            </w:pPr>
          </w:p>
        </w:tc>
        <w:tc>
          <w:tcPr>
            <w:tcW w:w="7243" w:type="dxa"/>
          </w:tcPr>
          <w:p>
            <w:pPr>
              <w:pStyle w:val="TableParagraph"/>
              <w:spacing w:line="287" w:lineRule="exact"/>
              <w:ind w:left="175"/>
              <w:rPr>
                <w:sz w:val="21"/>
              </w:rPr>
            </w:pPr>
            <w:r>
              <w:rPr>
                <w:spacing w:val="-3"/>
                <w:w w:val="100"/>
                <w:sz w:val="21"/>
              </w:rPr>
              <w:t>因该意外伤害直接导致</w:t>
            </w:r>
            <w:r>
              <w:rPr>
                <w:rFonts w:ascii="Microsoft JhengHei" w:eastAsia="Microsoft JhengHei" w:hint="eastAsia"/>
                <w:b/>
                <w:w w:val="100"/>
                <w:sz w:val="21"/>
              </w:rPr>
              <w:t>全残</w:t>
            </w:r>
            <w:r>
              <w:rPr>
                <w:w w:val="100"/>
                <w:sz w:val="21"/>
              </w:rPr>
              <w:t>（见</w:t>
            </w:r>
            <w:r>
              <w:rPr>
                <w:spacing w:val="-55"/>
                <w:sz w:val="21"/>
              </w:rPr>
              <w:t> </w:t>
            </w:r>
            <w:r>
              <w:rPr>
                <w:w w:val="100"/>
                <w:sz w:val="21"/>
              </w:rPr>
              <w:t>10.9</w:t>
            </w:r>
            <w:r>
              <w:rPr>
                <w:spacing w:val="-108"/>
                <w:w w:val="100"/>
                <w:sz w:val="21"/>
              </w:rPr>
              <w:t>）</w:t>
            </w:r>
            <w:r>
              <w:rPr>
                <w:spacing w:val="-3"/>
                <w:w w:val="100"/>
                <w:sz w:val="21"/>
              </w:rPr>
              <w:t>，我们将按基本保险金额给付全残保</w:t>
            </w:r>
          </w:p>
        </w:tc>
      </w:tr>
      <w:tr>
        <w:trPr>
          <w:trHeight w:val="351" w:hRule="atLeast"/>
        </w:trPr>
        <w:tc>
          <w:tcPr>
            <w:tcW w:w="571" w:type="dxa"/>
          </w:tcPr>
          <w:p>
            <w:pPr>
              <w:pStyle w:val="TableParagraph"/>
              <w:rPr>
                <w:rFonts w:ascii="Times New Roman"/>
                <w:sz w:val="20"/>
              </w:rPr>
            </w:pPr>
          </w:p>
        </w:tc>
        <w:tc>
          <w:tcPr>
            <w:tcW w:w="1454" w:type="dxa"/>
          </w:tcPr>
          <w:p>
            <w:pPr>
              <w:pStyle w:val="TableParagraph"/>
              <w:rPr>
                <w:rFonts w:ascii="Times New Roman"/>
                <w:sz w:val="20"/>
              </w:rPr>
            </w:pPr>
          </w:p>
        </w:tc>
        <w:tc>
          <w:tcPr>
            <w:tcW w:w="7243" w:type="dxa"/>
          </w:tcPr>
          <w:p>
            <w:pPr>
              <w:pStyle w:val="TableParagraph"/>
              <w:spacing w:line="261" w:lineRule="exact"/>
              <w:ind w:left="175"/>
              <w:rPr>
                <w:sz w:val="21"/>
              </w:rPr>
            </w:pPr>
            <w:r>
              <w:rPr>
                <w:sz w:val="21"/>
              </w:rPr>
              <w:t>险金，本主险合同终止。 </w:t>
            </w:r>
          </w:p>
        </w:tc>
      </w:tr>
      <w:tr>
        <w:trPr>
          <w:trHeight w:val="350" w:hRule="atLeast"/>
        </w:trPr>
        <w:tc>
          <w:tcPr>
            <w:tcW w:w="571" w:type="dxa"/>
          </w:tcPr>
          <w:p>
            <w:pPr>
              <w:pStyle w:val="TableParagraph"/>
              <w:rPr>
                <w:rFonts w:ascii="Times New Roman"/>
                <w:sz w:val="20"/>
              </w:rPr>
            </w:pPr>
          </w:p>
        </w:tc>
        <w:tc>
          <w:tcPr>
            <w:tcW w:w="1454" w:type="dxa"/>
          </w:tcPr>
          <w:p>
            <w:pPr>
              <w:pStyle w:val="TableParagraph"/>
              <w:rPr>
                <w:rFonts w:ascii="Times New Roman"/>
                <w:sz w:val="20"/>
              </w:rPr>
            </w:pPr>
          </w:p>
        </w:tc>
        <w:tc>
          <w:tcPr>
            <w:tcW w:w="7243" w:type="dxa"/>
          </w:tcPr>
          <w:p>
            <w:pPr>
              <w:pStyle w:val="TableParagraph"/>
              <w:spacing w:before="26"/>
              <w:ind w:left="175"/>
              <w:rPr>
                <w:sz w:val="21"/>
              </w:rPr>
            </w:pPr>
            <w:r>
              <w:rPr>
                <w:sz w:val="21"/>
              </w:rPr>
              <w:t>若被保险人自意外伤害发生之日起第 180 日内治疗仍未结束，我们将按其第</w:t>
            </w:r>
          </w:p>
        </w:tc>
      </w:tr>
      <w:tr>
        <w:trPr>
          <w:trHeight w:val="310" w:hRule="atLeast"/>
        </w:trPr>
        <w:tc>
          <w:tcPr>
            <w:tcW w:w="571" w:type="dxa"/>
          </w:tcPr>
          <w:p>
            <w:pPr>
              <w:pStyle w:val="TableParagraph"/>
              <w:rPr>
                <w:rFonts w:ascii="Times New Roman"/>
                <w:sz w:val="20"/>
              </w:rPr>
            </w:pPr>
          </w:p>
        </w:tc>
        <w:tc>
          <w:tcPr>
            <w:tcW w:w="1454" w:type="dxa"/>
          </w:tcPr>
          <w:p>
            <w:pPr>
              <w:pStyle w:val="TableParagraph"/>
              <w:rPr>
                <w:rFonts w:ascii="Times New Roman"/>
                <w:sz w:val="20"/>
              </w:rPr>
            </w:pPr>
          </w:p>
        </w:tc>
        <w:tc>
          <w:tcPr>
            <w:tcW w:w="7243" w:type="dxa"/>
          </w:tcPr>
          <w:p>
            <w:pPr>
              <w:pStyle w:val="TableParagraph"/>
              <w:spacing w:line="260" w:lineRule="exact"/>
              <w:ind w:left="175"/>
              <w:rPr>
                <w:sz w:val="21"/>
              </w:rPr>
            </w:pPr>
            <w:r>
              <w:rPr>
                <w:sz w:val="21"/>
              </w:rPr>
              <w:t>180 日的身体情况进行残疾程度鉴定，并据此给付全残保险金。若被保险人</w:t>
            </w:r>
          </w:p>
        </w:tc>
      </w:tr>
      <w:tr>
        <w:trPr>
          <w:trHeight w:val="311" w:hRule="atLeast"/>
        </w:trPr>
        <w:tc>
          <w:tcPr>
            <w:tcW w:w="571" w:type="dxa"/>
          </w:tcPr>
          <w:p>
            <w:pPr>
              <w:pStyle w:val="TableParagraph"/>
              <w:rPr>
                <w:rFonts w:ascii="Times New Roman"/>
                <w:sz w:val="20"/>
              </w:rPr>
            </w:pPr>
          </w:p>
        </w:tc>
        <w:tc>
          <w:tcPr>
            <w:tcW w:w="1454" w:type="dxa"/>
          </w:tcPr>
          <w:p>
            <w:pPr>
              <w:pStyle w:val="TableParagraph"/>
              <w:rPr>
                <w:rFonts w:ascii="Times New Roman"/>
                <w:sz w:val="20"/>
              </w:rPr>
            </w:pPr>
          </w:p>
        </w:tc>
        <w:tc>
          <w:tcPr>
            <w:tcW w:w="7243" w:type="dxa"/>
          </w:tcPr>
          <w:p>
            <w:pPr>
              <w:pStyle w:val="TableParagraph"/>
              <w:spacing w:line="261" w:lineRule="exact"/>
              <w:ind w:left="175"/>
              <w:rPr>
                <w:sz w:val="21"/>
              </w:rPr>
            </w:pPr>
            <w:r>
              <w:rPr>
                <w:sz w:val="21"/>
              </w:rPr>
              <w:t>因意外伤害导致本条款所列明全残项目的两项或两项以上全残的，我们给付</w:t>
            </w:r>
          </w:p>
        </w:tc>
      </w:tr>
      <w:tr>
        <w:trPr>
          <w:trHeight w:val="351" w:hRule="atLeast"/>
        </w:trPr>
        <w:tc>
          <w:tcPr>
            <w:tcW w:w="571" w:type="dxa"/>
          </w:tcPr>
          <w:p>
            <w:pPr>
              <w:pStyle w:val="TableParagraph"/>
              <w:rPr>
                <w:rFonts w:ascii="Times New Roman"/>
                <w:sz w:val="20"/>
              </w:rPr>
            </w:pPr>
          </w:p>
        </w:tc>
        <w:tc>
          <w:tcPr>
            <w:tcW w:w="1454" w:type="dxa"/>
          </w:tcPr>
          <w:p>
            <w:pPr>
              <w:pStyle w:val="TableParagraph"/>
              <w:rPr>
                <w:rFonts w:ascii="Times New Roman"/>
                <w:sz w:val="20"/>
              </w:rPr>
            </w:pPr>
          </w:p>
        </w:tc>
        <w:tc>
          <w:tcPr>
            <w:tcW w:w="7243" w:type="dxa"/>
          </w:tcPr>
          <w:p>
            <w:pPr>
              <w:pStyle w:val="TableParagraph"/>
              <w:spacing w:line="261" w:lineRule="exact"/>
              <w:ind w:left="175"/>
              <w:rPr>
                <w:sz w:val="21"/>
              </w:rPr>
            </w:pPr>
            <w:r>
              <w:rPr>
                <w:sz w:val="21"/>
              </w:rPr>
              <w:t>的全残保险金以基本保险金额为限。 </w:t>
            </w:r>
          </w:p>
        </w:tc>
      </w:tr>
      <w:tr>
        <w:trPr>
          <w:trHeight w:val="301" w:hRule="atLeast"/>
        </w:trPr>
        <w:tc>
          <w:tcPr>
            <w:tcW w:w="571" w:type="dxa"/>
          </w:tcPr>
          <w:p>
            <w:pPr>
              <w:pStyle w:val="TableParagraph"/>
              <w:spacing w:line="255" w:lineRule="exact" w:before="26"/>
              <w:ind w:left="50"/>
              <w:rPr>
                <w:sz w:val="21"/>
              </w:rPr>
            </w:pPr>
            <w:r>
              <w:rPr>
                <w:w w:val="100"/>
                <w:sz w:val="21"/>
              </w:rPr>
              <w:t> </w:t>
            </w:r>
          </w:p>
        </w:tc>
        <w:tc>
          <w:tcPr>
            <w:tcW w:w="1454" w:type="dxa"/>
          </w:tcPr>
          <w:p>
            <w:pPr>
              <w:pStyle w:val="TableParagraph"/>
              <w:spacing w:line="255" w:lineRule="exact" w:before="26"/>
              <w:ind w:left="225"/>
              <w:rPr>
                <w:sz w:val="21"/>
              </w:rPr>
            </w:pPr>
            <w:r>
              <w:rPr>
                <w:w w:val="100"/>
                <w:sz w:val="21"/>
              </w:rPr>
              <w:t> </w:t>
            </w:r>
          </w:p>
        </w:tc>
        <w:tc>
          <w:tcPr>
            <w:tcW w:w="7243" w:type="dxa"/>
          </w:tcPr>
          <w:p>
            <w:pPr>
              <w:pStyle w:val="TableParagraph"/>
              <w:spacing w:line="255" w:lineRule="exact" w:before="26"/>
              <w:ind w:left="175"/>
              <w:rPr>
                <w:sz w:val="21"/>
              </w:rPr>
            </w:pPr>
            <w:r>
              <w:rPr>
                <w:w w:val="100"/>
                <w:sz w:val="21"/>
              </w:rPr>
              <w:t> </w:t>
            </w:r>
          </w:p>
        </w:tc>
      </w:tr>
    </w:tbl>
    <w:p>
      <w:pPr>
        <w:spacing w:after="0" w:line="255" w:lineRule="exact"/>
        <w:rPr>
          <w:sz w:val="21"/>
        </w:rPr>
        <w:sectPr>
          <w:pgSz w:w="11900" w:h="16840"/>
          <w:pgMar w:header="0" w:footer="1204" w:top="1560" w:bottom="1400" w:left="1260" w:right="1140"/>
        </w:sectPr>
      </w:pPr>
    </w:p>
    <w:p>
      <w:pPr>
        <w:pStyle w:val="Heading2"/>
        <w:tabs>
          <w:tab w:pos="969" w:val="left" w:leader="none"/>
          <w:tab w:pos="2373" w:val="left" w:leader="none"/>
        </w:tabs>
        <w:spacing w:line="204" w:lineRule="auto" w:before="16"/>
        <w:ind w:right="212" w:hanging="2151"/>
      </w:pPr>
      <w:r>
        <w:rPr/>
        <w:t>2.</w:t>
      </w:r>
      <w:r>
        <w:rPr>
          <w:spacing w:val="-33"/>
        </w:rPr>
        <w:t> </w:t>
      </w:r>
      <w:r>
        <w:rPr/>
        <w:t>4</w:t>
        <w:tab/>
        <w:t>责任免</w:t>
      </w:r>
      <w:r>
        <w:rPr>
          <w:spacing w:val="-3"/>
        </w:rPr>
        <w:t>除</w:t>
        <w:tab/>
      </w:r>
      <w:r>
        <w:rPr/>
        <w:t>因下列情形之一导</w:t>
      </w:r>
      <w:r>
        <w:rPr>
          <w:spacing w:val="-3"/>
        </w:rPr>
        <w:t>致</w:t>
      </w:r>
      <w:r>
        <w:rPr/>
        <w:t>被</w:t>
      </w:r>
      <w:r>
        <w:rPr>
          <w:spacing w:val="-3"/>
        </w:rPr>
        <w:t>保</w:t>
      </w:r>
      <w:r>
        <w:rPr/>
        <w:t>险人身故</w:t>
      </w:r>
      <w:r>
        <w:rPr>
          <w:spacing w:val="-17"/>
        </w:rPr>
        <w:t>，</w:t>
      </w:r>
      <w:r>
        <w:rPr/>
        <w:t>全残</w:t>
      </w:r>
      <w:r>
        <w:rPr>
          <w:spacing w:val="-17"/>
        </w:rPr>
        <w:t>，</w:t>
      </w:r>
      <w:r>
        <w:rPr/>
        <w:t>发生</w:t>
      </w:r>
      <w:r>
        <w:rPr>
          <w:spacing w:val="-3"/>
        </w:rPr>
        <w:t>疾</w:t>
      </w:r>
      <w:r>
        <w:rPr/>
        <w:t>病</w:t>
      </w:r>
      <w:r>
        <w:rPr>
          <w:spacing w:val="-17"/>
        </w:rPr>
        <w:t>、</w:t>
      </w:r>
      <w:r>
        <w:rPr/>
        <w:t>达到疾病状态或进行 手术的，我们不承</w:t>
      </w:r>
      <w:r>
        <w:rPr>
          <w:spacing w:val="-3"/>
        </w:rPr>
        <w:t>担</w:t>
      </w:r>
      <w:r>
        <w:rPr/>
        <w:t>给</w:t>
      </w:r>
      <w:r>
        <w:rPr>
          <w:spacing w:val="-3"/>
        </w:rPr>
        <w:t>付</w:t>
      </w:r>
      <w:r>
        <w:rPr/>
        <w:t>保险金的责任：</w:t>
      </w:r>
    </w:p>
    <w:p>
      <w:pPr>
        <w:spacing w:before="25"/>
        <w:ind w:left="2373" w:right="0" w:firstLine="0"/>
        <w:jc w:val="left"/>
        <w:rPr>
          <w:rFonts w:ascii="Microsoft JhengHei" w:eastAsia="Microsoft JhengHei" w:hint="eastAsia"/>
          <w:b/>
          <w:sz w:val="21"/>
        </w:rPr>
      </w:pPr>
      <w:r>
        <w:rPr>
          <w:rFonts w:ascii="Microsoft JhengHei" w:eastAsia="Microsoft JhengHei" w:hint="eastAsia"/>
          <w:b/>
          <w:sz w:val="21"/>
        </w:rPr>
        <w:t>（1）投保人对被保险人的故意杀害、故意伤害；</w:t>
      </w:r>
    </w:p>
    <w:p>
      <w:pPr>
        <w:spacing w:before="25"/>
        <w:ind w:left="2373" w:right="0" w:firstLine="0"/>
        <w:jc w:val="left"/>
        <w:rPr>
          <w:rFonts w:ascii="Microsoft JhengHei" w:eastAsia="Microsoft JhengHei" w:hint="eastAsia"/>
          <w:b/>
          <w:sz w:val="21"/>
        </w:rPr>
      </w:pPr>
      <w:r>
        <w:rPr>
          <w:rFonts w:ascii="Microsoft JhengHei" w:eastAsia="Microsoft JhengHei" w:hint="eastAsia"/>
          <w:b/>
          <w:sz w:val="21"/>
        </w:rPr>
        <w:t>（2）被保险人故意自伤、故意犯罪或者抗拒依法采取的刑事强制措施；</w:t>
      </w:r>
    </w:p>
    <w:p>
      <w:pPr>
        <w:spacing w:before="23"/>
        <w:ind w:left="2373" w:right="0" w:firstLine="0"/>
        <w:jc w:val="left"/>
        <w:rPr>
          <w:rFonts w:ascii="Microsoft JhengHei" w:eastAsia="Microsoft JhengHei" w:hint="eastAsia"/>
          <w:b/>
          <w:sz w:val="21"/>
        </w:rPr>
      </w:pPr>
      <w:r>
        <w:rPr>
          <w:rFonts w:ascii="Microsoft JhengHei" w:eastAsia="Microsoft JhengHei" w:hint="eastAsia"/>
          <w:b/>
          <w:w w:val="95"/>
          <w:sz w:val="21"/>
        </w:rPr>
        <w:t>（3）</w:t>
      </w:r>
      <w:r>
        <w:rPr>
          <w:rFonts w:ascii="Microsoft JhengHei" w:eastAsia="Microsoft JhengHei" w:hint="eastAsia"/>
          <w:b/>
          <w:spacing w:val="-2"/>
          <w:w w:val="95"/>
          <w:sz w:val="21"/>
        </w:rPr>
        <w:t>被保险人主动吸食或注射毒品</w:t>
      </w:r>
      <w:r>
        <w:rPr>
          <w:rFonts w:ascii="Microsoft JhengHei" w:eastAsia="Microsoft JhengHei" w:hint="eastAsia"/>
          <w:b/>
          <w:w w:val="95"/>
          <w:sz w:val="21"/>
        </w:rPr>
        <w:t>（</w:t>
      </w:r>
      <w:r>
        <w:rPr>
          <w:rFonts w:ascii="Microsoft JhengHei" w:eastAsia="Microsoft JhengHei" w:hint="eastAsia"/>
          <w:b/>
          <w:spacing w:val="13"/>
          <w:w w:val="95"/>
          <w:sz w:val="21"/>
        </w:rPr>
        <w:t>见  </w:t>
      </w:r>
      <w:r>
        <w:rPr>
          <w:rFonts w:ascii="Microsoft JhengHei" w:eastAsia="Microsoft JhengHei" w:hint="eastAsia"/>
          <w:b/>
          <w:w w:val="95"/>
          <w:sz w:val="21"/>
        </w:rPr>
        <w:t>10</w:t>
      </w:r>
      <w:r>
        <w:rPr>
          <w:rFonts w:ascii="Microsoft JhengHei" w:eastAsia="Microsoft JhengHei" w:hint="eastAsia"/>
          <w:b/>
          <w:spacing w:val="5"/>
          <w:w w:val="95"/>
          <w:sz w:val="21"/>
        </w:rPr>
        <w:t>. </w:t>
      </w:r>
      <w:r>
        <w:rPr>
          <w:rFonts w:ascii="Microsoft JhengHei" w:eastAsia="Microsoft JhengHei" w:hint="eastAsia"/>
          <w:b/>
          <w:w w:val="95"/>
          <w:sz w:val="21"/>
        </w:rPr>
        <w:t>10 </w:t>
      </w:r>
      <w:r>
        <w:rPr>
          <w:rFonts w:ascii="Microsoft JhengHei" w:eastAsia="Microsoft JhengHei" w:hint="eastAsia"/>
          <w:b/>
          <w:spacing w:val="-106"/>
          <w:w w:val="95"/>
          <w:sz w:val="21"/>
        </w:rPr>
        <w:t>）；</w:t>
      </w:r>
    </w:p>
    <w:p>
      <w:pPr>
        <w:spacing w:line="338" w:lineRule="exact" w:before="25"/>
        <w:ind w:left="2373" w:right="0" w:firstLine="0"/>
        <w:jc w:val="left"/>
        <w:rPr>
          <w:rFonts w:ascii="Microsoft JhengHei" w:eastAsia="Microsoft JhengHei" w:hint="eastAsia"/>
          <w:b/>
          <w:sz w:val="21"/>
        </w:rPr>
      </w:pPr>
      <w:r>
        <w:rPr>
          <w:rFonts w:ascii="Microsoft JhengHei" w:eastAsia="Microsoft JhengHei" w:hint="eastAsia"/>
          <w:b/>
          <w:w w:val="100"/>
          <w:sz w:val="21"/>
        </w:rPr>
        <w:t>（</w:t>
      </w:r>
      <w:r>
        <w:rPr>
          <w:rFonts w:ascii="Microsoft JhengHei" w:eastAsia="Microsoft JhengHei" w:hint="eastAsia"/>
          <w:b/>
          <w:spacing w:val="-1"/>
          <w:w w:val="84"/>
          <w:sz w:val="21"/>
        </w:rPr>
        <w:t>4</w:t>
      </w:r>
      <w:r>
        <w:rPr>
          <w:rFonts w:ascii="Microsoft JhengHei" w:eastAsia="Microsoft JhengHei" w:hint="eastAsia"/>
          <w:b/>
          <w:w w:val="100"/>
          <w:sz w:val="21"/>
        </w:rPr>
        <w:t>）</w:t>
      </w:r>
      <w:r>
        <w:rPr>
          <w:rFonts w:ascii="Microsoft JhengHei" w:eastAsia="Microsoft JhengHei" w:hint="eastAsia"/>
          <w:b/>
          <w:spacing w:val="-1"/>
          <w:w w:val="100"/>
          <w:sz w:val="21"/>
        </w:rPr>
        <w:t>被保险人酒后驾驶</w:t>
      </w:r>
      <w:r>
        <w:rPr>
          <w:rFonts w:ascii="Microsoft JhengHei" w:eastAsia="Microsoft JhengHei" w:hint="eastAsia"/>
          <w:b/>
          <w:spacing w:val="-3"/>
          <w:w w:val="100"/>
          <w:sz w:val="21"/>
        </w:rPr>
        <w:t>（</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11</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spacing w:val="-1"/>
          <w:w w:val="100"/>
          <w:sz w:val="21"/>
        </w:rPr>
        <w:t>、无合法有效驾驶证驾驶</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12</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w w:val="100"/>
          <w:sz w:val="21"/>
        </w:rPr>
        <w:t>，</w:t>
      </w:r>
    </w:p>
    <w:p>
      <w:pPr>
        <w:spacing w:line="338" w:lineRule="exact" w:before="0"/>
        <w:ind w:left="2821" w:right="1392" w:firstLine="0"/>
        <w:jc w:val="center"/>
        <w:rPr>
          <w:rFonts w:ascii="Microsoft JhengHei" w:eastAsia="Microsoft JhengHei" w:hint="eastAsia"/>
          <w:b/>
          <w:sz w:val="21"/>
        </w:rPr>
      </w:pPr>
      <w:r>
        <w:rPr>
          <w:rFonts w:ascii="Microsoft JhengHei" w:eastAsia="Microsoft JhengHei" w:hint="eastAsia"/>
          <w:b/>
          <w:spacing w:val="-1"/>
          <w:sz w:val="21"/>
        </w:rPr>
        <w:t>或驾驶无有效行驶证</w:t>
      </w:r>
      <w:r>
        <w:rPr>
          <w:rFonts w:ascii="Microsoft JhengHei" w:eastAsia="Microsoft JhengHei" w:hint="eastAsia"/>
          <w:b/>
          <w:sz w:val="21"/>
        </w:rPr>
        <w:t>（</w:t>
      </w:r>
      <w:r>
        <w:rPr>
          <w:rFonts w:ascii="Microsoft JhengHei" w:eastAsia="Microsoft JhengHei" w:hint="eastAsia"/>
          <w:b/>
          <w:spacing w:val="-17"/>
          <w:sz w:val="21"/>
        </w:rPr>
        <w:t>见 </w:t>
      </w:r>
      <w:r>
        <w:rPr>
          <w:rFonts w:ascii="Microsoft JhengHei" w:eastAsia="Microsoft JhengHei" w:hint="eastAsia"/>
          <w:b/>
          <w:sz w:val="21"/>
        </w:rPr>
        <w:t>10</w:t>
      </w:r>
      <w:r>
        <w:rPr>
          <w:rFonts w:ascii="Microsoft JhengHei" w:eastAsia="Microsoft JhengHei" w:hint="eastAsia"/>
          <w:b/>
          <w:spacing w:val="-22"/>
          <w:sz w:val="21"/>
        </w:rPr>
        <w:t>. </w:t>
      </w:r>
      <w:r>
        <w:rPr>
          <w:rFonts w:ascii="Microsoft JhengHei" w:eastAsia="Microsoft JhengHei" w:hint="eastAsia"/>
          <w:b/>
          <w:sz w:val="21"/>
        </w:rPr>
        <w:t>13 ）的机动车（</w:t>
      </w:r>
      <w:r>
        <w:rPr>
          <w:rFonts w:ascii="Microsoft JhengHei" w:eastAsia="Microsoft JhengHei" w:hint="eastAsia"/>
          <w:b/>
          <w:spacing w:val="-17"/>
          <w:sz w:val="21"/>
        </w:rPr>
        <w:t>见 </w:t>
      </w:r>
      <w:r>
        <w:rPr>
          <w:rFonts w:ascii="Microsoft JhengHei" w:eastAsia="Microsoft JhengHei" w:hint="eastAsia"/>
          <w:b/>
          <w:sz w:val="21"/>
        </w:rPr>
        <w:t>10</w:t>
      </w:r>
      <w:r>
        <w:rPr>
          <w:rFonts w:ascii="Microsoft JhengHei" w:eastAsia="Microsoft JhengHei" w:hint="eastAsia"/>
          <w:b/>
          <w:spacing w:val="-22"/>
          <w:sz w:val="21"/>
        </w:rPr>
        <w:t>. </w:t>
      </w:r>
      <w:r>
        <w:rPr>
          <w:rFonts w:ascii="Microsoft JhengHei" w:eastAsia="Microsoft JhengHei" w:hint="eastAsia"/>
          <w:b/>
          <w:sz w:val="21"/>
        </w:rPr>
        <w:t>14 </w:t>
      </w:r>
      <w:r>
        <w:rPr>
          <w:rFonts w:ascii="Microsoft JhengHei" w:eastAsia="Microsoft JhengHei" w:hint="eastAsia"/>
          <w:b/>
          <w:spacing w:val="-106"/>
          <w:sz w:val="21"/>
        </w:rPr>
        <w:t>）；</w:t>
      </w:r>
    </w:p>
    <w:p>
      <w:pPr>
        <w:spacing w:line="256" w:lineRule="auto" w:before="26"/>
        <w:ind w:left="2901" w:right="226" w:hanging="528"/>
        <w:jc w:val="left"/>
        <w:rPr>
          <w:rFonts w:ascii="Microsoft JhengHei" w:eastAsia="Microsoft JhengHei" w:hint="eastAsia"/>
          <w:b/>
          <w:sz w:val="21"/>
        </w:rPr>
      </w:pPr>
      <w:r>
        <w:rPr>
          <w:rFonts w:ascii="Microsoft JhengHei" w:eastAsia="Microsoft JhengHei" w:hint="eastAsia"/>
          <w:b/>
          <w:sz w:val="21"/>
        </w:rPr>
        <w:t>（5）被保险人自本主险合同成立或者自本主险合同效力恢复之日起 2 年内自杀，但被保险人自杀时为无民事行为能力人的除外；</w:t>
      </w:r>
    </w:p>
    <w:p>
      <w:pPr>
        <w:spacing w:before="3"/>
        <w:ind w:left="2373" w:right="0" w:firstLine="0"/>
        <w:jc w:val="left"/>
        <w:rPr>
          <w:rFonts w:ascii="Microsoft JhengHei" w:eastAsia="Microsoft JhengHei" w:hint="eastAsia"/>
          <w:b/>
          <w:sz w:val="21"/>
        </w:rPr>
      </w:pPr>
      <w:r>
        <w:rPr>
          <w:rFonts w:ascii="Microsoft JhengHei" w:eastAsia="Microsoft JhengHei" w:hint="eastAsia"/>
          <w:b/>
          <w:spacing w:val="-11"/>
          <w:sz w:val="21"/>
        </w:rPr>
        <w:t>（6）</w:t>
      </w:r>
      <w:r>
        <w:rPr>
          <w:rFonts w:ascii="Microsoft JhengHei" w:eastAsia="Microsoft JhengHei" w:hint="eastAsia"/>
          <w:b/>
          <w:spacing w:val="-8"/>
          <w:sz w:val="21"/>
        </w:rPr>
        <w:t>先天性畸形、变形和染色体异常</w:t>
      </w:r>
      <w:r>
        <w:rPr>
          <w:rFonts w:ascii="Microsoft JhengHei" w:eastAsia="Microsoft JhengHei" w:hint="eastAsia"/>
          <w:b/>
          <w:sz w:val="21"/>
        </w:rPr>
        <w:t>（</w:t>
      </w:r>
      <w:r>
        <w:rPr>
          <w:rFonts w:ascii="Microsoft JhengHei" w:eastAsia="Microsoft JhengHei" w:hint="eastAsia"/>
          <w:b/>
          <w:spacing w:val="-18"/>
          <w:sz w:val="21"/>
        </w:rPr>
        <w:t>见 </w:t>
      </w:r>
      <w:r>
        <w:rPr>
          <w:rFonts w:ascii="Microsoft JhengHei" w:eastAsia="Microsoft JhengHei" w:hint="eastAsia"/>
          <w:b/>
          <w:sz w:val="21"/>
        </w:rPr>
        <w:t>10</w:t>
      </w:r>
      <w:r>
        <w:rPr>
          <w:rFonts w:ascii="Microsoft JhengHei" w:eastAsia="Microsoft JhengHei" w:hint="eastAsia"/>
          <w:b/>
          <w:spacing w:val="-23"/>
          <w:sz w:val="21"/>
        </w:rPr>
        <w:t>. </w:t>
      </w:r>
      <w:r>
        <w:rPr>
          <w:rFonts w:ascii="Microsoft JhengHei" w:eastAsia="Microsoft JhengHei" w:hint="eastAsia"/>
          <w:b/>
          <w:sz w:val="21"/>
        </w:rPr>
        <w:t>15 </w:t>
      </w:r>
      <w:r>
        <w:rPr>
          <w:rFonts w:ascii="Microsoft JhengHei" w:eastAsia="Microsoft JhengHei" w:hint="eastAsia"/>
          <w:b/>
          <w:spacing w:val="-70"/>
          <w:sz w:val="21"/>
        </w:rPr>
        <w:t>）</w:t>
      </w:r>
      <w:r>
        <w:rPr>
          <w:rFonts w:ascii="Microsoft JhengHei" w:eastAsia="Microsoft JhengHei" w:hint="eastAsia"/>
          <w:b/>
          <w:spacing w:val="-18"/>
          <w:sz w:val="21"/>
        </w:rPr>
        <w:t>，遗传性疾病</w:t>
      </w:r>
      <w:r>
        <w:rPr>
          <w:rFonts w:ascii="Microsoft JhengHei" w:eastAsia="Microsoft JhengHei" w:hint="eastAsia"/>
          <w:b/>
          <w:sz w:val="21"/>
        </w:rPr>
        <w:t>（</w:t>
      </w:r>
      <w:r>
        <w:rPr>
          <w:rFonts w:ascii="Microsoft JhengHei" w:eastAsia="Microsoft JhengHei" w:hint="eastAsia"/>
          <w:b/>
          <w:spacing w:val="-18"/>
          <w:sz w:val="21"/>
        </w:rPr>
        <w:t>见 </w:t>
      </w:r>
      <w:r>
        <w:rPr>
          <w:rFonts w:ascii="Microsoft JhengHei" w:eastAsia="Microsoft JhengHei" w:hint="eastAsia"/>
          <w:b/>
          <w:sz w:val="21"/>
        </w:rPr>
        <w:t>10</w:t>
      </w:r>
      <w:r>
        <w:rPr>
          <w:rFonts w:ascii="Microsoft JhengHei" w:eastAsia="Microsoft JhengHei" w:hint="eastAsia"/>
          <w:b/>
          <w:spacing w:val="-23"/>
          <w:sz w:val="21"/>
        </w:rPr>
        <w:t>. </w:t>
      </w:r>
      <w:r>
        <w:rPr>
          <w:rFonts w:ascii="Microsoft JhengHei" w:eastAsia="Microsoft JhengHei" w:hint="eastAsia"/>
          <w:b/>
          <w:sz w:val="21"/>
        </w:rPr>
        <w:t>16 </w:t>
      </w:r>
      <w:r>
        <w:rPr>
          <w:rFonts w:ascii="Microsoft JhengHei" w:eastAsia="Microsoft JhengHei" w:hint="eastAsia"/>
          <w:b/>
          <w:spacing w:val="-106"/>
          <w:sz w:val="21"/>
        </w:rPr>
        <w:t>）；</w:t>
      </w:r>
    </w:p>
    <w:p>
      <w:pPr>
        <w:spacing w:before="25"/>
        <w:ind w:left="2373" w:right="0" w:firstLine="0"/>
        <w:jc w:val="left"/>
        <w:rPr>
          <w:rFonts w:ascii="Microsoft JhengHei" w:eastAsia="Microsoft JhengHei" w:hint="eastAsia"/>
          <w:b/>
          <w:sz w:val="21"/>
        </w:rPr>
      </w:pPr>
      <w:r>
        <w:rPr>
          <w:rFonts w:ascii="Microsoft JhengHei" w:eastAsia="Microsoft JhengHei" w:hint="eastAsia"/>
          <w:b/>
          <w:sz w:val="21"/>
        </w:rPr>
        <w:t>（7）战争、军事冲突、暴乱或武装叛乱；</w:t>
      </w:r>
    </w:p>
    <w:p>
      <w:pPr>
        <w:spacing w:before="23"/>
        <w:ind w:left="2373" w:right="0" w:firstLine="0"/>
        <w:jc w:val="left"/>
        <w:rPr>
          <w:rFonts w:ascii="Microsoft JhengHei" w:eastAsia="Microsoft JhengHei" w:hint="eastAsia"/>
          <w:b/>
          <w:sz w:val="21"/>
        </w:rPr>
      </w:pPr>
      <w:r>
        <w:rPr>
          <w:rFonts w:ascii="Microsoft JhengHei" w:eastAsia="Microsoft JhengHei" w:hint="eastAsia"/>
          <w:b/>
          <w:w w:val="95"/>
          <w:sz w:val="21"/>
        </w:rPr>
        <w:t>（8）核爆炸、核辐射或核污染；</w:t>
      </w:r>
    </w:p>
    <w:p>
      <w:pPr>
        <w:spacing w:line="204" w:lineRule="auto" w:before="80"/>
        <w:ind w:left="2373" w:right="212" w:firstLine="0"/>
        <w:jc w:val="left"/>
        <w:rPr>
          <w:sz w:val="21"/>
        </w:rPr>
      </w:pPr>
      <w:r>
        <w:rPr>
          <w:rFonts w:ascii="Microsoft JhengHei" w:eastAsia="Microsoft JhengHei" w:hint="eastAsia"/>
          <w:b/>
          <w:spacing w:val="-5"/>
          <w:sz w:val="21"/>
        </w:rPr>
        <w:t>发生上述情形导致被保险人身故，全残，发生疾病、达到疾病状态或进行手术的，本主险合同终止，我们退还本主险合同的现金价值</w:t>
      </w:r>
      <w:r>
        <w:rPr>
          <w:rFonts w:ascii="Microsoft JhengHei" w:eastAsia="Microsoft JhengHei" w:hint="eastAsia"/>
          <w:b/>
          <w:sz w:val="21"/>
        </w:rPr>
        <w:t>（</w:t>
      </w:r>
      <w:r>
        <w:rPr>
          <w:rFonts w:ascii="Microsoft JhengHei" w:eastAsia="Microsoft JhengHei" w:hint="eastAsia"/>
          <w:b/>
          <w:spacing w:val="-10"/>
          <w:sz w:val="21"/>
        </w:rPr>
        <w:t>见 </w:t>
      </w:r>
      <w:r>
        <w:rPr>
          <w:rFonts w:ascii="Microsoft JhengHei" w:eastAsia="Microsoft JhengHei" w:hint="eastAsia"/>
          <w:b/>
          <w:sz w:val="21"/>
        </w:rPr>
        <w:t>10</w:t>
      </w:r>
      <w:r>
        <w:rPr>
          <w:rFonts w:ascii="Microsoft JhengHei" w:eastAsia="Microsoft JhengHei" w:hint="eastAsia"/>
          <w:b/>
          <w:spacing w:val="-19"/>
          <w:sz w:val="21"/>
        </w:rPr>
        <w:t>. </w:t>
      </w:r>
      <w:r>
        <w:rPr>
          <w:rFonts w:ascii="Microsoft JhengHei" w:eastAsia="Microsoft JhengHei" w:hint="eastAsia"/>
          <w:b/>
          <w:sz w:val="21"/>
        </w:rPr>
        <w:t>17 </w:t>
      </w:r>
      <w:r>
        <w:rPr>
          <w:rFonts w:ascii="Microsoft JhengHei" w:eastAsia="Microsoft JhengHei" w:hint="eastAsia"/>
          <w:b/>
          <w:spacing w:val="-106"/>
          <w:sz w:val="21"/>
        </w:rPr>
        <w:t>）</w:t>
      </w:r>
      <w:r>
        <w:rPr>
          <w:rFonts w:ascii="Microsoft JhengHei" w:eastAsia="Microsoft JhengHei" w:hint="eastAsia"/>
          <w:b/>
          <w:spacing w:val="-3"/>
          <w:sz w:val="21"/>
        </w:rPr>
        <w:t>。</w:t>
      </w:r>
      <w:r>
        <w:rPr>
          <w:sz w:val="21"/>
        </w:rPr>
        <w:t> </w:t>
      </w:r>
    </w:p>
    <w:p>
      <w:pPr>
        <w:pStyle w:val="BodyText"/>
        <w:tabs>
          <w:tab w:pos="969" w:val="left" w:leader="none"/>
          <w:tab w:pos="2373" w:val="left" w:leader="none"/>
        </w:tabs>
        <w:spacing w:before="92"/>
        <w:ind w:left="223"/>
      </w:pPr>
      <w:r>
        <w:rPr>
          <w:w w:val="100"/>
        </w:rPr>
        <w:t> </w:t>
      </w:r>
      <w:r>
        <w:rPr/>
        <w:tab/>
      </w:r>
      <w:r>
        <w:rPr>
          <w:w w:val="100"/>
        </w:rPr>
        <w:t> </w:t>
      </w:r>
      <w:r>
        <w:rPr/>
        <w:tab/>
      </w:r>
      <w:r>
        <w:rPr>
          <w:w w:val="100"/>
        </w:rPr>
        <w:t> </w:t>
      </w:r>
    </w:p>
    <w:p>
      <w:pPr>
        <w:pStyle w:val="Heading1"/>
        <w:numPr>
          <w:ilvl w:val="0"/>
          <w:numId w:val="5"/>
        </w:numPr>
        <w:tabs>
          <w:tab w:pos="969" w:val="left" w:leader="none"/>
          <w:tab w:pos="970" w:val="left" w:leader="none"/>
        </w:tabs>
        <w:spacing w:line="240" w:lineRule="auto" w:before="168" w:after="0"/>
        <w:ind w:left="969" w:right="0" w:hanging="745"/>
        <w:jc w:val="left"/>
      </w:pPr>
      <w:r>
        <w:rPr/>
        <w:pict>
          <v:group style="position:absolute;margin-left:65.760002pt;margin-top:37.513634pt;width:463.8pt;height:1pt;mso-position-horizontal-relative:page;mso-position-vertical-relative:paragraph;z-index:1168;mso-wrap-distance-left:0;mso-wrap-distance-right:0" coordorigin="1315,750" coordsize="9276,20">
            <v:line style="position:absolute" from="1315,760" to="2062,760" stroked="true" strokeweight=".96pt" strokecolor="#000000">
              <v:stroke dashstyle="solid"/>
            </v:line>
            <v:rect style="position:absolute;left:2061;top:750;width:20;height:20" filled="true" fillcolor="#000000" stroked="false">
              <v:fill type="solid"/>
            </v:rect>
            <v:line style="position:absolute" from="2081,760" to="3466,760" stroked="true" strokeweight=".96pt" strokecolor="#000000">
              <v:stroke dashstyle="solid"/>
            </v:line>
            <v:rect style="position:absolute;left:3465;top:750;width:20;height:20" filled="true" fillcolor="#000000" stroked="false">
              <v:fill type="solid"/>
            </v:rect>
            <v:line style="position:absolute" from="3485,760" to="10591,760" stroked="true" strokeweight=".96pt" strokecolor="#000000">
              <v:stroke dashstyle="solid"/>
            </v:line>
            <w10:wrap type="topAndBottom"/>
          </v:group>
        </w:pict>
      </w:r>
      <w:r>
        <w:rPr/>
        <w:t>保险金的申请</w:t>
      </w:r>
    </w:p>
    <w:p>
      <w:pPr>
        <w:pStyle w:val="BodyText"/>
        <w:tabs>
          <w:tab w:pos="969" w:val="left" w:leader="none"/>
          <w:tab w:pos="2373" w:val="left" w:leader="none"/>
        </w:tabs>
        <w:spacing w:before="39"/>
        <w:ind w:left="223"/>
      </w:pPr>
      <w:r>
        <w:rPr>
          <w:w w:val="100"/>
        </w:rPr>
        <w:t> </w:t>
      </w:r>
      <w:r>
        <w:rPr/>
        <w:tab/>
      </w:r>
      <w:r>
        <w:rPr>
          <w:w w:val="100"/>
        </w:rPr>
        <w:t> </w:t>
      </w:r>
      <w:r>
        <w:rPr/>
        <w:tab/>
      </w:r>
      <w:r>
        <w:rPr>
          <w:w w:val="100"/>
        </w:rPr>
        <w:t> </w:t>
      </w:r>
    </w:p>
    <w:p>
      <w:pPr>
        <w:pStyle w:val="BodyText"/>
        <w:tabs>
          <w:tab w:pos="969" w:val="left" w:leader="none"/>
          <w:tab w:pos="2373" w:val="left" w:leader="none"/>
        </w:tabs>
        <w:spacing w:line="249" w:lineRule="auto" w:before="46"/>
        <w:ind w:left="2373" w:right="211" w:hanging="2151"/>
      </w:pPr>
      <w:r>
        <w:rPr>
          <w:rFonts w:ascii="Microsoft JhengHei" w:eastAsia="Microsoft JhengHei" w:hint="eastAsia"/>
          <w:b/>
        </w:rPr>
        <w:t>3.</w:t>
      </w:r>
      <w:r>
        <w:rPr>
          <w:rFonts w:ascii="Microsoft JhengHei" w:eastAsia="Microsoft JhengHei" w:hint="eastAsia"/>
          <w:b/>
          <w:spacing w:val="-33"/>
        </w:rPr>
        <w:t> </w:t>
      </w:r>
      <w:r>
        <w:rPr>
          <w:rFonts w:ascii="Microsoft JhengHei" w:eastAsia="Microsoft JhengHei" w:hint="eastAsia"/>
          <w:b/>
        </w:rPr>
        <w:t>1</w:t>
        <w:tab/>
        <w:t>受益人</w:t>
        <w:tab/>
      </w:r>
      <w:r>
        <w:rPr/>
        <w:t>您或</w:t>
      </w:r>
      <w:r>
        <w:rPr>
          <w:spacing w:val="-3"/>
        </w:rPr>
        <w:t>者</w:t>
      </w:r>
      <w:r>
        <w:rPr/>
        <w:t>被</w:t>
      </w:r>
      <w:r>
        <w:rPr>
          <w:spacing w:val="-3"/>
        </w:rPr>
        <w:t>保</w:t>
      </w:r>
      <w:r>
        <w:rPr/>
        <w:t>险</w:t>
      </w:r>
      <w:r>
        <w:rPr>
          <w:spacing w:val="-3"/>
        </w:rPr>
        <w:t>人</w:t>
      </w:r>
      <w:r>
        <w:rPr/>
        <w:t>可</w:t>
      </w:r>
      <w:r>
        <w:rPr>
          <w:spacing w:val="-3"/>
        </w:rPr>
        <w:t>以</w:t>
      </w:r>
      <w:r>
        <w:rPr/>
        <w:t>指</w:t>
      </w:r>
      <w:r>
        <w:rPr>
          <w:spacing w:val="-3"/>
        </w:rPr>
        <w:t>定</w:t>
      </w:r>
      <w:r>
        <w:rPr/>
        <w:t>一人</w:t>
      </w:r>
      <w:r>
        <w:rPr>
          <w:spacing w:val="-3"/>
        </w:rPr>
        <w:t>或</w:t>
      </w:r>
      <w:r>
        <w:rPr/>
        <w:t>者</w:t>
      </w:r>
      <w:r>
        <w:rPr>
          <w:spacing w:val="-3"/>
        </w:rPr>
        <w:t>数</w:t>
      </w:r>
      <w:r>
        <w:rPr/>
        <w:t>人</w:t>
      </w:r>
      <w:r>
        <w:rPr>
          <w:spacing w:val="-3"/>
        </w:rPr>
        <w:t>为</w:t>
      </w:r>
      <w:r>
        <w:rPr/>
        <w:t>重</w:t>
      </w:r>
      <w:r>
        <w:rPr>
          <w:spacing w:val="-3"/>
        </w:rPr>
        <w:t>大</w:t>
      </w:r>
      <w:r>
        <w:rPr/>
        <w:t>疾</w:t>
      </w:r>
      <w:r>
        <w:rPr>
          <w:spacing w:val="-3"/>
        </w:rPr>
        <w:t>病</w:t>
      </w:r>
      <w:r>
        <w:rPr/>
        <w:t>金</w:t>
      </w:r>
      <w:r>
        <w:rPr>
          <w:spacing w:val="-12"/>
        </w:rPr>
        <w:t>，</w:t>
      </w:r>
      <w:r>
        <w:rPr/>
        <w:t>轻</w:t>
      </w:r>
      <w:r>
        <w:rPr>
          <w:spacing w:val="-3"/>
        </w:rPr>
        <w:t>症</w:t>
      </w:r>
      <w:r>
        <w:rPr/>
        <w:t>疾</w:t>
      </w:r>
      <w:r>
        <w:rPr>
          <w:spacing w:val="-3"/>
        </w:rPr>
        <w:t>病</w:t>
      </w:r>
      <w:r>
        <w:rPr/>
        <w:t>保</w:t>
      </w:r>
      <w:r>
        <w:rPr>
          <w:spacing w:val="-3"/>
        </w:rPr>
        <w:t>险金</w:t>
      </w:r>
      <w:r>
        <w:rPr>
          <w:spacing w:val="-10"/>
        </w:rPr>
        <w:t>，</w:t>
      </w:r>
      <w:r>
        <w:rPr/>
        <w:t>身 故保</w:t>
      </w:r>
      <w:r>
        <w:rPr>
          <w:spacing w:val="-3"/>
        </w:rPr>
        <w:t>险</w:t>
      </w:r>
      <w:r>
        <w:rPr/>
        <w:t>金</w:t>
      </w:r>
      <w:r>
        <w:rPr>
          <w:spacing w:val="-3"/>
        </w:rPr>
        <w:t>以</w:t>
      </w:r>
      <w:r>
        <w:rPr/>
        <w:t>及</w:t>
      </w:r>
      <w:r>
        <w:rPr>
          <w:spacing w:val="-3"/>
        </w:rPr>
        <w:t>全</w:t>
      </w:r>
      <w:r>
        <w:rPr/>
        <w:t>残</w:t>
      </w:r>
      <w:r>
        <w:rPr>
          <w:spacing w:val="-3"/>
        </w:rPr>
        <w:t>保</w:t>
      </w:r>
      <w:r>
        <w:rPr/>
        <w:t>险</w:t>
      </w:r>
      <w:r>
        <w:rPr>
          <w:spacing w:val="-3"/>
        </w:rPr>
        <w:t>金</w:t>
      </w:r>
      <w:r>
        <w:rPr/>
        <w:t>的受</w:t>
      </w:r>
      <w:r>
        <w:rPr>
          <w:spacing w:val="-3"/>
        </w:rPr>
        <w:t>益</w:t>
      </w:r>
      <w:r>
        <w:rPr/>
        <w:t>人。</w:t>
      </w:r>
    </w:p>
    <w:p>
      <w:pPr>
        <w:pStyle w:val="BodyText"/>
        <w:spacing w:line="256" w:lineRule="auto" w:before="107"/>
        <w:ind w:left="2373" w:right="212"/>
      </w:pPr>
      <w:r>
        <w:rPr>
          <w:spacing w:val="-6"/>
        </w:rPr>
        <w:t>除本主险合同另有指定外，重大疾病保险金</w:t>
      </w:r>
      <w:r>
        <w:rPr>
          <w:rFonts w:ascii="Times New Roman" w:eastAsia="Times New Roman"/>
          <w:spacing w:val="-3"/>
        </w:rPr>
        <w:t>,</w:t>
      </w:r>
      <w:r>
        <w:rPr>
          <w:spacing w:val="-8"/>
        </w:rPr>
        <w:t>轻症疾病保险金，身故保险金以</w:t>
      </w:r>
      <w:r>
        <w:rPr>
          <w:spacing w:val="-5"/>
        </w:rPr>
        <w:t>及全残保险金的受益人为被保险人本人。</w:t>
      </w:r>
    </w:p>
    <w:p>
      <w:pPr>
        <w:pStyle w:val="BodyText"/>
        <w:spacing w:line="273" w:lineRule="auto" w:before="101"/>
        <w:ind w:left="2373" w:right="163"/>
      </w:pPr>
      <w:r>
        <w:rPr/>
        <w:t>被保险人为无民事行为能力人或限制民事行为能力人的，可以由其监护人指定受益人。</w:t>
      </w:r>
    </w:p>
    <w:p>
      <w:pPr>
        <w:pStyle w:val="BodyText"/>
        <w:spacing w:before="87"/>
        <w:ind w:left="2373"/>
      </w:pPr>
      <w:r>
        <w:rPr/>
        <w:t>受益人为数人的，被保险人或者投保人可以确定受益顺序和受益份额；未确</w:t>
      </w:r>
    </w:p>
    <w:p>
      <w:pPr>
        <w:pStyle w:val="BodyText"/>
        <w:spacing w:before="35"/>
        <w:ind w:left="2373"/>
      </w:pPr>
      <w:r>
        <w:rPr/>
        <w:t>定受益份额的，受益人按照相等份额享有受益权。 </w:t>
      </w:r>
    </w:p>
    <w:p>
      <w:pPr>
        <w:pStyle w:val="BodyText"/>
        <w:spacing w:line="273" w:lineRule="auto" w:before="116"/>
        <w:ind w:left="2373" w:right="163"/>
      </w:pPr>
      <w:r>
        <w:rPr/>
        <w:t>您或者被保险人可以变更受益人并书面通知我们。我们收到变更受益人的书面通知后，在保险单或者其他保险凭证上批注或者附贴批单。 </w:t>
      </w:r>
    </w:p>
    <w:p>
      <w:pPr>
        <w:pStyle w:val="BodyText"/>
        <w:spacing w:before="86"/>
        <w:ind w:left="2373"/>
      </w:pPr>
      <w:r>
        <w:rPr/>
        <w:t>您指定或变更受益人时须经被保险人同意。 </w:t>
      </w:r>
    </w:p>
    <w:p>
      <w:pPr>
        <w:pStyle w:val="BodyText"/>
        <w:spacing w:line="273" w:lineRule="auto" w:before="113"/>
        <w:ind w:left="2373" w:right="192"/>
      </w:pPr>
      <w:r>
        <w:rPr/>
        <w:t>被保险人身故后，遇有下列情形之一的，保险金作为被保险人的遗产，由我们依照《中华人民共和国继承法》的规定履行给付保险金的义务： </w:t>
      </w:r>
    </w:p>
    <w:p>
      <w:pPr>
        <w:pStyle w:val="BodyText"/>
        <w:spacing w:before="86"/>
        <w:ind w:left="2373"/>
      </w:pPr>
      <w:r>
        <w:rPr/>
        <w:t>（1）没有指定受益人，或者受益人指定不明无法确定的；  </w:t>
      </w:r>
    </w:p>
    <w:p>
      <w:pPr>
        <w:pStyle w:val="BodyText"/>
        <w:spacing w:before="113"/>
        <w:ind w:left="2373"/>
      </w:pPr>
      <w:r>
        <w:rPr/>
        <w:t>（2）受益人先于被保险人身故，没有其他受益人的； </w:t>
      </w:r>
    </w:p>
    <w:p>
      <w:pPr>
        <w:pStyle w:val="BodyText"/>
        <w:spacing w:before="116"/>
        <w:ind w:left="2373"/>
      </w:pPr>
      <w:r>
        <w:rPr/>
        <w:t>（3）受益人依法丧失受益权或者放弃受益权，没有其他受益人的。 </w:t>
      </w:r>
    </w:p>
    <w:p>
      <w:pPr>
        <w:pStyle w:val="BodyText"/>
        <w:spacing w:before="114"/>
        <w:ind w:left="2373"/>
      </w:pPr>
      <w:r>
        <w:rPr/>
        <w:t>受益人与被保险人在同一事件中身故，且不能确定身故顺序的，推定受益人</w:t>
      </w:r>
    </w:p>
    <w:p>
      <w:pPr>
        <w:pStyle w:val="BodyText"/>
        <w:spacing w:before="37"/>
        <w:ind w:left="2373"/>
      </w:pPr>
      <w:r>
        <w:rPr/>
        <w:t>身故在先。 </w:t>
      </w:r>
    </w:p>
    <w:p>
      <w:pPr>
        <w:pStyle w:val="Heading2"/>
        <w:spacing w:line="338" w:lineRule="exact" w:before="49"/>
      </w:pPr>
      <w:r>
        <w:rPr/>
        <w:t>受益人故意造成被保险人死亡、伤残、疾病的，或者故意杀害被保险人未遂</w:t>
      </w:r>
    </w:p>
    <w:p>
      <w:pPr>
        <w:spacing w:line="338" w:lineRule="exact" w:before="0"/>
        <w:ind w:left="2373" w:right="0" w:firstLine="0"/>
        <w:jc w:val="left"/>
        <w:rPr>
          <w:rFonts w:ascii="Microsoft JhengHei" w:eastAsia="Microsoft JhengHei" w:hint="eastAsia"/>
          <w:b/>
          <w:sz w:val="21"/>
        </w:rPr>
      </w:pPr>
      <w:r>
        <w:rPr>
          <w:rFonts w:ascii="Microsoft JhengHei" w:eastAsia="Microsoft JhengHei" w:hint="eastAsia"/>
          <w:b/>
          <w:sz w:val="21"/>
        </w:rPr>
        <w:t>的，该受益人丧失受益权。</w:t>
      </w:r>
    </w:p>
    <w:p>
      <w:pPr>
        <w:spacing w:after="0" w:line="338" w:lineRule="exact"/>
        <w:jc w:val="left"/>
        <w:rPr>
          <w:rFonts w:ascii="Microsoft JhengHei" w:eastAsia="Microsoft JhengHei" w:hint="eastAsia"/>
          <w:sz w:val="21"/>
        </w:rPr>
        <w:sectPr>
          <w:pgSz w:w="11900" w:h="16840"/>
          <w:pgMar w:header="0" w:footer="1204" w:top="1480" w:bottom="1400" w:left="1200" w:right="120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4"/>
        <w:gridCol w:w="1392"/>
        <w:gridCol w:w="7239"/>
      </w:tblGrid>
      <w:tr>
        <w:trPr>
          <w:trHeight w:val="295" w:hRule="atLeast"/>
        </w:trPr>
        <w:tc>
          <w:tcPr>
            <w:tcW w:w="634" w:type="dxa"/>
          </w:tcPr>
          <w:p>
            <w:pPr>
              <w:pStyle w:val="TableParagraph"/>
              <w:spacing w:line="203" w:lineRule="exact"/>
              <w:ind w:left="50"/>
              <w:rPr>
                <w:sz w:val="21"/>
              </w:rPr>
            </w:pPr>
            <w:r>
              <w:rPr>
                <w:w w:val="100"/>
                <w:sz w:val="21"/>
              </w:rPr>
              <w:t> </w:t>
            </w:r>
          </w:p>
        </w:tc>
        <w:tc>
          <w:tcPr>
            <w:tcW w:w="1392" w:type="dxa"/>
          </w:tcPr>
          <w:p>
            <w:pPr>
              <w:pStyle w:val="TableParagraph"/>
              <w:spacing w:line="203" w:lineRule="exact"/>
              <w:ind w:left="162"/>
              <w:rPr>
                <w:sz w:val="21"/>
              </w:rPr>
            </w:pPr>
            <w:r>
              <w:rPr>
                <w:w w:val="100"/>
                <w:sz w:val="21"/>
              </w:rPr>
              <w:t> </w:t>
            </w:r>
          </w:p>
        </w:tc>
        <w:tc>
          <w:tcPr>
            <w:tcW w:w="7239" w:type="dxa"/>
          </w:tcPr>
          <w:p>
            <w:pPr>
              <w:pStyle w:val="TableParagraph"/>
              <w:spacing w:line="203" w:lineRule="exact"/>
              <w:ind w:left="174"/>
              <w:rPr>
                <w:sz w:val="21"/>
              </w:rPr>
            </w:pPr>
            <w:r>
              <w:rPr>
                <w:w w:val="100"/>
                <w:sz w:val="21"/>
              </w:rPr>
              <w:t> </w:t>
            </w:r>
          </w:p>
        </w:tc>
      </w:tr>
      <w:tr>
        <w:trPr>
          <w:trHeight w:val="402" w:hRule="atLeast"/>
        </w:trPr>
        <w:tc>
          <w:tcPr>
            <w:tcW w:w="634" w:type="dxa"/>
          </w:tcPr>
          <w:p>
            <w:pPr>
              <w:pStyle w:val="TableParagraph"/>
              <w:spacing w:line="321" w:lineRule="exact"/>
              <w:ind w:left="50"/>
              <w:rPr>
                <w:rFonts w:ascii="Microsoft JhengHei"/>
                <w:b/>
                <w:sz w:val="21"/>
              </w:rPr>
            </w:pPr>
            <w:r>
              <w:rPr>
                <w:rFonts w:ascii="Microsoft JhengHei"/>
                <w:b/>
                <w:w w:val="90"/>
                <w:sz w:val="21"/>
              </w:rPr>
              <w:t>3. 2</w:t>
            </w:r>
          </w:p>
        </w:tc>
        <w:tc>
          <w:tcPr>
            <w:tcW w:w="1392" w:type="dxa"/>
          </w:tcPr>
          <w:p>
            <w:pPr>
              <w:pStyle w:val="TableParagraph"/>
              <w:spacing w:line="321" w:lineRule="exact"/>
              <w:ind w:left="162"/>
              <w:rPr>
                <w:rFonts w:ascii="Microsoft JhengHei" w:eastAsia="Microsoft JhengHei" w:hint="eastAsia"/>
                <w:b/>
                <w:sz w:val="21"/>
              </w:rPr>
            </w:pPr>
            <w:r>
              <w:rPr>
                <w:rFonts w:ascii="Microsoft JhengHei" w:eastAsia="Microsoft JhengHei" w:hint="eastAsia"/>
                <w:b/>
                <w:sz w:val="21"/>
              </w:rPr>
              <w:t>保险事故通</w:t>
            </w:r>
          </w:p>
        </w:tc>
        <w:tc>
          <w:tcPr>
            <w:tcW w:w="7239" w:type="dxa"/>
          </w:tcPr>
          <w:p>
            <w:pPr>
              <w:pStyle w:val="TableParagraph"/>
              <w:spacing w:before="22"/>
              <w:ind w:left="174"/>
              <w:rPr>
                <w:sz w:val="21"/>
              </w:rPr>
            </w:pPr>
            <w:r>
              <w:rPr>
                <w:sz w:val="21"/>
              </w:rPr>
              <w:t>请您或受益人在知道保险事故发生后 10 日内通知我们。 </w:t>
            </w:r>
          </w:p>
        </w:tc>
      </w:tr>
      <w:tr>
        <w:trPr>
          <w:trHeight w:val="342" w:hRule="atLeast"/>
        </w:trPr>
        <w:tc>
          <w:tcPr>
            <w:tcW w:w="634" w:type="dxa"/>
          </w:tcPr>
          <w:p>
            <w:pPr>
              <w:pStyle w:val="TableParagraph"/>
              <w:rPr>
                <w:rFonts w:ascii="Times New Roman"/>
                <w:sz w:val="20"/>
              </w:rPr>
            </w:pPr>
          </w:p>
        </w:tc>
        <w:tc>
          <w:tcPr>
            <w:tcW w:w="1392" w:type="dxa"/>
          </w:tcPr>
          <w:p>
            <w:pPr>
              <w:pStyle w:val="TableParagraph"/>
              <w:spacing w:line="230" w:lineRule="exact"/>
              <w:ind w:left="162"/>
              <w:rPr>
                <w:rFonts w:ascii="Microsoft JhengHei" w:eastAsia="Microsoft JhengHei" w:hint="eastAsia"/>
                <w:b/>
                <w:sz w:val="21"/>
              </w:rPr>
            </w:pPr>
            <w:r>
              <w:rPr>
                <w:rFonts w:ascii="Microsoft JhengHei" w:eastAsia="Microsoft JhengHei" w:hint="eastAsia"/>
                <w:b/>
                <w:w w:val="100"/>
                <w:sz w:val="21"/>
              </w:rPr>
              <w:t>知</w:t>
            </w:r>
          </w:p>
        </w:tc>
        <w:tc>
          <w:tcPr>
            <w:tcW w:w="7239" w:type="dxa"/>
          </w:tcPr>
          <w:p>
            <w:pPr>
              <w:pStyle w:val="TableParagraph"/>
              <w:spacing w:line="309" w:lineRule="exact"/>
              <w:ind w:left="174"/>
              <w:rPr>
                <w:rFonts w:ascii="Microsoft JhengHei" w:eastAsia="Microsoft JhengHei" w:hint="eastAsia"/>
                <w:b/>
                <w:sz w:val="21"/>
              </w:rPr>
            </w:pPr>
            <w:r>
              <w:rPr>
                <w:rFonts w:ascii="Microsoft JhengHei" w:eastAsia="Microsoft JhengHei" w:hint="eastAsia"/>
                <w:b/>
                <w:sz w:val="21"/>
              </w:rPr>
              <w:t>如果您或受益人故意或者因重大过失未及时通知，致使保险事故的性质、原</w:t>
            </w:r>
          </w:p>
        </w:tc>
      </w:tr>
      <w:tr>
        <w:trPr>
          <w:trHeight w:val="310" w:hRule="atLeast"/>
        </w:trPr>
        <w:tc>
          <w:tcPr>
            <w:tcW w:w="634" w:type="dxa"/>
          </w:tcPr>
          <w:p>
            <w:pPr>
              <w:pStyle w:val="TableParagraph"/>
              <w:rPr>
                <w:rFonts w:ascii="Times New Roman"/>
                <w:sz w:val="20"/>
              </w:rPr>
            </w:pPr>
          </w:p>
        </w:tc>
        <w:tc>
          <w:tcPr>
            <w:tcW w:w="1392" w:type="dxa"/>
          </w:tcPr>
          <w:p>
            <w:pPr>
              <w:pStyle w:val="TableParagraph"/>
              <w:rPr>
                <w:rFonts w:ascii="Times New Roman"/>
                <w:sz w:val="20"/>
              </w:rPr>
            </w:pPr>
          </w:p>
        </w:tc>
        <w:tc>
          <w:tcPr>
            <w:tcW w:w="7239" w:type="dxa"/>
          </w:tcPr>
          <w:p>
            <w:pPr>
              <w:pStyle w:val="TableParagraph"/>
              <w:spacing w:line="276" w:lineRule="exact"/>
              <w:ind w:left="174"/>
              <w:rPr>
                <w:rFonts w:ascii="Microsoft JhengHei" w:eastAsia="Microsoft JhengHei" w:hint="eastAsia"/>
                <w:b/>
                <w:sz w:val="21"/>
              </w:rPr>
            </w:pPr>
            <w:r>
              <w:rPr>
                <w:rFonts w:ascii="Microsoft JhengHei" w:eastAsia="Microsoft JhengHei" w:hint="eastAsia"/>
                <w:b/>
                <w:sz w:val="21"/>
              </w:rPr>
              <w:t>因、损失程度等难以确定的，我们对无法确定的部分，不承担给付保险金的</w:t>
            </w:r>
          </w:p>
        </w:tc>
      </w:tr>
      <w:tr>
        <w:trPr>
          <w:trHeight w:val="312" w:hRule="atLeast"/>
        </w:trPr>
        <w:tc>
          <w:tcPr>
            <w:tcW w:w="634" w:type="dxa"/>
          </w:tcPr>
          <w:p>
            <w:pPr>
              <w:pStyle w:val="TableParagraph"/>
              <w:rPr>
                <w:rFonts w:ascii="Times New Roman"/>
                <w:sz w:val="20"/>
              </w:rPr>
            </w:pPr>
          </w:p>
        </w:tc>
        <w:tc>
          <w:tcPr>
            <w:tcW w:w="1392" w:type="dxa"/>
          </w:tcPr>
          <w:p>
            <w:pPr>
              <w:pStyle w:val="TableParagraph"/>
              <w:rPr>
                <w:rFonts w:ascii="Times New Roman"/>
                <w:sz w:val="20"/>
              </w:rPr>
            </w:pPr>
          </w:p>
        </w:tc>
        <w:tc>
          <w:tcPr>
            <w:tcW w:w="7239" w:type="dxa"/>
          </w:tcPr>
          <w:p>
            <w:pPr>
              <w:pStyle w:val="TableParagraph"/>
              <w:spacing w:line="277" w:lineRule="exact"/>
              <w:ind w:left="174"/>
              <w:rPr>
                <w:sz w:val="21"/>
              </w:rPr>
            </w:pPr>
            <w:r>
              <w:rPr>
                <w:rFonts w:ascii="Microsoft JhengHei" w:eastAsia="Microsoft JhengHei" w:hint="eastAsia"/>
                <w:b/>
                <w:sz w:val="21"/>
              </w:rPr>
              <w:t>责任，</w:t>
            </w:r>
            <w:r>
              <w:rPr>
                <w:sz w:val="21"/>
              </w:rPr>
              <w:t>但我们通过其他途径已经及时知道或者应当及时知道保险事故发生的</w:t>
            </w:r>
          </w:p>
        </w:tc>
      </w:tr>
      <w:tr>
        <w:trPr>
          <w:trHeight w:val="351" w:hRule="atLeast"/>
        </w:trPr>
        <w:tc>
          <w:tcPr>
            <w:tcW w:w="634" w:type="dxa"/>
          </w:tcPr>
          <w:p>
            <w:pPr>
              <w:pStyle w:val="TableParagraph"/>
              <w:rPr>
                <w:rFonts w:ascii="Times New Roman"/>
                <w:sz w:val="20"/>
              </w:rPr>
            </w:pPr>
          </w:p>
        </w:tc>
        <w:tc>
          <w:tcPr>
            <w:tcW w:w="1392" w:type="dxa"/>
          </w:tcPr>
          <w:p>
            <w:pPr>
              <w:pStyle w:val="TableParagraph"/>
              <w:rPr>
                <w:rFonts w:ascii="Times New Roman"/>
                <w:sz w:val="20"/>
              </w:rPr>
            </w:pPr>
          </w:p>
        </w:tc>
        <w:tc>
          <w:tcPr>
            <w:tcW w:w="7239" w:type="dxa"/>
          </w:tcPr>
          <w:p>
            <w:pPr>
              <w:pStyle w:val="TableParagraph"/>
              <w:spacing w:line="254" w:lineRule="exact"/>
              <w:ind w:left="174"/>
              <w:rPr>
                <w:sz w:val="21"/>
              </w:rPr>
            </w:pPr>
            <w:r>
              <w:rPr>
                <w:spacing w:val="-12"/>
                <w:sz w:val="21"/>
              </w:rPr>
              <w:t>或者虽未及时通知但不影响我们确定保险事故的性质、原因、损失程度除外。</w:t>
            </w:r>
            <w:r>
              <w:rPr>
                <w:sz w:val="21"/>
              </w:rPr>
              <w:t> </w:t>
            </w:r>
          </w:p>
        </w:tc>
      </w:tr>
      <w:tr>
        <w:trPr>
          <w:trHeight w:val="379" w:hRule="atLeast"/>
        </w:trPr>
        <w:tc>
          <w:tcPr>
            <w:tcW w:w="634" w:type="dxa"/>
          </w:tcPr>
          <w:p>
            <w:pPr>
              <w:pStyle w:val="TableParagraph"/>
              <w:spacing w:before="18"/>
              <w:ind w:left="50"/>
              <w:rPr>
                <w:sz w:val="21"/>
              </w:rPr>
            </w:pPr>
            <w:r>
              <w:rPr>
                <w:w w:val="100"/>
                <w:sz w:val="21"/>
              </w:rPr>
              <w:t> </w:t>
            </w:r>
          </w:p>
        </w:tc>
        <w:tc>
          <w:tcPr>
            <w:tcW w:w="1392" w:type="dxa"/>
          </w:tcPr>
          <w:p>
            <w:pPr>
              <w:pStyle w:val="TableParagraph"/>
              <w:spacing w:before="18"/>
              <w:ind w:left="162"/>
              <w:rPr>
                <w:sz w:val="21"/>
              </w:rPr>
            </w:pPr>
            <w:r>
              <w:rPr>
                <w:w w:val="100"/>
                <w:sz w:val="21"/>
              </w:rPr>
              <w:t> </w:t>
            </w:r>
          </w:p>
        </w:tc>
        <w:tc>
          <w:tcPr>
            <w:tcW w:w="7239" w:type="dxa"/>
          </w:tcPr>
          <w:p>
            <w:pPr>
              <w:pStyle w:val="TableParagraph"/>
              <w:spacing w:before="18"/>
              <w:ind w:left="174"/>
              <w:rPr>
                <w:sz w:val="21"/>
              </w:rPr>
            </w:pPr>
            <w:r>
              <w:rPr>
                <w:w w:val="100"/>
                <w:sz w:val="21"/>
              </w:rPr>
              <w:t> </w:t>
            </w:r>
          </w:p>
        </w:tc>
      </w:tr>
      <w:tr>
        <w:trPr>
          <w:trHeight w:val="397" w:hRule="atLeast"/>
        </w:trPr>
        <w:tc>
          <w:tcPr>
            <w:tcW w:w="634" w:type="dxa"/>
          </w:tcPr>
          <w:p>
            <w:pPr>
              <w:pStyle w:val="TableParagraph"/>
              <w:spacing w:line="329" w:lineRule="exact"/>
              <w:ind w:left="50"/>
              <w:rPr>
                <w:sz w:val="21"/>
              </w:rPr>
            </w:pPr>
            <w:r>
              <w:rPr>
                <w:rFonts w:ascii="Microsoft JhengHei"/>
                <w:b/>
                <w:w w:val="90"/>
                <w:sz w:val="21"/>
              </w:rPr>
              <w:t>3. 3</w:t>
            </w:r>
            <w:r>
              <w:rPr>
                <w:rFonts w:ascii="Microsoft JhengHei"/>
                <w:b/>
                <w:sz w:val="21"/>
              </w:rPr>
              <w:t> </w:t>
            </w:r>
            <w:r>
              <w:rPr>
                <w:w w:val="100"/>
                <w:sz w:val="21"/>
              </w:rPr>
              <w:t> </w:t>
            </w:r>
          </w:p>
        </w:tc>
        <w:tc>
          <w:tcPr>
            <w:tcW w:w="1392" w:type="dxa"/>
          </w:tcPr>
          <w:p>
            <w:pPr>
              <w:pStyle w:val="TableParagraph"/>
              <w:spacing w:line="329" w:lineRule="exact"/>
              <w:ind w:left="162"/>
              <w:rPr>
                <w:rFonts w:ascii="Microsoft JhengHei" w:eastAsia="Microsoft JhengHei" w:hint="eastAsia"/>
                <w:b/>
                <w:sz w:val="21"/>
              </w:rPr>
            </w:pPr>
            <w:r>
              <w:rPr>
                <w:rFonts w:ascii="Microsoft JhengHei" w:eastAsia="Microsoft JhengHei" w:hint="eastAsia"/>
                <w:b/>
                <w:sz w:val="21"/>
              </w:rPr>
              <w:t>保险金申请</w:t>
            </w:r>
          </w:p>
        </w:tc>
        <w:tc>
          <w:tcPr>
            <w:tcW w:w="7239" w:type="dxa"/>
          </w:tcPr>
          <w:p>
            <w:pPr>
              <w:pStyle w:val="TableParagraph"/>
              <w:spacing w:before="6"/>
              <w:ind w:left="188"/>
              <w:rPr>
                <w:sz w:val="21"/>
              </w:rPr>
            </w:pPr>
            <w:r>
              <w:rPr>
                <w:sz w:val="21"/>
              </w:rPr>
              <w:t>在申请保险金时，请按照下列方式办理： </w:t>
            </w:r>
          </w:p>
        </w:tc>
      </w:tr>
      <w:tr>
        <w:trPr>
          <w:trHeight w:val="379" w:hRule="atLeast"/>
        </w:trPr>
        <w:tc>
          <w:tcPr>
            <w:tcW w:w="634" w:type="dxa"/>
          </w:tcPr>
          <w:p>
            <w:pPr>
              <w:pStyle w:val="TableParagraph"/>
              <w:rPr>
                <w:rFonts w:ascii="Times New Roman"/>
                <w:sz w:val="20"/>
              </w:rPr>
            </w:pPr>
          </w:p>
        </w:tc>
        <w:tc>
          <w:tcPr>
            <w:tcW w:w="1392" w:type="dxa"/>
          </w:tcPr>
          <w:p>
            <w:pPr>
              <w:pStyle w:val="TableParagraph"/>
              <w:rPr>
                <w:rFonts w:ascii="Times New Roman"/>
                <w:sz w:val="20"/>
              </w:rPr>
            </w:pPr>
          </w:p>
        </w:tc>
        <w:tc>
          <w:tcPr>
            <w:tcW w:w="7239" w:type="dxa"/>
          </w:tcPr>
          <w:p>
            <w:pPr>
              <w:pStyle w:val="TableParagraph"/>
              <w:spacing w:line="272" w:lineRule="exact"/>
              <w:ind w:left="188"/>
              <w:rPr>
                <w:sz w:val="21"/>
              </w:rPr>
            </w:pPr>
            <w:r>
              <w:rPr>
                <w:w w:val="100"/>
                <w:sz w:val="21"/>
              </w:rPr>
              <w:t> </w:t>
            </w:r>
          </w:p>
        </w:tc>
      </w:tr>
      <w:tr>
        <w:trPr>
          <w:trHeight w:val="627" w:hRule="atLeast"/>
        </w:trPr>
        <w:tc>
          <w:tcPr>
            <w:tcW w:w="634" w:type="dxa"/>
          </w:tcPr>
          <w:p>
            <w:pPr>
              <w:pStyle w:val="TableParagraph"/>
              <w:rPr>
                <w:rFonts w:ascii="Times New Roman"/>
                <w:sz w:val="20"/>
              </w:rPr>
            </w:pPr>
          </w:p>
        </w:tc>
        <w:tc>
          <w:tcPr>
            <w:tcW w:w="1392" w:type="dxa"/>
          </w:tcPr>
          <w:p>
            <w:pPr>
              <w:pStyle w:val="TableParagraph"/>
              <w:spacing w:line="310" w:lineRule="exact" w:before="11"/>
              <w:ind w:left="162" w:right="175"/>
              <w:rPr>
                <w:rFonts w:ascii="Microsoft JhengHei" w:eastAsia="Microsoft JhengHei" w:hint="eastAsia"/>
                <w:b/>
                <w:sz w:val="21"/>
              </w:rPr>
            </w:pPr>
            <w:r>
              <w:rPr>
                <w:rFonts w:ascii="Microsoft JhengHei" w:eastAsia="Microsoft JhengHei" w:hint="eastAsia"/>
                <w:b/>
                <w:sz w:val="21"/>
              </w:rPr>
              <w:t>重大疾病保险金及轻症</w:t>
            </w:r>
          </w:p>
        </w:tc>
        <w:tc>
          <w:tcPr>
            <w:tcW w:w="7239" w:type="dxa"/>
          </w:tcPr>
          <w:p>
            <w:pPr>
              <w:pStyle w:val="TableParagraph"/>
              <w:spacing w:before="33"/>
              <w:ind w:left="174"/>
              <w:rPr>
                <w:sz w:val="21"/>
              </w:rPr>
            </w:pPr>
            <w:r>
              <w:rPr>
                <w:sz w:val="21"/>
              </w:rPr>
              <w:t>在申请重大疾病保险金及轻症疾病保险金时，申请人须填写保险金给付申请</w:t>
            </w:r>
          </w:p>
          <w:p>
            <w:pPr>
              <w:pStyle w:val="TableParagraph"/>
              <w:spacing w:line="264" w:lineRule="exact" w:before="34"/>
              <w:ind w:left="174"/>
              <w:rPr>
                <w:sz w:val="21"/>
              </w:rPr>
            </w:pPr>
            <w:r>
              <w:rPr>
                <w:sz w:val="21"/>
              </w:rPr>
              <w:t>书，并提供下列证明和资料： </w:t>
            </w:r>
          </w:p>
        </w:tc>
      </w:tr>
    </w:tbl>
    <w:p>
      <w:pPr>
        <w:spacing w:after="0" w:line="264" w:lineRule="exact"/>
        <w:rPr>
          <w:sz w:val="21"/>
        </w:rPr>
        <w:sectPr>
          <w:pgSz w:w="11900" w:h="16840"/>
          <w:pgMar w:header="0" w:footer="1204" w:top="1580" w:bottom="1400" w:left="1260" w:right="1160"/>
        </w:sectPr>
      </w:pPr>
    </w:p>
    <w:p>
      <w:pPr>
        <w:spacing w:line="204" w:lineRule="auto" w:before="0"/>
        <w:ind w:left="909" w:right="0" w:firstLine="0"/>
        <w:jc w:val="left"/>
        <w:rPr>
          <w:rFonts w:ascii="Microsoft JhengHei" w:eastAsia="Microsoft JhengHei" w:hint="eastAsia"/>
          <w:b/>
          <w:sz w:val="21"/>
        </w:rPr>
      </w:pPr>
      <w:r>
        <w:rPr>
          <w:rFonts w:ascii="Microsoft JhengHei" w:eastAsia="Microsoft JhengHei" w:hint="eastAsia"/>
          <w:b/>
          <w:sz w:val="21"/>
        </w:rPr>
        <w:t>疾病保险金申请</w:t>
      </w:r>
    </w:p>
    <w:p>
      <w:pPr>
        <w:pStyle w:val="BodyText"/>
        <w:spacing w:before="107"/>
        <w:ind w:left="310"/>
      </w:pPr>
      <w:r>
        <w:rPr/>
        <w:br w:type="column"/>
      </w:r>
      <w:r>
        <w:rPr/>
        <w:t>（1）保险合同； </w:t>
      </w:r>
    </w:p>
    <w:p>
      <w:pPr>
        <w:pStyle w:val="BodyText"/>
        <w:spacing w:before="116"/>
        <w:ind w:left="310"/>
      </w:pPr>
      <w:r>
        <w:rPr/>
        <w:t>（2）申请人的有效身份证件； </w:t>
      </w:r>
    </w:p>
    <w:p>
      <w:pPr>
        <w:pStyle w:val="BodyText"/>
        <w:spacing w:line="273" w:lineRule="auto" w:before="114"/>
        <w:ind w:left="814" w:right="151" w:hanging="504"/>
      </w:pPr>
      <w:r>
        <w:rPr>
          <w:spacing w:val="-12"/>
        </w:rPr>
        <w:t>（3）</w:t>
      </w:r>
      <w:r>
        <w:rPr>
          <w:spacing w:val="-6"/>
        </w:rPr>
        <w:t>医疗机构根据本主险合同释义中“</w:t>
      </w:r>
      <w:r>
        <w:rPr/>
        <w:t>10.6</w:t>
      </w:r>
      <w:r>
        <w:rPr>
          <w:spacing w:val="-15"/>
        </w:rPr>
        <w:t> 重大疾病”与“</w:t>
      </w:r>
      <w:r>
        <w:rPr/>
        <w:t>10.7</w:t>
      </w:r>
      <w:r>
        <w:rPr>
          <w:spacing w:val="-10"/>
        </w:rPr>
        <w:t> 轻症疾病” </w:t>
      </w:r>
      <w:r>
        <w:rPr>
          <w:spacing w:val="-12"/>
        </w:rPr>
        <w:t>定义，出具的被保险人的病历、必要病理检验、血液检验及其他科学诊</w:t>
      </w:r>
      <w:r>
        <w:rPr>
          <w:spacing w:val="-6"/>
        </w:rPr>
        <w:t>断报告或手术证明；</w:t>
      </w:r>
      <w:r>
        <w:rPr/>
        <w:t> </w:t>
      </w:r>
    </w:p>
    <w:p>
      <w:pPr>
        <w:pStyle w:val="BodyText"/>
        <w:spacing w:line="271" w:lineRule="auto" w:before="87"/>
        <w:ind w:left="814" w:right="338" w:hanging="504"/>
      </w:pPr>
      <w:r>
        <w:rPr/>
        <w:t>（4）所能够提供的与确认保险事故的性质、原因、伤害程度等有关的其他证明和资料。 </w:t>
      </w:r>
    </w:p>
    <w:p>
      <w:pPr>
        <w:spacing w:after="0" w:line="271" w:lineRule="auto"/>
        <w:sectPr>
          <w:type w:val="continuous"/>
          <w:pgSz w:w="11900" w:h="16840"/>
          <w:pgMar w:top="820" w:bottom="1400" w:left="1260" w:right="1160"/>
          <w:cols w:num="2" w:equalWidth="0">
            <w:col w:w="1964" w:space="40"/>
            <w:col w:w="7476"/>
          </w:cols>
        </w:sectPr>
      </w:pPr>
    </w:p>
    <w:p>
      <w:pPr>
        <w:pStyle w:val="BodyText"/>
        <w:spacing w:before="0"/>
        <w:ind w:left="0"/>
        <w:rPr>
          <w:sz w:val="22"/>
        </w:rPr>
      </w:pPr>
    </w:p>
    <w:p>
      <w:pPr>
        <w:pStyle w:val="Heading2"/>
        <w:tabs>
          <w:tab w:pos="909" w:val="left" w:leader="none"/>
        </w:tabs>
        <w:spacing w:line="201" w:lineRule="auto" w:before="167"/>
        <w:ind w:left="909" w:hanging="747"/>
      </w:pPr>
      <w:r>
        <w:rPr>
          <w:rFonts w:ascii="宋体" w:eastAsia="宋体" w:hint="eastAsia"/>
          <w:b w:val="0"/>
          <w:w w:val="100"/>
        </w:rPr>
        <w:t> </w:t>
      </w:r>
      <w:r>
        <w:rPr>
          <w:rFonts w:ascii="宋体" w:eastAsia="宋体" w:hint="eastAsia"/>
          <w:b w:val="0"/>
        </w:rPr>
        <w:tab/>
      </w:r>
      <w:r>
        <w:rPr>
          <w:spacing w:val="-1"/>
          <w:position w:val="2"/>
        </w:rPr>
        <w:t>身故保险金 </w:t>
      </w:r>
      <w:r>
        <w:rPr>
          <w:spacing w:val="-1"/>
        </w:rPr>
        <w:t>申请</w:t>
      </w:r>
    </w:p>
    <w:p>
      <w:pPr>
        <w:spacing w:before="89"/>
        <w:ind w:left="163" w:right="0" w:firstLine="0"/>
        <w:jc w:val="left"/>
        <w:rPr>
          <w:sz w:val="21"/>
        </w:rPr>
      </w:pPr>
      <w:r>
        <w:rPr/>
        <w:br w:type="column"/>
      </w:r>
      <w:r>
        <w:rPr>
          <w:w w:val="100"/>
          <w:sz w:val="21"/>
        </w:rPr>
        <w:t> </w:t>
      </w:r>
    </w:p>
    <w:p>
      <w:pPr>
        <w:pStyle w:val="BodyText"/>
        <w:spacing w:before="116"/>
        <w:ind w:left="163"/>
      </w:pPr>
      <w:r>
        <w:rPr/>
        <w:t>在申请身故保险金时，申请人须填写保险金申请书，并提供下列证明与材料： </w:t>
      </w:r>
    </w:p>
    <w:p>
      <w:pPr>
        <w:pStyle w:val="BodyText"/>
        <w:spacing w:before="113"/>
        <w:ind w:left="163"/>
      </w:pPr>
      <w:r>
        <w:rPr/>
        <w:t>（1）保险合同； </w:t>
      </w:r>
    </w:p>
    <w:p>
      <w:pPr>
        <w:pStyle w:val="BodyText"/>
        <w:spacing w:before="115"/>
        <w:ind w:left="163"/>
      </w:pPr>
      <w:r>
        <w:rPr/>
        <w:t>（2）申请人的有效身份证件； </w:t>
      </w:r>
    </w:p>
    <w:p>
      <w:pPr>
        <w:pStyle w:val="BodyText"/>
        <w:spacing w:before="113"/>
        <w:ind w:left="163"/>
      </w:pPr>
      <w:r>
        <w:rPr/>
        <w:t>（3）国家卫生行政部门认定的医疗机构，公安部门或其他相关机构出具的  </w:t>
      </w:r>
    </w:p>
    <w:p>
      <w:pPr>
        <w:pStyle w:val="BodyText"/>
        <w:spacing w:before="116"/>
        <w:ind w:left="163"/>
      </w:pPr>
      <w:r>
        <w:rPr>
          <w:w w:val="100"/>
        </w:rPr>
        <w:t>     </w:t>
      </w:r>
      <w:r>
        <w:rPr/>
        <w:t>被保险人的死亡证明； </w:t>
      </w:r>
    </w:p>
    <w:p>
      <w:pPr>
        <w:pStyle w:val="BodyText"/>
        <w:spacing w:before="114"/>
        <w:ind w:left="163"/>
      </w:pPr>
      <w:r>
        <w:rPr/>
        <w:t>（4）所能提供的与确认保险事故的性质，原因等有关的其他证明和资料。 </w:t>
      </w:r>
    </w:p>
    <w:p>
      <w:pPr>
        <w:spacing w:after="0"/>
        <w:sectPr>
          <w:type w:val="continuous"/>
          <w:pgSz w:w="11900" w:h="16840"/>
          <w:pgMar w:top="820" w:bottom="1400" w:left="1260" w:right="1160"/>
          <w:cols w:num="2" w:equalWidth="0">
            <w:col w:w="1964" w:space="187"/>
            <w:col w:w="7329"/>
          </w:cols>
        </w:sectPr>
      </w:pPr>
    </w:p>
    <w:p>
      <w:pPr>
        <w:pStyle w:val="BodyText"/>
        <w:spacing w:before="0"/>
        <w:ind w:left="0"/>
        <w:rPr>
          <w:sz w:val="20"/>
        </w:rPr>
      </w:pPr>
    </w:p>
    <w:p>
      <w:pPr>
        <w:pStyle w:val="BodyText"/>
        <w:spacing w:before="4"/>
        <w:ind w:left="0"/>
        <w:rPr>
          <w:sz w:val="15"/>
        </w:rPr>
      </w:pPr>
    </w:p>
    <w:p>
      <w:pPr>
        <w:spacing w:after="0"/>
        <w:rPr>
          <w:sz w:val="15"/>
        </w:rPr>
        <w:sectPr>
          <w:type w:val="continuous"/>
          <w:pgSz w:w="11900" w:h="16840"/>
          <w:pgMar w:top="820" w:bottom="1400" w:left="1260" w:right="1160"/>
        </w:sectPr>
      </w:pPr>
    </w:p>
    <w:p>
      <w:pPr>
        <w:pStyle w:val="Heading2"/>
        <w:tabs>
          <w:tab w:pos="909" w:val="left" w:leader="none"/>
        </w:tabs>
        <w:spacing w:line="204" w:lineRule="auto" w:before="14"/>
        <w:ind w:left="909" w:hanging="747"/>
      </w:pPr>
      <w:r>
        <w:rPr>
          <w:rFonts w:ascii="宋体" w:eastAsia="宋体" w:hint="eastAsia"/>
          <w:b w:val="0"/>
          <w:w w:val="100"/>
        </w:rPr>
        <w:t> </w:t>
      </w:r>
      <w:r>
        <w:rPr>
          <w:rFonts w:ascii="宋体" w:eastAsia="宋体" w:hint="eastAsia"/>
          <w:b w:val="0"/>
        </w:rPr>
        <w:tab/>
      </w:r>
      <w:r>
        <w:rPr>
          <w:spacing w:val="-1"/>
          <w:position w:val="2"/>
        </w:rPr>
        <w:t>全残保险金 </w:t>
      </w:r>
      <w:r>
        <w:rPr>
          <w:spacing w:val="-1"/>
        </w:rPr>
        <w:t>申请</w:t>
      </w:r>
    </w:p>
    <w:p>
      <w:pPr>
        <w:pStyle w:val="BodyText"/>
        <w:spacing w:before="43"/>
        <w:ind w:left="163"/>
      </w:pPr>
      <w:r>
        <w:rPr/>
        <w:br w:type="column"/>
      </w:r>
      <w:r>
        <w:rPr/>
        <w:t>在申请全残保险金时，申请人须填写保险金申请书，并提供下列证明和资料： </w:t>
      </w:r>
    </w:p>
    <w:p>
      <w:pPr>
        <w:pStyle w:val="BodyText"/>
        <w:spacing w:before="116"/>
        <w:ind w:left="163"/>
      </w:pPr>
      <w:r>
        <w:rPr/>
        <w:t>（1）保险合同； </w:t>
      </w:r>
    </w:p>
    <w:p>
      <w:pPr>
        <w:pStyle w:val="BodyText"/>
        <w:spacing w:before="114"/>
        <w:ind w:left="163"/>
      </w:pPr>
      <w:r>
        <w:rPr/>
        <w:t>（2）申请人的有效身份证件； </w:t>
      </w:r>
    </w:p>
    <w:p>
      <w:pPr>
        <w:pStyle w:val="BodyText"/>
        <w:spacing w:before="116"/>
        <w:ind w:left="163"/>
      </w:pPr>
      <w:r>
        <w:rPr/>
        <w:t>（3）由三级甲等医疗机构（或双方认可的鉴定机构）根据本附加险合同释  </w:t>
      </w:r>
    </w:p>
    <w:p>
      <w:pPr>
        <w:pStyle w:val="BodyText"/>
        <w:spacing w:before="113"/>
        <w:ind w:left="163"/>
      </w:pPr>
      <w:r>
        <w:rPr>
          <w:w w:val="100"/>
        </w:rPr>
        <w:t>     </w:t>
      </w:r>
      <w:r>
        <w:rPr/>
        <w:t>义中“10.9 全残”定义，出具的被保险人残疾程度的资料或身体残疾 </w:t>
      </w:r>
    </w:p>
    <w:p>
      <w:pPr>
        <w:pStyle w:val="BodyText"/>
        <w:spacing w:before="116"/>
        <w:ind w:left="163"/>
      </w:pPr>
      <w:r>
        <w:rPr>
          <w:w w:val="100"/>
        </w:rPr>
        <w:t>     </w:t>
      </w:r>
      <w:r>
        <w:rPr/>
        <w:t>程度鉴定书； </w:t>
      </w:r>
    </w:p>
    <w:p>
      <w:pPr>
        <w:pStyle w:val="BodyText"/>
        <w:spacing w:before="114"/>
        <w:ind w:left="163"/>
      </w:pPr>
      <w:r>
        <w:rPr/>
        <w:t>（4）所能提供的与确认保险事故的性质，原因，伤害程度等有关的其他证  </w:t>
      </w:r>
    </w:p>
    <w:p>
      <w:pPr>
        <w:pStyle w:val="BodyText"/>
        <w:spacing w:before="116"/>
        <w:ind w:left="163"/>
      </w:pPr>
      <w:r>
        <w:rPr>
          <w:w w:val="100"/>
        </w:rPr>
        <w:t>     </w:t>
      </w:r>
      <w:r>
        <w:rPr/>
        <w:t>明和资料。 </w:t>
      </w:r>
    </w:p>
    <w:p>
      <w:pPr>
        <w:spacing w:after="0"/>
        <w:sectPr>
          <w:type w:val="continuous"/>
          <w:pgSz w:w="11900" w:h="16840"/>
          <w:pgMar w:top="820" w:bottom="1400" w:left="1260" w:right="1160"/>
          <w:cols w:num="2" w:equalWidth="0">
            <w:col w:w="1964" w:space="187"/>
            <w:col w:w="7329"/>
          </w:cols>
        </w:sectPr>
      </w:pPr>
    </w:p>
    <w:p>
      <w:pPr>
        <w:pStyle w:val="BodyText"/>
        <w:spacing w:before="0"/>
        <w:ind w:left="0"/>
        <w:rPr>
          <w:sz w:val="20"/>
        </w:rPr>
      </w:pPr>
    </w:p>
    <w:p>
      <w:pPr>
        <w:pStyle w:val="BodyText"/>
        <w:spacing w:before="4"/>
        <w:ind w:left="0"/>
        <w:rPr>
          <w:sz w:val="15"/>
        </w:rPr>
      </w:pPr>
    </w:p>
    <w:p>
      <w:pPr>
        <w:spacing w:after="0"/>
        <w:rPr>
          <w:sz w:val="15"/>
        </w:rPr>
        <w:sectPr>
          <w:type w:val="continuous"/>
          <w:pgSz w:w="11900" w:h="16840"/>
          <w:pgMar w:top="820" w:bottom="1400" w:left="1260" w:right="1160"/>
        </w:sectPr>
      </w:pPr>
    </w:p>
    <w:p>
      <w:pPr>
        <w:tabs>
          <w:tab w:pos="909" w:val="left" w:leader="none"/>
        </w:tabs>
        <w:spacing w:line="201" w:lineRule="auto" w:before="17"/>
        <w:ind w:left="909" w:right="0" w:hanging="747"/>
        <w:jc w:val="left"/>
        <w:rPr>
          <w:rFonts w:ascii="Microsoft JhengHei" w:eastAsia="Microsoft JhengHei" w:hint="eastAsia"/>
          <w:b/>
          <w:sz w:val="21"/>
        </w:rPr>
      </w:pPr>
      <w:r>
        <w:rPr>
          <w:w w:val="100"/>
          <w:sz w:val="21"/>
        </w:rPr>
        <w:t> </w:t>
      </w:r>
      <w:r>
        <w:rPr>
          <w:sz w:val="21"/>
        </w:rPr>
        <w:tab/>
      </w:r>
      <w:r>
        <w:rPr>
          <w:rFonts w:ascii="Microsoft JhengHei" w:eastAsia="Microsoft JhengHei" w:hint="eastAsia"/>
          <w:b/>
          <w:spacing w:val="-1"/>
          <w:position w:val="2"/>
          <w:sz w:val="21"/>
        </w:rPr>
        <w:t>特别注意事 </w:t>
      </w:r>
      <w:r>
        <w:rPr>
          <w:rFonts w:ascii="Microsoft JhengHei" w:eastAsia="Microsoft JhengHei" w:hint="eastAsia"/>
          <w:b/>
          <w:spacing w:val="-1"/>
          <w:sz w:val="21"/>
        </w:rPr>
        <w:t>项</w:t>
      </w:r>
    </w:p>
    <w:p>
      <w:pPr>
        <w:pStyle w:val="BodyText"/>
        <w:spacing w:line="338" w:lineRule="auto" w:before="43"/>
        <w:ind w:left="163" w:right="149"/>
      </w:pPr>
      <w:r>
        <w:rPr/>
        <w:br w:type="column"/>
      </w:r>
      <w:r>
        <w:rPr>
          <w:spacing w:val="-4"/>
        </w:rPr>
        <w:t>保险金作为被保险人遗产时，必须提供可证明合法继承权的相关权利文件。</w:t>
      </w:r>
      <w:r>
        <w:rPr>
          <w:spacing w:val="-5"/>
        </w:rPr>
        <w:t>以上证明和资料不完整的，我们将及时一次性通知申请人补充提供有关证明</w:t>
      </w:r>
    </w:p>
    <w:p>
      <w:pPr>
        <w:spacing w:after="0" w:line="338" w:lineRule="auto"/>
        <w:sectPr>
          <w:type w:val="continuous"/>
          <w:pgSz w:w="11900" w:h="16840"/>
          <w:pgMar w:top="820" w:bottom="1400" w:left="1260" w:right="1160"/>
          <w:cols w:num="2" w:equalWidth="0">
            <w:col w:w="1964" w:space="187"/>
            <w:col w:w="7329"/>
          </w:cols>
        </w:sect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4"/>
        <w:gridCol w:w="1392"/>
        <w:gridCol w:w="7138"/>
      </w:tblGrid>
      <w:tr>
        <w:trPr>
          <w:trHeight w:val="301" w:hRule="atLeast"/>
        </w:trPr>
        <w:tc>
          <w:tcPr>
            <w:tcW w:w="634" w:type="dxa"/>
          </w:tcPr>
          <w:p>
            <w:pPr>
              <w:pStyle w:val="TableParagraph"/>
              <w:rPr>
                <w:rFonts w:ascii="Times New Roman"/>
                <w:sz w:val="20"/>
              </w:rPr>
            </w:pPr>
          </w:p>
        </w:tc>
        <w:tc>
          <w:tcPr>
            <w:tcW w:w="1392" w:type="dxa"/>
          </w:tcPr>
          <w:p>
            <w:pPr>
              <w:pStyle w:val="TableParagraph"/>
              <w:rPr>
                <w:rFonts w:ascii="Times New Roman"/>
                <w:sz w:val="20"/>
              </w:rPr>
            </w:pPr>
          </w:p>
        </w:tc>
        <w:tc>
          <w:tcPr>
            <w:tcW w:w="7138" w:type="dxa"/>
          </w:tcPr>
          <w:p>
            <w:pPr>
              <w:pStyle w:val="TableParagraph"/>
              <w:spacing w:line="204" w:lineRule="exact"/>
              <w:ind w:left="174"/>
              <w:rPr>
                <w:sz w:val="21"/>
              </w:rPr>
            </w:pPr>
            <w:r>
              <w:rPr>
                <w:sz w:val="21"/>
              </w:rPr>
              <w:t>和资料。</w:t>
            </w:r>
          </w:p>
        </w:tc>
      </w:tr>
      <w:tr>
        <w:trPr>
          <w:trHeight w:val="385" w:hRule="atLeast"/>
        </w:trPr>
        <w:tc>
          <w:tcPr>
            <w:tcW w:w="634" w:type="dxa"/>
          </w:tcPr>
          <w:p>
            <w:pPr>
              <w:pStyle w:val="TableParagraph"/>
              <w:spacing w:before="19"/>
              <w:ind w:left="50"/>
              <w:rPr>
                <w:sz w:val="21"/>
              </w:rPr>
            </w:pPr>
            <w:r>
              <w:rPr>
                <w:w w:val="100"/>
                <w:sz w:val="21"/>
              </w:rPr>
              <w:t> </w:t>
            </w:r>
          </w:p>
        </w:tc>
        <w:tc>
          <w:tcPr>
            <w:tcW w:w="1392" w:type="dxa"/>
          </w:tcPr>
          <w:p>
            <w:pPr>
              <w:pStyle w:val="TableParagraph"/>
              <w:spacing w:before="19"/>
              <w:ind w:left="162"/>
              <w:rPr>
                <w:sz w:val="21"/>
              </w:rPr>
            </w:pPr>
            <w:r>
              <w:rPr>
                <w:w w:val="100"/>
                <w:sz w:val="21"/>
              </w:rPr>
              <w:t> </w:t>
            </w:r>
          </w:p>
        </w:tc>
        <w:tc>
          <w:tcPr>
            <w:tcW w:w="7138" w:type="dxa"/>
          </w:tcPr>
          <w:p>
            <w:pPr>
              <w:pStyle w:val="TableParagraph"/>
              <w:spacing w:before="19"/>
              <w:ind w:left="174"/>
              <w:rPr>
                <w:sz w:val="21"/>
              </w:rPr>
            </w:pPr>
            <w:r>
              <w:rPr>
                <w:w w:val="100"/>
                <w:sz w:val="21"/>
              </w:rPr>
              <w:t> </w:t>
            </w:r>
          </w:p>
        </w:tc>
      </w:tr>
      <w:tr>
        <w:trPr>
          <w:trHeight w:val="362" w:hRule="atLeast"/>
        </w:trPr>
        <w:tc>
          <w:tcPr>
            <w:tcW w:w="634" w:type="dxa"/>
          </w:tcPr>
          <w:p>
            <w:pPr>
              <w:pStyle w:val="TableParagraph"/>
              <w:spacing w:line="321" w:lineRule="exact"/>
              <w:ind w:left="50"/>
              <w:rPr>
                <w:rFonts w:ascii="Microsoft JhengHei"/>
                <w:b/>
                <w:sz w:val="21"/>
              </w:rPr>
            </w:pPr>
            <w:r>
              <w:rPr>
                <w:rFonts w:ascii="Microsoft JhengHei"/>
                <w:b/>
                <w:w w:val="90"/>
                <w:sz w:val="21"/>
              </w:rPr>
              <w:t>3. 4</w:t>
            </w:r>
          </w:p>
        </w:tc>
        <w:tc>
          <w:tcPr>
            <w:tcW w:w="1392" w:type="dxa"/>
          </w:tcPr>
          <w:p>
            <w:pPr>
              <w:pStyle w:val="TableParagraph"/>
              <w:spacing w:line="321" w:lineRule="exact"/>
              <w:ind w:left="162"/>
              <w:rPr>
                <w:rFonts w:ascii="Microsoft JhengHei" w:eastAsia="Microsoft JhengHei" w:hint="eastAsia"/>
                <w:b/>
                <w:sz w:val="21"/>
              </w:rPr>
            </w:pPr>
            <w:r>
              <w:rPr>
                <w:rFonts w:ascii="Microsoft JhengHei" w:eastAsia="Microsoft JhengHei" w:hint="eastAsia"/>
                <w:b/>
                <w:sz w:val="21"/>
              </w:rPr>
              <w:t>保险金给付</w:t>
            </w:r>
          </w:p>
        </w:tc>
        <w:tc>
          <w:tcPr>
            <w:tcW w:w="7138" w:type="dxa"/>
          </w:tcPr>
          <w:p>
            <w:pPr>
              <w:pStyle w:val="TableParagraph"/>
              <w:spacing w:before="22"/>
              <w:ind w:left="174"/>
              <w:rPr>
                <w:sz w:val="21"/>
              </w:rPr>
            </w:pPr>
            <w:r>
              <w:rPr>
                <w:spacing w:val="-5"/>
                <w:sz w:val="21"/>
              </w:rPr>
              <w:t>我们在收到保险金给付申请书及本主险合同约定的证明和资料后，将在 </w:t>
            </w:r>
            <w:r>
              <w:rPr>
                <w:sz w:val="21"/>
              </w:rPr>
              <w:t>5</w:t>
            </w:r>
            <w:r>
              <w:rPr>
                <w:spacing w:val="-17"/>
                <w:sz w:val="21"/>
              </w:rPr>
              <w:t> 日</w:t>
            </w:r>
          </w:p>
        </w:tc>
      </w:tr>
      <w:tr>
        <w:trPr>
          <w:trHeight w:val="304" w:hRule="atLeast"/>
        </w:trPr>
        <w:tc>
          <w:tcPr>
            <w:tcW w:w="634" w:type="dxa"/>
          </w:tcPr>
          <w:p>
            <w:pPr>
              <w:pStyle w:val="TableParagraph"/>
              <w:rPr>
                <w:rFonts w:ascii="Times New Roman"/>
                <w:sz w:val="20"/>
              </w:rPr>
            </w:pPr>
          </w:p>
        </w:tc>
        <w:tc>
          <w:tcPr>
            <w:tcW w:w="1392" w:type="dxa"/>
          </w:tcPr>
          <w:p>
            <w:pPr>
              <w:pStyle w:val="TableParagraph"/>
              <w:rPr>
                <w:rFonts w:ascii="Times New Roman"/>
                <w:sz w:val="20"/>
              </w:rPr>
            </w:pPr>
          </w:p>
        </w:tc>
        <w:tc>
          <w:tcPr>
            <w:tcW w:w="7138" w:type="dxa"/>
          </w:tcPr>
          <w:p>
            <w:pPr>
              <w:pStyle w:val="TableParagraph"/>
              <w:spacing w:line="247" w:lineRule="exact"/>
              <w:ind w:left="174"/>
              <w:rPr>
                <w:sz w:val="21"/>
              </w:rPr>
            </w:pPr>
            <w:r>
              <w:rPr>
                <w:sz w:val="21"/>
              </w:rPr>
              <w:t>内做出核定；情形复杂的，在 30 日内做出核定。对属于保险责任的，我们</w:t>
            </w:r>
          </w:p>
        </w:tc>
      </w:tr>
      <w:tr>
        <w:trPr>
          <w:trHeight w:val="351" w:hRule="atLeast"/>
        </w:trPr>
        <w:tc>
          <w:tcPr>
            <w:tcW w:w="634" w:type="dxa"/>
          </w:tcPr>
          <w:p>
            <w:pPr>
              <w:pStyle w:val="TableParagraph"/>
              <w:rPr>
                <w:rFonts w:ascii="Times New Roman"/>
                <w:sz w:val="20"/>
              </w:rPr>
            </w:pPr>
          </w:p>
        </w:tc>
        <w:tc>
          <w:tcPr>
            <w:tcW w:w="1392" w:type="dxa"/>
          </w:tcPr>
          <w:p>
            <w:pPr>
              <w:pStyle w:val="TableParagraph"/>
              <w:rPr>
                <w:rFonts w:ascii="Times New Roman"/>
                <w:sz w:val="20"/>
              </w:rPr>
            </w:pPr>
          </w:p>
        </w:tc>
        <w:tc>
          <w:tcPr>
            <w:tcW w:w="7138" w:type="dxa"/>
          </w:tcPr>
          <w:p>
            <w:pPr>
              <w:pStyle w:val="TableParagraph"/>
              <w:spacing w:line="254" w:lineRule="exact"/>
              <w:ind w:left="174"/>
              <w:rPr>
                <w:sz w:val="21"/>
              </w:rPr>
            </w:pPr>
            <w:r>
              <w:rPr>
                <w:sz w:val="21"/>
              </w:rPr>
              <w:t>在与受益人达成给付保险金的协议后 10 日内，履行给付保险金义务。 </w:t>
            </w:r>
          </w:p>
        </w:tc>
      </w:tr>
      <w:tr>
        <w:trPr>
          <w:trHeight w:val="350" w:hRule="atLeast"/>
        </w:trPr>
        <w:tc>
          <w:tcPr>
            <w:tcW w:w="634" w:type="dxa"/>
          </w:tcPr>
          <w:p>
            <w:pPr>
              <w:pStyle w:val="TableParagraph"/>
              <w:rPr>
                <w:rFonts w:ascii="Times New Roman"/>
                <w:sz w:val="20"/>
              </w:rPr>
            </w:pPr>
          </w:p>
        </w:tc>
        <w:tc>
          <w:tcPr>
            <w:tcW w:w="1392" w:type="dxa"/>
          </w:tcPr>
          <w:p>
            <w:pPr>
              <w:pStyle w:val="TableParagraph"/>
              <w:rPr>
                <w:rFonts w:ascii="Times New Roman"/>
                <w:sz w:val="20"/>
              </w:rPr>
            </w:pPr>
          </w:p>
        </w:tc>
        <w:tc>
          <w:tcPr>
            <w:tcW w:w="7138" w:type="dxa"/>
          </w:tcPr>
          <w:p>
            <w:pPr>
              <w:pStyle w:val="TableParagraph"/>
              <w:spacing w:before="19"/>
              <w:ind w:left="174"/>
              <w:rPr>
                <w:sz w:val="21"/>
              </w:rPr>
            </w:pPr>
            <w:r>
              <w:rPr>
                <w:sz w:val="21"/>
              </w:rPr>
              <w:t>我们未及时履行前款规定义务的，除支付保险金外，应当赔偿受益人因此受</w:t>
            </w:r>
          </w:p>
        </w:tc>
      </w:tr>
      <w:tr>
        <w:trPr>
          <w:trHeight w:val="345" w:hRule="atLeast"/>
        </w:trPr>
        <w:tc>
          <w:tcPr>
            <w:tcW w:w="634" w:type="dxa"/>
          </w:tcPr>
          <w:p>
            <w:pPr>
              <w:pStyle w:val="TableParagraph"/>
              <w:rPr>
                <w:rFonts w:ascii="Times New Roman"/>
                <w:sz w:val="20"/>
              </w:rPr>
            </w:pPr>
          </w:p>
        </w:tc>
        <w:tc>
          <w:tcPr>
            <w:tcW w:w="1392" w:type="dxa"/>
          </w:tcPr>
          <w:p>
            <w:pPr>
              <w:pStyle w:val="TableParagraph"/>
              <w:rPr>
                <w:rFonts w:ascii="Times New Roman"/>
                <w:sz w:val="20"/>
              </w:rPr>
            </w:pPr>
          </w:p>
        </w:tc>
        <w:tc>
          <w:tcPr>
            <w:tcW w:w="7138" w:type="dxa"/>
          </w:tcPr>
          <w:p>
            <w:pPr>
              <w:pStyle w:val="TableParagraph"/>
              <w:spacing w:line="253" w:lineRule="exact"/>
              <w:ind w:left="174"/>
              <w:rPr>
                <w:sz w:val="21"/>
              </w:rPr>
            </w:pPr>
            <w:r>
              <w:rPr>
                <w:sz w:val="21"/>
              </w:rPr>
              <w:t>到的损失。 </w:t>
            </w:r>
          </w:p>
        </w:tc>
      </w:tr>
      <w:tr>
        <w:trPr>
          <w:trHeight w:val="363" w:hRule="atLeast"/>
        </w:trPr>
        <w:tc>
          <w:tcPr>
            <w:tcW w:w="634" w:type="dxa"/>
          </w:tcPr>
          <w:p>
            <w:pPr>
              <w:pStyle w:val="TableParagraph"/>
              <w:rPr>
                <w:rFonts w:ascii="Times New Roman"/>
                <w:sz w:val="20"/>
              </w:rPr>
            </w:pPr>
          </w:p>
        </w:tc>
        <w:tc>
          <w:tcPr>
            <w:tcW w:w="1392" w:type="dxa"/>
          </w:tcPr>
          <w:p>
            <w:pPr>
              <w:pStyle w:val="TableParagraph"/>
              <w:rPr>
                <w:rFonts w:ascii="Times New Roman"/>
                <w:sz w:val="20"/>
              </w:rPr>
            </w:pPr>
          </w:p>
        </w:tc>
        <w:tc>
          <w:tcPr>
            <w:tcW w:w="7138" w:type="dxa"/>
          </w:tcPr>
          <w:p>
            <w:pPr>
              <w:pStyle w:val="TableParagraph"/>
              <w:spacing w:line="323" w:lineRule="exact"/>
              <w:ind w:left="174"/>
              <w:rPr>
                <w:rFonts w:ascii="Microsoft JhengHei" w:eastAsia="Microsoft JhengHei" w:hint="eastAsia"/>
                <w:b/>
                <w:sz w:val="21"/>
              </w:rPr>
            </w:pPr>
            <w:r>
              <w:rPr>
                <w:rFonts w:ascii="Microsoft JhengHei" w:eastAsia="Microsoft JhengHei" w:hint="eastAsia"/>
                <w:b/>
                <w:sz w:val="21"/>
              </w:rPr>
              <w:t>对不属于保险责任的，我们自做出核定之日起 3 日内向受益人发出拒绝给付</w:t>
            </w:r>
          </w:p>
        </w:tc>
      </w:tr>
      <w:tr>
        <w:trPr>
          <w:trHeight w:val="344" w:hRule="atLeast"/>
        </w:trPr>
        <w:tc>
          <w:tcPr>
            <w:tcW w:w="634" w:type="dxa"/>
          </w:tcPr>
          <w:p>
            <w:pPr>
              <w:pStyle w:val="TableParagraph"/>
              <w:rPr>
                <w:rFonts w:ascii="Times New Roman"/>
                <w:sz w:val="20"/>
              </w:rPr>
            </w:pPr>
          </w:p>
        </w:tc>
        <w:tc>
          <w:tcPr>
            <w:tcW w:w="1392" w:type="dxa"/>
          </w:tcPr>
          <w:p>
            <w:pPr>
              <w:pStyle w:val="TableParagraph"/>
              <w:rPr>
                <w:rFonts w:ascii="Times New Roman"/>
                <w:sz w:val="20"/>
              </w:rPr>
            </w:pPr>
          </w:p>
        </w:tc>
        <w:tc>
          <w:tcPr>
            <w:tcW w:w="7138" w:type="dxa"/>
          </w:tcPr>
          <w:p>
            <w:pPr>
              <w:pStyle w:val="TableParagraph"/>
              <w:spacing w:line="271" w:lineRule="exact"/>
              <w:ind w:left="174"/>
              <w:rPr>
                <w:rFonts w:ascii="Microsoft JhengHei" w:eastAsia="Microsoft JhengHei" w:hint="eastAsia"/>
                <w:b/>
                <w:sz w:val="21"/>
              </w:rPr>
            </w:pPr>
            <w:r>
              <w:rPr>
                <w:rFonts w:ascii="Microsoft JhengHei" w:eastAsia="Microsoft JhengHei" w:hint="eastAsia"/>
                <w:b/>
                <w:sz w:val="21"/>
              </w:rPr>
              <w:t>保险金通知书并说明理由。</w:t>
            </w:r>
          </w:p>
        </w:tc>
      </w:tr>
      <w:tr>
        <w:trPr>
          <w:trHeight w:val="350" w:hRule="atLeast"/>
        </w:trPr>
        <w:tc>
          <w:tcPr>
            <w:tcW w:w="634" w:type="dxa"/>
          </w:tcPr>
          <w:p>
            <w:pPr>
              <w:pStyle w:val="TableParagraph"/>
              <w:rPr>
                <w:rFonts w:ascii="Times New Roman"/>
                <w:sz w:val="20"/>
              </w:rPr>
            </w:pPr>
          </w:p>
        </w:tc>
        <w:tc>
          <w:tcPr>
            <w:tcW w:w="1392" w:type="dxa"/>
          </w:tcPr>
          <w:p>
            <w:pPr>
              <w:pStyle w:val="TableParagraph"/>
              <w:rPr>
                <w:rFonts w:ascii="Times New Roman"/>
                <w:sz w:val="20"/>
              </w:rPr>
            </w:pPr>
          </w:p>
        </w:tc>
        <w:tc>
          <w:tcPr>
            <w:tcW w:w="7138" w:type="dxa"/>
          </w:tcPr>
          <w:p>
            <w:pPr>
              <w:pStyle w:val="TableParagraph"/>
              <w:spacing w:before="19"/>
              <w:ind w:left="174"/>
              <w:rPr>
                <w:sz w:val="21"/>
              </w:rPr>
            </w:pPr>
            <w:r>
              <w:rPr>
                <w:sz w:val="21"/>
              </w:rPr>
              <w:t>我们在收到保险金给付申请书及有关证明和资料之日起 60 日内，对给付保</w:t>
            </w:r>
          </w:p>
        </w:tc>
      </w:tr>
      <w:tr>
        <w:trPr>
          <w:trHeight w:val="310" w:hRule="atLeast"/>
        </w:trPr>
        <w:tc>
          <w:tcPr>
            <w:tcW w:w="634" w:type="dxa"/>
          </w:tcPr>
          <w:p>
            <w:pPr>
              <w:pStyle w:val="TableParagraph"/>
              <w:rPr>
                <w:rFonts w:ascii="Times New Roman"/>
                <w:sz w:val="20"/>
              </w:rPr>
            </w:pPr>
          </w:p>
        </w:tc>
        <w:tc>
          <w:tcPr>
            <w:tcW w:w="1392" w:type="dxa"/>
          </w:tcPr>
          <w:p>
            <w:pPr>
              <w:pStyle w:val="TableParagraph"/>
              <w:rPr>
                <w:rFonts w:ascii="Times New Roman"/>
                <w:sz w:val="20"/>
              </w:rPr>
            </w:pPr>
          </w:p>
        </w:tc>
        <w:tc>
          <w:tcPr>
            <w:tcW w:w="7138" w:type="dxa"/>
          </w:tcPr>
          <w:p>
            <w:pPr>
              <w:pStyle w:val="TableParagraph"/>
              <w:spacing w:line="253" w:lineRule="exact"/>
              <w:ind w:left="174"/>
              <w:rPr>
                <w:sz w:val="21"/>
              </w:rPr>
            </w:pPr>
            <w:r>
              <w:rPr>
                <w:sz w:val="21"/>
              </w:rPr>
              <w:t>险金的数额不能确定的，根据已有证明和资料可以确定的数额先予支付；我</w:t>
            </w:r>
          </w:p>
        </w:tc>
      </w:tr>
      <w:tr>
        <w:trPr>
          <w:trHeight w:val="351" w:hRule="atLeast"/>
        </w:trPr>
        <w:tc>
          <w:tcPr>
            <w:tcW w:w="634" w:type="dxa"/>
          </w:tcPr>
          <w:p>
            <w:pPr>
              <w:pStyle w:val="TableParagraph"/>
              <w:rPr>
                <w:rFonts w:ascii="Times New Roman"/>
                <w:sz w:val="20"/>
              </w:rPr>
            </w:pPr>
          </w:p>
        </w:tc>
        <w:tc>
          <w:tcPr>
            <w:tcW w:w="1392" w:type="dxa"/>
          </w:tcPr>
          <w:p>
            <w:pPr>
              <w:pStyle w:val="TableParagraph"/>
              <w:rPr>
                <w:rFonts w:ascii="Times New Roman"/>
                <w:sz w:val="20"/>
              </w:rPr>
            </w:pPr>
          </w:p>
        </w:tc>
        <w:tc>
          <w:tcPr>
            <w:tcW w:w="7138" w:type="dxa"/>
          </w:tcPr>
          <w:p>
            <w:pPr>
              <w:pStyle w:val="TableParagraph"/>
              <w:spacing w:line="254" w:lineRule="exact"/>
              <w:ind w:left="174"/>
              <w:rPr>
                <w:sz w:val="21"/>
              </w:rPr>
            </w:pPr>
            <w:r>
              <w:rPr>
                <w:sz w:val="21"/>
              </w:rPr>
              <w:t>们最终确定给付保险金的数额后，将支付相应的差额。 </w:t>
            </w:r>
          </w:p>
        </w:tc>
      </w:tr>
      <w:tr>
        <w:trPr>
          <w:trHeight w:val="386" w:hRule="atLeast"/>
        </w:trPr>
        <w:tc>
          <w:tcPr>
            <w:tcW w:w="634" w:type="dxa"/>
          </w:tcPr>
          <w:p>
            <w:pPr>
              <w:pStyle w:val="TableParagraph"/>
              <w:spacing w:before="19"/>
              <w:ind w:left="50"/>
              <w:rPr>
                <w:sz w:val="21"/>
              </w:rPr>
            </w:pPr>
            <w:r>
              <w:rPr>
                <w:w w:val="100"/>
                <w:sz w:val="21"/>
              </w:rPr>
              <w:t> </w:t>
            </w:r>
          </w:p>
        </w:tc>
        <w:tc>
          <w:tcPr>
            <w:tcW w:w="1392" w:type="dxa"/>
          </w:tcPr>
          <w:p>
            <w:pPr>
              <w:pStyle w:val="TableParagraph"/>
              <w:spacing w:before="19"/>
              <w:ind w:left="162"/>
              <w:rPr>
                <w:sz w:val="21"/>
              </w:rPr>
            </w:pPr>
            <w:r>
              <w:rPr>
                <w:w w:val="100"/>
                <w:sz w:val="21"/>
              </w:rPr>
              <w:t> </w:t>
            </w:r>
          </w:p>
        </w:tc>
        <w:tc>
          <w:tcPr>
            <w:tcW w:w="7138" w:type="dxa"/>
          </w:tcPr>
          <w:p>
            <w:pPr>
              <w:pStyle w:val="TableParagraph"/>
              <w:spacing w:before="19"/>
              <w:ind w:left="174"/>
              <w:rPr>
                <w:sz w:val="21"/>
              </w:rPr>
            </w:pPr>
            <w:r>
              <w:rPr>
                <w:w w:val="100"/>
                <w:sz w:val="21"/>
              </w:rPr>
              <w:t> </w:t>
            </w:r>
          </w:p>
        </w:tc>
      </w:tr>
      <w:tr>
        <w:trPr>
          <w:trHeight w:val="666" w:hRule="atLeast"/>
        </w:trPr>
        <w:tc>
          <w:tcPr>
            <w:tcW w:w="634" w:type="dxa"/>
          </w:tcPr>
          <w:p>
            <w:pPr>
              <w:pStyle w:val="TableParagraph"/>
              <w:spacing w:line="323" w:lineRule="exact"/>
              <w:ind w:left="50"/>
              <w:rPr>
                <w:sz w:val="21"/>
              </w:rPr>
            </w:pPr>
            <w:r>
              <w:rPr>
                <w:rFonts w:ascii="Microsoft JhengHei"/>
                <w:b/>
                <w:w w:val="90"/>
                <w:sz w:val="21"/>
              </w:rPr>
              <w:t>3. 5</w:t>
            </w:r>
            <w:r>
              <w:rPr>
                <w:rFonts w:ascii="Microsoft JhengHei"/>
                <w:b/>
                <w:sz w:val="21"/>
              </w:rPr>
              <w:t> </w:t>
            </w:r>
            <w:r>
              <w:rPr>
                <w:w w:val="100"/>
                <w:sz w:val="21"/>
              </w:rPr>
              <w:t> </w:t>
            </w:r>
          </w:p>
        </w:tc>
        <w:tc>
          <w:tcPr>
            <w:tcW w:w="1392" w:type="dxa"/>
          </w:tcPr>
          <w:p>
            <w:pPr>
              <w:pStyle w:val="TableParagraph"/>
              <w:spacing w:line="204" w:lineRule="auto" w:before="12"/>
              <w:ind w:left="162" w:right="171"/>
              <w:rPr>
                <w:sz w:val="21"/>
              </w:rPr>
            </w:pPr>
            <w:r>
              <w:rPr>
                <w:rFonts w:ascii="Microsoft JhengHei" w:eastAsia="Microsoft JhengHei" w:hint="eastAsia"/>
                <w:b/>
                <w:sz w:val="21"/>
              </w:rPr>
              <w:t>宣告死亡处理</w:t>
            </w:r>
            <w:r>
              <w:rPr>
                <w:sz w:val="21"/>
              </w:rPr>
              <w:t> </w:t>
            </w:r>
          </w:p>
        </w:tc>
        <w:tc>
          <w:tcPr>
            <w:tcW w:w="7138" w:type="dxa"/>
          </w:tcPr>
          <w:p>
            <w:pPr>
              <w:pStyle w:val="TableParagraph"/>
              <w:spacing w:before="24"/>
              <w:ind w:left="174"/>
              <w:rPr>
                <w:sz w:val="21"/>
              </w:rPr>
            </w:pPr>
            <w:r>
              <w:rPr>
                <w:sz w:val="21"/>
              </w:rPr>
              <w:t>如果被保险人在本主险合同有效期内失踪，而且被法院宣告死亡，我们以法</w:t>
            </w:r>
          </w:p>
          <w:p>
            <w:pPr>
              <w:pStyle w:val="TableParagraph"/>
              <w:spacing w:before="35"/>
              <w:ind w:left="174"/>
              <w:rPr>
                <w:sz w:val="21"/>
              </w:rPr>
            </w:pPr>
            <w:r>
              <w:rPr>
                <w:sz w:val="21"/>
              </w:rPr>
              <w:t>院判决宣告死亡之日作为被保险人的死亡时间，按本主险合同的约定给付身</w:t>
            </w:r>
          </w:p>
        </w:tc>
      </w:tr>
      <w:tr>
        <w:trPr>
          <w:trHeight w:val="351" w:hRule="atLeast"/>
        </w:trPr>
        <w:tc>
          <w:tcPr>
            <w:tcW w:w="634" w:type="dxa"/>
          </w:tcPr>
          <w:p>
            <w:pPr>
              <w:pStyle w:val="TableParagraph"/>
              <w:rPr>
                <w:rFonts w:ascii="Times New Roman"/>
                <w:sz w:val="20"/>
              </w:rPr>
            </w:pPr>
          </w:p>
        </w:tc>
        <w:tc>
          <w:tcPr>
            <w:tcW w:w="1392" w:type="dxa"/>
          </w:tcPr>
          <w:p>
            <w:pPr>
              <w:pStyle w:val="TableParagraph"/>
              <w:rPr>
                <w:rFonts w:ascii="Times New Roman"/>
                <w:sz w:val="20"/>
              </w:rPr>
            </w:pPr>
          </w:p>
        </w:tc>
        <w:tc>
          <w:tcPr>
            <w:tcW w:w="7138" w:type="dxa"/>
          </w:tcPr>
          <w:p>
            <w:pPr>
              <w:pStyle w:val="TableParagraph"/>
              <w:spacing w:line="254" w:lineRule="exact"/>
              <w:ind w:left="174"/>
              <w:rPr>
                <w:sz w:val="21"/>
              </w:rPr>
            </w:pPr>
            <w:r>
              <w:rPr>
                <w:sz w:val="21"/>
              </w:rPr>
              <w:t>故保险金，本附加险合同终止。  </w:t>
            </w:r>
          </w:p>
        </w:tc>
      </w:tr>
      <w:tr>
        <w:trPr>
          <w:trHeight w:val="351" w:hRule="atLeast"/>
        </w:trPr>
        <w:tc>
          <w:tcPr>
            <w:tcW w:w="634" w:type="dxa"/>
          </w:tcPr>
          <w:p>
            <w:pPr>
              <w:pStyle w:val="TableParagraph"/>
              <w:rPr>
                <w:rFonts w:ascii="Times New Roman"/>
                <w:sz w:val="20"/>
              </w:rPr>
            </w:pPr>
          </w:p>
        </w:tc>
        <w:tc>
          <w:tcPr>
            <w:tcW w:w="1392" w:type="dxa"/>
          </w:tcPr>
          <w:p>
            <w:pPr>
              <w:pStyle w:val="TableParagraph"/>
              <w:rPr>
                <w:rFonts w:ascii="Times New Roman"/>
                <w:sz w:val="20"/>
              </w:rPr>
            </w:pPr>
          </w:p>
        </w:tc>
        <w:tc>
          <w:tcPr>
            <w:tcW w:w="7138" w:type="dxa"/>
          </w:tcPr>
          <w:p>
            <w:pPr>
              <w:pStyle w:val="TableParagraph"/>
              <w:spacing w:before="19"/>
              <w:ind w:left="174"/>
              <w:rPr>
                <w:sz w:val="21"/>
              </w:rPr>
            </w:pPr>
            <w:r>
              <w:rPr>
                <w:sz w:val="21"/>
              </w:rPr>
              <w:t>如果被保险人在宣告死亡后重新出现或者受益人确知其没有死亡，受益人应</w:t>
            </w:r>
          </w:p>
        </w:tc>
      </w:tr>
      <w:tr>
        <w:trPr>
          <w:trHeight w:val="351" w:hRule="atLeast"/>
        </w:trPr>
        <w:tc>
          <w:tcPr>
            <w:tcW w:w="634" w:type="dxa"/>
          </w:tcPr>
          <w:p>
            <w:pPr>
              <w:pStyle w:val="TableParagraph"/>
              <w:rPr>
                <w:rFonts w:ascii="Times New Roman"/>
                <w:sz w:val="20"/>
              </w:rPr>
            </w:pPr>
          </w:p>
        </w:tc>
        <w:tc>
          <w:tcPr>
            <w:tcW w:w="1392" w:type="dxa"/>
          </w:tcPr>
          <w:p>
            <w:pPr>
              <w:pStyle w:val="TableParagraph"/>
              <w:rPr>
                <w:rFonts w:ascii="Times New Roman"/>
                <w:sz w:val="20"/>
              </w:rPr>
            </w:pPr>
          </w:p>
        </w:tc>
        <w:tc>
          <w:tcPr>
            <w:tcW w:w="7138" w:type="dxa"/>
          </w:tcPr>
          <w:p>
            <w:pPr>
              <w:pStyle w:val="TableParagraph"/>
              <w:spacing w:line="254" w:lineRule="exact"/>
              <w:ind w:left="174"/>
              <w:rPr>
                <w:sz w:val="21"/>
              </w:rPr>
            </w:pPr>
            <w:r>
              <w:rPr>
                <w:sz w:val="21"/>
              </w:rPr>
              <w:t>于知道后 30 日内向我们退还已给付的保险金。 </w:t>
            </w:r>
          </w:p>
        </w:tc>
      </w:tr>
      <w:tr>
        <w:trPr>
          <w:trHeight w:val="385" w:hRule="atLeast"/>
        </w:trPr>
        <w:tc>
          <w:tcPr>
            <w:tcW w:w="634" w:type="dxa"/>
          </w:tcPr>
          <w:p>
            <w:pPr>
              <w:pStyle w:val="TableParagraph"/>
              <w:spacing w:before="19"/>
              <w:ind w:left="50"/>
              <w:rPr>
                <w:sz w:val="21"/>
              </w:rPr>
            </w:pPr>
            <w:r>
              <w:rPr>
                <w:w w:val="100"/>
                <w:sz w:val="21"/>
              </w:rPr>
              <w:t> </w:t>
            </w:r>
          </w:p>
        </w:tc>
        <w:tc>
          <w:tcPr>
            <w:tcW w:w="1392" w:type="dxa"/>
          </w:tcPr>
          <w:p>
            <w:pPr>
              <w:pStyle w:val="TableParagraph"/>
              <w:spacing w:before="19"/>
              <w:ind w:left="162"/>
              <w:rPr>
                <w:sz w:val="21"/>
              </w:rPr>
            </w:pPr>
            <w:r>
              <w:rPr>
                <w:w w:val="100"/>
                <w:sz w:val="21"/>
              </w:rPr>
              <w:t> </w:t>
            </w:r>
          </w:p>
        </w:tc>
        <w:tc>
          <w:tcPr>
            <w:tcW w:w="7138" w:type="dxa"/>
          </w:tcPr>
          <w:p>
            <w:pPr>
              <w:pStyle w:val="TableParagraph"/>
              <w:spacing w:before="19"/>
              <w:ind w:left="174"/>
              <w:rPr>
                <w:sz w:val="21"/>
              </w:rPr>
            </w:pPr>
            <w:r>
              <w:rPr>
                <w:w w:val="100"/>
                <w:sz w:val="21"/>
              </w:rPr>
              <w:t> </w:t>
            </w:r>
          </w:p>
        </w:tc>
      </w:tr>
      <w:tr>
        <w:trPr>
          <w:trHeight w:val="362" w:hRule="atLeast"/>
        </w:trPr>
        <w:tc>
          <w:tcPr>
            <w:tcW w:w="634" w:type="dxa"/>
          </w:tcPr>
          <w:p>
            <w:pPr>
              <w:pStyle w:val="TableParagraph"/>
              <w:spacing w:line="321" w:lineRule="exact"/>
              <w:ind w:left="50"/>
              <w:rPr>
                <w:rFonts w:ascii="Microsoft JhengHei"/>
                <w:b/>
                <w:sz w:val="21"/>
              </w:rPr>
            </w:pPr>
            <w:r>
              <w:rPr>
                <w:rFonts w:ascii="Microsoft JhengHei"/>
                <w:b/>
                <w:w w:val="90"/>
                <w:sz w:val="21"/>
              </w:rPr>
              <w:t>3. 6</w:t>
            </w:r>
          </w:p>
        </w:tc>
        <w:tc>
          <w:tcPr>
            <w:tcW w:w="1392" w:type="dxa"/>
          </w:tcPr>
          <w:p>
            <w:pPr>
              <w:pStyle w:val="TableParagraph"/>
              <w:spacing w:line="321" w:lineRule="exact"/>
              <w:ind w:left="162"/>
              <w:rPr>
                <w:rFonts w:ascii="Microsoft JhengHei" w:eastAsia="Microsoft JhengHei" w:hint="eastAsia"/>
                <w:b/>
                <w:sz w:val="21"/>
              </w:rPr>
            </w:pPr>
            <w:r>
              <w:rPr>
                <w:rFonts w:ascii="Microsoft JhengHei" w:eastAsia="Microsoft JhengHei" w:hint="eastAsia"/>
                <w:b/>
                <w:sz w:val="21"/>
              </w:rPr>
              <w:t>诉讼时效</w:t>
            </w:r>
          </w:p>
        </w:tc>
        <w:tc>
          <w:tcPr>
            <w:tcW w:w="7138" w:type="dxa"/>
          </w:tcPr>
          <w:p>
            <w:pPr>
              <w:pStyle w:val="TableParagraph"/>
              <w:spacing w:before="22"/>
              <w:ind w:left="174"/>
              <w:rPr>
                <w:sz w:val="21"/>
              </w:rPr>
            </w:pPr>
            <w:r>
              <w:rPr>
                <w:spacing w:val="-5"/>
                <w:sz w:val="21"/>
              </w:rPr>
              <w:t>受益人向我们请求给付保险金的诉讼时效期间为 </w:t>
            </w:r>
            <w:r>
              <w:rPr>
                <w:sz w:val="21"/>
              </w:rPr>
              <w:t>2</w:t>
            </w:r>
            <w:r>
              <w:rPr>
                <w:spacing w:val="-9"/>
                <w:sz w:val="21"/>
              </w:rPr>
              <w:t> 年，自其知道或者应当知</w:t>
            </w:r>
          </w:p>
        </w:tc>
      </w:tr>
      <w:tr>
        <w:trPr>
          <w:trHeight w:val="344" w:hRule="atLeast"/>
        </w:trPr>
        <w:tc>
          <w:tcPr>
            <w:tcW w:w="634" w:type="dxa"/>
          </w:tcPr>
          <w:p>
            <w:pPr>
              <w:pStyle w:val="TableParagraph"/>
              <w:rPr>
                <w:rFonts w:ascii="Times New Roman"/>
                <w:sz w:val="20"/>
              </w:rPr>
            </w:pPr>
          </w:p>
        </w:tc>
        <w:tc>
          <w:tcPr>
            <w:tcW w:w="1392" w:type="dxa"/>
          </w:tcPr>
          <w:p>
            <w:pPr>
              <w:pStyle w:val="TableParagraph"/>
              <w:rPr>
                <w:rFonts w:ascii="Times New Roman"/>
                <w:sz w:val="20"/>
              </w:rPr>
            </w:pPr>
          </w:p>
        </w:tc>
        <w:tc>
          <w:tcPr>
            <w:tcW w:w="7138" w:type="dxa"/>
          </w:tcPr>
          <w:p>
            <w:pPr>
              <w:pStyle w:val="TableParagraph"/>
              <w:spacing w:line="247" w:lineRule="exact"/>
              <w:ind w:left="174"/>
              <w:rPr>
                <w:sz w:val="21"/>
              </w:rPr>
            </w:pPr>
            <w:r>
              <w:rPr>
                <w:sz w:val="21"/>
              </w:rPr>
              <w:t>道保险事故发生之日起计算。</w:t>
            </w:r>
          </w:p>
        </w:tc>
      </w:tr>
      <w:tr>
        <w:trPr>
          <w:trHeight w:val="301" w:hRule="atLeast"/>
        </w:trPr>
        <w:tc>
          <w:tcPr>
            <w:tcW w:w="634" w:type="dxa"/>
          </w:tcPr>
          <w:p>
            <w:pPr>
              <w:pStyle w:val="TableParagraph"/>
              <w:spacing w:line="262" w:lineRule="exact" w:before="19"/>
              <w:ind w:left="50"/>
              <w:rPr>
                <w:sz w:val="21"/>
              </w:rPr>
            </w:pPr>
            <w:r>
              <w:rPr>
                <w:w w:val="100"/>
                <w:sz w:val="21"/>
              </w:rPr>
              <w:t> </w:t>
            </w:r>
          </w:p>
        </w:tc>
        <w:tc>
          <w:tcPr>
            <w:tcW w:w="1392" w:type="dxa"/>
          </w:tcPr>
          <w:p>
            <w:pPr>
              <w:pStyle w:val="TableParagraph"/>
              <w:spacing w:line="262" w:lineRule="exact" w:before="19"/>
              <w:ind w:left="162"/>
              <w:rPr>
                <w:sz w:val="21"/>
              </w:rPr>
            </w:pPr>
            <w:r>
              <w:rPr>
                <w:w w:val="100"/>
                <w:sz w:val="21"/>
              </w:rPr>
              <w:t> </w:t>
            </w:r>
          </w:p>
        </w:tc>
        <w:tc>
          <w:tcPr>
            <w:tcW w:w="7138" w:type="dxa"/>
          </w:tcPr>
          <w:p>
            <w:pPr>
              <w:pStyle w:val="TableParagraph"/>
              <w:spacing w:line="262" w:lineRule="exact" w:before="19"/>
              <w:ind w:left="174"/>
              <w:rPr>
                <w:sz w:val="21"/>
              </w:rPr>
            </w:pPr>
            <w:r>
              <w:rPr>
                <w:w w:val="100"/>
                <w:sz w:val="21"/>
              </w:rPr>
              <w:t> </w:t>
            </w:r>
          </w:p>
        </w:tc>
      </w:tr>
    </w:tbl>
    <w:p>
      <w:pPr>
        <w:pStyle w:val="BodyText"/>
        <w:spacing w:before="9"/>
        <w:ind w:left="0"/>
        <w:rPr>
          <w:sz w:val="7"/>
        </w:rPr>
      </w:pPr>
    </w:p>
    <w:p>
      <w:pPr>
        <w:pStyle w:val="Heading1"/>
        <w:numPr>
          <w:ilvl w:val="0"/>
          <w:numId w:val="5"/>
        </w:numPr>
        <w:tabs>
          <w:tab w:pos="969" w:val="left" w:leader="none"/>
          <w:tab w:pos="970" w:val="left" w:leader="none"/>
        </w:tabs>
        <w:spacing w:line="240" w:lineRule="auto" w:before="58" w:after="0"/>
        <w:ind w:left="969" w:right="0" w:hanging="742"/>
        <w:jc w:val="left"/>
      </w:pPr>
      <w:r>
        <w:rPr/>
        <w:pict>
          <v:group style="position:absolute;margin-left:65.760002pt;margin-top:32.133644pt;width:463.8pt;height:1pt;mso-position-horizontal-relative:page;mso-position-vertical-relative:paragraph;z-index:1192;mso-wrap-distance-left:0;mso-wrap-distance-right:0" coordorigin="1315,643" coordsize="9276,20">
            <v:line style="position:absolute" from="1315,652" to="2062,652" stroked="true" strokeweight=".96pt" strokecolor="#000000">
              <v:stroke dashstyle="solid"/>
            </v:line>
            <v:rect style="position:absolute;left:2061;top:642;width:20;height:20" filled="true" fillcolor="#000000" stroked="false">
              <v:fill type="solid"/>
            </v:rect>
            <v:line style="position:absolute" from="2081,652" to="3466,652" stroked="true" strokeweight=".96pt" strokecolor="#000000">
              <v:stroke dashstyle="solid"/>
            </v:line>
            <v:rect style="position:absolute;left:3465;top:642;width:20;height:20" filled="true" fillcolor="#000000" stroked="false">
              <v:fill type="solid"/>
            </v:rect>
            <v:line style="position:absolute" from="3485,652" to="10591,652" stroked="true" strokeweight=".96pt" strokecolor="#000000">
              <v:stroke dashstyle="solid"/>
            </v:line>
            <w10:wrap type="topAndBottom"/>
          </v:group>
        </w:pict>
      </w:r>
      <w:r>
        <w:rPr/>
        <w:t>保险费的支付</w:t>
      </w:r>
    </w:p>
    <w:p>
      <w:pPr>
        <w:pStyle w:val="BodyText"/>
        <w:spacing w:before="17"/>
        <w:ind w:left="0"/>
        <w:rPr>
          <w:rFonts w:ascii="Microsoft JhengHei"/>
          <w:b/>
        </w:rPr>
      </w:pPr>
    </w:p>
    <w:p>
      <w:pPr>
        <w:spacing w:after="0"/>
        <w:rPr>
          <w:rFonts w:ascii="Microsoft JhengHei"/>
        </w:rPr>
        <w:sectPr>
          <w:pgSz w:w="11900" w:h="16840"/>
          <w:pgMar w:header="0" w:footer="1204" w:top="1500" w:bottom="1400" w:left="1200" w:right="1200"/>
        </w:sectPr>
      </w:pPr>
    </w:p>
    <w:p>
      <w:pPr>
        <w:pStyle w:val="Heading2"/>
        <w:numPr>
          <w:ilvl w:val="1"/>
          <w:numId w:val="6"/>
        </w:numPr>
        <w:tabs>
          <w:tab w:pos="969" w:val="left" w:leader="none"/>
          <w:tab w:pos="970" w:val="left" w:leader="none"/>
        </w:tabs>
        <w:spacing w:line="317" w:lineRule="exact" w:before="0" w:after="0"/>
        <w:ind w:left="2373" w:right="0" w:hanging="2150"/>
        <w:jc w:val="left"/>
      </w:pPr>
      <w:r>
        <w:rPr>
          <w:w w:val="84"/>
        </w:rPr>
        <w:t>1</w:t>
      </w:r>
      <w:r>
        <w:rPr/>
        <w:tab/>
      </w:r>
      <w:r>
        <w:rPr>
          <w:w w:val="100"/>
        </w:rPr>
        <w:t>保险费的支</w:t>
      </w:r>
    </w:p>
    <w:p>
      <w:pPr>
        <w:spacing w:line="338" w:lineRule="exact" w:before="0"/>
        <w:ind w:left="124" w:right="0" w:firstLine="0"/>
        <w:jc w:val="center"/>
        <w:rPr>
          <w:rFonts w:ascii="Microsoft JhengHei" w:eastAsia="Microsoft JhengHei" w:hint="eastAsia"/>
          <w:b/>
          <w:sz w:val="21"/>
        </w:rPr>
      </w:pPr>
      <w:r>
        <w:rPr>
          <w:rFonts w:ascii="Microsoft JhengHei" w:eastAsia="Microsoft JhengHei" w:hint="eastAsia"/>
          <w:b/>
          <w:w w:val="100"/>
          <w:sz w:val="21"/>
        </w:rPr>
        <w:t>付</w:t>
      </w:r>
    </w:p>
    <w:p>
      <w:pPr>
        <w:pStyle w:val="BodyText"/>
        <w:spacing w:before="46"/>
        <w:ind w:left="223"/>
      </w:pPr>
      <w:r>
        <w:rPr/>
        <w:br w:type="column"/>
      </w:r>
      <w:r>
        <w:rPr/>
        <w:t>本主险合同的交费方式和交费期间由您和我们约定并在保险单上载明。 </w:t>
      </w:r>
    </w:p>
    <w:p>
      <w:pPr>
        <w:pStyle w:val="BodyText"/>
        <w:spacing w:before="114"/>
        <w:ind w:left="223"/>
      </w:pPr>
      <w:r>
        <w:rPr/>
        <w:t>分期支付保险费的，在支付首期保险费后，您应当按照约定，在保险费约定</w:t>
      </w:r>
    </w:p>
    <w:p>
      <w:pPr>
        <w:pStyle w:val="BodyText"/>
        <w:spacing w:before="37"/>
        <w:ind w:left="223"/>
      </w:pPr>
      <w:r>
        <w:rPr/>
        <w:t>支付日支付其余各期的保险费。 </w:t>
      </w:r>
    </w:p>
    <w:p>
      <w:pPr>
        <w:pStyle w:val="BodyText"/>
        <w:spacing w:before="116"/>
        <w:ind w:left="223"/>
      </w:pPr>
      <w:r>
        <w:rPr/>
        <w:t>本主险合同及项下的附加险合同的保险费必须一同支付。 </w:t>
      </w:r>
    </w:p>
    <w:p>
      <w:pPr>
        <w:pStyle w:val="BodyText"/>
        <w:spacing w:line="273" w:lineRule="auto" w:before="114"/>
        <w:ind w:left="223" w:right="109"/>
      </w:pPr>
      <w:r>
        <w:rPr>
          <w:spacing w:val="-5"/>
        </w:rPr>
        <w:t>我们保留提高和降低保险费率的权利，并在提高和降低保险费率前 </w:t>
      </w:r>
      <w:r>
        <w:rPr/>
        <w:t>30</w:t>
      </w:r>
      <w:r>
        <w:rPr>
          <w:spacing w:val="-12"/>
        </w:rPr>
        <w:t> 日书面</w:t>
      </w:r>
      <w:r>
        <w:rPr>
          <w:spacing w:val="-9"/>
        </w:rPr>
        <w:t>通知您。保险费率的调整针对所有被保险人或同一投保年龄的所有被保险人。</w:t>
      </w:r>
      <w:r>
        <w:rPr>
          <w:spacing w:val="-12"/>
        </w:rPr>
        <w:t>我们进行保险费率调整后，请您按调整后的保险费交付以后各期保险费。</w:t>
      </w:r>
      <w:r>
        <w:rPr/>
        <w:t> </w:t>
      </w:r>
    </w:p>
    <w:p>
      <w:pPr>
        <w:spacing w:after="0" w:line="273" w:lineRule="auto"/>
        <w:sectPr>
          <w:type w:val="continuous"/>
          <w:pgSz w:w="11900" w:h="16840"/>
          <w:pgMar w:top="820" w:bottom="1400" w:left="1200" w:right="1200"/>
          <w:cols w:num="2" w:equalWidth="0">
            <w:col w:w="2026" w:space="124"/>
            <w:col w:w="7350"/>
          </w:cols>
        </w:sectPr>
      </w:pPr>
    </w:p>
    <w:p>
      <w:pPr>
        <w:pStyle w:val="BodyText"/>
        <w:tabs>
          <w:tab w:pos="969" w:val="left" w:leader="none"/>
          <w:tab w:pos="2373" w:val="left" w:leader="none"/>
        </w:tabs>
        <w:spacing w:before="87"/>
        <w:ind w:left="223"/>
      </w:pPr>
      <w:r>
        <w:rPr>
          <w:w w:val="100"/>
        </w:rPr>
        <w:t> </w:t>
      </w:r>
      <w:r>
        <w:rPr/>
        <w:tab/>
      </w:r>
      <w:r>
        <w:rPr>
          <w:w w:val="100"/>
        </w:rPr>
        <w:t> </w:t>
      </w:r>
      <w:r>
        <w:rPr/>
        <w:tab/>
      </w:r>
      <w:r>
        <w:rPr>
          <w:w w:val="100"/>
        </w:rPr>
        <w:t> </w:t>
      </w:r>
    </w:p>
    <w:p>
      <w:pPr>
        <w:pStyle w:val="ListParagraph"/>
        <w:numPr>
          <w:ilvl w:val="1"/>
          <w:numId w:val="6"/>
        </w:numPr>
        <w:tabs>
          <w:tab w:pos="969" w:val="left" w:leader="none"/>
          <w:tab w:pos="970" w:val="left" w:leader="none"/>
          <w:tab w:pos="2373" w:val="left" w:leader="none"/>
        </w:tabs>
        <w:spacing w:line="264" w:lineRule="auto" w:before="47" w:after="0"/>
        <w:ind w:left="2373" w:right="211" w:hanging="2150"/>
        <w:jc w:val="left"/>
        <w:rPr>
          <w:sz w:val="21"/>
        </w:rPr>
      </w:pPr>
      <w:r>
        <w:rPr>
          <w:rFonts w:ascii="Microsoft JhengHei" w:eastAsia="Microsoft JhengHei" w:hint="eastAsia"/>
          <w:b/>
          <w:sz w:val="21"/>
        </w:rPr>
        <w:t>2</w:t>
        <w:tab/>
        <w:t>宽限期</w:t>
        <w:tab/>
      </w:r>
      <w:r>
        <w:rPr>
          <w:sz w:val="21"/>
        </w:rPr>
        <w:t>分期</w:t>
      </w:r>
      <w:r>
        <w:rPr>
          <w:spacing w:val="-3"/>
          <w:sz w:val="21"/>
        </w:rPr>
        <w:t>支</w:t>
      </w:r>
      <w:r>
        <w:rPr>
          <w:sz w:val="21"/>
        </w:rPr>
        <w:t>付</w:t>
      </w:r>
      <w:r>
        <w:rPr>
          <w:spacing w:val="-3"/>
          <w:sz w:val="21"/>
        </w:rPr>
        <w:t>保</w:t>
      </w:r>
      <w:r>
        <w:rPr>
          <w:sz w:val="21"/>
        </w:rPr>
        <w:t>险</w:t>
      </w:r>
      <w:r>
        <w:rPr>
          <w:spacing w:val="-3"/>
          <w:sz w:val="21"/>
        </w:rPr>
        <w:t>费</w:t>
      </w:r>
      <w:r>
        <w:rPr>
          <w:sz w:val="21"/>
        </w:rPr>
        <w:t>的</w:t>
      </w:r>
      <w:r>
        <w:rPr>
          <w:spacing w:val="-10"/>
          <w:sz w:val="21"/>
        </w:rPr>
        <w:t>，</w:t>
      </w:r>
      <w:r>
        <w:rPr>
          <w:sz w:val="21"/>
        </w:rPr>
        <w:t>您</w:t>
      </w:r>
      <w:r>
        <w:rPr>
          <w:spacing w:val="-3"/>
          <w:sz w:val="21"/>
        </w:rPr>
        <w:t>支</w:t>
      </w:r>
      <w:r>
        <w:rPr>
          <w:sz w:val="21"/>
        </w:rPr>
        <w:t>付首</w:t>
      </w:r>
      <w:r>
        <w:rPr>
          <w:spacing w:val="-3"/>
          <w:sz w:val="21"/>
        </w:rPr>
        <w:t>期</w:t>
      </w:r>
      <w:r>
        <w:rPr>
          <w:sz w:val="21"/>
        </w:rPr>
        <w:t>保</w:t>
      </w:r>
      <w:r>
        <w:rPr>
          <w:spacing w:val="-3"/>
          <w:sz w:val="21"/>
        </w:rPr>
        <w:t>险</w:t>
      </w:r>
      <w:r>
        <w:rPr>
          <w:sz w:val="21"/>
        </w:rPr>
        <w:t>费</w:t>
      </w:r>
      <w:r>
        <w:rPr>
          <w:spacing w:val="-3"/>
          <w:sz w:val="21"/>
        </w:rPr>
        <w:t>后</w:t>
      </w:r>
      <w:r>
        <w:rPr>
          <w:spacing w:val="-8"/>
          <w:sz w:val="21"/>
        </w:rPr>
        <w:t>，</w:t>
      </w:r>
      <w:r>
        <w:rPr>
          <w:spacing w:val="-3"/>
          <w:sz w:val="21"/>
        </w:rPr>
        <w:t>除</w:t>
      </w:r>
      <w:r>
        <w:rPr>
          <w:sz w:val="21"/>
        </w:rPr>
        <w:t>本</w:t>
      </w:r>
      <w:r>
        <w:rPr>
          <w:spacing w:val="-3"/>
          <w:sz w:val="21"/>
        </w:rPr>
        <w:t>主</w:t>
      </w:r>
      <w:r>
        <w:rPr>
          <w:sz w:val="21"/>
        </w:rPr>
        <w:t>险合</w:t>
      </w:r>
      <w:r>
        <w:rPr>
          <w:spacing w:val="-3"/>
          <w:sz w:val="21"/>
        </w:rPr>
        <w:t>同</w:t>
      </w:r>
      <w:r>
        <w:rPr>
          <w:sz w:val="21"/>
        </w:rPr>
        <w:t>另</w:t>
      </w:r>
      <w:r>
        <w:rPr>
          <w:spacing w:val="-3"/>
          <w:sz w:val="21"/>
        </w:rPr>
        <w:t>有</w:t>
      </w:r>
      <w:r>
        <w:rPr>
          <w:sz w:val="21"/>
        </w:rPr>
        <w:t>约</w:t>
      </w:r>
      <w:r>
        <w:rPr>
          <w:spacing w:val="-3"/>
          <w:sz w:val="21"/>
        </w:rPr>
        <w:t>定 </w:t>
      </w:r>
      <w:r>
        <w:rPr>
          <w:sz w:val="21"/>
        </w:rPr>
        <w:t>外</w:t>
      </w:r>
      <w:r>
        <w:rPr>
          <w:spacing w:val="-10"/>
          <w:sz w:val="21"/>
        </w:rPr>
        <w:t>，</w:t>
      </w:r>
      <w:r>
        <w:rPr>
          <w:sz w:val="21"/>
        </w:rPr>
        <w:t>如果您到</w:t>
      </w:r>
      <w:r>
        <w:rPr>
          <w:spacing w:val="-3"/>
          <w:sz w:val="21"/>
        </w:rPr>
        <w:t>期</w:t>
      </w:r>
      <w:r>
        <w:rPr>
          <w:sz w:val="21"/>
        </w:rPr>
        <w:t>未</w:t>
      </w:r>
      <w:r>
        <w:rPr>
          <w:spacing w:val="-3"/>
          <w:sz w:val="21"/>
        </w:rPr>
        <w:t>支</w:t>
      </w:r>
      <w:r>
        <w:rPr>
          <w:sz w:val="21"/>
        </w:rPr>
        <w:t>付</w:t>
      </w:r>
      <w:r>
        <w:rPr>
          <w:spacing w:val="-3"/>
          <w:sz w:val="21"/>
        </w:rPr>
        <w:t>保</w:t>
      </w:r>
      <w:r>
        <w:rPr>
          <w:sz w:val="21"/>
        </w:rPr>
        <w:t>险</w:t>
      </w:r>
      <w:r>
        <w:rPr>
          <w:spacing w:val="-3"/>
          <w:sz w:val="21"/>
        </w:rPr>
        <w:t>费</w:t>
      </w:r>
      <w:r>
        <w:rPr>
          <w:sz w:val="21"/>
        </w:rPr>
        <w:t>，</w:t>
      </w:r>
      <w:r>
        <w:rPr>
          <w:spacing w:val="-3"/>
          <w:sz w:val="21"/>
        </w:rPr>
        <w:t>自</w:t>
      </w:r>
      <w:r>
        <w:rPr>
          <w:sz w:val="21"/>
        </w:rPr>
        <w:t>保险</w:t>
      </w:r>
      <w:r>
        <w:rPr>
          <w:spacing w:val="-3"/>
          <w:sz w:val="21"/>
        </w:rPr>
        <w:t>费</w:t>
      </w:r>
      <w:r>
        <w:rPr>
          <w:sz w:val="21"/>
        </w:rPr>
        <w:t>约</w:t>
      </w:r>
      <w:r>
        <w:rPr>
          <w:spacing w:val="-3"/>
          <w:sz w:val="21"/>
        </w:rPr>
        <w:t>定</w:t>
      </w:r>
      <w:r>
        <w:rPr>
          <w:sz w:val="21"/>
        </w:rPr>
        <w:t>支</w:t>
      </w:r>
      <w:r>
        <w:rPr>
          <w:spacing w:val="-3"/>
          <w:sz w:val="21"/>
        </w:rPr>
        <w:t>付</w:t>
      </w:r>
      <w:r>
        <w:rPr>
          <w:sz w:val="21"/>
        </w:rPr>
        <w:t>日</w:t>
      </w:r>
      <w:r>
        <w:rPr>
          <w:spacing w:val="-3"/>
          <w:sz w:val="21"/>
        </w:rPr>
        <w:t>的</w:t>
      </w:r>
      <w:r>
        <w:rPr>
          <w:sz w:val="21"/>
        </w:rPr>
        <w:t>次</w:t>
      </w:r>
      <w:r>
        <w:rPr>
          <w:spacing w:val="-3"/>
          <w:sz w:val="21"/>
        </w:rPr>
        <w:t>日</w:t>
      </w:r>
      <w:r>
        <w:rPr>
          <w:sz w:val="21"/>
        </w:rPr>
        <w:t>零</w:t>
      </w:r>
      <w:r>
        <w:rPr>
          <w:spacing w:val="-3"/>
          <w:sz w:val="21"/>
        </w:rPr>
        <w:t>时</w:t>
      </w:r>
      <w:r>
        <w:rPr>
          <w:sz w:val="21"/>
        </w:rPr>
        <w:t>起</w:t>
      </w:r>
      <w:r>
        <w:rPr>
          <w:spacing w:val="-44"/>
          <w:sz w:val="21"/>
        </w:rPr>
        <w:t> </w:t>
      </w:r>
      <w:r>
        <w:rPr>
          <w:sz w:val="21"/>
        </w:rPr>
        <w:t>60</w:t>
      </w:r>
      <w:r>
        <w:rPr>
          <w:spacing w:val="-46"/>
          <w:sz w:val="21"/>
        </w:rPr>
        <w:t> </w:t>
      </w:r>
      <w:r>
        <w:rPr>
          <w:sz w:val="21"/>
        </w:rPr>
        <w:t>日</w:t>
      </w:r>
      <w:r>
        <w:rPr>
          <w:spacing w:val="-3"/>
          <w:sz w:val="21"/>
        </w:rPr>
        <w:t>为</w:t>
      </w:r>
      <w:r>
        <w:rPr>
          <w:sz w:val="21"/>
        </w:rPr>
        <w:t>宽</w:t>
      </w:r>
      <w:r>
        <w:rPr>
          <w:spacing w:val="-3"/>
          <w:sz w:val="21"/>
        </w:rPr>
        <w:t>限</w:t>
      </w:r>
      <w:r>
        <w:rPr>
          <w:sz w:val="21"/>
        </w:rPr>
        <w:t>期。宽限</w:t>
      </w:r>
      <w:r>
        <w:rPr>
          <w:spacing w:val="-3"/>
          <w:sz w:val="21"/>
        </w:rPr>
        <w:t>期</w:t>
      </w:r>
      <w:r>
        <w:rPr>
          <w:sz w:val="21"/>
        </w:rPr>
        <w:t>内</w:t>
      </w:r>
      <w:r>
        <w:rPr>
          <w:spacing w:val="-3"/>
          <w:sz w:val="21"/>
        </w:rPr>
        <w:t>发</w:t>
      </w:r>
      <w:r>
        <w:rPr>
          <w:sz w:val="21"/>
        </w:rPr>
        <w:t>生</w:t>
      </w:r>
      <w:r>
        <w:rPr>
          <w:spacing w:val="-3"/>
          <w:sz w:val="21"/>
        </w:rPr>
        <w:t>的</w:t>
      </w:r>
      <w:r>
        <w:rPr>
          <w:sz w:val="21"/>
        </w:rPr>
        <w:t>保</w:t>
      </w:r>
      <w:r>
        <w:rPr>
          <w:spacing w:val="-3"/>
          <w:sz w:val="21"/>
        </w:rPr>
        <w:t>险</w:t>
      </w:r>
      <w:r>
        <w:rPr>
          <w:sz w:val="21"/>
        </w:rPr>
        <w:t>事</w:t>
      </w:r>
      <w:r>
        <w:rPr>
          <w:spacing w:val="-3"/>
          <w:sz w:val="21"/>
        </w:rPr>
        <w:t>故</w:t>
      </w:r>
      <w:r>
        <w:rPr>
          <w:spacing w:val="-10"/>
          <w:sz w:val="21"/>
        </w:rPr>
        <w:t>，</w:t>
      </w:r>
      <w:r>
        <w:rPr>
          <w:spacing w:val="-3"/>
          <w:sz w:val="21"/>
        </w:rPr>
        <w:t>我</w:t>
      </w:r>
      <w:r>
        <w:rPr>
          <w:sz w:val="21"/>
        </w:rPr>
        <w:t>们</w:t>
      </w:r>
      <w:r>
        <w:rPr>
          <w:spacing w:val="-3"/>
          <w:sz w:val="21"/>
        </w:rPr>
        <w:t>仍</w:t>
      </w:r>
      <w:r>
        <w:rPr>
          <w:sz w:val="21"/>
        </w:rPr>
        <w:t>会</w:t>
      </w:r>
      <w:r>
        <w:rPr>
          <w:spacing w:val="-3"/>
          <w:sz w:val="21"/>
        </w:rPr>
        <w:t>承</w:t>
      </w:r>
      <w:r>
        <w:rPr>
          <w:sz w:val="21"/>
        </w:rPr>
        <w:t>担</w:t>
      </w:r>
      <w:r>
        <w:rPr>
          <w:spacing w:val="-3"/>
          <w:sz w:val="21"/>
        </w:rPr>
        <w:t>保</w:t>
      </w:r>
      <w:r>
        <w:rPr>
          <w:sz w:val="21"/>
        </w:rPr>
        <w:t>险</w:t>
      </w:r>
      <w:r>
        <w:rPr>
          <w:spacing w:val="-3"/>
          <w:sz w:val="21"/>
        </w:rPr>
        <w:t>责任</w:t>
      </w:r>
      <w:r>
        <w:rPr>
          <w:spacing w:val="-10"/>
          <w:sz w:val="21"/>
        </w:rPr>
        <w:t>，</w:t>
      </w:r>
      <w:r>
        <w:rPr>
          <w:spacing w:val="-3"/>
          <w:sz w:val="21"/>
        </w:rPr>
        <w:t>但</w:t>
      </w:r>
      <w:r>
        <w:rPr>
          <w:sz w:val="21"/>
        </w:rPr>
        <w:t>在</w:t>
      </w:r>
      <w:r>
        <w:rPr>
          <w:spacing w:val="-3"/>
          <w:sz w:val="21"/>
        </w:rPr>
        <w:t>给</w:t>
      </w:r>
      <w:r>
        <w:rPr>
          <w:sz w:val="21"/>
        </w:rPr>
        <w:t>付</w:t>
      </w:r>
      <w:r>
        <w:rPr>
          <w:spacing w:val="-3"/>
          <w:sz w:val="21"/>
        </w:rPr>
        <w:t>保</w:t>
      </w:r>
      <w:r>
        <w:rPr>
          <w:sz w:val="21"/>
        </w:rPr>
        <w:t>险</w:t>
      </w:r>
      <w:r>
        <w:rPr>
          <w:spacing w:val="-3"/>
          <w:sz w:val="21"/>
        </w:rPr>
        <w:t>金</w:t>
      </w:r>
      <w:r>
        <w:rPr>
          <w:sz w:val="21"/>
        </w:rPr>
        <w:t>时</w:t>
      </w:r>
      <w:r>
        <w:rPr>
          <w:spacing w:val="-3"/>
          <w:sz w:val="21"/>
        </w:rPr>
        <w:t>会</w:t>
      </w:r>
      <w:r>
        <w:rPr>
          <w:sz w:val="21"/>
        </w:rPr>
        <w:t>扣减您</w:t>
      </w:r>
      <w:r>
        <w:rPr>
          <w:spacing w:val="-3"/>
          <w:sz w:val="21"/>
        </w:rPr>
        <w:t>欠</w:t>
      </w:r>
      <w:r>
        <w:rPr>
          <w:sz w:val="21"/>
        </w:rPr>
        <w:t>交</w:t>
      </w:r>
      <w:r>
        <w:rPr>
          <w:spacing w:val="-3"/>
          <w:sz w:val="21"/>
        </w:rPr>
        <w:t>的</w:t>
      </w:r>
      <w:r>
        <w:rPr>
          <w:sz w:val="21"/>
        </w:rPr>
        <w:t>保</w:t>
      </w:r>
      <w:r>
        <w:rPr>
          <w:spacing w:val="-3"/>
          <w:sz w:val="21"/>
        </w:rPr>
        <w:t>险</w:t>
      </w:r>
      <w:r>
        <w:rPr>
          <w:sz w:val="21"/>
        </w:rPr>
        <w:t>费</w:t>
      </w:r>
      <w:r>
        <w:rPr>
          <w:spacing w:val="-3"/>
          <w:sz w:val="21"/>
        </w:rPr>
        <w:t>。</w:t>
      </w:r>
      <w:r>
        <w:rPr>
          <w:sz w:val="21"/>
        </w:rPr>
        <w:t> </w:t>
      </w:r>
    </w:p>
    <w:p>
      <w:pPr>
        <w:pStyle w:val="Heading2"/>
        <w:spacing w:line="338" w:lineRule="exact" w:before="28"/>
      </w:pPr>
      <w:r>
        <w:rPr/>
        <w:t>若您在宽限期结束之后仍未支付保险费，则本主险合同自宽限期满的次日零</w:t>
      </w:r>
    </w:p>
    <w:p>
      <w:pPr>
        <w:spacing w:line="338" w:lineRule="exact" w:before="0"/>
        <w:ind w:left="2373" w:right="0" w:firstLine="0"/>
        <w:jc w:val="left"/>
        <w:rPr>
          <w:rFonts w:ascii="Microsoft JhengHei" w:eastAsia="Microsoft JhengHei" w:hint="eastAsia"/>
          <w:b/>
          <w:sz w:val="21"/>
        </w:rPr>
      </w:pPr>
      <w:r>
        <w:rPr>
          <w:rFonts w:ascii="Microsoft JhengHei" w:eastAsia="Microsoft JhengHei" w:hint="eastAsia"/>
          <w:b/>
          <w:sz w:val="21"/>
        </w:rPr>
        <w:t>时起效力中止。</w:t>
      </w:r>
    </w:p>
    <w:p>
      <w:pPr>
        <w:spacing w:after="0" w:line="338" w:lineRule="exact"/>
        <w:jc w:val="left"/>
        <w:rPr>
          <w:rFonts w:ascii="Microsoft JhengHei" w:eastAsia="Microsoft JhengHei" w:hint="eastAsia"/>
          <w:sz w:val="21"/>
        </w:rPr>
        <w:sectPr>
          <w:type w:val="continuous"/>
          <w:pgSz w:w="11900" w:h="16840"/>
          <w:pgMar w:top="820" w:bottom="1400" w:left="1200" w:right="1200"/>
        </w:sectPr>
      </w:pPr>
    </w:p>
    <w:p>
      <w:pPr>
        <w:pStyle w:val="BodyText"/>
        <w:tabs>
          <w:tab w:pos="969" w:val="left" w:leader="none"/>
          <w:tab w:pos="2373" w:val="left" w:leader="none"/>
        </w:tabs>
        <w:spacing w:before="8"/>
        <w:ind w:left="223"/>
      </w:pPr>
      <w:r>
        <w:rPr>
          <w:w w:val="100"/>
        </w:rPr>
        <w:t> </w:t>
      </w:r>
      <w:r>
        <w:rPr/>
        <w:tab/>
      </w:r>
      <w:r>
        <w:rPr>
          <w:w w:val="100"/>
        </w:rPr>
        <w:t> </w:t>
      </w:r>
      <w:r>
        <w:rPr/>
        <w:tab/>
      </w:r>
      <w:r>
        <w:rPr>
          <w:w w:val="100"/>
        </w:rPr>
        <w:t> </w:t>
      </w:r>
    </w:p>
    <w:p>
      <w:pPr>
        <w:pStyle w:val="Heading1"/>
        <w:numPr>
          <w:ilvl w:val="0"/>
          <w:numId w:val="7"/>
        </w:numPr>
        <w:tabs>
          <w:tab w:pos="969" w:val="left" w:leader="none"/>
          <w:tab w:pos="970" w:val="left" w:leader="none"/>
        </w:tabs>
        <w:spacing w:line="240" w:lineRule="auto" w:before="165" w:after="0"/>
        <w:ind w:left="969" w:right="0" w:hanging="742"/>
        <w:jc w:val="left"/>
      </w:pPr>
      <w:r>
        <w:rPr/>
        <w:pict>
          <v:group style="position:absolute;margin-left:65.760002pt;margin-top:37.48362pt;width:463.8pt;height:1pt;mso-position-horizontal-relative:page;mso-position-vertical-relative:paragraph;z-index:1216;mso-wrap-distance-left:0;mso-wrap-distance-right:0" coordorigin="1315,750" coordsize="9276,20">
            <v:line style="position:absolute" from="1315,759" to="2062,759" stroked="true" strokeweight=".96pt" strokecolor="#000000">
              <v:stroke dashstyle="solid"/>
            </v:line>
            <v:rect style="position:absolute;left:2061;top:749;width:20;height:20" filled="true" fillcolor="#000000" stroked="false">
              <v:fill type="solid"/>
            </v:rect>
            <v:line style="position:absolute" from="2081,759" to="3466,759" stroked="true" strokeweight=".96pt" strokecolor="#000000">
              <v:stroke dashstyle="solid"/>
            </v:line>
            <v:rect style="position:absolute;left:3465;top:749;width:20;height:20" filled="true" fillcolor="#000000" stroked="false">
              <v:fill type="solid"/>
            </v:rect>
            <v:line style="position:absolute" from="3485,759" to="10591,759" stroked="true" strokeweight=".96pt" strokecolor="#000000">
              <v:stroke dashstyle="solid"/>
            </v:line>
            <w10:wrap type="topAndBottom"/>
          </v:group>
        </w:pict>
      </w:r>
      <w:r>
        <w:rPr/>
        <w:t>现金价值权益</w:t>
      </w:r>
    </w:p>
    <w:p>
      <w:pPr>
        <w:pStyle w:val="BodyText"/>
        <w:tabs>
          <w:tab w:pos="969" w:val="left" w:leader="none"/>
          <w:tab w:pos="2373" w:val="left" w:leader="none"/>
        </w:tabs>
        <w:spacing w:before="37"/>
        <w:ind w:left="223"/>
      </w:pPr>
      <w:r>
        <w:rPr>
          <w:w w:val="100"/>
        </w:rPr>
        <w:t> </w:t>
      </w:r>
      <w:r>
        <w:rPr/>
        <w:tab/>
      </w:r>
      <w:r>
        <w:rPr>
          <w:w w:val="100"/>
        </w:rPr>
        <w:t> </w:t>
      </w:r>
      <w:r>
        <w:rPr/>
        <w:tab/>
      </w:r>
      <w:r>
        <w:rPr>
          <w:w w:val="100"/>
        </w:rPr>
        <w:t> </w:t>
      </w:r>
    </w:p>
    <w:p>
      <w:pPr>
        <w:pStyle w:val="BodyText"/>
        <w:tabs>
          <w:tab w:pos="969" w:val="left" w:leader="none"/>
          <w:tab w:pos="2373" w:val="left" w:leader="none"/>
        </w:tabs>
        <w:spacing w:line="247" w:lineRule="auto" w:before="49"/>
        <w:ind w:left="2373" w:right="211" w:hanging="2151"/>
      </w:pPr>
      <w:r>
        <w:rPr>
          <w:rFonts w:ascii="Microsoft JhengHei" w:eastAsia="Microsoft JhengHei" w:hint="eastAsia"/>
          <w:b/>
        </w:rPr>
        <w:t>5.</w:t>
      </w:r>
      <w:r>
        <w:rPr>
          <w:rFonts w:ascii="Microsoft JhengHei" w:eastAsia="Microsoft JhengHei" w:hint="eastAsia"/>
          <w:b/>
          <w:spacing w:val="-33"/>
        </w:rPr>
        <w:t> </w:t>
      </w:r>
      <w:r>
        <w:rPr>
          <w:rFonts w:ascii="Microsoft JhengHei" w:eastAsia="Microsoft JhengHei" w:hint="eastAsia"/>
          <w:b/>
        </w:rPr>
        <w:t>1</w:t>
        <w:tab/>
        <w:t>现金价值</w:t>
        <w:tab/>
      </w:r>
      <w:r>
        <w:rPr/>
        <w:t>本主</w:t>
      </w:r>
      <w:r>
        <w:rPr>
          <w:spacing w:val="-3"/>
        </w:rPr>
        <w:t>险</w:t>
      </w:r>
      <w:r>
        <w:rPr/>
        <w:t>合</w:t>
      </w:r>
      <w:r>
        <w:rPr>
          <w:spacing w:val="-3"/>
        </w:rPr>
        <w:t>同</w:t>
      </w:r>
      <w:r>
        <w:rPr/>
        <w:t>保</w:t>
      </w:r>
      <w:r>
        <w:rPr>
          <w:spacing w:val="-3"/>
        </w:rPr>
        <w:t>单</w:t>
      </w:r>
      <w:r>
        <w:rPr/>
        <w:t>年</w:t>
      </w:r>
      <w:r>
        <w:rPr>
          <w:spacing w:val="-3"/>
        </w:rPr>
        <w:t>度</w:t>
      </w:r>
      <w:r>
        <w:rPr/>
        <w:t>末</w:t>
      </w:r>
      <w:r>
        <w:rPr>
          <w:spacing w:val="-3"/>
        </w:rPr>
        <w:t>的</w:t>
      </w:r>
      <w:r>
        <w:rPr/>
        <w:t>现金</w:t>
      </w:r>
      <w:r>
        <w:rPr>
          <w:spacing w:val="-3"/>
        </w:rPr>
        <w:t>价</w:t>
      </w:r>
      <w:r>
        <w:rPr/>
        <w:t>值</w:t>
      </w:r>
      <w:r>
        <w:rPr>
          <w:spacing w:val="-3"/>
        </w:rPr>
        <w:t>会</w:t>
      </w:r>
      <w:r>
        <w:rPr/>
        <w:t>在</w:t>
      </w:r>
      <w:r>
        <w:rPr>
          <w:spacing w:val="-3"/>
        </w:rPr>
        <w:t>保</w:t>
      </w:r>
      <w:r>
        <w:rPr/>
        <w:t>险</w:t>
      </w:r>
      <w:r>
        <w:rPr>
          <w:spacing w:val="-3"/>
        </w:rPr>
        <w:t>单</w:t>
      </w:r>
      <w:r>
        <w:rPr/>
        <w:t>上</w:t>
      </w:r>
      <w:r>
        <w:rPr>
          <w:spacing w:val="-3"/>
        </w:rPr>
        <w:t>载</w:t>
      </w:r>
      <w:r>
        <w:rPr/>
        <w:t>明</w:t>
      </w:r>
      <w:r>
        <w:rPr>
          <w:spacing w:val="-22"/>
        </w:rPr>
        <w:t>。</w:t>
      </w:r>
      <w:r>
        <w:rPr>
          <w:spacing w:val="-3"/>
        </w:rPr>
        <w:t>保</w:t>
      </w:r>
      <w:r>
        <w:rPr/>
        <w:t>单</w:t>
      </w:r>
      <w:r>
        <w:rPr>
          <w:spacing w:val="-3"/>
        </w:rPr>
        <w:t>年</w:t>
      </w:r>
      <w:r>
        <w:rPr/>
        <w:t>度</w:t>
      </w:r>
      <w:r>
        <w:rPr>
          <w:spacing w:val="-3"/>
        </w:rPr>
        <w:t>内</w:t>
      </w:r>
      <w:r>
        <w:rPr/>
        <w:t>的</w:t>
      </w:r>
      <w:r>
        <w:rPr>
          <w:spacing w:val="-3"/>
        </w:rPr>
        <w:t>现</w:t>
      </w:r>
      <w:r>
        <w:rPr/>
        <w:t>金价 值，</w:t>
      </w:r>
      <w:r>
        <w:rPr>
          <w:spacing w:val="-3"/>
        </w:rPr>
        <w:t>您</w:t>
      </w:r>
      <w:r>
        <w:rPr/>
        <w:t>可</w:t>
      </w:r>
      <w:r>
        <w:rPr>
          <w:spacing w:val="-3"/>
        </w:rPr>
        <w:t>以</w:t>
      </w:r>
      <w:r>
        <w:rPr/>
        <w:t>向</w:t>
      </w:r>
      <w:r>
        <w:rPr>
          <w:spacing w:val="-3"/>
        </w:rPr>
        <w:t>我</w:t>
      </w:r>
      <w:r>
        <w:rPr/>
        <w:t>们</w:t>
      </w:r>
      <w:r>
        <w:rPr>
          <w:spacing w:val="-3"/>
        </w:rPr>
        <w:t>咨</w:t>
      </w:r>
      <w:r>
        <w:rPr/>
        <w:t>询</w:t>
      </w:r>
      <w:r>
        <w:rPr>
          <w:spacing w:val="-3"/>
        </w:rPr>
        <w:t>。</w:t>
      </w:r>
      <w:r>
        <w:rPr/>
        <w:t> </w:t>
      </w:r>
    </w:p>
    <w:p>
      <w:pPr>
        <w:pStyle w:val="BodyText"/>
        <w:tabs>
          <w:tab w:pos="969" w:val="left" w:leader="none"/>
          <w:tab w:pos="2373" w:val="left" w:leader="none"/>
        </w:tabs>
        <w:spacing w:before="110"/>
        <w:ind w:left="223"/>
      </w:pPr>
      <w:r>
        <w:rPr>
          <w:w w:val="100"/>
        </w:rPr>
        <w:t> </w:t>
      </w:r>
      <w:r>
        <w:rPr/>
        <w:tab/>
      </w:r>
      <w:r>
        <w:rPr>
          <w:w w:val="100"/>
        </w:rPr>
        <w:t> </w:t>
      </w:r>
      <w:r>
        <w:rPr/>
        <w:tab/>
      </w:r>
      <w:r>
        <w:rPr>
          <w:w w:val="100"/>
        </w:rPr>
        <w:t> </w:t>
      </w:r>
    </w:p>
    <w:p>
      <w:pPr>
        <w:pStyle w:val="Heading1"/>
        <w:numPr>
          <w:ilvl w:val="0"/>
          <w:numId w:val="7"/>
        </w:numPr>
        <w:tabs>
          <w:tab w:pos="969" w:val="left" w:leader="none"/>
          <w:tab w:pos="970" w:val="left" w:leader="none"/>
        </w:tabs>
        <w:spacing w:line="240" w:lineRule="auto" w:before="168" w:after="0"/>
        <w:ind w:left="969" w:right="0" w:hanging="742"/>
        <w:jc w:val="left"/>
      </w:pPr>
      <w:r>
        <w:rPr/>
        <w:pict>
          <v:group style="position:absolute;margin-left:65.760002pt;margin-top:37.513653pt;width:463.8pt;height:1pt;mso-position-horizontal-relative:page;mso-position-vertical-relative:paragraph;z-index:1240;mso-wrap-distance-left:0;mso-wrap-distance-right:0" coordorigin="1315,750" coordsize="9276,20">
            <v:line style="position:absolute" from="1315,760" to="2062,760" stroked="true" strokeweight=".96pt" strokecolor="#000000">
              <v:stroke dashstyle="solid"/>
            </v:line>
            <v:rect style="position:absolute;left:2061;top:750;width:20;height:20" filled="true" fillcolor="#000000" stroked="false">
              <v:fill type="solid"/>
            </v:rect>
            <v:line style="position:absolute" from="2081,760" to="3466,760" stroked="true" strokeweight=".96pt" strokecolor="#000000">
              <v:stroke dashstyle="solid"/>
            </v:line>
            <v:rect style="position:absolute;left:3465;top:750;width:20;height:20" filled="true" fillcolor="#000000" stroked="false">
              <v:fill type="solid"/>
            </v:rect>
            <v:line style="position:absolute" from="3485,760" to="10591,760" stroked="true" strokeweight=".96pt" strokecolor="#000000">
              <v:stroke dashstyle="solid"/>
            </v:line>
            <w10:wrap type="topAndBottom"/>
          </v:group>
        </w:pict>
      </w:r>
      <w:r>
        <w:rPr/>
        <w:t>合同效力的中止及恢复</w:t>
      </w:r>
    </w:p>
    <w:p>
      <w:pPr>
        <w:pStyle w:val="BodyText"/>
        <w:tabs>
          <w:tab w:pos="969" w:val="left" w:leader="none"/>
          <w:tab w:pos="2373" w:val="left" w:leader="none"/>
        </w:tabs>
        <w:spacing w:before="39"/>
        <w:ind w:left="223"/>
      </w:pPr>
      <w:r>
        <w:rPr>
          <w:w w:val="100"/>
        </w:rPr>
        <w:t> </w:t>
      </w:r>
      <w:r>
        <w:rPr/>
        <w:tab/>
      </w:r>
      <w:r>
        <w:rPr>
          <w:w w:val="100"/>
        </w:rPr>
        <w:t> </w:t>
      </w:r>
      <w:r>
        <w:rPr/>
        <w:tab/>
      </w:r>
      <w:r>
        <w:rPr>
          <w:w w:val="100"/>
        </w:rPr>
        <w:t> </w:t>
      </w:r>
    </w:p>
    <w:p>
      <w:pPr>
        <w:pStyle w:val="Heading2"/>
        <w:numPr>
          <w:ilvl w:val="1"/>
          <w:numId w:val="8"/>
        </w:numPr>
        <w:tabs>
          <w:tab w:pos="969" w:val="left" w:leader="none"/>
          <w:tab w:pos="970" w:val="left" w:leader="none"/>
          <w:tab w:pos="2387" w:val="left" w:leader="none"/>
        </w:tabs>
        <w:spacing w:line="240" w:lineRule="auto" w:before="22" w:after="0"/>
        <w:ind w:left="2373" w:right="0" w:hanging="2150"/>
        <w:jc w:val="left"/>
      </w:pPr>
      <w:r>
        <w:rPr>
          <w:position w:val="-1"/>
        </w:rPr>
        <w:t>1</w:t>
        <w:tab/>
        <w:t>效力中止</w:t>
        <w:tab/>
      </w:r>
      <w:r>
        <w:rPr/>
        <w:t>在本主险合同效力</w:t>
      </w:r>
      <w:r>
        <w:rPr>
          <w:spacing w:val="-3"/>
        </w:rPr>
        <w:t>中</w:t>
      </w:r>
      <w:r>
        <w:rPr/>
        <w:t>止</w:t>
      </w:r>
      <w:r>
        <w:rPr>
          <w:spacing w:val="-3"/>
        </w:rPr>
        <w:t>期</w:t>
      </w:r>
      <w:r>
        <w:rPr/>
        <w:t>间，我们不承担保</w:t>
      </w:r>
      <w:r>
        <w:rPr>
          <w:spacing w:val="-3"/>
        </w:rPr>
        <w:t>险</w:t>
      </w:r>
      <w:r>
        <w:rPr/>
        <w:t>责</w:t>
      </w:r>
      <w:r>
        <w:rPr>
          <w:spacing w:val="-3"/>
        </w:rPr>
        <w:t>任。</w:t>
      </w:r>
    </w:p>
    <w:p>
      <w:pPr>
        <w:pStyle w:val="BodyText"/>
        <w:tabs>
          <w:tab w:pos="969" w:val="left" w:leader="none"/>
          <w:tab w:pos="2373" w:val="left" w:leader="none"/>
        </w:tabs>
        <w:spacing w:before="96"/>
        <w:ind w:left="223"/>
      </w:pPr>
      <w:r>
        <w:rPr>
          <w:w w:val="100"/>
        </w:rPr>
        <w:t> </w:t>
      </w:r>
      <w:r>
        <w:rPr/>
        <w:tab/>
      </w:r>
      <w:r>
        <w:rPr>
          <w:w w:val="100"/>
        </w:rPr>
        <w:t> </w:t>
      </w:r>
      <w:r>
        <w:rPr/>
        <w:tab/>
      </w:r>
      <w:r>
        <w:rPr>
          <w:w w:val="100"/>
        </w:rPr>
        <w:t> </w:t>
      </w:r>
    </w:p>
    <w:p>
      <w:pPr>
        <w:pStyle w:val="ListParagraph"/>
        <w:numPr>
          <w:ilvl w:val="1"/>
          <w:numId w:val="8"/>
        </w:numPr>
        <w:tabs>
          <w:tab w:pos="969" w:val="left" w:leader="none"/>
          <w:tab w:pos="970" w:val="left" w:leader="none"/>
          <w:tab w:pos="2373" w:val="left" w:leader="none"/>
        </w:tabs>
        <w:spacing w:line="249" w:lineRule="auto" w:before="47" w:after="0"/>
        <w:ind w:left="2373" w:right="214" w:hanging="2150"/>
        <w:jc w:val="left"/>
        <w:rPr>
          <w:sz w:val="21"/>
        </w:rPr>
      </w:pPr>
      <w:r>
        <w:rPr>
          <w:rFonts w:ascii="Microsoft JhengHei" w:eastAsia="Microsoft JhengHei" w:hint="eastAsia"/>
          <w:b/>
          <w:sz w:val="21"/>
        </w:rPr>
        <w:t>2</w:t>
        <w:tab/>
        <w:t>效力恢复</w:t>
        <w:tab/>
      </w:r>
      <w:r>
        <w:rPr>
          <w:sz w:val="21"/>
        </w:rPr>
        <w:t>本主</w:t>
      </w:r>
      <w:r>
        <w:rPr>
          <w:spacing w:val="-3"/>
          <w:sz w:val="21"/>
        </w:rPr>
        <w:t>险</w:t>
      </w:r>
      <w:r>
        <w:rPr>
          <w:sz w:val="21"/>
        </w:rPr>
        <w:t>合</w:t>
      </w:r>
      <w:r>
        <w:rPr>
          <w:spacing w:val="-3"/>
          <w:sz w:val="21"/>
        </w:rPr>
        <w:t>同</w:t>
      </w:r>
      <w:r>
        <w:rPr>
          <w:sz w:val="21"/>
        </w:rPr>
        <w:t>效</w:t>
      </w:r>
      <w:r>
        <w:rPr>
          <w:spacing w:val="-3"/>
          <w:sz w:val="21"/>
        </w:rPr>
        <w:t>力</w:t>
      </w:r>
      <w:r>
        <w:rPr>
          <w:sz w:val="21"/>
        </w:rPr>
        <w:t>中</w:t>
      </w:r>
      <w:r>
        <w:rPr>
          <w:spacing w:val="-3"/>
          <w:sz w:val="21"/>
        </w:rPr>
        <w:t>止</w:t>
      </w:r>
      <w:r>
        <w:rPr>
          <w:sz w:val="21"/>
        </w:rPr>
        <w:t>后</w:t>
      </w:r>
      <w:r>
        <w:rPr>
          <w:spacing w:val="-34"/>
          <w:sz w:val="21"/>
        </w:rPr>
        <w:t> </w:t>
      </w:r>
      <w:r>
        <w:rPr>
          <w:sz w:val="21"/>
        </w:rPr>
        <w:t>2</w:t>
      </w:r>
      <w:r>
        <w:rPr>
          <w:spacing w:val="-36"/>
          <w:sz w:val="21"/>
        </w:rPr>
        <w:t> </w:t>
      </w:r>
      <w:r>
        <w:rPr>
          <w:sz w:val="21"/>
        </w:rPr>
        <w:t>年</w:t>
      </w:r>
      <w:r>
        <w:rPr>
          <w:spacing w:val="-3"/>
          <w:sz w:val="21"/>
        </w:rPr>
        <w:t>内</w:t>
      </w:r>
      <w:r>
        <w:rPr>
          <w:spacing w:val="-10"/>
          <w:sz w:val="21"/>
        </w:rPr>
        <w:t>，</w:t>
      </w:r>
      <w:r>
        <w:rPr>
          <w:spacing w:val="-3"/>
          <w:sz w:val="21"/>
        </w:rPr>
        <w:t>您</w:t>
      </w:r>
      <w:r>
        <w:rPr>
          <w:sz w:val="21"/>
        </w:rPr>
        <w:t>可</w:t>
      </w:r>
      <w:r>
        <w:rPr>
          <w:spacing w:val="-3"/>
          <w:sz w:val="21"/>
        </w:rPr>
        <w:t>以</w:t>
      </w:r>
      <w:r>
        <w:rPr>
          <w:sz w:val="21"/>
        </w:rPr>
        <w:t>申</w:t>
      </w:r>
      <w:r>
        <w:rPr>
          <w:spacing w:val="-3"/>
          <w:sz w:val="21"/>
        </w:rPr>
        <w:t>请</w:t>
      </w:r>
      <w:r>
        <w:rPr>
          <w:sz w:val="21"/>
        </w:rPr>
        <w:t>恢</w:t>
      </w:r>
      <w:r>
        <w:rPr>
          <w:spacing w:val="-3"/>
          <w:sz w:val="21"/>
        </w:rPr>
        <w:t>复本</w:t>
      </w:r>
      <w:r>
        <w:rPr>
          <w:sz w:val="21"/>
        </w:rPr>
        <w:t>主险</w:t>
      </w:r>
      <w:r>
        <w:rPr>
          <w:spacing w:val="-3"/>
          <w:sz w:val="21"/>
        </w:rPr>
        <w:t>合</w:t>
      </w:r>
      <w:r>
        <w:rPr>
          <w:sz w:val="21"/>
        </w:rPr>
        <w:t>同</w:t>
      </w:r>
      <w:r>
        <w:rPr>
          <w:spacing w:val="-3"/>
          <w:sz w:val="21"/>
        </w:rPr>
        <w:t>效力</w:t>
      </w:r>
      <w:r>
        <w:rPr>
          <w:spacing w:val="-10"/>
          <w:sz w:val="21"/>
        </w:rPr>
        <w:t>。</w:t>
      </w:r>
      <w:r>
        <w:rPr>
          <w:spacing w:val="-3"/>
          <w:sz w:val="21"/>
        </w:rPr>
        <w:t>经</w:t>
      </w:r>
      <w:r>
        <w:rPr>
          <w:sz w:val="21"/>
        </w:rPr>
        <w:t>我</w:t>
      </w:r>
      <w:r>
        <w:rPr>
          <w:spacing w:val="-3"/>
          <w:sz w:val="21"/>
        </w:rPr>
        <w:t>们与</w:t>
      </w:r>
      <w:r>
        <w:rPr>
          <w:sz w:val="21"/>
        </w:rPr>
        <w:t>您协</w:t>
      </w:r>
      <w:r>
        <w:rPr>
          <w:spacing w:val="-3"/>
          <w:sz w:val="21"/>
        </w:rPr>
        <w:t>商</w:t>
      </w:r>
      <w:r>
        <w:rPr>
          <w:sz w:val="21"/>
        </w:rPr>
        <w:t>并</w:t>
      </w:r>
      <w:r>
        <w:rPr>
          <w:spacing w:val="-3"/>
          <w:sz w:val="21"/>
        </w:rPr>
        <w:t>达</w:t>
      </w:r>
      <w:r>
        <w:rPr>
          <w:sz w:val="21"/>
        </w:rPr>
        <w:t>成</w:t>
      </w:r>
      <w:r>
        <w:rPr>
          <w:spacing w:val="-3"/>
          <w:sz w:val="21"/>
        </w:rPr>
        <w:t>协</w:t>
      </w:r>
      <w:r>
        <w:rPr>
          <w:sz w:val="21"/>
        </w:rPr>
        <w:t>议</w:t>
      </w:r>
      <w:r>
        <w:rPr>
          <w:spacing w:val="-3"/>
          <w:sz w:val="21"/>
        </w:rPr>
        <w:t>，</w:t>
      </w:r>
      <w:r>
        <w:rPr>
          <w:sz w:val="21"/>
        </w:rPr>
        <w:t>自</w:t>
      </w:r>
      <w:r>
        <w:rPr>
          <w:spacing w:val="-3"/>
          <w:sz w:val="21"/>
        </w:rPr>
        <w:t>您</w:t>
      </w:r>
      <w:r>
        <w:rPr>
          <w:sz w:val="21"/>
        </w:rPr>
        <w:t>补交</w:t>
      </w:r>
      <w:r>
        <w:rPr>
          <w:spacing w:val="-3"/>
          <w:sz w:val="21"/>
        </w:rPr>
        <w:t>保</w:t>
      </w:r>
      <w:r>
        <w:rPr>
          <w:sz w:val="21"/>
        </w:rPr>
        <w:t>险</w:t>
      </w:r>
      <w:r>
        <w:rPr>
          <w:spacing w:val="-3"/>
          <w:sz w:val="21"/>
        </w:rPr>
        <w:t>费</w:t>
      </w:r>
      <w:r>
        <w:rPr>
          <w:sz w:val="21"/>
        </w:rPr>
        <w:t>之</w:t>
      </w:r>
      <w:r>
        <w:rPr>
          <w:spacing w:val="-3"/>
          <w:sz w:val="21"/>
        </w:rPr>
        <w:t>日</w:t>
      </w:r>
      <w:r>
        <w:rPr>
          <w:sz w:val="21"/>
        </w:rPr>
        <w:t>起</w:t>
      </w:r>
      <w:r>
        <w:rPr>
          <w:spacing w:val="-3"/>
          <w:sz w:val="21"/>
        </w:rPr>
        <w:t>，</w:t>
      </w:r>
      <w:r>
        <w:rPr>
          <w:sz w:val="21"/>
        </w:rPr>
        <w:t>本</w:t>
      </w:r>
      <w:r>
        <w:rPr>
          <w:spacing w:val="-3"/>
          <w:sz w:val="21"/>
        </w:rPr>
        <w:t>主</w:t>
      </w:r>
      <w:r>
        <w:rPr>
          <w:sz w:val="21"/>
        </w:rPr>
        <w:t>险合</w:t>
      </w:r>
      <w:r>
        <w:rPr>
          <w:spacing w:val="-3"/>
          <w:sz w:val="21"/>
        </w:rPr>
        <w:t>同</w:t>
      </w:r>
      <w:r>
        <w:rPr>
          <w:sz w:val="21"/>
        </w:rPr>
        <w:t>效</w:t>
      </w:r>
      <w:r>
        <w:rPr>
          <w:spacing w:val="-3"/>
          <w:sz w:val="21"/>
        </w:rPr>
        <w:t>力</w:t>
      </w:r>
      <w:r>
        <w:rPr>
          <w:sz w:val="21"/>
        </w:rPr>
        <w:t>恢 </w:t>
      </w:r>
      <w:r>
        <w:rPr>
          <w:spacing w:val="-3"/>
          <w:sz w:val="21"/>
        </w:rPr>
        <w:t>复</w:t>
      </w:r>
      <w:r>
        <w:rPr>
          <w:sz w:val="21"/>
        </w:rPr>
        <w:t>。</w:t>
      </w:r>
    </w:p>
    <w:p>
      <w:pPr>
        <w:pStyle w:val="Heading2"/>
        <w:spacing w:line="204" w:lineRule="auto" w:before="96"/>
        <w:ind w:right="106"/>
      </w:pPr>
      <w:r>
        <w:rPr>
          <w:spacing w:val="-2"/>
        </w:rPr>
        <w:t>自本主险合同效力中止之日起满 </w:t>
      </w:r>
      <w:r>
        <w:rPr/>
        <w:t>2</w:t>
      </w:r>
      <w:r>
        <w:rPr>
          <w:spacing w:val="-5"/>
        </w:rPr>
        <w:t> 年您和我们未达成协议的，我们有权解除</w:t>
      </w:r>
      <w:r>
        <w:rPr>
          <w:spacing w:val="-15"/>
        </w:rPr>
        <w:t>本主险合同。我们解除合同的，向您退还本主险合同效力中止时的现金价值。</w:t>
      </w:r>
    </w:p>
    <w:p>
      <w:pPr>
        <w:pStyle w:val="BodyText"/>
        <w:spacing w:before="92"/>
        <w:ind w:left="2373"/>
      </w:pPr>
      <w:r>
        <w:rPr>
          <w:w w:val="100"/>
        </w:rPr>
        <w:t> </w:t>
      </w:r>
    </w:p>
    <w:p>
      <w:pPr>
        <w:pStyle w:val="BodyText"/>
        <w:spacing w:before="5"/>
        <w:ind w:left="0"/>
        <w:rPr>
          <w:sz w:val="8"/>
        </w:rPr>
      </w:pPr>
    </w:p>
    <w:p>
      <w:pPr>
        <w:tabs>
          <w:tab w:pos="969" w:val="left" w:leader="none"/>
        </w:tabs>
        <w:spacing w:before="58"/>
        <w:ind w:left="228" w:right="0" w:firstLine="0"/>
        <w:jc w:val="left"/>
        <w:rPr>
          <w:rFonts w:ascii="Microsoft JhengHei" w:eastAsia="Microsoft JhengHei" w:hint="eastAsia"/>
          <w:b/>
          <w:sz w:val="24"/>
        </w:rPr>
      </w:pPr>
      <w:r>
        <w:rPr/>
        <w:pict>
          <v:group style="position:absolute;margin-left:65.760002pt;margin-top:32.013645pt;width:463.8pt;height:1pt;mso-position-horizontal-relative:page;mso-position-vertical-relative:paragraph;z-index:1264;mso-wrap-distance-left:0;mso-wrap-distance-right:0" coordorigin="1315,640" coordsize="9276,20">
            <v:line style="position:absolute" from="1315,650" to="2062,650" stroked="true" strokeweight=".96pt" strokecolor="#000000">
              <v:stroke dashstyle="solid"/>
            </v:line>
            <v:rect style="position:absolute;left:2061;top:640;width:20;height:20" filled="true" fillcolor="#000000" stroked="false">
              <v:fill type="solid"/>
            </v:rect>
            <v:line style="position:absolute" from="2081,650" to="3466,650" stroked="true" strokeweight=".96pt" strokecolor="#000000">
              <v:stroke dashstyle="solid"/>
            </v:line>
            <v:rect style="position:absolute;left:3465;top:640;width:20;height:20" filled="true" fillcolor="#000000" stroked="false">
              <v:fill type="solid"/>
            </v:rect>
            <v:line style="position:absolute" from="3485,650" to="10591,650" stroked="true" strokeweight=".96pt" strokecolor="#000000">
              <v:stroke dashstyle="solid"/>
            </v:line>
            <w10:wrap type="topAndBottom"/>
          </v:group>
        </w:pict>
      </w:r>
      <w:r>
        <w:rPr>
          <w:rFonts w:ascii="Times New Roman" w:eastAsia="Times New Roman"/>
          <w:b/>
          <w:position w:val="-3"/>
          <w:sz w:val="40"/>
        </w:rPr>
        <w:t>{</w:t>
        <w:tab/>
      </w:r>
      <w:r>
        <w:rPr>
          <w:rFonts w:ascii="Microsoft JhengHei" w:eastAsia="Microsoft JhengHei" w:hint="eastAsia"/>
          <w:b/>
          <w:sz w:val="24"/>
        </w:rPr>
        <w:t>合同解除</w:t>
      </w:r>
    </w:p>
    <w:p>
      <w:pPr>
        <w:pStyle w:val="BodyText"/>
        <w:spacing w:before="17"/>
        <w:ind w:left="0"/>
        <w:rPr>
          <w:rFonts w:ascii="Microsoft JhengHei"/>
          <w:b/>
        </w:rPr>
      </w:pPr>
    </w:p>
    <w:p>
      <w:pPr>
        <w:spacing w:after="0"/>
        <w:rPr>
          <w:rFonts w:ascii="Microsoft JhengHei"/>
        </w:rPr>
        <w:sectPr>
          <w:pgSz w:w="11900" w:h="16840"/>
          <w:pgMar w:header="0" w:footer="1204" w:top="1500" w:bottom="1400" w:left="1200" w:right="1200"/>
        </w:sectPr>
      </w:pPr>
    </w:p>
    <w:p>
      <w:pPr>
        <w:pStyle w:val="Heading2"/>
        <w:spacing w:line="204" w:lineRule="auto" w:before="34"/>
        <w:ind w:left="969" w:hanging="747"/>
        <w:jc w:val="both"/>
      </w:pPr>
      <w:r>
        <w:rPr/>
        <w:t>7. 1 投 保 人 解 除合同的手续及风险</w:t>
      </w:r>
    </w:p>
    <w:p>
      <w:pPr>
        <w:pStyle w:val="BodyText"/>
        <w:spacing w:line="271" w:lineRule="auto" w:before="46"/>
        <w:ind w:left="223" w:right="177"/>
      </w:pPr>
      <w:r>
        <w:rPr/>
        <w:br w:type="column"/>
      </w:r>
      <w:r>
        <w:rPr/>
        <w:t>如您在犹豫期后申请解除本主险合同，请填写保险合同变更申请书并提供下列资料： </w:t>
      </w:r>
    </w:p>
    <w:p>
      <w:pPr>
        <w:pStyle w:val="BodyText"/>
        <w:spacing w:before="89"/>
        <w:ind w:left="223"/>
      </w:pPr>
      <w:r>
        <w:rPr/>
        <w:t>（1）保险合同； </w:t>
      </w:r>
    </w:p>
    <w:p>
      <w:pPr>
        <w:pStyle w:val="BodyText"/>
        <w:spacing w:before="116"/>
        <w:ind w:left="223"/>
      </w:pPr>
      <w:r>
        <w:rPr/>
        <w:t>（2）您的有效身份证件。 </w:t>
      </w:r>
    </w:p>
    <w:p>
      <w:pPr>
        <w:pStyle w:val="BodyText"/>
        <w:spacing w:line="273" w:lineRule="auto" w:before="113"/>
        <w:ind w:left="223" w:right="177"/>
      </w:pPr>
      <w:r>
        <w:rPr/>
        <w:t>自我们收到保险合同变更申请书时起，本主险合同终止。我们自收到保险合同变更申请书之日起 30 日内向您退还本主险合同的现金价值。 </w:t>
      </w:r>
    </w:p>
    <w:p>
      <w:pPr>
        <w:pStyle w:val="Heading2"/>
        <w:spacing w:before="19"/>
        <w:ind w:left="223"/>
      </w:pPr>
      <w:r>
        <w:rPr/>
        <w:t>您在犹豫期后解除合同会遭受一定损失。</w:t>
      </w:r>
    </w:p>
    <w:p>
      <w:pPr>
        <w:spacing w:line="204" w:lineRule="auto" w:before="77"/>
        <w:ind w:left="223" w:right="193" w:firstLine="0"/>
        <w:jc w:val="left"/>
        <w:rPr>
          <w:rFonts w:ascii="Microsoft JhengHei" w:eastAsia="Microsoft JhengHei" w:hint="eastAsia"/>
          <w:b/>
          <w:sz w:val="21"/>
        </w:rPr>
      </w:pPr>
      <w:r>
        <w:rPr>
          <w:rFonts w:ascii="Microsoft JhengHei" w:eastAsia="Microsoft JhengHei" w:hint="eastAsia"/>
          <w:b/>
          <w:sz w:val="21"/>
        </w:rPr>
        <w:t>发生轻症疾病保险金理赔后退保，我们将按照一定比例退还本主险合同的现金价值。</w:t>
      </w:r>
    </w:p>
    <w:p>
      <w:pPr>
        <w:spacing w:after="0" w:line="204" w:lineRule="auto"/>
        <w:jc w:val="left"/>
        <w:rPr>
          <w:rFonts w:ascii="Microsoft JhengHei" w:eastAsia="Microsoft JhengHei" w:hint="eastAsia"/>
          <w:sz w:val="21"/>
        </w:rPr>
        <w:sectPr>
          <w:type w:val="continuous"/>
          <w:pgSz w:w="11900" w:h="16840"/>
          <w:pgMar w:top="820" w:bottom="1400" w:left="1200" w:right="1200"/>
          <w:cols w:num="2" w:equalWidth="0">
            <w:col w:w="2026" w:space="124"/>
            <w:col w:w="7350"/>
          </w:cols>
        </w:sectPr>
      </w:pPr>
    </w:p>
    <w:p>
      <w:pPr>
        <w:pStyle w:val="BodyText"/>
        <w:tabs>
          <w:tab w:pos="969" w:val="left" w:leader="none"/>
          <w:tab w:pos="2373" w:val="left" w:leader="none"/>
        </w:tabs>
        <w:spacing w:before="92"/>
        <w:ind w:left="223"/>
      </w:pPr>
      <w:r>
        <w:rPr>
          <w:w w:val="100"/>
        </w:rPr>
        <w:t> </w:t>
      </w:r>
      <w:r>
        <w:rPr/>
        <w:tab/>
      </w:r>
      <w:r>
        <w:rPr>
          <w:w w:val="100"/>
        </w:rPr>
        <w:t> </w:t>
      </w:r>
      <w:r>
        <w:rPr/>
        <w:tab/>
      </w:r>
      <w:r>
        <w:rPr>
          <w:w w:val="100"/>
        </w:rPr>
        <w:t> </w:t>
      </w:r>
    </w:p>
    <w:p>
      <w:pPr>
        <w:tabs>
          <w:tab w:pos="969" w:val="left" w:leader="none"/>
          <w:tab w:pos="9040" w:val="left" w:leader="none"/>
        </w:tabs>
        <w:spacing w:before="166"/>
        <w:ind w:left="229" w:right="0" w:firstLine="0"/>
        <w:jc w:val="left"/>
        <w:rPr>
          <w:sz w:val="21"/>
        </w:rPr>
      </w:pPr>
      <w:r>
        <w:rPr/>
        <w:pict>
          <v:group style="position:absolute;margin-left:65.760002pt;margin-top:37.533657pt;width:463.8pt;height:1pt;mso-position-horizontal-relative:page;mso-position-vertical-relative:paragraph;z-index:1288;mso-wrap-distance-left:0;mso-wrap-distance-right:0" coordorigin="1315,751" coordsize="9276,20">
            <v:line style="position:absolute" from="1315,760" to="2062,760" stroked="true" strokeweight=".96pt" strokecolor="#000000">
              <v:stroke dashstyle="solid"/>
            </v:line>
            <v:rect style="position:absolute;left:2061;top:750;width:20;height:20" filled="true" fillcolor="#000000" stroked="false">
              <v:fill type="solid"/>
            </v:rect>
            <v:line style="position:absolute" from="2081,760" to="3466,760" stroked="true" strokeweight=".96pt" strokecolor="#000000">
              <v:stroke dashstyle="solid"/>
            </v:line>
            <v:rect style="position:absolute;left:3465;top:750;width:20;height:20" filled="true" fillcolor="#000000" stroked="false">
              <v:fill type="solid"/>
            </v:rect>
            <v:line style="position:absolute" from="3485,760" to="10591,760" stroked="true" strokeweight=".96pt" strokecolor="#000000">
              <v:stroke dashstyle="solid"/>
            </v:line>
            <w10:wrap type="topAndBottom"/>
          </v:group>
        </w:pict>
      </w:r>
      <w:r>
        <w:rPr>
          <w:rFonts w:ascii="Times New Roman" w:eastAsia="Times New Roman"/>
          <w:b/>
          <w:position w:val="-3"/>
          <w:sz w:val="40"/>
        </w:rPr>
        <w:t>|</w:t>
        <w:tab/>
      </w:r>
      <w:r>
        <w:rPr>
          <w:rFonts w:ascii="Microsoft JhengHei" w:eastAsia="Microsoft JhengHei" w:hint="eastAsia"/>
          <w:b/>
          <w:sz w:val="24"/>
        </w:rPr>
        <w:t>如实告知</w:t>
        <w:tab/>
      </w:r>
      <w:r>
        <w:rPr>
          <w:w w:val="100"/>
          <w:sz w:val="21"/>
        </w:rPr>
        <w:t> </w:t>
      </w:r>
    </w:p>
    <w:p>
      <w:pPr>
        <w:pStyle w:val="BodyText"/>
        <w:spacing w:before="3"/>
        <w:ind w:left="0"/>
        <w:rPr>
          <w:sz w:val="29"/>
        </w:rPr>
      </w:pPr>
    </w:p>
    <w:p>
      <w:pPr>
        <w:spacing w:after="0"/>
        <w:rPr>
          <w:sz w:val="29"/>
        </w:rPr>
        <w:sectPr>
          <w:type w:val="continuous"/>
          <w:pgSz w:w="11900" w:h="16840"/>
          <w:pgMar w:top="820" w:bottom="1400" w:left="1200" w:right="1200"/>
        </w:sectPr>
      </w:pPr>
    </w:p>
    <w:p>
      <w:pPr>
        <w:pStyle w:val="Heading2"/>
        <w:tabs>
          <w:tab w:pos="969" w:val="left" w:leader="none"/>
        </w:tabs>
        <w:spacing w:line="317" w:lineRule="exact"/>
        <w:ind w:left="223"/>
      </w:pPr>
      <w:r>
        <w:rPr/>
        <w:t>8</w:t>
      </w:r>
      <w:r>
        <w:rPr>
          <w:spacing w:val="-17"/>
        </w:rPr>
        <w:t>. </w:t>
      </w:r>
      <w:r>
        <w:rPr/>
        <w:t>1</w:t>
        <w:tab/>
        <w:t>明确说明和</w:t>
      </w:r>
    </w:p>
    <w:p>
      <w:pPr>
        <w:spacing w:line="338" w:lineRule="exact" w:before="0"/>
        <w:ind w:left="969" w:right="0" w:firstLine="0"/>
        <w:jc w:val="left"/>
        <w:rPr>
          <w:rFonts w:ascii="Microsoft JhengHei" w:eastAsia="Microsoft JhengHei" w:hint="eastAsia"/>
          <w:b/>
          <w:sz w:val="21"/>
        </w:rPr>
      </w:pPr>
      <w:r>
        <w:rPr>
          <w:rFonts w:ascii="Microsoft JhengHei" w:eastAsia="Microsoft JhengHei" w:hint="eastAsia"/>
          <w:b/>
          <w:sz w:val="21"/>
        </w:rPr>
        <w:t>如实告知</w:t>
      </w:r>
    </w:p>
    <w:p>
      <w:pPr>
        <w:pStyle w:val="BodyText"/>
        <w:spacing w:line="271" w:lineRule="auto" w:before="46"/>
        <w:ind w:left="223" w:right="211"/>
        <w:jc w:val="both"/>
      </w:pPr>
      <w:r>
        <w:rPr/>
        <w:br w:type="column"/>
      </w:r>
      <w:r>
        <w:rPr>
          <w:spacing w:val="-5"/>
        </w:rPr>
        <w:t>订立本主险合同时，我们应向您说明本主险合同的内容。对保险条款中免除</w:t>
      </w:r>
      <w:r>
        <w:rPr>
          <w:spacing w:val="-6"/>
        </w:rPr>
        <w:t>我们责任的条款，我们在订立合同时应当在投保单、保险单或者其他保险凭</w:t>
      </w:r>
      <w:r>
        <w:rPr>
          <w:spacing w:val="-5"/>
        </w:rPr>
        <w:t>证上做出足以引起您注意的提示，并对该条款的内容以书面或者口头形式向</w:t>
      </w:r>
      <w:r>
        <w:rPr>
          <w:spacing w:val="-7"/>
        </w:rPr>
        <w:t>您做出明确说明，未作提示或者明确说明的，该条款不产生效力。我们会就</w:t>
      </w:r>
      <w:r>
        <w:rPr>
          <w:spacing w:val="-5"/>
        </w:rPr>
        <w:t>您和被保险人的有关情况提出询问，您应当如实告知。</w:t>
      </w:r>
      <w:r>
        <w:rPr/>
        <w:t> </w:t>
      </w:r>
    </w:p>
    <w:p>
      <w:pPr>
        <w:spacing w:after="0" w:line="271" w:lineRule="auto"/>
        <w:jc w:val="both"/>
        <w:sectPr>
          <w:type w:val="continuous"/>
          <w:pgSz w:w="11900" w:h="16840"/>
          <w:pgMar w:top="820" w:bottom="1400" w:left="1200" w:right="1200"/>
          <w:cols w:num="2" w:equalWidth="0">
            <w:col w:w="2026" w:space="124"/>
            <w:col w:w="7350"/>
          </w:cols>
        </w:sect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1"/>
        <w:gridCol w:w="1455"/>
        <w:gridCol w:w="7181"/>
      </w:tblGrid>
      <w:tr>
        <w:trPr>
          <w:trHeight w:val="260" w:hRule="atLeast"/>
        </w:trPr>
        <w:tc>
          <w:tcPr>
            <w:tcW w:w="2026" w:type="dxa"/>
            <w:gridSpan w:val="2"/>
            <w:vMerge w:val="restart"/>
          </w:tcPr>
          <w:p>
            <w:pPr>
              <w:pStyle w:val="TableParagraph"/>
              <w:rPr>
                <w:rFonts w:ascii="Times New Roman"/>
                <w:sz w:val="20"/>
              </w:rPr>
            </w:pPr>
          </w:p>
        </w:tc>
        <w:tc>
          <w:tcPr>
            <w:tcW w:w="7181" w:type="dxa"/>
          </w:tcPr>
          <w:p>
            <w:pPr>
              <w:pStyle w:val="TableParagraph"/>
              <w:spacing w:line="227" w:lineRule="exact"/>
              <w:ind w:left="174"/>
              <w:rPr>
                <w:rFonts w:ascii="Microsoft JhengHei" w:eastAsia="Microsoft JhengHei" w:hint="eastAsia"/>
                <w:b/>
                <w:sz w:val="21"/>
              </w:rPr>
            </w:pPr>
            <w:r>
              <w:rPr>
                <w:rFonts w:ascii="Microsoft JhengHei" w:eastAsia="Microsoft JhengHei" w:hint="eastAsia"/>
                <w:b/>
                <w:sz w:val="21"/>
              </w:rPr>
              <w:t>如果您故意或因重大过失未履行如实告知义务，足以影响我们决定是否同意</w:t>
            </w:r>
          </w:p>
        </w:tc>
      </w:tr>
      <w:tr>
        <w:trPr>
          <w:trHeight w:val="350" w:hRule="atLeast"/>
        </w:trPr>
        <w:tc>
          <w:tcPr>
            <w:tcW w:w="2026" w:type="dxa"/>
            <w:gridSpan w:val="2"/>
            <w:vMerge/>
            <w:tcBorders>
              <w:top w:val="nil"/>
            </w:tcBorders>
          </w:tcPr>
          <w:p>
            <w:pPr>
              <w:rPr>
                <w:sz w:val="2"/>
                <w:szCs w:val="2"/>
              </w:rPr>
            </w:pPr>
          </w:p>
        </w:tc>
        <w:tc>
          <w:tcPr>
            <w:tcW w:w="7181" w:type="dxa"/>
          </w:tcPr>
          <w:p>
            <w:pPr>
              <w:pStyle w:val="TableParagraph"/>
              <w:spacing w:line="276" w:lineRule="exact"/>
              <w:ind w:left="174"/>
              <w:rPr>
                <w:rFonts w:ascii="Microsoft JhengHei" w:eastAsia="Microsoft JhengHei" w:hint="eastAsia"/>
                <w:b/>
                <w:sz w:val="21"/>
              </w:rPr>
            </w:pPr>
            <w:r>
              <w:rPr>
                <w:rFonts w:ascii="Microsoft JhengHei" w:eastAsia="Microsoft JhengHei" w:hint="eastAsia"/>
                <w:b/>
                <w:sz w:val="21"/>
              </w:rPr>
              <w:t>承保或者提高保险费率的，我们有权解除本主险合同。</w:t>
            </w:r>
          </w:p>
        </w:tc>
      </w:tr>
      <w:tr>
        <w:trPr>
          <w:trHeight w:val="351" w:hRule="atLeast"/>
        </w:trPr>
        <w:tc>
          <w:tcPr>
            <w:tcW w:w="2026" w:type="dxa"/>
            <w:gridSpan w:val="2"/>
            <w:vMerge/>
            <w:tcBorders>
              <w:top w:val="nil"/>
            </w:tcBorders>
          </w:tcPr>
          <w:p>
            <w:pPr>
              <w:rPr>
                <w:sz w:val="2"/>
                <w:szCs w:val="2"/>
              </w:rPr>
            </w:pPr>
          </w:p>
        </w:tc>
        <w:tc>
          <w:tcPr>
            <w:tcW w:w="7181" w:type="dxa"/>
          </w:tcPr>
          <w:p>
            <w:pPr>
              <w:pStyle w:val="TableParagraph"/>
              <w:spacing w:line="317" w:lineRule="exact"/>
              <w:ind w:left="174"/>
              <w:rPr>
                <w:rFonts w:ascii="Microsoft JhengHei" w:eastAsia="Microsoft JhengHei" w:hint="eastAsia"/>
                <w:b/>
                <w:sz w:val="21"/>
              </w:rPr>
            </w:pPr>
            <w:r>
              <w:rPr>
                <w:rFonts w:ascii="Microsoft JhengHei" w:eastAsia="Microsoft JhengHei" w:hint="eastAsia"/>
                <w:b/>
                <w:sz w:val="21"/>
              </w:rPr>
              <w:t>如果您故意不履行如实告知义务，对于本主险合同解除前发生的保险事故，</w:t>
            </w:r>
          </w:p>
        </w:tc>
      </w:tr>
      <w:tr>
        <w:trPr>
          <w:trHeight w:val="351" w:hRule="atLeast"/>
        </w:trPr>
        <w:tc>
          <w:tcPr>
            <w:tcW w:w="2026" w:type="dxa"/>
            <w:gridSpan w:val="2"/>
            <w:vMerge/>
            <w:tcBorders>
              <w:top w:val="nil"/>
            </w:tcBorders>
          </w:tcPr>
          <w:p>
            <w:pPr>
              <w:rPr>
                <w:sz w:val="2"/>
                <w:szCs w:val="2"/>
              </w:rPr>
            </w:pPr>
          </w:p>
        </w:tc>
        <w:tc>
          <w:tcPr>
            <w:tcW w:w="7181" w:type="dxa"/>
          </w:tcPr>
          <w:p>
            <w:pPr>
              <w:pStyle w:val="TableParagraph"/>
              <w:spacing w:line="277" w:lineRule="exact"/>
              <w:ind w:left="174"/>
              <w:rPr>
                <w:rFonts w:ascii="Microsoft JhengHei" w:eastAsia="Microsoft JhengHei" w:hint="eastAsia"/>
                <w:b/>
                <w:sz w:val="21"/>
              </w:rPr>
            </w:pPr>
            <w:r>
              <w:rPr>
                <w:rFonts w:ascii="Microsoft JhengHei" w:eastAsia="Microsoft JhengHei" w:hint="eastAsia"/>
                <w:b/>
                <w:sz w:val="21"/>
              </w:rPr>
              <w:t>我们不承担给付保险金的责任，并不退还保险费。</w:t>
            </w:r>
          </w:p>
        </w:tc>
      </w:tr>
      <w:tr>
        <w:trPr>
          <w:trHeight w:val="350" w:hRule="atLeast"/>
        </w:trPr>
        <w:tc>
          <w:tcPr>
            <w:tcW w:w="2026" w:type="dxa"/>
            <w:gridSpan w:val="2"/>
            <w:vMerge/>
            <w:tcBorders>
              <w:top w:val="nil"/>
            </w:tcBorders>
          </w:tcPr>
          <w:p>
            <w:pPr>
              <w:rPr>
                <w:sz w:val="2"/>
                <w:szCs w:val="2"/>
              </w:rPr>
            </w:pPr>
          </w:p>
        </w:tc>
        <w:tc>
          <w:tcPr>
            <w:tcW w:w="7181" w:type="dxa"/>
          </w:tcPr>
          <w:p>
            <w:pPr>
              <w:pStyle w:val="TableParagraph"/>
              <w:spacing w:line="317" w:lineRule="exact"/>
              <w:ind w:left="174"/>
              <w:rPr>
                <w:rFonts w:ascii="Microsoft JhengHei" w:eastAsia="Microsoft JhengHei" w:hint="eastAsia"/>
                <w:b/>
                <w:sz w:val="21"/>
              </w:rPr>
            </w:pPr>
            <w:r>
              <w:rPr>
                <w:rFonts w:ascii="Microsoft JhengHei" w:eastAsia="Microsoft JhengHei" w:hint="eastAsia"/>
                <w:b/>
                <w:sz w:val="21"/>
              </w:rPr>
              <w:t>如果您因重大过失未履行如实告知义务，对保险事故的发生有严重影响的，</w:t>
            </w:r>
          </w:p>
        </w:tc>
      </w:tr>
      <w:tr>
        <w:trPr>
          <w:trHeight w:val="310" w:hRule="atLeast"/>
        </w:trPr>
        <w:tc>
          <w:tcPr>
            <w:tcW w:w="2026" w:type="dxa"/>
            <w:gridSpan w:val="2"/>
            <w:vMerge/>
            <w:tcBorders>
              <w:top w:val="nil"/>
            </w:tcBorders>
          </w:tcPr>
          <w:p>
            <w:pPr>
              <w:rPr>
                <w:sz w:val="2"/>
                <w:szCs w:val="2"/>
              </w:rPr>
            </w:pPr>
          </w:p>
        </w:tc>
        <w:tc>
          <w:tcPr>
            <w:tcW w:w="7181" w:type="dxa"/>
          </w:tcPr>
          <w:p>
            <w:pPr>
              <w:pStyle w:val="TableParagraph"/>
              <w:spacing w:line="276" w:lineRule="exact"/>
              <w:ind w:left="174"/>
              <w:rPr>
                <w:rFonts w:ascii="Microsoft JhengHei" w:eastAsia="Microsoft JhengHei" w:hint="eastAsia"/>
                <w:b/>
                <w:sz w:val="21"/>
              </w:rPr>
            </w:pPr>
            <w:r>
              <w:rPr>
                <w:rFonts w:ascii="Microsoft JhengHei" w:eastAsia="Microsoft JhengHei" w:hint="eastAsia"/>
                <w:b/>
                <w:sz w:val="21"/>
              </w:rPr>
              <w:t>对于本主险合同解除前发生的保险事故，我们不承担给付保险金的责任，但</w:t>
            </w:r>
          </w:p>
        </w:tc>
      </w:tr>
      <w:tr>
        <w:trPr>
          <w:trHeight w:val="351" w:hRule="atLeast"/>
        </w:trPr>
        <w:tc>
          <w:tcPr>
            <w:tcW w:w="2026" w:type="dxa"/>
            <w:gridSpan w:val="2"/>
            <w:vMerge/>
            <w:tcBorders>
              <w:top w:val="nil"/>
            </w:tcBorders>
          </w:tcPr>
          <w:p>
            <w:pPr>
              <w:rPr>
                <w:sz w:val="2"/>
                <w:szCs w:val="2"/>
              </w:rPr>
            </w:pPr>
          </w:p>
        </w:tc>
        <w:tc>
          <w:tcPr>
            <w:tcW w:w="7181" w:type="dxa"/>
          </w:tcPr>
          <w:p>
            <w:pPr>
              <w:pStyle w:val="TableParagraph"/>
              <w:spacing w:line="277" w:lineRule="exact"/>
              <w:ind w:left="174"/>
              <w:rPr>
                <w:rFonts w:ascii="Microsoft JhengHei" w:eastAsia="Microsoft JhengHei" w:hint="eastAsia"/>
                <w:b/>
                <w:sz w:val="21"/>
              </w:rPr>
            </w:pPr>
            <w:r>
              <w:rPr>
                <w:rFonts w:ascii="Microsoft JhengHei" w:eastAsia="Microsoft JhengHei" w:hint="eastAsia"/>
                <w:b/>
                <w:sz w:val="21"/>
              </w:rPr>
              <w:t>退还保险费。</w:t>
            </w:r>
          </w:p>
        </w:tc>
      </w:tr>
      <w:tr>
        <w:trPr>
          <w:trHeight w:val="351" w:hRule="atLeast"/>
        </w:trPr>
        <w:tc>
          <w:tcPr>
            <w:tcW w:w="2026" w:type="dxa"/>
            <w:gridSpan w:val="2"/>
            <w:vMerge/>
            <w:tcBorders>
              <w:top w:val="nil"/>
            </w:tcBorders>
          </w:tcPr>
          <w:p>
            <w:pPr>
              <w:rPr>
                <w:sz w:val="2"/>
                <w:szCs w:val="2"/>
              </w:rPr>
            </w:pPr>
          </w:p>
        </w:tc>
        <w:tc>
          <w:tcPr>
            <w:tcW w:w="7181" w:type="dxa"/>
          </w:tcPr>
          <w:p>
            <w:pPr>
              <w:pStyle w:val="TableParagraph"/>
              <w:spacing w:before="18"/>
              <w:ind w:left="174"/>
              <w:rPr>
                <w:sz w:val="21"/>
              </w:rPr>
            </w:pPr>
            <w:r>
              <w:rPr>
                <w:sz w:val="21"/>
              </w:rPr>
              <w:t>我们在本主险合同订立时已经知道您未如实告知的情况的，我们不得解除本</w:t>
            </w:r>
          </w:p>
        </w:tc>
      </w:tr>
      <w:tr>
        <w:trPr>
          <w:trHeight w:val="351" w:hRule="atLeast"/>
        </w:trPr>
        <w:tc>
          <w:tcPr>
            <w:tcW w:w="2026" w:type="dxa"/>
            <w:gridSpan w:val="2"/>
            <w:vMerge/>
            <w:tcBorders>
              <w:top w:val="nil"/>
            </w:tcBorders>
          </w:tcPr>
          <w:p>
            <w:pPr>
              <w:rPr>
                <w:sz w:val="2"/>
                <w:szCs w:val="2"/>
              </w:rPr>
            </w:pPr>
          </w:p>
        </w:tc>
        <w:tc>
          <w:tcPr>
            <w:tcW w:w="7181" w:type="dxa"/>
          </w:tcPr>
          <w:p>
            <w:pPr>
              <w:pStyle w:val="TableParagraph"/>
              <w:spacing w:line="254" w:lineRule="exact"/>
              <w:ind w:left="174"/>
              <w:rPr>
                <w:sz w:val="21"/>
              </w:rPr>
            </w:pPr>
            <w:r>
              <w:rPr>
                <w:sz w:val="21"/>
              </w:rPr>
              <w:t>主险合同；发生保险事故的，我们承担给付保险金的责任。 </w:t>
            </w:r>
          </w:p>
        </w:tc>
      </w:tr>
      <w:tr>
        <w:trPr>
          <w:trHeight w:val="385" w:hRule="atLeast"/>
        </w:trPr>
        <w:tc>
          <w:tcPr>
            <w:tcW w:w="2026" w:type="dxa"/>
            <w:gridSpan w:val="2"/>
            <w:vMerge/>
            <w:tcBorders>
              <w:top w:val="nil"/>
            </w:tcBorders>
          </w:tcPr>
          <w:p>
            <w:pPr>
              <w:rPr>
                <w:sz w:val="2"/>
                <w:szCs w:val="2"/>
              </w:rPr>
            </w:pPr>
          </w:p>
        </w:tc>
        <w:tc>
          <w:tcPr>
            <w:tcW w:w="7181" w:type="dxa"/>
          </w:tcPr>
          <w:p>
            <w:pPr>
              <w:pStyle w:val="TableParagraph"/>
              <w:spacing w:before="18"/>
              <w:ind w:left="174"/>
              <w:rPr>
                <w:sz w:val="21"/>
              </w:rPr>
            </w:pPr>
            <w:r>
              <w:rPr>
                <w:w w:val="100"/>
                <w:sz w:val="21"/>
              </w:rPr>
              <w:t> </w:t>
            </w:r>
          </w:p>
        </w:tc>
      </w:tr>
      <w:tr>
        <w:trPr>
          <w:trHeight w:val="674" w:hRule="atLeast"/>
        </w:trPr>
        <w:tc>
          <w:tcPr>
            <w:tcW w:w="571" w:type="dxa"/>
          </w:tcPr>
          <w:p>
            <w:pPr>
              <w:pStyle w:val="TableParagraph"/>
              <w:spacing w:line="321" w:lineRule="exact"/>
              <w:ind w:left="50"/>
              <w:rPr>
                <w:rFonts w:ascii="Microsoft JhengHei"/>
                <w:b/>
                <w:sz w:val="21"/>
              </w:rPr>
            </w:pPr>
            <w:r>
              <w:rPr>
                <w:rFonts w:ascii="Microsoft JhengHei"/>
                <w:b/>
                <w:w w:val="90"/>
                <w:sz w:val="21"/>
              </w:rPr>
              <w:t>8. 2</w:t>
            </w:r>
          </w:p>
        </w:tc>
        <w:tc>
          <w:tcPr>
            <w:tcW w:w="1455" w:type="dxa"/>
          </w:tcPr>
          <w:p>
            <w:pPr>
              <w:pStyle w:val="TableParagraph"/>
              <w:spacing w:line="204" w:lineRule="auto" w:before="10"/>
              <w:ind w:left="225" w:right="171"/>
              <w:rPr>
                <w:rFonts w:ascii="Microsoft JhengHei" w:eastAsia="Microsoft JhengHei" w:hint="eastAsia"/>
                <w:b/>
                <w:sz w:val="21"/>
              </w:rPr>
            </w:pPr>
            <w:r>
              <w:rPr>
                <w:rFonts w:ascii="Microsoft JhengHei" w:eastAsia="Microsoft JhengHei" w:hint="eastAsia"/>
                <w:b/>
                <w:sz w:val="21"/>
              </w:rPr>
              <w:t>本公司合同解除权的限</w:t>
            </w:r>
          </w:p>
        </w:tc>
        <w:tc>
          <w:tcPr>
            <w:tcW w:w="7181" w:type="dxa"/>
          </w:tcPr>
          <w:p>
            <w:pPr>
              <w:pStyle w:val="TableParagraph"/>
              <w:spacing w:line="294" w:lineRule="exact"/>
              <w:ind w:left="174"/>
              <w:rPr>
                <w:rFonts w:ascii="Microsoft JhengHei" w:hAnsi="Microsoft JhengHei" w:eastAsia="Microsoft JhengHei" w:hint="eastAsia"/>
                <w:b/>
                <w:sz w:val="21"/>
              </w:rPr>
            </w:pPr>
            <w:r>
              <w:rPr>
                <w:rFonts w:ascii="Microsoft JhengHei" w:hAnsi="Microsoft JhengHei" w:eastAsia="Microsoft JhengHei" w:hint="eastAsia"/>
                <w:b/>
                <w:sz w:val="21"/>
              </w:rPr>
              <w:t>“8. 1 明确说明和如实告知”规定的合同解除权，自我们知道有解除事由之</w:t>
            </w:r>
          </w:p>
          <w:p>
            <w:pPr>
              <w:pStyle w:val="TableParagraph"/>
              <w:spacing w:line="339" w:lineRule="exact"/>
              <w:ind w:left="174"/>
              <w:rPr>
                <w:rFonts w:ascii="Microsoft JhengHei" w:eastAsia="Microsoft JhengHei" w:hint="eastAsia"/>
                <w:b/>
                <w:sz w:val="21"/>
              </w:rPr>
            </w:pPr>
            <w:r>
              <w:rPr>
                <w:rFonts w:ascii="Microsoft JhengHei" w:eastAsia="Microsoft JhengHei" w:hint="eastAsia"/>
                <w:b/>
                <w:sz w:val="21"/>
              </w:rPr>
              <w:t>日起，超过 30 日不行使而消灭。自本主险合同成立之日起超过 2 年的，我</w:t>
            </w:r>
          </w:p>
        </w:tc>
      </w:tr>
      <w:tr>
        <w:trPr>
          <w:trHeight w:val="344" w:hRule="atLeast"/>
        </w:trPr>
        <w:tc>
          <w:tcPr>
            <w:tcW w:w="571" w:type="dxa"/>
          </w:tcPr>
          <w:p>
            <w:pPr>
              <w:pStyle w:val="TableParagraph"/>
              <w:rPr>
                <w:rFonts w:ascii="Times New Roman"/>
                <w:sz w:val="20"/>
              </w:rPr>
            </w:pPr>
          </w:p>
        </w:tc>
        <w:tc>
          <w:tcPr>
            <w:tcW w:w="1455" w:type="dxa"/>
          </w:tcPr>
          <w:p>
            <w:pPr>
              <w:pStyle w:val="TableParagraph"/>
              <w:spacing w:line="270" w:lineRule="exact"/>
              <w:ind w:left="225"/>
              <w:rPr>
                <w:rFonts w:ascii="Microsoft JhengHei" w:eastAsia="Microsoft JhengHei" w:hint="eastAsia"/>
                <w:b/>
                <w:sz w:val="21"/>
              </w:rPr>
            </w:pPr>
            <w:r>
              <w:rPr>
                <w:rFonts w:ascii="Microsoft JhengHei" w:eastAsia="Microsoft JhengHei" w:hint="eastAsia"/>
                <w:b/>
                <w:w w:val="100"/>
                <w:sz w:val="21"/>
              </w:rPr>
              <w:t>制</w:t>
            </w:r>
          </w:p>
        </w:tc>
        <w:tc>
          <w:tcPr>
            <w:tcW w:w="7181" w:type="dxa"/>
          </w:tcPr>
          <w:p>
            <w:pPr>
              <w:pStyle w:val="TableParagraph"/>
              <w:spacing w:line="270" w:lineRule="exact"/>
              <w:ind w:left="174"/>
              <w:rPr>
                <w:rFonts w:ascii="Microsoft JhengHei" w:eastAsia="Microsoft JhengHei" w:hint="eastAsia"/>
                <w:b/>
                <w:sz w:val="21"/>
              </w:rPr>
            </w:pPr>
            <w:r>
              <w:rPr>
                <w:rFonts w:ascii="Microsoft JhengHei" w:eastAsia="Microsoft JhengHei" w:hint="eastAsia"/>
                <w:b/>
                <w:sz w:val="21"/>
              </w:rPr>
              <w:t>们不得解除本主险合同；发生保险事故的，我们承担给付保险金的责任。</w:t>
            </w:r>
          </w:p>
        </w:tc>
      </w:tr>
      <w:tr>
        <w:trPr>
          <w:trHeight w:val="301" w:hRule="atLeast"/>
        </w:trPr>
        <w:tc>
          <w:tcPr>
            <w:tcW w:w="571" w:type="dxa"/>
          </w:tcPr>
          <w:p>
            <w:pPr>
              <w:pStyle w:val="TableParagraph"/>
              <w:spacing w:line="263" w:lineRule="exact" w:before="18"/>
              <w:ind w:left="50"/>
              <w:rPr>
                <w:sz w:val="21"/>
              </w:rPr>
            </w:pPr>
            <w:r>
              <w:rPr>
                <w:w w:val="100"/>
                <w:sz w:val="21"/>
              </w:rPr>
              <w:t> </w:t>
            </w:r>
          </w:p>
        </w:tc>
        <w:tc>
          <w:tcPr>
            <w:tcW w:w="1455" w:type="dxa"/>
          </w:tcPr>
          <w:p>
            <w:pPr>
              <w:pStyle w:val="TableParagraph"/>
              <w:spacing w:line="263" w:lineRule="exact" w:before="18"/>
              <w:ind w:left="225"/>
              <w:rPr>
                <w:sz w:val="21"/>
              </w:rPr>
            </w:pPr>
            <w:r>
              <w:rPr>
                <w:w w:val="100"/>
                <w:sz w:val="21"/>
              </w:rPr>
              <w:t> </w:t>
            </w:r>
          </w:p>
        </w:tc>
        <w:tc>
          <w:tcPr>
            <w:tcW w:w="7181" w:type="dxa"/>
          </w:tcPr>
          <w:p>
            <w:pPr>
              <w:pStyle w:val="TableParagraph"/>
              <w:spacing w:line="263" w:lineRule="exact" w:before="18"/>
              <w:ind w:left="174"/>
              <w:rPr>
                <w:sz w:val="21"/>
              </w:rPr>
            </w:pPr>
            <w:r>
              <w:rPr>
                <w:w w:val="100"/>
                <w:sz w:val="21"/>
              </w:rPr>
              <w:t> </w:t>
            </w:r>
          </w:p>
        </w:tc>
      </w:tr>
    </w:tbl>
    <w:p>
      <w:pPr>
        <w:pStyle w:val="BodyText"/>
        <w:spacing w:before="8"/>
        <w:ind w:left="0"/>
        <w:rPr>
          <w:sz w:val="7"/>
        </w:rPr>
      </w:pPr>
    </w:p>
    <w:p>
      <w:pPr>
        <w:pStyle w:val="Heading1"/>
        <w:tabs>
          <w:tab w:pos="969" w:val="left" w:leader="none"/>
        </w:tabs>
        <w:spacing w:before="58"/>
        <w:ind w:left="228" w:firstLine="0"/>
      </w:pPr>
      <w:r>
        <w:rPr/>
        <w:pict>
          <v:group style="position:absolute;margin-left:65.760002pt;margin-top:32.133636pt;width:463.8pt;height:1pt;mso-position-horizontal-relative:page;mso-position-vertical-relative:paragraph;z-index:1312;mso-wrap-distance-left:0;mso-wrap-distance-right:0" coordorigin="1315,643" coordsize="9276,20">
            <v:line style="position:absolute" from="1315,652" to="2062,652" stroked="true" strokeweight=".96pt" strokecolor="#000000">
              <v:stroke dashstyle="solid"/>
            </v:line>
            <v:rect style="position:absolute;left:2061;top:642;width:20;height:20" filled="true" fillcolor="#000000" stroked="false">
              <v:fill type="solid"/>
            </v:rect>
            <v:line style="position:absolute" from="2081,652" to="3466,652" stroked="true" strokeweight=".96pt" strokecolor="#000000">
              <v:stroke dashstyle="solid"/>
            </v:line>
            <v:rect style="position:absolute;left:3465;top:642;width:20;height:20" filled="true" fillcolor="#000000" stroked="false">
              <v:fill type="solid"/>
            </v:rect>
            <v:line style="position:absolute" from="3485,652" to="10591,652" stroked="true" strokeweight=".96pt" strokecolor="#000000">
              <v:stroke dashstyle="solid"/>
            </v:line>
            <w10:wrap type="topAndBottom"/>
          </v:group>
        </w:pict>
      </w:r>
      <w:r>
        <w:rPr>
          <w:rFonts w:ascii="Times New Roman" w:eastAsia="Times New Roman"/>
          <w:position w:val="-3"/>
          <w:sz w:val="40"/>
        </w:rPr>
        <w:t>}</w:t>
        <w:tab/>
      </w:r>
      <w:r>
        <w:rPr/>
        <w:t>其他需要关注的事项</w:t>
      </w:r>
    </w:p>
    <w:p>
      <w:pPr>
        <w:pStyle w:val="BodyText"/>
        <w:tabs>
          <w:tab w:pos="969" w:val="left" w:leader="none"/>
          <w:tab w:pos="2373" w:val="left" w:leader="none"/>
        </w:tabs>
        <w:spacing w:before="37"/>
        <w:ind w:left="223"/>
      </w:pPr>
      <w:r>
        <w:rPr>
          <w:w w:val="100"/>
        </w:rPr>
        <w:t> </w:t>
      </w:r>
      <w:r>
        <w:rPr/>
        <w:tab/>
      </w:r>
      <w:r>
        <w:rPr>
          <w:w w:val="100"/>
        </w:rPr>
        <w:t> </w:t>
      </w:r>
      <w:r>
        <w:rPr/>
        <w:tab/>
      </w:r>
      <w:r>
        <w:rPr>
          <w:w w:val="100"/>
        </w:rPr>
        <w:t> </w:t>
      </w:r>
    </w:p>
    <w:p>
      <w:pPr>
        <w:tabs>
          <w:tab w:pos="969" w:val="left" w:leader="none"/>
          <w:tab w:pos="2375" w:val="left" w:leader="none"/>
        </w:tabs>
        <w:spacing w:before="49"/>
        <w:ind w:left="223" w:right="0" w:firstLine="0"/>
        <w:jc w:val="left"/>
        <w:rPr>
          <w:sz w:val="21"/>
        </w:rPr>
      </w:pPr>
      <w:r>
        <w:rPr>
          <w:rFonts w:ascii="Microsoft JhengHei" w:eastAsia="Microsoft JhengHei" w:hint="eastAsia"/>
          <w:b/>
          <w:sz w:val="21"/>
        </w:rPr>
        <w:t>9.</w:t>
      </w:r>
      <w:r>
        <w:rPr>
          <w:rFonts w:ascii="Microsoft JhengHei" w:eastAsia="Microsoft JhengHei" w:hint="eastAsia"/>
          <w:b/>
          <w:spacing w:val="-33"/>
          <w:sz w:val="21"/>
        </w:rPr>
        <w:t> </w:t>
      </w:r>
      <w:r>
        <w:rPr>
          <w:rFonts w:ascii="Microsoft JhengHei" w:eastAsia="Microsoft JhengHei" w:hint="eastAsia"/>
          <w:b/>
          <w:sz w:val="21"/>
        </w:rPr>
        <w:t>1</w:t>
        <w:tab/>
        <w:t>年龄错误</w:t>
        <w:tab/>
      </w:r>
      <w:r>
        <w:rPr>
          <w:sz w:val="21"/>
        </w:rPr>
        <w:t>您在</w:t>
      </w:r>
      <w:r>
        <w:rPr>
          <w:spacing w:val="-3"/>
          <w:sz w:val="21"/>
        </w:rPr>
        <w:t>申</w:t>
      </w:r>
      <w:r>
        <w:rPr>
          <w:sz w:val="21"/>
        </w:rPr>
        <w:t>请</w:t>
      </w:r>
      <w:r>
        <w:rPr>
          <w:spacing w:val="-3"/>
          <w:sz w:val="21"/>
        </w:rPr>
        <w:t>投</w:t>
      </w:r>
      <w:r>
        <w:rPr>
          <w:sz w:val="21"/>
        </w:rPr>
        <w:t>保</w:t>
      </w:r>
      <w:r>
        <w:rPr>
          <w:spacing w:val="-3"/>
          <w:sz w:val="21"/>
        </w:rPr>
        <w:t>时</w:t>
      </w:r>
      <w:r>
        <w:rPr>
          <w:spacing w:val="-24"/>
          <w:sz w:val="21"/>
        </w:rPr>
        <w:t>，</w:t>
      </w:r>
      <w:r>
        <w:rPr>
          <w:spacing w:val="-3"/>
          <w:sz w:val="21"/>
        </w:rPr>
        <w:t>应</w:t>
      </w:r>
      <w:r>
        <w:rPr>
          <w:sz w:val="21"/>
        </w:rPr>
        <w:t>将</w:t>
      </w:r>
      <w:r>
        <w:rPr>
          <w:spacing w:val="-3"/>
          <w:sz w:val="21"/>
        </w:rPr>
        <w:t>与</w:t>
      </w:r>
      <w:r>
        <w:rPr>
          <w:sz w:val="21"/>
        </w:rPr>
        <w:t>有效</w:t>
      </w:r>
      <w:r>
        <w:rPr>
          <w:spacing w:val="-3"/>
          <w:sz w:val="21"/>
        </w:rPr>
        <w:t>身</w:t>
      </w:r>
      <w:r>
        <w:rPr>
          <w:sz w:val="21"/>
        </w:rPr>
        <w:t>份</w:t>
      </w:r>
      <w:r>
        <w:rPr>
          <w:spacing w:val="-3"/>
          <w:sz w:val="21"/>
        </w:rPr>
        <w:t>证</w:t>
      </w:r>
      <w:r>
        <w:rPr>
          <w:sz w:val="21"/>
        </w:rPr>
        <w:t>件</w:t>
      </w:r>
      <w:r>
        <w:rPr>
          <w:spacing w:val="-3"/>
          <w:sz w:val="21"/>
        </w:rPr>
        <w:t>相</w:t>
      </w:r>
      <w:r>
        <w:rPr>
          <w:sz w:val="21"/>
        </w:rPr>
        <w:t>符</w:t>
      </w:r>
      <w:r>
        <w:rPr>
          <w:spacing w:val="-3"/>
          <w:sz w:val="21"/>
        </w:rPr>
        <w:t>的</w:t>
      </w:r>
      <w:r>
        <w:rPr>
          <w:sz w:val="21"/>
        </w:rPr>
        <w:t>被</w:t>
      </w:r>
      <w:r>
        <w:rPr>
          <w:spacing w:val="-3"/>
          <w:sz w:val="21"/>
        </w:rPr>
        <w:t>保</w:t>
      </w:r>
      <w:r>
        <w:rPr>
          <w:sz w:val="21"/>
        </w:rPr>
        <w:t>险人</w:t>
      </w:r>
      <w:r>
        <w:rPr>
          <w:spacing w:val="-3"/>
          <w:sz w:val="21"/>
        </w:rPr>
        <w:t>的</w:t>
      </w:r>
      <w:r>
        <w:rPr>
          <w:sz w:val="21"/>
        </w:rPr>
        <w:t>出</w:t>
      </w:r>
      <w:r>
        <w:rPr>
          <w:spacing w:val="-3"/>
          <w:sz w:val="21"/>
        </w:rPr>
        <w:t>生</w:t>
      </w:r>
      <w:r>
        <w:rPr>
          <w:sz w:val="21"/>
        </w:rPr>
        <w:t>日</w:t>
      </w:r>
      <w:r>
        <w:rPr>
          <w:spacing w:val="-3"/>
          <w:sz w:val="21"/>
        </w:rPr>
        <w:t>期</w:t>
      </w:r>
      <w:r>
        <w:rPr>
          <w:sz w:val="21"/>
        </w:rPr>
        <w:t>在</w:t>
      </w:r>
      <w:r>
        <w:rPr>
          <w:spacing w:val="-3"/>
          <w:sz w:val="21"/>
        </w:rPr>
        <w:t>投</w:t>
      </w:r>
      <w:r>
        <w:rPr>
          <w:sz w:val="21"/>
        </w:rPr>
        <w:t>保单</w:t>
      </w:r>
    </w:p>
    <w:p>
      <w:pPr>
        <w:pStyle w:val="BodyText"/>
        <w:spacing w:before="10"/>
        <w:ind w:left="2373"/>
      </w:pPr>
      <w:r>
        <w:rPr/>
        <w:t>上填明，如果发生错误按照下列方式办理： </w:t>
      </w:r>
    </w:p>
    <w:p>
      <w:pPr>
        <w:pStyle w:val="Heading2"/>
        <w:spacing w:line="204" w:lineRule="auto" w:before="103"/>
        <w:ind w:left="2899" w:right="272" w:hanging="524"/>
        <w:rPr>
          <w:rFonts w:ascii="宋体" w:hAnsi="宋体" w:eastAsia="宋体" w:hint="eastAsia"/>
          <w:b w:val="0"/>
        </w:rPr>
      </w:pPr>
      <w:r>
        <w:rPr>
          <w:rFonts w:ascii="宋体" w:hAnsi="宋体" w:eastAsia="宋体" w:hint="eastAsia"/>
          <w:b w:val="0"/>
        </w:rPr>
        <w:t>（1）</w:t>
      </w:r>
      <w:r>
        <w:rPr/>
        <w:t>您申报的被保险人年龄不真实，并且其真实年龄不符合本主险合同约定投保年龄限制的，在保险事故发生之前我们有权解除本主险合同， 并向您退还本主险合同的现金价值。我们行使合同解除权适用“8. 2 本公司合同解除权的限制”的规定。</w:t>
      </w:r>
      <w:r>
        <w:rPr>
          <w:rFonts w:ascii="宋体" w:hAnsi="宋体" w:eastAsia="宋体" w:hint="eastAsia"/>
          <w:b w:val="0"/>
        </w:rPr>
        <w:t> </w:t>
      </w:r>
    </w:p>
    <w:p>
      <w:pPr>
        <w:spacing w:line="204" w:lineRule="auto" w:before="79"/>
        <w:ind w:left="2899" w:right="61" w:hanging="524"/>
        <w:jc w:val="left"/>
        <w:rPr>
          <w:sz w:val="21"/>
        </w:rPr>
      </w:pPr>
      <w:r>
        <w:rPr>
          <w:sz w:val="21"/>
        </w:rPr>
        <w:t>（2）</w:t>
      </w:r>
      <w:r>
        <w:rPr>
          <w:rFonts w:ascii="Microsoft JhengHei" w:eastAsia="Microsoft JhengHei" w:hint="eastAsia"/>
          <w:b/>
          <w:sz w:val="21"/>
        </w:rPr>
        <w:t>您申报的被保险人年龄不真实，致使您实付保险费少于应付保险费的， 我们有权更正并要求您补交保险费。若已经发生保险事故，在给付保险金时按实付保险费和应付保险费的比例给付。</w:t>
      </w:r>
      <w:r>
        <w:rPr>
          <w:sz w:val="21"/>
        </w:rPr>
        <w:t> </w:t>
      </w:r>
    </w:p>
    <w:p>
      <w:pPr>
        <w:pStyle w:val="BodyText"/>
        <w:spacing w:line="273" w:lineRule="auto" w:before="91"/>
        <w:ind w:left="2899" w:right="56" w:hanging="524"/>
      </w:pPr>
      <w:r>
        <w:rPr/>
        <w:t>（3）您申报的被保险人年龄不真实，致使您实付保险费多于应付保险费的， 我们会将多收的保险费退还给您。 </w:t>
      </w:r>
    </w:p>
    <w:p>
      <w:pPr>
        <w:pStyle w:val="BodyText"/>
        <w:spacing w:before="6"/>
        <w:ind w:left="0"/>
        <w:rPr>
          <w:sz w:val="11"/>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1"/>
        <w:gridCol w:w="1455"/>
        <w:gridCol w:w="7138"/>
      </w:tblGrid>
      <w:tr>
        <w:trPr>
          <w:trHeight w:val="1001" w:hRule="atLeast"/>
        </w:trPr>
        <w:tc>
          <w:tcPr>
            <w:tcW w:w="571" w:type="dxa"/>
          </w:tcPr>
          <w:p>
            <w:pPr>
              <w:pStyle w:val="TableParagraph"/>
              <w:spacing w:line="211" w:lineRule="exact"/>
              <w:ind w:left="50"/>
              <w:rPr>
                <w:sz w:val="21"/>
              </w:rPr>
            </w:pPr>
            <w:r>
              <w:rPr>
                <w:w w:val="100"/>
                <w:sz w:val="21"/>
              </w:rPr>
              <w:t> </w:t>
            </w:r>
          </w:p>
          <w:p>
            <w:pPr>
              <w:pStyle w:val="TableParagraph"/>
              <w:spacing w:before="47"/>
              <w:ind w:left="50"/>
              <w:rPr>
                <w:rFonts w:ascii="Microsoft JhengHei"/>
                <w:b/>
                <w:sz w:val="21"/>
              </w:rPr>
            </w:pPr>
            <w:r>
              <w:rPr>
                <w:rFonts w:ascii="Microsoft JhengHei"/>
                <w:b/>
                <w:w w:val="90"/>
                <w:sz w:val="21"/>
              </w:rPr>
              <w:t>9. 2</w:t>
            </w:r>
          </w:p>
        </w:tc>
        <w:tc>
          <w:tcPr>
            <w:tcW w:w="1455" w:type="dxa"/>
          </w:tcPr>
          <w:p>
            <w:pPr>
              <w:pStyle w:val="TableParagraph"/>
              <w:spacing w:line="211" w:lineRule="exact"/>
              <w:ind w:left="225"/>
              <w:rPr>
                <w:sz w:val="21"/>
              </w:rPr>
            </w:pPr>
            <w:r>
              <w:rPr>
                <w:w w:val="100"/>
                <w:sz w:val="21"/>
              </w:rPr>
              <w:t> </w:t>
            </w:r>
          </w:p>
          <w:p>
            <w:pPr>
              <w:pStyle w:val="TableParagraph"/>
              <w:spacing w:before="47"/>
              <w:ind w:left="225"/>
              <w:rPr>
                <w:rFonts w:ascii="Microsoft JhengHei" w:eastAsia="Microsoft JhengHei" w:hint="eastAsia"/>
                <w:b/>
                <w:sz w:val="21"/>
              </w:rPr>
            </w:pPr>
            <w:r>
              <w:rPr>
                <w:rFonts w:ascii="Microsoft JhengHei" w:eastAsia="Microsoft JhengHei" w:hint="eastAsia"/>
                <w:b/>
                <w:sz w:val="21"/>
              </w:rPr>
              <w:t>未还款项</w:t>
            </w:r>
          </w:p>
        </w:tc>
        <w:tc>
          <w:tcPr>
            <w:tcW w:w="7138" w:type="dxa"/>
          </w:tcPr>
          <w:p>
            <w:pPr>
              <w:pStyle w:val="TableParagraph"/>
              <w:spacing w:line="211" w:lineRule="exact"/>
              <w:ind w:left="174"/>
              <w:rPr>
                <w:sz w:val="21"/>
              </w:rPr>
            </w:pPr>
            <w:r>
              <w:rPr>
                <w:w w:val="100"/>
                <w:sz w:val="21"/>
              </w:rPr>
              <w:t> </w:t>
            </w:r>
          </w:p>
          <w:p>
            <w:pPr>
              <w:pStyle w:val="TableParagraph"/>
              <w:spacing w:line="273" w:lineRule="auto" w:before="114"/>
              <w:ind w:left="174" w:right="17"/>
              <w:rPr>
                <w:sz w:val="21"/>
              </w:rPr>
            </w:pPr>
            <w:r>
              <w:rPr>
                <w:sz w:val="21"/>
              </w:rPr>
              <w:t>未还款项包括欠交的保险费以及其他欠款。我们在给付各项保险金、退还现金价值或返还保险费时，会在扣除上述各项欠款后给付。 </w:t>
            </w:r>
          </w:p>
        </w:tc>
      </w:tr>
      <w:tr>
        <w:trPr>
          <w:trHeight w:val="385" w:hRule="atLeast"/>
        </w:trPr>
        <w:tc>
          <w:tcPr>
            <w:tcW w:w="571" w:type="dxa"/>
          </w:tcPr>
          <w:p>
            <w:pPr>
              <w:pStyle w:val="TableParagraph"/>
              <w:spacing w:before="26"/>
              <w:ind w:left="50"/>
              <w:rPr>
                <w:sz w:val="21"/>
              </w:rPr>
            </w:pPr>
            <w:r>
              <w:rPr>
                <w:w w:val="100"/>
                <w:sz w:val="21"/>
              </w:rPr>
              <w:t> </w:t>
            </w:r>
          </w:p>
        </w:tc>
        <w:tc>
          <w:tcPr>
            <w:tcW w:w="1455" w:type="dxa"/>
          </w:tcPr>
          <w:p>
            <w:pPr>
              <w:pStyle w:val="TableParagraph"/>
              <w:spacing w:before="26"/>
              <w:ind w:left="225"/>
              <w:rPr>
                <w:sz w:val="21"/>
              </w:rPr>
            </w:pPr>
            <w:r>
              <w:rPr>
                <w:w w:val="100"/>
                <w:sz w:val="21"/>
              </w:rPr>
              <w:t> </w:t>
            </w:r>
          </w:p>
        </w:tc>
        <w:tc>
          <w:tcPr>
            <w:tcW w:w="7138" w:type="dxa"/>
          </w:tcPr>
          <w:p>
            <w:pPr>
              <w:pStyle w:val="TableParagraph"/>
              <w:spacing w:before="26"/>
              <w:ind w:left="174"/>
              <w:rPr>
                <w:sz w:val="21"/>
              </w:rPr>
            </w:pPr>
            <w:r>
              <w:rPr>
                <w:w w:val="100"/>
                <w:sz w:val="21"/>
              </w:rPr>
              <w:t> </w:t>
            </w:r>
          </w:p>
        </w:tc>
      </w:tr>
      <w:tr>
        <w:trPr>
          <w:trHeight w:val="667" w:hRule="atLeast"/>
        </w:trPr>
        <w:tc>
          <w:tcPr>
            <w:tcW w:w="571" w:type="dxa"/>
          </w:tcPr>
          <w:p>
            <w:pPr>
              <w:pStyle w:val="TableParagraph"/>
              <w:spacing w:line="329" w:lineRule="exact"/>
              <w:ind w:left="50"/>
              <w:rPr>
                <w:rFonts w:ascii="Microsoft JhengHei"/>
                <w:b/>
                <w:sz w:val="21"/>
              </w:rPr>
            </w:pPr>
            <w:r>
              <w:rPr>
                <w:rFonts w:ascii="Microsoft JhengHei"/>
                <w:b/>
                <w:w w:val="90"/>
                <w:sz w:val="21"/>
              </w:rPr>
              <w:t>9. 3</w:t>
            </w:r>
          </w:p>
        </w:tc>
        <w:tc>
          <w:tcPr>
            <w:tcW w:w="1455" w:type="dxa"/>
          </w:tcPr>
          <w:p>
            <w:pPr>
              <w:pStyle w:val="TableParagraph"/>
              <w:spacing w:line="302" w:lineRule="exact"/>
              <w:ind w:left="225"/>
              <w:rPr>
                <w:rFonts w:ascii="Microsoft JhengHei" w:eastAsia="Microsoft JhengHei" w:hint="eastAsia"/>
                <w:b/>
                <w:sz w:val="21"/>
              </w:rPr>
            </w:pPr>
            <w:r>
              <w:rPr>
                <w:rFonts w:ascii="Microsoft JhengHei" w:eastAsia="Microsoft JhengHei" w:hint="eastAsia"/>
                <w:b/>
                <w:sz w:val="21"/>
              </w:rPr>
              <w:t>合同内容变</w:t>
            </w:r>
          </w:p>
          <w:p>
            <w:pPr>
              <w:pStyle w:val="TableParagraph"/>
              <w:spacing w:line="339" w:lineRule="exact"/>
              <w:ind w:left="225"/>
              <w:rPr>
                <w:rFonts w:ascii="Microsoft JhengHei" w:eastAsia="Microsoft JhengHei" w:hint="eastAsia"/>
                <w:b/>
                <w:sz w:val="21"/>
              </w:rPr>
            </w:pPr>
            <w:r>
              <w:rPr>
                <w:rFonts w:ascii="Microsoft JhengHei" w:eastAsia="Microsoft JhengHei" w:hint="eastAsia"/>
                <w:b/>
                <w:w w:val="100"/>
                <w:sz w:val="21"/>
              </w:rPr>
              <w:t>更</w:t>
            </w:r>
          </w:p>
        </w:tc>
        <w:tc>
          <w:tcPr>
            <w:tcW w:w="7138" w:type="dxa"/>
          </w:tcPr>
          <w:p>
            <w:pPr>
              <w:pStyle w:val="TableParagraph"/>
              <w:spacing w:line="273" w:lineRule="auto" w:before="30"/>
              <w:ind w:left="174" w:right="16"/>
              <w:rPr>
                <w:sz w:val="21"/>
              </w:rPr>
            </w:pPr>
            <w:r>
              <w:rPr>
                <w:sz w:val="21"/>
              </w:rPr>
              <w:t>在本主险合同有效期内，经您与我们协商一致，可以变更本主险合同的有关内容。变更本主险合同的，应当由我们在保险单或者其他保险凭证上批注或</w:t>
            </w:r>
          </w:p>
        </w:tc>
      </w:tr>
      <w:tr>
        <w:trPr>
          <w:trHeight w:val="351" w:hRule="atLeast"/>
        </w:trPr>
        <w:tc>
          <w:tcPr>
            <w:tcW w:w="571" w:type="dxa"/>
          </w:tcPr>
          <w:p>
            <w:pPr>
              <w:pStyle w:val="TableParagraph"/>
              <w:rPr>
                <w:rFonts w:ascii="Times New Roman"/>
                <w:sz w:val="20"/>
              </w:rPr>
            </w:pPr>
          </w:p>
        </w:tc>
        <w:tc>
          <w:tcPr>
            <w:tcW w:w="1455" w:type="dxa"/>
          </w:tcPr>
          <w:p>
            <w:pPr>
              <w:pStyle w:val="TableParagraph"/>
              <w:rPr>
                <w:rFonts w:ascii="Times New Roman"/>
                <w:sz w:val="20"/>
              </w:rPr>
            </w:pPr>
          </w:p>
        </w:tc>
        <w:tc>
          <w:tcPr>
            <w:tcW w:w="7138" w:type="dxa"/>
          </w:tcPr>
          <w:p>
            <w:pPr>
              <w:pStyle w:val="TableParagraph"/>
              <w:spacing w:line="261" w:lineRule="exact"/>
              <w:ind w:left="174"/>
              <w:rPr>
                <w:sz w:val="21"/>
              </w:rPr>
            </w:pPr>
            <w:r>
              <w:rPr>
                <w:sz w:val="21"/>
              </w:rPr>
              <w:t>者附贴批单，也可以由您与我们订立书面的变更协议。 </w:t>
            </w:r>
          </w:p>
        </w:tc>
      </w:tr>
      <w:tr>
        <w:trPr>
          <w:trHeight w:val="385" w:hRule="atLeast"/>
        </w:trPr>
        <w:tc>
          <w:tcPr>
            <w:tcW w:w="571" w:type="dxa"/>
          </w:tcPr>
          <w:p>
            <w:pPr>
              <w:pStyle w:val="TableParagraph"/>
              <w:spacing w:before="26"/>
              <w:ind w:left="50"/>
              <w:rPr>
                <w:sz w:val="21"/>
              </w:rPr>
            </w:pPr>
            <w:r>
              <w:rPr>
                <w:w w:val="100"/>
                <w:sz w:val="21"/>
              </w:rPr>
              <w:t> </w:t>
            </w:r>
          </w:p>
        </w:tc>
        <w:tc>
          <w:tcPr>
            <w:tcW w:w="1455" w:type="dxa"/>
          </w:tcPr>
          <w:p>
            <w:pPr>
              <w:pStyle w:val="TableParagraph"/>
              <w:spacing w:before="26"/>
              <w:ind w:left="225"/>
              <w:rPr>
                <w:sz w:val="21"/>
              </w:rPr>
            </w:pPr>
            <w:r>
              <w:rPr>
                <w:w w:val="100"/>
                <w:sz w:val="21"/>
              </w:rPr>
              <w:t> </w:t>
            </w:r>
          </w:p>
        </w:tc>
        <w:tc>
          <w:tcPr>
            <w:tcW w:w="7138" w:type="dxa"/>
          </w:tcPr>
          <w:p>
            <w:pPr>
              <w:pStyle w:val="TableParagraph"/>
              <w:spacing w:before="26"/>
              <w:ind w:left="174"/>
              <w:rPr>
                <w:sz w:val="21"/>
              </w:rPr>
            </w:pPr>
            <w:r>
              <w:rPr>
                <w:w w:val="100"/>
                <w:sz w:val="21"/>
              </w:rPr>
              <w:t> </w:t>
            </w:r>
          </w:p>
        </w:tc>
      </w:tr>
      <w:tr>
        <w:trPr>
          <w:trHeight w:val="667" w:hRule="atLeast"/>
        </w:trPr>
        <w:tc>
          <w:tcPr>
            <w:tcW w:w="571" w:type="dxa"/>
          </w:tcPr>
          <w:p>
            <w:pPr>
              <w:pStyle w:val="TableParagraph"/>
              <w:spacing w:line="329" w:lineRule="exact"/>
              <w:ind w:left="50"/>
              <w:rPr>
                <w:rFonts w:ascii="Microsoft JhengHei"/>
                <w:b/>
                <w:sz w:val="21"/>
              </w:rPr>
            </w:pPr>
            <w:r>
              <w:rPr>
                <w:rFonts w:ascii="Microsoft JhengHei"/>
                <w:b/>
                <w:w w:val="90"/>
                <w:sz w:val="21"/>
              </w:rPr>
              <w:t>9. 4</w:t>
            </w:r>
          </w:p>
        </w:tc>
        <w:tc>
          <w:tcPr>
            <w:tcW w:w="1455" w:type="dxa"/>
          </w:tcPr>
          <w:p>
            <w:pPr>
              <w:pStyle w:val="TableParagraph"/>
              <w:spacing w:line="302" w:lineRule="exact"/>
              <w:ind w:left="225"/>
              <w:rPr>
                <w:rFonts w:ascii="Microsoft JhengHei" w:eastAsia="Microsoft JhengHei" w:hint="eastAsia"/>
                <w:b/>
                <w:sz w:val="21"/>
              </w:rPr>
            </w:pPr>
            <w:r>
              <w:rPr>
                <w:rFonts w:ascii="Microsoft JhengHei" w:eastAsia="Microsoft JhengHei" w:hint="eastAsia"/>
                <w:b/>
                <w:sz w:val="21"/>
              </w:rPr>
              <w:t>联系方式变</w:t>
            </w:r>
          </w:p>
          <w:p>
            <w:pPr>
              <w:pStyle w:val="TableParagraph"/>
              <w:spacing w:line="339" w:lineRule="exact"/>
              <w:ind w:left="225"/>
              <w:rPr>
                <w:rFonts w:ascii="Microsoft JhengHei" w:eastAsia="Microsoft JhengHei" w:hint="eastAsia"/>
                <w:b/>
                <w:sz w:val="21"/>
              </w:rPr>
            </w:pPr>
            <w:r>
              <w:rPr>
                <w:rFonts w:ascii="Microsoft JhengHei" w:eastAsia="Microsoft JhengHei" w:hint="eastAsia"/>
                <w:b/>
                <w:w w:val="100"/>
                <w:sz w:val="21"/>
              </w:rPr>
              <w:t>更</w:t>
            </w:r>
          </w:p>
        </w:tc>
        <w:tc>
          <w:tcPr>
            <w:tcW w:w="7138" w:type="dxa"/>
          </w:tcPr>
          <w:p>
            <w:pPr>
              <w:pStyle w:val="TableParagraph"/>
              <w:spacing w:line="273" w:lineRule="auto" w:before="30"/>
              <w:ind w:left="174" w:right="47"/>
              <w:rPr>
                <w:sz w:val="21"/>
              </w:rPr>
            </w:pPr>
            <w:r>
              <w:rPr>
                <w:spacing w:val="-7"/>
                <w:sz w:val="21"/>
              </w:rPr>
              <w:t>为了保障您的合法权益，您的住所、通讯地址或电话等联系方式变更时，请</w:t>
            </w:r>
            <w:r>
              <w:rPr>
                <w:spacing w:val="-4"/>
                <w:sz w:val="21"/>
              </w:rPr>
              <w:t>及时以书面形式或双方认可的其他形式通知我们。若您未以书面形式或双方</w:t>
            </w:r>
          </w:p>
        </w:tc>
      </w:tr>
      <w:tr>
        <w:trPr>
          <w:trHeight w:val="261" w:hRule="atLeast"/>
        </w:trPr>
        <w:tc>
          <w:tcPr>
            <w:tcW w:w="571" w:type="dxa"/>
          </w:tcPr>
          <w:p>
            <w:pPr>
              <w:pStyle w:val="TableParagraph"/>
              <w:rPr>
                <w:rFonts w:ascii="Times New Roman"/>
                <w:sz w:val="18"/>
              </w:rPr>
            </w:pPr>
          </w:p>
        </w:tc>
        <w:tc>
          <w:tcPr>
            <w:tcW w:w="1455" w:type="dxa"/>
          </w:tcPr>
          <w:p>
            <w:pPr>
              <w:pStyle w:val="TableParagraph"/>
              <w:rPr>
                <w:rFonts w:ascii="Times New Roman"/>
                <w:sz w:val="18"/>
              </w:rPr>
            </w:pPr>
          </w:p>
        </w:tc>
        <w:tc>
          <w:tcPr>
            <w:tcW w:w="7138" w:type="dxa"/>
          </w:tcPr>
          <w:p>
            <w:pPr>
              <w:pStyle w:val="TableParagraph"/>
              <w:spacing w:line="242" w:lineRule="exact"/>
              <w:ind w:left="174"/>
              <w:rPr>
                <w:sz w:val="21"/>
              </w:rPr>
            </w:pPr>
            <w:r>
              <w:rPr>
                <w:sz w:val="21"/>
              </w:rPr>
              <w:t>认可的其他形式通知我们，我们按本主险合同载明的最后住所或通讯地址所</w:t>
            </w:r>
          </w:p>
        </w:tc>
      </w:tr>
    </w:tbl>
    <w:p>
      <w:pPr>
        <w:spacing w:after="0" w:line="242" w:lineRule="exact"/>
        <w:rPr>
          <w:sz w:val="21"/>
        </w:rPr>
        <w:sectPr>
          <w:pgSz w:w="11900" w:h="16840"/>
          <w:pgMar w:header="0" w:footer="1204" w:top="1580" w:bottom="1400" w:left="1200" w:right="1200"/>
        </w:sect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1"/>
        <w:gridCol w:w="1349"/>
        <w:gridCol w:w="7243"/>
      </w:tblGrid>
      <w:tr>
        <w:trPr>
          <w:trHeight w:val="301" w:hRule="atLeast"/>
        </w:trPr>
        <w:tc>
          <w:tcPr>
            <w:tcW w:w="1920" w:type="dxa"/>
            <w:gridSpan w:val="2"/>
          </w:tcPr>
          <w:p>
            <w:pPr>
              <w:pStyle w:val="TableParagraph"/>
              <w:rPr>
                <w:rFonts w:ascii="Times New Roman"/>
                <w:sz w:val="20"/>
              </w:rPr>
            </w:pPr>
          </w:p>
        </w:tc>
        <w:tc>
          <w:tcPr>
            <w:tcW w:w="7243" w:type="dxa"/>
          </w:tcPr>
          <w:p>
            <w:pPr>
              <w:pStyle w:val="TableParagraph"/>
              <w:spacing w:line="204" w:lineRule="exact"/>
              <w:ind w:left="280"/>
              <w:rPr>
                <w:sz w:val="21"/>
              </w:rPr>
            </w:pPr>
            <w:r>
              <w:rPr>
                <w:sz w:val="21"/>
              </w:rPr>
              <w:t>发送的有关通知，均视为已送达给您。 </w:t>
            </w:r>
          </w:p>
        </w:tc>
      </w:tr>
      <w:tr>
        <w:trPr>
          <w:trHeight w:val="385" w:hRule="atLeast"/>
        </w:trPr>
        <w:tc>
          <w:tcPr>
            <w:tcW w:w="571" w:type="dxa"/>
          </w:tcPr>
          <w:p>
            <w:pPr>
              <w:pStyle w:val="TableParagraph"/>
              <w:spacing w:before="19"/>
              <w:ind w:left="50"/>
              <w:rPr>
                <w:sz w:val="21"/>
              </w:rPr>
            </w:pPr>
            <w:r>
              <w:rPr>
                <w:w w:val="100"/>
                <w:sz w:val="21"/>
              </w:rPr>
              <w:t> </w:t>
            </w:r>
          </w:p>
        </w:tc>
        <w:tc>
          <w:tcPr>
            <w:tcW w:w="1349" w:type="dxa"/>
          </w:tcPr>
          <w:p>
            <w:pPr>
              <w:pStyle w:val="TableParagraph"/>
              <w:spacing w:before="19"/>
              <w:ind w:left="225"/>
              <w:rPr>
                <w:sz w:val="21"/>
              </w:rPr>
            </w:pPr>
            <w:r>
              <w:rPr>
                <w:w w:val="100"/>
                <w:sz w:val="21"/>
              </w:rPr>
              <w:t> </w:t>
            </w:r>
          </w:p>
        </w:tc>
        <w:tc>
          <w:tcPr>
            <w:tcW w:w="7243" w:type="dxa"/>
          </w:tcPr>
          <w:p>
            <w:pPr>
              <w:pStyle w:val="TableParagraph"/>
              <w:spacing w:before="19"/>
              <w:ind w:left="280"/>
              <w:rPr>
                <w:sz w:val="21"/>
              </w:rPr>
            </w:pPr>
            <w:r>
              <w:rPr>
                <w:w w:val="100"/>
                <w:sz w:val="21"/>
              </w:rPr>
              <w:t> </w:t>
            </w:r>
          </w:p>
        </w:tc>
      </w:tr>
      <w:tr>
        <w:trPr>
          <w:trHeight w:val="706" w:hRule="atLeast"/>
        </w:trPr>
        <w:tc>
          <w:tcPr>
            <w:tcW w:w="571" w:type="dxa"/>
          </w:tcPr>
          <w:p>
            <w:pPr>
              <w:pStyle w:val="TableParagraph"/>
              <w:spacing w:line="321" w:lineRule="exact"/>
              <w:ind w:left="50"/>
              <w:rPr>
                <w:rFonts w:ascii="Microsoft JhengHei"/>
                <w:b/>
                <w:sz w:val="21"/>
              </w:rPr>
            </w:pPr>
            <w:r>
              <w:rPr>
                <w:rFonts w:ascii="Microsoft JhengHei"/>
                <w:b/>
                <w:w w:val="90"/>
                <w:sz w:val="21"/>
              </w:rPr>
              <w:t>9. 5</w:t>
            </w:r>
          </w:p>
        </w:tc>
        <w:tc>
          <w:tcPr>
            <w:tcW w:w="1349" w:type="dxa"/>
          </w:tcPr>
          <w:p>
            <w:pPr>
              <w:pStyle w:val="TableParagraph"/>
              <w:spacing w:line="321" w:lineRule="exact"/>
              <w:ind w:left="225"/>
              <w:rPr>
                <w:rFonts w:ascii="Microsoft JhengHei" w:eastAsia="Microsoft JhengHei" w:hint="eastAsia"/>
                <w:b/>
                <w:sz w:val="21"/>
              </w:rPr>
            </w:pPr>
            <w:r>
              <w:rPr>
                <w:rFonts w:ascii="Microsoft JhengHei" w:eastAsia="Microsoft JhengHei" w:hint="eastAsia"/>
                <w:b/>
                <w:sz w:val="21"/>
              </w:rPr>
              <w:t>争议处理</w:t>
            </w:r>
          </w:p>
        </w:tc>
        <w:tc>
          <w:tcPr>
            <w:tcW w:w="7243" w:type="dxa"/>
          </w:tcPr>
          <w:p>
            <w:pPr>
              <w:pStyle w:val="TableParagraph"/>
              <w:spacing w:before="22"/>
              <w:ind w:left="280"/>
              <w:rPr>
                <w:sz w:val="21"/>
              </w:rPr>
            </w:pPr>
            <w:r>
              <w:rPr>
                <w:sz w:val="21"/>
              </w:rPr>
              <w:t>本主险合同争议解决方式由您在投保时与我们约定，从下列两种方式中选择</w:t>
            </w:r>
          </w:p>
          <w:p>
            <w:pPr>
              <w:pStyle w:val="TableParagraph"/>
              <w:spacing w:before="36"/>
              <w:ind w:left="280"/>
              <w:rPr>
                <w:sz w:val="21"/>
              </w:rPr>
            </w:pPr>
            <w:r>
              <w:rPr>
                <w:sz w:val="21"/>
              </w:rPr>
              <w:t>一种： </w:t>
            </w:r>
          </w:p>
        </w:tc>
      </w:tr>
      <w:tr>
        <w:trPr>
          <w:trHeight w:val="301" w:hRule="atLeast"/>
        </w:trPr>
        <w:tc>
          <w:tcPr>
            <w:tcW w:w="571" w:type="dxa"/>
          </w:tcPr>
          <w:p>
            <w:pPr>
              <w:pStyle w:val="TableParagraph"/>
              <w:rPr>
                <w:rFonts w:ascii="Times New Roman"/>
                <w:sz w:val="20"/>
              </w:rPr>
            </w:pPr>
          </w:p>
        </w:tc>
        <w:tc>
          <w:tcPr>
            <w:tcW w:w="1349" w:type="dxa"/>
          </w:tcPr>
          <w:p>
            <w:pPr>
              <w:pStyle w:val="TableParagraph"/>
              <w:rPr>
                <w:rFonts w:ascii="Times New Roman"/>
                <w:sz w:val="20"/>
              </w:rPr>
            </w:pPr>
          </w:p>
        </w:tc>
        <w:tc>
          <w:tcPr>
            <w:tcW w:w="7243" w:type="dxa"/>
          </w:tcPr>
          <w:p>
            <w:pPr>
              <w:pStyle w:val="TableParagraph"/>
              <w:spacing w:line="262" w:lineRule="exact" w:before="19"/>
              <w:ind w:left="280"/>
              <w:rPr>
                <w:sz w:val="21"/>
              </w:rPr>
            </w:pPr>
            <w:r>
              <w:rPr>
                <w:sz w:val="21"/>
              </w:rPr>
              <w:t>（1）因履行本主险合同发生的争议，由双方协商解决，协商不成的，提交</w:t>
            </w:r>
          </w:p>
        </w:tc>
      </w:tr>
    </w:tbl>
    <w:p>
      <w:pPr>
        <w:pStyle w:val="BodyText"/>
        <w:tabs>
          <w:tab w:pos="3614" w:val="left" w:leader="none"/>
        </w:tabs>
        <w:spacing w:before="27"/>
        <w:ind w:left="2877"/>
      </w:pPr>
      <w:r>
        <w:rPr>
          <w:rFonts w:ascii="Times New Roman" w:eastAsia="Times New Roman"/>
          <w:w w:val="100"/>
          <w:u w:val="single"/>
        </w:rPr>
        <w:t> </w:t>
      </w:r>
      <w:r>
        <w:rPr>
          <w:rFonts w:ascii="Times New Roman" w:eastAsia="Times New Roman"/>
          <w:u w:val="single"/>
        </w:rPr>
        <w:tab/>
      </w:r>
      <w:r>
        <w:rPr>
          <w:spacing w:val="-3"/>
        </w:rPr>
        <w:t>仲裁委员会仲裁；</w:t>
      </w:r>
      <w:r>
        <w:rPr/>
        <w:t> </w:t>
      </w:r>
    </w:p>
    <w:p>
      <w:pPr>
        <w:pStyle w:val="BodyText"/>
        <w:spacing w:before="116"/>
        <w:ind w:left="2373"/>
      </w:pPr>
      <w:r>
        <w:rPr/>
        <w:t>（2）因履行本主险合同发生的争议，由双方协商解决，协商不成的，依法</w:t>
      </w:r>
    </w:p>
    <w:p>
      <w:pPr>
        <w:pStyle w:val="BodyText"/>
        <w:spacing w:before="37"/>
        <w:ind w:left="2877"/>
      </w:pPr>
      <w:r>
        <w:rPr/>
        <w:t>向人民法院起诉。 </w:t>
      </w:r>
    </w:p>
    <w:p>
      <w:pPr>
        <w:pStyle w:val="BodyText"/>
        <w:spacing w:before="9"/>
        <w:ind w:left="0"/>
        <w:rPr>
          <w:sz w:val="13"/>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5"/>
        <w:gridCol w:w="1339"/>
        <w:gridCol w:w="7191"/>
      </w:tblGrid>
      <w:tr>
        <w:trPr>
          <w:trHeight w:val="961" w:hRule="atLeast"/>
        </w:trPr>
        <w:tc>
          <w:tcPr>
            <w:tcW w:w="745" w:type="dxa"/>
            <w:tcBorders>
              <w:bottom w:val="single" w:sz="8" w:space="0" w:color="000000"/>
            </w:tcBorders>
          </w:tcPr>
          <w:p>
            <w:pPr>
              <w:pStyle w:val="TableParagraph"/>
              <w:spacing w:line="211" w:lineRule="exact"/>
              <w:ind w:left="108"/>
              <w:rPr>
                <w:sz w:val="21"/>
              </w:rPr>
            </w:pPr>
            <w:r>
              <w:rPr>
                <w:w w:val="100"/>
                <w:sz w:val="21"/>
              </w:rPr>
              <w:t> </w:t>
            </w:r>
          </w:p>
          <w:p>
            <w:pPr>
              <w:pStyle w:val="TableParagraph"/>
              <w:spacing w:before="9"/>
              <w:rPr>
                <w:sz w:val="14"/>
              </w:rPr>
            </w:pPr>
          </w:p>
          <w:p>
            <w:pPr>
              <w:pStyle w:val="TableParagraph"/>
              <w:ind w:left="111"/>
              <w:rPr>
                <w:rFonts w:ascii="Times New Roman"/>
                <w:b/>
                <w:sz w:val="40"/>
              </w:rPr>
            </w:pPr>
            <w:r>
              <w:rPr>
                <w:rFonts w:ascii="Times New Roman"/>
                <w:b/>
                <w:w w:val="100"/>
                <w:sz w:val="40"/>
              </w:rPr>
              <w:t>~</w:t>
            </w:r>
          </w:p>
        </w:tc>
        <w:tc>
          <w:tcPr>
            <w:tcW w:w="1339" w:type="dxa"/>
            <w:tcBorders>
              <w:bottom w:val="single" w:sz="8" w:space="0" w:color="000000"/>
            </w:tcBorders>
          </w:tcPr>
          <w:p>
            <w:pPr>
              <w:pStyle w:val="TableParagraph"/>
              <w:spacing w:line="211" w:lineRule="exact"/>
              <w:ind w:left="109"/>
              <w:rPr>
                <w:sz w:val="21"/>
              </w:rPr>
            </w:pPr>
            <w:r>
              <w:rPr>
                <w:w w:val="100"/>
                <w:sz w:val="21"/>
              </w:rPr>
              <w:t> </w:t>
            </w:r>
          </w:p>
          <w:p>
            <w:pPr>
              <w:pStyle w:val="TableParagraph"/>
              <w:spacing w:before="165"/>
              <w:ind w:left="109"/>
              <w:rPr>
                <w:rFonts w:ascii="Microsoft JhengHei" w:eastAsia="Microsoft JhengHei" w:hint="eastAsia"/>
                <w:b/>
                <w:sz w:val="24"/>
              </w:rPr>
            </w:pPr>
            <w:r>
              <w:rPr>
                <w:rFonts w:ascii="Microsoft JhengHei" w:eastAsia="Microsoft JhengHei" w:hint="eastAsia"/>
                <w:b/>
                <w:sz w:val="24"/>
              </w:rPr>
              <w:t>释义</w:t>
            </w:r>
          </w:p>
        </w:tc>
        <w:tc>
          <w:tcPr>
            <w:tcW w:w="7191" w:type="dxa"/>
            <w:tcBorders>
              <w:bottom w:val="single" w:sz="8" w:space="0" w:color="000000"/>
            </w:tcBorders>
          </w:tcPr>
          <w:p>
            <w:pPr>
              <w:pStyle w:val="TableParagraph"/>
              <w:spacing w:line="211" w:lineRule="exact"/>
              <w:ind w:left="174"/>
              <w:rPr>
                <w:sz w:val="21"/>
              </w:rPr>
            </w:pPr>
            <w:r>
              <w:rPr>
                <w:w w:val="100"/>
                <w:sz w:val="21"/>
              </w:rPr>
              <w:t> </w:t>
            </w:r>
          </w:p>
        </w:tc>
      </w:tr>
      <w:tr>
        <w:trPr>
          <w:trHeight w:val="426" w:hRule="atLeast"/>
        </w:trPr>
        <w:tc>
          <w:tcPr>
            <w:tcW w:w="745" w:type="dxa"/>
            <w:tcBorders>
              <w:top w:val="single" w:sz="8" w:space="0" w:color="000000"/>
            </w:tcBorders>
          </w:tcPr>
          <w:p>
            <w:pPr>
              <w:pStyle w:val="TableParagraph"/>
              <w:spacing w:before="66"/>
              <w:ind w:left="107"/>
              <w:rPr>
                <w:sz w:val="21"/>
              </w:rPr>
            </w:pPr>
            <w:r>
              <w:rPr>
                <w:w w:val="100"/>
                <w:sz w:val="21"/>
              </w:rPr>
              <w:t> </w:t>
            </w:r>
          </w:p>
        </w:tc>
        <w:tc>
          <w:tcPr>
            <w:tcW w:w="1339" w:type="dxa"/>
            <w:tcBorders>
              <w:top w:val="single" w:sz="8" w:space="0" w:color="000000"/>
            </w:tcBorders>
          </w:tcPr>
          <w:p>
            <w:pPr>
              <w:pStyle w:val="TableParagraph"/>
              <w:spacing w:before="66"/>
              <w:ind w:left="109"/>
              <w:rPr>
                <w:sz w:val="21"/>
              </w:rPr>
            </w:pPr>
            <w:r>
              <w:rPr>
                <w:w w:val="100"/>
                <w:sz w:val="21"/>
              </w:rPr>
              <w:t> </w:t>
            </w:r>
          </w:p>
        </w:tc>
        <w:tc>
          <w:tcPr>
            <w:tcW w:w="7191" w:type="dxa"/>
            <w:tcBorders>
              <w:top w:val="single" w:sz="8" w:space="0" w:color="000000"/>
            </w:tcBorders>
          </w:tcPr>
          <w:p>
            <w:pPr>
              <w:pStyle w:val="TableParagraph"/>
              <w:spacing w:before="66"/>
              <w:ind w:left="174"/>
              <w:rPr>
                <w:sz w:val="21"/>
              </w:rPr>
            </w:pPr>
            <w:r>
              <w:rPr>
                <w:w w:val="100"/>
                <w:sz w:val="21"/>
              </w:rPr>
              <w:t> </w:t>
            </w:r>
          </w:p>
        </w:tc>
      </w:tr>
      <w:tr>
        <w:trPr>
          <w:trHeight w:val="705" w:hRule="atLeast"/>
        </w:trPr>
        <w:tc>
          <w:tcPr>
            <w:tcW w:w="745" w:type="dxa"/>
          </w:tcPr>
          <w:p>
            <w:pPr>
              <w:pStyle w:val="TableParagraph"/>
              <w:spacing w:line="330" w:lineRule="exact"/>
              <w:ind w:left="107"/>
              <w:rPr>
                <w:rFonts w:ascii="Microsoft JhengHei"/>
                <w:b/>
                <w:sz w:val="21"/>
              </w:rPr>
            </w:pPr>
            <w:r>
              <w:rPr>
                <w:rFonts w:ascii="Microsoft JhengHei"/>
                <w:b/>
                <w:w w:val="90"/>
                <w:sz w:val="21"/>
              </w:rPr>
              <w:t>10. 1</w:t>
            </w:r>
          </w:p>
        </w:tc>
        <w:tc>
          <w:tcPr>
            <w:tcW w:w="1339" w:type="dxa"/>
          </w:tcPr>
          <w:p>
            <w:pPr>
              <w:pStyle w:val="TableParagraph"/>
              <w:spacing w:line="330" w:lineRule="exact"/>
              <w:ind w:left="109"/>
              <w:rPr>
                <w:sz w:val="21"/>
              </w:rPr>
            </w:pPr>
            <w:r>
              <w:rPr>
                <w:rFonts w:ascii="Microsoft JhengHei" w:eastAsia="Microsoft JhengHei" w:hint="eastAsia"/>
                <w:b/>
                <w:sz w:val="21"/>
              </w:rPr>
              <w:t>保单年度</w:t>
            </w:r>
            <w:r>
              <w:rPr>
                <w:sz w:val="21"/>
              </w:rPr>
              <w:t> </w:t>
            </w:r>
          </w:p>
        </w:tc>
        <w:tc>
          <w:tcPr>
            <w:tcW w:w="7191" w:type="dxa"/>
          </w:tcPr>
          <w:p>
            <w:pPr>
              <w:pStyle w:val="TableParagraph"/>
              <w:spacing w:line="310" w:lineRule="exact" w:before="28"/>
              <w:ind w:left="174" w:right="68"/>
              <w:rPr>
                <w:sz w:val="21"/>
              </w:rPr>
            </w:pPr>
            <w:r>
              <w:rPr>
                <w:sz w:val="21"/>
              </w:rPr>
              <w:t>指从本主险合同生效日或</w:t>
            </w:r>
            <w:r>
              <w:rPr>
                <w:rFonts w:ascii="Microsoft JhengHei" w:eastAsia="Microsoft JhengHei" w:hint="eastAsia"/>
                <w:b/>
                <w:sz w:val="21"/>
              </w:rPr>
              <w:t>保单周年日</w:t>
            </w:r>
            <w:r>
              <w:rPr>
                <w:sz w:val="21"/>
              </w:rPr>
              <w:t>（见 10.18）零时起至下一个保单周年日零时止的期间为一个保单年度。 </w:t>
            </w:r>
          </w:p>
        </w:tc>
      </w:tr>
      <w:tr>
        <w:trPr>
          <w:trHeight w:val="386" w:hRule="atLeast"/>
        </w:trPr>
        <w:tc>
          <w:tcPr>
            <w:tcW w:w="745" w:type="dxa"/>
          </w:tcPr>
          <w:p>
            <w:pPr>
              <w:pStyle w:val="TableParagraph"/>
              <w:rPr>
                <w:rFonts w:ascii="Times New Roman"/>
                <w:sz w:val="20"/>
              </w:rPr>
            </w:pPr>
          </w:p>
        </w:tc>
        <w:tc>
          <w:tcPr>
            <w:tcW w:w="1339" w:type="dxa"/>
          </w:tcPr>
          <w:p>
            <w:pPr>
              <w:pStyle w:val="TableParagraph"/>
              <w:rPr>
                <w:rFonts w:ascii="Times New Roman"/>
                <w:sz w:val="20"/>
              </w:rPr>
            </w:pPr>
          </w:p>
        </w:tc>
        <w:tc>
          <w:tcPr>
            <w:tcW w:w="7191" w:type="dxa"/>
          </w:tcPr>
          <w:p>
            <w:pPr>
              <w:pStyle w:val="TableParagraph"/>
              <w:spacing w:before="26"/>
              <w:ind w:left="174"/>
              <w:rPr>
                <w:sz w:val="21"/>
              </w:rPr>
            </w:pPr>
            <w:r>
              <w:rPr>
                <w:w w:val="100"/>
                <w:sz w:val="21"/>
              </w:rPr>
              <w:t> </w:t>
            </w:r>
          </w:p>
        </w:tc>
      </w:tr>
      <w:tr>
        <w:trPr>
          <w:trHeight w:val="705" w:hRule="atLeast"/>
        </w:trPr>
        <w:tc>
          <w:tcPr>
            <w:tcW w:w="745" w:type="dxa"/>
          </w:tcPr>
          <w:p>
            <w:pPr>
              <w:pStyle w:val="TableParagraph"/>
              <w:spacing w:line="330" w:lineRule="exact"/>
              <w:ind w:left="108"/>
              <w:rPr>
                <w:rFonts w:ascii="Microsoft JhengHei"/>
                <w:b/>
                <w:sz w:val="21"/>
              </w:rPr>
            </w:pPr>
            <w:r>
              <w:rPr>
                <w:rFonts w:ascii="Microsoft JhengHei"/>
                <w:b/>
                <w:w w:val="90"/>
                <w:sz w:val="21"/>
              </w:rPr>
              <w:t>10. 2</w:t>
            </w:r>
          </w:p>
        </w:tc>
        <w:tc>
          <w:tcPr>
            <w:tcW w:w="1339" w:type="dxa"/>
          </w:tcPr>
          <w:p>
            <w:pPr>
              <w:pStyle w:val="TableParagraph"/>
              <w:spacing w:line="204" w:lineRule="auto" w:before="19"/>
              <w:ind w:left="109" w:right="171"/>
              <w:rPr>
                <w:sz w:val="21"/>
              </w:rPr>
            </w:pPr>
            <w:r>
              <w:rPr>
                <w:rFonts w:ascii="Microsoft JhengHei" w:eastAsia="Microsoft JhengHei" w:hint="eastAsia"/>
                <w:b/>
                <w:sz w:val="21"/>
              </w:rPr>
              <w:t>保险费约定支付日</w:t>
            </w:r>
            <w:r>
              <w:rPr>
                <w:sz w:val="21"/>
              </w:rPr>
              <w:t> </w:t>
            </w:r>
          </w:p>
        </w:tc>
        <w:tc>
          <w:tcPr>
            <w:tcW w:w="7191" w:type="dxa"/>
          </w:tcPr>
          <w:p>
            <w:pPr>
              <w:pStyle w:val="TableParagraph"/>
              <w:spacing w:line="271" w:lineRule="auto" w:before="31"/>
              <w:ind w:left="174" w:right="64"/>
              <w:rPr>
                <w:sz w:val="21"/>
              </w:rPr>
            </w:pPr>
            <w:r>
              <w:rPr>
                <w:sz w:val="21"/>
              </w:rPr>
              <w:t>指本主险合同生效日在每月、每季、每半年或每年（根据交费方式确定）的对应日。如果当月无对应的同一日，则以该月最后一日为对应日。 </w:t>
            </w:r>
          </w:p>
        </w:tc>
      </w:tr>
      <w:tr>
        <w:trPr>
          <w:trHeight w:val="386" w:hRule="atLeast"/>
        </w:trPr>
        <w:tc>
          <w:tcPr>
            <w:tcW w:w="745" w:type="dxa"/>
          </w:tcPr>
          <w:p>
            <w:pPr>
              <w:pStyle w:val="TableParagraph"/>
              <w:rPr>
                <w:rFonts w:ascii="Times New Roman"/>
                <w:sz w:val="20"/>
              </w:rPr>
            </w:pPr>
          </w:p>
        </w:tc>
        <w:tc>
          <w:tcPr>
            <w:tcW w:w="1339" w:type="dxa"/>
          </w:tcPr>
          <w:p>
            <w:pPr>
              <w:pStyle w:val="TableParagraph"/>
              <w:rPr>
                <w:rFonts w:ascii="Times New Roman"/>
                <w:sz w:val="20"/>
              </w:rPr>
            </w:pPr>
          </w:p>
        </w:tc>
        <w:tc>
          <w:tcPr>
            <w:tcW w:w="7191" w:type="dxa"/>
          </w:tcPr>
          <w:p>
            <w:pPr>
              <w:pStyle w:val="TableParagraph"/>
              <w:spacing w:before="26"/>
              <w:ind w:left="174"/>
              <w:rPr>
                <w:sz w:val="21"/>
              </w:rPr>
            </w:pPr>
            <w:r>
              <w:rPr>
                <w:w w:val="100"/>
                <w:sz w:val="21"/>
              </w:rPr>
              <w:t> </w:t>
            </w:r>
          </w:p>
        </w:tc>
      </w:tr>
      <w:tr>
        <w:trPr>
          <w:trHeight w:val="705" w:hRule="atLeast"/>
        </w:trPr>
        <w:tc>
          <w:tcPr>
            <w:tcW w:w="745" w:type="dxa"/>
          </w:tcPr>
          <w:p>
            <w:pPr>
              <w:pStyle w:val="TableParagraph"/>
              <w:spacing w:line="330" w:lineRule="exact"/>
              <w:ind w:left="108"/>
              <w:rPr>
                <w:rFonts w:ascii="Microsoft JhengHei"/>
                <w:b/>
                <w:sz w:val="21"/>
              </w:rPr>
            </w:pPr>
            <w:r>
              <w:rPr>
                <w:rFonts w:ascii="Microsoft JhengHei"/>
                <w:b/>
                <w:w w:val="90"/>
                <w:sz w:val="21"/>
              </w:rPr>
              <w:t>10. 3</w:t>
            </w:r>
          </w:p>
        </w:tc>
        <w:tc>
          <w:tcPr>
            <w:tcW w:w="1339" w:type="dxa"/>
          </w:tcPr>
          <w:p>
            <w:pPr>
              <w:pStyle w:val="TableParagraph"/>
              <w:spacing w:line="330" w:lineRule="exact"/>
              <w:ind w:left="109"/>
              <w:rPr>
                <w:sz w:val="21"/>
              </w:rPr>
            </w:pPr>
            <w:r>
              <w:rPr>
                <w:rFonts w:ascii="Microsoft JhengHei" w:eastAsia="Microsoft JhengHei" w:hint="eastAsia"/>
                <w:b/>
                <w:sz w:val="21"/>
              </w:rPr>
              <w:t>周岁</w:t>
            </w:r>
            <w:r>
              <w:rPr>
                <w:sz w:val="21"/>
              </w:rPr>
              <w:t>  </w:t>
            </w:r>
          </w:p>
        </w:tc>
        <w:tc>
          <w:tcPr>
            <w:tcW w:w="7191" w:type="dxa"/>
          </w:tcPr>
          <w:p>
            <w:pPr>
              <w:pStyle w:val="TableParagraph"/>
              <w:spacing w:before="31"/>
              <w:ind w:left="174"/>
              <w:rPr>
                <w:sz w:val="21"/>
              </w:rPr>
            </w:pPr>
            <w:r>
              <w:rPr>
                <w:spacing w:val="-5"/>
                <w:sz w:val="21"/>
              </w:rPr>
              <w:t>指按有效身份证件中记载的出生日期计算的年龄，自出生之日起为 </w:t>
            </w:r>
            <w:r>
              <w:rPr>
                <w:sz w:val="21"/>
              </w:rPr>
              <w:t>0</w:t>
            </w:r>
            <w:r>
              <w:rPr>
                <w:spacing w:val="-10"/>
                <w:sz w:val="21"/>
              </w:rPr>
              <w:t> 周岁，</w:t>
            </w:r>
          </w:p>
          <w:p>
            <w:pPr>
              <w:pStyle w:val="TableParagraph"/>
              <w:spacing w:before="34"/>
              <w:ind w:left="174"/>
              <w:rPr>
                <w:sz w:val="21"/>
              </w:rPr>
            </w:pPr>
            <w:r>
              <w:rPr>
                <w:sz w:val="21"/>
              </w:rPr>
              <w:t>每经过 1 年增加 1 岁，不足 1 年的不计。 </w:t>
            </w:r>
          </w:p>
        </w:tc>
      </w:tr>
      <w:tr>
        <w:trPr>
          <w:trHeight w:val="386" w:hRule="atLeast"/>
        </w:trPr>
        <w:tc>
          <w:tcPr>
            <w:tcW w:w="745" w:type="dxa"/>
          </w:tcPr>
          <w:p>
            <w:pPr>
              <w:pStyle w:val="TableParagraph"/>
              <w:rPr>
                <w:rFonts w:ascii="Times New Roman"/>
                <w:sz w:val="20"/>
              </w:rPr>
            </w:pPr>
          </w:p>
        </w:tc>
        <w:tc>
          <w:tcPr>
            <w:tcW w:w="1339" w:type="dxa"/>
          </w:tcPr>
          <w:p>
            <w:pPr>
              <w:pStyle w:val="TableParagraph"/>
              <w:rPr>
                <w:rFonts w:ascii="Times New Roman"/>
                <w:sz w:val="20"/>
              </w:rPr>
            </w:pPr>
          </w:p>
        </w:tc>
        <w:tc>
          <w:tcPr>
            <w:tcW w:w="7191" w:type="dxa"/>
          </w:tcPr>
          <w:p>
            <w:pPr>
              <w:pStyle w:val="TableParagraph"/>
              <w:spacing w:before="26"/>
              <w:ind w:left="174"/>
              <w:rPr>
                <w:sz w:val="21"/>
              </w:rPr>
            </w:pPr>
            <w:r>
              <w:rPr>
                <w:w w:val="100"/>
                <w:sz w:val="21"/>
              </w:rPr>
              <w:t> </w:t>
            </w:r>
          </w:p>
        </w:tc>
      </w:tr>
      <w:tr>
        <w:trPr>
          <w:trHeight w:val="705" w:hRule="atLeast"/>
        </w:trPr>
        <w:tc>
          <w:tcPr>
            <w:tcW w:w="745" w:type="dxa"/>
          </w:tcPr>
          <w:p>
            <w:pPr>
              <w:pStyle w:val="TableParagraph"/>
              <w:spacing w:line="330" w:lineRule="exact"/>
              <w:ind w:left="108"/>
              <w:rPr>
                <w:sz w:val="21"/>
              </w:rPr>
            </w:pPr>
            <w:r>
              <w:rPr>
                <w:rFonts w:ascii="Microsoft JhengHei"/>
                <w:b/>
                <w:w w:val="90"/>
                <w:sz w:val="21"/>
              </w:rPr>
              <w:t>10. 4</w:t>
            </w:r>
            <w:r>
              <w:rPr>
                <w:rFonts w:ascii="Microsoft JhengHei"/>
                <w:b/>
                <w:sz w:val="21"/>
              </w:rPr>
              <w:t> </w:t>
            </w:r>
            <w:r>
              <w:rPr>
                <w:w w:val="100"/>
                <w:sz w:val="21"/>
              </w:rPr>
              <w:t> </w:t>
            </w:r>
          </w:p>
        </w:tc>
        <w:tc>
          <w:tcPr>
            <w:tcW w:w="1339" w:type="dxa"/>
          </w:tcPr>
          <w:p>
            <w:pPr>
              <w:pStyle w:val="TableParagraph"/>
              <w:spacing w:line="204" w:lineRule="auto" w:before="19"/>
              <w:ind w:left="109" w:right="171"/>
              <w:rPr>
                <w:rFonts w:ascii="Microsoft JhengHei" w:eastAsia="Microsoft JhengHei" w:hint="eastAsia"/>
                <w:b/>
                <w:sz w:val="21"/>
              </w:rPr>
            </w:pPr>
            <w:r>
              <w:rPr>
                <w:rFonts w:ascii="Microsoft JhengHei" w:eastAsia="Microsoft JhengHei" w:hint="eastAsia"/>
                <w:b/>
                <w:sz w:val="21"/>
              </w:rPr>
              <w:t>有效身份证件</w:t>
            </w:r>
          </w:p>
        </w:tc>
        <w:tc>
          <w:tcPr>
            <w:tcW w:w="7191" w:type="dxa"/>
          </w:tcPr>
          <w:p>
            <w:pPr>
              <w:pStyle w:val="TableParagraph"/>
              <w:spacing w:line="271" w:lineRule="auto" w:before="31"/>
              <w:ind w:left="174" w:right="82"/>
              <w:rPr>
                <w:sz w:val="21"/>
              </w:rPr>
            </w:pPr>
            <w:r>
              <w:rPr>
                <w:sz w:val="21"/>
              </w:rPr>
              <w:t>指由政府主管部门规定的证明其身份的证件，如：居民身份证、按规定可使用的有效护照、军官证、警官证、士兵证、户口簿等证件。 </w:t>
            </w:r>
          </w:p>
        </w:tc>
      </w:tr>
      <w:tr>
        <w:trPr>
          <w:trHeight w:val="379" w:hRule="atLeast"/>
        </w:trPr>
        <w:tc>
          <w:tcPr>
            <w:tcW w:w="745" w:type="dxa"/>
          </w:tcPr>
          <w:p>
            <w:pPr>
              <w:pStyle w:val="TableParagraph"/>
              <w:rPr>
                <w:rFonts w:ascii="Times New Roman"/>
                <w:sz w:val="20"/>
              </w:rPr>
            </w:pPr>
          </w:p>
        </w:tc>
        <w:tc>
          <w:tcPr>
            <w:tcW w:w="1339" w:type="dxa"/>
          </w:tcPr>
          <w:p>
            <w:pPr>
              <w:pStyle w:val="TableParagraph"/>
              <w:rPr>
                <w:rFonts w:ascii="Times New Roman"/>
                <w:sz w:val="20"/>
              </w:rPr>
            </w:pPr>
          </w:p>
        </w:tc>
        <w:tc>
          <w:tcPr>
            <w:tcW w:w="7191" w:type="dxa"/>
          </w:tcPr>
          <w:p>
            <w:pPr>
              <w:pStyle w:val="TableParagraph"/>
              <w:spacing w:before="26"/>
              <w:ind w:left="174"/>
              <w:rPr>
                <w:sz w:val="21"/>
              </w:rPr>
            </w:pPr>
            <w:r>
              <w:rPr>
                <w:w w:val="100"/>
                <w:sz w:val="21"/>
              </w:rPr>
              <w:t> </w:t>
            </w:r>
          </w:p>
        </w:tc>
      </w:tr>
      <w:tr>
        <w:trPr>
          <w:trHeight w:val="378" w:hRule="atLeast"/>
        </w:trPr>
        <w:tc>
          <w:tcPr>
            <w:tcW w:w="745" w:type="dxa"/>
          </w:tcPr>
          <w:p>
            <w:pPr>
              <w:pStyle w:val="TableParagraph"/>
              <w:spacing w:line="337" w:lineRule="exact"/>
              <w:ind w:left="107"/>
              <w:rPr>
                <w:sz w:val="21"/>
              </w:rPr>
            </w:pPr>
            <w:r>
              <w:rPr>
                <w:rFonts w:ascii="Microsoft JhengHei"/>
                <w:b/>
                <w:w w:val="90"/>
                <w:sz w:val="21"/>
              </w:rPr>
              <w:t>10. 5</w:t>
            </w:r>
            <w:r>
              <w:rPr>
                <w:rFonts w:ascii="Microsoft JhengHei"/>
                <w:b/>
                <w:sz w:val="21"/>
              </w:rPr>
              <w:t> </w:t>
            </w:r>
            <w:r>
              <w:rPr>
                <w:w w:val="100"/>
                <w:sz w:val="21"/>
              </w:rPr>
              <w:t> </w:t>
            </w:r>
          </w:p>
        </w:tc>
        <w:tc>
          <w:tcPr>
            <w:tcW w:w="1339" w:type="dxa"/>
          </w:tcPr>
          <w:p>
            <w:pPr>
              <w:pStyle w:val="TableParagraph"/>
              <w:spacing w:line="337" w:lineRule="exact"/>
              <w:ind w:left="109"/>
              <w:rPr>
                <w:sz w:val="21"/>
              </w:rPr>
            </w:pPr>
            <w:r>
              <w:rPr>
                <w:rFonts w:ascii="Microsoft JhengHei" w:eastAsia="Microsoft JhengHei" w:hint="eastAsia"/>
                <w:b/>
                <w:sz w:val="21"/>
              </w:rPr>
              <w:t>医疗机构</w:t>
            </w:r>
            <w:r>
              <w:rPr>
                <w:sz w:val="21"/>
              </w:rPr>
              <w:t> </w:t>
            </w:r>
          </w:p>
        </w:tc>
        <w:tc>
          <w:tcPr>
            <w:tcW w:w="7191" w:type="dxa"/>
          </w:tcPr>
          <w:p>
            <w:pPr>
              <w:pStyle w:val="TableParagraph"/>
              <w:spacing w:before="14"/>
              <w:ind w:left="174"/>
              <w:rPr>
                <w:sz w:val="21"/>
              </w:rPr>
            </w:pPr>
            <w:r>
              <w:rPr>
                <w:sz w:val="21"/>
              </w:rPr>
              <w:t>除本主险合同另有约定外，指符合下列所有条件的机构： </w:t>
            </w:r>
          </w:p>
        </w:tc>
      </w:tr>
      <w:tr>
        <w:trPr>
          <w:trHeight w:val="261" w:hRule="atLeast"/>
        </w:trPr>
        <w:tc>
          <w:tcPr>
            <w:tcW w:w="745" w:type="dxa"/>
          </w:tcPr>
          <w:p>
            <w:pPr>
              <w:pStyle w:val="TableParagraph"/>
              <w:rPr>
                <w:rFonts w:ascii="Times New Roman"/>
                <w:sz w:val="18"/>
              </w:rPr>
            </w:pPr>
          </w:p>
        </w:tc>
        <w:tc>
          <w:tcPr>
            <w:tcW w:w="1339" w:type="dxa"/>
          </w:tcPr>
          <w:p>
            <w:pPr>
              <w:pStyle w:val="TableParagraph"/>
              <w:rPr>
                <w:rFonts w:ascii="Times New Roman"/>
                <w:sz w:val="18"/>
              </w:rPr>
            </w:pPr>
          </w:p>
        </w:tc>
        <w:tc>
          <w:tcPr>
            <w:tcW w:w="7191" w:type="dxa"/>
          </w:tcPr>
          <w:p>
            <w:pPr>
              <w:pStyle w:val="TableParagraph"/>
              <w:spacing w:line="241" w:lineRule="exact"/>
              <w:ind w:left="174"/>
              <w:rPr>
                <w:sz w:val="21"/>
              </w:rPr>
            </w:pPr>
            <w:r>
              <w:rPr>
                <w:sz w:val="21"/>
              </w:rPr>
              <w:t>（1）指经国家卫生行政部门评定的二级或二级以上综合医院或专科医院(前</w:t>
            </w:r>
          </w:p>
        </w:tc>
      </w:tr>
    </w:tbl>
    <w:p>
      <w:pPr>
        <w:pStyle w:val="BodyText"/>
        <w:spacing w:line="271" w:lineRule="exact" w:before="0"/>
        <w:ind w:left="2899"/>
      </w:pPr>
      <w:r>
        <w:rPr/>
        <w:t>述综合医院和专科医院中的观察室、联合病床、康复病房、家庭长期</w:t>
      </w:r>
    </w:p>
    <w:p>
      <w:pPr>
        <w:pStyle w:val="BodyText"/>
        <w:spacing w:line="273" w:lineRule="exact" w:before="0"/>
        <w:ind w:left="2899"/>
      </w:pPr>
      <w:r>
        <w:rPr/>
        <w:t>护理病床除外)； </w:t>
      </w:r>
    </w:p>
    <w:p>
      <w:pPr>
        <w:pStyle w:val="BodyText"/>
        <w:spacing w:before="75"/>
        <w:ind w:left="2899" w:right="207" w:hanging="526"/>
      </w:pPr>
      <w:r>
        <w:rPr/>
        <w:t>（2）不包括精神病院、私人诊所，以及作为康复、疗养、护理、戒酒、戒毒或类似的医疗机构。 </w:t>
      </w:r>
    </w:p>
    <w:p>
      <w:pPr>
        <w:pStyle w:val="BodyText"/>
        <w:spacing w:before="96"/>
        <w:ind w:left="2373"/>
      </w:pPr>
      <w:r>
        <w:rPr>
          <w:w w:val="100"/>
        </w:rPr>
        <w:t> </w:t>
      </w:r>
    </w:p>
    <w:p>
      <w:pPr>
        <w:pStyle w:val="Heading2"/>
        <w:tabs>
          <w:tab w:pos="969" w:val="left" w:leader="none"/>
          <w:tab w:pos="2395" w:val="left" w:leader="none"/>
        </w:tabs>
        <w:spacing w:before="53"/>
        <w:ind w:left="223"/>
        <w:rPr>
          <w:rFonts w:ascii="宋体" w:eastAsia="宋体" w:hint="eastAsia"/>
          <w:b w:val="0"/>
        </w:rPr>
      </w:pPr>
      <w:r>
        <w:rPr>
          <w:position w:val="1"/>
        </w:rPr>
        <w:t>10.</w:t>
      </w:r>
      <w:r>
        <w:rPr>
          <w:spacing w:val="-35"/>
          <w:position w:val="1"/>
        </w:rPr>
        <w:t> </w:t>
      </w:r>
      <w:r>
        <w:rPr>
          <w:position w:val="1"/>
        </w:rPr>
        <w:t>6</w:t>
        <w:tab/>
        <w:t>重大疾病</w:t>
        <w:tab/>
      </w:r>
      <w:r>
        <w:rPr/>
        <w:t>重大疾病名称及疾</w:t>
      </w:r>
      <w:r>
        <w:rPr>
          <w:spacing w:val="-3"/>
        </w:rPr>
        <w:t>病</w:t>
      </w:r>
      <w:r>
        <w:rPr/>
        <w:t>定</w:t>
      </w:r>
      <w:r>
        <w:rPr>
          <w:spacing w:val="-3"/>
        </w:rPr>
        <w:t>义</w:t>
      </w:r>
      <w:r>
        <w:rPr>
          <w:rFonts w:ascii="宋体" w:eastAsia="宋体" w:hint="eastAsia"/>
          <w:b w:val="0"/>
        </w:rPr>
        <w:t> </w:t>
      </w:r>
    </w:p>
    <w:p>
      <w:pPr>
        <w:pStyle w:val="BodyText"/>
        <w:spacing w:line="237" w:lineRule="auto" w:before="68"/>
        <w:ind w:left="2373" w:right="279"/>
        <w:jc w:val="both"/>
      </w:pPr>
      <w:r>
        <w:rPr>
          <w:spacing w:val="-12"/>
        </w:rPr>
        <w:t>“一”至“二十五”项所列重大疾病名称及疾病定义由中国保险行业协会统</w:t>
      </w:r>
      <w:r>
        <w:rPr>
          <w:spacing w:val="-19"/>
        </w:rPr>
        <w:t>一制定</w:t>
      </w:r>
      <w:r>
        <w:rPr>
          <w:spacing w:val="-3"/>
        </w:rPr>
        <w:t>（</w:t>
      </w:r>
      <w:r>
        <w:rPr>
          <w:spacing w:val="-13"/>
        </w:rPr>
        <w:t>见《重大疾病保险的疾病定义使用规范》</w:t>
      </w:r>
      <w:r>
        <w:rPr>
          <w:spacing w:val="-108"/>
        </w:rPr>
        <w:t>）</w:t>
      </w:r>
      <w:r>
        <w:rPr>
          <w:spacing w:val="-7"/>
        </w:rPr>
        <w:t>。为扩大本主险合同的保</w:t>
      </w:r>
      <w:r>
        <w:rPr>
          <w:spacing w:val="-12"/>
          <w:w w:val="100"/>
        </w:rPr>
        <w:t>障范围，“二十六”至“三十五”项重大疾病名称及疾病定义由我们自行制</w:t>
      </w:r>
      <w:r>
        <w:rPr>
          <w:spacing w:val="-8"/>
        </w:rPr>
        <w:t>定使用。</w:t>
      </w:r>
      <w:r>
        <w:rPr/>
        <w:t> </w:t>
      </w:r>
    </w:p>
    <w:p>
      <w:pPr>
        <w:pStyle w:val="BodyText"/>
        <w:spacing w:line="353" w:lineRule="exact" w:before="8"/>
        <w:ind w:left="2373"/>
        <w:jc w:val="both"/>
      </w:pPr>
      <w:r>
        <w:rPr/>
        <w:t>被保险人发生符合以下疾病定义所述条件的疾病，应当由</w:t>
      </w:r>
      <w:r>
        <w:rPr>
          <w:rFonts w:ascii="Microsoft JhengHei" w:eastAsia="Microsoft JhengHei" w:hint="eastAsia"/>
          <w:b/>
        </w:rPr>
        <w:t>专科医生</w:t>
      </w:r>
      <w:r>
        <w:rPr/>
        <w:t>（见</w:t>
      </w:r>
    </w:p>
    <w:p>
      <w:pPr>
        <w:pStyle w:val="BodyText"/>
        <w:spacing w:line="262" w:lineRule="exact" w:before="0"/>
        <w:ind w:left="2373"/>
        <w:jc w:val="both"/>
      </w:pPr>
      <w:r>
        <w:rPr/>
        <w:t>10.19）明确诊断。  </w:t>
      </w:r>
    </w:p>
    <w:p>
      <w:pPr>
        <w:pStyle w:val="BodyText"/>
        <w:spacing w:before="104"/>
        <w:ind w:left="2373"/>
        <w:jc w:val="both"/>
      </w:pPr>
      <w:r>
        <w:rPr/>
        <w:t>一、恶性肿瘤</w:t>
      </w:r>
    </w:p>
    <w:p>
      <w:pPr>
        <w:pStyle w:val="BodyText"/>
        <w:ind w:left="2373"/>
        <w:jc w:val="both"/>
      </w:pPr>
      <w:r>
        <w:rPr/>
        <w:t>指恶性细胞不受控制的进行性增长和扩散，浸润和破坏周围正常组织，可以</w:t>
      </w:r>
    </w:p>
    <w:p>
      <w:pPr>
        <w:spacing w:after="0"/>
        <w:jc w:val="both"/>
        <w:sectPr>
          <w:pgSz w:w="11900" w:h="16840"/>
          <w:pgMar w:header="0" w:footer="1204" w:top="1500" w:bottom="1400" w:left="1200" w:right="1200"/>
        </w:sectPr>
      </w:pPr>
    </w:p>
    <w:p>
      <w:pPr>
        <w:pStyle w:val="BodyText"/>
        <w:spacing w:line="280" w:lineRule="auto" w:before="13"/>
        <w:ind w:right="212"/>
        <w:jc w:val="both"/>
      </w:pPr>
      <w:r>
        <w:rPr>
          <w:spacing w:val="-5"/>
        </w:rPr>
        <w:t>经血管、淋巴管和体腔扩散转移到身体其它部位的疾病。经病理学检查结果</w:t>
      </w:r>
      <w:r>
        <w:rPr>
          <w:spacing w:val="-7"/>
        </w:rPr>
        <w:t>明确诊断，临床诊断属于世界卫生组织《疾病和有关健康问题的国际统计分</w:t>
      </w:r>
      <w:r>
        <w:rPr>
          <w:spacing w:val="-54"/>
        </w:rPr>
        <w:t>类》</w:t>
      </w:r>
      <w:r>
        <w:rPr>
          <w:spacing w:val="-1"/>
        </w:rPr>
        <w:t>（ICD-10）</w:t>
      </w:r>
      <w:r>
        <w:rPr>
          <w:spacing w:val="-3"/>
        </w:rPr>
        <w:t>的恶性肿瘤范畴。  </w:t>
      </w:r>
    </w:p>
    <w:p>
      <w:pPr>
        <w:pStyle w:val="BodyText"/>
        <w:spacing w:before="8"/>
        <w:jc w:val="both"/>
      </w:pPr>
      <w:r>
        <w:rPr/>
        <w:t>下列疾病不在保障范围内：  </w:t>
      </w:r>
    </w:p>
    <w:p>
      <w:pPr>
        <w:pStyle w:val="BodyText"/>
        <w:spacing w:before="44"/>
        <w:jc w:val="both"/>
      </w:pPr>
      <w:r>
        <w:rPr/>
        <w:t>（1）原位癌；  </w:t>
      </w:r>
    </w:p>
    <w:p>
      <w:pPr>
        <w:pStyle w:val="BodyText"/>
        <w:spacing w:before="47"/>
        <w:jc w:val="both"/>
      </w:pPr>
      <w:r>
        <w:rPr/>
        <w:t>（2）相当于Binet分期方案A期程度的慢性淋巴细胞白血病；  </w:t>
      </w:r>
    </w:p>
    <w:p>
      <w:pPr>
        <w:pStyle w:val="BodyText"/>
        <w:spacing w:before="44"/>
        <w:jc w:val="both"/>
      </w:pPr>
      <w:r>
        <w:rPr/>
        <w:t>（3）相当于Ann Arbor分期方案I期程度的何杰金氏病；  </w:t>
      </w:r>
    </w:p>
    <w:p>
      <w:pPr>
        <w:pStyle w:val="BodyText"/>
        <w:spacing w:before="44"/>
        <w:jc w:val="both"/>
      </w:pPr>
      <w:r>
        <w:rPr>
          <w:w w:val="100"/>
        </w:rPr>
        <w:t>（4</w:t>
      </w:r>
      <w:r>
        <w:rPr>
          <w:spacing w:val="-3"/>
          <w:w w:val="100"/>
        </w:rPr>
        <w:t>）</w:t>
      </w:r>
      <w:r>
        <w:rPr>
          <w:spacing w:val="-2"/>
          <w:w w:val="100"/>
        </w:rPr>
        <w:t>皮肤癌</w:t>
      </w:r>
      <w:r>
        <w:rPr>
          <w:spacing w:val="-3"/>
          <w:w w:val="100"/>
        </w:rPr>
        <w:t>（不包括恶性黑色素瘤及已发生转移的皮肤癌</w:t>
      </w:r>
      <w:r>
        <w:rPr>
          <w:spacing w:val="-106"/>
          <w:w w:val="100"/>
        </w:rPr>
        <w:t>）</w:t>
      </w:r>
      <w:r>
        <w:rPr>
          <w:w w:val="100"/>
        </w:rPr>
        <w:t>；</w:t>
      </w:r>
      <w:r>
        <w:rPr>
          <w:spacing w:val="-3"/>
          <w:w w:val="100"/>
        </w:rPr>
        <w:t>  </w:t>
      </w:r>
    </w:p>
    <w:p>
      <w:pPr>
        <w:pStyle w:val="BodyText"/>
        <w:spacing w:before="47"/>
        <w:jc w:val="both"/>
      </w:pPr>
      <w:r>
        <w:rPr/>
        <w:t>（5）TNM分期为T1N0M0期或更轻分期的前列腺癌；  </w:t>
      </w:r>
    </w:p>
    <w:p>
      <w:pPr>
        <w:pStyle w:val="BodyText"/>
        <w:spacing w:before="44"/>
        <w:jc w:val="both"/>
      </w:pPr>
      <w:r>
        <w:rPr/>
        <w:t>（6）感染艾滋病病毒或患艾滋病期间所患恶性肿瘤。  </w:t>
      </w:r>
    </w:p>
    <w:p>
      <w:pPr>
        <w:pStyle w:val="BodyText"/>
        <w:jc w:val="both"/>
      </w:pPr>
      <w:r>
        <w:rPr/>
        <w:t>二、急性心肌梗塞</w:t>
      </w:r>
    </w:p>
    <w:p>
      <w:pPr>
        <w:pStyle w:val="BodyText"/>
        <w:jc w:val="both"/>
      </w:pPr>
      <w:r>
        <w:rPr/>
        <w:t>指因冠状动脉阻塞导致的相应区域供血不足造成部分心肌坏死。须满足下列</w:t>
      </w:r>
    </w:p>
    <w:p>
      <w:pPr>
        <w:pStyle w:val="BodyText"/>
        <w:spacing w:before="46"/>
        <w:jc w:val="both"/>
      </w:pPr>
      <w:r>
        <w:rPr/>
        <w:t>至少三项条件：  </w:t>
      </w:r>
    </w:p>
    <w:p>
      <w:pPr>
        <w:pStyle w:val="BodyText"/>
        <w:jc w:val="both"/>
      </w:pPr>
      <w:r>
        <w:rPr/>
        <w:t>（1）典型临床表现，例如急性胸痛等；  </w:t>
      </w:r>
    </w:p>
    <w:p>
      <w:pPr>
        <w:pStyle w:val="BodyText"/>
        <w:jc w:val="both"/>
      </w:pPr>
      <w:r>
        <w:rPr/>
        <w:t>（2）新近的心电图改变提示急性心肌梗塞；  </w:t>
      </w:r>
    </w:p>
    <w:p>
      <w:pPr>
        <w:pStyle w:val="BodyText"/>
        <w:jc w:val="both"/>
      </w:pPr>
      <w:r>
        <w:rPr/>
        <w:t>（3）心肌酶或肌钙蛋白有诊断意义的升高，或呈符合急性心肌梗塞的动态</w:t>
      </w:r>
    </w:p>
    <w:p>
      <w:pPr>
        <w:pStyle w:val="BodyText"/>
        <w:spacing w:before="46"/>
        <w:jc w:val="both"/>
      </w:pPr>
      <w:r>
        <w:rPr/>
        <w:t>性变化；  </w:t>
      </w:r>
    </w:p>
    <w:p>
      <w:pPr>
        <w:pStyle w:val="BodyText"/>
        <w:jc w:val="both"/>
      </w:pPr>
      <w:r>
        <w:rPr>
          <w:spacing w:val="-15"/>
        </w:rPr>
        <w:t>（4）</w:t>
      </w:r>
      <w:r>
        <w:rPr>
          <w:spacing w:val="-2"/>
        </w:rPr>
        <w:t>发病</w:t>
      </w:r>
      <w:r>
        <w:rPr>
          <w:spacing w:val="-1"/>
        </w:rPr>
        <w:t>90</w:t>
      </w:r>
      <w:r>
        <w:rPr>
          <w:spacing w:val="-11"/>
        </w:rPr>
        <w:t>天后，经检查证实左心室功能降低，如左心室射血分数低于</w:t>
      </w:r>
      <w:r>
        <w:rPr/>
        <w:t>50%</w:t>
      </w:r>
      <w:r>
        <w:rPr>
          <w:spacing w:val="-108"/>
        </w:rPr>
        <w:t>。</w:t>
      </w:r>
      <w:r>
        <w:rPr/>
        <w:t> </w:t>
      </w:r>
    </w:p>
    <w:p>
      <w:pPr>
        <w:pStyle w:val="BodyText"/>
        <w:jc w:val="both"/>
      </w:pPr>
      <w:r>
        <w:rPr/>
        <w:t>三、脑中风后遗症 </w:t>
      </w:r>
      <w:r>
        <w:rPr>
          <w:w w:val="100"/>
        </w:rPr>
        <w:t> </w:t>
      </w:r>
    </w:p>
    <w:p>
      <w:pPr>
        <w:pStyle w:val="BodyText"/>
        <w:spacing w:line="280" w:lineRule="auto"/>
        <w:ind w:right="212"/>
        <w:jc w:val="both"/>
      </w:pPr>
      <w:r>
        <w:rPr>
          <w:spacing w:val="-5"/>
        </w:rPr>
        <w:t>指因脑血管的突发病变引起脑血管出血、栓塞或梗塞，并导致神经系统永久</w:t>
      </w:r>
      <w:r>
        <w:rPr/>
        <w:t>性的功能障碍。神经系统永久性的功能障碍，指疾病确诊180天后，仍遗留</w:t>
      </w:r>
      <w:r>
        <w:rPr>
          <w:spacing w:val="-3"/>
        </w:rPr>
        <w:t>下列一种或一种以上障碍：  </w:t>
      </w:r>
    </w:p>
    <w:p>
      <w:pPr>
        <w:spacing w:line="284" w:lineRule="exact" w:before="0"/>
        <w:ind w:left="1893" w:right="0" w:firstLine="0"/>
        <w:jc w:val="both"/>
        <w:rPr>
          <w:sz w:val="21"/>
        </w:rPr>
      </w:pPr>
      <w:r>
        <w:rPr>
          <w:w w:val="100"/>
          <w:sz w:val="21"/>
        </w:rPr>
        <w:t>（1</w:t>
      </w:r>
      <w:r>
        <w:rPr>
          <w:spacing w:val="-3"/>
          <w:w w:val="100"/>
          <w:sz w:val="21"/>
        </w:rPr>
        <w:t>）一肢或一肢以上</w:t>
      </w:r>
      <w:r>
        <w:rPr>
          <w:rFonts w:ascii="Microsoft JhengHei" w:eastAsia="Microsoft JhengHei" w:hint="eastAsia"/>
          <w:b/>
          <w:w w:val="100"/>
          <w:sz w:val="21"/>
        </w:rPr>
        <w:t>肢体机能完全丧失</w:t>
      </w:r>
      <w:r>
        <w:rPr>
          <w:spacing w:val="-3"/>
          <w:w w:val="100"/>
          <w:sz w:val="21"/>
        </w:rPr>
        <w:t>（</w:t>
      </w:r>
      <w:r>
        <w:rPr>
          <w:w w:val="100"/>
          <w:sz w:val="21"/>
        </w:rPr>
        <w:t>见1</w:t>
      </w:r>
      <w:r>
        <w:rPr>
          <w:spacing w:val="-3"/>
          <w:w w:val="100"/>
          <w:sz w:val="21"/>
        </w:rPr>
        <w:t>0</w:t>
      </w:r>
      <w:r>
        <w:rPr>
          <w:w w:val="100"/>
          <w:sz w:val="21"/>
        </w:rPr>
        <w:t>.20</w:t>
      </w:r>
      <w:r>
        <w:rPr>
          <w:spacing w:val="-108"/>
          <w:w w:val="100"/>
          <w:sz w:val="21"/>
        </w:rPr>
        <w:t>）</w:t>
      </w:r>
      <w:r>
        <w:rPr>
          <w:w w:val="100"/>
          <w:sz w:val="21"/>
        </w:rPr>
        <w:t>；</w:t>
      </w:r>
      <w:r>
        <w:rPr>
          <w:spacing w:val="-3"/>
          <w:w w:val="100"/>
          <w:sz w:val="21"/>
        </w:rPr>
        <w:t>  </w:t>
      </w:r>
    </w:p>
    <w:p>
      <w:pPr>
        <w:spacing w:line="320" w:lineRule="exact" w:before="0"/>
        <w:ind w:left="1893" w:right="0" w:firstLine="0"/>
        <w:jc w:val="both"/>
        <w:rPr>
          <w:sz w:val="21"/>
        </w:rPr>
      </w:pPr>
      <w:r>
        <w:rPr>
          <w:w w:val="100"/>
          <w:sz w:val="21"/>
        </w:rPr>
        <w:t>（2</w:t>
      </w:r>
      <w:r>
        <w:rPr>
          <w:spacing w:val="-3"/>
          <w:w w:val="100"/>
          <w:sz w:val="21"/>
        </w:rPr>
        <w:t>）</w:t>
      </w:r>
      <w:r>
        <w:rPr>
          <w:rFonts w:ascii="Microsoft JhengHei" w:eastAsia="Microsoft JhengHei" w:hint="eastAsia"/>
          <w:b/>
          <w:spacing w:val="-2"/>
          <w:w w:val="100"/>
          <w:sz w:val="21"/>
        </w:rPr>
        <w:t>语言能力或咀嚼吞咽能力完全丧失</w:t>
      </w:r>
      <w:r>
        <w:rPr>
          <w:spacing w:val="-3"/>
          <w:w w:val="100"/>
          <w:sz w:val="21"/>
        </w:rPr>
        <w:t>（</w:t>
      </w:r>
      <w:r>
        <w:rPr>
          <w:w w:val="100"/>
          <w:sz w:val="21"/>
        </w:rPr>
        <w:t>见1</w:t>
      </w:r>
      <w:r>
        <w:rPr>
          <w:spacing w:val="-3"/>
          <w:w w:val="100"/>
          <w:sz w:val="21"/>
        </w:rPr>
        <w:t>0</w:t>
      </w:r>
      <w:r>
        <w:rPr>
          <w:w w:val="100"/>
          <w:sz w:val="21"/>
        </w:rPr>
        <w:t>.21</w:t>
      </w:r>
      <w:r>
        <w:rPr>
          <w:spacing w:val="-108"/>
          <w:w w:val="100"/>
          <w:sz w:val="21"/>
        </w:rPr>
        <w:t>）</w:t>
      </w:r>
      <w:r>
        <w:rPr>
          <w:w w:val="100"/>
          <w:sz w:val="21"/>
        </w:rPr>
        <w:t>；</w:t>
      </w:r>
      <w:r>
        <w:rPr>
          <w:spacing w:val="-3"/>
          <w:w w:val="100"/>
          <w:sz w:val="21"/>
        </w:rPr>
        <w:t>  </w:t>
      </w:r>
    </w:p>
    <w:p>
      <w:pPr>
        <w:spacing w:line="344" w:lineRule="exact" w:before="0"/>
        <w:ind w:left="1893" w:right="0" w:firstLine="0"/>
        <w:jc w:val="both"/>
        <w:rPr>
          <w:sz w:val="21"/>
        </w:rPr>
      </w:pPr>
      <w:r>
        <w:rPr>
          <w:sz w:val="21"/>
        </w:rPr>
        <w:t>（3）自主生活能力完全丧失，无法独立完成</w:t>
      </w:r>
      <w:r>
        <w:rPr>
          <w:rFonts w:ascii="Microsoft JhengHei" w:eastAsia="Microsoft JhengHei" w:hint="eastAsia"/>
          <w:b/>
          <w:sz w:val="21"/>
        </w:rPr>
        <w:t>六项基本日常生活活动</w:t>
      </w:r>
      <w:r>
        <w:rPr>
          <w:sz w:val="21"/>
        </w:rPr>
        <w:t>（见</w:t>
      </w:r>
    </w:p>
    <w:p>
      <w:pPr>
        <w:pStyle w:val="BodyText"/>
        <w:spacing w:before="21"/>
        <w:jc w:val="both"/>
      </w:pPr>
      <w:r>
        <w:rPr/>
        <w:t>10.22）中的三项或三项以上。  </w:t>
      </w:r>
    </w:p>
    <w:p>
      <w:pPr>
        <w:pStyle w:val="BodyText"/>
        <w:jc w:val="both"/>
      </w:pPr>
      <w:r>
        <w:rPr/>
        <w:t>四、重大器官移植术或造血干细胞移植术</w:t>
      </w:r>
    </w:p>
    <w:p>
      <w:pPr>
        <w:pStyle w:val="BodyText"/>
        <w:jc w:val="both"/>
      </w:pPr>
      <w:r>
        <w:rPr/>
        <w:t>重大器官移植术，指因相应器官功能衰竭，已经实施了肾脏、肝脏、心脏或</w:t>
      </w:r>
    </w:p>
    <w:p>
      <w:pPr>
        <w:pStyle w:val="BodyText"/>
        <w:spacing w:before="46"/>
        <w:jc w:val="both"/>
      </w:pPr>
      <w:r>
        <w:rPr/>
        <w:t>肺脏的异体移植手术。  </w:t>
      </w:r>
    </w:p>
    <w:p>
      <w:pPr>
        <w:pStyle w:val="BodyText"/>
        <w:spacing w:line="280" w:lineRule="auto" w:before="43"/>
        <w:ind w:right="211"/>
        <w:jc w:val="both"/>
      </w:pPr>
      <w:r>
        <w:rPr>
          <w:spacing w:val="-5"/>
        </w:rPr>
        <w:t>造血干细胞移植术，指因造血功能损害或造血系统恶性肿瘤，已经实施了造</w:t>
      </w:r>
      <w:r>
        <w:rPr>
          <w:spacing w:val="-6"/>
        </w:rPr>
        <w:t>血干细胞</w:t>
      </w:r>
      <w:r>
        <w:rPr>
          <w:spacing w:val="-3"/>
        </w:rPr>
        <w:t>（</w:t>
      </w:r>
      <w:r>
        <w:rPr>
          <w:spacing w:val="-4"/>
        </w:rPr>
        <w:t>包括骨髓造血干细胞、外周血造血干细胞和脐血造血干细胞</w:t>
      </w:r>
      <w:r>
        <w:rPr>
          <w:spacing w:val="-8"/>
        </w:rPr>
        <w:t>）</w:t>
      </w:r>
      <w:r>
        <w:rPr/>
        <w:t>的</w:t>
      </w:r>
      <w:r>
        <w:rPr>
          <w:spacing w:val="-3"/>
        </w:rPr>
        <w:t>异体移植手术。  </w:t>
      </w:r>
    </w:p>
    <w:p>
      <w:pPr>
        <w:pStyle w:val="BodyText"/>
        <w:spacing w:before="70"/>
      </w:pPr>
      <w:r>
        <w:rPr/>
        <w:t>五、冠状动脉搭桥术（或称冠状动脉旁路移植术）</w:t>
      </w:r>
    </w:p>
    <w:p>
      <w:pPr>
        <w:pStyle w:val="BodyText"/>
        <w:spacing w:line="278" w:lineRule="auto"/>
        <w:ind w:right="177"/>
      </w:pPr>
      <w:r>
        <w:rPr/>
        <w:t>指为治疗严重的冠心病，实际实施了开胸进行的冠状动脉血管旁路移植的手术。  </w:t>
      </w:r>
    </w:p>
    <w:p>
      <w:pPr>
        <w:pStyle w:val="BodyText"/>
        <w:spacing w:line="278" w:lineRule="auto" w:before="13"/>
        <w:ind w:right="176"/>
      </w:pPr>
      <w:r>
        <w:rPr/>
        <w:t>冠状动脉支架植入术、心导管球囊扩张术、激光射频技术及其它非开胸的介入手术、腔镜手术不在保障范围内。  </w:t>
      </w:r>
    </w:p>
    <w:p>
      <w:pPr>
        <w:pStyle w:val="BodyText"/>
        <w:spacing w:before="73"/>
        <w:jc w:val="both"/>
      </w:pPr>
      <w:r>
        <w:rPr/>
        <w:t>六、终末期肾病（或称慢性肾功能衰竭尿毒症期）</w:t>
      </w:r>
    </w:p>
    <w:p>
      <w:pPr>
        <w:pStyle w:val="BodyText"/>
        <w:jc w:val="both"/>
      </w:pPr>
      <w:r>
        <w:rPr/>
        <w:t>指双肾功能慢性不可逆性衰竭，达到尿毒症期，经诊断后已经进行了至少90</w:t>
      </w:r>
    </w:p>
    <w:p>
      <w:pPr>
        <w:pStyle w:val="BodyText"/>
        <w:spacing w:before="46"/>
        <w:jc w:val="both"/>
      </w:pPr>
      <w:r>
        <w:rPr/>
        <w:t>天的规律性透析治疗或实施了肾脏移植手术。  </w:t>
      </w:r>
    </w:p>
    <w:p>
      <w:pPr>
        <w:spacing w:after="0"/>
        <w:jc w:val="both"/>
        <w:sectPr>
          <w:footerReference w:type="default" r:id="rId8"/>
          <w:pgSz w:w="11900" w:h="16840"/>
          <w:pgMar w:footer="1204" w:header="0" w:top="1440" w:bottom="1400" w:left="1680" w:right="1200"/>
          <w:pgNumType w:start="10"/>
        </w:sectPr>
      </w:pPr>
    </w:p>
    <w:p>
      <w:pPr>
        <w:pStyle w:val="BodyText"/>
        <w:spacing w:before="15"/>
      </w:pPr>
      <w:r>
        <w:rPr/>
        <w:t>七、多个肢体缺失</w:t>
      </w:r>
    </w:p>
    <w:p>
      <w:pPr>
        <w:pStyle w:val="BodyText"/>
      </w:pPr>
      <w:r>
        <w:rPr/>
        <w:t>指因疾病或意外伤害导致两个或两个以上肢体自腕关节或踝关节近端（靠近</w:t>
      </w:r>
    </w:p>
    <w:p>
      <w:pPr>
        <w:pStyle w:val="BodyText"/>
        <w:spacing w:line="336" w:lineRule="auto" w:before="44"/>
        <w:ind w:right="4315"/>
      </w:pPr>
      <w:r>
        <w:rPr>
          <w:spacing w:val="-1"/>
        </w:rPr>
        <w:t>躯干端</w:t>
      </w:r>
      <w:r>
        <w:rPr/>
        <w:t>）</w:t>
      </w:r>
      <w:r>
        <w:rPr>
          <w:spacing w:val="-3"/>
        </w:rPr>
        <w:t>以上完全性断离。 八、急性或亚急性重症肝炎</w:t>
      </w:r>
    </w:p>
    <w:p>
      <w:pPr>
        <w:pStyle w:val="BodyText"/>
        <w:spacing w:before="22"/>
      </w:pPr>
      <w:r>
        <w:rPr/>
        <w:t>指因肝炎病毒感染引起肝脏组织弥漫性坏死，导致急性肝功能衰竭，且经血</w:t>
      </w:r>
    </w:p>
    <w:p>
      <w:pPr>
        <w:pStyle w:val="BodyText"/>
        <w:spacing w:before="43"/>
      </w:pPr>
      <w:r>
        <w:rPr/>
        <w:t>清学或病毒学检查证实，并须满足下列全部条件：  </w:t>
      </w:r>
    </w:p>
    <w:p>
      <w:pPr>
        <w:pStyle w:val="BodyText"/>
        <w:spacing w:before="43"/>
      </w:pPr>
      <w:r>
        <w:rPr/>
        <w:t>（1）重度黄疸或黄疸迅速加重；  </w:t>
      </w:r>
    </w:p>
    <w:p>
      <w:pPr>
        <w:pStyle w:val="BodyText"/>
        <w:spacing w:before="46"/>
      </w:pPr>
      <w:r>
        <w:rPr/>
        <w:t>（2）肝性脑病；  </w:t>
      </w:r>
    </w:p>
    <w:p>
      <w:pPr>
        <w:pStyle w:val="BodyText"/>
        <w:spacing w:before="44"/>
      </w:pPr>
      <w:r>
        <w:rPr/>
        <w:t>（3）B超或其它影像学检查显示肝脏体积急速萎缩；  </w:t>
      </w:r>
    </w:p>
    <w:p>
      <w:pPr>
        <w:pStyle w:val="BodyText"/>
        <w:spacing w:before="44"/>
      </w:pPr>
      <w:r>
        <w:rPr/>
        <w:t>（4）肝功能指标进行性恶化。  </w:t>
      </w:r>
    </w:p>
    <w:p>
      <w:pPr>
        <w:pStyle w:val="BodyText"/>
        <w:spacing w:before="109"/>
      </w:pPr>
      <w:r>
        <w:rPr/>
        <w:t>九、良性脑肿瘤</w:t>
      </w:r>
    </w:p>
    <w:p>
      <w:pPr>
        <w:pStyle w:val="BodyText"/>
        <w:spacing w:line="278" w:lineRule="auto"/>
        <w:ind w:right="131"/>
        <w:jc w:val="both"/>
      </w:pPr>
      <w:r>
        <w:rPr>
          <w:spacing w:val="-6"/>
        </w:rPr>
        <w:t>指脑的良性肿瘤，已经引起颅内压增高，临床表现为视神经乳头水肿、精神</w:t>
      </w:r>
      <w:r>
        <w:rPr>
          <w:w w:val="100"/>
        </w:rPr>
        <w:t>症状、癫痫及运动感觉障碍等，并危及生命。须由头颅断层扫描</w:t>
      </w:r>
      <w:r>
        <w:rPr>
          <w:spacing w:val="1"/>
          <w:w w:val="100"/>
        </w:rPr>
        <w:t>（</w:t>
      </w:r>
      <w:r>
        <w:rPr>
          <w:w w:val="100"/>
        </w:rPr>
        <w:t>C</w:t>
      </w:r>
      <w:r>
        <w:rPr>
          <w:spacing w:val="1"/>
          <w:w w:val="100"/>
        </w:rPr>
        <w:t>T</w:t>
      </w:r>
      <w:r>
        <w:rPr>
          <w:spacing w:val="-106"/>
          <w:w w:val="100"/>
        </w:rPr>
        <w:t>）</w:t>
      </w:r>
      <w:r>
        <w:rPr>
          <w:w w:val="100"/>
        </w:rPr>
        <w:t>、核</w:t>
      </w:r>
      <w:r>
        <w:rPr>
          <w:spacing w:val="-4"/>
        </w:rPr>
        <w:t>磁共振检查</w:t>
      </w:r>
      <w:r>
        <w:rPr>
          <w:spacing w:val="-1"/>
        </w:rPr>
        <w:t>（MRI）</w:t>
      </w:r>
      <w:r>
        <w:rPr>
          <w:spacing w:val="-4"/>
        </w:rPr>
        <w:t>或正电子发射断层扫描</w:t>
      </w:r>
      <w:r>
        <w:rPr/>
        <w:t>（PET）</w:t>
      </w:r>
      <w:r>
        <w:rPr>
          <w:spacing w:val="-4"/>
        </w:rPr>
        <w:t>等影像学检查证实，并须</w:t>
      </w:r>
      <w:r>
        <w:rPr>
          <w:spacing w:val="-3"/>
        </w:rPr>
        <w:t>满足下列至少一项条件：  </w:t>
      </w:r>
    </w:p>
    <w:p>
      <w:pPr>
        <w:pStyle w:val="BodyText"/>
        <w:spacing w:before="10"/>
      </w:pPr>
      <w:r>
        <w:rPr/>
        <w:t>（1）实际实施了开颅进行的脑肿瘤完全切除或部分切除的手术；  </w:t>
      </w:r>
    </w:p>
    <w:p>
      <w:pPr>
        <w:pStyle w:val="BodyText"/>
        <w:spacing w:before="44"/>
      </w:pPr>
      <w:r>
        <w:rPr/>
        <w:t>（2）实际实施了对脑肿瘤进行的放射治疗。  </w:t>
      </w:r>
    </w:p>
    <w:p>
      <w:pPr>
        <w:pStyle w:val="BodyText"/>
        <w:spacing w:before="46"/>
      </w:pPr>
      <w:r>
        <w:rPr/>
        <w:t>脑垂体瘤、脑囊肿、脑血管性疾病不在保障范围内。  </w:t>
      </w:r>
    </w:p>
    <w:p>
      <w:pPr>
        <w:pStyle w:val="BodyText"/>
        <w:spacing w:before="44"/>
      </w:pPr>
      <w:r>
        <w:rPr/>
        <w:t>十、慢性肝功能衰竭失代偿期</w:t>
      </w:r>
    </w:p>
    <w:p>
      <w:pPr>
        <w:pStyle w:val="BodyText"/>
        <w:spacing w:before="44"/>
      </w:pPr>
      <w:r>
        <w:rPr/>
        <w:t>指因慢性肝脏疾病导致肝功能衰竭。须满足下列全部条件：  </w:t>
      </w:r>
    </w:p>
    <w:p>
      <w:pPr>
        <w:pStyle w:val="BodyText"/>
        <w:spacing w:before="46"/>
      </w:pPr>
      <w:r>
        <w:rPr/>
        <w:t>（1）持续性黄疸；  </w:t>
      </w:r>
    </w:p>
    <w:p>
      <w:pPr>
        <w:pStyle w:val="BodyText"/>
        <w:spacing w:before="44"/>
      </w:pPr>
      <w:r>
        <w:rPr/>
        <w:t>（2）腹水；  </w:t>
      </w:r>
    </w:p>
    <w:p>
      <w:pPr>
        <w:pStyle w:val="BodyText"/>
        <w:spacing w:before="44"/>
      </w:pPr>
      <w:r>
        <w:rPr/>
        <w:t>（3）肝性脑病；  </w:t>
      </w:r>
    </w:p>
    <w:p>
      <w:pPr>
        <w:pStyle w:val="BodyText"/>
        <w:spacing w:before="46"/>
      </w:pPr>
      <w:r>
        <w:rPr/>
        <w:t>（4）充血性脾肿大伴脾功能亢进或食管胃底静脉曲张。  </w:t>
      </w:r>
    </w:p>
    <w:p>
      <w:pPr>
        <w:pStyle w:val="BodyText"/>
        <w:spacing w:before="44"/>
      </w:pPr>
      <w:r>
        <w:rPr/>
        <w:t>因酗酒或药物滥用导致的肝功能衰竭不在保障范围内。  </w:t>
      </w:r>
    </w:p>
    <w:p>
      <w:pPr>
        <w:pStyle w:val="BodyText"/>
        <w:spacing w:before="107"/>
      </w:pPr>
      <w:r>
        <w:rPr/>
        <w:t>十一、脑炎后遗症或脑膜炎后遗症 </w:t>
      </w:r>
      <w:r>
        <w:rPr>
          <w:w w:val="100"/>
        </w:rPr>
        <w:t> </w:t>
      </w:r>
    </w:p>
    <w:p>
      <w:pPr>
        <w:pStyle w:val="BodyText"/>
        <w:spacing w:before="107"/>
      </w:pPr>
      <w:r>
        <w:rPr/>
        <w:t>指因患脑炎或脑膜炎导致的神经系统永久性的功能障碍。神经系统永久性的</w:t>
      </w:r>
    </w:p>
    <w:p>
      <w:pPr>
        <w:pStyle w:val="BodyText"/>
        <w:spacing w:before="47"/>
      </w:pPr>
      <w:r>
        <w:rPr/>
        <w:t>功能障碍，指疾病确诊180天后，仍遗留下列一种或一种以上障碍：  </w:t>
      </w:r>
    </w:p>
    <w:p>
      <w:pPr>
        <w:pStyle w:val="BodyText"/>
        <w:spacing w:before="44"/>
      </w:pPr>
      <w:r>
        <w:rPr/>
        <w:t>（1）一肢或一肢以上肢体机能完全丧失；  </w:t>
      </w:r>
    </w:p>
    <w:p>
      <w:pPr>
        <w:pStyle w:val="BodyText"/>
        <w:spacing w:before="44"/>
      </w:pPr>
      <w:r>
        <w:rPr/>
        <w:t>（2）语言能力或咀嚼吞咽能力完全丧失；  </w:t>
      </w:r>
    </w:p>
    <w:p>
      <w:pPr>
        <w:pStyle w:val="BodyText"/>
        <w:spacing w:before="47"/>
      </w:pPr>
      <w:r>
        <w:rPr/>
        <w:t>（3）自主生活能力完全丧失，无法独立完成六项基本日常生活活动中的三</w:t>
      </w:r>
    </w:p>
    <w:p>
      <w:pPr>
        <w:pStyle w:val="BodyText"/>
        <w:spacing w:before="44"/>
      </w:pPr>
      <w:r>
        <w:rPr/>
        <w:t>项或三项以上。  </w:t>
      </w:r>
    </w:p>
    <w:p>
      <w:pPr>
        <w:pStyle w:val="BodyText"/>
      </w:pPr>
      <w:r>
        <w:rPr/>
        <w:t>十二、深度昏迷</w:t>
      </w:r>
    </w:p>
    <w:p>
      <w:pPr>
        <w:pStyle w:val="BodyText"/>
        <w:spacing w:line="280" w:lineRule="auto"/>
        <w:ind w:right="108"/>
      </w:pPr>
      <w:r>
        <w:rPr>
          <w:spacing w:val="-3"/>
        </w:rPr>
        <w:t>指因疾病或意外伤害导致意识丧失,对外界刺激和体内需求均无反应,昏迷 程度按照格拉斯哥昏迷分级</w:t>
      </w:r>
      <w:r>
        <w:rPr/>
        <w:t>（Glasgow</w:t>
      </w:r>
      <w:r>
        <w:rPr>
          <w:spacing w:val="10"/>
        </w:rPr>
        <w:t> </w:t>
      </w:r>
      <w:r>
        <w:rPr/>
        <w:t>coma</w:t>
      </w:r>
      <w:r>
        <w:rPr>
          <w:spacing w:val="10"/>
        </w:rPr>
        <w:t> </w:t>
      </w:r>
      <w:r>
        <w:rPr/>
        <w:t>scale）</w:t>
      </w:r>
      <w:r>
        <w:rPr>
          <w:spacing w:val="-2"/>
        </w:rPr>
        <w:t>结果为</w:t>
      </w:r>
      <w:r>
        <w:rPr>
          <w:spacing w:val="-3"/>
        </w:rPr>
        <w:t>5</w:t>
      </w:r>
      <w:r>
        <w:rPr/>
        <w:t>分或</w:t>
      </w:r>
      <w:r>
        <w:rPr>
          <w:spacing w:val="-3"/>
        </w:rPr>
        <w:t>5</w:t>
      </w:r>
      <w:r>
        <w:rPr>
          <w:spacing w:val="-2"/>
        </w:rPr>
        <w:t>分以下， </w:t>
      </w:r>
      <w:r>
        <w:rPr>
          <w:spacing w:val="-3"/>
        </w:rPr>
        <w:t>且已经持续使用呼吸机及其它生命维持系统</w:t>
      </w:r>
      <w:r>
        <w:rPr/>
        <w:t>96</w:t>
      </w:r>
      <w:r>
        <w:rPr>
          <w:spacing w:val="-3"/>
        </w:rPr>
        <w:t>小时以上。  </w:t>
      </w:r>
    </w:p>
    <w:p>
      <w:pPr>
        <w:pStyle w:val="BodyText"/>
        <w:spacing w:before="70"/>
      </w:pPr>
      <w:r>
        <w:rPr/>
        <w:t>因酗酒或药物滥用导致的深度昏迷不在保障范围内。  </w:t>
      </w:r>
    </w:p>
    <w:p>
      <w:pPr>
        <w:pStyle w:val="BodyText"/>
      </w:pPr>
      <w:r>
        <w:rPr/>
        <w:t>十三、双耳失聪</w:t>
      </w:r>
    </w:p>
    <w:p>
      <w:pPr>
        <w:pStyle w:val="BodyText"/>
        <w:spacing w:line="264" w:lineRule="auto" w:before="42"/>
        <w:ind w:right="131"/>
        <w:jc w:val="both"/>
      </w:pPr>
      <w:r>
        <w:rPr>
          <w:spacing w:val="-3"/>
        </w:rPr>
        <w:t>指因疾病或意外伤害导致双耳听力</w:t>
      </w:r>
      <w:r>
        <w:rPr>
          <w:rFonts w:ascii="Microsoft JhengHei" w:eastAsia="Microsoft JhengHei" w:hint="eastAsia"/>
          <w:b/>
          <w:spacing w:val="-2"/>
        </w:rPr>
        <w:t>永久不可逆</w:t>
      </w:r>
      <w:r>
        <w:rPr>
          <w:spacing w:val="-3"/>
        </w:rPr>
        <w:t>（</w:t>
      </w:r>
      <w:r>
        <w:rPr/>
        <w:t>见</w:t>
      </w:r>
      <w:r>
        <w:rPr>
          <w:spacing w:val="-3"/>
        </w:rPr>
        <w:t>10.23）</w:t>
      </w:r>
      <w:r>
        <w:rPr>
          <w:spacing w:val="-4"/>
        </w:rPr>
        <w:t>性丧失，在</w:t>
      </w:r>
      <w:r>
        <w:rPr/>
        <w:t>500赫</w:t>
      </w:r>
      <w:r>
        <w:rPr>
          <w:spacing w:val="-4"/>
        </w:rPr>
        <w:t>兹、</w:t>
      </w:r>
      <w:r>
        <w:rPr/>
        <w:t>1000</w:t>
      </w:r>
      <w:r>
        <w:rPr>
          <w:spacing w:val="-3"/>
        </w:rPr>
        <w:t>赫兹和</w:t>
      </w:r>
      <w:r>
        <w:rPr/>
        <w:t>2000</w:t>
      </w:r>
      <w:r>
        <w:rPr>
          <w:spacing w:val="-4"/>
        </w:rPr>
        <w:t>赫兹语音频率下，平均听阈大于</w:t>
      </w:r>
      <w:r>
        <w:rPr/>
        <w:t>90</w:t>
      </w:r>
      <w:r>
        <w:rPr>
          <w:spacing w:val="-4"/>
        </w:rPr>
        <w:t>分贝，且经纯音听力</w:t>
      </w:r>
      <w:r>
        <w:rPr>
          <w:spacing w:val="-3"/>
        </w:rPr>
        <w:t>测试、声导抗检测或听觉诱发电位检测等证实。  </w:t>
      </w:r>
    </w:p>
    <w:p>
      <w:pPr>
        <w:spacing w:after="0" w:line="264" w:lineRule="auto"/>
        <w:jc w:val="both"/>
        <w:sectPr>
          <w:pgSz w:w="11900" w:h="16840"/>
          <w:pgMar w:header="0" w:footer="1204" w:top="1500" w:bottom="1400" w:left="1680" w:right="1280"/>
        </w:sectPr>
      </w:pPr>
    </w:p>
    <w:p>
      <w:pPr>
        <w:pStyle w:val="BodyText"/>
        <w:spacing w:before="15"/>
        <w:jc w:val="both"/>
      </w:pPr>
      <w:r>
        <w:rPr/>
        <w:t>十四、双目失明</w:t>
      </w:r>
    </w:p>
    <w:p>
      <w:pPr>
        <w:pStyle w:val="BodyText"/>
        <w:jc w:val="both"/>
      </w:pPr>
      <w:r>
        <w:rPr/>
        <w:t>指因疾病或意外伤害导致双眼视力永久不可逆性丧失，双眼中较好眼须满足</w:t>
      </w:r>
    </w:p>
    <w:p>
      <w:pPr>
        <w:pStyle w:val="BodyText"/>
        <w:spacing w:before="44"/>
        <w:jc w:val="both"/>
      </w:pPr>
      <w:r>
        <w:rPr/>
        <w:t>下列至少一项条件：  </w:t>
      </w:r>
    </w:p>
    <w:p>
      <w:pPr>
        <w:pStyle w:val="BodyText"/>
        <w:spacing w:before="109"/>
        <w:jc w:val="both"/>
      </w:pPr>
      <w:r>
        <w:rPr/>
        <w:t>（1）眼球缺失或摘除；  </w:t>
      </w:r>
    </w:p>
    <w:p>
      <w:pPr>
        <w:pStyle w:val="BodyText"/>
        <w:spacing w:line="278" w:lineRule="auto"/>
        <w:ind w:right="112"/>
      </w:pPr>
      <w:r>
        <w:rPr/>
        <w:t>（2）矫正视力低于0.02（采用国际标准视力表，如果使用其它视力表应进</w:t>
      </w:r>
      <w:r>
        <w:rPr>
          <w:spacing w:val="-1"/>
          <w:w w:val="100"/>
        </w:rPr>
        <w:t>行换算</w:t>
      </w:r>
      <w:r>
        <w:rPr>
          <w:spacing w:val="-106"/>
          <w:w w:val="100"/>
        </w:rPr>
        <w:t>）</w:t>
      </w:r>
      <w:r>
        <w:rPr>
          <w:w w:val="100"/>
        </w:rPr>
        <w:t>；</w:t>
      </w:r>
      <w:r>
        <w:rPr>
          <w:spacing w:val="-3"/>
          <w:w w:val="100"/>
        </w:rPr>
        <w:t>  </w:t>
      </w:r>
    </w:p>
    <w:p>
      <w:pPr>
        <w:pStyle w:val="BodyText"/>
        <w:spacing w:before="72"/>
      </w:pPr>
      <w:r>
        <w:rPr/>
        <w:t>（3）视野半径小于5度。  </w:t>
      </w:r>
    </w:p>
    <w:p>
      <w:pPr>
        <w:pStyle w:val="BodyText"/>
      </w:pPr>
      <w:r>
        <w:rPr/>
        <w:t>十五、瘫痪</w:t>
      </w:r>
    </w:p>
    <w:p>
      <w:pPr>
        <w:pStyle w:val="BodyText"/>
        <w:spacing w:line="278" w:lineRule="auto" w:before="109"/>
        <w:ind w:right="111"/>
        <w:jc w:val="both"/>
      </w:pPr>
      <w:r>
        <w:rPr>
          <w:spacing w:val="-4"/>
        </w:rPr>
        <w:t>指因疾病或意外伤害导致两肢或两肢以上肢体机能永久完全丧失。肢体机能永久完全丧失，指疾病确诊</w:t>
      </w:r>
      <w:r>
        <w:rPr/>
        <w:t>180</w:t>
      </w:r>
      <w:r>
        <w:rPr>
          <w:spacing w:val="-3"/>
        </w:rPr>
        <w:t>天后或意外伤害发生</w:t>
      </w:r>
      <w:r>
        <w:rPr/>
        <w:t>180</w:t>
      </w:r>
      <w:r>
        <w:rPr>
          <w:spacing w:val="-5"/>
        </w:rPr>
        <w:t>天后，每肢三大关节</w:t>
      </w:r>
      <w:r>
        <w:rPr>
          <w:spacing w:val="-4"/>
        </w:rPr>
        <w:t>中的两大关节仍然完全僵硬，或不能随意识活动。  </w:t>
      </w:r>
    </w:p>
    <w:p>
      <w:pPr>
        <w:pStyle w:val="BodyText"/>
        <w:spacing w:before="75"/>
      </w:pPr>
      <w:r>
        <w:rPr/>
        <w:t>十六、心脏瓣膜手术</w:t>
      </w:r>
    </w:p>
    <w:p>
      <w:pPr>
        <w:pStyle w:val="BodyText"/>
        <w:spacing w:line="278" w:lineRule="auto"/>
        <w:ind w:right="111"/>
      </w:pPr>
      <w:r>
        <w:rPr/>
        <w:t>指为治疗心脏瓣膜疾病，实际实施了开胸进行的心脏瓣膜置换或修复的手术。  </w:t>
      </w:r>
    </w:p>
    <w:p>
      <w:pPr>
        <w:pStyle w:val="BodyText"/>
        <w:spacing w:before="73"/>
      </w:pPr>
      <w:r>
        <w:rPr/>
        <w:t>十七、严重阿尔茨海默病</w:t>
      </w:r>
    </w:p>
    <w:p>
      <w:pPr>
        <w:pStyle w:val="BodyText"/>
        <w:spacing w:line="280" w:lineRule="auto"/>
        <w:ind w:right="112"/>
        <w:jc w:val="both"/>
      </w:pPr>
      <w:r>
        <w:rPr>
          <w:spacing w:val="-6"/>
        </w:rPr>
        <w:t>指因大脑进行性、不可逆性改变导致智能严重衰退或丧失，临床表现为明显的认知能力障碍、行为异常和社交能力减退，其日常生活必须持续受到他人</w:t>
      </w:r>
      <w:r>
        <w:rPr>
          <w:spacing w:val="-6"/>
          <w:w w:val="100"/>
        </w:rPr>
        <w:t>监护。须由头颅断层扫描</w:t>
      </w:r>
      <w:r>
        <w:rPr>
          <w:w w:val="100"/>
        </w:rPr>
        <w:t>（CT</w:t>
      </w:r>
      <w:r>
        <w:rPr>
          <w:spacing w:val="-106"/>
          <w:w w:val="100"/>
        </w:rPr>
        <w:t>）</w:t>
      </w:r>
      <w:r>
        <w:rPr>
          <w:spacing w:val="-4"/>
          <w:w w:val="100"/>
        </w:rPr>
        <w:t>、核磁共振检查</w:t>
      </w:r>
      <w:r>
        <w:rPr>
          <w:spacing w:val="-3"/>
          <w:w w:val="100"/>
        </w:rPr>
        <w:t>（</w:t>
      </w:r>
      <w:r>
        <w:rPr>
          <w:w w:val="100"/>
        </w:rPr>
        <w:t>M</w:t>
      </w:r>
      <w:r>
        <w:rPr>
          <w:spacing w:val="-3"/>
          <w:w w:val="100"/>
        </w:rPr>
        <w:t>R</w:t>
      </w:r>
      <w:r>
        <w:rPr>
          <w:w w:val="100"/>
        </w:rPr>
        <w:t>I</w:t>
      </w:r>
      <w:r>
        <w:rPr>
          <w:spacing w:val="-5"/>
          <w:w w:val="100"/>
        </w:rPr>
        <w:t>）</w:t>
      </w:r>
      <w:r>
        <w:rPr>
          <w:spacing w:val="-3"/>
          <w:w w:val="100"/>
        </w:rPr>
        <w:t>或正电子发射断层扫</w:t>
      </w:r>
      <w:r>
        <w:rPr>
          <w:spacing w:val="-3"/>
        </w:rPr>
        <w:t>描（PET）等影像学检查证实，且自主生活能力完全丧失，无法独立完成六项基本日常生活活动中的三项或三项以上。  </w:t>
      </w:r>
    </w:p>
    <w:p>
      <w:pPr>
        <w:pStyle w:val="BodyText"/>
        <w:spacing w:line="333" w:lineRule="auto" w:before="70"/>
        <w:ind w:right="2931"/>
      </w:pPr>
      <w:r>
        <w:rPr>
          <w:spacing w:val="-3"/>
        </w:rPr>
        <w:t>神经官能症和精神疾病不在保障范围内。  十八、严重脑损伤</w:t>
      </w:r>
    </w:p>
    <w:p>
      <w:pPr>
        <w:pStyle w:val="BodyText"/>
        <w:spacing w:line="278" w:lineRule="auto" w:before="24"/>
        <w:ind w:right="112"/>
        <w:jc w:val="both"/>
      </w:pPr>
      <w:r>
        <w:rPr>
          <w:spacing w:val="-5"/>
        </w:rPr>
        <w:t>指因头部遭受机械性外力，引起脑重要部位损伤，导致神经系统永久性的功</w:t>
      </w:r>
      <w:r>
        <w:rPr>
          <w:spacing w:val="-5"/>
          <w:w w:val="100"/>
        </w:rPr>
        <w:t>能障碍。须由头颅断层扫描</w:t>
      </w:r>
      <w:r>
        <w:rPr>
          <w:w w:val="100"/>
        </w:rPr>
        <w:t>（C</w:t>
      </w:r>
      <w:r>
        <w:rPr>
          <w:spacing w:val="-3"/>
          <w:w w:val="100"/>
        </w:rPr>
        <w:t>T</w:t>
      </w:r>
      <w:r>
        <w:rPr>
          <w:spacing w:val="-106"/>
          <w:w w:val="100"/>
        </w:rPr>
        <w:t>）</w:t>
      </w:r>
      <w:r>
        <w:rPr>
          <w:spacing w:val="-4"/>
          <w:w w:val="100"/>
        </w:rPr>
        <w:t>、核磁共振检查</w:t>
      </w:r>
      <w:r>
        <w:rPr>
          <w:spacing w:val="-3"/>
          <w:w w:val="100"/>
        </w:rPr>
        <w:t>（</w:t>
      </w:r>
      <w:r>
        <w:rPr>
          <w:w w:val="100"/>
        </w:rPr>
        <w:t>MRI</w:t>
      </w:r>
      <w:r>
        <w:rPr>
          <w:spacing w:val="-8"/>
          <w:w w:val="100"/>
        </w:rPr>
        <w:t>）</w:t>
      </w:r>
      <w:r>
        <w:rPr>
          <w:spacing w:val="-3"/>
          <w:w w:val="100"/>
        </w:rPr>
        <w:t>或正电子发射断层</w:t>
      </w:r>
      <w:r>
        <w:rPr>
          <w:spacing w:val="-6"/>
        </w:rPr>
        <w:t>扫描</w:t>
      </w:r>
      <w:r>
        <w:rPr>
          <w:spacing w:val="-3"/>
        </w:rPr>
        <w:t>（PET）</w:t>
      </w:r>
      <w:r>
        <w:rPr>
          <w:spacing w:val="-5"/>
        </w:rPr>
        <w:t>等影像学检查证实。神经系统永久性的功能障碍，指脑损伤</w:t>
      </w:r>
      <w:r>
        <w:rPr/>
        <w:t>180 </w:t>
      </w:r>
      <w:r>
        <w:rPr>
          <w:spacing w:val="-3"/>
        </w:rPr>
        <w:t>天后，仍遗留下列一种或一种以上障碍：  </w:t>
      </w:r>
    </w:p>
    <w:p>
      <w:pPr>
        <w:pStyle w:val="BodyText"/>
        <w:spacing w:before="10"/>
        <w:jc w:val="both"/>
      </w:pPr>
      <w:r>
        <w:rPr/>
        <w:t>（1）一肢或一肢以上肢体机能完全丧失；  </w:t>
      </w:r>
    </w:p>
    <w:p>
      <w:pPr>
        <w:pStyle w:val="BodyText"/>
        <w:spacing w:before="46"/>
        <w:jc w:val="both"/>
      </w:pPr>
      <w:r>
        <w:rPr/>
        <w:t>（2）语言能力或咀嚼吞咽能力完全丧失；  </w:t>
      </w:r>
    </w:p>
    <w:p>
      <w:pPr>
        <w:pStyle w:val="BodyText"/>
        <w:spacing w:before="44"/>
        <w:jc w:val="both"/>
      </w:pPr>
      <w:r>
        <w:rPr/>
        <w:t>（3）自主生活能力完全丧失，无法独立完成六项基本日常生活活动中的三</w:t>
      </w:r>
    </w:p>
    <w:p>
      <w:pPr>
        <w:pStyle w:val="BodyText"/>
        <w:spacing w:before="44"/>
        <w:jc w:val="both"/>
      </w:pPr>
      <w:r>
        <w:rPr/>
        <w:t>项或三项以上。  </w:t>
      </w:r>
    </w:p>
    <w:p>
      <w:pPr>
        <w:pStyle w:val="BodyText"/>
        <w:spacing w:before="108"/>
        <w:jc w:val="both"/>
      </w:pPr>
      <w:r>
        <w:rPr/>
        <w:t>十九、严重帕金森病</w:t>
      </w:r>
    </w:p>
    <w:p>
      <w:pPr>
        <w:pStyle w:val="BodyText"/>
        <w:jc w:val="both"/>
      </w:pPr>
      <w:r>
        <w:rPr/>
        <w:t>是一种中枢神经系统的退行性疾病，临床表现为震颤麻痹、共济失调等。须</w:t>
      </w:r>
    </w:p>
    <w:p>
      <w:pPr>
        <w:pStyle w:val="BodyText"/>
        <w:spacing w:before="44"/>
        <w:jc w:val="both"/>
      </w:pPr>
      <w:r>
        <w:rPr/>
        <w:t>满足下列全部条件：  </w:t>
      </w:r>
    </w:p>
    <w:p>
      <w:pPr>
        <w:pStyle w:val="BodyText"/>
        <w:spacing w:before="44"/>
        <w:jc w:val="both"/>
      </w:pPr>
      <w:r>
        <w:rPr/>
        <w:t>（1）药物治疗无法控制病情；  </w:t>
      </w:r>
    </w:p>
    <w:p>
      <w:pPr>
        <w:pStyle w:val="BodyText"/>
        <w:spacing w:before="46"/>
        <w:jc w:val="both"/>
      </w:pPr>
      <w:r>
        <w:rPr/>
        <w:t>（2）自主生活能力完全丧失，无法独立完成六项基本日常生活活动中的三</w:t>
      </w:r>
    </w:p>
    <w:p>
      <w:pPr>
        <w:pStyle w:val="BodyText"/>
        <w:spacing w:before="43"/>
        <w:jc w:val="both"/>
      </w:pPr>
      <w:r>
        <w:rPr/>
        <w:t>项或三项以上。  </w:t>
      </w:r>
    </w:p>
    <w:p>
      <w:pPr>
        <w:pStyle w:val="BodyText"/>
        <w:spacing w:before="43"/>
        <w:jc w:val="both"/>
      </w:pPr>
      <w:r>
        <w:rPr/>
        <w:t>继发性帕金森综合征不在保障范围内。  </w:t>
      </w:r>
    </w:p>
    <w:p>
      <w:pPr>
        <w:pStyle w:val="BodyText"/>
        <w:spacing w:before="108"/>
        <w:jc w:val="both"/>
      </w:pPr>
      <w:r>
        <w:rPr/>
        <w:t>二十、严重Ⅲ度烧伤</w:t>
      </w:r>
    </w:p>
    <w:p>
      <w:pPr>
        <w:pStyle w:val="BodyText"/>
        <w:jc w:val="both"/>
      </w:pPr>
      <w:r>
        <w:rPr/>
        <w:t>指烧伤程度为Ⅲ度，且Ⅲ度烧伤的面积达到全身体表面积的20％或20％以</w:t>
      </w:r>
    </w:p>
    <w:p>
      <w:pPr>
        <w:spacing w:after="0"/>
        <w:jc w:val="both"/>
        <w:sectPr>
          <w:pgSz w:w="11900" w:h="16840"/>
          <w:pgMar w:header="0" w:footer="1204" w:top="1500" w:bottom="1400" w:left="1680" w:right="1300"/>
        </w:sectPr>
      </w:pPr>
    </w:p>
    <w:p>
      <w:pPr>
        <w:pStyle w:val="BodyText"/>
        <w:spacing w:before="13"/>
      </w:pPr>
      <w:r>
        <w:rPr/>
        <w:t>上。体表面积根据《中国新九分法》计算。  </w:t>
      </w:r>
    </w:p>
    <w:p>
      <w:pPr>
        <w:pStyle w:val="BodyText"/>
        <w:spacing w:before="109"/>
      </w:pPr>
      <w:r>
        <w:rPr/>
        <w:t>二十一、严重原发性肺动脉高压</w:t>
      </w:r>
    </w:p>
    <w:p>
      <w:pPr>
        <w:pStyle w:val="BodyText"/>
        <w:spacing w:line="280" w:lineRule="auto"/>
        <w:ind w:right="131"/>
        <w:jc w:val="both"/>
      </w:pPr>
      <w:r>
        <w:rPr>
          <w:spacing w:val="-5"/>
        </w:rPr>
        <w:t>指不明原因的肺动脉压力持续性增高，进行性发展而导致的慢性疾病，已经</w:t>
      </w:r>
      <w:r>
        <w:rPr>
          <w:spacing w:val="-6"/>
        </w:rPr>
        <w:t>造成永久不可逆性的体力活动能力受限，达到美国纽约心脏病学会心功能状</w:t>
      </w:r>
      <w:r>
        <w:rPr>
          <w:spacing w:val="-2"/>
        </w:rPr>
        <w:t>态分级</w:t>
      </w:r>
      <w:r>
        <w:rPr>
          <w:spacing w:val="-1"/>
        </w:rPr>
        <w:t>IV</w:t>
      </w:r>
      <w:r>
        <w:rPr>
          <w:spacing w:val="-3"/>
        </w:rPr>
        <w:t>级，且静息状态下肺动脉平均压超过</w:t>
      </w:r>
      <w:r>
        <w:rPr/>
        <w:t>30mmHg。</w:t>
      </w:r>
      <w:r>
        <w:rPr>
          <w:spacing w:val="-3"/>
        </w:rPr>
        <w:t>  </w:t>
      </w:r>
    </w:p>
    <w:p>
      <w:pPr>
        <w:pStyle w:val="BodyText"/>
        <w:spacing w:before="68"/>
      </w:pPr>
      <w:r>
        <w:rPr/>
        <w:t>二十二、严重运动神经元病</w:t>
      </w:r>
    </w:p>
    <w:p>
      <w:pPr>
        <w:pStyle w:val="BodyText"/>
        <w:spacing w:line="278" w:lineRule="auto" w:before="107"/>
        <w:ind w:right="122"/>
        <w:jc w:val="both"/>
      </w:pPr>
      <w:r>
        <w:rPr>
          <w:spacing w:val="2"/>
        </w:rPr>
        <w:t>是一组中枢神经系统运动神经元的进行性变性疾病，包括进行性脊肌萎缩</w:t>
      </w:r>
      <w:r>
        <w:rPr>
          <w:spacing w:val="-6"/>
        </w:rPr>
        <w:t>症、进行性延髓麻痹症、原发性侧索硬化症、肌萎缩性侧索硬化症。须满足自主生活能力完全丧失，无法独立完成六项基本日常生活活动中的三项或三</w:t>
      </w:r>
      <w:r>
        <w:rPr>
          <w:spacing w:val="-4"/>
        </w:rPr>
        <w:t>项以上的条件。  </w:t>
      </w:r>
    </w:p>
    <w:p>
      <w:pPr>
        <w:pStyle w:val="BodyText"/>
        <w:spacing w:before="75"/>
      </w:pPr>
      <w:r>
        <w:rPr/>
        <w:t>二十三、语言能力丧失</w:t>
      </w:r>
    </w:p>
    <w:p>
      <w:pPr>
        <w:pStyle w:val="BodyText"/>
      </w:pPr>
      <w:r>
        <w:rPr/>
        <w:t>指因疾病或意外伤害导致完全丧失语言能力，经过积极治疗至少12个月（声</w:t>
      </w:r>
    </w:p>
    <w:p>
      <w:pPr>
        <w:pStyle w:val="BodyText"/>
        <w:spacing w:before="44"/>
      </w:pPr>
      <w:r>
        <w:rPr>
          <w:spacing w:val="-3"/>
          <w:w w:val="100"/>
        </w:rPr>
        <w:t>带完全切除不受此时间限制</w:t>
      </w:r>
      <w:r>
        <w:rPr>
          <w:spacing w:val="-106"/>
          <w:w w:val="100"/>
        </w:rPr>
        <w:t>）</w:t>
      </w:r>
      <w:r>
        <w:rPr>
          <w:spacing w:val="-3"/>
          <w:w w:val="100"/>
        </w:rPr>
        <w:t>，仍无法通过现有医疗手段恢复。  </w:t>
      </w:r>
    </w:p>
    <w:p>
      <w:pPr>
        <w:pStyle w:val="BodyText"/>
        <w:spacing w:line="336" w:lineRule="auto" w:before="44"/>
        <w:ind w:right="2004"/>
      </w:pPr>
      <w:r>
        <w:rPr>
          <w:spacing w:val="-3"/>
        </w:rPr>
        <w:t>精神心理因素所致的语言能力丧失不在保障范围内。 二十四、重型再生障碍性贫血</w:t>
      </w:r>
    </w:p>
    <w:p>
      <w:pPr>
        <w:pStyle w:val="BodyText"/>
        <w:spacing w:before="22"/>
        <w:jc w:val="both"/>
      </w:pPr>
      <w:r>
        <w:rPr/>
        <w:t>指因骨髓造血功能慢性持续性衰竭导致的贫血、中性粒细胞减少及血小板减</w:t>
      </w:r>
    </w:p>
    <w:p>
      <w:pPr>
        <w:pStyle w:val="BodyText"/>
        <w:spacing w:before="43"/>
        <w:jc w:val="both"/>
      </w:pPr>
      <w:r>
        <w:rPr/>
        <w:t>少。须满足下列全部条件：  </w:t>
      </w:r>
    </w:p>
    <w:p>
      <w:pPr>
        <w:pStyle w:val="BodyText"/>
        <w:spacing w:before="43"/>
        <w:jc w:val="both"/>
      </w:pPr>
      <w:r>
        <w:rPr/>
        <w:t>（1）骨髓穿刺检查或骨髓活检结果支持诊断；  </w:t>
      </w:r>
    </w:p>
    <w:p>
      <w:pPr>
        <w:pStyle w:val="BodyText"/>
        <w:spacing w:before="46"/>
        <w:jc w:val="both"/>
      </w:pPr>
      <w:r>
        <w:rPr/>
        <w:t>（2）外周血象须具备以下三项条件：  </w:t>
      </w:r>
    </w:p>
    <w:p>
      <w:pPr>
        <w:pStyle w:val="BodyText"/>
        <w:spacing w:before="44"/>
        <w:ind w:left="2419"/>
      </w:pPr>
      <w:r>
        <w:rPr/>
        <w:t>① 中性粒细胞绝对值≤0.5×10</w:t>
      </w:r>
      <w:r>
        <w:rPr>
          <w:position w:val="11"/>
          <w:sz w:val="11"/>
        </w:rPr>
        <w:t>9</w:t>
      </w:r>
      <w:r>
        <w:rPr/>
        <w:t>/L ；  </w:t>
      </w:r>
    </w:p>
    <w:p>
      <w:pPr>
        <w:pStyle w:val="BodyText"/>
        <w:spacing w:before="44"/>
        <w:ind w:left="2419"/>
      </w:pPr>
      <w:r>
        <w:rPr/>
        <w:t>② 网织红细胞＜1%；  </w:t>
      </w:r>
    </w:p>
    <w:p>
      <w:pPr>
        <w:pStyle w:val="BodyText"/>
        <w:spacing w:before="46"/>
        <w:ind w:left="2419"/>
      </w:pPr>
      <w:r>
        <w:rPr/>
        <w:t>③ 血小板绝对值≤20×10</w:t>
      </w:r>
      <w:r>
        <w:rPr>
          <w:position w:val="11"/>
          <w:sz w:val="11"/>
        </w:rPr>
        <w:t>9</w:t>
      </w:r>
      <w:r>
        <w:rPr/>
        <w:t>/L。  </w:t>
      </w:r>
    </w:p>
    <w:p>
      <w:pPr>
        <w:pStyle w:val="BodyText"/>
        <w:jc w:val="both"/>
      </w:pPr>
      <w:r>
        <w:rPr/>
        <w:t>二十五、主动脉手术 </w:t>
      </w:r>
      <w:r>
        <w:rPr>
          <w:w w:val="100"/>
        </w:rPr>
        <w:t> </w:t>
      </w:r>
    </w:p>
    <w:p>
      <w:pPr>
        <w:pStyle w:val="BodyText"/>
        <w:spacing w:line="280" w:lineRule="auto"/>
        <w:ind w:right="131"/>
        <w:jc w:val="both"/>
      </w:pPr>
      <w:r>
        <w:rPr>
          <w:spacing w:val="-6"/>
        </w:rPr>
        <w:t>指为治疗主动脉疾病，实际实施了开胸或开腹进行的切除、置换、修补病损主动脉血管的手术。主动脉指胸主动脉和腹主动脉，不包括胸主动脉和腹主</w:t>
      </w:r>
      <w:r>
        <w:rPr>
          <w:spacing w:val="-4"/>
        </w:rPr>
        <w:t>动脉的分支血管。</w:t>
      </w:r>
      <w:r>
        <w:rPr>
          <w:spacing w:val="-3"/>
        </w:rPr>
        <w:t>  </w:t>
      </w:r>
    </w:p>
    <w:p>
      <w:pPr>
        <w:pStyle w:val="BodyText"/>
        <w:spacing w:before="8"/>
      </w:pPr>
      <w:r>
        <w:rPr/>
        <w:t>动脉内血管成形术不在保障范围内。  </w:t>
      </w:r>
    </w:p>
    <w:p>
      <w:pPr>
        <w:pStyle w:val="BodyText"/>
        <w:spacing w:before="107"/>
      </w:pPr>
      <w:r>
        <w:rPr/>
        <w:t>二十六、严重多发性硬化症</w:t>
      </w:r>
    </w:p>
    <w:p>
      <w:pPr>
        <w:pStyle w:val="BodyText"/>
        <w:spacing w:line="278" w:lineRule="auto" w:before="107"/>
        <w:ind w:right="108"/>
        <w:jc w:val="both"/>
      </w:pPr>
      <w:r>
        <w:rPr/>
        <w:t>多发性硬化症为中枢神经系统白质多灶性脱髓鞘病变，病变有时累及灰质。多发性硬化症诊断必须明确无疑。本主险合同仅对多发性硬化症造成神经系统功能损害并且被保险人永久不可逆性的丧失自主生活能力，无法独立完成六项基本日常生活活动中的三项或三项以上的情况予以理赔。</w:t>
      </w:r>
    </w:p>
    <w:p>
      <w:pPr>
        <w:pStyle w:val="BodyText"/>
        <w:spacing w:before="75"/>
      </w:pPr>
      <w:r>
        <w:rPr/>
        <w:t>二十七、脊髓灰质炎</w:t>
      </w:r>
    </w:p>
    <w:p>
      <w:pPr>
        <w:pStyle w:val="BodyText"/>
        <w:spacing w:line="278" w:lineRule="auto" w:before="108"/>
        <w:ind w:right="122"/>
        <w:jc w:val="both"/>
      </w:pPr>
      <w:r>
        <w:rPr>
          <w:spacing w:val="-4"/>
        </w:rPr>
        <w:t>脊髓灰质炎是由于脊髓灰质炎病毒感染所致的瘫痪性疾病，临床表现为运动</w:t>
      </w:r>
      <w:r>
        <w:rPr>
          <w:spacing w:val="-5"/>
        </w:rPr>
        <w:t>功能损害或呼吸无力。脊髓灰质炎诊断必须明确无疑。本主险合同仅对脊髓</w:t>
      </w:r>
      <w:r>
        <w:rPr>
          <w:spacing w:val="2"/>
        </w:rPr>
        <w:t>灰质炎造成的神经系统功能损害已导致被保险人永久不可逆性的肢体瘫痪</w:t>
      </w:r>
      <w:r>
        <w:rPr>
          <w:spacing w:val="-3"/>
        </w:rPr>
        <w:t>的情况予以理赔。</w:t>
      </w:r>
      <w:r>
        <w:rPr/>
        <w:t> </w:t>
      </w:r>
    </w:p>
    <w:p>
      <w:pPr>
        <w:pStyle w:val="BodyText"/>
        <w:spacing w:before="70"/>
        <w:jc w:val="both"/>
      </w:pPr>
      <w:r>
        <w:rPr/>
        <w:t>二十八、严重慢性呼吸功能衰竭</w:t>
      </w:r>
    </w:p>
    <w:p>
      <w:pPr>
        <w:pStyle w:val="BodyText"/>
        <w:jc w:val="both"/>
      </w:pPr>
      <w:r>
        <w:rPr/>
        <w:t>被保险人患有慢性呼吸系统疾病或其它导致呼吸功能障碍的慢性疾病而出</w:t>
      </w:r>
    </w:p>
    <w:p>
      <w:pPr>
        <w:pStyle w:val="BodyText"/>
        <w:spacing w:before="44"/>
        <w:jc w:val="both"/>
      </w:pPr>
      <w:r>
        <w:rPr/>
        <w:t>现永久不可逆性的慢性呼吸衰竭，由专科医生确认并符合以下各项： </w:t>
      </w:r>
    </w:p>
    <w:p>
      <w:pPr>
        <w:spacing w:after="0"/>
        <w:jc w:val="both"/>
        <w:sectPr>
          <w:pgSz w:w="11900" w:h="16840"/>
          <w:pgMar w:header="0" w:footer="1204" w:top="1440" w:bottom="1400" w:left="1680" w:right="1280"/>
        </w:sectPr>
      </w:pPr>
    </w:p>
    <w:p>
      <w:pPr>
        <w:pStyle w:val="BodyText"/>
        <w:spacing w:before="13"/>
        <w:ind w:left="2313"/>
      </w:pPr>
      <w:r>
        <w:rPr/>
        <w:t>（1）休息时出现呼吸困难； </w:t>
      </w:r>
    </w:p>
    <w:p>
      <w:pPr>
        <w:pStyle w:val="BodyText"/>
        <w:ind w:left="2313"/>
      </w:pPr>
      <w:r>
        <w:rPr>
          <w:position w:val="1"/>
        </w:rPr>
        <w:t>（2）动脉氧分压 （PaO</w:t>
      </w:r>
      <w:r>
        <w:rPr>
          <w:sz w:val="11"/>
        </w:rPr>
        <w:t>2</w:t>
      </w:r>
      <w:r>
        <w:rPr>
          <w:position w:val="1"/>
        </w:rPr>
        <w:t>）&lt; 50mmHg； </w:t>
      </w:r>
    </w:p>
    <w:p>
      <w:pPr>
        <w:pStyle w:val="BodyText"/>
        <w:ind w:left="2313"/>
      </w:pPr>
      <w:r>
        <w:rPr>
          <w:position w:val="1"/>
        </w:rPr>
        <w:t>（3）动脉血氧饱和度 （SaO</w:t>
      </w:r>
      <w:r>
        <w:rPr>
          <w:sz w:val="11"/>
        </w:rPr>
        <w:t>2</w:t>
      </w:r>
      <w:r>
        <w:rPr>
          <w:position w:val="1"/>
        </w:rPr>
        <w:t>）&lt; 80％； </w:t>
      </w:r>
    </w:p>
    <w:p>
      <w:pPr>
        <w:pStyle w:val="BodyText"/>
        <w:spacing w:before="109"/>
        <w:ind w:left="2313"/>
      </w:pPr>
      <w:r>
        <w:rPr/>
        <w:t>（</w:t>
      </w:r>
      <w:r>
        <w:rPr>
          <w:rFonts w:ascii="Times New Roman" w:eastAsia="Times New Roman"/>
        </w:rPr>
        <w:t>4</w:t>
      </w:r>
      <w:r>
        <w:rPr/>
        <w:t>）因缺氧必须接受持续的输氧治疗。 </w:t>
      </w:r>
    </w:p>
    <w:p>
      <w:pPr>
        <w:pStyle w:val="BodyText"/>
        <w:spacing w:before="91"/>
      </w:pPr>
      <w:r>
        <w:rPr/>
        <w:t>二十九、严重类风湿关节炎</w:t>
      </w:r>
    </w:p>
    <w:p>
      <w:pPr>
        <w:pStyle w:val="BodyText"/>
        <w:spacing w:line="276" w:lineRule="auto" w:before="107"/>
        <w:ind w:right="106"/>
      </w:pPr>
      <w:r>
        <w:rPr>
          <w:spacing w:val="-4"/>
        </w:rPr>
        <w:t>严重类风湿关节炎为广泛分布的慢性进行性多关节病变，表现为关节严重变</w:t>
      </w:r>
      <w:r>
        <w:rPr>
          <w:spacing w:val="-5"/>
        </w:rPr>
        <w:t>形，侵犯至少三个主要关节或关节组</w:t>
      </w:r>
      <w:r>
        <w:rPr>
          <w:spacing w:val="-3"/>
        </w:rPr>
        <w:t>（如：双手（</w:t>
      </w:r>
      <w:r>
        <w:rPr>
          <w:spacing w:val="-1"/>
        </w:rPr>
        <w:t>多手指</w:t>
      </w:r>
      <w:r>
        <w:rPr>
          <w:spacing w:val="-5"/>
        </w:rPr>
        <w:t>）</w:t>
      </w:r>
      <w:r>
        <w:rPr>
          <w:spacing w:val="-4"/>
        </w:rPr>
        <w:t>关节、双足</w:t>
      </w:r>
      <w:r>
        <w:rPr/>
        <w:t>（多</w:t>
      </w:r>
      <w:r>
        <w:rPr>
          <w:spacing w:val="-2"/>
        </w:rPr>
        <w:t>足趾</w:t>
      </w:r>
      <w:r>
        <w:rPr>
          <w:spacing w:val="-5"/>
        </w:rPr>
        <w:t>）</w:t>
      </w:r>
      <w:r>
        <w:rPr>
          <w:spacing w:val="-4"/>
        </w:rPr>
        <w:t>关节、双腕关节、双膝关节和双髋关节</w:t>
      </w:r>
      <w:r>
        <w:rPr>
          <w:spacing w:val="-106"/>
        </w:rPr>
        <w:t>）</w:t>
      </w:r>
      <w:r>
        <w:rPr>
          <w:spacing w:val="-3"/>
        </w:rPr>
        <w:t>。诊断必须由专科医生确认， </w:t>
      </w:r>
      <w:r>
        <w:rPr>
          <w:spacing w:val="-2"/>
        </w:rPr>
        <w:t>被保险人所患的严重类风湿关节炎必须已经达到类风湿关节炎功能分级 </w:t>
      </w:r>
      <w:r>
        <w:rPr>
          <w:rFonts w:ascii="Times New Roman" w:eastAsia="Times New Roman"/>
        </w:rPr>
        <w:t>III </w:t>
      </w:r>
      <w:r>
        <w:rPr>
          <w:spacing w:val="-4"/>
        </w:rPr>
        <w:t>级以上的功能障碍</w:t>
      </w:r>
      <w:r>
        <w:rPr>
          <w:spacing w:val="-3"/>
        </w:rPr>
        <w:t>（</w:t>
      </w:r>
      <w:r>
        <w:rPr>
          <w:spacing w:val="-4"/>
        </w:rPr>
        <w:t>严重限制，不能完成大部分的日常工作和活动</w:t>
      </w:r>
      <w:r>
        <w:rPr>
          <w:spacing w:val="-8"/>
        </w:rPr>
        <w:t>）</w:t>
      </w:r>
      <w:r>
        <w:rPr>
          <w:spacing w:val="-2"/>
        </w:rPr>
        <w:t>并且符</w:t>
      </w:r>
      <w:r>
        <w:rPr>
          <w:spacing w:val="-3"/>
        </w:rPr>
        <w:t>合下列所有条件：</w:t>
      </w:r>
    </w:p>
    <w:p>
      <w:pPr>
        <w:pStyle w:val="BodyText"/>
        <w:spacing w:before="13"/>
        <w:ind w:left="2253"/>
      </w:pPr>
      <w:r>
        <w:rPr/>
        <w:t>（1） 晨 僵</w:t>
      </w:r>
    </w:p>
    <w:p>
      <w:pPr>
        <w:pStyle w:val="BodyText"/>
        <w:spacing w:before="44"/>
        <w:ind w:left="2253"/>
      </w:pPr>
      <w:r>
        <w:rPr/>
        <w:t>（2） 对称性关节炎</w:t>
      </w:r>
    </w:p>
    <w:p>
      <w:pPr>
        <w:pStyle w:val="BodyText"/>
        <w:spacing w:before="46"/>
        <w:ind w:left="2253"/>
      </w:pPr>
      <w:r>
        <w:rPr/>
        <w:t>（3） 类风湿性皮下结节</w:t>
      </w:r>
    </w:p>
    <w:p>
      <w:pPr>
        <w:pStyle w:val="BodyText"/>
        <w:spacing w:before="44"/>
        <w:ind w:left="2253"/>
      </w:pPr>
      <w:r>
        <w:rPr/>
        <w:t>（4） 类风湿因子滴度升高</w:t>
      </w:r>
    </w:p>
    <w:p>
      <w:pPr>
        <w:pStyle w:val="BodyText"/>
        <w:spacing w:before="44"/>
        <w:ind w:left="2253"/>
      </w:pPr>
      <w:r>
        <w:rPr/>
        <w:t>（5）  X 线显示严重的关节（软骨和骨）破坏和关节畸形</w:t>
      </w:r>
    </w:p>
    <w:p>
      <w:pPr>
        <w:pStyle w:val="BodyText"/>
        <w:spacing w:before="109"/>
      </w:pPr>
      <w:r>
        <w:rPr/>
        <w:t>三十、严重系统性红斑狼疮</w:t>
      </w:r>
    </w:p>
    <w:p>
      <w:pPr>
        <w:pStyle w:val="BodyText"/>
        <w:spacing w:line="278" w:lineRule="auto" w:before="107"/>
        <w:ind w:left="1802" w:right="279"/>
      </w:pPr>
      <w:r>
        <w:rPr/>
        <w:t>系统性红斑狼疮是由多种因素引起，累及多系统的自身免疫性疾病。其特点是生成自身抗体对抗多种自身抗原。多见于育龄妇女。 </w:t>
      </w:r>
    </w:p>
    <w:p>
      <w:pPr>
        <w:pStyle w:val="BodyText"/>
        <w:spacing w:line="278" w:lineRule="auto" w:before="11"/>
        <w:ind w:left="1802" w:right="176"/>
      </w:pPr>
      <w:r>
        <w:rPr>
          <w:spacing w:val="-3"/>
        </w:rPr>
        <w:t>本主险合同所指的系统性红斑狼疮仅限于累及肾脏</w:t>
      </w:r>
      <w:r>
        <w:rPr/>
        <w:t>（</w:t>
      </w:r>
      <w:r>
        <w:rPr>
          <w:spacing w:val="-3"/>
        </w:rPr>
        <w:t>经肾脏活检确认的，符</w:t>
      </w:r>
      <w:r>
        <w:rPr>
          <w:spacing w:val="-26"/>
        </w:rPr>
        <w:t>合 </w:t>
      </w:r>
      <w:r>
        <w:rPr/>
        <w:t>WHO</w:t>
      </w:r>
      <w:r>
        <w:rPr>
          <w:spacing w:val="-16"/>
        </w:rPr>
        <w:t> 诊断标准定义 </w:t>
      </w:r>
      <w:r>
        <w:rPr/>
        <w:t>III</w:t>
      </w:r>
      <w:r>
        <w:rPr>
          <w:spacing w:val="-26"/>
        </w:rPr>
        <w:t> 型至 </w:t>
      </w:r>
      <w:r>
        <w:rPr/>
        <w:t>V</w:t>
      </w:r>
      <w:r>
        <w:rPr>
          <w:spacing w:val="-10"/>
        </w:rPr>
        <w:t> 型狼疮性肾炎</w:t>
      </w:r>
      <w:r>
        <w:rPr/>
        <w:t>）</w:t>
      </w:r>
      <w:r>
        <w:rPr>
          <w:spacing w:val="-3"/>
        </w:rPr>
        <w:t>的系统性红斑狼疮。其他类型的红斑性狼疮，如盘状狼疮、仅累及血液及关节的狼疮不在保障范围内。世界卫生组织</w:t>
      </w:r>
      <w:r>
        <w:rPr>
          <w:spacing w:val="-1"/>
        </w:rPr>
        <w:t>（WHO）</w:t>
      </w:r>
      <w:r>
        <w:rPr>
          <w:spacing w:val="-3"/>
        </w:rPr>
        <w:t>狼疮性肾炎分型：</w:t>
      </w:r>
    </w:p>
    <w:tbl>
      <w:tblPr>
        <w:tblW w:w="0" w:type="auto"/>
        <w:jc w:val="left"/>
        <w:tblInd w:w="18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87"/>
        <w:gridCol w:w="4313"/>
      </w:tblGrid>
      <w:tr>
        <w:trPr>
          <w:trHeight w:val="350" w:hRule="atLeast"/>
        </w:trPr>
        <w:tc>
          <w:tcPr>
            <w:tcW w:w="2587" w:type="dxa"/>
          </w:tcPr>
          <w:p>
            <w:pPr>
              <w:pStyle w:val="TableParagraph"/>
              <w:spacing w:before="42"/>
              <w:ind w:left="35"/>
              <w:rPr>
                <w:sz w:val="21"/>
              </w:rPr>
            </w:pPr>
            <w:r>
              <w:rPr>
                <w:sz w:val="21"/>
              </w:rPr>
              <w:t>I 型（微小病变型）</w:t>
            </w:r>
          </w:p>
        </w:tc>
        <w:tc>
          <w:tcPr>
            <w:tcW w:w="4313" w:type="dxa"/>
          </w:tcPr>
          <w:p>
            <w:pPr>
              <w:pStyle w:val="TableParagraph"/>
              <w:spacing w:before="42"/>
              <w:ind w:left="108"/>
              <w:rPr>
                <w:sz w:val="21"/>
              </w:rPr>
            </w:pPr>
            <w:r>
              <w:rPr>
                <w:sz w:val="21"/>
              </w:rPr>
              <w:t>镜下阴性，尿液正常 </w:t>
            </w:r>
          </w:p>
        </w:tc>
      </w:tr>
      <w:tr>
        <w:trPr>
          <w:trHeight w:val="350" w:hRule="atLeast"/>
        </w:trPr>
        <w:tc>
          <w:tcPr>
            <w:tcW w:w="2587" w:type="dxa"/>
          </w:tcPr>
          <w:p>
            <w:pPr>
              <w:pStyle w:val="TableParagraph"/>
              <w:spacing w:before="42"/>
              <w:ind w:left="35"/>
              <w:rPr>
                <w:sz w:val="21"/>
              </w:rPr>
            </w:pPr>
            <w:r>
              <w:rPr>
                <w:sz w:val="21"/>
              </w:rPr>
              <w:t>II 型（系膜病变型） </w:t>
            </w:r>
          </w:p>
        </w:tc>
        <w:tc>
          <w:tcPr>
            <w:tcW w:w="4313" w:type="dxa"/>
          </w:tcPr>
          <w:p>
            <w:pPr>
              <w:pStyle w:val="TableParagraph"/>
              <w:spacing w:before="42"/>
              <w:ind w:left="107"/>
              <w:rPr>
                <w:sz w:val="21"/>
              </w:rPr>
            </w:pPr>
            <w:r>
              <w:rPr>
                <w:sz w:val="21"/>
              </w:rPr>
              <w:t>中度蛋白尿，偶有尿沉渣改变 </w:t>
            </w:r>
          </w:p>
        </w:tc>
      </w:tr>
      <w:tr>
        <w:trPr>
          <w:trHeight w:val="350" w:hRule="atLeast"/>
        </w:trPr>
        <w:tc>
          <w:tcPr>
            <w:tcW w:w="2587" w:type="dxa"/>
          </w:tcPr>
          <w:p>
            <w:pPr>
              <w:pStyle w:val="TableParagraph"/>
              <w:spacing w:before="42"/>
              <w:ind w:left="35" w:right="-15"/>
              <w:rPr>
                <w:sz w:val="21"/>
              </w:rPr>
            </w:pPr>
            <w:r>
              <w:rPr>
                <w:sz w:val="21"/>
              </w:rPr>
              <w:t>III</w:t>
            </w:r>
            <w:r>
              <w:rPr>
                <w:spacing w:val="-85"/>
                <w:sz w:val="21"/>
              </w:rPr>
              <w:t> 型</w:t>
            </w:r>
            <w:r>
              <w:rPr>
                <w:sz w:val="21"/>
              </w:rPr>
              <w:t>（</w:t>
            </w:r>
            <w:r>
              <w:rPr>
                <w:spacing w:val="-3"/>
                <w:sz w:val="21"/>
              </w:rPr>
              <w:t>局灶及节段增生型</w:t>
            </w:r>
            <w:r>
              <w:rPr>
                <w:spacing w:val="-108"/>
                <w:sz w:val="21"/>
              </w:rPr>
              <w:t>）</w:t>
            </w:r>
            <w:r>
              <w:rPr>
                <w:sz w:val="21"/>
              </w:rPr>
              <w:t> </w:t>
            </w:r>
          </w:p>
        </w:tc>
        <w:tc>
          <w:tcPr>
            <w:tcW w:w="4313" w:type="dxa"/>
          </w:tcPr>
          <w:p>
            <w:pPr>
              <w:pStyle w:val="TableParagraph"/>
              <w:spacing w:before="42"/>
              <w:ind w:left="108"/>
              <w:rPr>
                <w:sz w:val="21"/>
              </w:rPr>
            </w:pPr>
            <w:r>
              <w:rPr>
                <w:sz w:val="21"/>
              </w:rPr>
              <w:t>蛋白尿，尿沉渣改变 </w:t>
            </w:r>
          </w:p>
        </w:tc>
      </w:tr>
      <w:tr>
        <w:trPr>
          <w:trHeight w:val="350" w:hRule="atLeast"/>
        </w:trPr>
        <w:tc>
          <w:tcPr>
            <w:tcW w:w="2587" w:type="dxa"/>
          </w:tcPr>
          <w:p>
            <w:pPr>
              <w:pStyle w:val="TableParagraph"/>
              <w:spacing w:before="42"/>
              <w:ind w:left="35"/>
              <w:rPr>
                <w:sz w:val="21"/>
              </w:rPr>
            </w:pPr>
            <w:r>
              <w:rPr>
                <w:sz w:val="21"/>
              </w:rPr>
              <w:t>IV 型（弥漫增生型） </w:t>
            </w:r>
          </w:p>
        </w:tc>
        <w:tc>
          <w:tcPr>
            <w:tcW w:w="4313" w:type="dxa"/>
          </w:tcPr>
          <w:p>
            <w:pPr>
              <w:pStyle w:val="TableParagraph"/>
              <w:spacing w:before="42"/>
              <w:ind w:left="107"/>
              <w:rPr>
                <w:sz w:val="21"/>
              </w:rPr>
            </w:pPr>
            <w:r>
              <w:rPr>
                <w:sz w:val="21"/>
              </w:rPr>
              <w:t>急性肾炎伴有尿沉渣改变及／或肾病综合征 </w:t>
            </w:r>
          </w:p>
        </w:tc>
      </w:tr>
      <w:tr>
        <w:trPr>
          <w:trHeight w:val="297" w:hRule="atLeast"/>
        </w:trPr>
        <w:tc>
          <w:tcPr>
            <w:tcW w:w="2587" w:type="dxa"/>
          </w:tcPr>
          <w:p>
            <w:pPr>
              <w:pStyle w:val="TableParagraph"/>
              <w:spacing w:line="235" w:lineRule="exact" w:before="42"/>
              <w:ind w:left="35"/>
              <w:rPr>
                <w:sz w:val="21"/>
              </w:rPr>
            </w:pPr>
            <w:r>
              <w:rPr>
                <w:sz w:val="21"/>
              </w:rPr>
              <w:t>V 型（膜型） </w:t>
            </w:r>
          </w:p>
        </w:tc>
        <w:tc>
          <w:tcPr>
            <w:tcW w:w="4313" w:type="dxa"/>
          </w:tcPr>
          <w:p>
            <w:pPr>
              <w:pStyle w:val="TableParagraph"/>
              <w:spacing w:line="235" w:lineRule="exact" w:before="42"/>
              <w:ind w:left="108"/>
              <w:rPr>
                <w:sz w:val="21"/>
              </w:rPr>
            </w:pPr>
            <w:r>
              <w:rPr>
                <w:sz w:val="21"/>
              </w:rPr>
              <w:t>肾病综合征或重度蛋白尿 </w:t>
            </w:r>
          </w:p>
        </w:tc>
      </w:tr>
    </w:tbl>
    <w:p>
      <w:pPr>
        <w:pStyle w:val="BodyText"/>
        <w:spacing w:before="74"/>
      </w:pPr>
      <w:r>
        <w:rPr/>
        <w:t>三十一、经输血导致的人类免疫缺陷病毒感染</w:t>
      </w:r>
    </w:p>
    <w:p>
      <w:pPr>
        <w:pStyle w:val="BodyText"/>
        <w:spacing w:before="107"/>
      </w:pPr>
      <w:r>
        <w:rPr/>
        <w:t>被保险人感染上人类免疫缺陷病毒（HIV）并且符合下列所有条件： </w:t>
      </w:r>
    </w:p>
    <w:p>
      <w:pPr>
        <w:pStyle w:val="BodyText"/>
        <w:spacing w:before="44"/>
      </w:pPr>
      <w:r>
        <w:rPr/>
        <w:t>（1）本主险合同生效日或最后复效日后，被保险人因输血而感染 HIV； </w:t>
      </w:r>
    </w:p>
    <w:p>
      <w:pPr>
        <w:pStyle w:val="BodyText"/>
        <w:spacing w:line="280" w:lineRule="auto" w:before="44"/>
        <w:ind w:right="296"/>
      </w:pPr>
      <w:r>
        <w:rPr/>
        <w:t>（2）提供输血治疗的输血中心或医疗机构出具该项输血感染属医疗责任事故的报告，或者法院终审裁定为医疗责任； </w:t>
      </w:r>
    </w:p>
    <w:p>
      <w:pPr>
        <w:pStyle w:val="BodyText"/>
        <w:spacing w:before="9"/>
      </w:pPr>
      <w:r>
        <w:rPr/>
        <w:t>（3）受感染的被保险人不是血友病患者。 </w:t>
      </w:r>
    </w:p>
    <w:p>
      <w:pPr>
        <w:pStyle w:val="BodyText"/>
        <w:spacing w:line="268" w:lineRule="auto" w:before="44"/>
        <w:ind w:right="211" w:firstLine="7"/>
        <w:jc w:val="both"/>
      </w:pPr>
      <w:r>
        <w:rPr>
          <w:spacing w:val="-3"/>
        </w:rPr>
        <w:t>在任何治愈艾滋病</w:t>
      </w:r>
      <w:r>
        <w:rPr/>
        <w:t>（</w:t>
      </w:r>
      <w:r>
        <w:rPr>
          <w:rFonts w:ascii="Times New Roman" w:eastAsia="Times New Roman"/>
        </w:rPr>
        <w:t>AIDS</w:t>
      </w:r>
      <w:r>
        <w:rPr/>
        <w:t>）</w:t>
      </w:r>
      <w:r>
        <w:rPr>
          <w:spacing w:val="-14"/>
        </w:rPr>
        <w:t>或阻止 </w:t>
      </w:r>
      <w:r>
        <w:rPr>
          <w:rFonts w:ascii="Times New Roman" w:eastAsia="Times New Roman"/>
        </w:rPr>
        <w:t>HIV </w:t>
      </w:r>
      <w:r>
        <w:rPr>
          <w:spacing w:val="-3"/>
        </w:rPr>
        <w:t>病毒作用的疗法被发现以后，或能</w:t>
      </w:r>
      <w:r>
        <w:rPr>
          <w:spacing w:val="-16"/>
        </w:rPr>
        <w:t>防止 </w:t>
      </w:r>
      <w:r>
        <w:rPr>
          <w:rFonts w:ascii="Times New Roman" w:eastAsia="Times New Roman"/>
        </w:rPr>
        <w:t>AIDS </w:t>
      </w:r>
      <w:r>
        <w:rPr>
          <w:spacing w:val="-3"/>
        </w:rPr>
        <w:t>发生的医疗方法被研究出来以后，本主险合同将不再予以赔付。</w:t>
      </w:r>
      <w:r>
        <w:rPr>
          <w:spacing w:val="-4"/>
        </w:rPr>
        <w:t>任何因其他传播方式</w:t>
      </w:r>
      <w:r>
        <w:rPr/>
        <w:t>（</w:t>
      </w:r>
      <w:r>
        <w:rPr>
          <w:spacing w:val="-4"/>
        </w:rPr>
        <w:t>包括：性传播或静脉注射毒品</w:t>
      </w:r>
      <w:r>
        <w:rPr>
          <w:spacing w:val="-8"/>
        </w:rPr>
        <w:t>）</w:t>
      </w:r>
      <w:r>
        <w:rPr>
          <w:spacing w:val="-11"/>
        </w:rPr>
        <w:t>导致的 </w:t>
      </w:r>
      <w:r>
        <w:rPr/>
        <w:t>HIV</w:t>
      </w:r>
      <w:r>
        <w:rPr>
          <w:spacing w:val="-9"/>
        </w:rPr>
        <w:t> 感染不在</w:t>
      </w:r>
      <w:r>
        <w:rPr>
          <w:spacing w:val="-6"/>
        </w:rPr>
        <w:t>保障范围内。</w:t>
      </w:r>
      <w:r>
        <w:rPr/>
        <w:t> </w:t>
      </w:r>
    </w:p>
    <w:p>
      <w:pPr>
        <w:pStyle w:val="BodyText"/>
        <w:spacing w:before="86"/>
      </w:pPr>
      <w:r>
        <w:rPr/>
        <w:t>三十二、Ⅰ型糖尿病</w:t>
      </w:r>
    </w:p>
    <w:p>
      <w:pPr>
        <w:pStyle w:val="BodyText"/>
        <w:spacing w:before="104"/>
      </w:pPr>
      <w:r>
        <w:rPr/>
        <w:t>胰岛素依赖型糖尿病是由于胰岛素分泌不足引起的慢性血糖升高，并需持续</w:t>
      </w:r>
    </w:p>
    <w:p>
      <w:pPr>
        <w:spacing w:after="0"/>
        <w:sectPr>
          <w:pgSz w:w="11900" w:h="16840"/>
          <w:pgMar w:header="0" w:footer="1204" w:top="1440" w:bottom="1400" w:left="1680" w:right="1200"/>
        </w:sectPr>
      </w:pPr>
    </w:p>
    <w:p>
      <w:pPr>
        <w:pStyle w:val="BodyText"/>
        <w:spacing w:before="13"/>
        <w:ind w:left="2313"/>
        <w:jc w:val="both"/>
      </w:pPr>
      <w:r>
        <w:rPr/>
        <w:t>性地依赖外源性胰岛素维持 180 天以上，须由专科医生确诊并满足下述至少</w:t>
      </w:r>
    </w:p>
    <w:p>
      <w:pPr>
        <w:pStyle w:val="BodyText"/>
        <w:spacing w:before="44"/>
        <w:ind w:left="2313"/>
        <w:jc w:val="both"/>
      </w:pPr>
      <w:r>
        <w:rPr/>
        <w:t>一个条件： </w:t>
      </w:r>
    </w:p>
    <w:p>
      <w:pPr>
        <w:pStyle w:val="BodyText"/>
        <w:spacing w:before="46"/>
        <w:ind w:left="2313"/>
        <w:jc w:val="both"/>
      </w:pPr>
      <w:r>
        <w:rPr/>
        <w:t>（1）专科医生确定已出现增殖性视网膜病变； </w:t>
      </w:r>
    </w:p>
    <w:p>
      <w:pPr>
        <w:pStyle w:val="BodyText"/>
        <w:spacing w:before="44"/>
        <w:ind w:left="2313"/>
        <w:jc w:val="both"/>
      </w:pPr>
      <w:r>
        <w:rPr/>
        <w:t>（2）须植入心脏起搏器治疗心脏病；  </w:t>
      </w:r>
      <w:r>
        <w:rPr>
          <w:w w:val="100"/>
        </w:rPr>
        <w:t> </w:t>
      </w:r>
    </w:p>
    <w:p>
      <w:pPr>
        <w:pStyle w:val="BodyText"/>
        <w:spacing w:before="44"/>
        <w:ind w:left="2313"/>
        <w:jc w:val="both"/>
      </w:pPr>
      <w:r>
        <w:rPr/>
        <w:t>（3）因坏疽需切除一只或以上脚趾。 </w:t>
      </w:r>
    </w:p>
    <w:p>
      <w:pPr>
        <w:pStyle w:val="BodyText"/>
        <w:spacing w:before="108"/>
        <w:ind w:left="2313"/>
        <w:jc w:val="both"/>
      </w:pPr>
      <w:r>
        <w:rPr/>
        <w:t>三十三、克隆病</w:t>
      </w:r>
    </w:p>
    <w:p>
      <w:pPr>
        <w:pStyle w:val="BodyText"/>
        <w:spacing w:line="278" w:lineRule="auto"/>
        <w:ind w:left="2313" w:right="251"/>
        <w:jc w:val="both"/>
      </w:pPr>
      <w:r>
        <w:rPr>
          <w:spacing w:val="-5"/>
        </w:rPr>
        <w:t>克隆病是一种慢性肉芽肿性肠炎。被保险人所患的克隆病必须已经造成瘘管</w:t>
      </w:r>
      <w:r>
        <w:rPr>
          <w:spacing w:val="-6"/>
        </w:rPr>
        <w:t>形成并伴有肠梗阻或肠穿孔。诊断必须由病理检查结果证实存在特征性的克</w:t>
      </w:r>
      <w:r>
        <w:rPr>
          <w:spacing w:val="-4"/>
        </w:rPr>
        <w:t>隆病病理组织学变化。</w:t>
      </w:r>
      <w:r>
        <w:rPr/>
        <w:t> </w:t>
      </w:r>
    </w:p>
    <w:p>
      <w:pPr>
        <w:pStyle w:val="BodyText"/>
        <w:spacing w:before="13"/>
        <w:ind w:left="2313"/>
      </w:pPr>
      <w:r>
        <w:rPr/>
        <w:t>三十四、植物人状态</w:t>
      </w:r>
    </w:p>
    <w:p>
      <w:pPr>
        <w:pStyle w:val="BodyText"/>
        <w:spacing w:line="280" w:lineRule="auto" w:before="44"/>
        <w:ind w:left="2313" w:right="251"/>
        <w:jc w:val="both"/>
      </w:pPr>
      <w:r>
        <w:rPr>
          <w:spacing w:val="1"/>
        </w:rPr>
        <w:t>本主险合同所指的植物人状态是指由于严重脑创伤造成的对自身和环境的</w:t>
      </w:r>
      <w:r>
        <w:rPr>
          <w:spacing w:val="-5"/>
        </w:rPr>
        <w:t>意识的完全丧失状态。植物人状态必须由医疗机构的专科医生明确诊断，并</w:t>
      </w:r>
      <w:r>
        <w:rPr>
          <w:spacing w:val="-4"/>
        </w:rPr>
        <w:t>且确认被保险人在头部创伤</w:t>
      </w:r>
      <w:r>
        <w:rPr/>
        <w:t>60</w:t>
      </w:r>
      <w:r>
        <w:rPr>
          <w:spacing w:val="-3"/>
        </w:rPr>
        <w:t>天后的头部创伤昏迷评分小于6</w:t>
      </w:r>
      <w:r>
        <w:rPr>
          <w:spacing w:val="-2"/>
        </w:rPr>
        <w:t>分。</w:t>
      </w:r>
      <w:r>
        <w:rPr/>
        <w:t> </w:t>
      </w:r>
    </w:p>
    <w:p>
      <w:pPr>
        <w:pStyle w:val="BodyText"/>
        <w:spacing w:before="8" w:after="33"/>
        <w:ind w:left="2313"/>
        <w:jc w:val="both"/>
      </w:pPr>
      <w:r>
        <w:rPr/>
        <w:t>Glasgow 头部创伤昏迷评分表： </w:t>
      </w:r>
    </w:p>
    <w:tbl>
      <w:tblPr>
        <w:tblW w:w="0" w:type="auto"/>
        <w:jc w:val="left"/>
        <w:tblInd w:w="29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57"/>
        <w:gridCol w:w="331"/>
        <w:gridCol w:w="1941"/>
        <w:gridCol w:w="400"/>
        <w:gridCol w:w="1079"/>
        <w:gridCol w:w="455"/>
      </w:tblGrid>
      <w:tr>
        <w:trPr>
          <w:trHeight w:val="350" w:hRule="atLeast"/>
        </w:trPr>
        <w:tc>
          <w:tcPr>
            <w:tcW w:w="1788" w:type="dxa"/>
            <w:gridSpan w:val="2"/>
          </w:tcPr>
          <w:p>
            <w:pPr>
              <w:pStyle w:val="TableParagraph"/>
              <w:spacing w:before="45"/>
              <w:ind w:left="208"/>
              <w:rPr>
                <w:sz w:val="21"/>
              </w:rPr>
            </w:pPr>
            <w:r>
              <w:rPr>
                <w:sz w:val="21"/>
              </w:rPr>
              <w:t>睁眼活动（E） </w:t>
            </w:r>
          </w:p>
        </w:tc>
        <w:tc>
          <w:tcPr>
            <w:tcW w:w="2341" w:type="dxa"/>
            <w:gridSpan w:val="2"/>
          </w:tcPr>
          <w:p>
            <w:pPr>
              <w:pStyle w:val="TableParagraph"/>
              <w:spacing w:before="45"/>
              <w:ind w:left="487"/>
              <w:rPr>
                <w:sz w:val="21"/>
              </w:rPr>
            </w:pPr>
            <w:r>
              <w:rPr>
                <w:sz w:val="21"/>
              </w:rPr>
              <w:t>运动功能（M） </w:t>
            </w:r>
          </w:p>
        </w:tc>
        <w:tc>
          <w:tcPr>
            <w:tcW w:w="1534" w:type="dxa"/>
            <w:gridSpan w:val="2"/>
          </w:tcPr>
          <w:p>
            <w:pPr>
              <w:pStyle w:val="TableParagraph"/>
              <w:spacing w:before="45"/>
              <w:ind w:left="106" w:right="-15"/>
              <w:rPr>
                <w:sz w:val="21"/>
              </w:rPr>
            </w:pPr>
            <w:r>
              <w:rPr>
                <w:spacing w:val="-1"/>
                <w:sz w:val="21"/>
              </w:rPr>
              <w:t>语言功能</w:t>
            </w:r>
            <w:r>
              <w:rPr>
                <w:spacing w:val="-18"/>
                <w:sz w:val="21"/>
              </w:rPr>
              <w:t>（V）</w:t>
            </w:r>
            <w:r>
              <w:rPr>
                <w:sz w:val="21"/>
              </w:rPr>
              <w:t> </w:t>
            </w:r>
          </w:p>
        </w:tc>
      </w:tr>
      <w:tr>
        <w:trPr>
          <w:trHeight w:val="389" w:hRule="atLeast"/>
        </w:trPr>
        <w:tc>
          <w:tcPr>
            <w:tcW w:w="1457" w:type="dxa"/>
            <w:tcBorders>
              <w:bottom w:val="nil"/>
            </w:tcBorders>
          </w:tcPr>
          <w:p>
            <w:pPr>
              <w:pStyle w:val="TableParagraph"/>
              <w:spacing w:before="45"/>
              <w:ind w:left="105"/>
              <w:rPr>
                <w:sz w:val="21"/>
              </w:rPr>
            </w:pPr>
            <w:r>
              <w:rPr>
                <w:sz w:val="21"/>
              </w:rPr>
              <w:t>自动睁眼 </w:t>
            </w:r>
          </w:p>
        </w:tc>
        <w:tc>
          <w:tcPr>
            <w:tcW w:w="331" w:type="dxa"/>
            <w:tcBorders>
              <w:bottom w:val="nil"/>
            </w:tcBorders>
          </w:tcPr>
          <w:p>
            <w:pPr>
              <w:pStyle w:val="TableParagraph"/>
              <w:spacing w:before="45"/>
              <w:jc w:val="right"/>
              <w:rPr>
                <w:sz w:val="21"/>
              </w:rPr>
            </w:pPr>
            <w:r>
              <w:rPr>
                <w:sz w:val="21"/>
              </w:rPr>
              <w:t>4 </w:t>
            </w:r>
          </w:p>
        </w:tc>
        <w:tc>
          <w:tcPr>
            <w:tcW w:w="1941" w:type="dxa"/>
            <w:tcBorders>
              <w:bottom w:val="nil"/>
            </w:tcBorders>
          </w:tcPr>
          <w:p>
            <w:pPr>
              <w:pStyle w:val="TableParagraph"/>
              <w:spacing w:before="45"/>
              <w:ind w:left="107"/>
              <w:rPr>
                <w:sz w:val="21"/>
              </w:rPr>
            </w:pPr>
            <w:r>
              <w:rPr>
                <w:sz w:val="21"/>
              </w:rPr>
              <w:t>能听从指令活动 </w:t>
            </w:r>
          </w:p>
        </w:tc>
        <w:tc>
          <w:tcPr>
            <w:tcW w:w="400" w:type="dxa"/>
            <w:tcBorders>
              <w:bottom w:val="nil"/>
            </w:tcBorders>
          </w:tcPr>
          <w:p>
            <w:pPr>
              <w:pStyle w:val="TableParagraph"/>
              <w:spacing w:before="45"/>
              <w:ind w:left="141" w:right="103"/>
              <w:jc w:val="center"/>
              <w:rPr>
                <w:sz w:val="21"/>
              </w:rPr>
            </w:pPr>
            <w:r>
              <w:rPr>
                <w:sz w:val="21"/>
              </w:rPr>
              <w:t>6 </w:t>
            </w:r>
          </w:p>
        </w:tc>
        <w:tc>
          <w:tcPr>
            <w:tcW w:w="1079" w:type="dxa"/>
            <w:tcBorders>
              <w:bottom w:val="nil"/>
            </w:tcBorders>
          </w:tcPr>
          <w:p>
            <w:pPr>
              <w:pStyle w:val="TableParagraph"/>
              <w:spacing w:before="45"/>
              <w:ind w:left="106"/>
              <w:rPr>
                <w:sz w:val="21"/>
              </w:rPr>
            </w:pPr>
            <w:r>
              <w:rPr>
                <w:sz w:val="21"/>
              </w:rPr>
              <w:t>语言切题 </w:t>
            </w:r>
          </w:p>
        </w:tc>
        <w:tc>
          <w:tcPr>
            <w:tcW w:w="455" w:type="dxa"/>
            <w:tcBorders>
              <w:bottom w:val="nil"/>
            </w:tcBorders>
          </w:tcPr>
          <w:p>
            <w:pPr>
              <w:pStyle w:val="TableParagraph"/>
              <w:spacing w:before="45"/>
              <w:ind w:left="142" w:right="158"/>
              <w:jc w:val="center"/>
              <w:rPr>
                <w:sz w:val="21"/>
              </w:rPr>
            </w:pPr>
            <w:r>
              <w:rPr>
                <w:sz w:val="21"/>
              </w:rPr>
              <w:t>5 </w:t>
            </w:r>
          </w:p>
        </w:tc>
      </w:tr>
      <w:tr>
        <w:trPr>
          <w:trHeight w:val="350" w:hRule="atLeast"/>
        </w:trPr>
        <w:tc>
          <w:tcPr>
            <w:tcW w:w="1457" w:type="dxa"/>
            <w:tcBorders>
              <w:top w:val="nil"/>
              <w:bottom w:val="nil"/>
            </w:tcBorders>
          </w:tcPr>
          <w:p>
            <w:pPr>
              <w:pStyle w:val="TableParagraph"/>
              <w:spacing w:before="6"/>
              <w:ind w:left="105"/>
              <w:rPr>
                <w:sz w:val="21"/>
              </w:rPr>
            </w:pPr>
            <w:r>
              <w:rPr>
                <w:sz w:val="21"/>
              </w:rPr>
              <w:t>闻声后睁眼 </w:t>
            </w:r>
          </w:p>
        </w:tc>
        <w:tc>
          <w:tcPr>
            <w:tcW w:w="331" w:type="dxa"/>
            <w:tcBorders>
              <w:top w:val="nil"/>
              <w:bottom w:val="nil"/>
            </w:tcBorders>
          </w:tcPr>
          <w:p>
            <w:pPr>
              <w:pStyle w:val="TableParagraph"/>
              <w:spacing w:before="6"/>
              <w:jc w:val="right"/>
              <w:rPr>
                <w:sz w:val="21"/>
              </w:rPr>
            </w:pPr>
            <w:r>
              <w:rPr>
                <w:sz w:val="21"/>
              </w:rPr>
              <w:t>3 </w:t>
            </w:r>
          </w:p>
        </w:tc>
        <w:tc>
          <w:tcPr>
            <w:tcW w:w="1941" w:type="dxa"/>
            <w:tcBorders>
              <w:top w:val="nil"/>
              <w:bottom w:val="nil"/>
            </w:tcBorders>
          </w:tcPr>
          <w:p>
            <w:pPr>
              <w:pStyle w:val="TableParagraph"/>
              <w:spacing w:before="6"/>
              <w:ind w:left="107"/>
              <w:rPr>
                <w:sz w:val="21"/>
              </w:rPr>
            </w:pPr>
            <w:r>
              <w:rPr>
                <w:sz w:val="21"/>
              </w:rPr>
              <w:t>局部痛刺激有反应 </w:t>
            </w:r>
          </w:p>
        </w:tc>
        <w:tc>
          <w:tcPr>
            <w:tcW w:w="400" w:type="dxa"/>
            <w:tcBorders>
              <w:top w:val="nil"/>
              <w:bottom w:val="nil"/>
            </w:tcBorders>
          </w:tcPr>
          <w:p>
            <w:pPr>
              <w:pStyle w:val="TableParagraph"/>
              <w:spacing w:before="6"/>
              <w:ind w:left="141" w:right="103"/>
              <w:jc w:val="center"/>
              <w:rPr>
                <w:sz w:val="21"/>
              </w:rPr>
            </w:pPr>
            <w:r>
              <w:rPr>
                <w:sz w:val="21"/>
              </w:rPr>
              <w:t>5 </w:t>
            </w:r>
          </w:p>
        </w:tc>
        <w:tc>
          <w:tcPr>
            <w:tcW w:w="1079" w:type="dxa"/>
            <w:tcBorders>
              <w:top w:val="nil"/>
              <w:bottom w:val="nil"/>
            </w:tcBorders>
          </w:tcPr>
          <w:p>
            <w:pPr>
              <w:pStyle w:val="TableParagraph"/>
              <w:spacing w:before="6"/>
              <w:ind w:left="106"/>
              <w:rPr>
                <w:sz w:val="21"/>
              </w:rPr>
            </w:pPr>
            <w:r>
              <w:rPr>
                <w:sz w:val="21"/>
              </w:rPr>
              <w:t>语不达意 </w:t>
            </w:r>
          </w:p>
        </w:tc>
        <w:tc>
          <w:tcPr>
            <w:tcW w:w="455" w:type="dxa"/>
            <w:tcBorders>
              <w:top w:val="nil"/>
              <w:bottom w:val="nil"/>
            </w:tcBorders>
          </w:tcPr>
          <w:p>
            <w:pPr>
              <w:pStyle w:val="TableParagraph"/>
              <w:spacing w:before="6"/>
              <w:ind w:left="142" w:right="158"/>
              <w:jc w:val="center"/>
              <w:rPr>
                <w:sz w:val="21"/>
              </w:rPr>
            </w:pPr>
            <w:r>
              <w:rPr>
                <w:sz w:val="21"/>
              </w:rPr>
              <w:t>4 </w:t>
            </w:r>
          </w:p>
        </w:tc>
      </w:tr>
      <w:tr>
        <w:trPr>
          <w:trHeight w:val="350" w:hRule="atLeast"/>
        </w:trPr>
        <w:tc>
          <w:tcPr>
            <w:tcW w:w="1457" w:type="dxa"/>
            <w:tcBorders>
              <w:top w:val="nil"/>
              <w:bottom w:val="nil"/>
            </w:tcBorders>
          </w:tcPr>
          <w:p>
            <w:pPr>
              <w:pStyle w:val="TableParagraph"/>
              <w:spacing w:before="6"/>
              <w:ind w:left="105" w:right="-29"/>
              <w:rPr>
                <w:sz w:val="21"/>
              </w:rPr>
            </w:pPr>
            <w:r>
              <w:rPr>
                <w:spacing w:val="-3"/>
                <w:sz w:val="21"/>
              </w:rPr>
              <w:t>痛刺激后睁眼</w:t>
            </w:r>
            <w:r>
              <w:rPr>
                <w:sz w:val="21"/>
              </w:rPr>
              <w:t> </w:t>
            </w:r>
          </w:p>
        </w:tc>
        <w:tc>
          <w:tcPr>
            <w:tcW w:w="331" w:type="dxa"/>
            <w:tcBorders>
              <w:top w:val="nil"/>
              <w:bottom w:val="nil"/>
            </w:tcBorders>
          </w:tcPr>
          <w:p>
            <w:pPr>
              <w:pStyle w:val="TableParagraph"/>
              <w:spacing w:before="6"/>
              <w:jc w:val="right"/>
              <w:rPr>
                <w:sz w:val="21"/>
              </w:rPr>
            </w:pPr>
            <w:r>
              <w:rPr>
                <w:sz w:val="21"/>
              </w:rPr>
              <w:t>2 </w:t>
            </w:r>
          </w:p>
        </w:tc>
        <w:tc>
          <w:tcPr>
            <w:tcW w:w="1941" w:type="dxa"/>
            <w:tcBorders>
              <w:top w:val="nil"/>
              <w:bottom w:val="nil"/>
            </w:tcBorders>
          </w:tcPr>
          <w:p>
            <w:pPr>
              <w:pStyle w:val="TableParagraph"/>
              <w:spacing w:before="6"/>
              <w:ind w:left="107"/>
              <w:rPr>
                <w:sz w:val="21"/>
              </w:rPr>
            </w:pPr>
            <w:r>
              <w:rPr>
                <w:sz w:val="21"/>
              </w:rPr>
              <w:t>正常回缩反应 </w:t>
            </w:r>
          </w:p>
        </w:tc>
        <w:tc>
          <w:tcPr>
            <w:tcW w:w="400" w:type="dxa"/>
            <w:tcBorders>
              <w:top w:val="nil"/>
              <w:bottom w:val="nil"/>
            </w:tcBorders>
          </w:tcPr>
          <w:p>
            <w:pPr>
              <w:pStyle w:val="TableParagraph"/>
              <w:spacing w:before="6"/>
              <w:ind w:left="141" w:right="103"/>
              <w:jc w:val="center"/>
              <w:rPr>
                <w:sz w:val="21"/>
              </w:rPr>
            </w:pPr>
            <w:r>
              <w:rPr>
                <w:sz w:val="21"/>
              </w:rPr>
              <w:t>4 </w:t>
            </w:r>
          </w:p>
        </w:tc>
        <w:tc>
          <w:tcPr>
            <w:tcW w:w="1079" w:type="dxa"/>
            <w:tcBorders>
              <w:top w:val="nil"/>
              <w:bottom w:val="nil"/>
            </w:tcBorders>
          </w:tcPr>
          <w:p>
            <w:pPr>
              <w:pStyle w:val="TableParagraph"/>
              <w:spacing w:before="6"/>
              <w:ind w:left="106"/>
              <w:rPr>
                <w:sz w:val="21"/>
              </w:rPr>
            </w:pPr>
            <w:r>
              <w:rPr>
                <w:sz w:val="21"/>
              </w:rPr>
              <w:t>语言错乱 </w:t>
            </w:r>
          </w:p>
        </w:tc>
        <w:tc>
          <w:tcPr>
            <w:tcW w:w="455" w:type="dxa"/>
            <w:tcBorders>
              <w:top w:val="nil"/>
              <w:bottom w:val="nil"/>
            </w:tcBorders>
          </w:tcPr>
          <w:p>
            <w:pPr>
              <w:pStyle w:val="TableParagraph"/>
              <w:spacing w:before="6"/>
              <w:ind w:left="142" w:right="158"/>
              <w:jc w:val="center"/>
              <w:rPr>
                <w:sz w:val="21"/>
              </w:rPr>
            </w:pPr>
            <w:r>
              <w:rPr>
                <w:sz w:val="21"/>
              </w:rPr>
              <w:t>3 </w:t>
            </w:r>
          </w:p>
        </w:tc>
      </w:tr>
      <w:tr>
        <w:trPr>
          <w:trHeight w:val="350" w:hRule="atLeast"/>
        </w:trPr>
        <w:tc>
          <w:tcPr>
            <w:tcW w:w="1457" w:type="dxa"/>
            <w:tcBorders>
              <w:top w:val="nil"/>
              <w:bottom w:val="nil"/>
            </w:tcBorders>
          </w:tcPr>
          <w:p>
            <w:pPr>
              <w:pStyle w:val="TableParagraph"/>
              <w:spacing w:before="6"/>
              <w:ind w:left="105"/>
              <w:rPr>
                <w:sz w:val="21"/>
              </w:rPr>
            </w:pPr>
            <w:r>
              <w:rPr>
                <w:sz w:val="21"/>
              </w:rPr>
              <w:t>从不睁眼 </w:t>
            </w:r>
          </w:p>
        </w:tc>
        <w:tc>
          <w:tcPr>
            <w:tcW w:w="331" w:type="dxa"/>
            <w:tcBorders>
              <w:top w:val="nil"/>
              <w:bottom w:val="nil"/>
            </w:tcBorders>
          </w:tcPr>
          <w:p>
            <w:pPr>
              <w:pStyle w:val="TableParagraph"/>
              <w:spacing w:before="6"/>
              <w:jc w:val="right"/>
              <w:rPr>
                <w:sz w:val="21"/>
              </w:rPr>
            </w:pPr>
            <w:r>
              <w:rPr>
                <w:sz w:val="21"/>
              </w:rPr>
              <w:t>1 </w:t>
            </w:r>
          </w:p>
        </w:tc>
        <w:tc>
          <w:tcPr>
            <w:tcW w:w="1941" w:type="dxa"/>
            <w:tcBorders>
              <w:top w:val="nil"/>
              <w:bottom w:val="nil"/>
            </w:tcBorders>
          </w:tcPr>
          <w:p>
            <w:pPr>
              <w:pStyle w:val="TableParagraph"/>
              <w:spacing w:before="6"/>
              <w:ind w:left="107"/>
              <w:rPr>
                <w:sz w:val="21"/>
              </w:rPr>
            </w:pPr>
            <w:r>
              <w:rPr>
                <w:sz w:val="21"/>
              </w:rPr>
              <w:t>屈曲性姿势 </w:t>
            </w:r>
          </w:p>
        </w:tc>
        <w:tc>
          <w:tcPr>
            <w:tcW w:w="400" w:type="dxa"/>
            <w:tcBorders>
              <w:top w:val="nil"/>
              <w:bottom w:val="nil"/>
            </w:tcBorders>
          </w:tcPr>
          <w:p>
            <w:pPr>
              <w:pStyle w:val="TableParagraph"/>
              <w:spacing w:before="6"/>
              <w:ind w:left="141" w:right="103"/>
              <w:jc w:val="center"/>
              <w:rPr>
                <w:sz w:val="21"/>
              </w:rPr>
            </w:pPr>
            <w:r>
              <w:rPr>
                <w:sz w:val="21"/>
              </w:rPr>
              <w:t>3 </w:t>
            </w:r>
          </w:p>
        </w:tc>
        <w:tc>
          <w:tcPr>
            <w:tcW w:w="1079" w:type="dxa"/>
            <w:tcBorders>
              <w:top w:val="nil"/>
              <w:bottom w:val="nil"/>
            </w:tcBorders>
          </w:tcPr>
          <w:p>
            <w:pPr>
              <w:pStyle w:val="TableParagraph"/>
              <w:spacing w:before="6"/>
              <w:ind w:left="106"/>
              <w:rPr>
                <w:sz w:val="21"/>
              </w:rPr>
            </w:pPr>
            <w:r>
              <w:rPr>
                <w:sz w:val="21"/>
              </w:rPr>
              <w:t>糊涂发音 </w:t>
            </w:r>
          </w:p>
        </w:tc>
        <w:tc>
          <w:tcPr>
            <w:tcW w:w="455" w:type="dxa"/>
            <w:tcBorders>
              <w:top w:val="nil"/>
              <w:bottom w:val="nil"/>
            </w:tcBorders>
          </w:tcPr>
          <w:p>
            <w:pPr>
              <w:pStyle w:val="TableParagraph"/>
              <w:spacing w:before="6"/>
              <w:ind w:left="142" w:right="158"/>
              <w:jc w:val="center"/>
              <w:rPr>
                <w:sz w:val="21"/>
              </w:rPr>
            </w:pPr>
            <w:r>
              <w:rPr>
                <w:sz w:val="21"/>
              </w:rPr>
              <w:t>2 </w:t>
            </w:r>
          </w:p>
        </w:tc>
      </w:tr>
      <w:tr>
        <w:trPr>
          <w:trHeight w:val="350" w:hRule="atLeast"/>
        </w:trPr>
        <w:tc>
          <w:tcPr>
            <w:tcW w:w="1457" w:type="dxa"/>
            <w:tcBorders>
              <w:top w:val="nil"/>
              <w:bottom w:val="nil"/>
            </w:tcBorders>
          </w:tcPr>
          <w:p>
            <w:pPr>
              <w:pStyle w:val="TableParagraph"/>
              <w:rPr>
                <w:rFonts w:ascii="Times New Roman"/>
                <w:sz w:val="20"/>
              </w:rPr>
            </w:pPr>
          </w:p>
        </w:tc>
        <w:tc>
          <w:tcPr>
            <w:tcW w:w="331" w:type="dxa"/>
            <w:tcBorders>
              <w:top w:val="nil"/>
              <w:bottom w:val="nil"/>
            </w:tcBorders>
          </w:tcPr>
          <w:p>
            <w:pPr>
              <w:pStyle w:val="TableParagraph"/>
              <w:rPr>
                <w:rFonts w:ascii="Times New Roman"/>
                <w:sz w:val="20"/>
              </w:rPr>
            </w:pPr>
          </w:p>
        </w:tc>
        <w:tc>
          <w:tcPr>
            <w:tcW w:w="1941" w:type="dxa"/>
            <w:tcBorders>
              <w:top w:val="nil"/>
              <w:bottom w:val="nil"/>
            </w:tcBorders>
          </w:tcPr>
          <w:p>
            <w:pPr>
              <w:pStyle w:val="TableParagraph"/>
              <w:spacing w:before="6"/>
              <w:ind w:left="107"/>
              <w:rPr>
                <w:sz w:val="21"/>
              </w:rPr>
            </w:pPr>
            <w:r>
              <w:rPr>
                <w:sz w:val="21"/>
              </w:rPr>
              <w:t>伸直性姿势 </w:t>
            </w:r>
          </w:p>
        </w:tc>
        <w:tc>
          <w:tcPr>
            <w:tcW w:w="400" w:type="dxa"/>
            <w:tcBorders>
              <w:top w:val="nil"/>
              <w:bottom w:val="nil"/>
            </w:tcBorders>
          </w:tcPr>
          <w:p>
            <w:pPr>
              <w:pStyle w:val="TableParagraph"/>
              <w:spacing w:before="6"/>
              <w:ind w:left="141" w:right="103"/>
              <w:jc w:val="center"/>
              <w:rPr>
                <w:sz w:val="21"/>
              </w:rPr>
            </w:pPr>
            <w:r>
              <w:rPr>
                <w:sz w:val="21"/>
              </w:rPr>
              <w:t>2 </w:t>
            </w:r>
          </w:p>
        </w:tc>
        <w:tc>
          <w:tcPr>
            <w:tcW w:w="1079" w:type="dxa"/>
            <w:tcBorders>
              <w:top w:val="nil"/>
              <w:bottom w:val="nil"/>
            </w:tcBorders>
          </w:tcPr>
          <w:p>
            <w:pPr>
              <w:pStyle w:val="TableParagraph"/>
              <w:spacing w:before="6"/>
              <w:ind w:left="106"/>
              <w:rPr>
                <w:sz w:val="21"/>
              </w:rPr>
            </w:pPr>
            <w:r>
              <w:rPr>
                <w:sz w:val="21"/>
              </w:rPr>
              <w:t>无语言 </w:t>
            </w:r>
          </w:p>
        </w:tc>
        <w:tc>
          <w:tcPr>
            <w:tcW w:w="455" w:type="dxa"/>
            <w:tcBorders>
              <w:top w:val="nil"/>
              <w:bottom w:val="nil"/>
            </w:tcBorders>
          </w:tcPr>
          <w:p>
            <w:pPr>
              <w:pStyle w:val="TableParagraph"/>
              <w:spacing w:before="6"/>
              <w:ind w:left="142" w:right="158"/>
              <w:jc w:val="center"/>
              <w:rPr>
                <w:sz w:val="21"/>
              </w:rPr>
            </w:pPr>
            <w:r>
              <w:rPr>
                <w:sz w:val="21"/>
              </w:rPr>
              <w:t>1 </w:t>
            </w:r>
          </w:p>
        </w:tc>
      </w:tr>
      <w:tr>
        <w:trPr>
          <w:trHeight w:val="313" w:hRule="atLeast"/>
        </w:trPr>
        <w:tc>
          <w:tcPr>
            <w:tcW w:w="1457" w:type="dxa"/>
            <w:tcBorders>
              <w:top w:val="nil"/>
            </w:tcBorders>
          </w:tcPr>
          <w:p>
            <w:pPr>
              <w:pStyle w:val="TableParagraph"/>
              <w:rPr>
                <w:rFonts w:ascii="Times New Roman"/>
                <w:sz w:val="20"/>
              </w:rPr>
            </w:pPr>
          </w:p>
        </w:tc>
        <w:tc>
          <w:tcPr>
            <w:tcW w:w="331" w:type="dxa"/>
            <w:tcBorders>
              <w:top w:val="nil"/>
            </w:tcBorders>
          </w:tcPr>
          <w:p>
            <w:pPr>
              <w:pStyle w:val="TableParagraph"/>
              <w:rPr>
                <w:rFonts w:ascii="Times New Roman"/>
                <w:sz w:val="20"/>
              </w:rPr>
            </w:pPr>
          </w:p>
        </w:tc>
        <w:tc>
          <w:tcPr>
            <w:tcW w:w="1941" w:type="dxa"/>
            <w:tcBorders>
              <w:top w:val="nil"/>
            </w:tcBorders>
          </w:tcPr>
          <w:p>
            <w:pPr>
              <w:pStyle w:val="TableParagraph"/>
              <w:spacing w:before="6"/>
              <w:ind w:left="107"/>
              <w:rPr>
                <w:sz w:val="21"/>
              </w:rPr>
            </w:pPr>
            <w:r>
              <w:rPr>
                <w:sz w:val="21"/>
              </w:rPr>
              <w:t>无运动反应 </w:t>
            </w:r>
          </w:p>
        </w:tc>
        <w:tc>
          <w:tcPr>
            <w:tcW w:w="400" w:type="dxa"/>
            <w:tcBorders>
              <w:top w:val="nil"/>
            </w:tcBorders>
          </w:tcPr>
          <w:p>
            <w:pPr>
              <w:pStyle w:val="TableParagraph"/>
              <w:spacing w:before="6"/>
              <w:ind w:left="141" w:right="103"/>
              <w:jc w:val="center"/>
              <w:rPr>
                <w:sz w:val="21"/>
              </w:rPr>
            </w:pPr>
            <w:r>
              <w:rPr>
                <w:sz w:val="21"/>
              </w:rPr>
              <w:t>1 </w:t>
            </w:r>
          </w:p>
        </w:tc>
        <w:tc>
          <w:tcPr>
            <w:tcW w:w="1079" w:type="dxa"/>
            <w:tcBorders>
              <w:top w:val="nil"/>
            </w:tcBorders>
          </w:tcPr>
          <w:p>
            <w:pPr>
              <w:pStyle w:val="TableParagraph"/>
              <w:rPr>
                <w:rFonts w:ascii="Times New Roman"/>
                <w:sz w:val="20"/>
              </w:rPr>
            </w:pPr>
          </w:p>
        </w:tc>
        <w:tc>
          <w:tcPr>
            <w:tcW w:w="455" w:type="dxa"/>
            <w:tcBorders>
              <w:top w:val="nil"/>
            </w:tcBorders>
          </w:tcPr>
          <w:p>
            <w:pPr>
              <w:pStyle w:val="TableParagraph"/>
              <w:spacing w:before="6"/>
              <w:ind w:right="121"/>
              <w:jc w:val="center"/>
              <w:rPr>
                <w:sz w:val="21"/>
              </w:rPr>
            </w:pPr>
            <w:r>
              <w:rPr>
                <w:w w:val="100"/>
                <w:sz w:val="21"/>
              </w:rPr>
              <w:t> </w:t>
            </w:r>
          </w:p>
        </w:tc>
      </w:tr>
    </w:tbl>
    <w:p>
      <w:pPr>
        <w:pStyle w:val="BodyText"/>
        <w:spacing w:before="1" w:after="1"/>
        <w:ind w:left="0"/>
        <w:rPr>
          <w:sz w:val="8"/>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4"/>
        <w:gridCol w:w="1296"/>
        <w:gridCol w:w="7344"/>
      </w:tblGrid>
      <w:tr>
        <w:trPr>
          <w:trHeight w:val="296" w:hRule="atLeast"/>
        </w:trPr>
        <w:tc>
          <w:tcPr>
            <w:tcW w:w="1920" w:type="dxa"/>
            <w:gridSpan w:val="2"/>
            <w:vMerge w:val="restart"/>
          </w:tcPr>
          <w:p>
            <w:pPr>
              <w:pStyle w:val="TableParagraph"/>
              <w:rPr>
                <w:rFonts w:ascii="Times New Roman"/>
                <w:sz w:val="20"/>
              </w:rPr>
            </w:pPr>
          </w:p>
        </w:tc>
        <w:tc>
          <w:tcPr>
            <w:tcW w:w="7344" w:type="dxa"/>
          </w:tcPr>
          <w:p>
            <w:pPr>
              <w:pStyle w:val="TableParagraph"/>
              <w:spacing w:line="211" w:lineRule="exact"/>
              <w:ind w:left="280"/>
              <w:rPr>
                <w:sz w:val="21"/>
              </w:rPr>
            </w:pPr>
            <w:r>
              <w:rPr>
                <w:sz w:val="21"/>
              </w:rPr>
              <w:t>评分＝E＋M＋V</w:t>
            </w:r>
          </w:p>
        </w:tc>
      </w:tr>
      <w:tr>
        <w:trPr>
          <w:trHeight w:val="381" w:hRule="atLeast"/>
        </w:trPr>
        <w:tc>
          <w:tcPr>
            <w:tcW w:w="1920" w:type="dxa"/>
            <w:gridSpan w:val="2"/>
            <w:vMerge/>
            <w:tcBorders>
              <w:top w:val="nil"/>
            </w:tcBorders>
          </w:tcPr>
          <w:p>
            <w:pPr>
              <w:rPr>
                <w:sz w:val="2"/>
                <w:szCs w:val="2"/>
              </w:rPr>
            </w:pPr>
          </w:p>
        </w:tc>
        <w:tc>
          <w:tcPr>
            <w:tcW w:w="7344" w:type="dxa"/>
          </w:tcPr>
          <w:p>
            <w:pPr>
              <w:pStyle w:val="TableParagraph"/>
              <w:spacing w:before="21"/>
              <w:ind w:left="280"/>
              <w:rPr>
                <w:sz w:val="21"/>
              </w:rPr>
            </w:pPr>
            <w:r>
              <w:rPr>
                <w:sz w:val="21"/>
              </w:rPr>
              <w:t>三十五、严重全身型重症肌无力</w:t>
            </w:r>
          </w:p>
        </w:tc>
      </w:tr>
      <w:tr>
        <w:trPr>
          <w:trHeight w:val="350" w:hRule="atLeast"/>
        </w:trPr>
        <w:tc>
          <w:tcPr>
            <w:tcW w:w="1920" w:type="dxa"/>
            <w:gridSpan w:val="2"/>
            <w:vMerge/>
            <w:tcBorders>
              <w:top w:val="nil"/>
            </w:tcBorders>
          </w:tcPr>
          <w:p>
            <w:pPr>
              <w:rPr>
                <w:sz w:val="2"/>
                <w:szCs w:val="2"/>
              </w:rPr>
            </w:pPr>
          </w:p>
        </w:tc>
        <w:tc>
          <w:tcPr>
            <w:tcW w:w="7344" w:type="dxa"/>
          </w:tcPr>
          <w:p>
            <w:pPr>
              <w:pStyle w:val="TableParagraph"/>
              <w:spacing w:before="21"/>
              <w:ind w:left="280"/>
              <w:rPr>
                <w:sz w:val="21"/>
              </w:rPr>
            </w:pPr>
            <w:r>
              <w:rPr>
                <w:sz w:val="21"/>
              </w:rPr>
              <w:t>重症肌无力是一种神经肌肉接头传递障碍所致的疾病，表现为局部或全身骨</w:t>
            </w:r>
          </w:p>
        </w:tc>
      </w:tr>
      <w:tr>
        <w:trPr>
          <w:trHeight w:val="319" w:hRule="atLeast"/>
        </w:trPr>
        <w:tc>
          <w:tcPr>
            <w:tcW w:w="1920" w:type="dxa"/>
            <w:gridSpan w:val="2"/>
            <w:vMerge/>
            <w:tcBorders>
              <w:top w:val="nil"/>
            </w:tcBorders>
          </w:tcPr>
          <w:p>
            <w:pPr>
              <w:rPr>
                <w:sz w:val="2"/>
                <w:szCs w:val="2"/>
              </w:rPr>
            </w:pPr>
          </w:p>
        </w:tc>
        <w:tc>
          <w:tcPr>
            <w:tcW w:w="7344" w:type="dxa"/>
          </w:tcPr>
          <w:p>
            <w:pPr>
              <w:pStyle w:val="TableParagraph"/>
              <w:spacing w:line="265" w:lineRule="exact"/>
              <w:ind w:left="280"/>
              <w:rPr>
                <w:sz w:val="21"/>
              </w:rPr>
            </w:pPr>
            <w:r>
              <w:rPr>
                <w:sz w:val="21"/>
              </w:rPr>
              <w:t>骼肌（特别是眼外肌）极易疲劳。疾病可以累及呼吸肌、上肢或下肢的近端</w:t>
            </w:r>
          </w:p>
        </w:tc>
      </w:tr>
      <w:tr>
        <w:trPr>
          <w:trHeight w:val="320" w:hRule="atLeast"/>
        </w:trPr>
        <w:tc>
          <w:tcPr>
            <w:tcW w:w="1920" w:type="dxa"/>
            <w:gridSpan w:val="2"/>
            <w:vMerge/>
            <w:tcBorders>
              <w:top w:val="nil"/>
            </w:tcBorders>
          </w:tcPr>
          <w:p>
            <w:pPr>
              <w:rPr>
                <w:sz w:val="2"/>
                <w:szCs w:val="2"/>
              </w:rPr>
            </w:pPr>
          </w:p>
        </w:tc>
        <w:tc>
          <w:tcPr>
            <w:tcW w:w="7344" w:type="dxa"/>
          </w:tcPr>
          <w:p>
            <w:pPr>
              <w:pStyle w:val="TableParagraph"/>
              <w:spacing w:line="265" w:lineRule="exact"/>
              <w:ind w:left="280"/>
              <w:rPr>
                <w:sz w:val="21"/>
              </w:rPr>
            </w:pPr>
            <w:r>
              <w:rPr>
                <w:sz w:val="21"/>
              </w:rPr>
              <w:t>肌群或全身肌肉。重症肌无力必须经药物治疗和胸腺切除治疗一年以上仍无</w:t>
            </w:r>
          </w:p>
        </w:tc>
      </w:tr>
      <w:tr>
        <w:trPr>
          <w:trHeight w:val="320" w:hRule="atLeast"/>
        </w:trPr>
        <w:tc>
          <w:tcPr>
            <w:tcW w:w="1920" w:type="dxa"/>
            <w:gridSpan w:val="2"/>
            <w:vMerge/>
            <w:tcBorders>
              <w:top w:val="nil"/>
            </w:tcBorders>
          </w:tcPr>
          <w:p>
            <w:pPr>
              <w:rPr>
                <w:sz w:val="2"/>
                <w:szCs w:val="2"/>
              </w:rPr>
            </w:pPr>
          </w:p>
        </w:tc>
        <w:tc>
          <w:tcPr>
            <w:tcW w:w="7344" w:type="dxa"/>
          </w:tcPr>
          <w:p>
            <w:pPr>
              <w:pStyle w:val="TableParagraph"/>
              <w:spacing w:line="266" w:lineRule="exact"/>
              <w:ind w:left="280"/>
              <w:rPr>
                <w:sz w:val="21"/>
              </w:rPr>
            </w:pPr>
            <w:r>
              <w:rPr>
                <w:sz w:val="21"/>
              </w:rPr>
              <w:t>法控制病情，且日常生活活动评估证实被保险人无能力独立完成六项基本日</w:t>
            </w:r>
          </w:p>
        </w:tc>
      </w:tr>
      <w:tr>
        <w:trPr>
          <w:trHeight w:val="319" w:hRule="atLeast"/>
        </w:trPr>
        <w:tc>
          <w:tcPr>
            <w:tcW w:w="1920" w:type="dxa"/>
            <w:gridSpan w:val="2"/>
            <w:vMerge/>
            <w:tcBorders>
              <w:top w:val="nil"/>
            </w:tcBorders>
          </w:tcPr>
          <w:p>
            <w:pPr>
              <w:rPr>
                <w:sz w:val="2"/>
                <w:szCs w:val="2"/>
              </w:rPr>
            </w:pPr>
          </w:p>
        </w:tc>
        <w:tc>
          <w:tcPr>
            <w:tcW w:w="7344" w:type="dxa"/>
          </w:tcPr>
          <w:p>
            <w:pPr>
              <w:pStyle w:val="TableParagraph"/>
              <w:spacing w:line="265" w:lineRule="exact"/>
              <w:ind w:left="280"/>
              <w:rPr>
                <w:sz w:val="21"/>
              </w:rPr>
            </w:pPr>
            <w:r>
              <w:rPr>
                <w:sz w:val="21"/>
              </w:rPr>
              <w:t>常生活活动中的三项或三项以上。 </w:t>
            </w:r>
          </w:p>
        </w:tc>
      </w:tr>
      <w:tr>
        <w:trPr>
          <w:trHeight w:val="347" w:hRule="atLeast"/>
        </w:trPr>
        <w:tc>
          <w:tcPr>
            <w:tcW w:w="1920" w:type="dxa"/>
            <w:gridSpan w:val="2"/>
            <w:vMerge/>
            <w:tcBorders>
              <w:top w:val="nil"/>
            </w:tcBorders>
          </w:tcPr>
          <w:p>
            <w:pPr>
              <w:rPr>
                <w:sz w:val="2"/>
                <w:szCs w:val="2"/>
              </w:rPr>
            </w:pPr>
          </w:p>
        </w:tc>
        <w:tc>
          <w:tcPr>
            <w:tcW w:w="7344" w:type="dxa"/>
          </w:tcPr>
          <w:p>
            <w:pPr>
              <w:pStyle w:val="TableParagraph"/>
              <w:spacing w:line="265" w:lineRule="exact"/>
              <w:ind w:left="280"/>
              <w:rPr>
                <w:sz w:val="21"/>
              </w:rPr>
            </w:pPr>
            <w:r>
              <w:rPr>
                <w:sz w:val="21"/>
              </w:rPr>
              <w:t>眼肌型重症肌无力不在保障范围内。</w:t>
            </w:r>
          </w:p>
        </w:tc>
      </w:tr>
      <w:tr>
        <w:trPr>
          <w:trHeight w:val="377" w:hRule="atLeast"/>
        </w:trPr>
        <w:tc>
          <w:tcPr>
            <w:tcW w:w="624" w:type="dxa"/>
          </w:tcPr>
          <w:p>
            <w:pPr>
              <w:pStyle w:val="TableParagraph"/>
              <w:spacing w:before="19"/>
              <w:ind w:left="50"/>
              <w:rPr>
                <w:sz w:val="21"/>
              </w:rPr>
            </w:pPr>
            <w:r>
              <w:rPr>
                <w:w w:val="100"/>
                <w:sz w:val="21"/>
              </w:rPr>
              <w:t> </w:t>
            </w:r>
          </w:p>
        </w:tc>
        <w:tc>
          <w:tcPr>
            <w:tcW w:w="1296" w:type="dxa"/>
          </w:tcPr>
          <w:p>
            <w:pPr>
              <w:pStyle w:val="TableParagraph"/>
              <w:spacing w:before="19"/>
              <w:ind w:left="172"/>
              <w:rPr>
                <w:sz w:val="21"/>
              </w:rPr>
            </w:pPr>
            <w:r>
              <w:rPr>
                <w:w w:val="100"/>
                <w:sz w:val="21"/>
              </w:rPr>
              <w:t> </w:t>
            </w:r>
          </w:p>
        </w:tc>
        <w:tc>
          <w:tcPr>
            <w:tcW w:w="7344" w:type="dxa"/>
          </w:tcPr>
          <w:p>
            <w:pPr>
              <w:pStyle w:val="TableParagraph"/>
              <w:spacing w:before="19"/>
              <w:ind w:left="280"/>
              <w:rPr>
                <w:sz w:val="21"/>
              </w:rPr>
            </w:pPr>
            <w:r>
              <w:rPr>
                <w:w w:val="100"/>
                <w:sz w:val="21"/>
              </w:rPr>
              <w:t> </w:t>
            </w:r>
          </w:p>
        </w:tc>
      </w:tr>
      <w:tr>
        <w:trPr>
          <w:trHeight w:val="397" w:hRule="atLeast"/>
        </w:trPr>
        <w:tc>
          <w:tcPr>
            <w:tcW w:w="624" w:type="dxa"/>
          </w:tcPr>
          <w:p>
            <w:pPr>
              <w:pStyle w:val="TableParagraph"/>
              <w:spacing w:line="329" w:lineRule="exact"/>
              <w:ind w:left="50"/>
              <w:rPr>
                <w:rFonts w:ascii="Microsoft JhengHei"/>
                <w:b/>
                <w:sz w:val="21"/>
              </w:rPr>
            </w:pPr>
            <w:r>
              <w:rPr>
                <w:rFonts w:ascii="Microsoft JhengHei"/>
                <w:b/>
                <w:w w:val="90"/>
                <w:sz w:val="21"/>
              </w:rPr>
              <w:t>10. 7</w:t>
            </w:r>
          </w:p>
        </w:tc>
        <w:tc>
          <w:tcPr>
            <w:tcW w:w="1296" w:type="dxa"/>
          </w:tcPr>
          <w:p>
            <w:pPr>
              <w:pStyle w:val="TableParagraph"/>
              <w:spacing w:line="329" w:lineRule="exact"/>
              <w:ind w:left="172"/>
              <w:rPr>
                <w:rFonts w:ascii="Microsoft JhengHei" w:eastAsia="Microsoft JhengHei" w:hint="eastAsia"/>
                <w:b/>
                <w:sz w:val="21"/>
              </w:rPr>
            </w:pPr>
            <w:r>
              <w:rPr>
                <w:rFonts w:ascii="Microsoft JhengHei" w:eastAsia="Microsoft JhengHei" w:hint="eastAsia"/>
                <w:b/>
                <w:sz w:val="21"/>
              </w:rPr>
              <w:t>轻症疾病</w:t>
            </w:r>
          </w:p>
        </w:tc>
        <w:tc>
          <w:tcPr>
            <w:tcW w:w="7344" w:type="dxa"/>
          </w:tcPr>
          <w:p>
            <w:pPr>
              <w:pStyle w:val="TableParagraph"/>
              <w:spacing w:line="353" w:lineRule="exact"/>
              <w:ind w:left="280"/>
              <w:rPr>
                <w:rFonts w:ascii="Microsoft JhengHei" w:eastAsia="Microsoft JhengHei" w:hint="eastAsia"/>
                <w:b/>
                <w:sz w:val="21"/>
              </w:rPr>
            </w:pPr>
            <w:r>
              <w:rPr>
                <w:rFonts w:ascii="Microsoft JhengHei" w:eastAsia="Microsoft JhengHei" w:hint="eastAsia"/>
                <w:b/>
                <w:sz w:val="21"/>
              </w:rPr>
              <w:t>轻症疾病名称及疾病定义</w:t>
            </w:r>
          </w:p>
        </w:tc>
      </w:tr>
      <w:tr>
        <w:trPr>
          <w:trHeight w:val="621" w:hRule="atLeast"/>
        </w:trPr>
        <w:tc>
          <w:tcPr>
            <w:tcW w:w="1920" w:type="dxa"/>
            <w:gridSpan w:val="2"/>
            <w:vMerge w:val="restart"/>
          </w:tcPr>
          <w:p>
            <w:pPr>
              <w:pStyle w:val="TableParagraph"/>
              <w:rPr>
                <w:rFonts w:ascii="Times New Roman"/>
                <w:sz w:val="20"/>
              </w:rPr>
            </w:pPr>
          </w:p>
        </w:tc>
        <w:tc>
          <w:tcPr>
            <w:tcW w:w="7344" w:type="dxa"/>
          </w:tcPr>
          <w:p>
            <w:pPr>
              <w:pStyle w:val="TableParagraph"/>
              <w:spacing w:before="4"/>
              <w:ind w:left="280" w:right="216"/>
              <w:rPr>
                <w:sz w:val="21"/>
              </w:rPr>
            </w:pPr>
            <w:r>
              <w:rPr>
                <w:spacing w:val="-10"/>
                <w:sz w:val="21"/>
              </w:rPr>
              <w:t>为扩大本主险合同的保障范围，以下各项轻症疾病名称及其定义由我们自行</w:t>
            </w:r>
            <w:r>
              <w:rPr>
                <w:spacing w:val="-6"/>
                <w:sz w:val="21"/>
              </w:rPr>
              <w:t>制定使用。</w:t>
            </w:r>
            <w:r>
              <w:rPr>
                <w:sz w:val="21"/>
              </w:rPr>
              <w:t> </w:t>
            </w:r>
          </w:p>
        </w:tc>
      </w:tr>
      <w:tr>
        <w:trPr>
          <w:trHeight w:val="640" w:hRule="atLeast"/>
        </w:trPr>
        <w:tc>
          <w:tcPr>
            <w:tcW w:w="1920" w:type="dxa"/>
            <w:gridSpan w:val="2"/>
            <w:vMerge/>
            <w:tcBorders>
              <w:top w:val="nil"/>
            </w:tcBorders>
          </w:tcPr>
          <w:p>
            <w:pPr>
              <w:rPr>
                <w:sz w:val="2"/>
                <w:szCs w:val="2"/>
              </w:rPr>
            </w:pPr>
          </w:p>
        </w:tc>
        <w:tc>
          <w:tcPr>
            <w:tcW w:w="7344" w:type="dxa"/>
          </w:tcPr>
          <w:p>
            <w:pPr>
              <w:pStyle w:val="TableParagraph"/>
              <w:spacing w:line="294" w:lineRule="exact"/>
              <w:ind w:left="280"/>
              <w:rPr>
                <w:sz w:val="21"/>
              </w:rPr>
            </w:pPr>
            <w:r>
              <w:rPr>
                <w:sz w:val="21"/>
              </w:rPr>
              <w:t>被保险人发生符合以下疾病定义所述条件的疾病，应当由</w:t>
            </w:r>
            <w:r>
              <w:rPr>
                <w:rFonts w:ascii="Microsoft JhengHei" w:eastAsia="Microsoft JhengHei" w:hint="eastAsia"/>
                <w:b/>
                <w:sz w:val="21"/>
              </w:rPr>
              <w:t>专科医生</w:t>
            </w:r>
            <w:r>
              <w:rPr>
                <w:sz w:val="21"/>
              </w:rPr>
              <w:t>（见</w:t>
            </w:r>
          </w:p>
          <w:p>
            <w:pPr>
              <w:pStyle w:val="TableParagraph"/>
              <w:spacing w:line="262" w:lineRule="exact"/>
              <w:ind w:left="280"/>
              <w:rPr>
                <w:sz w:val="21"/>
              </w:rPr>
            </w:pPr>
            <w:r>
              <w:rPr>
                <w:sz w:val="21"/>
              </w:rPr>
              <w:t>10.19）明确诊断。 </w:t>
            </w:r>
          </w:p>
        </w:tc>
      </w:tr>
      <w:tr>
        <w:trPr>
          <w:trHeight w:val="380" w:hRule="atLeast"/>
        </w:trPr>
        <w:tc>
          <w:tcPr>
            <w:tcW w:w="1920" w:type="dxa"/>
            <w:gridSpan w:val="2"/>
            <w:vMerge/>
            <w:tcBorders>
              <w:top w:val="nil"/>
            </w:tcBorders>
          </w:tcPr>
          <w:p>
            <w:pPr>
              <w:rPr>
                <w:sz w:val="2"/>
                <w:szCs w:val="2"/>
              </w:rPr>
            </w:pPr>
          </w:p>
        </w:tc>
        <w:tc>
          <w:tcPr>
            <w:tcW w:w="7344" w:type="dxa"/>
          </w:tcPr>
          <w:p>
            <w:pPr>
              <w:pStyle w:val="TableParagraph"/>
              <w:spacing w:before="20"/>
              <w:ind w:left="280"/>
              <w:rPr>
                <w:sz w:val="21"/>
              </w:rPr>
            </w:pPr>
            <w:r>
              <w:rPr>
                <w:sz w:val="21"/>
              </w:rPr>
              <w:t>一、非危及生命的恶性病变 </w:t>
            </w:r>
          </w:p>
        </w:tc>
      </w:tr>
      <w:tr>
        <w:trPr>
          <w:trHeight w:val="351" w:hRule="atLeast"/>
        </w:trPr>
        <w:tc>
          <w:tcPr>
            <w:tcW w:w="1920" w:type="dxa"/>
            <w:gridSpan w:val="2"/>
            <w:vMerge/>
            <w:tcBorders>
              <w:top w:val="nil"/>
            </w:tcBorders>
          </w:tcPr>
          <w:p>
            <w:pPr>
              <w:rPr>
                <w:sz w:val="2"/>
                <w:szCs w:val="2"/>
              </w:rPr>
            </w:pPr>
          </w:p>
        </w:tc>
        <w:tc>
          <w:tcPr>
            <w:tcW w:w="7344" w:type="dxa"/>
          </w:tcPr>
          <w:p>
            <w:pPr>
              <w:pStyle w:val="TableParagraph"/>
              <w:spacing w:before="21"/>
              <w:ind w:left="280"/>
              <w:rPr>
                <w:sz w:val="21"/>
              </w:rPr>
            </w:pPr>
            <w:r>
              <w:rPr>
                <w:sz w:val="21"/>
              </w:rPr>
              <w:t>指经组织病理学检查被明确诊断为下列恶性病变，并且接受了相应的治疗。 </w:t>
            </w:r>
          </w:p>
        </w:tc>
      </w:tr>
      <w:tr>
        <w:trPr>
          <w:trHeight w:val="320" w:hRule="atLeast"/>
        </w:trPr>
        <w:tc>
          <w:tcPr>
            <w:tcW w:w="1920" w:type="dxa"/>
            <w:gridSpan w:val="2"/>
            <w:vMerge/>
            <w:tcBorders>
              <w:top w:val="nil"/>
            </w:tcBorders>
          </w:tcPr>
          <w:p>
            <w:pPr>
              <w:rPr>
                <w:sz w:val="2"/>
                <w:szCs w:val="2"/>
              </w:rPr>
            </w:pPr>
          </w:p>
        </w:tc>
        <w:tc>
          <w:tcPr>
            <w:tcW w:w="7344" w:type="dxa"/>
          </w:tcPr>
          <w:p>
            <w:pPr>
              <w:pStyle w:val="TableParagraph"/>
              <w:spacing w:line="266" w:lineRule="exact"/>
              <w:ind w:left="280"/>
              <w:rPr>
                <w:sz w:val="21"/>
              </w:rPr>
            </w:pPr>
            <w:r>
              <w:rPr>
                <w:sz w:val="21"/>
              </w:rPr>
              <w:t>(1) 原位癌 </w:t>
            </w:r>
          </w:p>
        </w:tc>
      </w:tr>
      <w:tr>
        <w:trPr>
          <w:trHeight w:val="319" w:hRule="atLeast"/>
        </w:trPr>
        <w:tc>
          <w:tcPr>
            <w:tcW w:w="1920" w:type="dxa"/>
            <w:gridSpan w:val="2"/>
            <w:vMerge/>
            <w:tcBorders>
              <w:top w:val="nil"/>
            </w:tcBorders>
          </w:tcPr>
          <w:p>
            <w:pPr>
              <w:rPr>
                <w:sz w:val="2"/>
                <w:szCs w:val="2"/>
              </w:rPr>
            </w:pPr>
          </w:p>
        </w:tc>
        <w:tc>
          <w:tcPr>
            <w:tcW w:w="7344" w:type="dxa"/>
          </w:tcPr>
          <w:p>
            <w:pPr>
              <w:pStyle w:val="TableParagraph"/>
              <w:spacing w:line="265" w:lineRule="exact"/>
              <w:ind w:left="280"/>
              <w:rPr>
                <w:sz w:val="21"/>
              </w:rPr>
            </w:pPr>
            <w:r>
              <w:rPr>
                <w:sz w:val="21"/>
              </w:rPr>
              <w:t>(2) 相当于 Binet 分期方案 A 期程度的慢性淋巴细胞白血病； </w:t>
            </w:r>
          </w:p>
        </w:tc>
      </w:tr>
      <w:tr>
        <w:trPr>
          <w:trHeight w:val="320" w:hRule="atLeast"/>
        </w:trPr>
        <w:tc>
          <w:tcPr>
            <w:tcW w:w="1920" w:type="dxa"/>
            <w:gridSpan w:val="2"/>
            <w:vMerge/>
            <w:tcBorders>
              <w:top w:val="nil"/>
            </w:tcBorders>
          </w:tcPr>
          <w:p>
            <w:pPr>
              <w:rPr>
                <w:sz w:val="2"/>
                <w:szCs w:val="2"/>
              </w:rPr>
            </w:pPr>
          </w:p>
        </w:tc>
        <w:tc>
          <w:tcPr>
            <w:tcW w:w="7344" w:type="dxa"/>
          </w:tcPr>
          <w:p>
            <w:pPr>
              <w:pStyle w:val="TableParagraph"/>
              <w:spacing w:line="265" w:lineRule="exact"/>
              <w:ind w:left="280"/>
              <w:rPr>
                <w:sz w:val="21"/>
              </w:rPr>
            </w:pPr>
            <w:r>
              <w:rPr>
                <w:sz w:val="21"/>
              </w:rPr>
              <w:t>(3) 相当于 Ann Arbor 分期方案 I 期程度的何杰金氏病； </w:t>
            </w:r>
          </w:p>
        </w:tc>
      </w:tr>
      <w:tr>
        <w:trPr>
          <w:trHeight w:val="266" w:hRule="atLeast"/>
        </w:trPr>
        <w:tc>
          <w:tcPr>
            <w:tcW w:w="1920" w:type="dxa"/>
            <w:gridSpan w:val="2"/>
            <w:vMerge/>
            <w:tcBorders>
              <w:top w:val="nil"/>
            </w:tcBorders>
          </w:tcPr>
          <w:p>
            <w:pPr>
              <w:rPr>
                <w:sz w:val="2"/>
                <w:szCs w:val="2"/>
              </w:rPr>
            </w:pPr>
          </w:p>
        </w:tc>
        <w:tc>
          <w:tcPr>
            <w:tcW w:w="7344" w:type="dxa"/>
          </w:tcPr>
          <w:p>
            <w:pPr>
              <w:pStyle w:val="TableParagraph"/>
              <w:spacing w:line="246" w:lineRule="exact"/>
              <w:ind w:left="280"/>
              <w:rPr>
                <w:sz w:val="21"/>
              </w:rPr>
            </w:pPr>
            <w:r>
              <w:rPr>
                <w:sz w:val="21"/>
              </w:rPr>
              <w:t>(4) 皮肤癌； </w:t>
            </w:r>
          </w:p>
        </w:tc>
      </w:tr>
    </w:tbl>
    <w:p>
      <w:pPr>
        <w:spacing w:after="0" w:line="246" w:lineRule="exact"/>
        <w:rPr>
          <w:sz w:val="21"/>
        </w:rPr>
        <w:sectPr>
          <w:pgSz w:w="11900" w:h="16840"/>
          <w:pgMar w:header="0" w:footer="1204" w:top="1440" w:bottom="1400" w:left="1260" w:right="1160"/>
        </w:sectPr>
      </w:pPr>
    </w:p>
    <w:p>
      <w:pPr>
        <w:pStyle w:val="BodyText"/>
        <w:spacing w:before="13"/>
        <w:ind w:left="1881"/>
      </w:pPr>
      <w:r>
        <w:rPr/>
        <w:t>(5) TNM 分期为 T1N0M0 期或更轻分期的前列腺癌。 </w:t>
      </w:r>
    </w:p>
    <w:p>
      <w:pPr>
        <w:pStyle w:val="BodyText"/>
      </w:pPr>
      <w:r>
        <w:rPr/>
        <w:t>二、不典型的急性心肌梗塞 </w:t>
      </w:r>
    </w:p>
    <w:p>
      <w:pPr>
        <w:pStyle w:val="BodyText"/>
        <w:spacing w:line="280" w:lineRule="auto"/>
        <w:ind w:right="163"/>
      </w:pPr>
      <w:r>
        <w:rPr/>
        <w:t>指被临床诊断为急性心肌梗塞并接受了急性心肌梗塞治疗，虽然未达到重大疾病“急性心肌梗塞”的给付标准，但满足下列全部条件： </w:t>
      </w:r>
    </w:p>
    <w:p>
      <w:pPr>
        <w:pStyle w:val="BodyText"/>
        <w:spacing w:before="8"/>
      </w:pPr>
      <w:r>
        <w:rPr/>
        <w:t>(1) 肌钙蛋白有诊断意义的升高； </w:t>
      </w:r>
    </w:p>
    <w:p>
      <w:pPr>
        <w:pStyle w:val="BodyText"/>
        <w:spacing w:before="44"/>
      </w:pPr>
      <w:r>
        <w:rPr/>
        <w:t>(2) 心电图有损伤性的 ST 段改变但未出现病理 Q 波。 </w:t>
      </w:r>
    </w:p>
    <w:p>
      <w:pPr>
        <w:pStyle w:val="BodyText"/>
        <w:spacing w:line="278" w:lineRule="auto" w:before="47"/>
        <w:ind w:right="211"/>
        <w:jc w:val="both"/>
      </w:pPr>
      <w:r>
        <w:rPr>
          <w:spacing w:val="1"/>
        </w:rPr>
        <w:t>如果被保险人在出现不典型的急性心肌梗塞以后接受冠状动脉介入手术治</w:t>
      </w:r>
      <w:r>
        <w:rPr>
          <w:spacing w:val="-5"/>
        </w:rPr>
        <w:t>疗，本公司仅就一种特定疾病提前给付保险金。给付后，本公司对不典型的</w:t>
      </w:r>
      <w:r>
        <w:rPr>
          <w:spacing w:val="-4"/>
        </w:rPr>
        <w:t>急性心肌梗塞和冠状动脉介入手术不再承担提前给付保险金的责任。</w:t>
      </w:r>
      <w:r>
        <w:rPr/>
        <w:t> </w:t>
      </w:r>
    </w:p>
    <w:p>
      <w:pPr>
        <w:pStyle w:val="BodyText"/>
        <w:spacing w:before="75"/>
      </w:pPr>
      <w:r>
        <w:rPr/>
        <w:t>三、轻微脑中风 </w:t>
      </w:r>
    </w:p>
    <w:p>
      <w:pPr>
        <w:pStyle w:val="BodyText"/>
        <w:spacing w:before="108"/>
      </w:pPr>
      <w:r>
        <w:rPr/>
        <w:t>指实际发生了脑血管的突发病变出现神经系统功能障碍表现，头颅断层扫描</w:t>
      </w:r>
    </w:p>
    <w:p>
      <w:pPr>
        <w:pStyle w:val="BodyText"/>
        <w:spacing w:line="278" w:lineRule="auto" w:before="44"/>
        <w:ind w:right="188"/>
        <w:jc w:val="both"/>
      </w:pPr>
      <w:r>
        <w:rPr>
          <w:w w:val="100"/>
        </w:rPr>
        <w:t>（CT</w:t>
      </w:r>
      <w:r>
        <w:rPr>
          <w:spacing w:val="-108"/>
          <w:w w:val="100"/>
        </w:rPr>
        <w:t>）</w:t>
      </w:r>
      <w:r>
        <w:rPr>
          <w:spacing w:val="-3"/>
          <w:w w:val="100"/>
        </w:rPr>
        <w:t>、核磁共振</w:t>
      </w:r>
      <w:r>
        <w:rPr>
          <w:w w:val="100"/>
        </w:rPr>
        <w:t>（</w:t>
      </w:r>
      <w:r>
        <w:rPr>
          <w:spacing w:val="-3"/>
          <w:w w:val="100"/>
        </w:rPr>
        <w:t>M</w:t>
      </w:r>
      <w:r>
        <w:rPr>
          <w:w w:val="100"/>
        </w:rPr>
        <w:t>RI</w:t>
      </w:r>
      <w:r>
        <w:rPr>
          <w:spacing w:val="-3"/>
          <w:w w:val="100"/>
        </w:rPr>
        <w:t>）等影像学检查证实存在对应病灶，确诊为脑出血、</w:t>
      </w:r>
      <w:r>
        <w:rPr>
          <w:spacing w:val="-3"/>
        </w:rPr>
        <w:t>脑栓塞或脑梗塞，在确诊180天后未遗留神经系统功能障碍或后遗的神经系</w:t>
      </w:r>
      <w:r>
        <w:rPr>
          <w:spacing w:val="-6"/>
        </w:rPr>
        <w:t>统功能障碍程度未达到重大疾病“脑中风后遗症”的给付标准。短暂性脑缺</w:t>
      </w:r>
      <w:r>
        <w:rPr>
          <w:spacing w:val="-5"/>
        </w:rPr>
        <w:t>血发作</w:t>
      </w:r>
      <w:r>
        <w:rPr/>
        <w:t>(TIA</w:t>
      </w:r>
      <w:r>
        <w:rPr>
          <w:spacing w:val="-3"/>
        </w:rPr>
        <w:t>) 和腔隙性脑梗塞不在保障范围内。  </w:t>
      </w:r>
    </w:p>
    <w:p>
      <w:pPr>
        <w:pStyle w:val="BodyText"/>
        <w:spacing w:before="73"/>
      </w:pPr>
      <w:r>
        <w:rPr/>
        <w:t>四、冠状动脉介入手术 </w:t>
      </w:r>
    </w:p>
    <w:p>
      <w:pPr>
        <w:pStyle w:val="BodyText"/>
        <w:spacing w:before="104"/>
      </w:pPr>
      <w:r>
        <w:rPr/>
        <w:t>为了治疗明显的冠状动脉狭窄性疾病，首次实际实施了冠状动脉球囊扩张成</w:t>
      </w:r>
    </w:p>
    <w:p>
      <w:pPr>
        <w:pStyle w:val="BodyText"/>
        <w:spacing w:before="46"/>
      </w:pPr>
      <w:r>
        <w:rPr/>
        <w:t>形术、冠状动脉支架植入术或激光冠状动脉成形术。 </w:t>
      </w:r>
    </w:p>
    <w:p>
      <w:pPr>
        <w:pStyle w:val="BodyText"/>
        <w:spacing w:line="280" w:lineRule="auto" w:before="43"/>
        <w:ind w:right="211"/>
        <w:jc w:val="both"/>
      </w:pPr>
      <w:r>
        <w:rPr>
          <w:spacing w:val="1"/>
        </w:rPr>
        <w:t>如果被保险人在出现不典型的急性心肌梗塞以后接受冠状动脉介入手术治</w:t>
      </w:r>
      <w:r>
        <w:rPr>
          <w:spacing w:val="-5"/>
        </w:rPr>
        <w:t>疗，本公司仅就一种特定疾病提前给付保险金。给付后，本公司对不典型的</w:t>
      </w:r>
      <w:r>
        <w:rPr>
          <w:spacing w:val="-4"/>
        </w:rPr>
        <w:t>急性心肌梗塞和冠状动脉介入手术不再承担提前给付保险金的责任。</w:t>
      </w:r>
      <w:r>
        <w:rPr/>
        <w:t> </w:t>
      </w:r>
    </w:p>
    <w:p>
      <w:pPr>
        <w:pStyle w:val="BodyText"/>
        <w:spacing w:before="70"/>
      </w:pPr>
      <w:r>
        <w:rPr/>
        <w:t>五、轻度原发性肺动脉高压 </w:t>
      </w:r>
    </w:p>
    <w:p>
      <w:pPr>
        <w:pStyle w:val="BodyText"/>
        <w:spacing w:line="273" w:lineRule="auto" w:before="82"/>
        <w:ind w:right="106"/>
      </w:pPr>
      <w:r>
        <w:rPr>
          <w:spacing w:val="-4"/>
        </w:rPr>
        <w:t>指由于原发性肺动脉高压进行性发展而导致右心室肥厚，已经造成永久不可</w:t>
      </w:r>
      <w:r>
        <w:rPr>
          <w:spacing w:val="-14"/>
        </w:rPr>
        <w:t>逆性的体力活动能力受限，达到美国纽约心脏病学会心功能状态分级 </w:t>
      </w:r>
      <w:r>
        <w:rPr/>
        <w:t>III</w:t>
      </w:r>
      <w:r>
        <w:rPr>
          <w:spacing w:val="-17"/>
        </w:rPr>
        <w:t> 级， </w:t>
      </w:r>
      <w:r>
        <w:rPr>
          <w:spacing w:val="-10"/>
        </w:rPr>
        <w:t>且静息状态下肺动脉平均压超过 </w:t>
      </w:r>
      <w:r>
        <w:rPr/>
        <w:t>25mmHg</w:t>
      </w:r>
      <w:r>
        <w:rPr>
          <w:spacing w:val="-3"/>
        </w:rPr>
        <w:t>。</w:t>
      </w:r>
      <w:r>
        <w:rPr/>
        <w:t> </w:t>
      </w:r>
    </w:p>
    <w:p>
      <w:pPr>
        <w:pStyle w:val="BodyText"/>
        <w:spacing w:before="96"/>
      </w:pPr>
      <w:r>
        <w:rPr/>
        <w:t>六、慢性肝功能衰竭 </w:t>
      </w:r>
    </w:p>
    <w:p>
      <w:pPr>
        <w:pStyle w:val="BodyText"/>
        <w:spacing w:before="80"/>
      </w:pPr>
      <w:r>
        <w:rPr/>
        <w:t>因慢性肝脏疾病导致肝硬化。须满足下列全部条件： </w:t>
      </w:r>
    </w:p>
    <w:p>
      <w:pPr>
        <w:pStyle w:val="BodyText"/>
        <w:spacing w:before="37"/>
      </w:pPr>
      <w:r>
        <w:rPr>
          <w:w w:val="100"/>
        </w:rPr>
        <w:t>（1</w:t>
      </w:r>
      <w:r>
        <w:rPr>
          <w:spacing w:val="-3"/>
          <w:w w:val="100"/>
        </w:rPr>
        <w:t>）中度或重度贫血（血红蛋白浓度＜＝</w:t>
      </w:r>
      <w:r>
        <w:rPr>
          <w:spacing w:val="-2"/>
          <w:w w:val="100"/>
        </w:rPr>
        <w:t>９０</w:t>
      </w:r>
      <w:r>
        <w:rPr>
          <w:w w:val="100"/>
        </w:rPr>
        <w:t>ｇ</w:t>
      </w:r>
      <w:r>
        <w:rPr>
          <w:spacing w:val="-3"/>
          <w:w w:val="100"/>
        </w:rPr>
        <w:t>／</w:t>
      </w:r>
      <w:r>
        <w:rPr>
          <w:w w:val="100"/>
        </w:rPr>
        <w:t>ｌ</w:t>
      </w:r>
      <w:r>
        <w:rPr>
          <w:spacing w:val="-106"/>
          <w:w w:val="100"/>
        </w:rPr>
        <w:t>）</w:t>
      </w:r>
      <w:r>
        <w:rPr>
          <w:w w:val="100"/>
        </w:rPr>
        <w:t>；</w:t>
      </w:r>
      <w:r>
        <w:rPr>
          <w:spacing w:val="-3"/>
          <w:w w:val="100"/>
        </w:rPr>
        <w:t>  </w:t>
      </w:r>
    </w:p>
    <w:p>
      <w:pPr>
        <w:pStyle w:val="BodyText"/>
        <w:spacing w:before="37"/>
      </w:pPr>
      <w:r>
        <w:rPr/>
        <w:t>（2）血清白蛋白含量低于 30g/L； </w:t>
      </w:r>
    </w:p>
    <w:p>
      <w:pPr>
        <w:pStyle w:val="BodyText"/>
        <w:spacing w:before="37"/>
      </w:pPr>
      <w:r>
        <w:rPr/>
        <w:t>（3）凝血酶原时间延长超过 6 秒。 </w:t>
      </w:r>
    </w:p>
    <w:p>
      <w:pPr>
        <w:pStyle w:val="BodyText"/>
        <w:spacing w:before="37"/>
      </w:pPr>
      <w:r>
        <w:rPr/>
        <w:t>因酗酒或药物滥用导致的肝硬化不在保障范围内。 </w:t>
      </w:r>
    </w:p>
    <w:p>
      <w:pPr>
        <w:pStyle w:val="BodyText"/>
        <w:spacing w:before="123"/>
      </w:pPr>
      <w:r>
        <w:rPr/>
        <w:t>七、肺功能衰竭 </w:t>
      </w:r>
    </w:p>
    <w:p>
      <w:pPr>
        <w:pStyle w:val="BodyText"/>
        <w:spacing w:before="108"/>
      </w:pPr>
      <w:r>
        <w:rPr/>
        <w:t>是指被保险人必须经本公司认可的医院的呼吸科专科医师确诊患有慢性肺</w:t>
      </w:r>
    </w:p>
    <w:p>
      <w:pPr>
        <w:pStyle w:val="BodyText"/>
        <w:spacing w:before="43"/>
      </w:pPr>
      <w:r>
        <w:rPr/>
        <w:t>部疾病而出现慢性呼吸功能衰竭，其诊断标准包括以下各项： </w:t>
      </w:r>
    </w:p>
    <w:p>
      <w:pPr>
        <w:pStyle w:val="BodyText"/>
        <w:spacing w:before="46"/>
      </w:pPr>
      <w:r>
        <w:rPr/>
        <w:t>a.肺功能测试其 FEV1 持续低于预测值的 50%。 </w:t>
      </w:r>
    </w:p>
    <w:p>
      <w:pPr>
        <w:pStyle w:val="BodyText"/>
        <w:spacing w:before="44"/>
      </w:pPr>
      <w:r>
        <w:rPr/>
        <w:t>b.病人血氧不足必须间断地进行输氧治疗。 </w:t>
      </w:r>
    </w:p>
    <w:p>
      <w:pPr>
        <w:pStyle w:val="BodyText"/>
        <w:spacing w:before="44"/>
      </w:pPr>
      <w:r>
        <w:rPr/>
        <w:t>c.动脉血气分析氧分压低于 60mmHg。 </w:t>
      </w:r>
    </w:p>
    <w:p>
      <w:pPr>
        <w:pStyle w:val="BodyText"/>
      </w:pPr>
      <w:r>
        <w:rPr/>
        <w:t>八、视力严重受损 </w:t>
      </w:r>
    </w:p>
    <w:p>
      <w:pPr>
        <w:pStyle w:val="BodyText"/>
        <w:spacing w:line="278" w:lineRule="auto"/>
        <w:ind w:right="211"/>
        <w:jc w:val="both"/>
      </w:pPr>
      <w:r>
        <w:rPr/>
        <w:t>指因疾病或意外伤害导致双目视力永久不可逆性丧失(除外屈光不正引起的视力下降)，虽然未达到重大疾病“双目失明”的给付标准，但满足下列全部条件： </w:t>
      </w:r>
    </w:p>
    <w:p>
      <w:pPr>
        <w:spacing w:after="0" w:line="278" w:lineRule="auto"/>
        <w:jc w:val="both"/>
        <w:sectPr>
          <w:pgSz w:w="11900" w:h="16840"/>
          <w:pgMar w:header="0" w:footer="1204" w:top="1440" w:bottom="1400" w:left="1680" w:right="1200"/>
        </w:sectPr>
      </w:pPr>
    </w:p>
    <w:p>
      <w:pPr>
        <w:pStyle w:val="BodyText"/>
        <w:spacing w:before="13"/>
      </w:pPr>
      <w:r>
        <w:rPr/>
        <w:t>(1) 双眼中较好眼矫正视力低于 0.1（采用国际标准视力表，如果使用其他</w:t>
      </w:r>
    </w:p>
    <w:p>
      <w:pPr>
        <w:pStyle w:val="BodyText"/>
        <w:spacing w:line="280" w:lineRule="auto" w:before="44"/>
        <w:ind w:right="4504"/>
      </w:pPr>
      <w:r>
        <w:rPr>
          <w:spacing w:val="-3"/>
          <w:w w:val="100"/>
        </w:rPr>
        <w:t>视力表应进行换算</w:t>
      </w:r>
      <w:r>
        <w:rPr>
          <w:spacing w:val="-108"/>
          <w:w w:val="100"/>
        </w:rPr>
        <w:t>）</w:t>
      </w:r>
      <w:r>
        <w:rPr>
          <w:spacing w:val="-3"/>
          <w:w w:val="100"/>
        </w:rPr>
        <w:t>；</w:t>
      </w:r>
      <w:r>
        <w:rPr>
          <w:w w:val="100"/>
        </w:rPr>
        <w:t>   </w:t>
      </w:r>
      <w:r>
        <w:rPr/>
        <w:t>(2)</w:t>
      </w:r>
      <w:r>
        <w:rPr>
          <w:spacing w:val="-9"/>
        </w:rPr>
        <w:t> 视野半径小于 </w:t>
      </w:r>
      <w:r>
        <w:rPr/>
        <w:t>20</w:t>
      </w:r>
      <w:r>
        <w:rPr>
          <w:spacing w:val="-19"/>
        </w:rPr>
        <w:t> 度。</w:t>
      </w:r>
      <w:r>
        <w:rPr/>
        <w:t> </w:t>
      </w:r>
    </w:p>
    <w:p>
      <w:pPr>
        <w:pStyle w:val="BodyText"/>
        <w:spacing w:line="278" w:lineRule="auto" w:before="8"/>
        <w:ind w:right="112"/>
      </w:pPr>
      <w:r>
        <w:rPr>
          <w:spacing w:val="-6"/>
        </w:rPr>
        <w:t>申请理赔时，被保险人年龄必须在 </w:t>
      </w:r>
      <w:r>
        <w:rPr/>
        <w:t>3</w:t>
      </w:r>
      <w:r>
        <w:rPr>
          <w:spacing w:val="-8"/>
        </w:rPr>
        <w:t> 周岁以上，并且须提供理赔当时的视力</w:t>
      </w:r>
      <w:r>
        <w:rPr>
          <w:spacing w:val="-5"/>
        </w:rPr>
        <w:t>丧失诊断及检查证据。</w:t>
      </w:r>
      <w:r>
        <w:rPr/>
        <w:t> </w:t>
      </w:r>
    </w:p>
    <w:p>
      <w:pPr>
        <w:pStyle w:val="BodyText"/>
        <w:spacing w:before="75"/>
      </w:pPr>
      <w:r>
        <w:rPr/>
        <w:t>九、听力严重受损 </w:t>
      </w:r>
    </w:p>
    <w:p>
      <w:pPr>
        <w:pStyle w:val="BodyText"/>
        <w:spacing w:line="278" w:lineRule="auto"/>
        <w:ind w:right="111"/>
        <w:jc w:val="both"/>
      </w:pPr>
      <w:r>
        <w:rPr>
          <w:spacing w:val="-7"/>
        </w:rPr>
        <w:t>指因疾病或意外伤害导致双耳听力永久不可逆性丧失，在 </w:t>
      </w:r>
      <w:r>
        <w:rPr/>
        <w:t>500</w:t>
      </w:r>
      <w:r>
        <w:rPr>
          <w:spacing w:val="-22"/>
        </w:rPr>
        <w:t> 赫兹、</w:t>
      </w:r>
      <w:r>
        <w:rPr/>
        <w:t>1000</w:t>
      </w:r>
      <w:r>
        <w:rPr>
          <w:spacing w:val="-22"/>
        </w:rPr>
        <w:t> 赫</w:t>
      </w:r>
      <w:r>
        <w:rPr>
          <w:spacing w:val="-30"/>
        </w:rPr>
        <w:t>兹和 </w:t>
      </w:r>
      <w:r>
        <w:rPr/>
        <w:t>2000</w:t>
      </w:r>
      <w:r>
        <w:rPr>
          <w:spacing w:val="-12"/>
        </w:rPr>
        <w:t> 赫兹语音频率下，平均听阈大于 </w:t>
      </w:r>
      <w:r>
        <w:rPr/>
        <w:t>70</w:t>
      </w:r>
      <w:r>
        <w:rPr>
          <w:spacing w:val="-10"/>
        </w:rPr>
        <w:t> 分贝，且经纯音听力测试、声</w:t>
      </w:r>
      <w:r>
        <w:rPr>
          <w:spacing w:val="-3"/>
        </w:rPr>
        <w:t>导抗检测或听觉诱发电位检测等证实。</w:t>
      </w:r>
      <w:r>
        <w:rPr/>
        <w:t> </w:t>
      </w:r>
    </w:p>
    <w:p>
      <w:pPr>
        <w:pStyle w:val="BodyText"/>
        <w:spacing w:line="278" w:lineRule="auto" w:before="12"/>
        <w:ind w:right="112"/>
      </w:pPr>
      <w:r>
        <w:rPr>
          <w:spacing w:val="-6"/>
        </w:rPr>
        <w:t>申请理赔时，被保险人年龄必须在 </w:t>
      </w:r>
      <w:r>
        <w:rPr/>
        <w:t>3</w:t>
      </w:r>
      <w:r>
        <w:rPr>
          <w:spacing w:val="-8"/>
        </w:rPr>
        <w:t> 周岁以上，并且须提供理赔当时的视力</w:t>
      </w:r>
      <w:r>
        <w:rPr>
          <w:spacing w:val="-5"/>
        </w:rPr>
        <w:t>丧失诊断及检查证据。</w:t>
      </w:r>
      <w:r>
        <w:rPr/>
        <w:t> </w:t>
      </w:r>
    </w:p>
    <w:p>
      <w:pPr>
        <w:pStyle w:val="BodyText"/>
        <w:spacing w:before="72"/>
      </w:pPr>
      <w:r>
        <w:rPr/>
        <w:t>十、心脏瓣膜介入手术 </w:t>
      </w:r>
    </w:p>
    <w:p>
      <w:pPr>
        <w:pStyle w:val="BodyText"/>
        <w:spacing w:line="280" w:lineRule="auto"/>
        <w:ind w:right="76"/>
      </w:pPr>
      <w:r>
        <w:rPr/>
        <w:t>为了治疗心脏瓣膜疾病，实际实施了非开胸的经胸壁打孔内镜手术或经皮经导管介入手术进行的心脏瓣膜置换或修复手术。 </w:t>
      </w:r>
    </w:p>
    <w:p>
      <w:pPr>
        <w:pStyle w:val="BodyText"/>
        <w:spacing w:before="71"/>
      </w:pPr>
      <w:r>
        <w:rPr/>
        <w:t>十一、主动脉介入手术 </w:t>
      </w:r>
    </w:p>
    <w:p>
      <w:pPr>
        <w:pStyle w:val="BodyText"/>
        <w:spacing w:line="278" w:lineRule="auto" w:before="107"/>
        <w:ind w:right="63"/>
      </w:pPr>
      <w:r>
        <w:rPr/>
        <w:t>为了治疗主动脉疾病实际实施了经皮经导管进行的动脉内手术。主动脉指胸主动脉和腹主动脉，不包括胸主动脉和腹主动脉的分支血管。 </w:t>
      </w:r>
    </w:p>
    <w:p>
      <w:pPr>
        <w:pStyle w:val="BodyText"/>
        <w:spacing w:before="75"/>
      </w:pPr>
      <w:r>
        <w:rPr/>
        <w:t>十二、慢性肾功能衰竭 </w:t>
      </w:r>
    </w:p>
    <w:p>
      <w:pPr>
        <w:pStyle w:val="BodyText"/>
        <w:spacing w:line="278" w:lineRule="auto"/>
        <w:ind w:right="112"/>
      </w:pPr>
      <w:r>
        <w:rPr>
          <w:spacing w:val="-6"/>
        </w:rPr>
        <w:t>指双肾功能慢性不可逆性衰竭，达到肾功能衰竭期，且肌酐清除率持续 </w:t>
      </w:r>
      <w:r>
        <w:rPr/>
        <w:t>6</w:t>
      </w:r>
      <w:r>
        <w:rPr>
          <w:spacing w:val="-20"/>
        </w:rPr>
        <w:t> 个月低于 </w:t>
      </w:r>
      <w:r>
        <w:rPr/>
        <w:t>30ml/min </w:t>
      </w:r>
    </w:p>
    <w:p>
      <w:pPr>
        <w:pStyle w:val="BodyText"/>
        <w:spacing w:before="73"/>
      </w:pPr>
      <w:r>
        <w:rPr/>
        <w:t>十三、脑垂体瘤、脑囊肿、脑动脉瘤及脑血管瘤 </w:t>
      </w:r>
    </w:p>
    <w:p>
      <w:pPr>
        <w:pStyle w:val="BodyText"/>
        <w:spacing w:line="280" w:lineRule="auto"/>
        <w:ind w:right="114"/>
      </w:pPr>
      <w:r>
        <w:rPr>
          <w:spacing w:val="-4"/>
          <w:w w:val="100"/>
        </w:rPr>
        <w:t>指经头颅断层扫描</w:t>
      </w:r>
      <w:r>
        <w:rPr>
          <w:w w:val="100"/>
        </w:rPr>
        <w:t>（CT</w:t>
      </w:r>
      <w:r>
        <w:rPr>
          <w:spacing w:val="-108"/>
          <w:w w:val="100"/>
        </w:rPr>
        <w:t>）</w:t>
      </w:r>
      <w:r>
        <w:rPr>
          <w:spacing w:val="-4"/>
          <w:w w:val="100"/>
        </w:rPr>
        <w:t>、核磁共振</w:t>
      </w:r>
      <w:r>
        <w:rPr>
          <w:w w:val="100"/>
        </w:rPr>
        <w:t>（MR</w:t>
      </w:r>
      <w:r>
        <w:rPr>
          <w:spacing w:val="-3"/>
          <w:w w:val="100"/>
        </w:rPr>
        <w:t>I</w:t>
      </w:r>
      <w:r>
        <w:rPr>
          <w:spacing w:val="-8"/>
          <w:w w:val="100"/>
        </w:rPr>
        <w:t>）</w:t>
      </w:r>
      <w:r>
        <w:rPr>
          <w:spacing w:val="-3"/>
          <w:w w:val="100"/>
        </w:rPr>
        <w:t>或其他影像学检查被确诊为下列</w:t>
      </w:r>
      <w:r>
        <w:rPr>
          <w:spacing w:val="-3"/>
        </w:rPr>
        <w:t>病变，并实际接受了手术或放射治疗。</w:t>
      </w:r>
      <w:r>
        <w:rPr/>
        <w:t> </w:t>
      </w:r>
    </w:p>
    <w:p>
      <w:pPr>
        <w:pStyle w:val="BodyText"/>
        <w:spacing w:line="278" w:lineRule="auto" w:before="8"/>
        <w:ind w:right="5262"/>
      </w:pPr>
      <w:r>
        <w:rPr/>
        <w:t>(1) 脑垂体瘤； (2) 脑囊肿； </w:t>
      </w:r>
    </w:p>
    <w:p>
      <w:pPr>
        <w:pStyle w:val="BodyText"/>
        <w:spacing w:before="13"/>
      </w:pPr>
      <w:r>
        <w:rPr/>
        <w:t>(3) 脑动脉瘤、脑血管瘤。 </w:t>
      </w:r>
    </w:p>
    <w:p>
      <w:pPr>
        <w:pStyle w:val="BodyText"/>
      </w:pPr>
      <w:r>
        <w:rPr/>
        <w:t>十四、轻度帕金森病 </w:t>
      </w:r>
    </w:p>
    <w:p>
      <w:pPr>
        <w:pStyle w:val="BodyText"/>
      </w:pPr>
      <w:r>
        <w:rPr/>
        <w:t>是一种中枢神经系统的退行性疾病，临床表现为震颤麻痹、共济失调等。须</w:t>
      </w:r>
    </w:p>
    <w:p>
      <w:pPr>
        <w:pStyle w:val="BodyText"/>
        <w:spacing w:before="44"/>
      </w:pPr>
      <w:r>
        <w:rPr/>
        <w:t>满足下列全部条件： </w:t>
      </w:r>
    </w:p>
    <w:p>
      <w:pPr>
        <w:pStyle w:val="BodyText"/>
        <w:spacing w:before="46"/>
      </w:pPr>
      <w:r>
        <w:rPr/>
        <w:t>（1）药物治疗无法控制病情；  </w:t>
      </w:r>
    </w:p>
    <w:p>
      <w:pPr>
        <w:pStyle w:val="BodyText"/>
        <w:spacing w:before="44"/>
      </w:pPr>
      <w:r>
        <w:rPr/>
        <w:t>（2）自主生活能力完全丧失，无法独立完成六项基本日常生活活动中的二</w:t>
      </w:r>
    </w:p>
    <w:p>
      <w:pPr>
        <w:pStyle w:val="BodyText"/>
        <w:spacing w:before="44"/>
      </w:pPr>
      <w:r>
        <w:rPr/>
        <w:t>项或以上。 </w:t>
      </w:r>
    </w:p>
    <w:p>
      <w:pPr>
        <w:pStyle w:val="BodyText"/>
        <w:spacing w:before="46"/>
      </w:pPr>
      <w:r>
        <w:rPr/>
        <w:t>继发性帕金森综合征不在保障范围内。 </w:t>
      </w:r>
    </w:p>
    <w:p>
      <w:pPr>
        <w:pStyle w:val="BodyText"/>
        <w:spacing w:before="176"/>
      </w:pPr>
      <w:r>
        <w:rPr/>
        <w:t>十五、脑损伤 </w:t>
      </w:r>
    </w:p>
    <w:p>
      <w:pPr>
        <w:pStyle w:val="BodyText"/>
        <w:spacing w:line="278" w:lineRule="auto" w:before="61"/>
        <w:ind w:right="111"/>
        <w:jc w:val="both"/>
      </w:pPr>
      <w:r>
        <w:rPr>
          <w:spacing w:val="-5"/>
        </w:rPr>
        <w:t>指因头部遭受机械性外力，引起脑重要部位损伤，导致神经系统永久性的功</w:t>
      </w:r>
      <w:r>
        <w:rPr>
          <w:spacing w:val="-5"/>
          <w:w w:val="100"/>
        </w:rPr>
        <w:t>能障碍。须由头颅断层扫描</w:t>
      </w:r>
      <w:r>
        <w:rPr>
          <w:w w:val="100"/>
        </w:rPr>
        <w:t>（CT</w:t>
      </w:r>
      <w:r>
        <w:rPr>
          <w:spacing w:val="-108"/>
          <w:w w:val="100"/>
        </w:rPr>
        <w:t>）</w:t>
      </w:r>
      <w:r>
        <w:rPr>
          <w:spacing w:val="-4"/>
          <w:w w:val="100"/>
        </w:rPr>
        <w:t>、核磁共振检查</w:t>
      </w:r>
      <w:r>
        <w:rPr>
          <w:spacing w:val="-3"/>
          <w:w w:val="100"/>
        </w:rPr>
        <w:t>（</w:t>
      </w:r>
      <w:r>
        <w:rPr>
          <w:w w:val="100"/>
        </w:rPr>
        <w:t>MRI</w:t>
      </w:r>
      <w:r>
        <w:rPr>
          <w:spacing w:val="-5"/>
          <w:w w:val="100"/>
        </w:rPr>
        <w:t>）</w:t>
      </w:r>
      <w:r>
        <w:rPr>
          <w:spacing w:val="-3"/>
          <w:w w:val="100"/>
        </w:rPr>
        <w:t>或正电子发射断层</w:t>
      </w:r>
      <w:r>
        <w:rPr>
          <w:spacing w:val="-12"/>
        </w:rPr>
        <w:t>扫描</w:t>
      </w:r>
      <w:r>
        <w:rPr>
          <w:spacing w:val="-5"/>
        </w:rPr>
        <w:t>（PET）</w:t>
      </w:r>
      <w:r>
        <w:rPr>
          <w:spacing w:val="-8"/>
        </w:rPr>
        <w:t>等影像学检查证实。神经系统永久性的功能障碍，指脑损伤 </w:t>
      </w:r>
      <w:r>
        <w:rPr/>
        <w:t>180 </w:t>
      </w:r>
      <w:r>
        <w:rPr>
          <w:spacing w:val="-5"/>
        </w:rPr>
        <w:t>天后，仍完全丧失自主生活能力，无法独立完成六项基本日常生活活动中的</w:t>
      </w:r>
      <w:r>
        <w:rPr>
          <w:spacing w:val="-4"/>
        </w:rPr>
        <w:t>二项或以上。</w:t>
      </w:r>
      <w:r>
        <w:rPr/>
        <w:t> </w:t>
      </w:r>
    </w:p>
    <w:p>
      <w:pPr>
        <w:pStyle w:val="BodyText"/>
        <w:spacing w:before="75"/>
      </w:pPr>
      <w:r>
        <w:rPr/>
        <w:t>十六、三度烧伤 </w:t>
      </w:r>
    </w:p>
    <w:p>
      <w:pPr>
        <w:spacing w:after="0"/>
        <w:sectPr>
          <w:pgSz w:w="11900" w:h="16840"/>
          <w:pgMar w:header="0" w:footer="1204" w:top="1440" w:bottom="1400" w:left="1680" w:right="1300"/>
        </w:sectPr>
      </w:pPr>
    </w:p>
    <w:p>
      <w:pPr>
        <w:pStyle w:val="BodyText"/>
        <w:spacing w:line="280" w:lineRule="auto" w:before="13"/>
        <w:ind w:left="2253" w:right="279"/>
        <w:jc w:val="both"/>
        <w:rPr>
          <w:sz w:val="16"/>
        </w:rPr>
      </w:pPr>
      <w:r>
        <w:rPr>
          <w:spacing w:val="-4"/>
        </w:rPr>
        <w:t>指烧伤程度为Ⅲ度，且Ⅲ度烧伤的面积达到全身体表面积的 </w:t>
      </w:r>
      <w:r>
        <w:rPr/>
        <w:t>15</w:t>
      </w:r>
      <w:r>
        <w:rPr>
          <w:spacing w:val="-12"/>
        </w:rPr>
        <w:t>％或 </w:t>
      </w:r>
      <w:r>
        <w:rPr/>
        <w:t>15％以</w:t>
      </w:r>
      <w:r>
        <w:rPr>
          <w:spacing w:val="-5"/>
        </w:rPr>
        <w:t>上。或者总的烧伤面积达到全身体表面积的 </w:t>
      </w:r>
      <w:r>
        <w:rPr/>
        <w:t>40</w:t>
      </w:r>
      <w:r>
        <w:rPr>
          <w:spacing w:val="-11"/>
        </w:rPr>
        <w:t>％或 </w:t>
      </w:r>
      <w:r>
        <w:rPr/>
        <w:t>40％</w:t>
      </w:r>
      <w:r>
        <w:rPr>
          <w:spacing w:val="-3"/>
        </w:rPr>
        <w:t>以上。体表面积根据《中国新九分法》计算。</w:t>
      </w:r>
      <w:r>
        <w:rPr>
          <w:spacing w:val="-3"/>
          <w:w w:val="100"/>
          <w:sz w:val="16"/>
        </w:rPr>
        <w:t> </w:t>
      </w:r>
    </w:p>
    <w:p>
      <w:pPr>
        <w:pStyle w:val="BodyText"/>
        <w:spacing w:before="6"/>
        <w:ind w:left="0"/>
        <w:rPr>
          <w:sz w:val="29"/>
        </w:rPr>
      </w:pPr>
    </w:p>
    <w:p>
      <w:pPr>
        <w:pStyle w:val="ListParagraph"/>
        <w:numPr>
          <w:ilvl w:val="1"/>
          <w:numId w:val="9"/>
        </w:numPr>
        <w:tabs>
          <w:tab w:pos="849" w:val="left" w:leader="none"/>
          <w:tab w:pos="850" w:val="left" w:leader="none"/>
          <w:tab w:pos="2253" w:val="left" w:leader="none"/>
        </w:tabs>
        <w:spacing w:line="240" w:lineRule="auto" w:before="0" w:after="0"/>
        <w:ind w:left="2253" w:right="0" w:hanging="2150"/>
        <w:jc w:val="left"/>
        <w:rPr>
          <w:sz w:val="21"/>
        </w:rPr>
      </w:pPr>
      <w:r>
        <w:rPr>
          <w:rFonts w:ascii="Microsoft JhengHei" w:eastAsia="Microsoft JhengHei" w:hint="eastAsia"/>
          <w:b/>
          <w:sz w:val="21"/>
        </w:rPr>
        <w:t>8</w:t>
        <w:tab/>
        <w:t>意外伤害</w:t>
        <w:tab/>
      </w:r>
      <w:r>
        <w:rPr>
          <w:sz w:val="21"/>
        </w:rPr>
        <w:t>指遭</w:t>
      </w:r>
      <w:r>
        <w:rPr>
          <w:spacing w:val="-3"/>
          <w:sz w:val="21"/>
        </w:rPr>
        <w:t>受</w:t>
      </w:r>
      <w:r>
        <w:rPr>
          <w:sz w:val="21"/>
        </w:rPr>
        <w:t>外</w:t>
      </w:r>
      <w:r>
        <w:rPr>
          <w:spacing w:val="-3"/>
          <w:sz w:val="21"/>
        </w:rPr>
        <w:t>来</w:t>
      </w:r>
      <w:r>
        <w:rPr>
          <w:sz w:val="21"/>
        </w:rPr>
        <w:t>的</w:t>
      </w:r>
      <w:r>
        <w:rPr>
          <w:spacing w:val="-10"/>
          <w:sz w:val="21"/>
        </w:rPr>
        <w:t>，</w:t>
      </w:r>
      <w:r>
        <w:rPr>
          <w:sz w:val="21"/>
        </w:rPr>
        <w:t>突</w:t>
      </w:r>
      <w:r>
        <w:rPr>
          <w:spacing w:val="-3"/>
          <w:sz w:val="21"/>
        </w:rPr>
        <w:t>发</w:t>
      </w:r>
      <w:r>
        <w:rPr>
          <w:sz w:val="21"/>
        </w:rPr>
        <w:t>的</w:t>
      </w:r>
      <w:r>
        <w:rPr>
          <w:spacing w:val="-10"/>
          <w:sz w:val="21"/>
        </w:rPr>
        <w:t>，</w:t>
      </w:r>
      <w:r>
        <w:rPr>
          <w:sz w:val="21"/>
        </w:rPr>
        <w:t>非本</w:t>
      </w:r>
      <w:r>
        <w:rPr>
          <w:spacing w:val="-3"/>
          <w:sz w:val="21"/>
        </w:rPr>
        <w:t>意</w:t>
      </w:r>
      <w:r>
        <w:rPr>
          <w:sz w:val="21"/>
        </w:rPr>
        <w:t>的</w:t>
      </w:r>
      <w:r>
        <w:rPr>
          <w:spacing w:val="-10"/>
          <w:sz w:val="21"/>
        </w:rPr>
        <w:t>，</w:t>
      </w:r>
      <w:r>
        <w:rPr>
          <w:sz w:val="21"/>
        </w:rPr>
        <w:t>非</w:t>
      </w:r>
      <w:r>
        <w:rPr>
          <w:spacing w:val="-3"/>
          <w:sz w:val="21"/>
        </w:rPr>
        <w:t>疾</w:t>
      </w:r>
      <w:r>
        <w:rPr>
          <w:sz w:val="21"/>
        </w:rPr>
        <w:t>病</w:t>
      </w:r>
      <w:r>
        <w:rPr>
          <w:spacing w:val="-3"/>
          <w:sz w:val="21"/>
        </w:rPr>
        <w:t>的</w:t>
      </w:r>
      <w:r>
        <w:rPr>
          <w:sz w:val="21"/>
        </w:rPr>
        <w:t>客</w:t>
      </w:r>
      <w:r>
        <w:rPr>
          <w:spacing w:val="-3"/>
          <w:sz w:val="21"/>
        </w:rPr>
        <w:t>观</w:t>
      </w:r>
      <w:r>
        <w:rPr>
          <w:sz w:val="21"/>
        </w:rPr>
        <w:t>事件</w:t>
      </w:r>
      <w:r>
        <w:rPr>
          <w:spacing w:val="-3"/>
          <w:sz w:val="21"/>
        </w:rPr>
        <w:t>直</w:t>
      </w:r>
      <w:r>
        <w:rPr>
          <w:sz w:val="21"/>
        </w:rPr>
        <w:t>接</w:t>
      </w:r>
      <w:r>
        <w:rPr>
          <w:spacing w:val="-3"/>
          <w:sz w:val="21"/>
        </w:rPr>
        <w:t>致</w:t>
      </w:r>
      <w:r>
        <w:rPr>
          <w:sz w:val="21"/>
        </w:rPr>
        <w:t>使</w:t>
      </w:r>
      <w:r>
        <w:rPr>
          <w:spacing w:val="-3"/>
          <w:sz w:val="21"/>
        </w:rPr>
        <w:t>身</w:t>
      </w:r>
      <w:r>
        <w:rPr>
          <w:sz w:val="21"/>
        </w:rPr>
        <w:t>体 </w:t>
      </w:r>
      <w:r>
        <w:rPr>
          <w:spacing w:val="-3"/>
          <w:sz w:val="21"/>
        </w:rPr>
        <w:t>受</w:t>
      </w:r>
      <w:r>
        <w:rPr>
          <w:sz w:val="21"/>
        </w:rPr>
        <w:t>到的</w:t>
      </w:r>
    </w:p>
    <w:p>
      <w:pPr>
        <w:pStyle w:val="BodyText"/>
        <w:spacing w:before="13"/>
        <w:ind w:left="2253"/>
      </w:pPr>
      <w:r>
        <w:rPr/>
        <w:t>伤害。</w:t>
      </w:r>
    </w:p>
    <w:p>
      <w:pPr>
        <w:pStyle w:val="BodyText"/>
        <w:spacing w:before="0"/>
        <w:ind w:left="0"/>
        <w:rPr>
          <w:sz w:val="20"/>
        </w:rPr>
      </w:pPr>
    </w:p>
    <w:p>
      <w:pPr>
        <w:pStyle w:val="ListParagraph"/>
        <w:numPr>
          <w:ilvl w:val="1"/>
          <w:numId w:val="9"/>
        </w:numPr>
        <w:tabs>
          <w:tab w:pos="746" w:val="left" w:leader="none"/>
          <w:tab w:pos="850" w:val="left" w:leader="none"/>
          <w:tab w:pos="2150" w:val="left" w:leader="none"/>
        </w:tabs>
        <w:spacing w:line="240" w:lineRule="auto" w:before="176" w:after="0"/>
        <w:ind w:left="2253" w:right="3" w:hanging="2150"/>
        <w:jc w:val="left"/>
        <w:rPr>
          <w:sz w:val="21"/>
        </w:rPr>
      </w:pPr>
      <w:r>
        <w:rPr>
          <w:rFonts w:ascii="Microsoft JhengHei" w:eastAsia="Microsoft JhengHei" w:hint="eastAsia"/>
          <w:b/>
          <w:sz w:val="21"/>
        </w:rPr>
        <w:t>9</w:t>
        <w:tab/>
        <w:t>全残</w:t>
        <w:tab/>
      </w:r>
      <w:r>
        <w:rPr>
          <w:sz w:val="21"/>
        </w:rPr>
        <w:t>指被</w:t>
      </w:r>
      <w:r>
        <w:rPr>
          <w:spacing w:val="-3"/>
          <w:sz w:val="21"/>
        </w:rPr>
        <w:t>保</w:t>
      </w:r>
      <w:r>
        <w:rPr>
          <w:sz w:val="21"/>
        </w:rPr>
        <w:t>险</w:t>
      </w:r>
      <w:r>
        <w:rPr>
          <w:spacing w:val="-3"/>
          <w:sz w:val="21"/>
        </w:rPr>
        <w:t>人</w:t>
      </w:r>
      <w:r>
        <w:rPr>
          <w:sz w:val="21"/>
        </w:rPr>
        <w:t>遭</w:t>
      </w:r>
      <w:r>
        <w:rPr>
          <w:spacing w:val="-3"/>
          <w:sz w:val="21"/>
        </w:rPr>
        <w:t>受</w:t>
      </w:r>
      <w:r>
        <w:rPr>
          <w:sz w:val="21"/>
        </w:rPr>
        <w:t>意</w:t>
      </w:r>
      <w:r>
        <w:rPr>
          <w:spacing w:val="-3"/>
          <w:sz w:val="21"/>
        </w:rPr>
        <w:t>外</w:t>
      </w:r>
      <w:r>
        <w:rPr>
          <w:sz w:val="21"/>
        </w:rPr>
        <w:t>伤</w:t>
      </w:r>
      <w:r>
        <w:rPr>
          <w:spacing w:val="-3"/>
          <w:sz w:val="21"/>
        </w:rPr>
        <w:t>害</w:t>
      </w:r>
      <w:r>
        <w:rPr>
          <w:sz w:val="21"/>
        </w:rPr>
        <w:t>并自</w:t>
      </w:r>
      <w:r>
        <w:rPr>
          <w:spacing w:val="-3"/>
          <w:sz w:val="21"/>
        </w:rPr>
        <w:t>意</w:t>
      </w:r>
      <w:r>
        <w:rPr>
          <w:sz w:val="21"/>
        </w:rPr>
        <w:t>外</w:t>
      </w:r>
      <w:r>
        <w:rPr>
          <w:spacing w:val="-3"/>
          <w:sz w:val="21"/>
        </w:rPr>
        <w:t>伤</w:t>
      </w:r>
      <w:r>
        <w:rPr>
          <w:sz w:val="21"/>
        </w:rPr>
        <w:t>害</w:t>
      </w:r>
      <w:r>
        <w:rPr>
          <w:spacing w:val="-3"/>
          <w:sz w:val="21"/>
        </w:rPr>
        <w:t>发</w:t>
      </w:r>
      <w:r>
        <w:rPr>
          <w:sz w:val="21"/>
        </w:rPr>
        <w:t>生</w:t>
      </w:r>
      <w:r>
        <w:rPr>
          <w:spacing w:val="-3"/>
          <w:sz w:val="21"/>
        </w:rPr>
        <w:t>之日</w:t>
      </w:r>
      <w:r>
        <w:rPr>
          <w:sz w:val="21"/>
        </w:rPr>
        <w:t>起</w:t>
      </w:r>
      <w:r>
        <w:rPr>
          <w:spacing w:val="-47"/>
          <w:sz w:val="21"/>
        </w:rPr>
        <w:t> </w:t>
      </w:r>
      <w:r>
        <w:rPr>
          <w:sz w:val="21"/>
        </w:rPr>
        <w:t>180</w:t>
      </w:r>
      <w:r>
        <w:rPr>
          <w:spacing w:val="-44"/>
          <w:sz w:val="21"/>
        </w:rPr>
        <w:t> </w:t>
      </w:r>
      <w:r>
        <w:rPr>
          <w:spacing w:val="-3"/>
          <w:sz w:val="21"/>
        </w:rPr>
        <w:t>日</w:t>
      </w:r>
      <w:r>
        <w:rPr>
          <w:spacing w:val="-22"/>
          <w:sz w:val="21"/>
        </w:rPr>
        <w:t>内</w:t>
      </w:r>
      <w:r>
        <w:rPr>
          <w:spacing w:val="-3"/>
          <w:sz w:val="21"/>
        </w:rPr>
        <w:t>（</w:t>
      </w:r>
      <w:r>
        <w:rPr>
          <w:sz w:val="21"/>
        </w:rPr>
        <w:t>含第</w:t>
      </w:r>
      <w:r>
        <w:rPr>
          <w:spacing w:val="-44"/>
          <w:sz w:val="21"/>
        </w:rPr>
        <w:t> </w:t>
      </w:r>
      <w:r>
        <w:rPr>
          <w:sz w:val="21"/>
        </w:rPr>
        <w:t>180</w:t>
      </w:r>
      <w:r>
        <w:rPr>
          <w:spacing w:val="-47"/>
          <w:sz w:val="21"/>
        </w:rPr>
        <w:t> </w:t>
      </w:r>
      <w:r>
        <w:rPr>
          <w:sz w:val="21"/>
        </w:rPr>
        <w:t>日</w:t>
      </w:r>
      <w:r>
        <w:rPr>
          <w:spacing w:val="-106"/>
          <w:w w:val="100"/>
          <w:sz w:val="21"/>
        </w:rPr>
        <w:t>）</w:t>
      </w:r>
      <w:r>
        <w:rPr>
          <w:w w:val="100"/>
          <w:sz w:val="21"/>
        </w:rPr>
        <w:t>，</w:t>
      </w:r>
    </w:p>
    <w:p>
      <w:pPr>
        <w:pStyle w:val="BodyText"/>
        <w:spacing w:before="12"/>
        <w:ind w:left="2253"/>
      </w:pPr>
      <w:r>
        <w:rPr/>
        <w:t>因该意外伤害直接导致以下全残项目中的一项或多项全残： </w:t>
      </w:r>
    </w:p>
    <w:p>
      <w:pPr>
        <w:pStyle w:val="BodyText"/>
        <w:spacing w:before="115"/>
        <w:ind w:left="2253"/>
      </w:pPr>
      <w:r>
        <w:rPr>
          <w:w w:val="100"/>
        </w:rPr>
        <w:t>（A</w:t>
      </w:r>
      <w:r>
        <w:rPr>
          <w:spacing w:val="-3"/>
          <w:w w:val="100"/>
        </w:rPr>
        <w:t>）双目永久完全失明的</w:t>
      </w:r>
      <w:r>
        <w:rPr>
          <w:w w:val="100"/>
        </w:rPr>
        <w:t>（注</w:t>
      </w:r>
      <w:r>
        <w:rPr>
          <w:spacing w:val="-53"/>
        </w:rPr>
        <w:t> </w:t>
      </w:r>
      <w:r>
        <w:rPr>
          <w:spacing w:val="-3"/>
          <w:w w:val="100"/>
        </w:rPr>
        <w:t>1</w:t>
      </w:r>
      <w:r>
        <w:rPr>
          <w:w w:val="100"/>
        </w:rPr>
        <w:t>、注</w:t>
      </w:r>
      <w:r>
        <w:rPr>
          <w:spacing w:val="-55"/>
        </w:rPr>
        <w:t> </w:t>
      </w:r>
      <w:r>
        <w:rPr>
          <w:w w:val="100"/>
        </w:rPr>
        <w:t>5</w:t>
      </w:r>
      <w:r>
        <w:rPr>
          <w:spacing w:val="-106"/>
          <w:w w:val="100"/>
        </w:rPr>
        <w:t>）</w:t>
      </w:r>
      <w:r>
        <w:rPr>
          <w:spacing w:val="-3"/>
          <w:w w:val="100"/>
        </w:rPr>
        <w:t>；</w:t>
      </w:r>
      <w:r>
        <w:rPr>
          <w:w w:val="100"/>
        </w:rPr>
        <w:t> </w:t>
      </w:r>
    </w:p>
    <w:p>
      <w:pPr>
        <w:pStyle w:val="BodyText"/>
        <w:spacing w:before="113"/>
        <w:ind w:left="2253"/>
      </w:pPr>
      <w:r>
        <w:rPr/>
        <w:t>（B）两上肢腕关节以上或两下肢踝关节以上缺失的； </w:t>
      </w:r>
    </w:p>
    <w:p>
      <w:pPr>
        <w:pStyle w:val="BodyText"/>
        <w:spacing w:before="116"/>
        <w:ind w:left="2253"/>
      </w:pPr>
      <w:r>
        <w:rPr/>
        <w:t>（C）一上肢腕关节以上及一下肢踝关节以上缺失的； </w:t>
      </w:r>
    </w:p>
    <w:p>
      <w:pPr>
        <w:pStyle w:val="BodyText"/>
        <w:spacing w:before="114"/>
        <w:ind w:left="2253"/>
      </w:pPr>
      <w:r>
        <w:rPr/>
        <w:t>（D）一目永久完全失明及一上肢腕关节以上缺失的； </w:t>
      </w:r>
    </w:p>
    <w:p>
      <w:pPr>
        <w:pStyle w:val="BodyText"/>
        <w:spacing w:before="116"/>
        <w:ind w:left="2253"/>
      </w:pPr>
      <w:r>
        <w:rPr/>
        <w:t>（E）一目永久完全失明及一下肢踝关节以上缺失的； </w:t>
      </w:r>
    </w:p>
    <w:p>
      <w:pPr>
        <w:pStyle w:val="BodyText"/>
        <w:spacing w:before="113"/>
        <w:ind w:left="2253"/>
      </w:pPr>
      <w:r>
        <w:rPr>
          <w:w w:val="100"/>
        </w:rPr>
        <w:t>（F</w:t>
      </w:r>
      <w:r>
        <w:rPr>
          <w:spacing w:val="-3"/>
          <w:w w:val="100"/>
        </w:rPr>
        <w:t>）四肢关节机能永久完全丧失的（</w:t>
      </w:r>
      <w:r>
        <w:rPr>
          <w:w w:val="100"/>
        </w:rPr>
        <w:t>注</w:t>
      </w:r>
      <w:r>
        <w:rPr>
          <w:spacing w:val="-53"/>
        </w:rPr>
        <w:t> </w:t>
      </w:r>
      <w:r>
        <w:rPr>
          <w:spacing w:val="-3"/>
          <w:w w:val="100"/>
        </w:rPr>
        <w:t>2</w:t>
      </w:r>
      <w:r>
        <w:rPr>
          <w:w w:val="100"/>
        </w:rPr>
        <w:t>、注</w:t>
      </w:r>
      <w:r>
        <w:rPr>
          <w:spacing w:val="-55"/>
        </w:rPr>
        <w:t> </w:t>
      </w:r>
      <w:r>
        <w:rPr>
          <w:w w:val="100"/>
        </w:rPr>
        <w:t>5</w:t>
      </w:r>
      <w:r>
        <w:rPr>
          <w:spacing w:val="-106"/>
          <w:w w:val="100"/>
        </w:rPr>
        <w:t>）</w:t>
      </w:r>
      <w:r>
        <w:rPr>
          <w:spacing w:val="-3"/>
          <w:w w:val="100"/>
        </w:rPr>
        <w:t>；</w:t>
      </w:r>
      <w:r>
        <w:rPr>
          <w:w w:val="100"/>
        </w:rPr>
        <w:t> </w:t>
      </w:r>
    </w:p>
    <w:p>
      <w:pPr>
        <w:pStyle w:val="BodyText"/>
        <w:spacing w:before="116"/>
        <w:ind w:left="2253"/>
      </w:pPr>
      <w:r>
        <w:rPr>
          <w:w w:val="100"/>
        </w:rPr>
        <w:t>（G</w:t>
      </w:r>
      <w:r>
        <w:rPr>
          <w:spacing w:val="-3"/>
          <w:w w:val="100"/>
        </w:rPr>
        <w:t>）咀嚼、吞咽机能永久完全丧失的（</w:t>
      </w:r>
      <w:r>
        <w:rPr>
          <w:w w:val="100"/>
        </w:rPr>
        <w:t>注</w:t>
      </w:r>
      <w:r>
        <w:rPr>
          <w:spacing w:val="-53"/>
        </w:rPr>
        <w:t> </w:t>
      </w:r>
      <w:r>
        <w:rPr>
          <w:w w:val="100"/>
        </w:rPr>
        <w:t>3</w:t>
      </w:r>
      <w:r>
        <w:rPr>
          <w:spacing w:val="-2"/>
          <w:w w:val="100"/>
        </w:rPr>
        <w:t>、注</w:t>
      </w:r>
      <w:r>
        <w:rPr>
          <w:spacing w:val="-53"/>
        </w:rPr>
        <w:t> </w:t>
      </w:r>
      <w:r>
        <w:rPr>
          <w:w w:val="100"/>
        </w:rPr>
        <w:t>5</w:t>
      </w:r>
      <w:r>
        <w:rPr>
          <w:spacing w:val="-108"/>
          <w:w w:val="100"/>
        </w:rPr>
        <w:t>）</w:t>
      </w:r>
      <w:r>
        <w:rPr>
          <w:w w:val="100"/>
        </w:rPr>
        <w:t>； </w:t>
      </w:r>
    </w:p>
    <w:p>
      <w:pPr>
        <w:pStyle w:val="BodyText"/>
        <w:spacing w:line="273" w:lineRule="auto" w:before="114"/>
        <w:ind w:left="2253" w:right="296"/>
      </w:pPr>
      <w:r>
        <w:rPr/>
        <w:t>（H）</w:t>
      </w:r>
      <w:r>
        <w:rPr>
          <w:spacing w:val="-3"/>
        </w:rPr>
        <w:t>中枢神经系统机能或胸、腹部脏器机能极度障碍，终身不能从事任何</w:t>
      </w:r>
      <w:r>
        <w:rPr>
          <w:spacing w:val="-3"/>
          <w:w w:val="100"/>
        </w:rPr>
        <w:t>工作，为维持生命必要的日常生活活动，全需他人扶助的（</w:t>
      </w:r>
      <w:r>
        <w:rPr>
          <w:w w:val="100"/>
        </w:rPr>
        <w:t>注</w:t>
      </w:r>
      <w:r>
        <w:rPr>
          <w:spacing w:val="-53"/>
        </w:rPr>
        <w:t> </w:t>
      </w:r>
      <w:r>
        <w:rPr>
          <w:w w:val="100"/>
        </w:rPr>
        <w:t>4</w:t>
      </w:r>
      <w:r>
        <w:rPr>
          <w:spacing w:val="-108"/>
          <w:w w:val="100"/>
        </w:rPr>
        <w:t>）</w:t>
      </w:r>
      <w:r>
        <w:rPr>
          <w:spacing w:val="-3"/>
          <w:w w:val="100"/>
        </w:rPr>
        <w:t>；</w:t>
      </w:r>
      <w:r>
        <w:rPr>
          <w:w w:val="100"/>
        </w:rPr>
        <w:t> </w:t>
      </w:r>
    </w:p>
    <w:p>
      <w:pPr>
        <w:pStyle w:val="BodyText"/>
        <w:spacing w:before="87"/>
        <w:ind w:left="2253"/>
      </w:pPr>
      <w:r>
        <w:rPr/>
        <w:t>注： </w:t>
      </w:r>
    </w:p>
    <w:p>
      <w:pPr>
        <w:pStyle w:val="BodyText"/>
        <w:spacing w:line="273" w:lineRule="auto" w:before="114"/>
        <w:ind w:left="2253" w:right="214"/>
      </w:pPr>
      <w:r>
        <w:rPr/>
        <w:t>1</w:t>
      </w:r>
      <w:r>
        <w:rPr>
          <w:spacing w:val="-3"/>
        </w:rPr>
        <w:t>、失明包括眼球缺失或摘除、或不能辨别明暗、或仅能辨别眼前手动者， </w:t>
      </w:r>
      <w:r>
        <w:rPr>
          <w:spacing w:val="-6"/>
        </w:rPr>
        <w:t>最佳矫正视力低于国际标准视力表 </w:t>
      </w:r>
      <w:r>
        <w:rPr>
          <w:spacing w:val="-9"/>
        </w:rPr>
        <w:t>0.02，或视野半径小于 </w:t>
      </w:r>
      <w:r>
        <w:rPr/>
        <w:t>5</w:t>
      </w:r>
      <w:r>
        <w:rPr>
          <w:spacing w:val="-13"/>
        </w:rPr>
        <w:t> 度，并由本公司</w:t>
      </w:r>
      <w:r>
        <w:rPr>
          <w:spacing w:val="-3"/>
        </w:rPr>
        <w:t>指定有资格的眼科医师出具医疗诊断证明。</w:t>
      </w:r>
      <w:r>
        <w:rPr/>
        <w:t> </w:t>
      </w:r>
    </w:p>
    <w:p>
      <w:pPr>
        <w:pStyle w:val="BodyText"/>
        <w:spacing w:before="87"/>
        <w:ind w:left="2253"/>
      </w:pPr>
      <w:r>
        <w:rPr/>
        <w:t>2、关节机能的丧失系指关节永久完全僵硬、或麻痹、或关节不能随意识活</w:t>
      </w:r>
    </w:p>
    <w:p>
      <w:pPr>
        <w:pStyle w:val="BodyText"/>
        <w:spacing w:before="35"/>
        <w:ind w:left="2253"/>
      </w:pPr>
      <w:r>
        <w:rPr/>
        <w:t>动。 </w:t>
      </w:r>
    </w:p>
    <w:p>
      <w:pPr>
        <w:pStyle w:val="BodyText"/>
        <w:spacing w:before="116"/>
        <w:ind w:left="2253"/>
      </w:pPr>
      <w:r>
        <w:rPr/>
        <w:t>3、咀嚼、吞咽机能的丧失系指由于牙齿以外的原因引起器质障碍或机能障</w:t>
      </w:r>
    </w:p>
    <w:p>
      <w:pPr>
        <w:pStyle w:val="BodyText"/>
        <w:spacing w:before="36"/>
        <w:ind w:left="2253"/>
      </w:pPr>
      <w:r>
        <w:rPr/>
        <w:t>碍，以致不能作咀嚼、吞咽运动，除流质食物外不能摄取或吞咽的状态。 </w:t>
      </w:r>
    </w:p>
    <w:p>
      <w:pPr>
        <w:pStyle w:val="BodyText"/>
        <w:spacing w:before="115"/>
        <w:ind w:left="2253"/>
      </w:pPr>
      <w:r>
        <w:rPr/>
        <w:t>4、为维持生命必要的日常生活活动，全需他人扶助系指食物摄取、大小便</w:t>
      </w:r>
    </w:p>
    <w:p>
      <w:pPr>
        <w:pStyle w:val="BodyText"/>
        <w:spacing w:before="34"/>
        <w:ind w:left="2253"/>
      </w:pPr>
      <w:r>
        <w:rPr/>
        <w:t>始末、穿脱衣服、起居、步行、入浴等，皆不能自己为之，需要他人帮助。 </w:t>
      </w:r>
    </w:p>
    <w:p>
      <w:pPr>
        <w:pStyle w:val="BodyText"/>
        <w:spacing w:before="116"/>
        <w:ind w:left="2253"/>
      </w:pPr>
      <w:r>
        <w:rPr/>
        <w:t>5</w:t>
      </w:r>
      <w:r>
        <w:rPr>
          <w:spacing w:val="-17"/>
        </w:rPr>
        <w:t>、“永久完全”指经过 </w:t>
      </w:r>
      <w:r>
        <w:rPr/>
        <w:t>180</w:t>
      </w:r>
      <w:r>
        <w:rPr>
          <w:spacing w:val="-8"/>
        </w:rPr>
        <w:t> 天的治疗，其机能仍然完全丧失，无恢复可能。</w:t>
      </w:r>
    </w:p>
    <w:p>
      <w:pPr>
        <w:pStyle w:val="BodyText"/>
        <w:spacing w:before="37"/>
        <w:ind w:left="2253"/>
      </w:pPr>
      <w:r>
        <w:rPr/>
        <w:t>但肢体缺失等无法复原情况不在此限。</w:t>
      </w:r>
    </w:p>
    <w:p>
      <w:pPr>
        <w:pStyle w:val="BodyText"/>
        <w:spacing w:before="0"/>
        <w:ind w:left="0"/>
        <w:rPr>
          <w:sz w:val="20"/>
        </w:rPr>
      </w:pPr>
    </w:p>
    <w:p>
      <w:pPr>
        <w:pStyle w:val="ListParagraph"/>
        <w:numPr>
          <w:ilvl w:val="1"/>
          <w:numId w:val="9"/>
        </w:numPr>
        <w:tabs>
          <w:tab w:pos="849" w:val="left" w:leader="none"/>
          <w:tab w:pos="850" w:val="left" w:leader="none"/>
          <w:tab w:pos="2253" w:val="left" w:leader="none"/>
        </w:tabs>
        <w:spacing w:line="264" w:lineRule="auto" w:before="176" w:after="0"/>
        <w:ind w:left="2253" w:right="211" w:hanging="2150"/>
        <w:jc w:val="left"/>
        <w:rPr>
          <w:sz w:val="21"/>
        </w:rPr>
      </w:pPr>
      <w:r>
        <w:rPr>
          <w:rFonts w:ascii="Microsoft JhengHei" w:eastAsia="Microsoft JhengHei" w:hint="eastAsia"/>
          <w:b/>
          <w:sz w:val="21"/>
        </w:rPr>
        <w:t>毒品</w:t>
        <w:tab/>
      </w:r>
      <w:r>
        <w:rPr>
          <w:sz w:val="21"/>
        </w:rPr>
        <w:t>指中</w:t>
      </w:r>
      <w:r>
        <w:rPr>
          <w:spacing w:val="-3"/>
          <w:sz w:val="21"/>
        </w:rPr>
        <w:t>华</w:t>
      </w:r>
      <w:r>
        <w:rPr>
          <w:sz w:val="21"/>
        </w:rPr>
        <w:t>人</w:t>
      </w:r>
      <w:r>
        <w:rPr>
          <w:spacing w:val="-3"/>
          <w:sz w:val="21"/>
        </w:rPr>
        <w:t>民</w:t>
      </w:r>
      <w:r>
        <w:rPr>
          <w:sz w:val="21"/>
        </w:rPr>
        <w:t>共</w:t>
      </w:r>
      <w:r>
        <w:rPr>
          <w:spacing w:val="-3"/>
          <w:sz w:val="21"/>
        </w:rPr>
        <w:t>和</w:t>
      </w:r>
      <w:r>
        <w:rPr>
          <w:sz w:val="21"/>
        </w:rPr>
        <w:t>国</w:t>
      </w:r>
      <w:r>
        <w:rPr>
          <w:spacing w:val="-3"/>
          <w:sz w:val="21"/>
        </w:rPr>
        <w:t>刑</w:t>
      </w:r>
      <w:r>
        <w:rPr>
          <w:sz w:val="21"/>
        </w:rPr>
        <w:t>法</w:t>
      </w:r>
      <w:r>
        <w:rPr>
          <w:spacing w:val="-3"/>
          <w:sz w:val="21"/>
        </w:rPr>
        <w:t>规</w:t>
      </w:r>
      <w:r>
        <w:rPr>
          <w:sz w:val="21"/>
        </w:rPr>
        <w:t>定的</w:t>
      </w:r>
      <w:r>
        <w:rPr>
          <w:spacing w:val="-3"/>
          <w:sz w:val="21"/>
        </w:rPr>
        <w:t>鸦</w:t>
      </w:r>
      <w:r>
        <w:rPr>
          <w:sz w:val="21"/>
        </w:rPr>
        <w:t>片</w:t>
      </w:r>
      <w:r>
        <w:rPr>
          <w:spacing w:val="-3"/>
          <w:sz w:val="21"/>
        </w:rPr>
        <w:t>、</w:t>
      </w:r>
      <w:r>
        <w:rPr>
          <w:sz w:val="21"/>
        </w:rPr>
        <w:t>海</w:t>
      </w:r>
      <w:r>
        <w:rPr>
          <w:spacing w:val="-3"/>
          <w:sz w:val="21"/>
        </w:rPr>
        <w:t>洛</w:t>
      </w:r>
      <w:r>
        <w:rPr>
          <w:sz w:val="21"/>
        </w:rPr>
        <w:t>因</w:t>
      </w:r>
      <w:r>
        <w:rPr>
          <w:spacing w:val="-3"/>
          <w:sz w:val="21"/>
        </w:rPr>
        <w:t>、</w:t>
      </w:r>
      <w:r>
        <w:rPr>
          <w:sz w:val="21"/>
        </w:rPr>
        <w:t>甲</w:t>
      </w:r>
      <w:r>
        <w:rPr>
          <w:spacing w:val="-3"/>
          <w:sz w:val="21"/>
        </w:rPr>
        <w:t>基</w:t>
      </w:r>
      <w:r>
        <w:rPr>
          <w:sz w:val="21"/>
        </w:rPr>
        <w:t>苯丙</w:t>
      </w:r>
      <w:r>
        <w:rPr>
          <w:spacing w:val="-3"/>
          <w:sz w:val="21"/>
        </w:rPr>
        <w:t>胺</w:t>
      </w:r>
      <w:r>
        <w:rPr>
          <w:sz w:val="21"/>
        </w:rPr>
        <w:t>（</w:t>
      </w:r>
      <w:r>
        <w:rPr>
          <w:spacing w:val="-3"/>
          <w:sz w:val="21"/>
        </w:rPr>
        <w:t>冰</w:t>
      </w:r>
      <w:r>
        <w:rPr>
          <w:sz w:val="21"/>
        </w:rPr>
        <w:t>毒</w:t>
      </w:r>
      <w:r>
        <w:rPr>
          <w:spacing w:val="-108"/>
          <w:sz w:val="21"/>
        </w:rPr>
        <w:t>）</w:t>
      </w:r>
      <w:r>
        <w:rPr>
          <w:sz w:val="21"/>
        </w:rPr>
        <w:t>、</w:t>
      </w:r>
      <w:r>
        <w:rPr>
          <w:spacing w:val="-3"/>
          <w:sz w:val="21"/>
        </w:rPr>
        <w:t>吗</w:t>
      </w:r>
      <w:r>
        <w:rPr>
          <w:sz w:val="21"/>
        </w:rPr>
        <w:t>啡、 大麻</w:t>
      </w:r>
      <w:r>
        <w:rPr>
          <w:spacing w:val="-24"/>
          <w:sz w:val="21"/>
        </w:rPr>
        <w:t>、</w:t>
      </w:r>
      <w:r>
        <w:rPr>
          <w:sz w:val="21"/>
        </w:rPr>
        <w:t>可</w:t>
      </w:r>
      <w:r>
        <w:rPr>
          <w:spacing w:val="-3"/>
          <w:sz w:val="21"/>
        </w:rPr>
        <w:t>卡</w:t>
      </w:r>
      <w:r>
        <w:rPr>
          <w:sz w:val="21"/>
        </w:rPr>
        <w:t>因</w:t>
      </w:r>
      <w:r>
        <w:rPr>
          <w:spacing w:val="-3"/>
          <w:sz w:val="21"/>
        </w:rPr>
        <w:t>以</w:t>
      </w:r>
      <w:r>
        <w:rPr>
          <w:sz w:val="21"/>
        </w:rPr>
        <w:t>及</w:t>
      </w:r>
      <w:r>
        <w:rPr>
          <w:spacing w:val="-3"/>
          <w:sz w:val="21"/>
        </w:rPr>
        <w:t>国</w:t>
      </w:r>
      <w:r>
        <w:rPr>
          <w:sz w:val="21"/>
        </w:rPr>
        <w:t>家</w:t>
      </w:r>
      <w:r>
        <w:rPr>
          <w:spacing w:val="-3"/>
          <w:sz w:val="21"/>
        </w:rPr>
        <w:t>规</w:t>
      </w:r>
      <w:r>
        <w:rPr>
          <w:sz w:val="21"/>
        </w:rPr>
        <w:t>定管</w:t>
      </w:r>
      <w:r>
        <w:rPr>
          <w:spacing w:val="-3"/>
          <w:sz w:val="21"/>
        </w:rPr>
        <w:t>制</w:t>
      </w:r>
      <w:r>
        <w:rPr>
          <w:sz w:val="21"/>
        </w:rPr>
        <w:t>的</w:t>
      </w:r>
      <w:r>
        <w:rPr>
          <w:spacing w:val="-3"/>
          <w:sz w:val="21"/>
        </w:rPr>
        <w:t>其</w:t>
      </w:r>
      <w:r>
        <w:rPr>
          <w:sz w:val="21"/>
        </w:rPr>
        <w:t>他</w:t>
      </w:r>
      <w:r>
        <w:rPr>
          <w:spacing w:val="-3"/>
          <w:sz w:val="21"/>
        </w:rPr>
        <w:t>能</w:t>
      </w:r>
      <w:r>
        <w:rPr>
          <w:sz w:val="21"/>
        </w:rPr>
        <w:t>够</w:t>
      </w:r>
      <w:r>
        <w:rPr>
          <w:spacing w:val="-3"/>
          <w:sz w:val="21"/>
        </w:rPr>
        <w:t>使</w:t>
      </w:r>
      <w:r>
        <w:rPr>
          <w:sz w:val="21"/>
        </w:rPr>
        <w:t>人</w:t>
      </w:r>
      <w:r>
        <w:rPr>
          <w:spacing w:val="-3"/>
          <w:sz w:val="21"/>
        </w:rPr>
        <w:t>形</w:t>
      </w:r>
      <w:r>
        <w:rPr>
          <w:sz w:val="21"/>
        </w:rPr>
        <w:t>成瘾</w:t>
      </w:r>
      <w:r>
        <w:rPr>
          <w:spacing w:val="-3"/>
          <w:sz w:val="21"/>
        </w:rPr>
        <w:t>癖</w:t>
      </w:r>
      <w:r>
        <w:rPr>
          <w:sz w:val="21"/>
        </w:rPr>
        <w:t>的</w:t>
      </w:r>
      <w:r>
        <w:rPr>
          <w:spacing w:val="-3"/>
          <w:sz w:val="21"/>
        </w:rPr>
        <w:t>麻</w:t>
      </w:r>
      <w:r>
        <w:rPr>
          <w:sz w:val="21"/>
        </w:rPr>
        <w:t>醉</w:t>
      </w:r>
      <w:r>
        <w:rPr>
          <w:spacing w:val="-3"/>
          <w:sz w:val="21"/>
        </w:rPr>
        <w:t>药</w:t>
      </w:r>
      <w:r>
        <w:rPr>
          <w:sz w:val="21"/>
        </w:rPr>
        <w:t>品</w:t>
      </w:r>
      <w:r>
        <w:rPr>
          <w:spacing w:val="-3"/>
          <w:sz w:val="21"/>
        </w:rPr>
        <w:t>和</w:t>
      </w:r>
      <w:r>
        <w:rPr>
          <w:sz w:val="21"/>
        </w:rPr>
        <w:t>精神药品</w:t>
      </w:r>
      <w:r>
        <w:rPr>
          <w:spacing w:val="-24"/>
          <w:sz w:val="21"/>
        </w:rPr>
        <w:t>，</w:t>
      </w:r>
      <w:r>
        <w:rPr>
          <w:sz w:val="21"/>
        </w:rPr>
        <w:t>但</w:t>
      </w:r>
      <w:r>
        <w:rPr>
          <w:spacing w:val="-3"/>
          <w:sz w:val="21"/>
        </w:rPr>
        <w:t>不</w:t>
      </w:r>
      <w:r>
        <w:rPr>
          <w:sz w:val="21"/>
        </w:rPr>
        <w:t>包</w:t>
      </w:r>
      <w:r>
        <w:rPr>
          <w:spacing w:val="-3"/>
          <w:sz w:val="21"/>
        </w:rPr>
        <w:t>括</w:t>
      </w:r>
      <w:r>
        <w:rPr>
          <w:sz w:val="21"/>
        </w:rPr>
        <w:t>由</w:t>
      </w:r>
      <w:r>
        <w:rPr>
          <w:spacing w:val="-3"/>
          <w:sz w:val="21"/>
        </w:rPr>
        <w:t>医</w:t>
      </w:r>
      <w:r>
        <w:rPr>
          <w:sz w:val="21"/>
        </w:rPr>
        <w:t>生</w:t>
      </w:r>
      <w:r>
        <w:rPr>
          <w:spacing w:val="-3"/>
          <w:sz w:val="21"/>
        </w:rPr>
        <w:t>开</w:t>
      </w:r>
      <w:r>
        <w:rPr>
          <w:sz w:val="21"/>
        </w:rPr>
        <w:t>具并</w:t>
      </w:r>
      <w:r>
        <w:rPr>
          <w:spacing w:val="-3"/>
          <w:sz w:val="21"/>
        </w:rPr>
        <w:t>遵</w:t>
      </w:r>
      <w:r>
        <w:rPr>
          <w:sz w:val="21"/>
        </w:rPr>
        <w:t>医</w:t>
      </w:r>
      <w:r>
        <w:rPr>
          <w:spacing w:val="-3"/>
          <w:sz w:val="21"/>
        </w:rPr>
        <w:t>嘱</w:t>
      </w:r>
      <w:r>
        <w:rPr>
          <w:sz w:val="21"/>
        </w:rPr>
        <w:t>使</w:t>
      </w:r>
      <w:r>
        <w:rPr>
          <w:spacing w:val="-3"/>
          <w:sz w:val="21"/>
        </w:rPr>
        <w:t>用</w:t>
      </w:r>
      <w:r>
        <w:rPr>
          <w:sz w:val="21"/>
        </w:rPr>
        <w:t>的</w:t>
      </w:r>
      <w:r>
        <w:rPr>
          <w:spacing w:val="-3"/>
          <w:sz w:val="21"/>
        </w:rPr>
        <w:t>用</w:t>
      </w:r>
      <w:r>
        <w:rPr>
          <w:sz w:val="21"/>
        </w:rPr>
        <w:t>于</w:t>
      </w:r>
      <w:r>
        <w:rPr>
          <w:spacing w:val="-3"/>
          <w:sz w:val="21"/>
        </w:rPr>
        <w:t>治</w:t>
      </w:r>
      <w:r>
        <w:rPr>
          <w:sz w:val="21"/>
        </w:rPr>
        <w:t>疗疾</w:t>
      </w:r>
      <w:r>
        <w:rPr>
          <w:spacing w:val="-3"/>
          <w:sz w:val="21"/>
        </w:rPr>
        <w:t>病</w:t>
      </w:r>
      <w:r>
        <w:rPr>
          <w:sz w:val="21"/>
        </w:rPr>
        <w:t>但</w:t>
      </w:r>
      <w:r>
        <w:rPr>
          <w:spacing w:val="-3"/>
          <w:sz w:val="21"/>
        </w:rPr>
        <w:t>含</w:t>
      </w:r>
      <w:r>
        <w:rPr>
          <w:sz w:val="21"/>
        </w:rPr>
        <w:t>有</w:t>
      </w:r>
      <w:r>
        <w:rPr>
          <w:spacing w:val="-3"/>
          <w:sz w:val="21"/>
        </w:rPr>
        <w:t>毒</w:t>
      </w:r>
      <w:r>
        <w:rPr>
          <w:sz w:val="21"/>
        </w:rPr>
        <w:t>品</w:t>
      </w:r>
      <w:r>
        <w:rPr>
          <w:spacing w:val="-3"/>
          <w:sz w:val="21"/>
        </w:rPr>
        <w:t>成</w:t>
      </w:r>
      <w:r>
        <w:rPr>
          <w:sz w:val="21"/>
        </w:rPr>
        <w:t>分的处方</w:t>
      </w:r>
      <w:r>
        <w:rPr>
          <w:spacing w:val="-3"/>
          <w:sz w:val="21"/>
        </w:rPr>
        <w:t>药</w:t>
      </w:r>
      <w:r>
        <w:rPr>
          <w:sz w:val="21"/>
        </w:rPr>
        <w:t>品。</w:t>
      </w:r>
    </w:p>
    <w:p>
      <w:pPr>
        <w:pStyle w:val="BodyText"/>
        <w:spacing w:before="94"/>
        <w:ind w:left="2253"/>
      </w:pPr>
      <w:r>
        <w:rPr>
          <w:w w:val="100"/>
        </w:rPr>
        <w:t> </w:t>
      </w:r>
    </w:p>
    <w:p>
      <w:pPr>
        <w:pStyle w:val="ListParagraph"/>
        <w:numPr>
          <w:ilvl w:val="1"/>
          <w:numId w:val="9"/>
        </w:numPr>
        <w:tabs>
          <w:tab w:pos="850" w:val="left" w:leader="none"/>
          <w:tab w:pos="2253" w:val="left" w:leader="none"/>
        </w:tabs>
        <w:spacing w:line="259" w:lineRule="auto" w:before="46" w:after="0"/>
        <w:ind w:left="2253" w:right="211" w:hanging="2150"/>
        <w:jc w:val="both"/>
        <w:rPr>
          <w:sz w:val="21"/>
        </w:rPr>
      </w:pPr>
      <w:r>
        <w:rPr>
          <w:rFonts w:ascii="Microsoft JhengHei" w:eastAsia="Microsoft JhengHei" w:hint="eastAsia"/>
          <w:b/>
          <w:sz w:val="21"/>
        </w:rPr>
        <w:t>酒后驾驶</w:t>
        <w:tab/>
      </w:r>
      <w:r>
        <w:rPr>
          <w:sz w:val="21"/>
        </w:rPr>
        <w:t>指经</w:t>
      </w:r>
      <w:r>
        <w:rPr>
          <w:spacing w:val="-3"/>
          <w:sz w:val="21"/>
        </w:rPr>
        <w:t>检</w:t>
      </w:r>
      <w:r>
        <w:rPr>
          <w:sz w:val="21"/>
        </w:rPr>
        <w:t>测</w:t>
      </w:r>
      <w:r>
        <w:rPr>
          <w:spacing w:val="-3"/>
          <w:sz w:val="21"/>
        </w:rPr>
        <w:t>或</w:t>
      </w:r>
      <w:r>
        <w:rPr>
          <w:sz w:val="21"/>
        </w:rPr>
        <w:t>鉴</w:t>
      </w:r>
      <w:r>
        <w:rPr>
          <w:spacing w:val="-3"/>
          <w:sz w:val="21"/>
        </w:rPr>
        <w:t>定</w:t>
      </w:r>
      <w:r>
        <w:rPr>
          <w:spacing w:val="-22"/>
          <w:sz w:val="21"/>
        </w:rPr>
        <w:t>，</w:t>
      </w:r>
      <w:r>
        <w:rPr>
          <w:spacing w:val="-3"/>
          <w:sz w:val="21"/>
        </w:rPr>
        <w:t>发</w:t>
      </w:r>
      <w:r>
        <w:rPr>
          <w:sz w:val="21"/>
        </w:rPr>
        <w:t>生</w:t>
      </w:r>
      <w:r>
        <w:rPr>
          <w:spacing w:val="-3"/>
          <w:sz w:val="21"/>
        </w:rPr>
        <w:t>事</w:t>
      </w:r>
      <w:r>
        <w:rPr>
          <w:sz w:val="21"/>
        </w:rPr>
        <w:t>故时</w:t>
      </w:r>
      <w:r>
        <w:rPr>
          <w:spacing w:val="-3"/>
          <w:sz w:val="21"/>
        </w:rPr>
        <w:t>车</w:t>
      </w:r>
      <w:r>
        <w:rPr>
          <w:sz w:val="21"/>
        </w:rPr>
        <w:t>辆</w:t>
      </w:r>
      <w:r>
        <w:rPr>
          <w:spacing w:val="-3"/>
          <w:sz w:val="21"/>
        </w:rPr>
        <w:t>驾</w:t>
      </w:r>
      <w:r>
        <w:rPr>
          <w:sz w:val="21"/>
        </w:rPr>
        <w:t>驶</w:t>
      </w:r>
      <w:r>
        <w:rPr>
          <w:spacing w:val="-3"/>
          <w:sz w:val="21"/>
        </w:rPr>
        <w:t>人</w:t>
      </w:r>
      <w:r>
        <w:rPr>
          <w:sz w:val="21"/>
        </w:rPr>
        <w:t>员</w:t>
      </w:r>
      <w:r>
        <w:rPr>
          <w:spacing w:val="-3"/>
          <w:sz w:val="21"/>
        </w:rPr>
        <w:t>每</w:t>
      </w:r>
      <w:r>
        <w:rPr>
          <w:sz w:val="21"/>
        </w:rPr>
        <w:t>百</w:t>
      </w:r>
      <w:r>
        <w:rPr>
          <w:spacing w:val="-3"/>
          <w:sz w:val="21"/>
        </w:rPr>
        <w:t>毫</w:t>
      </w:r>
      <w:r>
        <w:rPr>
          <w:sz w:val="21"/>
        </w:rPr>
        <w:t>升血</w:t>
      </w:r>
      <w:r>
        <w:rPr>
          <w:spacing w:val="-3"/>
          <w:sz w:val="21"/>
        </w:rPr>
        <w:t>液</w:t>
      </w:r>
      <w:r>
        <w:rPr>
          <w:sz w:val="21"/>
        </w:rPr>
        <w:t>中</w:t>
      </w:r>
      <w:r>
        <w:rPr>
          <w:spacing w:val="-3"/>
          <w:sz w:val="21"/>
        </w:rPr>
        <w:t>的</w:t>
      </w:r>
      <w:r>
        <w:rPr>
          <w:sz w:val="21"/>
        </w:rPr>
        <w:t>酒</w:t>
      </w:r>
      <w:r>
        <w:rPr>
          <w:spacing w:val="-3"/>
          <w:sz w:val="21"/>
        </w:rPr>
        <w:t>精</w:t>
      </w:r>
      <w:r>
        <w:rPr>
          <w:sz w:val="21"/>
        </w:rPr>
        <w:t>含</w:t>
      </w:r>
      <w:r>
        <w:rPr>
          <w:spacing w:val="-3"/>
          <w:sz w:val="21"/>
        </w:rPr>
        <w:t>量</w:t>
      </w:r>
      <w:r>
        <w:rPr>
          <w:sz w:val="21"/>
        </w:rPr>
        <w:t>达到 或超</w:t>
      </w:r>
      <w:r>
        <w:rPr>
          <w:spacing w:val="-3"/>
          <w:sz w:val="21"/>
        </w:rPr>
        <w:t>过</w:t>
      </w:r>
      <w:r>
        <w:rPr>
          <w:sz w:val="21"/>
        </w:rPr>
        <w:t>一</w:t>
      </w:r>
      <w:r>
        <w:rPr>
          <w:spacing w:val="-3"/>
          <w:sz w:val="21"/>
        </w:rPr>
        <w:t>定</w:t>
      </w:r>
      <w:r>
        <w:rPr>
          <w:sz w:val="21"/>
        </w:rPr>
        <w:t>的</w:t>
      </w:r>
      <w:r>
        <w:rPr>
          <w:spacing w:val="-3"/>
          <w:sz w:val="21"/>
        </w:rPr>
        <w:t>标</w:t>
      </w:r>
      <w:r>
        <w:rPr>
          <w:sz w:val="21"/>
        </w:rPr>
        <w:t>准</w:t>
      </w:r>
      <w:r>
        <w:rPr>
          <w:spacing w:val="-10"/>
          <w:sz w:val="21"/>
        </w:rPr>
        <w:t>，</w:t>
      </w:r>
      <w:r>
        <w:rPr>
          <w:sz w:val="21"/>
        </w:rPr>
        <w:t>公</w:t>
      </w:r>
      <w:r>
        <w:rPr>
          <w:spacing w:val="-3"/>
          <w:sz w:val="21"/>
        </w:rPr>
        <w:t>安</w:t>
      </w:r>
      <w:r>
        <w:rPr>
          <w:sz w:val="21"/>
        </w:rPr>
        <w:t>机关</w:t>
      </w:r>
      <w:r>
        <w:rPr>
          <w:spacing w:val="-3"/>
          <w:sz w:val="21"/>
        </w:rPr>
        <w:t>交</w:t>
      </w:r>
      <w:r>
        <w:rPr>
          <w:sz w:val="21"/>
        </w:rPr>
        <w:t>通</w:t>
      </w:r>
      <w:r>
        <w:rPr>
          <w:spacing w:val="-3"/>
          <w:sz w:val="21"/>
        </w:rPr>
        <w:t>管</w:t>
      </w:r>
      <w:r>
        <w:rPr>
          <w:sz w:val="21"/>
        </w:rPr>
        <w:t>理</w:t>
      </w:r>
      <w:r>
        <w:rPr>
          <w:spacing w:val="-3"/>
          <w:sz w:val="21"/>
        </w:rPr>
        <w:t>部</w:t>
      </w:r>
      <w:r>
        <w:rPr>
          <w:sz w:val="21"/>
        </w:rPr>
        <w:t>门</w:t>
      </w:r>
      <w:r>
        <w:rPr>
          <w:spacing w:val="-3"/>
          <w:sz w:val="21"/>
        </w:rPr>
        <w:t>依</w:t>
      </w:r>
      <w:r>
        <w:rPr>
          <w:spacing w:val="-8"/>
          <w:sz w:val="21"/>
        </w:rPr>
        <w:t>据</w:t>
      </w:r>
      <w:r>
        <w:rPr>
          <w:spacing w:val="-3"/>
          <w:sz w:val="21"/>
        </w:rPr>
        <w:t>《</w:t>
      </w:r>
      <w:r>
        <w:rPr>
          <w:sz w:val="21"/>
        </w:rPr>
        <w:t>道路</w:t>
      </w:r>
      <w:r>
        <w:rPr>
          <w:spacing w:val="-3"/>
          <w:sz w:val="21"/>
        </w:rPr>
        <w:t>交</w:t>
      </w:r>
      <w:r>
        <w:rPr>
          <w:sz w:val="21"/>
        </w:rPr>
        <w:t>通</w:t>
      </w:r>
      <w:r>
        <w:rPr>
          <w:spacing w:val="-3"/>
          <w:sz w:val="21"/>
        </w:rPr>
        <w:t>安</w:t>
      </w:r>
      <w:r>
        <w:rPr>
          <w:sz w:val="21"/>
        </w:rPr>
        <w:t>全</w:t>
      </w:r>
      <w:r>
        <w:rPr>
          <w:spacing w:val="-3"/>
          <w:sz w:val="21"/>
        </w:rPr>
        <w:t>法</w:t>
      </w:r>
      <w:r>
        <w:rPr>
          <w:spacing w:val="-8"/>
          <w:sz w:val="21"/>
        </w:rPr>
        <w:t>》</w:t>
      </w:r>
      <w:r>
        <w:rPr>
          <w:spacing w:val="-3"/>
          <w:sz w:val="21"/>
        </w:rPr>
        <w:t>的</w:t>
      </w:r>
      <w:r>
        <w:rPr>
          <w:sz w:val="21"/>
        </w:rPr>
        <w:t>规定认定</w:t>
      </w:r>
      <w:r>
        <w:rPr>
          <w:spacing w:val="-3"/>
          <w:sz w:val="21"/>
        </w:rPr>
        <w:t>为</w:t>
      </w:r>
      <w:r>
        <w:rPr>
          <w:sz w:val="21"/>
        </w:rPr>
        <w:t>饮</w:t>
      </w:r>
      <w:r>
        <w:rPr>
          <w:spacing w:val="-3"/>
          <w:sz w:val="21"/>
        </w:rPr>
        <w:t>酒</w:t>
      </w:r>
      <w:r>
        <w:rPr>
          <w:sz w:val="21"/>
        </w:rPr>
        <w:t>后</w:t>
      </w:r>
      <w:r>
        <w:rPr>
          <w:spacing w:val="-3"/>
          <w:sz w:val="21"/>
        </w:rPr>
        <w:t>驾</w:t>
      </w:r>
      <w:r>
        <w:rPr>
          <w:sz w:val="21"/>
        </w:rPr>
        <w:t>驶</w:t>
      </w:r>
      <w:r>
        <w:rPr>
          <w:spacing w:val="-3"/>
          <w:sz w:val="21"/>
        </w:rPr>
        <w:t>或</w:t>
      </w:r>
      <w:r>
        <w:rPr>
          <w:sz w:val="21"/>
        </w:rPr>
        <w:t>醉</w:t>
      </w:r>
      <w:r>
        <w:rPr>
          <w:spacing w:val="-3"/>
          <w:sz w:val="21"/>
        </w:rPr>
        <w:t>酒</w:t>
      </w:r>
      <w:r>
        <w:rPr>
          <w:sz w:val="21"/>
        </w:rPr>
        <w:t>后驾</w:t>
      </w:r>
      <w:r>
        <w:rPr>
          <w:spacing w:val="-3"/>
          <w:sz w:val="21"/>
        </w:rPr>
        <w:t>驶</w:t>
      </w:r>
      <w:r>
        <w:rPr>
          <w:sz w:val="21"/>
        </w:rPr>
        <w:t>。</w:t>
      </w:r>
    </w:p>
    <w:p>
      <w:pPr>
        <w:spacing w:after="0" w:line="259" w:lineRule="auto"/>
        <w:jc w:val="both"/>
        <w:rPr>
          <w:sz w:val="21"/>
        </w:rPr>
        <w:sectPr>
          <w:pgSz w:w="11900" w:h="16840"/>
          <w:pgMar w:header="0" w:footer="1204" w:top="1440" w:bottom="1400" w:left="1320" w:right="1200"/>
        </w:sectPr>
      </w:pPr>
    </w:p>
    <w:p>
      <w:pPr>
        <w:pStyle w:val="BodyText"/>
        <w:spacing w:before="3"/>
        <w:ind w:left="0"/>
        <w:rPr>
          <w:sz w:val="25"/>
        </w:rPr>
      </w:pPr>
    </w:p>
    <w:p>
      <w:pPr>
        <w:pStyle w:val="Heading2"/>
        <w:numPr>
          <w:ilvl w:val="1"/>
          <w:numId w:val="9"/>
        </w:numPr>
        <w:tabs>
          <w:tab w:pos="909" w:val="left" w:leader="none"/>
          <w:tab w:pos="910" w:val="left" w:leader="none"/>
        </w:tabs>
        <w:spacing w:line="339" w:lineRule="exact" w:before="0" w:after="0"/>
        <w:ind w:left="909" w:right="0" w:hanging="746"/>
        <w:jc w:val="left"/>
      </w:pPr>
      <w:r>
        <w:rPr/>
        <w:t>无合法有效</w:t>
      </w:r>
    </w:p>
    <w:p>
      <w:pPr>
        <w:spacing w:line="339" w:lineRule="exact" w:before="0"/>
        <w:ind w:left="909" w:right="0" w:firstLine="0"/>
        <w:jc w:val="left"/>
        <w:rPr>
          <w:rFonts w:ascii="Microsoft JhengHei" w:eastAsia="Microsoft JhengHei" w:hint="eastAsia"/>
          <w:b/>
          <w:sz w:val="21"/>
        </w:rPr>
      </w:pPr>
      <w:r>
        <w:rPr>
          <w:rFonts w:ascii="Microsoft JhengHei" w:eastAsia="Microsoft JhengHei" w:hint="eastAsia"/>
          <w:b/>
          <w:sz w:val="21"/>
        </w:rPr>
        <w:t>驾驶证驾驶</w:t>
      </w:r>
    </w:p>
    <w:p>
      <w:pPr>
        <w:spacing w:before="8"/>
        <w:ind w:left="163" w:right="0" w:firstLine="0"/>
        <w:jc w:val="left"/>
        <w:rPr>
          <w:sz w:val="21"/>
        </w:rPr>
      </w:pPr>
      <w:r>
        <w:rPr/>
        <w:br w:type="column"/>
      </w:r>
      <w:r>
        <w:rPr>
          <w:w w:val="100"/>
          <w:sz w:val="21"/>
        </w:rPr>
        <w:t> </w:t>
      </w:r>
    </w:p>
    <w:p>
      <w:pPr>
        <w:pStyle w:val="BodyText"/>
        <w:spacing w:before="113"/>
        <w:ind w:left="163"/>
      </w:pPr>
      <w:r>
        <w:rPr/>
        <w:t>指下列情形之一：</w:t>
      </w:r>
    </w:p>
    <w:p>
      <w:pPr>
        <w:pStyle w:val="BodyText"/>
        <w:spacing w:before="115"/>
        <w:ind w:left="163"/>
      </w:pPr>
      <w:r>
        <w:rPr/>
        <w:t>（1）没有取得驾驶资格； </w:t>
      </w:r>
    </w:p>
    <w:p>
      <w:pPr>
        <w:pStyle w:val="BodyText"/>
        <w:spacing w:before="113"/>
        <w:ind w:left="163"/>
      </w:pPr>
      <w:r>
        <w:rPr/>
        <w:t>（2）驾驶与驾驶证准驾车型不相符合的车辆； </w:t>
      </w:r>
    </w:p>
    <w:p>
      <w:pPr>
        <w:pStyle w:val="BodyText"/>
        <w:spacing w:before="116"/>
        <w:ind w:left="163"/>
      </w:pPr>
      <w:r>
        <w:rPr/>
        <w:t>（3）持审验不合格的驾驶证驾驶； </w:t>
      </w:r>
    </w:p>
    <w:p>
      <w:pPr>
        <w:pStyle w:val="BodyText"/>
        <w:spacing w:before="114"/>
        <w:ind w:left="163"/>
      </w:pPr>
      <w:r>
        <w:rPr/>
        <w:t>（4）持学习驾驶证学习驾车时，无教练员随车指导，或不按指定时间、路</w:t>
      </w:r>
    </w:p>
    <w:p>
      <w:pPr>
        <w:pStyle w:val="BodyText"/>
        <w:spacing w:before="37"/>
        <w:ind w:left="688"/>
      </w:pPr>
      <w:r>
        <w:rPr/>
        <w:t>线学习驾车。</w:t>
      </w:r>
    </w:p>
    <w:p>
      <w:pPr>
        <w:spacing w:after="0"/>
        <w:sectPr>
          <w:pgSz w:w="11900" w:h="16840"/>
          <w:pgMar w:header="0" w:footer="1204" w:top="1500" w:bottom="1400" w:left="1260" w:right="1260"/>
          <w:cols w:num="2" w:equalWidth="0">
            <w:col w:w="1966" w:space="184"/>
            <w:col w:w="7230"/>
          </w:cols>
        </w:sectPr>
      </w:pPr>
    </w:p>
    <w:p>
      <w:pPr>
        <w:pStyle w:val="BodyText"/>
        <w:spacing w:before="9"/>
        <w:ind w:left="0"/>
        <w:rPr>
          <w:sz w:val="13"/>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7"/>
        <w:gridCol w:w="1455"/>
        <w:gridCol w:w="7033"/>
      </w:tblGrid>
      <w:tr>
        <w:trPr>
          <w:trHeight w:val="697" w:hRule="atLeast"/>
        </w:trPr>
        <w:tc>
          <w:tcPr>
            <w:tcW w:w="677" w:type="dxa"/>
          </w:tcPr>
          <w:p>
            <w:pPr>
              <w:pStyle w:val="TableParagraph"/>
              <w:spacing w:before="9"/>
              <w:rPr>
                <w:sz w:val="19"/>
              </w:rPr>
            </w:pPr>
          </w:p>
          <w:p>
            <w:pPr>
              <w:pStyle w:val="TableParagraph"/>
              <w:ind w:left="50"/>
              <w:rPr>
                <w:rFonts w:ascii="Microsoft JhengHei"/>
                <w:b/>
                <w:sz w:val="21"/>
              </w:rPr>
            </w:pPr>
            <w:r>
              <w:rPr>
                <w:rFonts w:ascii="Microsoft JhengHei"/>
                <w:b/>
                <w:w w:val="90"/>
                <w:sz w:val="21"/>
              </w:rPr>
              <w:t>10. 13</w:t>
            </w:r>
          </w:p>
        </w:tc>
        <w:tc>
          <w:tcPr>
            <w:tcW w:w="1455" w:type="dxa"/>
          </w:tcPr>
          <w:p>
            <w:pPr>
              <w:pStyle w:val="TableParagraph"/>
              <w:spacing w:before="9"/>
              <w:rPr>
                <w:sz w:val="19"/>
              </w:rPr>
            </w:pPr>
          </w:p>
          <w:p>
            <w:pPr>
              <w:pStyle w:val="TableParagraph"/>
              <w:ind w:left="119"/>
              <w:rPr>
                <w:rFonts w:ascii="Microsoft JhengHei" w:eastAsia="Microsoft JhengHei" w:hint="eastAsia"/>
                <w:b/>
                <w:sz w:val="21"/>
              </w:rPr>
            </w:pPr>
            <w:r>
              <w:rPr>
                <w:rFonts w:ascii="Microsoft JhengHei" w:eastAsia="Microsoft JhengHei" w:hint="eastAsia"/>
                <w:b/>
                <w:sz w:val="21"/>
              </w:rPr>
              <w:t>无有效行驶</w:t>
            </w:r>
          </w:p>
        </w:tc>
        <w:tc>
          <w:tcPr>
            <w:tcW w:w="7033" w:type="dxa"/>
          </w:tcPr>
          <w:p>
            <w:pPr>
              <w:pStyle w:val="TableParagraph"/>
              <w:spacing w:line="211" w:lineRule="exact"/>
              <w:ind w:left="68"/>
              <w:rPr>
                <w:sz w:val="21"/>
              </w:rPr>
            </w:pPr>
            <w:r>
              <w:rPr>
                <w:w w:val="100"/>
                <w:sz w:val="21"/>
              </w:rPr>
              <w:t> </w:t>
            </w:r>
          </w:p>
          <w:p>
            <w:pPr>
              <w:pStyle w:val="TableParagraph"/>
              <w:spacing w:before="114"/>
              <w:ind w:left="68"/>
              <w:rPr>
                <w:sz w:val="21"/>
              </w:rPr>
            </w:pPr>
            <w:r>
              <w:rPr>
                <w:sz w:val="21"/>
              </w:rPr>
              <w:t>指下列情形之一：</w:t>
            </w:r>
          </w:p>
        </w:tc>
      </w:tr>
      <w:tr>
        <w:trPr>
          <w:trHeight w:val="382" w:hRule="atLeast"/>
        </w:trPr>
        <w:tc>
          <w:tcPr>
            <w:tcW w:w="677" w:type="dxa"/>
          </w:tcPr>
          <w:p>
            <w:pPr>
              <w:pStyle w:val="TableParagraph"/>
              <w:rPr>
                <w:rFonts w:ascii="Times New Roman"/>
                <w:sz w:val="20"/>
              </w:rPr>
            </w:pPr>
          </w:p>
        </w:tc>
        <w:tc>
          <w:tcPr>
            <w:tcW w:w="1455" w:type="dxa"/>
          </w:tcPr>
          <w:p>
            <w:pPr>
              <w:pStyle w:val="TableParagraph"/>
              <w:spacing w:line="238" w:lineRule="exact"/>
              <w:ind w:left="119"/>
              <w:rPr>
                <w:rFonts w:ascii="Microsoft JhengHei" w:eastAsia="Microsoft JhengHei" w:hint="eastAsia"/>
                <w:b/>
                <w:sz w:val="21"/>
              </w:rPr>
            </w:pPr>
            <w:r>
              <w:rPr>
                <w:rFonts w:ascii="Microsoft JhengHei" w:eastAsia="Microsoft JhengHei" w:hint="eastAsia"/>
                <w:b/>
                <w:w w:val="100"/>
                <w:sz w:val="21"/>
              </w:rPr>
              <w:t>证</w:t>
            </w:r>
          </w:p>
        </w:tc>
        <w:tc>
          <w:tcPr>
            <w:tcW w:w="7033" w:type="dxa"/>
          </w:tcPr>
          <w:p>
            <w:pPr>
              <w:pStyle w:val="TableParagraph"/>
              <w:spacing w:before="18"/>
              <w:ind w:left="68"/>
              <w:rPr>
                <w:sz w:val="21"/>
              </w:rPr>
            </w:pPr>
            <w:r>
              <w:rPr>
                <w:sz w:val="21"/>
              </w:rPr>
              <w:t>（1）机动车被依法注销登记的；  </w:t>
            </w:r>
          </w:p>
        </w:tc>
      </w:tr>
      <w:tr>
        <w:trPr>
          <w:trHeight w:val="390" w:hRule="atLeast"/>
        </w:trPr>
        <w:tc>
          <w:tcPr>
            <w:tcW w:w="677" w:type="dxa"/>
          </w:tcPr>
          <w:p>
            <w:pPr>
              <w:pStyle w:val="TableParagraph"/>
              <w:rPr>
                <w:rFonts w:ascii="Times New Roman"/>
                <w:sz w:val="20"/>
              </w:rPr>
            </w:pPr>
          </w:p>
        </w:tc>
        <w:tc>
          <w:tcPr>
            <w:tcW w:w="1455" w:type="dxa"/>
          </w:tcPr>
          <w:p>
            <w:pPr>
              <w:pStyle w:val="TableParagraph"/>
              <w:rPr>
                <w:rFonts w:ascii="Times New Roman"/>
                <w:sz w:val="20"/>
              </w:rPr>
            </w:pPr>
          </w:p>
        </w:tc>
        <w:tc>
          <w:tcPr>
            <w:tcW w:w="7033" w:type="dxa"/>
          </w:tcPr>
          <w:p>
            <w:pPr>
              <w:pStyle w:val="TableParagraph"/>
              <w:spacing w:before="25"/>
              <w:ind w:left="68"/>
              <w:rPr>
                <w:sz w:val="21"/>
              </w:rPr>
            </w:pPr>
            <w:r>
              <w:rPr>
                <w:sz w:val="21"/>
              </w:rPr>
              <w:t>（2）未依法按时进行或通过机动车安全技术检验。</w:t>
            </w:r>
          </w:p>
        </w:tc>
      </w:tr>
      <w:tr>
        <w:trPr>
          <w:trHeight w:val="385" w:hRule="atLeast"/>
        </w:trPr>
        <w:tc>
          <w:tcPr>
            <w:tcW w:w="677" w:type="dxa"/>
          </w:tcPr>
          <w:p>
            <w:pPr>
              <w:pStyle w:val="TableParagraph"/>
              <w:rPr>
                <w:rFonts w:ascii="Times New Roman"/>
                <w:sz w:val="20"/>
              </w:rPr>
            </w:pPr>
          </w:p>
        </w:tc>
        <w:tc>
          <w:tcPr>
            <w:tcW w:w="1455" w:type="dxa"/>
          </w:tcPr>
          <w:p>
            <w:pPr>
              <w:pStyle w:val="TableParagraph"/>
              <w:rPr>
                <w:rFonts w:ascii="Times New Roman"/>
                <w:sz w:val="20"/>
              </w:rPr>
            </w:pPr>
          </w:p>
        </w:tc>
        <w:tc>
          <w:tcPr>
            <w:tcW w:w="7033" w:type="dxa"/>
          </w:tcPr>
          <w:p>
            <w:pPr>
              <w:pStyle w:val="TableParagraph"/>
              <w:spacing w:before="26"/>
              <w:ind w:left="68"/>
              <w:rPr>
                <w:sz w:val="21"/>
              </w:rPr>
            </w:pPr>
            <w:r>
              <w:rPr>
                <w:w w:val="100"/>
                <w:sz w:val="21"/>
              </w:rPr>
              <w:t> </w:t>
            </w:r>
          </w:p>
        </w:tc>
      </w:tr>
      <w:tr>
        <w:trPr>
          <w:trHeight w:val="362" w:hRule="atLeast"/>
        </w:trPr>
        <w:tc>
          <w:tcPr>
            <w:tcW w:w="677" w:type="dxa"/>
          </w:tcPr>
          <w:p>
            <w:pPr>
              <w:pStyle w:val="TableParagraph"/>
              <w:spacing w:line="329" w:lineRule="exact"/>
              <w:ind w:left="50"/>
              <w:rPr>
                <w:rFonts w:ascii="Microsoft JhengHei"/>
                <w:b/>
                <w:sz w:val="21"/>
              </w:rPr>
            </w:pPr>
            <w:r>
              <w:rPr>
                <w:rFonts w:ascii="Microsoft JhengHei"/>
                <w:b/>
                <w:w w:val="90"/>
                <w:sz w:val="21"/>
              </w:rPr>
              <w:t>10. 14</w:t>
            </w:r>
          </w:p>
        </w:tc>
        <w:tc>
          <w:tcPr>
            <w:tcW w:w="1455" w:type="dxa"/>
          </w:tcPr>
          <w:p>
            <w:pPr>
              <w:pStyle w:val="TableParagraph"/>
              <w:spacing w:line="329" w:lineRule="exact"/>
              <w:ind w:left="119"/>
              <w:rPr>
                <w:rFonts w:ascii="Microsoft JhengHei" w:eastAsia="Microsoft JhengHei" w:hint="eastAsia"/>
                <w:b/>
                <w:sz w:val="21"/>
              </w:rPr>
            </w:pPr>
            <w:r>
              <w:rPr>
                <w:rFonts w:ascii="Microsoft JhengHei" w:eastAsia="Microsoft JhengHei" w:hint="eastAsia"/>
                <w:b/>
                <w:sz w:val="21"/>
              </w:rPr>
              <w:t>机动车</w:t>
            </w:r>
          </w:p>
        </w:tc>
        <w:tc>
          <w:tcPr>
            <w:tcW w:w="7033" w:type="dxa"/>
          </w:tcPr>
          <w:p>
            <w:pPr>
              <w:pStyle w:val="TableParagraph"/>
              <w:spacing w:before="30"/>
              <w:ind w:left="68"/>
              <w:rPr>
                <w:sz w:val="21"/>
              </w:rPr>
            </w:pPr>
            <w:r>
              <w:rPr>
                <w:sz w:val="21"/>
              </w:rPr>
              <w:t>指以动力装置驱动或者牵引，上道路行驶的供人员乘用或者用于运送物品以</w:t>
            </w:r>
          </w:p>
        </w:tc>
      </w:tr>
      <w:tr>
        <w:trPr>
          <w:trHeight w:val="344" w:hRule="atLeast"/>
        </w:trPr>
        <w:tc>
          <w:tcPr>
            <w:tcW w:w="677" w:type="dxa"/>
          </w:tcPr>
          <w:p>
            <w:pPr>
              <w:pStyle w:val="TableParagraph"/>
              <w:rPr>
                <w:rFonts w:ascii="Times New Roman"/>
                <w:sz w:val="20"/>
              </w:rPr>
            </w:pPr>
          </w:p>
        </w:tc>
        <w:tc>
          <w:tcPr>
            <w:tcW w:w="1455" w:type="dxa"/>
          </w:tcPr>
          <w:p>
            <w:pPr>
              <w:pStyle w:val="TableParagraph"/>
              <w:rPr>
                <w:rFonts w:ascii="Times New Roman"/>
                <w:sz w:val="20"/>
              </w:rPr>
            </w:pPr>
          </w:p>
        </w:tc>
        <w:tc>
          <w:tcPr>
            <w:tcW w:w="7033" w:type="dxa"/>
          </w:tcPr>
          <w:p>
            <w:pPr>
              <w:pStyle w:val="TableParagraph"/>
              <w:spacing w:line="254" w:lineRule="exact"/>
              <w:ind w:left="68"/>
              <w:rPr>
                <w:sz w:val="21"/>
              </w:rPr>
            </w:pPr>
            <w:r>
              <w:rPr>
                <w:sz w:val="21"/>
              </w:rPr>
              <w:t>及进行工程专项作业的轮式车辆。 </w:t>
            </w:r>
          </w:p>
        </w:tc>
      </w:tr>
      <w:tr>
        <w:trPr>
          <w:trHeight w:val="385" w:hRule="atLeast"/>
        </w:trPr>
        <w:tc>
          <w:tcPr>
            <w:tcW w:w="677" w:type="dxa"/>
          </w:tcPr>
          <w:p>
            <w:pPr>
              <w:pStyle w:val="TableParagraph"/>
              <w:rPr>
                <w:rFonts w:ascii="Times New Roman"/>
                <w:sz w:val="20"/>
              </w:rPr>
            </w:pPr>
          </w:p>
        </w:tc>
        <w:tc>
          <w:tcPr>
            <w:tcW w:w="1455" w:type="dxa"/>
          </w:tcPr>
          <w:p>
            <w:pPr>
              <w:pStyle w:val="TableParagraph"/>
              <w:rPr>
                <w:rFonts w:ascii="Times New Roman"/>
                <w:sz w:val="20"/>
              </w:rPr>
            </w:pPr>
          </w:p>
        </w:tc>
        <w:tc>
          <w:tcPr>
            <w:tcW w:w="7033" w:type="dxa"/>
          </w:tcPr>
          <w:p>
            <w:pPr>
              <w:pStyle w:val="TableParagraph"/>
              <w:spacing w:before="26"/>
              <w:ind w:left="68"/>
              <w:rPr>
                <w:sz w:val="21"/>
              </w:rPr>
            </w:pPr>
            <w:r>
              <w:rPr>
                <w:w w:val="100"/>
                <w:sz w:val="21"/>
              </w:rPr>
              <w:t> </w:t>
            </w:r>
          </w:p>
        </w:tc>
      </w:tr>
      <w:tr>
        <w:trPr>
          <w:trHeight w:val="362" w:hRule="atLeast"/>
        </w:trPr>
        <w:tc>
          <w:tcPr>
            <w:tcW w:w="677" w:type="dxa"/>
          </w:tcPr>
          <w:p>
            <w:pPr>
              <w:pStyle w:val="TableParagraph"/>
              <w:spacing w:line="329" w:lineRule="exact"/>
              <w:ind w:left="50"/>
              <w:rPr>
                <w:rFonts w:ascii="Microsoft JhengHei"/>
                <w:b/>
                <w:sz w:val="21"/>
              </w:rPr>
            </w:pPr>
            <w:r>
              <w:rPr>
                <w:rFonts w:ascii="Microsoft JhengHei"/>
                <w:b/>
                <w:w w:val="90"/>
                <w:sz w:val="21"/>
              </w:rPr>
              <w:t>10. 15</w:t>
            </w:r>
          </w:p>
        </w:tc>
        <w:tc>
          <w:tcPr>
            <w:tcW w:w="1455" w:type="dxa"/>
          </w:tcPr>
          <w:p>
            <w:pPr>
              <w:pStyle w:val="TableParagraph"/>
              <w:spacing w:line="329" w:lineRule="exact"/>
              <w:ind w:left="119"/>
              <w:rPr>
                <w:rFonts w:ascii="Microsoft JhengHei" w:eastAsia="Microsoft JhengHei" w:hint="eastAsia"/>
                <w:b/>
                <w:sz w:val="21"/>
              </w:rPr>
            </w:pPr>
            <w:r>
              <w:rPr>
                <w:rFonts w:ascii="Microsoft JhengHei" w:eastAsia="Microsoft JhengHei" w:hint="eastAsia"/>
                <w:b/>
                <w:sz w:val="21"/>
              </w:rPr>
              <w:t>先天性畸形、</w:t>
            </w:r>
          </w:p>
        </w:tc>
        <w:tc>
          <w:tcPr>
            <w:tcW w:w="7033" w:type="dxa"/>
          </w:tcPr>
          <w:p>
            <w:pPr>
              <w:pStyle w:val="TableParagraph"/>
              <w:spacing w:before="30"/>
              <w:ind w:left="68"/>
              <w:rPr>
                <w:sz w:val="21"/>
              </w:rPr>
            </w:pPr>
            <w:r>
              <w:rPr>
                <w:sz w:val="21"/>
              </w:rPr>
              <w:t>指被保险人出生时就具有的畸形、变形或染色体异常。先天性畸形、变形和</w:t>
            </w:r>
          </w:p>
        </w:tc>
      </w:tr>
      <w:tr>
        <w:trPr>
          <w:trHeight w:val="301" w:hRule="atLeast"/>
        </w:trPr>
        <w:tc>
          <w:tcPr>
            <w:tcW w:w="677" w:type="dxa"/>
          </w:tcPr>
          <w:p>
            <w:pPr>
              <w:pStyle w:val="TableParagraph"/>
              <w:rPr>
                <w:rFonts w:ascii="Times New Roman"/>
                <w:sz w:val="20"/>
              </w:rPr>
            </w:pPr>
          </w:p>
        </w:tc>
        <w:tc>
          <w:tcPr>
            <w:tcW w:w="1455" w:type="dxa"/>
          </w:tcPr>
          <w:p>
            <w:pPr>
              <w:pStyle w:val="TableParagraph"/>
              <w:spacing w:line="278" w:lineRule="exact"/>
              <w:ind w:left="119"/>
              <w:rPr>
                <w:rFonts w:ascii="Microsoft JhengHei" w:eastAsia="Microsoft JhengHei" w:hint="eastAsia"/>
                <w:b/>
                <w:sz w:val="21"/>
              </w:rPr>
            </w:pPr>
            <w:r>
              <w:rPr>
                <w:rFonts w:ascii="Microsoft JhengHei" w:eastAsia="Microsoft JhengHei" w:hint="eastAsia"/>
                <w:b/>
                <w:sz w:val="21"/>
              </w:rPr>
              <w:t>变形或染色</w:t>
            </w:r>
          </w:p>
        </w:tc>
        <w:tc>
          <w:tcPr>
            <w:tcW w:w="7033" w:type="dxa"/>
          </w:tcPr>
          <w:p>
            <w:pPr>
              <w:pStyle w:val="TableParagraph"/>
              <w:spacing w:line="254" w:lineRule="exact"/>
              <w:ind w:left="68"/>
              <w:rPr>
                <w:sz w:val="21"/>
              </w:rPr>
            </w:pPr>
            <w:r>
              <w:rPr>
                <w:sz w:val="21"/>
              </w:rPr>
              <w:t>染色体异常依照世界卫生组织《疾病和有关健康问题的国际统计分类》</w:t>
            </w:r>
          </w:p>
        </w:tc>
      </w:tr>
      <w:tr>
        <w:trPr>
          <w:trHeight w:val="362" w:hRule="atLeast"/>
        </w:trPr>
        <w:tc>
          <w:tcPr>
            <w:tcW w:w="677" w:type="dxa"/>
          </w:tcPr>
          <w:p>
            <w:pPr>
              <w:pStyle w:val="TableParagraph"/>
              <w:rPr>
                <w:rFonts w:ascii="Times New Roman"/>
                <w:sz w:val="20"/>
              </w:rPr>
            </w:pPr>
          </w:p>
        </w:tc>
        <w:tc>
          <w:tcPr>
            <w:tcW w:w="1455" w:type="dxa"/>
          </w:tcPr>
          <w:p>
            <w:pPr>
              <w:pStyle w:val="TableParagraph"/>
              <w:spacing w:line="289" w:lineRule="exact"/>
              <w:ind w:left="119"/>
              <w:rPr>
                <w:rFonts w:ascii="Microsoft JhengHei" w:eastAsia="Microsoft JhengHei" w:hint="eastAsia"/>
                <w:b/>
                <w:sz w:val="21"/>
              </w:rPr>
            </w:pPr>
            <w:r>
              <w:rPr>
                <w:rFonts w:ascii="Microsoft JhengHei" w:eastAsia="Microsoft JhengHei" w:hint="eastAsia"/>
                <w:b/>
                <w:sz w:val="21"/>
              </w:rPr>
              <w:t>体异常</w:t>
            </w:r>
          </w:p>
        </w:tc>
        <w:tc>
          <w:tcPr>
            <w:tcW w:w="7033" w:type="dxa"/>
          </w:tcPr>
          <w:p>
            <w:pPr>
              <w:pStyle w:val="TableParagraph"/>
              <w:spacing w:line="281" w:lineRule="exact"/>
              <w:ind w:left="68"/>
              <w:rPr>
                <w:sz w:val="21"/>
              </w:rPr>
            </w:pPr>
            <w:r>
              <w:rPr>
                <w:sz w:val="21"/>
              </w:rPr>
              <w:t>（</w:t>
            </w:r>
            <w:r>
              <w:rPr>
                <w:rFonts w:ascii="Times New Roman" w:eastAsia="Times New Roman"/>
                <w:sz w:val="21"/>
              </w:rPr>
              <w:t>ICD-10</w:t>
            </w:r>
            <w:r>
              <w:rPr>
                <w:sz w:val="21"/>
              </w:rPr>
              <w:t>）确定。 </w:t>
            </w:r>
          </w:p>
        </w:tc>
      </w:tr>
      <w:tr>
        <w:trPr>
          <w:trHeight w:val="377" w:hRule="atLeast"/>
        </w:trPr>
        <w:tc>
          <w:tcPr>
            <w:tcW w:w="677" w:type="dxa"/>
          </w:tcPr>
          <w:p>
            <w:pPr>
              <w:pStyle w:val="TableParagraph"/>
              <w:rPr>
                <w:rFonts w:ascii="Times New Roman"/>
                <w:sz w:val="20"/>
              </w:rPr>
            </w:pPr>
          </w:p>
        </w:tc>
        <w:tc>
          <w:tcPr>
            <w:tcW w:w="1455" w:type="dxa"/>
          </w:tcPr>
          <w:p>
            <w:pPr>
              <w:pStyle w:val="TableParagraph"/>
              <w:spacing w:before="18"/>
              <w:ind w:left="119"/>
              <w:rPr>
                <w:sz w:val="21"/>
              </w:rPr>
            </w:pPr>
            <w:r>
              <w:rPr>
                <w:w w:val="100"/>
                <w:sz w:val="21"/>
              </w:rPr>
              <w:t> </w:t>
            </w:r>
          </w:p>
        </w:tc>
        <w:tc>
          <w:tcPr>
            <w:tcW w:w="7033" w:type="dxa"/>
          </w:tcPr>
          <w:p>
            <w:pPr>
              <w:pStyle w:val="TableParagraph"/>
              <w:spacing w:before="18"/>
              <w:ind w:left="68"/>
              <w:rPr>
                <w:sz w:val="21"/>
              </w:rPr>
            </w:pPr>
            <w:r>
              <w:rPr>
                <w:w w:val="100"/>
                <w:sz w:val="21"/>
              </w:rPr>
              <w:t> </w:t>
            </w:r>
          </w:p>
        </w:tc>
      </w:tr>
      <w:tr>
        <w:trPr>
          <w:trHeight w:val="362" w:hRule="atLeast"/>
        </w:trPr>
        <w:tc>
          <w:tcPr>
            <w:tcW w:w="677" w:type="dxa"/>
          </w:tcPr>
          <w:p>
            <w:pPr>
              <w:pStyle w:val="TableParagraph"/>
              <w:spacing w:line="329" w:lineRule="exact"/>
              <w:ind w:left="50"/>
              <w:rPr>
                <w:rFonts w:ascii="Microsoft JhengHei"/>
                <w:b/>
                <w:sz w:val="21"/>
              </w:rPr>
            </w:pPr>
            <w:r>
              <w:rPr>
                <w:rFonts w:ascii="Microsoft JhengHei"/>
                <w:b/>
                <w:w w:val="90"/>
                <w:sz w:val="21"/>
              </w:rPr>
              <w:t>10. 16</w:t>
            </w:r>
          </w:p>
        </w:tc>
        <w:tc>
          <w:tcPr>
            <w:tcW w:w="1455" w:type="dxa"/>
          </w:tcPr>
          <w:p>
            <w:pPr>
              <w:pStyle w:val="TableParagraph"/>
              <w:spacing w:line="329" w:lineRule="exact"/>
              <w:ind w:left="119"/>
              <w:rPr>
                <w:rFonts w:ascii="Microsoft JhengHei" w:eastAsia="Microsoft JhengHei" w:hint="eastAsia"/>
                <w:b/>
                <w:sz w:val="21"/>
              </w:rPr>
            </w:pPr>
            <w:r>
              <w:rPr>
                <w:rFonts w:ascii="Microsoft JhengHei" w:eastAsia="Microsoft JhengHei" w:hint="eastAsia"/>
                <w:b/>
                <w:sz w:val="21"/>
              </w:rPr>
              <w:t>遗传性疾病</w:t>
            </w:r>
          </w:p>
        </w:tc>
        <w:tc>
          <w:tcPr>
            <w:tcW w:w="7033" w:type="dxa"/>
          </w:tcPr>
          <w:p>
            <w:pPr>
              <w:pStyle w:val="TableParagraph"/>
              <w:spacing w:before="30"/>
              <w:ind w:left="68"/>
              <w:rPr>
                <w:sz w:val="21"/>
              </w:rPr>
            </w:pPr>
            <w:r>
              <w:rPr>
                <w:sz w:val="21"/>
              </w:rPr>
              <w:t>指生殖细胞或受精卵的遗传物质（染色体和基因）发生突变或畸变所引起的</w:t>
            </w:r>
          </w:p>
        </w:tc>
      </w:tr>
      <w:tr>
        <w:trPr>
          <w:trHeight w:val="344" w:hRule="atLeast"/>
        </w:trPr>
        <w:tc>
          <w:tcPr>
            <w:tcW w:w="677" w:type="dxa"/>
          </w:tcPr>
          <w:p>
            <w:pPr>
              <w:pStyle w:val="TableParagraph"/>
              <w:rPr>
                <w:rFonts w:ascii="Times New Roman"/>
                <w:sz w:val="20"/>
              </w:rPr>
            </w:pPr>
          </w:p>
        </w:tc>
        <w:tc>
          <w:tcPr>
            <w:tcW w:w="1455" w:type="dxa"/>
          </w:tcPr>
          <w:p>
            <w:pPr>
              <w:pStyle w:val="TableParagraph"/>
              <w:rPr>
                <w:rFonts w:ascii="Times New Roman"/>
                <w:sz w:val="20"/>
              </w:rPr>
            </w:pPr>
          </w:p>
        </w:tc>
        <w:tc>
          <w:tcPr>
            <w:tcW w:w="7033" w:type="dxa"/>
          </w:tcPr>
          <w:p>
            <w:pPr>
              <w:pStyle w:val="TableParagraph"/>
              <w:spacing w:line="254" w:lineRule="exact"/>
              <w:ind w:left="68"/>
              <w:rPr>
                <w:sz w:val="21"/>
              </w:rPr>
            </w:pPr>
            <w:r>
              <w:rPr>
                <w:sz w:val="21"/>
              </w:rPr>
              <w:t>疾病，通常具有由亲代传至后代的垂直传递的特征。 </w:t>
            </w:r>
          </w:p>
        </w:tc>
      </w:tr>
      <w:tr>
        <w:trPr>
          <w:trHeight w:val="385" w:hRule="atLeast"/>
        </w:trPr>
        <w:tc>
          <w:tcPr>
            <w:tcW w:w="677" w:type="dxa"/>
          </w:tcPr>
          <w:p>
            <w:pPr>
              <w:pStyle w:val="TableParagraph"/>
              <w:rPr>
                <w:rFonts w:ascii="Times New Roman"/>
                <w:sz w:val="20"/>
              </w:rPr>
            </w:pPr>
          </w:p>
        </w:tc>
        <w:tc>
          <w:tcPr>
            <w:tcW w:w="1455" w:type="dxa"/>
          </w:tcPr>
          <w:p>
            <w:pPr>
              <w:pStyle w:val="TableParagraph"/>
              <w:rPr>
                <w:rFonts w:ascii="Times New Roman"/>
                <w:sz w:val="20"/>
              </w:rPr>
            </w:pPr>
          </w:p>
        </w:tc>
        <w:tc>
          <w:tcPr>
            <w:tcW w:w="7033" w:type="dxa"/>
          </w:tcPr>
          <w:p>
            <w:pPr>
              <w:pStyle w:val="TableParagraph"/>
              <w:spacing w:before="26"/>
              <w:ind w:left="68"/>
              <w:rPr>
                <w:sz w:val="21"/>
              </w:rPr>
            </w:pPr>
            <w:r>
              <w:rPr>
                <w:w w:val="100"/>
                <w:sz w:val="21"/>
              </w:rPr>
              <w:t> </w:t>
            </w:r>
          </w:p>
        </w:tc>
      </w:tr>
      <w:tr>
        <w:trPr>
          <w:trHeight w:val="362" w:hRule="atLeast"/>
        </w:trPr>
        <w:tc>
          <w:tcPr>
            <w:tcW w:w="677" w:type="dxa"/>
          </w:tcPr>
          <w:p>
            <w:pPr>
              <w:pStyle w:val="TableParagraph"/>
              <w:spacing w:line="329" w:lineRule="exact"/>
              <w:ind w:left="50"/>
              <w:rPr>
                <w:rFonts w:ascii="Microsoft JhengHei"/>
                <w:b/>
                <w:sz w:val="21"/>
              </w:rPr>
            </w:pPr>
            <w:r>
              <w:rPr>
                <w:rFonts w:ascii="Microsoft JhengHei"/>
                <w:b/>
                <w:w w:val="90"/>
                <w:sz w:val="21"/>
              </w:rPr>
              <w:t>10. 17</w:t>
            </w:r>
          </w:p>
        </w:tc>
        <w:tc>
          <w:tcPr>
            <w:tcW w:w="1455" w:type="dxa"/>
          </w:tcPr>
          <w:p>
            <w:pPr>
              <w:pStyle w:val="TableParagraph"/>
              <w:spacing w:line="329" w:lineRule="exact"/>
              <w:ind w:left="119"/>
              <w:rPr>
                <w:sz w:val="21"/>
              </w:rPr>
            </w:pPr>
            <w:r>
              <w:rPr>
                <w:rFonts w:ascii="Microsoft JhengHei" w:eastAsia="Microsoft JhengHei" w:hint="eastAsia"/>
                <w:b/>
                <w:sz w:val="21"/>
              </w:rPr>
              <w:t>现金价值</w:t>
            </w:r>
            <w:r>
              <w:rPr>
                <w:sz w:val="21"/>
              </w:rPr>
              <w:t> </w:t>
            </w:r>
          </w:p>
        </w:tc>
        <w:tc>
          <w:tcPr>
            <w:tcW w:w="7033" w:type="dxa"/>
          </w:tcPr>
          <w:p>
            <w:pPr>
              <w:pStyle w:val="TableParagraph"/>
              <w:spacing w:before="30"/>
              <w:ind w:left="68"/>
              <w:rPr>
                <w:sz w:val="21"/>
              </w:rPr>
            </w:pPr>
            <w:r>
              <w:rPr>
                <w:sz w:val="21"/>
              </w:rPr>
              <w:t>指保险单所具有的价值，通常体现为解除本主险合同时，根据精算原理计算</w:t>
            </w:r>
          </w:p>
        </w:tc>
      </w:tr>
      <w:tr>
        <w:trPr>
          <w:trHeight w:val="332" w:hRule="atLeast"/>
        </w:trPr>
        <w:tc>
          <w:tcPr>
            <w:tcW w:w="677" w:type="dxa"/>
          </w:tcPr>
          <w:p>
            <w:pPr>
              <w:pStyle w:val="TableParagraph"/>
              <w:rPr>
                <w:rFonts w:ascii="Times New Roman"/>
                <w:sz w:val="20"/>
              </w:rPr>
            </w:pPr>
          </w:p>
        </w:tc>
        <w:tc>
          <w:tcPr>
            <w:tcW w:w="1455" w:type="dxa"/>
          </w:tcPr>
          <w:p>
            <w:pPr>
              <w:pStyle w:val="TableParagraph"/>
              <w:rPr>
                <w:rFonts w:ascii="Times New Roman"/>
                <w:sz w:val="20"/>
              </w:rPr>
            </w:pPr>
          </w:p>
        </w:tc>
        <w:tc>
          <w:tcPr>
            <w:tcW w:w="7033" w:type="dxa"/>
          </w:tcPr>
          <w:p>
            <w:pPr>
              <w:pStyle w:val="TableParagraph"/>
              <w:spacing w:line="254" w:lineRule="exact"/>
              <w:ind w:left="68"/>
              <w:rPr>
                <w:sz w:val="21"/>
              </w:rPr>
            </w:pPr>
            <w:r>
              <w:rPr>
                <w:sz w:val="21"/>
              </w:rPr>
              <w:t>的，由我们退还的那部分金额。 </w:t>
            </w:r>
          </w:p>
        </w:tc>
      </w:tr>
      <w:tr>
        <w:trPr>
          <w:trHeight w:val="365" w:hRule="atLeast"/>
        </w:trPr>
        <w:tc>
          <w:tcPr>
            <w:tcW w:w="677" w:type="dxa"/>
          </w:tcPr>
          <w:p>
            <w:pPr>
              <w:pStyle w:val="TableParagraph"/>
              <w:rPr>
                <w:rFonts w:ascii="Times New Roman"/>
                <w:sz w:val="20"/>
              </w:rPr>
            </w:pPr>
          </w:p>
        </w:tc>
        <w:tc>
          <w:tcPr>
            <w:tcW w:w="1455" w:type="dxa"/>
          </w:tcPr>
          <w:p>
            <w:pPr>
              <w:pStyle w:val="TableParagraph"/>
              <w:rPr>
                <w:rFonts w:ascii="Times New Roman"/>
                <w:sz w:val="20"/>
              </w:rPr>
            </w:pPr>
          </w:p>
        </w:tc>
        <w:tc>
          <w:tcPr>
            <w:tcW w:w="7033" w:type="dxa"/>
          </w:tcPr>
          <w:p>
            <w:pPr>
              <w:pStyle w:val="TableParagraph"/>
              <w:spacing w:before="14"/>
              <w:ind w:left="68"/>
              <w:rPr>
                <w:sz w:val="21"/>
              </w:rPr>
            </w:pPr>
            <w:r>
              <w:rPr>
                <w:w w:val="100"/>
                <w:sz w:val="21"/>
              </w:rPr>
              <w:t> </w:t>
            </w:r>
          </w:p>
        </w:tc>
      </w:tr>
      <w:tr>
        <w:trPr>
          <w:trHeight w:val="697" w:hRule="atLeast"/>
        </w:trPr>
        <w:tc>
          <w:tcPr>
            <w:tcW w:w="677" w:type="dxa"/>
          </w:tcPr>
          <w:p>
            <w:pPr>
              <w:pStyle w:val="TableParagraph"/>
              <w:spacing w:line="321" w:lineRule="exact"/>
              <w:ind w:left="50"/>
              <w:rPr>
                <w:rFonts w:ascii="Microsoft JhengHei"/>
                <w:b/>
                <w:sz w:val="21"/>
              </w:rPr>
            </w:pPr>
            <w:r>
              <w:rPr>
                <w:rFonts w:ascii="Microsoft JhengHei"/>
                <w:b/>
                <w:w w:val="90"/>
                <w:sz w:val="21"/>
              </w:rPr>
              <w:t>10. 18</w:t>
            </w:r>
          </w:p>
        </w:tc>
        <w:tc>
          <w:tcPr>
            <w:tcW w:w="1455" w:type="dxa"/>
          </w:tcPr>
          <w:p>
            <w:pPr>
              <w:pStyle w:val="TableParagraph"/>
              <w:spacing w:line="321" w:lineRule="exact"/>
              <w:ind w:left="119"/>
              <w:rPr>
                <w:rFonts w:ascii="Microsoft JhengHei" w:eastAsia="Microsoft JhengHei" w:hint="eastAsia"/>
                <w:b/>
                <w:sz w:val="21"/>
              </w:rPr>
            </w:pPr>
            <w:r>
              <w:rPr>
                <w:rFonts w:ascii="Microsoft JhengHei" w:eastAsia="Microsoft JhengHei" w:hint="eastAsia"/>
                <w:b/>
                <w:sz w:val="21"/>
              </w:rPr>
              <w:t>保单周年日</w:t>
            </w:r>
          </w:p>
        </w:tc>
        <w:tc>
          <w:tcPr>
            <w:tcW w:w="7033" w:type="dxa"/>
          </w:tcPr>
          <w:p>
            <w:pPr>
              <w:pStyle w:val="TableParagraph"/>
              <w:spacing w:before="22"/>
              <w:ind w:left="68"/>
              <w:rPr>
                <w:sz w:val="21"/>
              </w:rPr>
            </w:pPr>
            <w:r>
              <w:rPr>
                <w:sz w:val="21"/>
              </w:rPr>
              <w:t>指在本主险合同有效期内，生效日在以后每年的对应日。若当月无对应的同</w:t>
            </w:r>
          </w:p>
          <w:p>
            <w:pPr>
              <w:pStyle w:val="TableParagraph"/>
              <w:spacing w:before="34"/>
              <w:ind w:left="68"/>
              <w:rPr>
                <w:sz w:val="21"/>
              </w:rPr>
            </w:pPr>
            <w:r>
              <w:rPr>
                <w:sz w:val="21"/>
              </w:rPr>
              <w:t>一日，则以该月最后一日作为对应日。 </w:t>
            </w:r>
          </w:p>
        </w:tc>
      </w:tr>
      <w:tr>
        <w:trPr>
          <w:trHeight w:val="386" w:hRule="atLeast"/>
        </w:trPr>
        <w:tc>
          <w:tcPr>
            <w:tcW w:w="677" w:type="dxa"/>
          </w:tcPr>
          <w:p>
            <w:pPr>
              <w:pStyle w:val="TableParagraph"/>
              <w:rPr>
                <w:rFonts w:ascii="Times New Roman"/>
                <w:sz w:val="20"/>
              </w:rPr>
            </w:pPr>
          </w:p>
        </w:tc>
        <w:tc>
          <w:tcPr>
            <w:tcW w:w="1455" w:type="dxa"/>
          </w:tcPr>
          <w:p>
            <w:pPr>
              <w:pStyle w:val="TableParagraph"/>
              <w:rPr>
                <w:rFonts w:ascii="Times New Roman"/>
                <w:sz w:val="20"/>
              </w:rPr>
            </w:pPr>
          </w:p>
        </w:tc>
        <w:tc>
          <w:tcPr>
            <w:tcW w:w="7033" w:type="dxa"/>
          </w:tcPr>
          <w:p>
            <w:pPr>
              <w:pStyle w:val="TableParagraph"/>
              <w:spacing w:before="26"/>
              <w:ind w:left="68"/>
              <w:rPr>
                <w:sz w:val="21"/>
              </w:rPr>
            </w:pPr>
            <w:r>
              <w:rPr>
                <w:w w:val="100"/>
                <w:sz w:val="21"/>
              </w:rPr>
              <w:t> </w:t>
            </w:r>
          </w:p>
        </w:tc>
      </w:tr>
      <w:tr>
        <w:trPr>
          <w:trHeight w:val="666" w:hRule="atLeast"/>
        </w:trPr>
        <w:tc>
          <w:tcPr>
            <w:tcW w:w="677" w:type="dxa"/>
          </w:tcPr>
          <w:p>
            <w:pPr>
              <w:pStyle w:val="TableParagraph"/>
              <w:spacing w:line="330" w:lineRule="exact"/>
              <w:ind w:left="50"/>
              <w:rPr>
                <w:rFonts w:ascii="Microsoft JhengHei"/>
                <w:b/>
                <w:sz w:val="21"/>
              </w:rPr>
            </w:pPr>
            <w:r>
              <w:rPr>
                <w:rFonts w:ascii="Microsoft JhengHei"/>
                <w:b/>
                <w:w w:val="90"/>
                <w:sz w:val="21"/>
              </w:rPr>
              <w:t>10. 19</w:t>
            </w:r>
          </w:p>
        </w:tc>
        <w:tc>
          <w:tcPr>
            <w:tcW w:w="1455" w:type="dxa"/>
          </w:tcPr>
          <w:p>
            <w:pPr>
              <w:pStyle w:val="TableParagraph"/>
              <w:spacing w:line="330" w:lineRule="exact"/>
              <w:ind w:left="119"/>
              <w:rPr>
                <w:rFonts w:ascii="Microsoft JhengHei" w:eastAsia="Microsoft JhengHei" w:hint="eastAsia"/>
                <w:b/>
                <w:sz w:val="21"/>
              </w:rPr>
            </w:pPr>
            <w:r>
              <w:rPr>
                <w:rFonts w:ascii="Microsoft JhengHei" w:eastAsia="Microsoft JhengHei" w:hint="eastAsia"/>
                <w:b/>
                <w:sz w:val="21"/>
              </w:rPr>
              <w:t>专科医生</w:t>
            </w:r>
          </w:p>
        </w:tc>
        <w:tc>
          <w:tcPr>
            <w:tcW w:w="7033" w:type="dxa"/>
          </w:tcPr>
          <w:p>
            <w:pPr>
              <w:pStyle w:val="TableParagraph"/>
              <w:spacing w:before="31"/>
              <w:ind w:left="68"/>
              <w:rPr>
                <w:sz w:val="21"/>
              </w:rPr>
            </w:pPr>
            <w:r>
              <w:rPr>
                <w:sz w:val="21"/>
              </w:rPr>
              <w:t>专科医生应当同时满足以下四项资格条件：①具有有效的中华人民共和国</w:t>
            </w:r>
          </w:p>
          <w:p>
            <w:pPr>
              <w:pStyle w:val="TableParagraph"/>
              <w:spacing w:before="34"/>
              <w:ind w:left="68"/>
              <w:rPr>
                <w:sz w:val="21"/>
              </w:rPr>
            </w:pPr>
            <w:r>
              <w:rPr>
                <w:spacing w:val="-16"/>
                <w:sz w:val="21"/>
              </w:rPr>
              <w:t>《医师资格证书》；②具有有效的中华人民共和国《医师执业证书》，并按期</w:t>
            </w:r>
          </w:p>
        </w:tc>
      </w:tr>
      <w:tr>
        <w:trPr>
          <w:trHeight w:val="312" w:hRule="atLeast"/>
        </w:trPr>
        <w:tc>
          <w:tcPr>
            <w:tcW w:w="677" w:type="dxa"/>
          </w:tcPr>
          <w:p>
            <w:pPr>
              <w:pStyle w:val="TableParagraph"/>
              <w:rPr>
                <w:rFonts w:ascii="Times New Roman"/>
                <w:sz w:val="20"/>
              </w:rPr>
            </w:pPr>
          </w:p>
        </w:tc>
        <w:tc>
          <w:tcPr>
            <w:tcW w:w="1455" w:type="dxa"/>
          </w:tcPr>
          <w:p>
            <w:pPr>
              <w:pStyle w:val="TableParagraph"/>
              <w:rPr>
                <w:rFonts w:ascii="Times New Roman"/>
                <w:sz w:val="20"/>
              </w:rPr>
            </w:pPr>
          </w:p>
        </w:tc>
        <w:tc>
          <w:tcPr>
            <w:tcW w:w="7033" w:type="dxa"/>
          </w:tcPr>
          <w:p>
            <w:pPr>
              <w:pStyle w:val="TableParagraph"/>
              <w:spacing w:line="261" w:lineRule="exact"/>
              <w:ind w:left="68"/>
              <w:rPr>
                <w:sz w:val="21"/>
              </w:rPr>
            </w:pPr>
            <w:r>
              <w:rPr>
                <w:sz w:val="21"/>
              </w:rPr>
              <w:t>到相关部门登记注册；③具有有效的中华人民共和国主治医师或主治医师以</w:t>
            </w:r>
          </w:p>
        </w:tc>
      </w:tr>
      <w:tr>
        <w:trPr>
          <w:trHeight w:val="311" w:hRule="atLeast"/>
        </w:trPr>
        <w:tc>
          <w:tcPr>
            <w:tcW w:w="677" w:type="dxa"/>
          </w:tcPr>
          <w:p>
            <w:pPr>
              <w:pStyle w:val="TableParagraph"/>
              <w:rPr>
                <w:rFonts w:ascii="Times New Roman"/>
                <w:sz w:val="20"/>
              </w:rPr>
            </w:pPr>
          </w:p>
        </w:tc>
        <w:tc>
          <w:tcPr>
            <w:tcW w:w="1455" w:type="dxa"/>
          </w:tcPr>
          <w:p>
            <w:pPr>
              <w:pStyle w:val="TableParagraph"/>
              <w:rPr>
                <w:rFonts w:ascii="Times New Roman"/>
                <w:sz w:val="20"/>
              </w:rPr>
            </w:pPr>
          </w:p>
        </w:tc>
        <w:tc>
          <w:tcPr>
            <w:tcW w:w="7033" w:type="dxa"/>
          </w:tcPr>
          <w:p>
            <w:pPr>
              <w:pStyle w:val="TableParagraph"/>
              <w:spacing w:line="261" w:lineRule="exact"/>
              <w:ind w:left="68"/>
              <w:rPr>
                <w:sz w:val="21"/>
              </w:rPr>
            </w:pPr>
            <w:r>
              <w:rPr>
                <w:sz w:val="21"/>
              </w:rPr>
              <w:t>上职称的《医师职称证书》；④在二级或二级以上医院的相应科室从事临床</w:t>
            </w:r>
          </w:p>
        </w:tc>
      </w:tr>
      <w:tr>
        <w:trPr>
          <w:trHeight w:val="339" w:hRule="atLeast"/>
        </w:trPr>
        <w:tc>
          <w:tcPr>
            <w:tcW w:w="677" w:type="dxa"/>
          </w:tcPr>
          <w:p>
            <w:pPr>
              <w:pStyle w:val="TableParagraph"/>
              <w:rPr>
                <w:rFonts w:ascii="Times New Roman"/>
                <w:sz w:val="20"/>
              </w:rPr>
            </w:pPr>
          </w:p>
        </w:tc>
        <w:tc>
          <w:tcPr>
            <w:tcW w:w="1455" w:type="dxa"/>
          </w:tcPr>
          <w:p>
            <w:pPr>
              <w:pStyle w:val="TableParagraph"/>
              <w:rPr>
                <w:rFonts w:ascii="Times New Roman"/>
                <w:sz w:val="20"/>
              </w:rPr>
            </w:pPr>
          </w:p>
        </w:tc>
        <w:tc>
          <w:tcPr>
            <w:tcW w:w="7033" w:type="dxa"/>
          </w:tcPr>
          <w:p>
            <w:pPr>
              <w:pStyle w:val="TableParagraph"/>
              <w:spacing w:line="261" w:lineRule="exact"/>
              <w:ind w:left="68"/>
              <w:rPr>
                <w:sz w:val="21"/>
              </w:rPr>
            </w:pPr>
            <w:r>
              <w:rPr>
                <w:sz w:val="21"/>
              </w:rPr>
              <w:t>工作三年以上。 </w:t>
            </w:r>
          </w:p>
        </w:tc>
      </w:tr>
      <w:tr>
        <w:trPr>
          <w:trHeight w:val="365" w:hRule="atLeast"/>
        </w:trPr>
        <w:tc>
          <w:tcPr>
            <w:tcW w:w="677" w:type="dxa"/>
          </w:tcPr>
          <w:p>
            <w:pPr>
              <w:pStyle w:val="TableParagraph"/>
              <w:rPr>
                <w:rFonts w:ascii="Times New Roman"/>
                <w:sz w:val="20"/>
              </w:rPr>
            </w:pPr>
          </w:p>
        </w:tc>
        <w:tc>
          <w:tcPr>
            <w:tcW w:w="1455" w:type="dxa"/>
          </w:tcPr>
          <w:p>
            <w:pPr>
              <w:pStyle w:val="TableParagraph"/>
              <w:rPr>
                <w:rFonts w:ascii="Times New Roman"/>
                <w:sz w:val="20"/>
              </w:rPr>
            </w:pPr>
          </w:p>
        </w:tc>
        <w:tc>
          <w:tcPr>
            <w:tcW w:w="7033" w:type="dxa"/>
          </w:tcPr>
          <w:p>
            <w:pPr>
              <w:pStyle w:val="TableParagraph"/>
              <w:spacing w:before="14"/>
              <w:ind w:left="68"/>
              <w:rPr>
                <w:sz w:val="21"/>
              </w:rPr>
            </w:pPr>
            <w:r>
              <w:rPr>
                <w:w w:val="100"/>
                <w:sz w:val="21"/>
              </w:rPr>
              <w:t> </w:t>
            </w:r>
          </w:p>
        </w:tc>
      </w:tr>
      <w:tr>
        <w:trPr>
          <w:trHeight w:val="355" w:hRule="atLeast"/>
        </w:trPr>
        <w:tc>
          <w:tcPr>
            <w:tcW w:w="677" w:type="dxa"/>
          </w:tcPr>
          <w:p>
            <w:pPr>
              <w:pStyle w:val="TableParagraph"/>
              <w:spacing w:line="321" w:lineRule="exact"/>
              <w:ind w:left="50"/>
              <w:rPr>
                <w:rFonts w:ascii="Microsoft JhengHei"/>
                <w:b/>
                <w:sz w:val="21"/>
              </w:rPr>
            </w:pPr>
            <w:r>
              <w:rPr>
                <w:rFonts w:ascii="Microsoft JhengHei"/>
                <w:b/>
                <w:w w:val="90"/>
                <w:sz w:val="21"/>
              </w:rPr>
              <w:t>10. 20</w:t>
            </w:r>
          </w:p>
        </w:tc>
        <w:tc>
          <w:tcPr>
            <w:tcW w:w="1455" w:type="dxa"/>
          </w:tcPr>
          <w:p>
            <w:pPr>
              <w:pStyle w:val="TableParagraph"/>
              <w:spacing w:line="321" w:lineRule="exact"/>
              <w:ind w:left="119"/>
              <w:rPr>
                <w:rFonts w:ascii="Microsoft JhengHei" w:eastAsia="Microsoft JhengHei" w:hint="eastAsia"/>
                <w:b/>
                <w:sz w:val="21"/>
              </w:rPr>
            </w:pPr>
            <w:r>
              <w:rPr>
                <w:rFonts w:ascii="Microsoft JhengHei" w:eastAsia="Microsoft JhengHei" w:hint="eastAsia"/>
                <w:b/>
                <w:sz w:val="21"/>
              </w:rPr>
              <w:t>肢体机能完</w:t>
            </w:r>
          </w:p>
        </w:tc>
        <w:tc>
          <w:tcPr>
            <w:tcW w:w="7033" w:type="dxa"/>
          </w:tcPr>
          <w:p>
            <w:pPr>
              <w:pStyle w:val="TableParagraph"/>
              <w:spacing w:before="22"/>
              <w:ind w:left="68"/>
              <w:rPr>
                <w:sz w:val="21"/>
              </w:rPr>
            </w:pPr>
            <w:r>
              <w:rPr>
                <w:sz w:val="21"/>
              </w:rPr>
              <w:t>指肢体的三大关节中的两大关节僵硬，或不能随意识活动。肢体是指包括肩</w:t>
            </w:r>
          </w:p>
        </w:tc>
      </w:tr>
      <w:tr>
        <w:trPr>
          <w:trHeight w:val="332" w:hRule="atLeast"/>
        </w:trPr>
        <w:tc>
          <w:tcPr>
            <w:tcW w:w="677" w:type="dxa"/>
          </w:tcPr>
          <w:p>
            <w:pPr>
              <w:pStyle w:val="TableParagraph"/>
              <w:rPr>
                <w:rFonts w:ascii="Times New Roman"/>
                <w:sz w:val="20"/>
              </w:rPr>
            </w:pPr>
          </w:p>
        </w:tc>
        <w:tc>
          <w:tcPr>
            <w:tcW w:w="1455" w:type="dxa"/>
          </w:tcPr>
          <w:p>
            <w:pPr>
              <w:pStyle w:val="TableParagraph"/>
              <w:spacing w:line="278" w:lineRule="exact"/>
              <w:ind w:left="119"/>
              <w:rPr>
                <w:rFonts w:ascii="Microsoft JhengHei" w:eastAsia="Microsoft JhengHei" w:hint="eastAsia"/>
                <w:b/>
                <w:sz w:val="21"/>
              </w:rPr>
            </w:pPr>
            <w:r>
              <w:rPr>
                <w:rFonts w:ascii="Microsoft JhengHei" w:eastAsia="Microsoft JhengHei" w:hint="eastAsia"/>
                <w:b/>
                <w:sz w:val="21"/>
              </w:rPr>
              <w:t>全丧失</w:t>
            </w:r>
          </w:p>
        </w:tc>
        <w:tc>
          <w:tcPr>
            <w:tcW w:w="7033" w:type="dxa"/>
          </w:tcPr>
          <w:p>
            <w:pPr>
              <w:pStyle w:val="TableParagraph"/>
              <w:spacing w:line="254" w:lineRule="exact"/>
              <w:ind w:left="68"/>
              <w:rPr>
                <w:sz w:val="21"/>
              </w:rPr>
            </w:pPr>
            <w:r>
              <w:rPr>
                <w:sz w:val="21"/>
              </w:rPr>
              <w:t>关节的整个上肢或包括髋关节的整个下肢。 </w:t>
            </w:r>
          </w:p>
        </w:tc>
      </w:tr>
      <w:tr>
        <w:trPr>
          <w:trHeight w:val="365" w:hRule="atLeast"/>
        </w:trPr>
        <w:tc>
          <w:tcPr>
            <w:tcW w:w="677" w:type="dxa"/>
          </w:tcPr>
          <w:p>
            <w:pPr>
              <w:pStyle w:val="TableParagraph"/>
              <w:rPr>
                <w:rFonts w:ascii="Times New Roman"/>
                <w:sz w:val="20"/>
              </w:rPr>
            </w:pPr>
          </w:p>
        </w:tc>
        <w:tc>
          <w:tcPr>
            <w:tcW w:w="1455" w:type="dxa"/>
          </w:tcPr>
          <w:p>
            <w:pPr>
              <w:pStyle w:val="TableParagraph"/>
              <w:rPr>
                <w:rFonts w:ascii="Times New Roman"/>
                <w:sz w:val="20"/>
              </w:rPr>
            </w:pPr>
          </w:p>
        </w:tc>
        <w:tc>
          <w:tcPr>
            <w:tcW w:w="7033" w:type="dxa"/>
          </w:tcPr>
          <w:p>
            <w:pPr>
              <w:pStyle w:val="TableParagraph"/>
              <w:spacing w:before="14"/>
              <w:ind w:left="68"/>
              <w:rPr>
                <w:sz w:val="21"/>
              </w:rPr>
            </w:pPr>
            <w:r>
              <w:rPr>
                <w:w w:val="100"/>
                <w:sz w:val="21"/>
              </w:rPr>
              <w:t> </w:t>
            </w:r>
          </w:p>
        </w:tc>
      </w:tr>
      <w:tr>
        <w:trPr>
          <w:trHeight w:val="312" w:hRule="atLeast"/>
        </w:trPr>
        <w:tc>
          <w:tcPr>
            <w:tcW w:w="677" w:type="dxa"/>
          </w:tcPr>
          <w:p>
            <w:pPr>
              <w:pStyle w:val="TableParagraph"/>
              <w:spacing w:line="293" w:lineRule="exact"/>
              <w:ind w:left="50"/>
              <w:rPr>
                <w:rFonts w:ascii="Microsoft JhengHei"/>
                <w:b/>
                <w:sz w:val="21"/>
              </w:rPr>
            </w:pPr>
            <w:r>
              <w:rPr>
                <w:rFonts w:ascii="Microsoft JhengHei"/>
                <w:b/>
                <w:w w:val="90"/>
                <w:sz w:val="21"/>
              </w:rPr>
              <w:t>10. 21</w:t>
            </w:r>
          </w:p>
        </w:tc>
        <w:tc>
          <w:tcPr>
            <w:tcW w:w="1455" w:type="dxa"/>
          </w:tcPr>
          <w:p>
            <w:pPr>
              <w:pStyle w:val="TableParagraph"/>
              <w:spacing w:line="293" w:lineRule="exact"/>
              <w:ind w:left="119"/>
              <w:rPr>
                <w:rFonts w:ascii="Microsoft JhengHei" w:eastAsia="Microsoft JhengHei" w:hint="eastAsia"/>
                <w:b/>
                <w:sz w:val="21"/>
              </w:rPr>
            </w:pPr>
            <w:r>
              <w:rPr>
                <w:rFonts w:ascii="Microsoft JhengHei" w:eastAsia="Microsoft JhengHei" w:hint="eastAsia"/>
                <w:b/>
                <w:sz w:val="21"/>
              </w:rPr>
              <w:t>语言能力或</w:t>
            </w:r>
          </w:p>
        </w:tc>
        <w:tc>
          <w:tcPr>
            <w:tcW w:w="7033" w:type="dxa"/>
          </w:tcPr>
          <w:p>
            <w:pPr>
              <w:pStyle w:val="TableParagraph"/>
              <w:spacing w:line="270" w:lineRule="exact" w:before="22"/>
              <w:ind w:left="68"/>
              <w:rPr>
                <w:sz w:val="21"/>
              </w:rPr>
            </w:pPr>
            <w:r>
              <w:rPr>
                <w:sz w:val="21"/>
              </w:rPr>
              <w:t>语言能力完全丧失，指无法发出四种语音（包括口唇音、齿舌音、口盖音和</w:t>
            </w:r>
          </w:p>
        </w:tc>
      </w:tr>
    </w:tbl>
    <w:p>
      <w:pPr>
        <w:spacing w:after="0" w:line="270" w:lineRule="exact"/>
        <w:rPr>
          <w:sz w:val="21"/>
        </w:rPr>
        <w:sectPr>
          <w:type w:val="continuous"/>
          <w:pgSz w:w="11900" w:h="16840"/>
          <w:pgMar w:top="820" w:bottom="1400" w:left="1260" w:right="1260"/>
        </w:sectPr>
      </w:pPr>
    </w:p>
    <w:p>
      <w:pPr>
        <w:pStyle w:val="Heading2"/>
        <w:spacing w:line="204" w:lineRule="auto"/>
        <w:ind w:left="849"/>
      </w:pPr>
      <w:r>
        <w:rPr/>
        <w:t>咀嚼吞咽能力完全丧失</w:t>
      </w:r>
    </w:p>
    <w:p>
      <w:pPr>
        <w:pStyle w:val="BodyText"/>
        <w:spacing w:before="0"/>
        <w:ind w:left="0"/>
        <w:rPr>
          <w:rFonts w:ascii="Microsoft JhengHei"/>
          <w:b/>
          <w:sz w:val="20"/>
        </w:rPr>
      </w:pPr>
    </w:p>
    <w:p>
      <w:pPr>
        <w:pStyle w:val="BodyText"/>
        <w:spacing w:before="12"/>
        <w:ind w:left="0"/>
        <w:rPr>
          <w:rFonts w:ascii="Microsoft JhengHei"/>
          <w:b/>
          <w:sz w:val="19"/>
        </w:rPr>
      </w:pPr>
    </w:p>
    <w:p>
      <w:pPr>
        <w:pStyle w:val="ListParagraph"/>
        <w:numPr>
          <w:ilvl w:val="1"/>
          <w:numId w:val="10"/>
        </w:numPr>
        <w:tabs>
          <w:tab w:pos="849" w:val="left" w:leader="none"/>
          <w:tab w:pos="850" w:val="left" w:leader="none"/>
        </w:tabs>
        <w:spacing w:line="338" w:lineRule="exact" w:before="0" w:after="0"/>
        <w:ind w:left="2253" w:right="0" w:hanging="2150"/>
        <w:jc w:val="left"/>
        <w:rPr>
          <w:rFonts w:ascii="Microsoft JhengHei" w:eastAsia="Microsoft JhengHei" w:hint="eastAsia"/>
          <w:b/>
          <w:sz w:val="21"/>
        </w:rPr>
      </w:pPr>
      <w:r>
        <w:rPr>
          <w:rFonts w:ascii="Microsoft JhengHei" w:eastAsia="Microsoft JhengHei" w:hint="eastAsia"/>
          <w:b/>
          <w:sz w:val="21"/>
        </w:rPr>
        <w:t>六项基本日</w:t>
      </w:r>
    </w:p>
    <w:p>
      <w:pPr>
        <w:spacing w:line="338" w:lineRule="exact" w:before="0"/>
        <w:ind w:left="849" w:right="0" w:firstLine="0"/>
        <w:jc w:val="left"/>
        <w:rPr>
          <w:rFonts w:ascii="Microsoft JhengHei" w:eastAsia="Microsoft JhengHei" w:hint="eastAsia"/>
          <w:b/>
          <w:sz w:val="21"/>
        </w:rPr>
      </w:pPr>
      <w:r>
        <w:rPr>
          <w:rFonts w:ascii="Microsoft JhengHei" w:eastAsia="Microsoft JhengHei" w:hint="eastAsia"/>
          <w:b/>
          <w:sz w:val="21"/>
        </w:rPr>
        <w:t>常生活活动</w:t>
      </w:r>
    </w:p>
    <w:p>
      <w:pPr>
        <w:pStyle w:val="BodyText"/>
        <w:spacing w:line="273" w:lineRule="auto" w:before="9"/>
        <w:ind w:left="103" w:right="111"/>
        <w:jc w:val="both"/>
      </w:pPr>
      <w:r>
        <w:rPr/>
        <w:br w:type="column"/>
      </w:r>
      <w:r>
        <w:rPr>
          <w:spacing w:val="-1"/>
        </w:rPr>
        <w:t>喉头音</w:t>
      </w:r>
      <w:r>
        <w:rPr>
          <w:spacing w:val="-8"/>
        </w:rPr>
        <w:t>）</w:t>
      </w:r>
      <w:r>
        <w:rPr>
          <w:spacing w:val="-5"/>
        </w:rPr>
        <w:t>中的任何三种、或声带全部切除，或因大脑语言中枢受伤害而患失</w:t>
      </w:r>
      <w:r>
        <w:rPr>
          <w:spacing w:val="-6"/>
        </w:rPr>
        <w:t>语症。咀嚼吞咽能力完全丧失，指因牙齿以外的原因导致器质障碍或机能障</w:t>
      </w:r>
      <w:r>
        <w:rPr>
          <w:spacing w:val="-4"/>
        </w:rPr>
        <w:t>碍，以致不能作咀嚼吞咽运动，除流质食物外不能摄取或吞咽的状态。</w:t>
      </w:r>
      <w:r>
        <w:rPr/>
        <w:t> </w:t>
      </w:r>
    </w:p>
    <w:p>
      <w:pPr>
        <w:pStyle w:val="BodyText"/>
        <w:spacing w:before="63"/>
        <w:ind w:left="103"/>
      </w:pPr>
      <w:r>
        <w:rPr>
          <w:w w:val="100"/>
        </w:rPr>
        <w:t> </w:t>
      </w:r>
    </w:p>
    <w:p>
      <w:pPr>
        <w:pStyle w:val="BodyText"/>
        <w:spacing w:line="271" w:lineRule="auto" w:before="99"/>
        <w:ind w:left="103" w:right="111"/>
        <w:jc w:val="both"/>
      </w:pPr>
      <w:r>
        <w:rPr>
          <w:spacing w:val="-5"/>
        </w:rPr>
        <w:t>六项基本日常生活活动是指：①穿衣：自己能够穿衣及脱衣；②移动：自己从一个房间到另一个房间；③行动：自己上下床或上下轮椅；④如厕：自己</w:t>
      </w:r>
      <w:r>
        <w:rPr>
          <w:spacing w:val="-7"/>
        </w:rPr>
        <w:t>控制进行大小便；⑤进食：自己从已准备好的碗或碟中取食物放入口中；⑥ </w:t>
      </w:r>
      <w:r>
        <w:rPr>
          <w:spacing w:val="-3"/>
        </w:rPr>
        <w:t>洗澡：自己进行淋浴或盆浴。</w:t>
      </w:r>
      <w:r>
        <w:rPr/>
        <w:t> </w:t>
      </w:r>
    </w:p>
    <w:p>
      <w:pPr>
        <w:pStyle w:val="BodyText"/>
        <w:spacing w:before="64"/>
        <w:ind w:left="103"/>
        <w:jc w:val="both"/>
      </w:pPr>
      <w:r>
        <w:rPr>
          <w:w w:val="100"/>
        </w:rPr>
        <w:t> </w:t>
      </w:r>
    </w:p>
    <w:p>
      <w:pPr>
        <w:spacing w:after="0"/>
        <w:jc w:val="both"/>
        <w:sectPr>
          <w:footerReference w:type="default" r:id="rId9"/>
          <w:pgSz w:w="11900" w:h="16840"/>
          <w:pgMar w:footer="1204" w:header="0" w:top="1420" w:bottom="1400" w:left="1320" w:right="1300"/>
          <w:pgNumType w:start="20"/>
          <w:cols w:num="2" w:equalWidth="0">
            <w:col w:w="1906" w:space="244"/>
            <w:col w:w="7130"/>
          </w:cols>
        </w:sectPr>
      </w:pPr>
    </w:p>
    <w:p>
      <w:pPr>
        <w:pStyle w:val="ListParagraph"/>
        <w:numPr>
          <w:ilvl w:val="1"/>
          <w:numId w:val="10"/>
        </w:numPr>
        <w:tabs>
          <w:tab w:pos="849" w:val="left" w:leader="none"/>
          <w:tab w:pos="850" w:val="left" w:leader="none"/>
          <w:tab w:pos="2253" w:val="left" w:leader="none"/>
        </w:tabs>
        <w:spacing w:line="249" w:lineRule="auto" w:before="32" w:after="0"/>
        <w:ind w:left="2253" w:right="112" w:hanging="2150"/>
        <w:jc w:val="left"/>
        <w:rPr>
          <w:sz w:val="21"/>
        </w:rPr>
      </w:pPr>
      <w:r>
        <w:rPr>
          <w:rFonts w:ascii="Microsoft JhengHei" w:eastAsia="Microsoft JhengHei" w:hint="eastAsia"/>
          <w:b/>
          <w:sz w:val="21"/>
        </w:rPr>
        <w:t>永久不可逆</w:t>
        <w:tab/>
      </w:r>
      <w:r>
        <w:rPr>
          <w:sz w:val="21"/>
        </w:rPr>
        <w:t>指自</w:t>
      </w:r>
      <w:r>
        <w:rPr>
          <w:spacing w:val="-3"/>
          <w:sz w:val="21"/>
        </w:rPr>
        <w:t>疾</w:t>
      </w:r>
      <w:r>
        <w:rPr>
          <w:sz w:val="21"/>
        </w:rPr>
        <w:t>病</w:t>
      </w:r>
      <w:r>
        <w:rPr>
          <w:spacing w:val="-3"/>
          <w:sz w:val="21"/>
        </w:rPr>
        <w:t>确</w:t>
      </w:r>
      <w:r>
        <w:rPr>
          <w:sz w:val="21"/>
        </w:rPr>
        <w:t>诊</w:t>
      </w:r>
      <w:r>
        <w:rPr>
          <w:spacing w:val="-3"/>
          <w:sz w:val="21"/>
        </w:rPr>
        <w:t>或</w:t>
      </w:r>
      <w:r>
        <w:rPr>
          <w:sz w:val="21"/>
        </w:rPr>
        <w:t>意</w:t>
      </w:r>
      <w:r>
        <w:rPr>
          <w:spacing w:val="-3"/>
          <w:sz w:val="21"/>
        </w:rPr>
        <w:t>外</w:t>
      </w:r>
      <w:r>
        <w:rPr>
          <w:sz w:val="21"/>
        </w:rPr>
        <w:t>伤</w:t>
      </w:r>
      <w:r>
        <w:rPr>
          <w:spacing w:val="-3"/>
          <w:sz w:val="21"/>
        </w:rPr>
        <w:t>害</w:t>
      </w:r>
      <w:r>
        <w:rPr>
          <w:sz w:val="21"/>
        </w:rPr>
        <w:t>发生</w:t>
      </w:r>
      <w:r>
        <w:rPr>
          <w:spacing w:val="-3"/>
          <w:sz w:val="21"/>
        </w:rPr>
        <w:t>之</w:t>
      </w:r>
      <w:r>
        <w:rPr>
          <w:sz w:val="21"/>
        </w:rPr>
        <w:t>日</w:t>
      </w:r>
      <w:r>
        <w:rPr>
          <w:spacing w:val="-3"/>
          <w:sz w:val="21"/>
        </w:rPr>
        <w:t>起</w:t>
      </w:r>
      <w:r>
        <w:rPr>
          <w:spacing w:val="-12"/>
          <w:sz w:val="21"/>
        </w:rPr>
        <w:t>，</w:t>
      </w:r>
      <w:r>
        <w:rPr>
          <w:sz w:val="21"/>
        </w:rPr>
        <w:t>经</w:t>
      </w:r>
      <w:r>
        <w:rPr>
          <w:spacing w:val="-3"/>
          <w:sz w:val="21"/>
        </w:rPr>
        <w:t>过</w:t>
      </w:r>
      <w:r>
        <w:rPr>
          <w:sz w:val="21"/>
        </w:rPr>
        <w:t>积</w:t>
      </w:r>
      <w:r>
        <w:rPr>
          <w:spacing w:val="-3"/>
          <w:sz w:val="21"/>
        </w:rPr>
        <w:t>极治</w:t>
      </w:r>
      <w:r>
        <w:rPr>
          <w:sz w:val="21"/>
        </w:rPr>
        <w:t>疗</w:t>
      </w:r>
      <w:r>
        <w:rPr>
          <w:spacing w:val="-34"/>
          <w:sz w:val="21"/>
        </w:rPr>
        <w:t> </w:t>
      </w:r>
      <w:r>
        <w:rPr>
          <w:sz w:val="21"/>
        </w:rPr>
        <w:t>180</w:t>
      </w:r>
      <w:r>
        <w:rPr>
          <w:spacing w:val="-36"/>
          <w:sz w:val="21"/>
        </w:rPr>
        <w:t> </w:t>
      </w:r>
      <w:r>
        <w:rPr>
          <w:sz w:val="21"/>
        </w:rPr>
        <w:t>天</w:t>
      </w:r>
      <w:r>
        <w:rPr>
          <w:spacing w:val="-3"/>
          <w:sz w:val="21"/>
        </w:rPr>
        <w:t>后</w:t>
      </w:r>
      <w:r>
        <w:rPr>
          <w:spacing w:val="-12"/>
          <w:sz w:val="21"/>
        </w:rPr>
        <w:t>，</w:t>
      </w:r>
      <w:r>
        <w:rPr>
          <w:sz w:val="21"/>
        </w:rPr>
        <w:t>仍</w:t>
      </w:r>
      <w:r>
        <w:rPr>
          <w:spacing w:val="-3"/>
          <w:sz w:val="21"/>
        </w:rPr>
        <w:t>无</w:t>
      </w:r>
      <w:r>
        <w:rPr>
          <w:sz w:val="21"/>
        </w:rPr>
        <w:t>法</w:t>
      </w:r>
      <w:r>
        <w:rPr>
          <w:spacing w:val="-3"/>
          <w:sz w:val="21"/>
        </w:rPr>
        <w:t>通</w:t>
      </w:r>
      <w:r>
        <w:rPr>
          <w:sz w:val="21"/>
        </w:rPr>
        <w:t>过现有</w:t>
      </w:r>
      <w:r>
        <w:rPr>
          <w:spacing w:val="-3"/>
          <w:sz w:val="21"/>
        </w:rPr>
        <w:t>医</w:t>
      </w:r>
      <w:r>
        <w:rPr>
          <w:sz w:val="21"/>
        </w:rPr>
        <w:t>疗</w:t>
      </w:r>
      <w:r>
        <w:rPr>
          <w:spacing w:val="-3"/>
          <w:sz w:val="21"/>
        </w:rPr>
        <w:t>手</w:t>
      </w:r>
      <w:r>
        <w:rPr>
          <w:sz w:val="21"/>
        </w:rPr>
        <w:t>段</w:t>
      </w:r>
      <w:r>
        <w:rPr>
          <w:spacing w:val="-3"/>
          <w:sz w:val="21"/>
        </w:rPr>
        <w:t>恢</w:t>
      </w:r>
      <w:r>
        <w:rPr>
          <w:sz w:val="21"/>
        </w:rPr>
        <w:t>复</w:t>
      </w:r>
      <w:r>
        <w:rPr>
          <w:spacing w:val="-3"/>
          <w:sz w:val="21"/>
        </w:rPr>
        <w:t>。</w:t>
      </w:r>
      <w:r>
        <w:rPr>
          <w:sz w:val="21"/>
        </w:rPr>
        <w:t> </w:t>
      </w:r>
    </w:p>
    <w:sectPr>
      <w:type w:val="continuous"/>
      <w:pgSz w:w="11900" w:h="16840"/>
      <w:pgMar w:top="820" w:bottom="1400" w:left="132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Wingdings">
    <w:altName w:val="Wingdings"/>
    <w:charset w:val="2"/>
    <w:family w:val="auto"/>
    <w:pitch w:val="variable"/>
  </w:font>
  <w:font w:name="仿宋">
    <w:altName w:val="仿宋"/>
    <w:charset w:val="86"/>
    <w:family w:val="modern"/>
    <w:pitch w:val="fixed"/>
  </w:font>
  <w:font w:name="Courier New">
    <w:altName w:val="Courier New"/>
    <w:charset w:val="0"/>
    <w:family w:val="modern"/>
    <w:pitch w:val="fixed"/>
  </w:font>
  <w:font w:name="Microsoft JhengHei">
    <w:altName w:val="Microsoft JhengHei"/>
    <w:charset w:val="0"/>
    <w:family w:val="swiss"/>
    <w:pitch w:val="variable"/>
  </w:font>
  <w:font w:name="等线">
    <w:altName w:val="等线"/>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293.320007pt;margin-top:770.820007pt;width:8.5pt;height:12pt;mso-position-horizontal-relative:page;mso-position-vertical-relative:page;z-index:-5790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91.160004pt;margin-top:770.820007pt;width:13.1pt;height:12pt;mso-position-horizontal-relative:page;mso-position-vertical-relative:page;z-index:-578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91.160004pt;margin-top:770.820007pt;width:13.1pt;height:12pt;mso-position-horizontal-relative:page;mso-position-vertical-relative:page;z-index:-578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0"/>
      <w:numFmt w:val="decimal"/>
      <w:lvlText w:val="%1"/>
      <w:lvlJc w:val="left"/>
      <w:pPr>
        <w:ind w:left="2253" w:hanging="747"/>
        <w:jc w:val="left"/>
      </w:pPr>
      <w:rPr>
        <w:rFonts w:hint="default"/>
      </w:rPr>
    </w:lvl>
    <w:lvl w:ilvl="1">
      <w:start w:val="22"/>
      <w:numFmt w:val="decimal"/>
      <w:lvlText w:val="%1.%2"/>
      <w:lvlJc w:val="left"/>
      <w:pPr>
        <w:ind w:left="2253" w:hanging="747"/>
        <w:jc w:val="left"/>
      </w:pPr>
      <w:rPr>
        <w:rFonts w:hint="default" w:ascii="Microsoft JhengHei" w:hAnsi="Microsoft JhengHei" w:eastAsia="Microsoft JhengHei" w:cs="Microsoft JhengHei"/>
        <w:b/>
        <w:bCs/>
        <w:spacing w:val="-29"/>
        <w:w w:val="84"/>
        <w:sz w:val="21"/>
        <w:szCs w:val="21"/>
      </w:rPr>
    </w:lvl>
    <w:lvl w:ilvl="2">
      <w:start w:val="0"/>
      <w:numFmt w:val="bullet"/>
      <w:lvlText w:val="•"/>
      <w:lvlJc w:val="left"/>
      <w:pPr>
        <w:ind w:left="2189" w:hanging="747"/>
      </w:pPr>
      <w:rPr>
        <w:rFonts w:hint="default"/>
      </w:rPr>
    </w:lvl>
    <w:lvl w:ilvl="3">
      <w:start w:val="0"/>
      <w:numFmt w:val="bullet"/>
      <w:lvlText w:val="•"/>
      <w:lvlJc w:val="left"/>
      <w:pPr>
        <w:ind w:left="2153" w:hanging="747"/>
      </w:pPr>
      <w:rPr>
        <w:rFonts w:hint="default"/>
      </w:rPr>
    </w:lvl>
    <w:lvl w:ilvl="4">
      <w:start w:val="0"/>
      <w:numFmt w:val="bullet"/>
      <w:lvlText w:val="•"/>
      <w:lvlJc w:val="left"/>
      <w:pPr>
        <w:ind w:left="2118" w:hanging="747"/>
      </w:pPr>
      <w:rPr>
        <w:rFonts w:hint="default"/>
      </w:rPr>
    </w:lvl>
    <w:lvl w:ilvl="5">
      <w:start w:val="0"/>
      <w:numFmt w:val="bullet"/>
      <w:lvlText w:val="•"/>
      <w:lvlJc w:val="left"/>
      <w:pPr>
        <w:ind w:left="2082" w:hanging="747"/>
      </w:pPr>
      <w:rPr>
        <w:rFonts w:hint="default"/>
      </w:rPr>
    </w:lvl>
    <w:lvl w:ilvl="6">
      <w:start w:val="0"/>
      <w:numFmt w:val="bullet"/>
      <w:lvlText w:val="•"/>
      <w:lvlJc w:val="left"/>
      <w:pPr>
        <w:ind w:left="2047" w:hanging="747"/>
      </w:pPr>
      <w:rPr>
        <w:rFonts w:hint="default"/>
      </w:rPr>
    </w:lvl>
    <w:lvl w:ilvl="7">
      <w:start w:val="0"/>
      <w:numFmt w:val="bullet"/>
      <w:lvlText w:val="•"/>
      <w:lvlJc w:val="left"/>
      <w:pPr>
        <w:ind w:left="2011" w:hanging="747"/>
      </w:pPr>
      <w:rPr>
        <w:rFonts w:hint="default"/>
      </w:rPr>
    </w:lvl>
    <w:lvl w:ilvl="8">
      <w:start w:val="0"/>
      <w:numFmt w:val="bullet"/>
      <w:lvlText w:val="•"/>
      <w:lvlJc w:val="left"/>
      <w:pPr>
        <w:ind w:left="1976" w:hanging="747"/>
      </w:pPr>
      <w:rPr>
        <w:rFonts w:hint="default"/>
      </w:rPr>
    </w:lvl>
  </w:abstractNum>
  <w:abstractNum w:abstractNumId="8">
    <w:multiLevelType w:val="hybridMultilevel"/>
    <w:lvl w:ilvl="0">
      <w:start w:val="10"/>
      <w:numFmt w:val="decimal"/>
      <w:lvlText w:val="%1"/>
      <w:lvlJc w:val="left"/>
      <w:pPr>
        <w:ind w:left="849" w:hanging="747"/>
        <w:jc w:val="left"/>
      </w:pPr>
      <w:rPr>
        <w:rFonts w:hint="default"/>
      </w:rPr>
    </w:lvl>
    <w:lvl w:ilvl="1">
      <w:start w:val="8"/>
      <w:numFmt w:val="decimal"/>
      <w:lvlText w:val="%1.%2"/>
      <w:lvlJc w:val="left"/>
      <w:pPr>
        <w:ind w:left="2253" w:hanging="747"/>
        <w:jc w:val="left"/>
      </w:pPr>
      <w:rPr>
        <w:rFonts w:hint="default" w:ascii="Microsoft JhengHei" w:hAnsi="Microsoft JhengHei" w:eastAsia="Microsoft JhengHei" w:cs="Microsoft JhengHei"/>
        <w:b/>
        <w:bCs/>
        <w:spacing w:val="-29"/>
        <w:w w:val="84"/>
        <w:sz w:val="21"/>
        <w:szCs w:val="21"/>
      </w:rPr>
    </w:lvl>
    <w:lvl w:ilvl="2">
      <w:start w:val="0"/>
      <w:numFmt w:val="bullet"/>
      <w:lvlText w:val="•"/>
      <w:lvlJc w:val="left"/>
      <w:pPr>
        <w:ind w:left="3051" w:hanging="747"/>
      </w:pPr>
      <w:rPr>
        <w:rFonts w:hint="default"/>
      </w:rPr>
    </w:lvl>
    <w:lvl w:ilvl="3">
      <w:start w:val="0"/>
      <w:numFmt w:val="bullet"/>
      <w:lvlText w:val="•"/>
      <w:lvlJc w:val="left"/>
      <w:pPr>
        <w:ind w:left="3842" w:hanging="747"/>
      </w:pPr>
      <w:rPr>
        <w:rFonts w:hint="default"/>
      </w:rPr>
    </w:lvl>
    <w:lvl w:ilvl="4">
      <w:start w:val="0"/>
      <w:numFmt w:val="bullet"/>
      <w:lvlText w:val="•"/>
      <w:lvlJc w:val="left"/>
      <w:pPr>
        <w:ind w:left="4633" w:hanging="747"/>
      </w:pPr>
      <w:rPr>
        <w:rFonts w:hint="default"/>
      </w:rPr>
    </w:lvl>
    <w:lvl w:ilvl="5">
      <w:start w:val="0"/>
      <w:numFmt w:val="bullet"/>
      <w:lvlText w:val="•"/>
      <w:lvlJc w:val="left"/>
      <w:pPr>
        <w:ind w:left="5424" w:hanging="747"/>
      </w:pPr>
      <w:rPr>
        <w:rFonts w:hint="default"/>
      </w:rPr>
    </w:lvl>
    <w:lvl w:ilvl="6">
      <w:start w:val="0"/>
      <w:numFmt w:val="bullet"/>
      <w:lvlText w:val="•"/>
      <w:lvlJc w:val="left"/>
      <w:pPr>
        <w:ind w:left="6215" w:hanging="747"/>
      </w:pPr>
      <w:rPr>
        <w:rFonts w:hint="default"/>
      </w:rPr>
    </w:lvl>
    <w:lvl w:ilvl="7">
      <w:start w:val="0"/>
      <w:numFmt w:val="bullet"/>
      <w:lvlText w:val="•"/>
      <w:lvlJc w:val="left"/>
      <w:pPr>
        <w:ind w:left="7006" w:hanging="747"/>
      </w:pPr>
      <w:rPr>
        <w:rFonts w:hint="default"/>
      </w:rPr>
    </w:lvl>
    <w:lvl w:ilvl="8">
      <w:start w:val="0"/>
      <w:numFmt w:val="bullet"/>
      <w:lvlText w:val="•"/>
      <w:lvlJc w:val="left"/>
      <w:pPr>
        <w:ind w:left="7797" w:hanging="747"/>
      </w:pPr>
      <w:rPr>
        <w:rFonts w:hint="default"/>
      </w:rPr>
    </w:lvl>
  </w:abstractNum>
  <w:abstractNum w:abstractNumId="7">
    <w:multiLevelType w:val="hybridMultilevel"/>
    <w:lvl w:ilvl="0">
      <w:start w:val="6"/>
      <w:numFmt w:val="decimal"/>
      <w:lvlText w:val="%1"/>
      <w:lvlJc w:val="left"/>
      <w:pPr>
        <w:ind w:left="2373" w:hanging="747"/>
        <w:jc w:val="left"/>
      </w:pPr>
      <w:rPr>
        <w:rFonts w:hint="default"/>
      </w:rPr>
    </w:lvl>
    <w:lvl w:ilvl="1">
      <w:start w:val="1"/>
      <w:numFmt w:val="decimal"/>
      <w:lvlText w:val="%1.%2"/>
      <w:lvlJc w:val="left"/>
      <w:pPr>
        <w:ind w:left="2373" w:hanging="747"/>
        <w:jc w:val="left"/>
      </w:pPr>
      <w:rPr>
        <w:rFonts w:hint="default" w:ascii="Microsoft JhengHei" w:hAnsi="Microsoft JhengHei" w:eastAsia="Microsoft JhengHei" w:cs="Microsoft JhengHei"/>
        <w:b/>
        <w:bCs/>
        <w:spacing w:val="-29"/>
        <w:w w:val="84"/>
        <w:position w:val="-1"/>
        <w:sz w:val="21"/>
        <w:szCs w:val="21"/>
      </w:rPr>
    </w:lvl>
    <w:lvl w:ilvl="2">
      <w:start w:val="0"/>
      <w:numFmt w:val="bullet"/>
      <w:lvlText w:val="•"/>
      <w:lvlJc w:val="left"/>
      <w:pPr>
        <w:ind w:left="3804" w:hanging="747"/>
      </w:pPr>
      <w:rPr>
        <w:rFonts w:hint="default"/>
      </w:rPr>
    </w:lvl>
    <w:lvl w:ilvl="3">
      <w:start w:val="0"/>
      <w:numFmt w:val="bullet"/>
      <w:lvlText w:val="•"/>
      <w:lvlJc w:val="left"/>
      <w:pPr>
        <w:ind w:left="4516" w:hanging="747"/>
      </w:pPr>
      <w:rPr>
        <w:rFonts w:hint="default"/>
      </w:rPr>
    </w:lvl>
    <w:lvl w:ilvl="4">
      <w:start w:val="0"/>
      <w:numFmt w:val="bullet"/>
      <w:lvlText w:val="•"/>
      <w:lvlJc w:val="left"/>
      <w:pPr>
        <w:ind w:left="5228" w:hanging="747"/>
      </w:pPr>
      <w:rPr>
        <w:rFonts w:hint="default"/>
      </w:rPr>
    </w:lvl>
    <w:lvl w:ilvl="5">
      <w:start w:val="0"/>
      <w:numFmt w:val="bullet"/>
      <w:lvlText w:val="•"/>
      <w:lvlJc w:val="left"/>
      <w:pPr>
        <w:ind w:left="5940" w:hanging="747"/>
      </w:pPr>
      <w:rPr>
        <w:rFonts w:hint="default"/>
      </w:rPr>
    </w:lvl>
    <w:lvl w:ilvl="6">
      <w:start w:val="0"/>
      <w:numFmt w:val="bullet"/>
      <w:lvlText w:val="•"/>
      <w:lvlJc w:val="left"/>
      <w:pPr>
        <w:ind w:left="6652" w:hanging="747"/>
      </w:pPr>
      <w:rPr>
        <w:rFonts w:hint="default"/>
      </w:rPr>
    </w:lvl>
    <w:lvl w:ilvl="7">
      <w:start w:val="0"/>
      <w:numFmt w:val="bullet"/>
      <w:lvlText w:val="•"/>
      <w:lvlJc w:val="left"/>
      <w:pPr>
        <w:ind w:left="7364" w:hanging="747"/>
      </w:pPr>
      <w:rPr>
        <w:rFonts w:hint="default"/>
      </w:rPr>
    </w:lvl>
    <w:lvl w:ilvl="8">
      <w:start w:val="0"/>
      <w:numFmt w:val="bullet"/>
      <w:lvlText w:val="•"/>
      <w:lvlJc w:val="left"/>
      <w:pPr>
        <w:ind w:left="8076" w:hanging="747"/>
      </w:pPr>
      <w:rPr>
        <w:rFonts w:hint="default"/>
      </w:rPr>
    </w:lvl>
  </w:abstractNum>
  <w:abstractNum w:abstractNumId="6">
    <w:multiLevelType w:val="hybridMultilevel"/>
    <w:lvl w:ilvl="0">
      <w:start w:val="25"/>
      <w:numFmt w:val="lowerLetter"/>
      <w:lvlText w:val="%1"/>
      <w:lvlJc w:val="left"/>
      <w:pPr>
        <w:ind w:left="969" w:hanging="743"/>
        <w:jc w:val="left"/>
      </w:pPr>
      <w:rPr>
        <w:rFonts w:hint="default" w:ascii="Times New Roman" w:hAnsi="Times New Roman" w:eastAsia="Times New Roman" w:cs="Times New Roman"/>
        <w:b/>
        <w:bCs/>
        <w:w w:val="100"/>
        <w:position w:val="-3"/>
        <w:sz w:val="40"/>
        <w:szCs w:val="40"/>
      </w:rPr>
    </w:lvl>
    <w:lvl w:ilvl="1">
      <w:start w:val="0"/>
      <w:numFmt w:val="bullet"/>
      <w:lvlText w:val="•"/>
      <w:lvlJc w:val="left"/>
      <w:pPr>
        <w:ind w:left="1814" w:hanging="743"/>
      </w:pPr>
      <w:rPr>
        <w:rFonts w:hint="default"/>
      </w:rPr>
    </w:lvl>
    <w:lvl w:ilvl="2">
      <w:start w:val="0"/>
      <w:numFmt w:val="bullet"/>
      <w:lvlText w:val="•"/>
      <w:lvlJc w:val="left"/>
      <w:pPr>
        <w:ind w:left="2668" w:hanging="743"/>
      </w:pPr>
      <w:rPr>
        <w:rFonts w:hint="default"/>
      </w:rPr>
    </w:lvl>
    <w:lvl w:ilvl="3">
      <w:start w:val="0"/>
      <w:numFmt w:val="bullet"/>
      <w:lvlText w:val="•"/>
      <w:lvlJc w:val="left"/>
      <w:pPr>
        <w:ind w:left="3522" w:hanging="743"/>
      </w:pPr>
      <w:rPr>
        <w:rFonts w:hint="default"/>
      </w:rPr>
    </w:lvl>
    <w:lvl w:ilvl="4">
      <w:start w:val="0"/>
      <w:numFmt w:val="bullet"/>
      <w:lvlText w:val="•"/>
      <w:lvlJc w:val="left"/>
      <w:pPr>
        <w:ind w:left="4376" w:hanging="743"/>
      </w:pPr>
      <w:rPr>
        <w:rFonts w:hint="default"/>
      </w:rPr>
    </w:lvl>
    <w:lvl w:ilvl="5">
      <w:start w:val="0"/>
      <w:numFmt w:val="bullet"/>
      <w:lvlText w:val="•"/>
      <w:lvlJc w:val="left"/>
      <w:pPr>
        <w:ind w:left="5230" w:hanging="743"/>
      </w:pPr>
      <w:rPr>
        <w:rFonts w:hint="default"/>
      </w:rPr>
    </w:lvl>
    <w:lvl w:ilvl="6">
      <w:start w:val="0"/>
      <w:numFmt w:val="bullet"/>
      <w:lvlText w:val="•"/>
      <w:lvlJc w:val="left"/>
      <w:pPr>
        <w:ind w:left="6084" w:hanging="743"/>
      </w:pPr>
      <w:rPr>
        <w:rFonts w:hint="default"/>
      </w:rPr>
    </w:lvl>
    <w:lvl w:ilvl="7">
      <w:start w:val="0"/>
      <w:numFmt w:val="bullet"/>
      <w:lvlText w:val="•"/>
      <w:lvlJc w:val="left"/>
      <w:pPr>
        <w:ind w:left="6938" w:hanging="743"/>
      </w:pPr>
      <w:rPr>
        <w:rFonts w:hint="default"/>
      </w:rPr>
    </w:lvl>
    <w:lvl w:ilvl="8">
      <w:start w:val="0"/>
      <w:numFmt w:val="bullet"/>
      <w:lvlText w:val="•"/>
      <w:lvlJc w:val="left"/>
      <w:pPr>
        <w:ind w:left="7792" w:hanging="743"/>
      </w:pPr>
      <w:rPr>
        <w:rFonts w:hint="default"/>
      </w:rPr>
    </w:lvl>
  </w:abstractNum>
  <w:abstractNum w:abstractNumId="5">
    <w:multiLevelType w:val="hybridMultilevel"/>
    <w:lvl w:ilvl="0">
      <w:start w:val="4"/>
      <w:numFmt w:val="decimal"/>
      <w:lvlText w:val="%1"/>
      <w:lvlJc w:val="left"/>
      <w:pPr>
        <w:ind w:left="2373" w:hanging="747"/>
        <w:jc w:val="left"/>
      </w:pPr>
      <w:rPr>
        <w:rFonts w:hint="default"/>
      </w:rPr>
    </w:lvl>
    <w:lvl w:ilvl="1">
      <w:start w:val="1"/>
      <w:numFmt w:val="decimal"/>
      <w:lvlText w:val="%1.%2"/>
      <w:lvlJc w:val="left"/>
      <w:pPr>
        <w:ind w:left="2373" w:hanging="747"/>
        <w:jc w:val="left"/>
      </w:pPr>
      <w:rPr>
        <w:rFonts w:hint="default" w:ascii="Microsoft JhengHei" w:hAnsi="Microsoft JhengHei" w:eastAsia="Microsoft JhengHei" w:cs="Microsoft JhengHei"/>
        <w:b/>
        <w:bCs/>
        <w:spacing w:val="-29"/>
        <w:w w:val="84"/>
        <w:sz w:val="21"/>
        <w:szCs w:val="21"/>
      </w:rPr>
    </w:lvl>
    <w:lvl w:ilvl="2">
      <w:start w:val="0"/>
      <w:numFmt w:val="bullet"/>
      <w:lvlText w:val="•"/>
      <w:lvlJc w:val="left"/>
      <w:pPr>
        <w:ind w:left="2309" w:hanging="747"/>
      </w:pPr>
      <w:rPr>
        <w:rFonts w:hint="default"/>
      </w:rPr>
    </w:lvl>
    <w:lvl w:ilvl="3">
      <w:start w:val="0"/>
      <w:numFmt w:val="bullet"/>
      <w:lvlText w:val="•"/>
      <w:lvlJc w:val="left"/>
      <w:pPr>
        <w:ind w:left="2273" w:hanging="747"/>
      </w:pPr>
      <w:rPr>
        <w:rFonts w:hint="default"/>
      </w:rPr>
    </w:lvl>
    <w:lvl w:ilvl="4">
      <w:start w:val="0"/>
      <w:numFmt w:val="bullet"/>
      <w:lvlText w:val="•"/>
      <w:lvlJc w:val="left"/>
      <w:pPr>
        <w:ind w:left="2238" w:hanging="747"/>
      </w:pPr>
      <w:rPr>
        <w:rFonts w:hint="default"/>
      </w:rPr>
    </w:lvl>
    <w:lvl w:ilvl="5">
      <w:start w:val="0"/>
      <w:numFmt w:val="bullet"/>
      <w:lvlText w:val="•"/>
      <w:lvlJc w:val="left"/>
      <w:pPr>
        <w:ind w:left="2202" w:hanging="747"/>
      </w:pPr>
      <w:rPr>
        <w:rFonts w:hint="default"/>
      </w:rPr>
    </w:lvl>
    <w:lvl w:ilvl="6">
      <w:start w:val="0"/>
      <w:numFmt w:val="bullet"/>
      <w:lvlText w:val="•"/>
      <w:lvlJc w:val="left"/>
      <w:pPr>
        <w:ind w:left="2167" w:hanging="747"/>
      </w:pPr>
      <w:rPr>
        <w:rFonts w:hint="default"/>
      </w:rPr>
    </w:lvl>
    <w:lvl w:ilvl="7">
      <w:start w:val="0"/>
      <w:numFmt w:val="bullet"/>
      <w:lvlText w:val="•"/>
      <w:lvlJc w:val="left"/>
      <w:pPr>
        <w:ind w:left="2131" w:hanging="747"/>
      </w:pPr>
      <w:rPr>
        <w:rFonts w:hint="default"/>
      </w:rPr>
    </w:lvl>
    <w:lvl w:ilvl="8">
      <w:start w:val="0"/>
      <w:numFmt w:val="bullet"/>
      <w:lvlText w:val="•"/>
      <w:lvlJc w:val="left"/>
      <w:pPr>
        <w:ind w:left="2096" w:hanging="747"/>
      </w:pPr>
      <w:rPr>
        <w:rFonts w:hint="default"/>
      </w:rPr>
    </w:lvl>
  </w:abstractNum>
  <w:abstractNum w:abstractNumId="4">
    <w:multiLevelType w:val="hybridMultilevel"/>
    <w:lvl w:ilvl="0">
      <w:start w:val="22"/>
      <w:numFmt w:val="lowerLetter"/>
      <w:lvlText w:val="%1"/>
      <w:lvlJc w:val="left"/>
      <w:pPr>
        <w:ind w:left="969" w:hanging="743"/>
        <w:jc w:val="left"/>
      </w:pPr>
      <w:rPr>
        <w:rFonts w:hint="default" w:ascii="Times New Roman" w:hAnsi="Times New Roman" w:eastAsia="Times New Roman" w:cs="Times New Roman"/>
        <w:b/>
        <w:bCs/>
        <w:w w:val="100"/>
        <w:position w:val="-3"/>
        <w:sz w:val="40"/>
        <w:szCs w:val="40"/>
      </w:rPr>
    </w:lvl>
    <w:lvl w:ilvl="1">
      <w:start w:val="0"/>
      <w:numFmt w:val="bullet"/>
      <w:lvlText w:val="•"/>
      <w:lvlJc w:val="left"/>
      <w:pPr>
        <w:ind w:left="1816" w:hanging="743"/>
      </w:pPr>
      <w:rPr>
        <w:rFonts w:hint="default"/>
      </w:rPr>
    </w:lvl>
    <w:lvl w:ilvl="2">
      <w:start w:val="0"/>
      <w:numFmt w:val="bullet"/>
      <w:lvlText w:val="•"/>
      <w:lvlJc w:val="left"/>
      <w:pPr>
        <w:ind w:left="2672" w:hanging="743"/>
      </w:pPr>
      <w:rPr>
        <w:rFonts w:hint="default"/>
      </w:rPr>
    </w:lvl>
    <w:lvl w:ilvl="3">
      <w:start w:val="0"/>
      <w:numFmt w:val="bullet"/>
      <w:lvlText w:val="•"/>
      <w:lvlJc w:val="left"/>
      <w:pPr>
        <w:ind w:left="3528" w:hanging="743"/>
      </w:pPr>
      <w:rPr>
        <w:rFonts w:hint="default"/>
      </w:rPr>
    </w:lvl>
    <w:lvl w:ilvl="4">
      <w:start w:val="0"/>
      <w:numFmt w:val="bullet"/>
      <w:lvlText w:val="•"/>
      <w:lvlJc w:val="left"/>
      <w:pPr>
        <w:ind w:left="4384" w:hanging="743"/>
      </w:pPr>
      <w:rPr>
        <w:rFonts w:hint="default"/>
      </w:rPr>
    </w:lvl>
    <w:lvl w:ilvl="5">
      <w:start w:val="0"/>
      <w:numFmt w:val="bullet"/>
      <w:lvlText w:val="•"/>
      <w:lvlJc w:val="left"/>
      <w:pPr>
        <w:ind w:left="5240" w:hanging="743"/>
      </w:pPr>
      <w:rPr>
        <w:rFonts w:hint="default"/>
      </w:rPr>
    </w:lvl>
    <w:lvl w:ilvl="6">
      <w:start w:val="0"/>
      <w:numFmt w:val="bullet"/>
      <w:lvlText w:val="•"/>
      <w:lvlJc w:val="left"/>
      <w:pPr>
        <w:ind w:left="6096" w:hanging="743"/>
      </w:pPr>
      <w:rPr>
        <w:rFonts w:hint="default"/>
      </w:rPr>
    </w:lvl>
    <w:lvl w:ilvl="7">
      <w:start w:val="0"/>
      <w:numFmt w:val="bullet"/>
      <w:lvlText w:val="•"/>
      <w:lvlJc w:val="left"/>
      <w:pPr>
        <w:ind w:left="6952" w:hanging="743"/>
      </w:pPr>
      <w:rPr>
        <w:rFonts w:hint="default"/>
      </w:rPr>
    </w:lvl>
    <w:lvl w:ilvl="8">
      <w:start w:val="0"/>
      <w:numFmt w:val="bullet"/>
      <w:lvlText w:val="•"/>
      <w:lvlJc w:val="left"/>
      <w:pPr>
        <w:ind w:left="7808" w:hanging="743"/>
      </w:pPr>
      <w:rPr>
        <w:rFonts w:hint="default"/>
      </w:rPr>
    </w:lvl>
  </w:abstractNum>
  <w:abstractNum w:abstractNumId="3">
    <w:multiLevelType w:val="hybridMultilevel"/>
    <w:lvl w:ilvl="0">
      <w:start w:val="1"/>
      <w:numFmt w:val="decimal"/>
      <w:lvlText w:val="%1"/>
      <w:lvlJc w:val="left"/>
      <w:pPr>
        <w:ind w:left="2373" w:hanging="747"/>
        <w:jc w:val="left"/>
      </w:pPr>
      <w:rPr>
        <w:rFonts w:hint="default"/>
      </w:rPr>
    </w:lvl>
    <w:lvl w:ilvl="1">
      <w:start w:val="3"/>
      <w:numFmt w:val="decimal"/>
      <w:lvlText w:val="%1.%2"/>
      <w:lvlJc w:val="left"/>
      <w:pPr>
        <w:ind w:left="2373" w:hanging="747"/>
        <w:jc w:val="left"/>
      </w:pPr>
      <w:rPr>
        <w:rFonts w:hint="default" w:ascii="Microsoft JhengHei" w:hAnsi="Microsoft JhengHei" w:eastAsia="Microsoft JhengHei" w:cs="Microsoft JhengHei"/>
        <w:b/>
        <w:bCs/>
        <w:spacing w:val="-29"/>
        <w:w w:val="84"/>
        <w:sz w:val="21"/>
        <w:szCs w:val="21"/>
      </w:rPr>
    </w:lvl>
    <w:lvl w:ilvl="2">
      <w:start w:val="0"/>
      <w:numFmt w:val="bullet"/>
      <w:lvlText w:val="•"/>
      <w:lvlJc w:val="left"/>
      <w:pPr>
        <w:ind w:left="3808" w:hanging="747"/>
      </w:pPr>
      <w:rPr>
        <w:rFonts w:hint="default"/>
      </w:rPr>
    </w:lvl>
    <w:lvl w:ilvl="3">
      <w:start w:val="0"/>
      <w:numFmt w:val="bullet"/>
      <w:lvlText w:val="•"/>
      <w:lvlJc w:val="left"/>
      <w:pPr>
        <w:ind w:left="4522" w:hanging="747"/>
      </w:pPr>
      <w:rPr>
        <w:rFonts w:hint="default"/>
      </w:rPr>
    </w:lvl>
    <w:lvl w:ilvl="4">
      <w:start w:val="0"/>
      <w:numFmt w:val="bullet"/>
      <w:lvlText w:val="•"/>
      <w:lvlJc w:val="left"/>
      <w:pPr>
        <w:ind w:left="5236" w:hanging="747"/>
      </w:pPr>
      <w:rPr>
        <w:rFonts w:hint="default"/>
      </w:rPr>
    </w:lvl>
    <w:lvl w:ilvl="5">
      <w:start w:val="0"/>
      <w:numFmt w:val="bullet"/>
      <w:lvlText w:val="•"/>
      <w:lvlJc w:val="left"/>
      <w:pPr>
        <w:ind w:left="5950" w:hanging="747"/>
      </w:pPr>
      <w:rPr>
        <w:rFonts w:hint="default"/>
      </w:rPr>
    </w:lvl>
    <w:lvl w:ilvl="6">
      <w:start w:val="0"/>
      <w:numFmt w:val="bullet"/>
      <w:lvlText w:val="•"/>
      <w:lvlJc w:val="left"/>
      <w:pPr>
        <w:ind w:left="6664" w:hanging="747"/>
      </w:pPr>
      <w:rPr>
        <w:rFonts w:hint="default"/>
      </w:rPr>
    </w:lvl>
    <w:lvl w:ilvl="7">
      <w:start w:val="0"/>
      <w:numFmt w:val="bullet"/>
      <w:lvlText w:val="•"/>
      <w:lvlJc w:val="left"/>
      <w:pPr>
        <w:ind w:left="7378" w:hanging="747"/>
      </w:pPr>
      <w:rPr>
        <w:rFonts w:hint="default"/>
      </w:rPr>
    </w:lvl>
    <w:lvl w:ilvl="8">
      <w:start w:val="0"/>
      <w:numFmt w:val="bullet"/>
      <w:lvlText w:val="•"/>
      <w:lvlJc w:val="left"/>
      <w:pPr>
        <w:ind w:left="8092" w:hanging="747"/>
      </w:pPr>
      <w:rPr>
        <w:rFonts w:hint="default"/>
      </w:rPr>
    </w:lvl>
  </w:abstractNum>
  <w:abstractNum w:abstractNumId="2">
    <w:multiLevelType w:val="hybridMultilevel"/>
    <w:lvl w:ilvl="0">
      <w:start w:val="1"/>
      <w:numFmt w:val="decimal"/>
      <w:lvlText w:val="%1"/>
      <w:lvlJc w:val="left"/>
      <w:pPr>
        <w:ind w:left="2373" w:hanging="747"/>
        <w:jc w:val="left"/>
      </w:pPr>
      <w:rPr>
        <w:rFonts w:hint="default"/>
      </w:rPr>
    </w:lvl>
    <w:lvl w:ilvl="1">
      <w:start w:val="1"/>
      <w:numFmt w:val="decimal"/>
      <w:lvlText w:val="%1.%2"/>
      <w:lvlJc w:val="left"/>
      <w:pPr>
        <w:ind w:left="2373" w:hanging="747"/>
        <w:jc w:val="left"/>
      </w:pPr>
      <w:rPr>
        <w:rFonts w:hint="default" w:ascii="Microsoft JhengHei" w:hAnsi="Microsoft JhengHei" w:eastAsia="Microsoft JhengHei" w:cs="Microsoft JhengHei"/>
        <w:b/>
        <w:bCs/>
        <w:spacing w:val="-29"/>
        <w:w w:val="84"/>
        <w:sz w:val="21"/>
        <w:szCs w:val="21"/>
      </w:rPr>
    </w:lvl>
    <w:lvl w:ilvl="2">
      <w:start w:val="0"/>
      <w:numFmt w:val="bullet"/>
      <w:lvlText w:val="•"/>
      <w:lvlJc w:val="left"/>
      <w:pPr>
        <w:ind w:left="3808" w:hanging="747"/>
      </w:pPr>
      <w:rPr>
        <w:rFonts w:hint="default"/>
      </w:rPr>
    </w:lvl>
    <w:lvl w:ilvl="3">
      <w:start w:val="0"/>
      <w:numFmt w:val="bullet"/>
      <w:lvlText w:val="•"/>
      <w:lvlJc w:val="left"/>
      <w:pPr>
        <w:ind w:left="4522" w:hanging="747"/>
      </w:pPr>
      <w:rPr>
        <w:rFonts w:hint="default"/>
      </w:rPr>
    </w:lvl>
    <w:lvl w:ilvl="4">
      <w:start w:val="0"/>
      <w:numFmt w:val="bullet"/>
      <w:lvlText w:val="•"/>
      <w:lvlJc w:val="left"/>
      <w:pPr>
        <w:ind w:left="5236" w:hanging="747"/>
      </w:pPr>
      <w:rPr>
        <w:rFonts w:hint="default"/>
      </w:rPr>
    </w:lvl>
    <w:lvl w:ilvl="5">
      <w:start w:val="0"/>
      <w:numFmt w:val="bullet"/>
      <w:lvlText w:val="•"/>
      <w:lvlJc w:val="left"/>
      <w:pPr>
        <w:ind w:left="5950" w:hanging="747"/>
      </w:pPr>
      <w:rPr>
        <w:rFonts w:hint="default"/>
      </w:rPr>
    </w:lvl>
    <w:lvl w:ilvl="6">
      <w:start w:val="0"/>
      <w:numFmt w:val="bullet"/>
      <w:lvlText w:val="•"/>
      <w:lvlJc w:val="left"/>
      <w:pPr>
        <w:ind w:left="6664" w:hanging="747"/>
      </w:pPr>
      <w:rPr>
        <w:rFonts w:hint="default"/>
      </w:rPr>
    </w:lvl>
    <w:lvl w:ilvl="7">
      <w:start w:val="0"/>
      <w:numFmt w:val="bullet"/>
      <w:lvlText w:val="•"/>
      <w:lvlJc w:val="left"/>
      <w:pPr>
        <w:ind w:left="7378" w:hanging="747"/>
      </w:pPr>
      <w:rPr>
        <w:rFonts w:hint="default"/>
      </w:rPr>
    </w:lvl>
    <w:lvl w:ilvl="8">
      <w:start w:val="0"/>
      <w:numFmt w:val="bullet"/>
      <w:lvlText w:val="•"/>
      <w:lvlJc w:val="left"/>
      <w:pPr>
        <w:ind w:left="8092" w:hanging="747"/>
      </w:pPr>
      <w:rPr>
        <w:rFonts w:hint="default"/>
      </w:rPr>
    </w:lvl>
  </w:abstractNum>
  <w:abstractNum w:abstractNumId="1">
    <w:multiLevelType w:val="hybridMultilevel"/>
    <w:lvl w:ilvl="0">
      <w:start w:val="10"/>
      <w:numFmt w:val="decimal"/>
      <w:lvlText w:val="%1"/>
      <w:lvlJc w:val="left"/>
      <w:pPr>
        <w:ind w:left="1142" w:hanging="526"/>
        <w:jc w:val="left"/>
      </w:pPr>
      <w:rPr>
        <w:rFonts w:hint="default"/>
      </w:rPr>
    </w:lvl>
    <w:lvl w:ilvl="1">
      <w:start w:val="2"/>
      <w:numFmt w:val="decimal"/>
      <w:lvlText w:val="%1.%2"/>
      <w:lvlJc w:val="left"/>
      <w:pPr>
        <w:ind w:left="1142" w:hanging="526"/>
        <w:jc w:val="left"/>
      </w:pPr>
      <w:rPr>
        <w:rFonts w:hint="default" w:ascii="仿宋" w:hAnsi="仿宋" w:eastAsia="仿宋" w:cs="仿宋"/>
        <w:w w:val="100"/>
        <w:sz w:val="21"/>
        <w:szCs w:val="21"/>
      </w:rPr>
    </w:lvl>
    <w:lvl w:ilvl="2">
      <w:start w:val="0"/>
      <w:numFmt w:val="bullet"/>
      <w:lvlText w:val="•"/>
      <w:lvlJc w:val="left"/>
      <w:pPr>
        <w:ind w:left="1631" w:hanging="526"/>
      </w:pPr>
      <w:rPr>
        <w:rFonts w:hint="default"/>
      </w:rPr>
    </w:lvl>
    <w:lvl w:ilvl="3">
      <w:start w:val="0"/>
      <w:numFmt w:val="bullet"/>
      <w:lvlText w:val="•"/>
      <w:lvlJc w:val="left"/>
      <w:pPr>
        <w:ind w:left="1876" w:hanging="526"/>
      </w:pPr>
      <w:rPr>
        <w:rFonts w:hint="default"/>
      </w:rPr>
    </w:lvl>
    <w:lvl w:ilvl="4">
      <w:start w:val="0"/>
      <w:numFmt w:val="bullet"/>
      <w:lvlText w:val="•"/>
      <w:lvlJc w:val="left"/>
      <w:pPr>
        <w:ind w:left="2122" w:hanging="526"/>
      </w:pPr>
      <w:rPr>
        <w:rFonts w:hint="default"/>
      </w:rPr>
    </w:lvl>
    <w:lvl w:ilvl="5">
      <w:start w:val="0"/>
      <w:numFmt w:val="bullet"/>
      <w:lvlText w:val="•"/>
      <w:lvlJc w:val="left"/>
      <w:pPr>
        <w:ind w:left="2368" w:hanging="526"/>
      </w:pPr>
      <w:rPr>
        <w:rFonts w:hint="default"/>
      </w:rPr>
    </w:lvl>
    <w:lvl w:ilvl="6">
      <w:start w:val="0"/>
      <w:numFmt w:val="bullet"/>
      <w:lvlText w:val="•"/>
      <w:lvlJc w:val="left"/>
      <w:pPr>
        <w:ind w:left="2613" w:hanging="526"/>
      </w:pPr>
      <w:rPr>
        <w:rFonts w:hint="default"/>
      </w:rPr>
    </w:lvl>
    <w:lvl w:ilvl="7">
      <w:start w:val="0"/>
      <w:numFmt w:val="bullet"/>
      <w:lvlText w:val="•"/>
      <w:lvlJc w:val="left"/>
      <w:pPr>
        <w:ind w:left="2859" w:hanging="526"/>
      </w:pPr>
      <w:rPr>
        <w:rFonts w:hint="default"/>
      </w:rPr>
    </w:lvl>
    <w:lvl w:ilvl="8">
      <w:start w:val="0"/>
      <w:numFmt w:val="bullet"/>
      <w:lvlText w:val="•"/>
      <w:lvlJc w:val="left"/>
      <w:pPr>
        <w:ind w:left="3104" w:hanging="526"/>
      </w:pPr>
      <w:rPr>
        <w:rFonts w:hint="default"/>
      </w:rPr>
    </w:lvl>
  </w:abstractNum>
  <w:abstractNum w:abstractNumId="0">
    <w:multiLevelType w:val="hybridMultilevel"/>
    <w:lvl w:ilvl="0">
      <w:start w:val="0"/>
      <w:numFmt w:val="bullet"/>
      <w:lvlText w:val=""/>
      <w:lvlJc w:val="left"/>
      <w:pPr>
        <w:ind w:left="1645" w:hanging="423"/>
      </w:pPr>
      <w:rPr>
        <w:rFonts w:hint="default" w:ascii="Wingdings" w:hAnsi="Wingdings" w:eastAsia="Wingdings" w:cs="Wingdings"/>
        <w:w w:val="100"/>
        <w:sz w:val="21"/>
        <w:szCs w:val="21"/>
      </w:rPr>
    </w:lvl>
    <w:lvl w:ilvl="1">
      <w:start w:val="0"/>
      <w:numFmt w:val="bullet"/>
      <w:lvlText w:val="•"/>
      <w:lvlJc w:val="left"/>
      <w:pPr>
        <w:ind w:left="2518" w:hanging="423"/>
      </w:pPr>
      <w:rPr>
        <w:rFonts w:hint="default"/>
      </w:rPr>
    </w:lvl>
    <w:lvl w:ilvl="2">
      <w:start w:val="0"/>
      <w:numFmt w:val="bullet"/>
      <w:lvlText w:val="•"/>
      <w:lvlJc w:val="left"/>
      <w:pPr>
        <w:ind w:left="3396" w:hanging="423"/>
      </w:pPr>
      <w:rPr>
        <w:rFonts w:hint="default"/>
      </w:rPr>
    </w:lvl>
    <w:lvl w:ilvl="3">
      <w:start w:val="0"/>
      <w:numFmt w:val="bullet"/>
      <w:lvlText w:val="•"/>
      <w:lvlJc w:val="left"/>
      <w:pPr>
        <w:ind w:left="4274" w:hanging="423"/>
      </w:pPr>
      <w:rPr>
        <w:rFonts w:hint="default"/>
      </w:rPr>
    </w:lvl>
    <w:lvl w:ilvl="4">
      <w:start w:val="0"/>
      <w:numFmt w:val="bullet"/>
      <w:lvlText w:val="•"/>
      <w:lvlJc w:val="left"/>
      <w:pPr>
        <w:ind w:left="5152" w:hanging="423"/>
      </w:pPr>
      <w:rPr>
        <w:rFonts w:hint="default"/>
      </w:rPr>
    </w:lvl>
    <w:lvl w:ilvl="5">
      <w:start w:val="0"/>
      <w:numFmt w:val="bullet"/>
      <w:lvlText w:val="•"/>
      <w:lvlJc w:val="left"/>
      <w:pPr>
        <w:ind w:left="6030" w:hanging="423"/>
      </w:pPr>
      <w:rPr>
        <w:rFonts w:hint="default"/>
      </w:rPr>
    </w:lvl>
    <w:lvl w:ilvl="6">
      <w:start w:val="0"/>
      <w:numFmt w:val="bullet"/>
      <w:lvlText w:val="•"/>
      <w:lvlJc w:val="left"/>
      <w:pPr>
        <w:ind w:left="6908" w:hanging="423"/>
      </w:pPr>
      <w:rPr>
        <w:rFonts w:hint="default"/>
      </w:rPr>
    </w:lvl>
    <w:lvl w:ilvl="7">
      <w:start w:val="0"/>
      <w:numFmt w:val="bullet"/>
      <w:lvlText w:val="•"/>
      <w:lvlJc w:val="left"/>
      <w:pPr>
        <w:ind w:left="7786" w:hanging="423"/>
      </w:pPr>
      <w:rPr>
        <w:rFonts w:hint="default"/>
      </w:rPr>
    </w:lvl>
    <w:lvl w:ilvl="8">
      <w:start w:val="0"/>
      <w:numFmt w:val="bullet"/>
      <w:lvlText w:val="•"/>
      <w:lvlJc w:val="left"/>
      <w:pPr>
        <w:ind w:left="8664" w:hanging="423"/>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06"/>
      <w:ind w:left="1893"/>
    </w:pPr>
    <w:rPr>
      <w:rFonts w:ascii="宋体" w:hAnsi="宋体" w:eastAsia="宋体" w:cs="宋体"/>
      <w:sz w:val="21"/>
      <w:szCs w:val="21"/>
    </w:rPr>
  </w:style>
  <w:style w:styleId="Heading1" w:type="paragraph">
    <w:name w:val="Heading 1"/>
    <w:basedOn w:val="Normal"/>
    <w:uiPriority w:val="1"/>
    <w:qFormat/>
    <w:pPr>
      <w:spacing w:before="168"/>
      <w:ind w:left="969" w:hanging="742"/>
      <w:outlineLvl w:val="1"/>
    </w:pPr>
    <w:rPr>
      <w:rFonts w:ascii="Microsoft JhengHei" w:hAnsi="Microsoft JhengHei" w:eastAsia="Microsoft JhengHei" w:cs="Microsoft JhengHei"/>
      <w:b/>
      <w:bCs/>
      <w:sz w:val="24"/>
      <w:szCs w:val="24"/>
    </w:rPr>
  </w:style>
  <w:style w:styleId="Heading2" w:type="paragraph">
    <w:name w:val="Heading 2"/>
    <w:basedOn w:val="Normal"/>
    <w:uiPriority w:val="1"/>
    <w:qFormat/>
    <w:pPr>
      <w:ind w:left="2373"/>
      <w:outlineLvl w:val="2"/>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ind w:left="1645" w:hanging="215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ZIT-001</dc:creator>
  <dc:title>嘉禾发[2012]130号-2 嘉禾健康保重大疾病保险条款</dc:title>
  <dcterms:created xsi:type="dcterms:W3CDTF">2018-10-19T22:14:27Z</dcterms:created>
  <dcterms:modified xsi:type="dcterms:W3CDTF">2018-10-19T22:14:27Z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2014-05-29T00:00:00Z</vt:filetime>
  </property>
  <property fmtid="{D5CDD505-2E9C-101B-9397-08002B2CF9AE}" pid="3" name="Creator">
    <vt:lpwstr>pdfFactory Pro www.fineprint.cn</vt:lpwstr>
  </property>
  <property fmtid="{D5CDD505-2E9C-101B-9397-08002B2CF9AE}" pid="4" name="LastSaved">
    <vt:filetime>2018-10-19T00:00:00Z</vt:filetime>
  </property>
</Properties>
</file>