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047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946" w:right="0" w:firstLine="0"/>
        <w:jc w:val="center"/>
        <w:rPr>
          <w:b/>
          <w:sz w:val="24"/>
        </w:rPr>
      </w:pPr>
      <w:r>
        <w:rPr/>
        <w:pict>
          <v:group style="position:absolute;margin-left:83.633759pt;margin-top:-49.679134pt;width:428.4pt;height:57pt;mso-position-horizontal-relative:page;mso-position-vertical-relative:paragraph;z-index:-12136"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w w:val="95"/>
          <w:sz w:val="24"/>
        </w:rPr>
        <w:t>北大方正人寿保险有限公司附加重大疾病保险条款</w:t>
      </w:r>
    </w:p>
    <w:p>
      <w:pPr>
        <w:spacing w:line="330" w:lineRule="exact" w:before="0"/>
        <w:ind w:left="2947"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ind w:left="0"/>
        <w:rPr>
          <w:b/>
          <w:sz w:val="26"/>
        </w:rPr>
      </w:pPr>
    </w:p>
    <w:p>
      <w:pPr>
        <w:pStyle w:val="BodyText"/>
        <w:spacing w:before="3"/>
        <w:ind w:left="0"/>
        <w:rPr>
          <w:b/>
          <w:sz w:val="22"/>
        </w:rPr>
      </w:pPr>
    </w:p>
    <w:p>
      <w:pPr>
        <w:spacing w:before="0"/>
        <w:ind w:left="0" w:right="1231" w:firstLine="0"/>
        <w:jc w:val="right"/>
        <w:rPr>
          <w:sz w:val="21"/>
        </w:rPr>
      </w:pPr>
      <w:r>
        <w:rPr>
          <w:sz w:val="21"/>
        </w:rPr>
        <w:t>目录</w:t>
      </w:r>
    </w:p>
    <w:p>
      <w:pPr>
        <w:pStyle w:val="BodyText"/>
        <w:spacing w:before="3"/>
        <w:ind w:left="0"/>
        <w:rPr>
          <w:sz w:val="13"/>
        </w:rPr>
      </w:pPr>
      <w:r>
        <w:rPr/>
        <w:br w:type="column"/>
      </w:r>
      <w:r>
        <w:rPr>
          <w:sz w:val="13"/>
        </w:rPr>
      </w:r>
    </w:p>
    <w:p>
      <w:pPr>
        <w:pStyle w:val="BodyText"/>
        <w:ind w:left="1297"/>
      </w:pPr>
      <w:r>
        <w:rPr/>
        <w:t>请扫描以查询验证条款</w:t>
      </w:r>
    </w:p>
    <w:p>
      <w:pPr>
        <w:spacing w:after="0"/>
        <w:sectPr>
          <w:type w:val="continuous"/>
          <w:pgSz w:w="11960" w:h="16850"/>
          <w:pgMar w:top="280" w:bottom="1200" w:left="1560" w:right="760"/>
          <w:cols w:num="2" w:equalWidth="0">
            <w:col w:w="5839" w:space="40"/>
            <w:col w:w="3761"/>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559" w:val="left" w:leader="none"/>
              <w:tab w:pos="8528" w:val="left" w:leader="middleDot"/>
            </w:tabs>
            <w:spacing w:before="182"/>
            <w:rPr>
              <w:rFonts w:ascii="Times New Roman" w:hAnsi="Times New Roman" w:eastAsia="Times New Roman"/>
              <w:b w:val="0"/>
              <w:i w:val="0"/>
              <w:sz w:val="21"/>
            </w:rPr>
          </w:pPr>
          <w:r>
            <w:rPr>
              <w:b w:val="0"/>
              <w:i w:val="0"/>
              <w:sz w:val="18"/>
            </w:rPr>
            <w:t>第一条</w:t>
            <w:tab/>
            <w:t>合同的构成</w:t>
            <w:tab/>
          </w:r>
          <w:r>
            <w:rPr>
              <w:rFonts w:ascii="Times New Roman" w:hAnsi="Times New Roman" w:eastAsia="Times New Roman"/>
              <w:b w:val="0"/>
              <w:i w:val="0"/>
              <w:spacing w:val="-23"/>
              <w:sz w:val="21"/>
            </w:rPr>
            <w:t>2··</w:t>
          </w:r>
        </w:p>
        <w:p>
          <w:pPr>
            <w:pStyle w:val="TOC4"/>
            <w:tabs>
              <w:tab w:pos="1559" w:val="left" w:leader="none"/>
              <w:tab w:pos="8528" w:val="left" w:leader="middleDot"/>
            </w:tabs>
            <w:rPr>
              <w:rFonts w:ascii="Times New Roman" w:hAnsi="Times New Roman" w:eastAsia="Times New Roman"/>
              <w:b w:val="0"/>
              <w:i w:val="0"/>
              <w:sz w:val="21"/>
            </w:rPr>
          </w:pPr>
          <w:r>
            <w:rPr>
              <w:b w:val="0"/>
              <w:i w:val="0"/>
              <w:w w:val="100"/>
              <w:sz w:val="18"/>
            </w:rPr>
            <w:t>第二条</w:t>
            <w:tab/>
            <w:t>投保范围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59" w:val="left" w:leader="none"/>
              <w:tab w:pos="8528" w:val="left" w:leader="middleDot"/>
            </w:tabs>
            <w:rPr>
              <w:rFonts w:ascii="Times New Roman" w:hAnsi="Times New Roman" w:eastAsia="Times New Roman"/>
              <w:b w:val="0"/>
              <w:i w:val="0"/>
              <w:sz w:val="21"/>
            </w:rPr>
          </w:pPr>
          <w:hyperlink w:history="true" w:anchor="_TOC_250016">
            <w:r>
              <w:rPr>
                <w:b w:val="0"/>
                <w:i w:val="0"/>
                <w:w w:val="100"/>
                <w:sz w:val="18"/>
              </w:rPr>
              <w:t>第三条</w:t>
              <w:tab/>
              <w:t>保险期间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559" w:val="left" w:leader="none"/>
              <w:tab w:pos="8528" w:val="lef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22"/>
              <w:sz w:val="21"/>
            </w:rPr>
            <w:t>2··</w:t>
          </w:r>
        </w:p>
        <w:p>
          <w:pPr>
            <w:pStyle w:val="TOC4"/>
            <w:tabs>
              <w:tab w:pos="1559" w:val="left" w:leader="none"/>
              <w:tab w:pos="8528" w:val="left" w:leader="middleDot"/>
            </w:tabs>
            <w:rPr>
              <w:rFonts w:ascii="Times New Roman" w:hAnsi="Times New Roman" w:eastAsia="Times New Roman"/>
              <w:b w:val="0"/>
              <w:i w:val="0"/>
              <w:sz w:val="21"/>
            </w:rPr>
          </w:pPr>
          <w:hyperlink w:history="true" w:anchor="_TOC_250015">
            <w:r>
              <w:rPr>
                <w:b w:val="0"/>
                <w:i w:val="0"/>
                <w:sz w:val="18"/>
              </w:rPr>
              <w:t>第五条</w:t>
              <w:tab/>
              <w:t>犹豫期</w:t>
              <w:tab/>
            </w:r>
            <w:r>
              <w:rPr>
                <w:rFonts w:ascii="Times New Roman" w:hAnsi="Times New Roman" w:eastAsia="Times New Roman"/>
                <w:b w:val="0"/>
                <w:i w:val="0"/>
                <w:spacing w:val="-9"/>
                <w:sz w:val="21"/>
              </w:rPr>
              <w:t>2···</w:t>
            </w:r>
          </w:hyperlink>
        </w:p>
        <w:p>
          <w:pPr>
            <w:pStyle w:val="TOC2"/>
            <w:tabs>
              <w:tab w:pos="8764" w:val="right" w:leader="middleDot"/>
            </w:tabs>
            <w:rPr>
              <w:rFonts w:ascii="Times New Roman" w:hAnsi="Times New Roman" w:eastAsia="Times New Roman"/>
            </w:rPr>
          </w:pPr>
          <w:hyperlink w:history="true" w:anchor="_TOC_250014">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3"/>
            <w:tabs>
              <w:tab w:pos="1559" w:val="left" w:leader="none"/>
              <w:tab w:pos="8640" w:val="right" w:leader="middleDot"/>
            </w:tabs>
            <w:spacing w:before="182"/>
            <w:rPr>
              <w:rFonts w:ascii="Times New Roman" w:hAnsi="Times New Roman" w:eastAsia="Times New Roman"/>
              <w:sz w:val="21"/>
            </w:rPr>
          </w:pPr>
          <w:hyperlink w:history="true" w:anchor="_TOC_250013">
            <w:r>
              <w:rPr/>
              <w:t>第六条</w:t>
              <w:tab/>
              <w:t>基本保险金额</w:t>
              <w:tab/>
            </w:r>
            <w:r>
              <w:rPr>
                <w:rFonts w:ascii="Times New Roman" w:hAnsi="Times New Roman" w:eastAsia="Times New Roman"/>
                <w:spacing w:val="-33"/>
                <w:sz w:val="21"/>
              </w:rPr>
              <w:t>2·</w:t>
            </w:r>
          </w:hyperlink>
        </w:p>
        <w:p>
          <w:pPr>
            <w:pStyle w:val="TOC4"/>
            <w:tabs>
              <w:tab w:pos="1559" w:val="left" w:leader="none"/>
              <w:tab w:pos="8762" w:val="right" w:leader="middleDot"/>
            </w:tabs>
            <w:spacing w:before="55"/>
            <w:rPr>
              <w:rFonts w:ascii="Times New Roman" w:hAnsi="Times New Roman" w:eastAsia="Times New Roman"/>
              <w:b w:val="0"/>
              <w:i w:val="0"/>
              <w:sz w:val="21"/>
            </w:rPr>
          </w:pPr>
          <w:hyperlink w:history="true" w:anchor="_TOC_250012">
            <w:r>
              <w:rPr>
                <w:b w:val="0"/>
                <w:i w:val="0"/>
                <w:w w:val="100"/>
                <w:sz w:val="18"/>
              </w:rPr>
              <w:t>第七条</w:t>
              <w:tab/>
              <w:t>保险责任</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59" w:val="left" w:leader="none"/>
              <w:tab w:pos="8762" w:val="right" w:leader="middleDot"/>
            </w:tabs>
            <w:spacing w:before="55"/>
            <w:rPr>
              <w:rFonts w:ascii="Times New Roman" w:hAnsi="Times New Roman" w:eastAsia="Times New Roman"/>
              <w:b w:val="0"/>
              <w:i w:val="0"/>
              <w:sz w:val="21"/>
            </w:rPr>
          </w:pPr>
          <w:hyperlink w:history="true" w:anchor="_TOC_250011">
            <w:r>
              <w:rPr>
                <w:b w:val="0"/>
                <w:i w:val="0"/>
                <w:w w:val="100"/>
                <w:sz w:val="18"/>
              </w:rPr>
              <w:t>第八条</w:t>
              <w:tab/>
              <w:t>责任免除</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947" w:val="right" w:leader="middleDot"/>
            </w:tabs>
            <w:rPr>
              <w:rFonts w:ascii="Times New Roman" w:hAnsi="Times New Roman" w:eastAsia="Times New Roman"/>
            </w:rPr>
          </w:pPr>
          <w:hyperlink w:history="true" w:anchor="_TOC_250010">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4"/>
            <w:tabs>
              <w:tab w:pos="1559" w:val="left" w:leader="none"/>
              <w:tab w:pos="9041" w:val="right" w:leader="middleDot"/>
            </w:tabs>
            <w:spacing w:before="183"/>
            <w:rPr>
              <w:rFonts w:ascii="Times New Roman" w:hAnsi="Times New Roman" w:eastAsia="Times New Roman"/>
              <w:b w:val="0"/>
              <w:i w:val="0"/>
              <w:sz w:val="21"/>
            </w:rPr>
          </w:pPr>
          <w:hyperlink w:history="true" w:anchor="_TOC_250009">
            <w:r>
              <w:rPr>
                <w:b w:val="0"/>
                <w:i w:val="0"/>
                <w:w w:val="100"/>
                <w:sz w:val="18"/>
              </w:rPr>
              <w:t>第九条</w:t>
              <w:tab/>
              <w:t>受益人的指定和变更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59" w:val="left" w:leader="none"/>
              <w:tab w:pos="8762" w:val="right" w:leader="middleDot"/>
            </w:tabs>
            <w:rPr>
              <w:rFonts w:ascii="Times New Roman" w:hAnsi="Times New Roman" w:eastAsia="Times New Roman"/>
              <w:b w:val="0"/>
              <w:i w:val="0"/>
              <w:sz w:val="21"/>
            </w:rPr>
          </w:pPr>
          <w:r>
            <w:rPr>
              <w:b w:val="0"/>
              <w:i w:val="0"/>
              <w:w w:val="100"/>
              <w:sz w:val="18"/>
            </w:rPr>
            <w:t>第十条</w:t>
            <w:tab/>
            <w:t>申请资料</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59" w:val="left" w:leader="none"/>
              <w:tab w:pos="8762" w:val="right" w:leader="middleDot"/>
            </w:tabs>
            <w:rPr>
              <w:rFonts w:ascii="Times New Roman" w:hAnsi="Times New Roman" w:eastAsia="Times New Roman"/>
              <w:b w:val="0"/>
              <w:i w:val="0"/>
              <w:sz w:val="21"/>
            </w:rPr>
          </w:pPr>
          <w:r>
            <w:rPr>
              <w:b w:val="0"/>
              <w:i w:val="0"/>
              <w:w w:val="100"/>
              <w:sz w:val="18"/>
            </w:rPr>
            <w:t>第十一条</w:t>
            <w:tab/>
            <w:t>诉讼时效</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764" w:val="right" w:leader="middleDot"/>
            </w:tabs>
            <w:rPr>
              <w:rFonts w:ascii="Times New Roman" w:hAnsi="Times New Roman" w:eastAsia="Times New Roman"/>
            </w:rPr>
          </w:pPr>
          <w:hyperlink w:history="true" w:anchor="_TOC_250008">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3···</w:t>
            </w:r>
          </w:hyperlink>
        </w:p>
        <w:p>
          <w:pPr>
            <w:pStyle w:val="TOC3"/>
            <w:tabs>
              <w:tab w:pos="1559" w:val="left" w:leader="none"/>
              <w:tab w:pos="8640" w:val="right" w:leader="middleDot"/>
            </w:tabs>
            <w:spacing w:before="182"/>
            <w:rPr>
              <w:rFonts w:ascii="Times New Roman" w:hAnsi="Times New Roman" w:eastAsia="Times New Roman"/>
              <w:sz w:val="21"/>
            </w:rPr>
          </w:pPr>
          <w:hyperlink w:history="true" w:anchor="_TOC_250007">
            <w:r>
              <w:rPr/>
              <w:t>第十二条</w:t>
              <w:tab/>
              <w:t>保险费的交纳</w:t>
              <w:tab/>
            </w:r>
            <w:r>
              <w:rPr>
                <w:rFonts w:ascii="Times New Roman" w:hAnsi="Times New Roman" w:eastAsia="Times New Roman"/>
                <w:spacing w:val="-33"/>
                <w:sz w:val="21"/>
              </w:rPr>
              <w:t>3·</w:t>
            </w:r>
          </w:hyperlink>
        </w:p>
        <w:p>
          <w:pPr>
            <w:pStyle w:val="TOC3"/>
            <w:tabs>
              <w:tab w:pos="1559" w:val="left" w:leader="none"/>
              <w:tab w:pos="8710" w:val="right" w:leader="middleDot"/>
            </w:tabs>
            <w:rPr>
              <w:rFonts w:ascii="Times New Roman" w:hAnsi="Times New Roman" w:eastAsia="Times New Roman"/>
              <w:sz w:val="21"/>
            </w:rPr>
          </w:pPr>
          <w:hyperlink w:history="true" w:anchor="_TOC_250006">
            <w:r>
              <w:rPr/>
              <w:t>第十三条</w:t>
              <w:tab/>
              <w:t>保险费率的调整</w:t>
              <w:tab/>
            </w:r>
            <w:r>
              <w:rPr>
                <w:rFonts w:ascii="Times New Roman" w:hAnsi="Times New Roman" w:eastAsia="Times New Roman"/>
                <w:spacing w:val="-22"/>
                <w:sz w:val="21"/>
              </w:rPr>
              <w:t>3··</w:t>
            </w:r>
          </w:hyperlink>
        </w:p>
        <w:p>
          <w:pPr>
            <w:pStyle w:val="TOC2"/>
            <w:tabs>
              <w:tab w:pos="8635" w:val="right" w:leader="middleDot"/>
            </w:tabs>
            <w:rPr>
              <w:rFonts w:ascii="Times New Roman" w:hAnsi="Times New Roman" w:eastAsia="Times New Roman"/>
              <w:b/>
            </w:rPr>
          </w:pPr>
          <w:hyperlink w:history="true" w:anchor="_TOC_250005">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4"/>
            <w:tabs>
              <w:tab w:pos="1559" w:val="left" w:leader="none"/>
              <w:tab w:pos="8762" w:val="right" w:leader="middleDot"/>
            </w:tabs>
            <w:spacing w:before="182"/>
            <w:rPr>
              <w:rFonts w:ascii="Times New Roman" w:hAnsi="Times New Roman" w:eastAsia="Times New Roman"/>
              <w:b w:val="0"/>
              <w:i w:val="0"/>
              <w:sz w:val="21"/>
            </w:rPr>
          </w:pPr>
          <w:hyperlink w:history="true" w:anchor="_TOC_250004">
            <w:r>
              <w:rPr>
                <w:b w:val="0"/>
                <w:i w:val="0"/>
                <w:w w:val="100"/>
                <w:sz w:val="18"/>
              </w:rPr>
              <w:t>第十四条</w:t>
              <w:tab/>
              <w:t>现金价值</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59" w:val="left" w:leader="none"/>
              <w:tab w:pos="8762" w:val="right" w:leader="middleDot"/>
            </w:tabs>
            <w:rPr>
              <w:rFonts w:ascii="Times New Roman" w:hAnsi="Times New Roman" w:eastAsia="Times New Roman"/>
              <w:b w:val="0"/>
              <w:i w:val="0"/>
              <w:sz w:val="21"/>
            </w:rPr>
          </w:pPr>
          <w:hyperlink w:history="true" w:anchor="_TOC_250003">
            <w:r>
              <w:rPr>
                <w:b w:val="0"/>
                <w:i w:val="0"/>
                <w:w w:val="100"/>
                <w:sz w:val="18"/>
              </w:rPr>
              <w:t>第十五条</w:t>
              <w:tab/>
              <w:t>减额交清</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764" w:val="right" w:leader="middleDot"/>
            </w:tabs>
            <w:rPr>
              <w:rFonts w:ascii="Times New Roman" w:hAnsi="Times New Roman" w:eastAsia="Times New Roman"/>
            </w:rPr>
          </w:pPr>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p>
        <w:p>
          <w:pPr>
            <w:pStyle w:val="TOC4"/>
            <w:tabs>
              <w:tab w:pos="1559" w:val="left" w:leader="none"/>
              <w:tab w:pos="8972" w:val="right" w:leader="middleDot"/>
            </w:tabs>
            <w:spacing w:before="182"/>
            <w:rPr>
              <w:rFonts w:ascii="Times New Roman" w:hAnsi="Times New Roman" w:eastAsia="Times New Roman"/>
              <w:b w:val="0"/>
              <w:i w:val="0"/>
              <w:sz w:val="21"/>
            </w:rPr>
          </w:pPr>
          <w:r>
            <w:rPr>
              <w:b w:val="0"/>
              <w:i w:val="0"/>
              <w:w w:val="100"/>
              <w:sz w:val="18"/>
            </w:rPr>
            <w:t>第十六条</w:t>
            <w:tab/>
            <w:t>您主动解除合同的权利</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559" w:val="left" w:leader="none"/>
              <w:tab w:pos="871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22"/>
              <w:sz w:val="21"/>
            </w:rPr>
            <w:t>4··</w:t>
          </w:r>
        </w:p>
        <w:p>
          <w:pPr>
            <w:pStyle w:val="TOC2"/>
            <w:tabs>
              <w:tab w:pos="8888" w:val="right" w:leader="middleDot"/>
            </w:tabs>
            <w:rPr>
              <w:rFonts w:ascii="Times New Roman" w:hAnsi="Times New Roman" w:eastAsia="Times New Roman"/>
            </w:rPr>
          </w:pPr>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4·····</w:t>
          </w:r>
        </w:p>
        <w:p>
          <w:pPr>
            <w:pStyle w:val="TOC4"/>
            <w:tabs>
              <w:tab w:pos="1559" w:val="left" w:leader="none"/>
              <w:tab w:pos="9041" w:val="right" w:leader="middleDot"/>
            </w:tabs>
            <w:spacing w:before="182"/>
            <w:rPr>
              <w:rFonts w:ascii="Times New Roman" w:hAnsi="Times New Roman" w:eastAsia="Times New Roman"/>
              <w:b w:val="0"/>
              <w:i w:val="0"/>
              <w:sz w:val="21"/>
            </w:rPr>
          </w:pPr>
          <w:r>
            <w:rPr>
              <w:b w:val="0"/>
              <w:i w:val="0"/>
              <w:w w:val="100"/>
              <w:sz w:val="18"/>
            </w:rPr>
            <w:t>第十八条</w:t>
            <w:tab/>
            <w:t>明确说明与如实告知</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59" w:val="left" w:leader="none"/>
              <w:tab w:pos="8919" w:val="right" w:leader="middleDot"/>
            </w:tabs>
            <w:rPr>
              <w:rFonts w:ascii="Times New Roman" w:hAnsi="Times New Roman" w:eastAsia="Times New Roman"/>
              <w:b w:val="0"/>
              <w:i w:val="0"/>
              <w:sz w:val="21"/>
            </w:rPr>
          </w:pPr>
          <w:hyperlink w:history="true" w:anchor="_TOC_250002">
            <w:r>
              <w:rPr>
                <w:b w:val="0"/>
                <w:i w:val="0"/>
                <w:sz w:val="18"/>
              </w:rPr>
              <w:t>第十九条</w:t>
              <w:tab/>
              <w:t>本公司合同解除权的限制</w:t>
              <w:tab/>
            </w:r>
            <w:r>
              <w:rPr>
                <w:rFonts w:ascii="Times New Roman" w:hAnsi="Times New Roman" w:eastAsia="Times New Roman"/>
                <w:b w:val="0"/>
                <w:i w:val="0"/>
                <w:spacing w:val="-12"/>
                <w:sz w:val="21"/>
              </w:rPr>
              <w:t>4·····</w:t>
            </w:r>
          </w:hyperlink>
        </w:p>
        <w:p>
          <w:pPr>
            <w:pStyle w:val="TOC4"/>
            <w:tabs>
              <w:tab w:pos="1559" w:val="left" w:leader="none"/>
              <w:tab w:pos="8762" w:val="right" w:leader="middleDot"/>
            </w:tabs>
            <w:rPr>
              <w:rFonts w:ascii="Times New Roman" w:hAnsi="Times New Roman" w:eastAsia="Times New Roman"/>
              <w:b w:val="0"/>
              <w:i w:val="0"/>
              <w:sz w:val="21"/>
            </w:rPr>
          </w:pPr>
          <w:hyperlink w:history="true" w:anchor="_TOC_250001">
            <w:r>
              <w:rPr>
                <w:b w:val="0"/>
                <w:i w:val="0"/>
                <w:w w:val="100"/>
                <w:sz w:val="18"/>
              </w:rPr>
              <w:t>第二十条</w:t>
              <w:tab/>
              <w:t>未还款项</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873" w:val="right" w:leader="middleDot"/>
            </w:tabs>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ind w:left="0"/>
        <w:rPr>
          <w:rFonts w:ascii="Times New Roman"/>
        </w:rPr>
      </w:pPr>
    </w:p>
    <w:p>
      <w:pPr>
        <w:pStyle w:val="BodyText"/>
        <w:ind w:left="0"/>
        <w:rPr>
          <w:rFonts w:ascii="Times New Roman"/>
        </w:rPr>
      </w:pPr>
    </w:p>
    <w:p>
      <w:pPr>
        <w:pStyle w:val="BodyText"/>
        <w:spacing w:before="1"/>
        <w:ind w:left="0"/>
        <w:rPr>
          <w:rFonts w:ascii="Times New Roman"/>
        </w:rPr>
      </w:pPr>
    </w:p>
    <w:p>
      <w:pPr>
        <w:pStyle w:val="Heading1"/>
        <w:tabs>
          <w:tab w:pos="1235" w:val="left" w:leader="none"/>
          <w:tab w:pos="2941" w:val="left" w:leader="none"/>
        </w:tabs>
        <w:spacing w:line="439" w:lineRule="auto"/>
        <w:ind w:right="1209" w:firstLine="1000"/>
      </w:pPr>
      <w:r>
        <w:rPr/>
        <w:t>第一部分</w:t>
        <w:tab/>
      </w:r>
      <w:r>
        <w:rPr>
          <w:w w:val="95"/>
        </w:rPr>
        <w:t>您（投保人）与我们（北大方正人寿保险有限公司）的合同   </w:t>
      </w:r>
      <w:r>
        <w:rPr/>
        <w:t>第一条</w:t>
        <w:tab/>
      </w:r>
      <w:r>
        <w:rPr>
          <w:w w:val="95"/>
        </w:rPr>
        <w:t>合同的构成</w:t>
      </w:r>
    </w:p>
    <w:p>
      <w:pPr>
        <w:pStyle w:val="BodyText"/>
        <w:spacing w:before="46"/>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235" w:val="left" w:leader="none"/>
        </w:tabs>
        <w:spacing w:line="415" w:lineRule="auto" w:before="19"/>
        <w:ind w:left="141" w:right="6253" w:firstLine="0"/>
        <w:jc w:val="left"/>
        <w:rPr>
          <w:b/>
          <w:sz w:val="18"/>
        </w:rPr>
      </w:pPr>
      <w:r>
        <w:rPr>
          <w:sz w:val="18"/>
        </w:rPr>
        <w:t>本附加合同的英文简称为</w:t>
      </w:r>
      <w:r>
        <w:rPr>
          <w:spacing w:val="-47"/>
          <w:sz w:val="18"/>
        </w:rPr>
        <w:t> </w:t>
      </w:r>
      <w:r>
        <w:rPr>
          <w:rFonts w:ascii="Times New Roman" w:eastAsia="Times New Roman"/>
          <w:sz w:val="18"/>
        </w:rPr>
        <w:t>DR</w:t>
      </w:r>
      <w:r>
        <w:rPr>
          <w:sz w:val="18"/>
        </w:rPr>
        <w:t>。</w:t>
      </w:r>
      <w:r>
        <w:rPr>
          <w:b/>
          <w:sz w:val="18"/>
        </w:rPr>
        <w:t>第二条</w:t>
        <w:tab/>
      </w:r>
      <w:r>
        <w:rPr>
          <w:b/>
          <w:w w:val="95"/>
          <w:sz w:val="18"/>
        </w:rPr>
        <w:t>投保范围</w:t>
      </w:r>
    </w:p>
    <w:p>
      <w:pPr>
        <w:spacing w:line="103" w:lineRule="exact" w:before="37"/>
        <w:ind w:left="0" w:right="671" w:firstLine="0"/>
        <w:jc w:val="center"/>
        <w:rPr>
          <w:b/>
          <w:sz w:val="12"/>
        </w:rPr>
      </w:pPr>
      <w:r>
        <w:rPr>
          <w:b/>
          <w:sz w:val="12"/>
        </w:rPr>
        <w:t>释义 1</w:t>
      </w:r>
    </w:p>
    <w:p>
      <w:pPr>
        <w:pStyle w:val="BodyText"/>
        <w:tabs>
          <w:tab w:pos="4285" w:val="left" w:leader="none"/>
        </w:tabs>
        <w:spacing w:line="182" w:lineRule="exact"/>
      </w:pPr>
      <w:r>
        <w:rPr/>
        <w:t>本附加合同接受的被保险人的投保年龄为四</w:t>
      </w:r>
      <w:r>
        <w:rPr>
          <w:b/>
        </w:rPr>
        <w:t>周岁</w:t>
        <w:tab/>
      </w:r>
      <w:r>
        <w:rPr>
          <w:spacing w:val="-1"/>
        </w:rPr>
        <w:t>至</w:t>
      </w:r>
      <w:r>
        <w:rPr/>
        <w:t>六</w:t>
      </w:r>
      <w:r>
        <w:rPr>
          <w:spacing w:val="-3"/>
        </w:rPr>
        <w:t>十</w:t>
      </w:r>
      <w:r>
        <w:rPr/>
        <w:t>五周岁。</w:t>
      </w:r>
    </w:p>
    <w:p>
      <w:pPr>
        <w:pStyle w:val="BodyText"/>
        <w:spacing w:before="4"/>
        <w:ind w:left="0"/>
        <w:rPr>
          <w:sz w:val="13"/>
        </w:rPr>
      </w:pPr>
    </w:p>
    <w:p>
      <w:pPr>
        <w:pStyle w:val="Heading1"/>
        <w:tabs>
          <w:tab w:pos="1235" w:val="left" w:leader="none"/>
        </w:tabs>
      </w:pPr>
      <w:bookmarkStart w:name="_TOC_250016" w:id="1"/>
      <w:r>
        <w:rPr/>
        <w:t>第三条</w:t>
        <w:tab/>
      </w:r>
      <w:bookmarkEnd w:id="1"/>
      <w:r>
        <w:rPr>
          <w:w w:val="95"/>
        </w:rPr>
        <w:t>保险期间</w:t>
      </w:r>
    </w:p>
    <w:p>
      <w:pPr>
        <w:pStyle w:val="BodyText"/>
        <w:spacing w:before="12"/>
        <w:ind w:left="0"/>
        <w:rPr>
          <w:b/>
          <w:sz w:val="14"/>
        </w:rPr>
      </w:pPr>
    </w:p>
    <w:p>
      <w:pPr>
        <w:tabs>
          <w:tab w:pos="1235" w:val="left" w:leader="none"/>
        </w:tabs>
        <w:spacing w:line="439" w:lineRule="auto" w:before="0"/>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6"/>
        <w:rPr>
          <w:b/>
        </w:rPr>
      </w:pPr>
      <w:r>
        <w:rPr/>
        <w:t>在我们同意承保、签发正式保险合同并收到您交付的首期保险费的条件下，我们所承担的保险责任自</w:t>
      </w:r>
      <w:r>
        <w:rPr>
          <w:b/>
        </w:rPr>
        <w:t>本附加</w:t>
      </w:r>
    </w:p>
    <w:p>
      <w:pPr>
        <w:spacing w:line="103" w:lineRule="exact" w:before="47"/>
        <w:ind w:left="1046" w:right="0" w:firstLine="0"/>
        <w:jc w:val="left"/>
        <w:rPr>
          <w:b/>
          <w:sz w:val="12"/>
        </w:rPr>
      </w:pPr>
      <w:r>
        <w:rPr>
          <w:b/>
          <w:sz w:val="12"/>
        </w:rPr>
        <w:t>释义 2</w:t>
      </w:r>
    </w:p>
    <w:p>
      <w:pPr>
        <w:pStyle w:val="BodyText"/>
        <w:tabs>
          <w:tab w:pos="1446" w:val="left" w:leader="none"/>
        </w:tabs>
        <w:spacing w:line="182" w:lineRule="exact"/>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5"/>
        <w:ind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235" w:val="left" w:leader="none"/>
        </w:tabs>
        <w:spacing w:before="138"/>
      </w:pPr>
      <w:bookmarkStart w:name="_TOC_250015" w:id="2"/>
      <w:r>
        <w:rPr/>
        <w:t>第五条</w:t>
        <w:tab/>
      </w:r>
      <w:bookmarkEnd w:id="2"/>
      <w:r>
        <w:rPr>
          <w:w w:val="95"/>
        </w:rPr>
        <w:t>犹豫期</w:t>
      </w:r>
    </w:p>
    <w:p>
      <w:pPr>
        <w:pStyle w:val="BodyText"/>
        <w:spacing w:before="12"/>
        <w:ind w:left="0"/>
        <w:rPr>
          <w:b/>
          <w:sz w:val="14"/>
        </w:rPr>
      </w:pPr>
    </w:p>
    <w:p>
      <w:pPr>
        <w:pStyle w:val="BodyText"/>
        <w:spacing w:before="1"/>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Heading1"/>
        <w:tabs>
          <w:tab w:pos="1799" w:val="left" w:leader="none"/>
        </w:tabs>
        <w:spacing w:before="18"/>
        <w:ind w:left="0" w:right="64"/>
        <w:jc w:val="center"/>
      </w:pPr>
      <w:bookmarkStart w:name="_TOC_250014" w:id="3"/>
      <w:r>
        <w:rPr/>
        <w:t>第二部分</w:t>
        <w:tab/>
      </w:r>
      <w:bookmarkEnd w:id="3"/>
      <w:r>
        <w:rPr>
          <w:w w:val="95"/>
        </w:rPr>
        <w:t>我们提供的保障</w:t>
      </w:r>
    </w:p>
    <w:p>
      <w:pPr>
        <w:pStyle w:val="BodyText"/>
        <w:spacing w:before="12"/>
        <w:ind w:left="0"/>
        <w:rPr>
          <w:b/>
          <w:sz w:val="14"/>
        </w:rPr>
      </w:pPr>
    </w:p>
    <w:p>
      <w:pPr>
        <w:pStyle w:val="Heading1"/>
        <w:tabs>
          <w:tab w:pos="1235" w:val="left" w:leader="none"/>
        </w:tabs>
      </w:pPr>
      <w:bookmarkStart w:name="_TOC_250013" w:id="4"/>
      <w:r>
        <w:rPr/>
        <w:t>第六条</w:t>
        <w:tab/>
      </w:r>
      <w:bookmarkEnd w:id="4"/>
      <w:r>
        <w:rPr>
          <w:w w:val="95"/>
        </w:rPr>
        <w:t>基本保险金额</w:t>
      </w:r>
    </w:p>
    <w:p>
      <w:pPr>
        <w:pStyle w:val="BodyText"/>
        <w:spacing w:before="12"/>
        <w:ind w:left="0"/>
        <w:rPr>
          <w:b/>
          <w:sz w:val="14"/>
        </w:rPr>
      </w:pPr>
    </w:p>
    <w:p>
      <w:pPr>
        <w:pStyle w:val="BodyText"/>
        <w:spacing w:line="316" w:lineRule="auto"/>
        <w:ind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235" w:val="left" w:leader="none"/>
        </w:tabs>
        <w:spacing w:before="138"/>
      </w:pPr>
      <w:bookmarkStart w:name="_TOC_250012" w:id="5"/>
      <w:r>
        <w:rPr/>
        <w:t>第七条</w:t>
        <w:tab/>
      </w:r>
      <w:bookmarkEnd w:id="5"/>
      <w:r>
        <w:rPr>
          <w:w w:val="95"/>
        </w:rPr>
        <w:t>保险责任</w:t>
      </w:r>
    </w:p>
    <w:p>
      <w:pPr>
        <w:pStyle w:val="BodyText"/>
        <w:spacing w:before="12"/>
        <w:ind w:left="0"/>
        <w:rPr>
          <w:b/>
          <w:sz w:val="14"/>
        </w:rPr>
      </w:pPr>
    </w:p>
    <w:p>
      <w:pPr>
        <w:pStyle w:val="BodyText"/>
        <w:spacing w:before="1"/>
      </w:pPr>
      <w:r>
        <w:rPr/>
        <w:t>在本附加合同的有效保险期间内，我们将承担下列保险责任：</w:t>
      </w:r>
    </w:p>
    <w:p>
      <w:pPr>
        <w:tabs>
          <w:tab w:pos="1127" w:val="left" w:leader="none"/>
        </w:tabs>
        <w:spacing w:line="103" w:lineRule="exact" w:before="48"/>
        <w:ind w:left="0" w:right="203" w:firstLine="0"/>
        <w:jc w:val="right"/>
        <w:rPr>
          <w:b/>
          <w:sz w:val="12"/>
        </w:rPr>
      </w:pPr>
      <w:r>
        <w:rPr>
          <w:b/>
          <w:sz w:val="12"/>
        </w:rPr>
        <w:t>释义</w:t>
      </w:r>
      <w:r>
        <w:rPr>
          <w:b/>
          <w:spacing w:val="-7"/>
          <w:sz w:val="12"/>
        </w:rPr>
        <w:t> </w:t>
      </w:r>
      <w:r>
        <w:rPr>
          <w:b/>
          <w:sz w:val="12"/>
        </w:rPr>
        <w:t>3</w:t>
        <w:tab/>
        <w:t>释义</w:t>
      </w:r>
      <w:r>
        <w:rPr>
          <w:b/>
          <w:spacing w:val="-8"/>
          <w:sz w:val="12"/>
        </w:rPr>
        <w:t> </w:t>
      </w:r>
      <w:r>
        <w:rPr>
          <w:b/>
          <w:sz w:val="12"/>
        </w:rPr>
        <w:t>4</w:t>
      </w:r>
    </w:p>
    <w:p>
      <w:pPr>
        <w:pStyle w:val="BodyText"/>
        <w:tabs>
          <w:tab w:pos="7573" w:val="left" w:leader="none"/>
        </w:tabs>
        <w:spacing w:line="182" w:lineRule="exact"/>
        <w:rPr>
          <w:b/>
        </w:rPr>
      </w:pPr>
      <w:r>
        <w:rPr/>
        <w:t>如果被保险人在本附加合同生效日或最后复效日（以较迟者为准）起九十天后，首次</w:t>
      </w:r>
      <w:r>
        <w:rPr>
          <w:b/>
        </w:rPr>
        <w:t>发病</w:t>
        <w:tab/>
      </w:r>
      <w:r>
        <w:rPr>
          <w:w w:val="95"/>
        </w:rPr>
        <w:t>并</w:t>
      </w:r>
      <w:r>
        <w:rPr>
          <w:spacing w:val="-3"/>
          <w:w w:val="95"/>
        </w:rPr>
        <w:t>经</w:t>
      </w:r>
      <w:r>
        <w:rPr>
          <w:b/>
          <w:w w:val="95"/>
        </w:rPr>
        <w:t>医生</w:t>
      </w:r>
    </w:p>
    <w:p>
      <w:pPr>
        <w:pStyle w:val="BodyText"/>
        <w:spacing w:before="55"/>
      </w:pPr>
      <w:r>
        <w:rPr/>
        <w:t>确诊初次患有本附加合同内所界定的重大疾病中的任何一种疾病，我们将按基本保险金额给付重大疾病保险</w:t>
      </w:r>
    </w:p>
    <w:p>
      <w:pPr>
        <w:spacing w:line="103" w:lineRule="exact" w:before="48"/>
        <w:ind w:left="0" w:right="2233" w:firstLine="0"/>
        <w:jc w:val="right"/>
        <w:rPr>
          <w:b/>
          <w:sz w:val="12"/>
        </w:rPr>
      </w:pPr>
      <w:r>
        <w:rPr>
          <w:b/>
          <w:sz w:val="12"/>
        </w:rPr>
        <w:t>释义 5</w:t>
      </w:r>
    </w:p>
    <w:p>
      <w:pPr>
        <w:pStyle w:val="BodyText"/>
        <w:tabs>
          <w:tab w:pos="6666" w:val="left" w:leader="none"/>
        </w:tabs>
        <w:spacing w:line="182" w:lineRule="exact"/>
      </w:pPr>
      <w:r>
        <w:rPr/>
        <w:t>金，同时本附加合同终止。如果该重大疾病是由于被保险人遭受</w:t>
      </w:r>
      <w:r>
        <w:rPr>
          <w:b/>
        </w:rPr>
        <w:t>意外伤害事故</w:t>
        <w:tab/>
      </w:r>
      <w:r>
        <w:rPr>
          <w:spacing w:val="-1"/>
        </w:rPr>
        <w:t>引</w:t>
      </w:r>
      <w:r>
        <w:rPr/>
        <w:t>起</w:t>
      </w:r>
      <w:r>
        <w:rPr>
          <w:spacing w:val="-3"/>
        </w:rPr>
        <w:t>的</w:t>
      </w:r>
      <w:r>
        <w:rPr/>
        <w:t>，则无须受上述九</w:t>
      </w:r>
    </w:p>
    <w:p>
      <w:pPr>
        <w:pStyle w:val="BodyText"/>
        <w:spacing w:before="55"/>
      </w:pPr>
      <w:r>
        <w:rPr/>
        <w:t>十天的限制。</w:t>
      </w:r>
    </w:p>
    <w:p>
      <w:pPr>
        <w:pStyle w:val="BodyText"/>
        <w:spacing w:line="316" w:lineRule="auto" w:before="76"/>
        <w:ind w:right="208"/>
      </w:pPr>
      <w:r>
        <w:rPr/>
        <w:t>在我们给付重大疾病保险金之后，主合同的身故保险金将减去已支付的重大疾病保险金，同时主合同的基本保险金额、现金价值将相应减少。</w:t>
      </w:r>
    </w:p>
    <w:p>
      <w:pPr>
        <w:pStyle w:val="Heading1"/>
        <w:tabs>
          <w:tab w:pos="1235" w:val="left" w:leader="none"/>
        </w:tabs>
        <w:spacing w:before="138"/>
      </w:pPr>
      <w:bookmarkStart w:name="_TOC_250011" w:id="6"/>
      <w:r>
        <w:rPr/>
        <w:t>第八条</w:t>
        <w:tab/>
      </w:r>
      <w:bookmarkEnd w:id="6"/>
      <w:r>
        <w:rPr>
          <w:w w:val="95"/>
        </w:rPr>
        <w:t>责任免除</w:t>
      </w:r>
    </w:p>
    <w:p>
      <w:pPr>
        <w:pStyle w:val="BodyText"/>
        <w:spacing w:before="12"/>
        <w:ind w:left="0"/>
        <w:rPr>
          <w:b/>
          <w:sz w:val="14"/>
        </w:rPr>
      </w:pPr>
    </w:p>
    <w:p>
      <w:pPr>
        <w:spacing w:before="1"/>
        <w:ind w:left="141" w:right="0" w:firstLine="0"/>
        <w:jc w:val="left"/>
        <w:rPr>
          <w:b/>
          <w:sz w:val="18"/>
        </w:rPr>
      </w:pPr>
      <w:r>
        <w:rPr>
          <w:b/>
          <w:w w:val="95"/>
          <w:sz w:val="18"/>
        </w:rPr>
        <w:t>请您注意，下列情形的发生将导致我们的责任免除：</w:t>
      </w:r>
    </w:p>
    <w:p>
      <w:pPr>
        <w:spacing w:after="0"/>
        <w:jc w:val="left"/>
        <w:rPr>
          <w:sz w:val="18"/>
        </w:rPr>
        <w:sectPr>
          <w:headerReference w:type="default" r:id="rId7"/>
          <w:pgSz w:w="11960" w:h="16850"/>
          <w:pgMar w:header="897" w:footer="1001" w:top="1080" w:bottom="1200" w:left="1560" w:right="1540"/>
        </w:sectPr>
      </w:pPr>
    </w:p>
    <w:p>
      <w:pPr>
        <w:pStyle w:val="BodyText"/>
        <w:ind w:left="0"/>
        <w:rPr>
          <w:b/>
          <w:sz w:val="20"/>
        </w:rPr>
      </w:pPr>
    </w:p>
    <w:p>
      <w:pPr>
        <w:pStyle w:val="BodyText"/>
        <w:spacing w:before="9"/>
        <w:ind w:left="0"/>
        <w:rPr>
          <w:b/>
          <w:sz w:val="23"/>
        </w:rPr>
      </w:pPr>
    </w:p>
    <w:p>
      <w:pPr>
        <w:spacing w:before="51"/>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49" w:firstLine="0"/>
        <w:jc w:val="center"/>
        <w:rPr>
          <w:b/>
          <w:sz w:val="12"/>
        </w:rPr>
      </w:pPr>
      <w:r>
        <w:rPr>
          <w:b/>
          <w:sz w:val="12"/>
        </w:rPr>
        <w:t>释义 6</w:t>
      </w:r>
    </w:p>
    <w:p>
      <w:pPr>
        <w:pStyle w:val="Heading1"/>
        <w:tabs>
          <w:tab w:pos="3815" w:val="left" w:leader="none"/>
        </w:tabs>
        <w:spacing w:line="196" w:lineRule="exact"/>
      </w:pPr>
      <w:r>
        <w:rPr/>
        <w:t>（</w:t>
      </w:r>
      <w:r>
        <w:rPr>
          <w:rFonts w:ascii="Times New Roman" w:eastAsia="Times New Roman"/>
        </w:rPr>
        <w:t>3</w:t>
      </w:r>
      <w:r>
        <w:rPr/>
        <w:t>）被保险人主动服用、吸食或注射毒品</w:t>
        <w:tab/>
        <w:t>；</w:t>
      </w:r>
    </w:p>
    <w:p>
      <w:pPr>
        <w:tabs>
          <w:tab w:pos="4357" w:val="left" w:leader="none"/>
          <w:tab w:pos="6347" w:val="left" w:leader="none"/>
        </w:tabs>
        <w:spacing w:line="103" w:lineRule="exact" w:before="13"/>
        <w:ind w:left="2039" w:right="0" w:firstLine="0"/>
        <w:jc w:val="left"/>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70" w:val="left" w:leader="none"/>
          <w:tab w:pos="4720" w:val="left" w:leader="none"/>
          <w:tab w:pos="6709" w:val="left" w:leader="none"/>
        </w:tabs>
        <w:spacing w:line="196" w:lineRule="exact"/>
      </w:pPr>
      <w:r>
        <w:rPr/>
        <w:t>（</w:t>
      </w:r>
      <w:r>
        <w:rPr>
          <w:rFonts w:ascii="Times New Roman" w:eastAsia="Times New Roman"/>
        </w:rPr>
        <w:t>4</w:t>
      </w:r>
      <w:r>
        <w:rPr/>
        <w:t>）被保险人酒后驾驶</w:t>
        <w:tab/>
        <w:t>、无合法有效驾驶证驾驶</w:t>
        <w:tab/>
        <w:t>或驾驶无有效行驶证</w:t>
        <w:tab/>
      </w:r>
      <w:r>
        <w:rPr>
          <w:w w:val="95"/>
        </w:rPr>
        <w:t>的机动交通工具；</w:t>
      </w:r>
    </w:p>
    <w:p>
      <w:pPr>
        <w:tabs>
          <w:tab w:pos="4667" w:val="left" w:leader="none"/>
        </w:tabs>
        <w:spacing w:line="103" w:lineRule="exact" w:before="13"/>
        <w:ind w:left="2039"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tabs>
          <w:tab w:pos="2430" w:val="left" w:leader="none"/>
          <w:tab w:pos="5058" w:val="left" w:leader="none"/>
        </w:tabs>
        <w:spacing w:line="196" w:lineRule="exact"/>
      </w:pPr>
      <w:r>
        <w:rPr>
          <w:spacing w:val="1"/>
          <w:w w:val="99"/>
        </w:rPr>
        <w:t>（</w:t>
      </w:r>
      <w:r>
        <w:rPr>
          <w:rFonts w:ascii="Times New Roman" w:eastAsia="Times New Roman"/>
          <w:spacing w:val="-2"/>
          <w:w w:val="100"/>
        </w:rPr>
        <w:t>5</w:t>
      </w:r>
      <w:r>
        <w:rPr>
          <w:spacing w:val="-1"/>
          <w:w w:val="99"/>
        </w:rPr>
        <w:t>）</w:t>
      </w:r>
      <w:r>
        <w:rPr>
          <w:spacing w:val="1"/>
          <w:w w:val="99"/>
        </w:rPr>
        <w:t>被</w:t>
      </w:r>
      <w:r>
        <w:rPr>
          <w:w w:val="99"/>
        </w:rPr>
        <w:t>保险</w:t>
      </w:r>
      <w:r>
        <w:rPr>
          <w:spacing w:val="1"/>
          <w:w w:val="99"/>
        </w:rPr>
        <w:t>人</w:t>
      </w:r>
      <w:r>
        <w:rPr>
          <w:w w:val="99"/>
        </w:rPr>
        <w:t>患艾滋病</w:t>
      </w:r>
      <w:r>
        <w:rPr/>
        <w:tab/>
      </w:r>
      <w:r>
        <w:rPr>
          <w:spacing w:val="1"/>
          <w:w w:val="99"/>
        </w:rPr>
        <w:t>（</w:t>
      </w:r>
      <w:r>
        <w:rPr>
          <w:rFonts w:ascii="Times New Roman" w:eastAsia="Times New Roman"/>
          <w:spacing w:val="-1"/>
          <w:w w:val="100"/>
        </w:rPr>
        <w:t>AID</w:t>
      </w:r>
      <w:r>
        <w:rPr>
          <w:rFonts w:ascii="Times New Roman" w:eastAsia="Times New Roman"/>
          <w:w w:val="100"/>
        </w:rPr>
        <w:t>S</w:t>
      </w:r>
      <w:r>
        <w:rPr>
          <w:spacing w:val="-1"/>
          <w:w w:val="99"/>
        </w:rPr>
        <w:t>）</w:t>
      </w:r>
      <w:r>
        <w:rPr>
          <w:w w:val="99"/>
        </w:rPr>
        <w:t>或</w:t>
      </w:r>
      <w:r>
        <w:rPr>
          <w:spacing w:val="1"/>
          <w:w w:val="99"/>
        </w:rPr>
        <w:t>感</w:t>
      </w:r>
      <w:r>
        <w:rPr>
          <w:w w:val="99"/>
        </w:rPr>
        <w:t>染艾</w:t>
      </w:r>
      <w:r>
        <w:rPr>
          <w:spacing w:val="1"/>
          <w:w w:val="99"/>
        </w:rPr>
        <w:t>滋</w:t>
      </w:r>
      <w:r>
        <w:rPr>
          <w:w w:val="99"/>
        </w:rPr>
        <w:t>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spacing w:val="1"/>
          <w:w w:val="99"/>
        </w:rPr>
        <w:t>呈阳性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102" w:val="left" w:leader="none"/>
        </w:tabs>
        <w:spacing w:line="103" w:lineRule="exact" w:before="34"/>
        <w:ind w:left="0" w:right="2361"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1888" w:val="left" w:leader="none"/>
          <w:tab w:pos="4993"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7" w:lineRule="auto" w:before="41"/>
        <w:ind w:right="114"/>
      </w:pPr>
      <w:r>
        <w:rPr>
          <w:spacing w:val="-3"/>
        </w:rPr>
        <w:t>发生上述</w:t>
      </w:r>
      <w:r>
        <w:rPr>
          <w:spacing w:val="-4"/>
        </w:rPr>
        <w:t>（</w:t>
      </w:r>
      <w:r>
        <w:rPr>
          <w:rFonts w:ascii="Times New Roman" w:hAnsi="Times New Roman" w:eastAsia="Times New Roman"/>
          <w:spacing w:val="-4"/>
        </w:rPr>
        <w:t>1</w:t>
      </w:r>
      <w:r>
        <w:rPr>
          <w:spacing w:val="-4"/>
        </w:rPr>
        <w:t>）</w:t>
      </w:r>
      <w:r>
        <w:rPr>
          <w:spacing w:val="-10"/>
        </w:rPr>
        <w:t>至</w:t>
      </w:r>
      <w:r>
        <w:rPr>
          <w:spacing w:val="-4"/>
        </w:rPr>
        <w:t>（</w:t>
      </w:r>
      <w:r>
        <w:rPr>
          <w:rFonts w:ascii="Times New Roman" w:hAnsi="Times New Roman" w:eastAsia="Times New Roman"/>
          <w:spacing w:val="-4"/>
        </w:rPr>
        <w:t>8</w:t>
      </w:r>
      <w:r>
        <w:rPr>
          <w:spacing w:val="-4"/>
        </w:rPr>
        <w:t>）</w:t>
      </w:r>
      <w:r>
        <w:rPr>
          <w:spacing w:val="-2"/>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Heading1"/>
        <w:tabs>
          <w:tab w:pos="4477" w:val="left" w:leader="none"/>
        </w:tabs>
        <w:spacing w:before="6"/>
        <w:ind w:left="2678"/>
      </w:pPr>
      <w:bookmarkStart w:name="_TOC_250010" w:id="7"/>
      <w:r>
        <w:rPr/>
        <w:t>第三部分</w:t>
        <w:tab/>
      </w:r>
      <w:bookmarkEnd w:id="7"/>
      <w:r>
        <w:rPr>
          <w:w w:val="95"/>
        </w:rPr>
        <w:t>如何申请领取保险金</w:t>
      </w:r>
    </w:p>
    <w:p>
      <w:pPr>
        <w:pStyle w:val="BodyText"/>
        <w:spacing w:before="12"/>
        <w:ind w:left="0"/>
        <w:rPr>
          <w:b/>
          <w:sz w:val="14"/>
        </w:rPr>
      </w:pPr>
    </w:p>
    <w:p>
      <w:pPr>
        <w:pStyle w:val="Heading1"/>
        <w:tabs>
          <w:tab w:pos="1235" w:val="left" w:leader="none"/>
        </w:tabs>
      </w:pPr>
      <w:bookmarkStart w:name="_TOC_250009" w:id="8"/>
      <w:r>
        <w:rPr/>
        <w:t>第九条</w:t>
        <w:tab/>
      </w:r>
      <w:bookmarkEnd w:id="8"/>
      <w:r>
        <w:rPr>
          <w:w w:val="95"/>
        </w:rPr>
        <w:t>受益人的指定和变更</w:t>
      </w:r>
    </w:p>
    <w:p>
      <w:pPr>
        <w:pStyle w:val="BodyText"/>
        <w:spacing w:before="12"/>
        <w:ind w:left="0"/>
        <w:rPr>
          <w:b/>
          <w:sz w:val="14"/>
        </w:rPr>
      </w:pPr>
    </w:p>
    <w:p>
      <w:pPr>
        <w:tabs>
          <w:tab w:pos="1235" w:val="left" w:leader="none"/>
        </w:tabs>
        <w:spacing w:line="439" w:lineRule="auto" w:before="0"/>
        <w:ind w:left="141" w:right="528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6"/>
      </w:pPr>
      <w:r>
        <w:rPr/>
        <w:t>重大疾病保险金的申请</w:t>
      </w:r>
    </w:p>
    <w:p>
      <w:pPr>
        <w:pStyle w:val="BodyText"/>
        <w:spacing w:line="316" w:lineRule="auto" w:before="76"/>
        <w:ind w:right="208"/>
      </w:pPr>
      <w:r>
        <w:rPr/>
        <w:t>在符合保险责任有关规定的条件下，由重大疾病保险金受益人作为申请人填写申请书，并凭下列证明、资料的原件向我们申请给付保险金：</w:t>
      </w:r>
    </w:p>
    <w:p>
      <w:pPr>
        <w:pStyle w:val="BodyText"/>
        <w:spacing w:before="19"/>
      </w:pPr>
      <w:r>
        <w:rPr/>
        <w:t>（</w:t>
      </w:r>
      <w:r>
        <w:rPr>
          <w:rFonts w:ascii="Times New Roman" w:eastAsia="Times New Roman"/>
        </w:rPr>
        <w:t>1</w:t>
      </w:r>
      <w:r>
        <w:rPr/>
        <w:t>）申请书；</w:t>
      </w:r>
    </w:p>
    <w:p>
      <w:pPr>
        <w:pStyle w:val="BodyText"/>
        <w:spacing w:before="63"/>
      </w:pPr>
      <w:r>
        <w:rPr/>
        <w:t>（</w:t>
      </w:r>
      <w:r>
        <w:rPr>
          <w:rFonts w:ascii="Times New Roman" w:eastAsia="Times New Roman"/>
        </w:rPr>
        <w:t>2</w:t>
      </w:r>
      <w:r>
        <w:rPr/>
        <w:t>）保险合同；</w:t>
      </w:r>
    </w:p>
    <w:p>
      <w:pPr>
        <w:pStyle w:val="BodyText"/>
        <w:spacing w:before="63"/>
      </w:pPr>
      <w:r>
        <w:rPr/>
        <w:t>（</w:t>
      </w:r>
      <w:r>
        <w:rPr>
          <w:rFonts w:ascii="Times New Roman" w:eastAsia="Times New Roman"/>
        </w:rPr>
        <w:t>3</w:t>
      </w:r>
      <w:r>
        <w:rPr/>
        <w:t>）受益人户籍证明及身份证明；</w:t>
      </w:r>
    </w:p>
    <w:p>
      <w:pPr>
        <w:spacing w:line="103" w:lineRule="exact" w:before="34"/>
        <w:ind w:left="2399" w:right="0" w:firstLine="0"/>
        <w:jc w:val="left"/>
        <w:rPr>
          <w:b/>
          <w:sz w:val="12"/>
        </w:rPr>
      </w:pPr>
      <w:r>
        <w:rPr>
          <w:b/>
          <w:sz w:val="12"/>
        </w:rPr>
        <w:t>释义 14</w:t>
      </w:r>
    </w:p>
    <w:p>
      <w:pPr>
        <w:tabs>
          <w:tab w:pos="2884" w:val="left" w:leader="none"/>
        </w:tabs>
        <w:spacing w:line="196" w:lineRule="exact" w:before="0"/>
        <w:ind w:left="141" w:right="0" w:firstLine="0"/>
        <w:jc w:val="left"/>
        <w:rPr>
          <w:sz w:val="18"/>
        </w:rPr>
      </w:pPr>
      <w:r>
        <w:rPr>
          <w:sz w:val="18"/>
        </w:rPr>
        <w:t>（</w:t>
      </w:r>
      <w:r>
        <w:rPr>
          <w:rFonts w:ascii="Times New Roman" w:eastAsia="Times New Roman"/>
          <w:sz w:val="18"/>
        </w:rPr>
        <w:t>4</w:t>
      </w:r>
      <w:r>
        <w:rPr>
          <w:b/>
          <w:sz w:val="18"/>
        </w:rPr>
        <w:t>）我们指定或认可的医院</w:t>
        <w:tab/>
      </w:r>
      <w:r>
        <w:rPr>
          <w:spacing w:val="-1"/>
          <w:sz w:val="18"/>
        </w:rPr>
        <w:t>出具</w:t>
      </w:r>
      <w:r>
        <w:rPr>
          <w:sz w:val="18"/>
        </w:rPr>
        <w:t>的附有被保险人完</w:t>
      </w:r>
      <w:r>
        <w:rPr>
          <w:spacing w:val="-3"/>
          <w:sz w:val="18"/>
        </w:rPr>
        <w:t>整</w:t>
      </w:r>
      <w:r>
        <w:rPr>
          <w:sz w:val="18"/>
        </w:rPr>
        <w:t>病历、病理、血液及其它科学方法检验报告的诊</w:t>
      </w:r>
    </w:p>
    <w:p>
      <w:pPr>
        <w:pStyle w:val="BodyText"/>
        <w:spacing w:before="42"/>
      </w:pPr>
      <w:r>
        <w:rPr/>
        <w:t>断证明文件；</w:t>
      </w:r>
    </w:p>
    <w:p>
      <w:pPr>
        <w:spacing w:line="103" w:lineRule="exact" w:before="48"/>
        <w:ind w:left="2752" w:right="0" w:firstLine="0"/>
        <w:jc w:val="left"/>
        <w:rPr>
          <w:b/>
          <w:sz w:val="12"/>
        </w:rPr>
      </w:pPr>
      <w:r>
        <w:rPr>
          <w:b/>
          <w:sz w:val="12"/>
        </w:rPr>
        <w:t>释义 16</w:t>
      </w:r>
    </w:p>
    <w:p>
      <w:pPr>
        <w:pStyle w:val="BodyText"/>
        <w:tabs>
          <w:tab w:pos="3177" w:val="left" w:leader="none"/>
        </w:tabs>
        <w:spacing w:line="196" w:lineRule="exact"/>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235" w:val="left" w:leader="none"/>
        </w:tabs>
        <w:spacing w:line="439" w:lineRule="auto" w:before="41"/>
        <w:ind w:right="16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6"/>
        <w:ind w:right="208"/>
      </w:pPr>
      <w:r>
        <w:rPr/>
        <w:t>被保险人或受益人向我们请求给付保险金的诉讼时效期间为二年，自其知道或者应当知道保险事故发生之日起计算。</w:t>
      </w:r>
    </w:p>
    <w:p>
      <w:pPr>
        <w:pStyle w:val="Heading1"/>
        <w:tabs>
          <w:tab w:pos="4660" w:val="left" w:leader="none"/>
        </w:tabs>
        <w:spacing w:before="18"/>
        <w:ind w:left="2860"/>
      </w:pPr>
      <w:bookmarkStart w:name="_TOC_250008" w:id="9"/>
      <w:r>
        <w:rPr/>
        <w:t>第四部分</w:t>
        <w:tab/>
      </w:r>
      <w:bookmarkEnd w:id="9"/>
      <w:r>
        <w:rPr>
          <w:w w:val="95"/>
        </w:rPr>
        <w:t>如何交纳保险费</w:t>
      </w:r>
    </w:p>
    <w:p>
      <w:pPr>
        <w:pStyle w:val="BodyText"/>
        <w:spacing w:before="7"/>
        <w:ind w:left="0"/>
        <w:rPr>
          <w:b/>
          <w:sz w:val="11"/>
        </w:rPr>
      </w:pPr>
    </w:p>
    <w:p>
      <w:pPr>
        <w:pStyle w:val="Heading1"/>
        <w:tabs>
          <w:tab w:pos="1235" w:val="left" w:leader="none"/>
        </w:tabs>
        <w:spacing w:before="45"/>
      </w:pPr>
      <w:bookmarkStart w:name="_TOC_250007" w:id="10"/>
      <w:r>
        <w:rPr/>
        <w:t>第十二条</w:t>
        <w:tab/>
      </w:r>
      <w:bookmarkEnd w:id="10"/>
      <w:r>
        <w:rPr>
          <w:w w:val="95"/>
        </w:rPr>
        <w:t>保险费的交纳</w:t>
      </w:r>
    </w:p>
    <w:p>
      <w:pPr>
        <w:pStyle w:val="BodyText"/>
        <w:spacing w:before="13"/>
        <w:ind w:left="0"/>
        <w:rPr>
          <w:b/>
          <w:sz w:val="14"/>
        </w:rPr>
      </w:pPr>
    </w:p>
    <w:p>
      <w:pPr>
        <w:pStyle w:val="BodyText"/>
        <w:spacing w:line="316" w:lineRule="auto"/>
        <w:ind w:right="208"/>
      </w:pPr>
      <w:r>
        <w:rPr/>
        <w:t>本附加合同的交费方式与主合同相同。在主合同的交费期间内，本附加合同的保险费必须随主合同保险费一同支付，不能单独交纳。</w:t>
      </w:r>
    </w:p>
    <w:p>
      <w:pPr>
        <w:pStyle w:val="Heading1"/>
        <w:tabs>
          <w:tab w:pos="1235" w:val="left" w:leader="none"/>
        </w:tabs>
        <w:spacing w:before="138"/>
      </w:pPr>
      <w:bookmarkStart w:name="_TOC_250006" w:id="11"/>
      <w:r>
        <w:rPr/>
        <w:t>第十三条</w:t>
        <w:tab/>
      </w:r>
      <w:bookmarkEnd w:id="11"/>
      <w:r>
        <w:rPr>
          <w:w w:val="95"/>
        </w:rPr>
        <w:t>保险费率的调整</w:t>
      </w:r>
    </w:p>
    <w:p>
      <w:pPr>
        <w:pStyle w:val="BodyText"/>
        <w:spacing w:before="12"/>
        <w:ind w:left="0"/>
        <w:rPr>
          <w:b/>
          <w:sz w:val="14"/>
        </w:rPr>
      </w:pPr>
    </w:p>
    <w:p>
      <w:pPr>
        <w:pStyle w:val="BodyText"/>
        <w:spacing w:line="300" w:lineRule="auto"/>
        <w:ind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r>
        <w:rPr>
          <w:spacing w:val="-7"/>
        </w:rPr>
        <w:t>我们进行保险费率调整后，您须自调整后的第一个</w:t>
      </w:r>
      <w:r>
        <w:rPr>
          <w:b/>
        </w:rPr>
        <w:t>保险合同周年日</w:t>
      </w:r>
      <w:r>
        <w:rPr>
          <w:b/>
          <w:spacing w:val="-11"/>
          <w:position w:val="12"/>
          <w:sz w:val="12"/>
        </w:rPr>
        <w:t>释义 </w:t>
      </w:r>
      <w:r>
        <w:rPr>
          <w:b/>
          <w:position w:val="12"/>
          <w:sz w:val="12"/>
        </w:rPr>
        <w:t>17 </w:t>
      </w:r>
      <w:r>
        <w:rPr>
          <w:spacing w:val="-4"/>
        </w:rPr>
        <w:t>起，按照调整后的保险费率交纳本附</w:t>
      </w:r>
      <w:r>
        <w:rPr>
          <w:spacing w:val="-1"/>
        </w:rPr>
        <w:t>加合同相应的保险费。</w:t>
      </w:r>
    </w:p>
    <w:p>
      <w:pPr>
        <w:spacing w:after="0" w:line="300"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4749" w:val="left" w:leader="none"/>
        </w:tabs>
        <w:spacing w:before="44"/>
        <w:ind w:left="2949"/>
      </w:pPr>
      <w:bookmarkStart w:name="_TOC_250005" w:id="12"/>
      <w:r>
        <w:rPr/>
        <w:t>第五部分</w:t>
        <w:tab/>
      </w:r>
      <w:bookmarkEnd w:id="12"/>
      <w:r>
        <w:rPr>
          <w:w w:val="95"/>
        </w:rPr>
        <w:t>现金价值权益</w:t>
      </w:r>
    </w:p>
    <w:p>
      <w:pPr>
        <w:pStyle w:val="BodyText"/>
        <w:spacing w:before="7"/>
        <w:ind w:left="0"/>
        <w:rPr>
          <w:b/>
          <w:sz w:val="11"/>
        </w:rPr>
      </w:pPr>
    </w:p>
    <w:p>
      <w:pPr>
        <w:pStyle w:val="Heading1"/>
        <w:tabs>
          <w:tab w:pos="1235" w:val="left" w:leader="none"/>
        </w:tabs>
        <w:spacing w:before="44"/>
      </w:pPr>
      <w:bookmarkStart w:name="_TOC_250004" w:id="13"/>
      <w:r>
        <w:rPr/>
        <w:t>第十四条</w:t>
        <w:tab/>
      </w:r>
      <w:bookmarkEnd w:id="13"/>
      <w:r>
        <w:rPr>
          <w:w w:val="95"/>
        </w:rPr>
        <w:t>现金价值</w:t>
      </w:r>
    </w:p>
    <w:p>
      <w:pPr>
        <w:pStyle w:val="BodyText"/>
        <w:spacing w:before="12"/>
        <w:ind w:left="0"/>
        <w:rPr>
          <w:b/>
          <w:sz w:val="14"/>
        </w:rPr>
      </w:pPr>
    </w:p>
    <w:p>
      <w:pPr>
        <w:pStyle w:val="BodyText"/>
      </w:pPr>
      <w:r>
        <w:rPr/>
        <w:t>我们会在保险单或批注上载明本附加合同保单年度末的现金价值。现金价值可能因为其他条款的约定发生变</w:t>
      </w:r>
    </w:p>
    <w:p>
      <w:pPr>
        <w:spacing w:line="103" w:lineRule="exact" w:before="47"/>
        <w:ind w:left="0" w:right="1329" w:firstLine="0"/>
        <w:jc w:val="center"/>
        <w:rPr>
          <w:b/>
          <w:sz w:val="12"/>
        </w:rPr>
      </w:pPr>
      <w:r>
        <w:rPr>
          <w:b/>
          <w:sz w:val="12"/>
        </w:rPr>
        <w:t>释义 18</w:t>
      </w:r>
    </w:p>
    <w:p>
      <w:pPr>
        <w:pStyle w:val="BodyText"/>
        <w:tabs>
          <w:tab w:pos="3959" w:val="left" w:leader="none"/>
        </w:tabs>
        <w:spacing w:line="182" w:lineRule="exact"/>
      </w:pPr>
      <w:r>
        <w:rPr/>
        <w:t>更。如果您需要了解保单年度内的</w:t>
      </w:r>
      <w:r>
        <w:rPr>
          <w:b/>
        </w:rPr>
        <w:t>现金价值</w:t>
        <w:tab/>
      </w:r>
      <w:r>
        <w:rPr>
          <w:spacing w:val="-1"/>
        </w:rPr>
        <w:t>，可</w:t>
      </w:r>
      <w:r>
        <w:rPr/>
        <w:t>向我</w:t>
      </w:r>
      <w:r>
        <w:rPr>
          <w:spacing w:val="-3"/>
        </w:rPr>
        <w:t>们</w:t>
      </w:r>
      <w:r>
        <w:rPr/>
        <w:t>查询。</w:t>
      </w:r>
    </w:p>
    <w:p>
      <w:pPr>
        <w:pStyle w:val="BodyText"/>
        <w:spacing w:before="5"/>
        <w:ind w:left="0"/>
        <w:rPr>
          <w:sz w:val="13"/>
        </w:rPr>
      </w:pPr>
    </w:p>
    <w:p>
      <w:pPr>
        <w:pStyle w:val="Heading1"/>
        <w:tabs>
          <w:tab w:pos="1235" w:val="left" w:leader="none"/>
        </w:tabs>
      </w:pPr>
      <w:bookmarkStart w:name="_TOC_250003" w:id="14"/>
      <w:r>
        <w:rPr/>
        <w:t>第十五条</w:t>
        <w:tab/>
      </w:r>
      <w:bookmarkEnd w:id="14"/>
      <w:r>
        <w:rPr>
          <w:w w:val="95"/>
        </w:rPr>
        <w:t>减额交清</w:t>
      </w:r>
    </w:p>
    <w:p>
      <w:pPr>
        <w:pStyle w:val="BodyText"/>
        <w:spacing w:before="12"/>
        <w:ind w:left="0"/>
        <w:rPr>
          <w:b/>
          <w:sz w:val="14"/>
        </w:rPr>
      </w:pPr>
    </w:p>
    <w:p>
      <w:pPr>
        <w:pStyle w:val="BodyText"/>
        <w:spacing w:before="1"/>
      </w:pPr>
      <w:r>
        <w:rPr/>
        <w:t>减额交清保险不适用于本附加合同。</w:t>
      </w:r>
    </w:p>
    <w:p>
      <w:pPr>
        <w:pStyle w:val="Heading1"/>
        <w:tabs>
          <w:tab w:pos="1235" w:val="left" w:leader="none"/>
          <w:tab w:pos="4660" w:val="left" w:leader="none"/>
        </w:tabs>
        <w:spacing w:line="439" w:lineRule="auto" w:before="76"/>
        <w:ind w:right="2924" w:firstLine="2718"/>
      </w:pPr>
      <w:r>
        <w:rPr/>
        <w:t>第六部分</w:t>
        <w:tab/>
      </w:r>
      <w:r>
        <w:rPr>
          <w:w w:val="95"/>
        </w:rPr>
        <w:t>合同效力的终止 </w:t>
      </w:r>
      <w:r>
        <w:rPr/>
        <w:t>第十六条</w:t>
        <w:tab/>
      </w:r>
      <w:r>
        <w:rPr>
          <w:w w:val="95"/>
        </w:rPr>
        <w:t>您主动解除合同的权利</w:t>
      </w:r>
    </w:p>
    <w:p>
      <w:pPr>
        <w:pStyle w:val="BodyText"/>
        <w:spacing w:before="46"/>
      </w:pPr>
      <w:r>
        <w:rPr/>
        <w:t>本附加合同生效后，您可以书面通知我们要求解除本附加合同，并应提供下列证明和资料：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3"/>
      </w:pPr>
      <w:r>
        <w:rPr/>
        <w:t>（</w:t>
      </w:r>
      <w:r>
        <w:rPr>
          <w:rFonts w:ascii="Times New Roman" w:eastAsia="Times New Roman"/>
        </w:rPr>
        <w:t>2</w:t>
      </w:r>
      <w:r>
        <w:rPr/>
        <w:t>）保险合同原件；</w:t>
      </w:r>
    </w:p>
    <w:p>
      <w:pPr>
        <w:pStyle w:val="BodyText"/>
        <w:spacing w:before="63"/>
      </w:pPr>
      <w:r>
        <w:rPr/>
        <w:t>（</w:t>
      </w:r>
      <w:r>
        <w:rPr>
          <w:rFonts w:ascii="Times New Roman" w:eastAsia="Times New Roman"/>
        </w:rPr>
        <w:t>3</w:t>
      </w:r>
      <w:r>
        <w:rPr/>
        <w:t>）您的身份证明复印件。</w:t>
      </w:r>
    </w:p>
    <w:p>
      <w:pPr>
        <w:pStyle w:val="BodyText"/>
        <w:spacing w:line="316" w:lineRule="auto" w:before="63"/>
        <w:ind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235" w:val="left" w:leader="none"/>
        </w:tabs>
        <w:spacing w:line="439" w:lineRule="auto" w:before="19"/>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）主合同转为减额交清保险；</w:t>
      </w:r>
    </w:p>
    <w:p>
      <w:pPr>
        <w:pStyle w:val="BodyText"/>
        <w:spacing w:before="62"/>
      </w:pPr>
      <w:r>
        <w:rPr/>
        <w:t>（</w:t>
      </w:r>
      <w:r>
        <w:rPr>
          <w:rFonts w:ascii="Times New Roman" w:eastAsia="Times New Roman"/>
        </w:rPr>
        <w:t>3</w:t>
      </w:r>
      <w:r>
        <w:rPr/>
        <w:t>）因出现本附加合同其他条款所列情况而终止。</w:t>
      </w:r>
    </w:p>
    <w:p>
      <w:pPr>
        <w:pStyle w:val="Heading1"/>
        <w:tabs>
          <w:tab w:pos="1235" w:val="left" w:leader="none"/>
          <w:tab w:pos="4389" w:val="left" w:leader="none"/>
        </w:tabs>
        <w:spacing w:line="439" w:lineRule="auto" w:before="62"/>
        <w:ind w:right="2653" w:firstLine="2447"/>
      </w:pPr>
      <w:r>
        <w:rPr/>
        <w:t>第七部分</w:t>
        <w:tab/>
      </w:r>
      <w:r>
        <w:rPr>
          <w:w w:val="95"/>
        </w:rPr>
        <w:t>您必须了解的其他事项  </w:t>
      </w:r>
      <w:r>
        <w:rPr/>
        <w:t>第十八条</w:t>
        <w:tab/>
      </w:r>
      <w:r>
        <w:rPr>
          <w:w w:val="95"/>
        </w:rPr>
        <w:t>明确说明与如实告知</w:t>
      </w:r>
    </w:p>
    <w:p>
      <w:pPr>
        <w:pStyle w:val="BodyText"/>
        <w:spacing w:line="316" w:lineRule="auto" w:before="46"/>
        <w:ind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6"/>
        <w:ind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210"/>
      </w:pPr>
      <w:r>
        <w:rPr/>
        <w:t>您故意不履行如实告知义务，我们对于本附加合同解除前发生的保险事故，不承担赔偿或者给付保险金的责任，并不退还保险费。</w:t>
      </w:r>
    </w:p>
    <w:p>
      <w:pPr>
        <w:pStyle w:val="BodyText"/>
        <w:spacing w:line="316" w:lineRule="auto" w:before="18"/>
        <w:ind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235" w:val="left" w:leader="none"/>
        </w:tabs>
        <w:spacing w:before="138"/>
      </w:pPr>
      <w:bookmarkStart w:name="_TOC_250002" w:id="15"/>
      <w:r>
        <w:rPr/>
        <w:t>第十九条</w:t>
        <w:tab/>
      </w:r>
      <w:bookmarkEnd w:id="15"/>
      <w:r>
        <w:rPr>
          <w:w w:val="95"/>
        </w:rPr>
        <w:t>本公司合同解除权的限制</w:t>
      </w:r>
    </w:p>
    <w:p>
      <w:pPr>
        <w:pStyle w:val="BodyText"/>
        <w:spacing w:before="12"/>
        <w:ind w:left="0"/>
        <w:rPr>
          <w:b/>
          <w:sz w:val="14"/>
        </w:rPr>
      </w:pPr>
    </w:p>
    <w:p>
      <w:pPr>
        <w:pStyle w:val="BodyText"/>
        <w:spacing w:line="300" w:lineRule="auto"/>
        <w:ind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right="208"/>
      </w:pPr>
      <w:r>
        <w:rPr/>
        <w:t>我们在合同订立时已经知道您未如实告知的情况的，我们不得解除合同；发生保险事故的，我们承担给付保险金的责任。</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1235" w:val="left" w:leader="none"/>
        </w:tabs>
        <w:spacing w:before="44"/>
      </w:pPr>
      <w:bookmarkStart w:name="_TOC_250001" w:id="16"/>
      <w:r>
        <w:rPr/>
        <w:t>第二十条</w:t>
        <w:tab/>
      </w:r>
      <w:bookmarkEnd w:id="16"/>
      <w:r>
        <w:rPr>
          <w:w w:val="95"/>
        </w:rPr>
        <w:t>未还款项</w:t>
      </w:r>
    </w:p>
    <w:p>
      <w:pPr>
        <w:pStyle w:val="BodyText"/>
        <w:spacing w:before="12"/>
        <w:ind w:left="0"/>
        <w:rPr>
          <w:b/>
          <w:sz w:val="14"/>
        </w:rPr>
      </w:pPr>
    </w:p>
    <w:p>
      <w:pPr>
        <w:pStyle w:val="BodyText"/>
        <w:spacing w:line="316" w:lineRule="auto"/>
        <w:ind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Heading1"/>
        <w:tabs>
          <w:tab w:pos="5111" w:val="left" w:leader="none"/>
        </w:tabs>
        <w:spacing w:before="18"/>
        <w:ind w:left="3311"/>
      </w:pPr>
      <w:bookmarkStart w:name="_TOC_250000" w:id="17"/>
      <w:bookmarkEnd w:id="17"/>
      <w:r>
        <w:rPr/>
        <w:t>第八部分</w:t>
        <w:tab/>
        <w:t>释义</w:t>
      </w:r>
    </w:p>
    <w:p>
      <w:pPr>
        <w:pStyle w:val="BodyText"/>
        <w:tabs>
          <w:tab w:pos="2378" w:val="left" w:leader="none"/>
        </w:tabs>
        <w:spacing w:line="245" w:lineRule="exact" w:before="37"/>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spacing w:line="223" w:lineRule="auto" w:before="12"/>
        <w:ind w:left="2586" w:right="191" w:hanging="2446"/>
        <w:jc w:val="both"/>
      </w:pPr>
      <w:r>
        <w:rPr>
          <w:spacing w:val="-16"/>
        </w:rPr>
        <w:t>释义 </w:t>
      </w:r>
      <w:r>
        <w:rPr>
          <w:rFonts w:ascii="Times New Roman" w:eastAsia="Times New Roman"/>
        </w:rPr>
        <w:t>2</w:t>
      </w:r>
      <w:r>
        <w:rPr>
          <w:spacing w:val="1"/>
        </w:rPr>
        <w:t>、本附加合同生效日 </w:t>
      </w:r>
      <w:r>
        <w:rPr>
          <w:rFonts w:ascii="Times New Roman" w:eastAsia="Times New Roman"/>
          <w:spacing w:val="10"/>
          <w:position w:val="2"/>
        </w:rPr>
        <w:t>: </w:t>
      </w:r>
      <w:r>
        <w:rPr>
          <w:spacing w:val="-4"/>
        </w:rPr>
        <w:t>是指在我们同意承保、签发保险合同并收到您交付的首期保险费的条件下，本</w:t>
      </w:r>
      <w:r>
        <w:rPr>
          <w:spacing w:val="-1"/>
        </w:rPr>
        <w:t>附加合同开始生效的日期。此日期载明于保险合同首页上。</w:t>
      </w:r>
    </w:p>
    <w:p>
      <w:pPr>
        <w:pStyle w:val="BodyText"/>
        <w:tabs>
          <w:tab w:pos="2378" w:val="left" w:leader="none"/>
        </w:tabs>
        <w:spacing w:line="225" w:lineRule="auto" w:before="12"/>
        <w:ind w:left="2586" w:right="191" w:hanging="2446"/>
        <w:jc w:val="both"/>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21"/>
          <w:position w:val="2"/>
        </w:rPr>
        <w:t> </w:t>
      </w:r>
      <w:r>
        <w:rPr/>
        <w:t>指被保险人出现本附加合同所界定疾病的前兆或异常的身体状况</w:t>
      </w:r>
      <w:r>
        <w:rPr>
          <w:spacing w:val="-49"/>
        </w:rPr>
        <w:t>，</w:t>
      </w:r>
      <w:r>
        <w:rPr/>
        <w:t>或已经显现</w:t>
      </w:r>
      <w:r>
        <w:rPr>
          <w:spacing w:val="-1"/>
        </w:rPr>
        <w:t>足以使</w:t>
      </w:r>
      <w:r>
        <w:rPr/>
        <w:t>一般人士引起注意并寻求诊断、治疗或护理的病症。</w:t>
      </w:r>
    </w:p>
    <w:p>
      <w:pPr>
        <w:pStyle w:val="BodyText"/>
        <w:tabs>
          <w:tab w:pos="2378" w:val="left" w:leader="none"/>
        </w:tabs>
        <w:spacing w:line="223" w:lineRule="auto" w:before="14"/>
        <w:ind w:left="2586" w:right="191" w:hanging="2446"/>
        <w:jc w:val="both"/>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21"/>
          <w:position w:val="2"/>
        </w:rPr>
        <w:t> </w:t>
      </w:r>
      <w:r>
        <w:rPr/>
        <w:t>是指接受过高等医学教育和长期从事医疗卫生工作</w:t>
      </w:r>
      <w:r>
        <w:rPr>
          <w:spacing w:val="-49"/>
        </w:rPr>
        <w:t>，</w:t>
      </w:r>
      <w:r>
        <w:rPr/>
        <w:t>且为本附加合同所界定的</w:t>
      </w:r>
      <w:r>
        <w:rPr>
          <w:spacing w:val="-1"/>
        </w:rPr>
        <w:t>医院之</w:t>
      </w:r>
      <w:r>
        <w:rPr/>
        <w:t>正式注册医生，但不包括被保险人本人及其直系亲属。</w:t>
      </w:r>
    </w:p>
    <w:p>
      <w:pPr>
        <w:pStyle w:val="BodyText"/>
        <w:spacing w:line="225" w:lineRule="auto" w:before="11"/>
        <w:ind w:left="2586" w:right="191" w:hanging="2446"/>
        <w:jc w:val="both"/>
      </w:pPr>
      <w:r>
        <w:rPr>
          <w:spacing w:val="-16"/>
        </w:rPr>
        <w:t>释义 </w:t>
      </w:r>
      <w:r>
        <w:rPr>
          <w:rFonts w:ascii="Times New Roman" w:eastAsia="Times New Roman"/>
        </w:rPr>
        <w:t>5</w:t>
      </w:r>
      <w:r>
        <w:rPr>
          <w:spacing w:val="1"/>
        </w:rPr>
        <w:t>、意外伤害事故    </w:t>
      </w:r>
      <w:r>
        <w:rPr>
          <w:rFonts w:ascii="Times New Roman" w:eastAsia="Times New Roman"/>
          <w:spacing w:val="5"/>
          <w:position w:val="2"/>
        </w:rPr>
        <w:t>:   </w:t>
      </w:r>
      <w:r>
        <w:rPr>
          <w:spacing w:val="-6"/>
        </w:rPr>
        <w:t>是指外来的、突发的、非本意的、非疾病引起的，并以此为直接且单独的原因</w:t>
      </w:r>
      <w:r>
        <w:rPr>
          <w:spacing w:val="-1"/>
        </w:rPr>
        <w:t>使身体受到伤害的客观事件。</w:t>
      </w:r>
    </w:p>
    <w:p>
      <w:pPr>
        <w:pStyle w:val="BodyText"/>
        <w:tabs>
          <w:tab w:pos="2378" w:val="left" w:leader="none"/>
        </w:tabs>
        <w:spacing w:line="232" w:lineRule="auto" w:before="4"/>
        <w:ind w:left="2586" w:right="189" w:hanging="2446"/>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8"/>
          <w:position w:val="2"/>
        </w:rPr>
        <w:t> </w:t>
      </w:r>
      <w:r>
        <w:rPr/>
        <w:t>指中华人民共和国刑法规定的鸦片、海洛因、甲基苯丙胺（冰毒</w:t>
      </w:r>
      <w:r>
        <w:rPr>
          <w:spacing w:val="-89"/>
        </w:rPr>
        <w:t>）</w:t>
      </w:r>
      <w:r>
        <w:rPr/>
        <w:t>、吗啡、大</w:t>
      </w:r>
      <w:r>
        <w:rPr>
          <w:spacing w:val="2"/>
        </w:rPr>
        <w:t>麻、可卡</w:t>
      </w:r>
      <w:r>
        <w:rPr/>
        <w:t>因</w:t>
      </w:r>
      <w:r>
        <w:rPr>
          <w:spacing w:val="2"/>
        </w:rPr>
        <w:t>以及国</w:t>
      </w:r>
      <w:r>
        <w:rPr/>
        <w:t>家</w:t>
      </w:r>
      <w:r>
        <w:rPr>
          <w:spacing w:val="2"/>
        </w:rPr>
        <w:t>规定管</w:t>
      </w:r>
      <w:r>
        <w:rPr/>
        <w:t>制</w:t>
      </w:r>
      <w:r>
        <w:rPr>
          <w:spacing w:val="2"/>
        </w:rPr>
        <w:t>的其他能</w:t>
      </w:r>
      <w:r>
        <w:rPr/>
        <w:t>够</w:t>
      </w:r>
      <w:r>
        <w:rPr>
          <w:spacing w:val="2"/>
        </w:rPr>
        <w:t>使人形</w:t>
      </w:r>
      <w:r>
        <w:rPr/>
        <w:t>成</w:t>
      </w:r>
      <w:r>
        <w:rPr>
          <w:spacing w:val="2"/>
        </w:rPr>
        <w:t>瘾癖的</w:t>
      </w:r>
      <w:r>
        <w:rPr/>
        <w:t>麻</w:t>
      </w:r>
      <w:r>
        <w:rPr>
          <w:spacing w:val="2"/>
        </w:rPr>
        <w:t>醉药品和</w:t>
      </w:r>
      <w:r>
        <w:rPr/>
        <w:t>精</w:t>
      </w:r>
      <w:r>
        <w:rPr>
          <w:spacing w:val="2"/>
        </w:rPr>
        <w:t>神</w:t>
      </w:r>
      <w:r>
        <w:rPr/>
        <w:t>药品</w:t>
      </w:r>
      <w:r>
        <w:rPr>
          <w:spacing w:val="-49"/>
        </w:rPr>
        <w:t>，</w:t>
      </w:r>
      <w:r>
        <w:rPr/>
        <w:t>但不包括由医生开具并遵医嘱使用的用于治疗疾病的含有毒品成分的处方</w:t>
      </w:r>
      <w:r>
        <w:rPr>
          <w:spacing w:val="-1"/>
        </w:rPr>
        <w:t>药</w:t>
      </w:r>
      <w:r>
        <w:rPr/>
        <w:t>品。</w:t>
      </w:r>
    </w:p>
    <w:p>
      <w:pPr>
        <w:pStyle w:val="BodyText"/>
        <w:spacing w:line="230" w:lineRule="auto" w:before="7"/>
        <w:ind w:left="2586" w:right="191" w:hanging="2446"/>
        <w:jc w:val="both"/>
      </w:pPr>
      <w:r>
        <w:rPr>
          <w:spacing w:val="-16"/>
        </w:rPr>
        <w:t>释义 </w:t>
      </w:r>
      <w:r>
        <w:rPr>
          <w:rFonts w:ascii="Times New Roman" w:eastAsia="Times New Roman"/>
        </w:rPr>
        <w:t>7</w:t>
      </w:r>
      <w:r>
        <w:rPr>
          <w:spacing w:val="1"/>
        </w:rPr>
        <w:t>、酒后驾驶        </w:t>
      </w:r>
      <w:r>
        <w:rPr>
          <w:rFonts w:ascii="Times New Roman" w:eastAsia="Times New Roman"/>
          <w:spacing w:val="5"/>
          <w:position w:val="2"/>
        </w:rPr>
        <w:t>:   </w:t>
      </w:r>
      <w:r>
        <w:rPr>
          <w:spacing w:val="-7"/>
        </w:rPr>
        <w:t>指经检测或鉴定，发生保险事故时车辆驾驶人员每百毫升血液中的酒精含量达</w:t>
      </w:r>
      <w:r>
        <w:rPr>
          <w:spacing w:val="-10"/>
        </w:rPr>
        <w:t>到或超过一定的标准，公安机关交通管理部门依据《道路交通安全法》的规定</w:t>
      </w:r>
      <w:r>
        <w:rPr>
          <w:spacing w:val="-1"/>
        </w:rPr>
        <w:t>认定为饮酒后驾驶或醉酒后驾驶。</w:t>
      </w:r>
    </w:p>
    <w:p>
      <w:pPr>
        <w:pStyle w:val="BodyText"/>
        <w:spacing w:line="249" w:lineRule="exact"/>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86" w:val="left" w:leader="none"/>
        </w:tabs>
        <w:spacing w:line="225" w:lineRule="exact"/>
      </w:pPr>
      <w:r>
        <w:rPr/>
        <w:t>驶</w:t>
        <w:tab/>
      </w:r>
      <w:r>
        <w:rPr>
          <w:rFonts w:ascii="Times New Roman" w:eastAsia="Times New Roman"/>
          <w:spacing w:val="-1"/>
        </w:rPr>
        <w:t>1</w:t>
      </w:r>
      <w:r>
        <w:rPr/>
        <w:t>、没有驾驶证驾驶；</w:t>
      </w:r>
    </w:p>
    <w:p>
      <w:pPr>
        <w:pStyle w:val="BodyText"/>
        <w:spacing w:line="234" w:lineRule="exact"/>
        <w:ind w:left="2586"/>
      </w:pPr>
      <w:r>
        <w:rPr>
          <w:rFonts w:ascii="Times New Roman" w:eastAsia="Times New Roman"/>
        </w:rPr>
        <w:t>2</w:t>
      </w:r>
      <w:r>
        <w:rPr/>
        <w:t>、驾驶与驾驶证准驾车型不相符合的车辆；</w:t>
      </w:r>
    </w:p>
    <w:p>
      <w:pPr>
        <w:pStyle w:val="BodyText"/>
        <w:spacing w:line="234" w:lineRule="exact"/>
        <w:ind w:left="2586"/>
      </w:pPr>
      <w:r>
        <w:rPr>
          <w:rFonts w:ascii="Times New Roman" w:eastAsia="Times New Roman"/>
        </w:rPr>
        <w:t>3</w:t>
      </w:r>
      <w:r>
        <w:rPr/>
        <w:t>、驾驶员持审验不合格的驾驶证驾驶；</w:t>
      </w:r>
    </w:p>
    <w:p>
      <w:pPr>
        <w:pStyle w:val="BodyText"/>
        <w:spacing w:line="233" w:lineRule="exact"/>
        <w:ind w:left="2586"/>
      </w:pPr>
      <w:r>
        <w:rPr>
          <w:rFonts w:ascii="Times New Roman" w:eastAsia="Times New Roman"/>
        </w:rPr>
        <w:t>4</w:t>
      </w:r>
      <w:r>
        <w:rPr/>
        <w:t>、未经公安交通管理部门同意，持未审验的驾驶证驾驶；</w:t>
      </w:r>
    </w:p>
    <w:p>
      <w:pPr>
        <w:pStyle w:val="BodyText"/>
        <w:spacing w:line="223" w:lineRule="auto" w:before="9"/>
        <w:ind w:left="2586" w:right="189"/>
      </w:pPr>
      <w:r>
        <w:rPr>
          <w:rFonts w:ascii="Times New Roman" w:eastAsia="Times New Roman"/>
        </w:rPr>
        <w:t>5</w:t>
      </w:r>
      <w:r>
        <w:rPr/>
        <w:t>、持学习驾驶证学习驾车时，无教练员随车指导，或不按指定时间、路线学习驾车；</w:t>
      </w:r>
    </w:p>
    <w:p>
      <w:pPr>
        <w:pStyle w:val="BodyText"/>
        <w:spacing w:line="249" w:lineRule="exact"/>
        <w:ind w:left="2586"/>
      </w:pPr>
      <w:r>
        <w:rPr>
          <w:rFonts w:ascii="Times New Roman" w:eastAsia="Times New Roman"/>
        </w:rPr>
        <w:t>6</w:t>
      </w:r>
      <w:r>
        <w:rPr/>
        <w:t>、公安交通管理部门规定的其他无有效驾驶证驾驶的情况。</w:t>
      </w:r>
    </w:p>
    <w:p>
      <w:pPr>
        <w:pStyle w:val="BodyText"/>
        <w:tabs>
          <w:tab w:pos="2378" w:val="left" w:leader="none"/>
        </w:tabs>
        <w:spacing w:line="225" w:lineRule="exact"/>
      </w:pPr>
      <w:r>
        <w:rPr/>
        <w:t>释义</w:t>
      </w:r>
      <w:r>
        <w:rPr>
          <w:spacing w:val="-45"/>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21"/>
          <w:position w:val="2"/>
        </w:rPr>
        <w:t> </w:t>
      </w:r>
      <w:r>
        <w:rPr/>
        <w:t>指下列情形之一：</w:t>
      </w:r>
    </w:p>
    <w:p>
      <w:pPr>
        <w:pStyle w:val="BodyText"/>
        <w:spacing w:line="233" w:lineRule="exact"/>
        <w:ind w:left="2586"/>
      </w:pPr>
      <w:r>
        <w:rPr>
          <w:rFonts w:ascii="Times New Roman" w:eastAsia="Times New Roman"/>
        </w:rPr>
        <w:t>1</w:t>
      </w:r>
      <w:r>
        <w:rPr/>
        <w:t>、机动车被依法注销登记的；</w:t>
      </w:r>
    </w:p>
    <w:p>
      <w:pPr>
        <w:pStyle w:val="BodyText"/>
        <w:spacing w:line="234" w:lineRule="exact"/>
        <w:ind w:left="2586"/>
      </w:pPr>
      <w:r>
        <w:rPr>
          <w:rFonts w:ascii="Times New Roman" w:eastAsia="Times New Roman"/>
        </w:rPr>
        <w:t>2</w:t>
      </w:r>
      <w:r>
        <w:rPr/>
        <w:t>、未依法按时进行或通过机动车安全技术检验。</w:t>
      </w:r>
    </w:p>
    <w:p>
      <w:pPr>
        <w:pStyle w:val="BodyText"/>
        <w:tabs>
          <w:tab w:pos="2378" w:val="left" w:leader="none"/>
        </w:tabs>
        <w:spacing w:line="230" w:lineRule="auto" w:before="3"/>
        <w:ind w:right="220"/>
      </w:pPr>
      <w:r>
        <w:rPr/>
        <w:t>释义</w:t>
      </w:r>
      <w:r>
        <w:rPr>
          <w:spacing w:val="-45"/>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17"/>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22"/>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78" w:val="left" w:leader="none"/>
        </w:tabs>
        <w:spacing w:line="223" w:lineRule="auto" w:before="8"/>
        <w:ind w:left="2586" w:right="191" w:hanging="2446"/>
      </w:pPr>
      <w:r>
        <w:rPr/>
        <w:t>释义</w:t>
      </w:r>
      <w:r>
        <w:rPr>
          <w:spacing w:val="-45"/>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w:t>
      </w:r>
      <w:r>
        <w:rPr>
          <w:spacing w:val="-25"/>
        </w:rPr>
        <w:t>质</w:t>
      </w:r>
      <w:r>
        <w:rPr/>
        <w:t>（染色体和基因</w:t>
      </w:r>
      <w:r>
        <w:rPr>
          <w:spacing w:val="-25"/>
        </w:rPr>
        <w:t>）</w:t>
      </w:r>
      <w:r>
        <w:rPr/>
        <w:t>发生突变或畸变所引起的疾</w:t>
      </w:r>
      <w:r>
        <w:rPr>
          <w:spacing w:val="-1"/>
        </w:rPr>
        <w:t>病，通</w:t>
      </w:r>
      <w:r>
        <w:rPr/>
        <w:t>常具有由亲代传至后代的垂直传递的特征。</w:t>
      </w:r>
    </w:p>
    <w:p>
      <w:pPr>
        <w:pStyle w:val="BodyText"/>
        <w:spacing w:line="246" w:lineRule="exact"/>
      </w:pPr>
      <w:r>
        <w:rPr/>
        <w:t>释义 </w:t>
      </w:r>
      <w:r>
        <w:rPr>
          <w:rFonts w:ascii="Times New Roman" w:eastAsia="Times New Roman"/>
        </w:rPr>
        <w:t>13</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540"/>
        </w:sectPr>
      </w:pPr>
    </w:p>
    <w:p>
      <w:pPr>
        <w:pStyle w:val="BodyText"/>
        <w:spacing w:line="219" w:lineRule="exact"/>
      </w:pPr>
      <w:r>
        <w:rPr/>
        <w:t>或染色体异常</w:t>
      </w:r>
    </w:p>
    <w:p>
      <w:pPr>
        <w:pStyle w:val="BodyText"/>
        <w:spacing w:line="225" w:lineRule="auto"/>
        <w:ind w:right="100"/>
      </w:pPr>
      <w:r>
        <w:rPr/>
        <w:br w:type="column"/>
      </w:r>
      <w:r>
        <w:rPr>
          <w:spacing w:val="-3"/>
        </w:rPr>
        <w:t>色体异常依照世界卫生组织《疾病和有关健康问题的国际统计分类</w:t>
      </w:r>
      <w:r>
        <w:rPr>
          <w:spacing w:val="-120"/>
        </w:rPr>
        <w:t>》</w:t>
      </w:r>
      <w:r>
        <w:rPr/>
        <w:t>（</w:t>
      </w:r>
      <w:r>
        <w:rPr>
          <w:rFonts w:ascii="Times New Roman" w:eastAsia="Times New Roman"/>
        </w:rPr>
        <w:t>ICD-10</w:t>
      </w:r>
      <w:r>
        <w:rPr/>
        <w:t>） </w:t>
      </w:r>
      <w:r>
        <w:rPr>
          <w:spacing w:val="-1"/>
        </w:rPr>
        <w:t>确定。</w:t>
      </w:r>
    </w:p>
    <w:p>
      <w:pPr>
        <w:spacing w:after="0" w:line="225" w:lineRule="auto"/>
        <w:sectPr>
          <w:type w:val="continuous"/>
          <w:pgSz w:w="11960" w:h="16850"/>
          <w:pgMar w:top="280" w:bottom="1200" w:left="1560" w:right="1540"/>
          <w:cols w:num="2" w:equalWidth="0">
            <w:col w:w="1222" w:space="1223"/>
            <w:col w:w="6415"/>
          </w:cols>
        </w:sectPr>
      </w:pPr>
    </w:p>
    <w:p>
      <w:pPr>
        <w:pStyle w:val="BodyText"/>
        <w:spacing w:line="248" w:lineRule="exact"/>
      </w:pPr>
      <w:r>
        <w:rPr/>
        <w:t>释义 </w:t>
      </w:r>
      <w:r>
        <w:rPr>
          <w:rFonts w:ascii="Times New Roman" w:eastAsia="Times New Roman"/>
        </w:rPr>
        <w:t>14</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6" w:val="left" w:leader="none"/>
        </w:tabs>
        <w:spacing w:line="236" w:lineRule="exact" w:before="5"/>
        <w:ind w:left="2586" w:right="191" w:hanging="2446"/>
      </w:pPr>
      <w:r>
        <w:rPr/>
        <w:t>医院</w:t>
        <w:tab/>
      </w:r>
      <w:r>
        <w:rPr>
          <w:spacing w:val="-1"/>
        </w:rPr>
        <w:t>权利</w:t>
      </w:r>
      <w:r>
        <w:rPr>
          <w:spacing w:val="-25"/>
        </w:rPr>
        <w:t>。</w:t>
      </w:r>
      <w:r>
        <w:rPr/>
        <w:t>我们指定的医院范围将以最新调整的医院名单范围为准</w:t>
      </w:r>
      <w:r>
        <w:rPr>
          <w:spacing w:val="-25"/>
        </w:rPr>
        <w:t>，</w:t>
      </w:r>
      <w:r>
        <w:rPr/>
        <w:t>该名单可通过</w:t>
      </w:r>
      <w:r>
        <w:rPr>
          <w:spacing w:val="-1"/>
        </w:rPr>
        <w:t>本</w:t>
      </w:r>
      <w:r>
        <w:rPr/>
        <w:t>公司网站和客户服务电话查询。</w:t>
      </w:r>
    </w:p>
    <w:p>
      <w:pPr>
        <w:pStyle w:val="BodyText"/>
        <w:spacing w:line="223" w:lineRule="auto"/>
        <w:ind w:left="2586" w:right="189"/>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19"/>
        <w:ind w:left="2586" w:right="189"/>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3" w:lineRule="auto" w:before="14"/>
        <w:ind w:left="2586" w:right="189"/>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ind w:left="2586" w:right="191"/>
      </w:pPr>
      <w:r>
        <w:rPr/>
        <w:t>5、如果本保险合同中无指定医院名单批注，被保险人就诊须选择我们认可的医院。其标准须符合本附加合同中对“医院”的释义。</w:t>
      </w:r>
    </w:p>
    <w:p>
      <w:pPr>
        <w:pStyle w:val="BodyText"/>
        <w:tabs>
          <w:tab w:pos="2378" w:val="left" w:leader="none"/>
        </w:tabs>
        <w:spacing w:line="235" w:lineRule="auto" w:before="5"/>
        <w:ind w:left="2586" w:right="189" w:hanging="2446"/>
      </w:pPr>
      <w:r>
        <w:rPr/>
        <w:t>释义</w:t>
      </w:r>
      <w:r>
        <w:rPr>
          <w:spacing w:val="-45"/>
        </w:rPr>
        <w:t> </w:t>
      </w:r>
      <w:r>
        <w:rPr>
          <w:rFonts w:ascii="Times New Roman" w:eastAsia="Times New Roman"/>
        </w:rPr>
        <w:t>15</w:t>
      </w:r>
      <w:r>
        <w:rPr/>
        <w:t>、医院</w:t>
        <w:tab/>
      </w:r>
      <w:r>
        <w:rPr>
          <w:rFonts w:ascii="Times New Roman" w:eastAsia="Times New Roman"/>
          <w:position w:val="2"/>
        </w:rPr>
        <w:t>:   </w:t>
      </w:r>
      <w:r>
        <w:rPr>
          <w:rFonts w:ascii="Times New Roman" w:eastAsia="Times New Roman"/>
          <w:spacing w:val="12"/>
          <w:position w:val="2"/>
        </w:rPr>
        <w:t> </w:t>
      </w:r>
      <w:r>
        <w:rPr>
          <w:spacing w:val="2"/>
        </w:rPr>
        <w:t>是指经中</w:t>
      </w:r>
      <w:r>
        <w:rPr/>
        <w:t>华</w:t>
      </w:r>
      <w:r>
        <w:rPr>
          <w:spacing w:val="2"/>
        </w:rPr>
        <w:t>人民共</w:t>
      </w:r>
      <w:r>
        <w:rPr/>
        <w:t>和</w:t>
      </w:r>
      <w:r>
        <w:rPr>
          <w:spacing w:val="2"/>
        </w:rPr>
        <w:t>国卫生</w:t>
      </w:r>
      <w:r>
        <w:rPr/>
        <w:t>部</w:t>
      </w:r>
      <w:r>
        <w:rPr>
          <w:spacing w:val="2"/>
        </w:rPr>
        <w:t>门正式评</w:t>
      </w:r>
      <w:r>
        <w:rPr/>
        <w:t>定</w:t>
      </w:r>
      <w:r>
        <w:rPr>
          <w:spacing w:val="2"/>
        </w:rPr>
        <w:t>的二级或二级以</w:t>
      </w:r>
      <w:r>
        <w:rPr/>
        <w:t>上</w:t>
      </w:r>
      <w:r>
        <w:rPr>
          <w:spacing w:val="2"/>
        </w:rPr>
        <w:t>的综合性</w:t>
      </w:r>
      <w:r>
        <w:rPr/>
        <w:t>医</w:t>
      </w:r>
      <w:r>
        <w:rPr>
          <w:spacing w:val="2"/>
        </w:rPr>
        <w:t>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10"/>
        </w:rPr>
        <w:t>、</w:t>
      </w:r>
      <w:r>
        <w:rPr/>
        <w:t>养老等非以直接诊治病人为目的的医疗机构</w:t>
      </w:r>
      <w:r>
        <w:rPr>
          <w:spacing w:val="-49"/>
        </w:rPr>
        <w:t>。</w:t>
      </w:r>
      <w:r>
        <w:rPr/>
        <w:t>该医院必须符合国家有关医院管理规则设置标准的医疗设备，且全天二十四小时有合格医师及护士驻院提供医疗和护理服务。</w:t>
      </w:r>
      <w:r>
        <w:rPr>
          <w:spacing w:val="-1"/>
        </w:rPr>
        <w:t>若</w:t>
      </w:r>
      <w:r>
        <w:rPr/>
        <w:t>国家有关部门对于医院的评级标准有更改或取消</w:t>
      </w:r>
      <w:r>
        <w:rPr>
          <w:spacing w:val="-49"/>
        </w:rPr>
        <w:t>，</w:t>
      </w:r>
      <w:r>
        <w:rPr/>
        <w:t>我们保留调整医院定义的</w:t>
      </w:r>
    </w:p>
    <w:p>
      <w:pPr>
        <w:spacing w:after="0" w:line="235" w:lineRule="auto"/>
        <w:sectPr>
          <w:type w:val="continuous"/>
          <w:pgSz w:w="11960" w:h="16850"/>
          <w:pgMar w:top="280" w:bottom="1200" w:left="1560" w:right="1540"/>
        </w:sectPr>
      </w:pPr>
    </w:p>
    <w:p>
      <w:pPr>
        <w:pStyle w:val="BodyText"/>
        <w:ind w:left="0"/>
        <w:rPr>
          <w:sz w:val="20"/>
        </w:rPr>
      </w:pPr>
    </w:p>
    <w:p>
      <w:pPr>
        <w:pStyle w:val="BodyText"/>
        <w:spacing w:before="3"/>
        <w:ind w:left="0"/>
        <w:rPr>
          <w:sz w:val="21"/>
        </w:rPr>
      </w:pPr>
    </w:p>
    <w:p>
      <w:pPr>
        <w:pStyle w:val="BodyText"/>
        <w:spacing w:before="44"/>
        <w:ind w:left="2586"/>
      </w:pPr>
      <w:r>
        <w:rPr/>
        <w:t>权利。</w:t>
      </w:r>
    </w:p>
    <w:p>
      <w:pPr>
        <w:pStyle w:val="BodyText"/>
        <w:tabs>
          <w:tab w:pos="2378" w:val="left" w:leader="none"/>
        </w:tabs>
        <w:spacing w:line="230" w:lineRule="auto" w:before="13"/>
        <w:ind w:right="2483"/>
      </w:pPr>
      <w:r>
        <w:rPr/>
        <w:t>释义</w:t>
      </w:r>
      <w:r>
        <w:rPr>
          <w:spacing w:val="-45"/>
        </w:rPr>
        <w:t> </w:t>
      </w:r>
      <w:r>
        <w:rPr>
          <w:rFonts w:ascii="Times New Roman" w:eastAsia="Times New Roman"/>
        </w:rPr>
        <w:t>16</w:t>
      </w:r>
      <w:r>
        <w:rPr/>
        <w:t>、保险事故</w:t>
        <w:tab/>
      </w:r>
      <w:r>
        <w:rPr>
          <w:rFonts w:ascii="Times New Roman" w:eastAsia="Times New Roman"/>
          <w:position w:val="2"/>
        </w:rPr>
        <w:t>:  </w:t>
      </w:r>
      <w:r>
        <w:rPr>
          <w:rFonts w:ascii="Times New Roman" w:eastAsia="Times New Roman"/>
          <w:spacing w:val="21"/>
          <w:position w:val="2"/>
        </w:rPr>
        <w:t> </w:t>
      </w:r>
      <w:r>
        <w:rPr/>
        <w:t>是指本附加合同约定的保险责任范围内的事故。释义</w:t>
      </w:r>
      <w:r>
        <w:rPr>
          <w:spacing w:val="-45"/>
        </w:rPr>
        <w:t> </w:t>
      </w:r>
      <w:r>
        <w:rPr>
          <w:rFonts w:ascii="Times New Roman" w:eastAsia="Times New Roman"/>
        </w:rPr>
        <w:t>17</w:t>
      </w:r>
      <w:r>
        <w:rPr/>
        <w:t>、保险合同周年日</w:t>
        <w:tab/>
      </w:r>
      <w:r>
        <w:rPr>
          <w:rFonts w:ascii="Times New Roman" w:eastAsia="Times New Roman"/>
          <w:position w:val="2"/>
        </w:rPr>
        <w:t>:  </w:t>
      </w:r>
      <w:r>
        <w:rPr>
          <w:rFonts w:ascii="Times New Roman" w:eastAsia="Times New Roman"/>
          <w:spacing w:val="21"/>
          <w:position w:val="2"/>
        </w:rPr>
        <w:t> </w:t>
      </w:r>
      <w:r>
        <w:rPr/>
        <w:t>是指主合同生效日起的周年日期。</w:t>
      </w:r>
    </w:p>
    <w:p>
      <w:pPr>
        <w:pStyle w:val="BodyText"/>
        <w:spacing w:line="223" w:lineRule="auto" w:before="7"/>
        <w:ind w:left="2586" w:right="191" w:hanging="2446"/>
        <w:jc w:val="both"/>
      </w:pPr>
      <w:r>
        <w:rPr>
          <w:spacing w:val="-15"/>
        </w:rPr>
        <w:t>释义 </w:t>
      </w:r>
      <w:r>
        <w:rPr>
          <w:rFonts w:ascii="Times New Roman" w:eastAsia="Times New Roman"/>
        </w:rPr>
        <w:t>18</w:t>
      </w:r>
      <w:r>
        <w:rPr>
          <w:spacing w:val="1"/>
        </w:rPr>
        <w:t>、现金价值       </w:t>
      </w:r>
      <w:r>
        <w:rPr>
          <w:rFonts w:ascii="Times New Roman" w:eastAsia="Times New Roman"/>
          <w:spacing w:val="5"/>
          <w:position w:val="2"/>
        </w:rPr>
        <w:t>:   </w:t>
      </w:r>
      <w:r>
        <w:rPr>
          <w:spacing w:val="-4"/>
        </w:rPr>
        <w:t>指保险单所具有的价值，通常体现为解除合同时，根据精算原理计算的，由本</w:t>
      </w:r>
      <w:r>
        <w:rPr>
          <w:spacing w:val="-1"/>
        </w:rPr>
        <w:t>公司退还的那部分金额。</w:t>
      </w:r>
    </w:p>
    <w:p>
      <w:pPr>
        <w:pStyle w:val="BodyText"/>
        <w:spacing w:line="316" w:lineRule="auto" w:before="35"/>
        <w:ind w:right="208"/>
      </w:pPr>
      <w:r>
        <w:rPr/>
        <w:t>重大疾病是指下列任何一种疾病，被保险人发生符合以下疾病定义所述条件的疾病，应当由专科医生明确诊断。</w:t>
      </w:r>
    </w:p>
    <w:p>
      <w:pPr>
        <w:pStyle w:val="BodyText"/>
        <w:tabs>
          <w:tab w:pos="2380" w:val="left" w:leader="none"/>
        </w:tabs>
        <w:spacing w:line="223" w:lineRule="exact"/>
        <w:ind w:left="2579" w:hanging="2439"/>
      </w:pPr>
      <w:r>
        <w:rPr>
          <w:rFonts w:ascii="Times New Roman" w:eastAsia="Times New Roman"/>
        </w:rPr>
        <w:t>1</w:t>
      </w:r>
      <w:r>
        <w:rPr/>
        <w:t>、恶性肿瘤</w:t>
        <w:tab/>
        <w:t>：</w:t>
      </w:r>
      <w:r>
        <w:rPr>
          <w:spacing w:val="-73"/>
        </w:rPr>
        <w:t> </w:t>
      </w:r>
      <w:r>
        <w:rPr/>
        <w:t>指恶性细胞不受控制的进行性增长和扩散</w:t>
      </w:r>
      <w:r>
        <w:rPr>
          <w:spacing w:val="-20"/>
        </w:rPr>
        <w:t>，</w:t>
      </w:r>
      <w:r>
        <w:rPr/>
        <w:t>浸润和破坏周围正常组织</w:t>
      </w:r>
      <w:r>
        <w:rPr>
          <w:spacing w:val="-20"/>
        </w:rPr>
        <w:t>，</w:t>
      </w:r>
      <w:r>
        <w:rPr/>
        <w:t>可以经</w:t>
      </w:r>
    </w:p>
    <w:p>
      <w:pPr>
        <w:pStyle w:val="BodyText"/>
        <w:spacing w:line="237" w:lineRule="auto"/>
        <w:ind w:left="2579" w:right="100"/>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3" w:lineRule="auto" w:before="19"/>
        <w:ind w:left="2942" w:right="3750" w:hanging="363"/>
      </w:pPr>
      <w:r>
        <w:rPr/>
        <w:t>（</w:t>
      </w:r>
      <w:r>
        <w:rPr>
          <w:rFonts w:ascii="Times New Roman" w:eastAsia="Times New Roman"/>
        </w:rPr>
        <w:t>ICD-10</w:t>
      </w:r>
      <w:r>
        <w:rPr/>
        <w:t>）的恶性肿瘤范畴。下列疾病不在保障范围内：</w:t>
      </w:r>
    </w:p>
    <w:p>
      <w:pPr>
        <w:pStyle w:val="BodyText"/>
        <w:spacing w:line="241" w:lineRule="exact"/>
        <w:ind w:left="2579"/>
      </w:pPr>
      <w:r>
        <w:rPr/>
        <w:t>（</w:t>
      </w:r>
      <w:r>
        <w:rPr>
          <w:rFonts w:ascii="Times New Roman" w:eastAsia="Times New Roman"/>
        </w:rPr>
        <w:t>1</w:t>
      </w:r>
      <w:r>
        <w:rPr/>
        <w:t>）原位癌；</w:t>
      </w:r>
    </w:p>
    <w:p>
      <w:pPr>
        <w:pStyle w:val="BodyText"/>
        <w:spacing w:line="233" w:lineRule="exact"/>
        <w:ind w:left="2579"/>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3" w:lineRule="exact"/>
        <w:ind w:left="2579"/>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79"/>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79"/>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35" w:lineRule="exact"/>
        <w:ind w:left="2579"/>
      </w:pPr>
      <w:r>
        <w:rPr/>
        <w:t>（</w:t>
      </w:r>
      <w:r>
        <w:rPr>
          <w:rFonts w:ascii="Times New Roman" w:eastAsia="Times New Roman"/>
        </w:rPr>
        <w:t>6</w:t>
      </w:r>
      <w:r>
        <w:rPr/>
        <w:t>）感染艾滋病病毒或患艾滋病期间所患恶性肿瘤。</w:t>
      </w:r>
    </w:p>
    <w:p>
      <w:pPr>
        <w:pStyle w:val="BodyText"/>
        <w:spacing w:line="223" w:lineRule="auto" w:before="11"/>
        <w:ind w:left="2579" w:right="191" w:hanging="2439"/>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39" w:lineRule="exact"/>
        <w:ind w:left="2579"/>
      </w:pPr>
      <w:r>
        <w:rPr/>
        <w:t>（</w:t>
      </w:r>
      <w:r>
        <w:rPr>
          <w:rFonts w:ascii="Times New Roman" w:eastAsia="Times New Roman"/>
        </w:rPr>
        <w:t>1</w:t>
      </w:r>
      <w:r>
        <w:rPr/>
        <w:t>）典型临床表现，例如急性胸痛等；</w:t>
      </w:r>
    </w:p>
    <w:p>
      <w:pPr>
        <w:pStyle w:val="BodyText"/>
        <w:spacing w:line="234" w:lineRule="exact"/>
        <w:ind w:left="2579"/>
      </w:pPr>
      <w:r>
        <w:rPr/>
        <w:t>（</w:t>
      </w:r>
      <w:r>
        <w:rPr>
          <w:rFonts w:ascii="Times New Roman" w:eastAsia="Times New Roman"/>
        </w:rPr>
        <w:t>2</w:t>
      </w:r>
      <w:r>
        <w:rPr/>
        <w:t>）新近的心电图改变提示急性心肌梗塞；</w:t>
      </w:r>
    </w:p>
    <w:p>
      <w:pPr>
        <w:pStyle w:val="BodyText"/>
        <w:spacing w:line="223" w:lineRule="auto" w:before="8"/>
        <w:ind w:left="2579" w:right="189"/>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2579"/>
        <w:rPr>
          <w:rFonts w:ascii="Times New Roman" w:eastAsia="Times New Roman"/>
        </w:rPr>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p>
    <w:p>
      <w:pPr>
        <w:pStyle w:val="BodyText"/>
        <w:spacing w:line="223" w:lineRule="auto" w:before="69"/>
        <w:ind w:left="2579" w:right="189" w:hanging="2439"/>
        <w:jc w:val="both"/>
      </w:pPr>
      <w:r>
        <w:rPr>
          <w:rFonts w:ascii="Times New Roman" w:eastAsia="Times New Roman"/>
        </w:rPr>
        <w:t>3</w:t>
      </w:r>
      <w:r>
        <w:rPr>
          <w:spacing w:val="-3"/>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79"/>
      </w:pPr>
      <w:r>
        <w:rPr/>
        <w:t>（</w:t>
      </w:r>
      <w:r>
        <w:rPr>
          <w:rFonts w:ascii="Times New Roman" w:eastAsia="Times New Roman"/>
        </w:rPr>
        <w:t>1</w:t>
      </w:r>
      <w:r>
        <w:rPr/>
        <w:t>）一肢或一肢以上肢体机能完全丧失；</w:t>
      </w:r>
    </w:p>
    <w:p>
      <w:pPr>
        <w:pStyle w:val="BodyText"/>
        <w:spacing w:line="234" w:lineRule="exact"/>
        <w:ind w:left="2579"/>
      </w:pPr>
      <w:r>
        <w:rPr/>
        <w:t>（</w:t>
      </w:r>
      <w:r>
        <w:rPr>
          <w:rFonts w:ascii="Times New Roman" w:eastAsia="Times New Roman"/>
        </w:rPr>
        <w:t>2</w:t>
      </w:r>
      <w:r>
        <w:rPr/>
        <w:t>）语言能力或咀嚼吞咽能力完全丧失；</w:t>
      </w:r>
    </w:p>
    <w:p>
      <w:pPr>
        <w:pStyle w:val="BodyText"/>
        <w:spacing w:line="223" w:lineRule="auto" w:before="9"/>
        <w:ind w:left="2579" w:right="189"/>
      </w:pPr>
      <w:r>
        <w:rPr/>
        <w:t>（</w:t>
      </w:r>
      <w:r>
        <w:rPr>
          <w:rFonts w:ascii="Times New Roman" w:eastAsia="Times New Roman"/>
        </w:rPr>
        <w:t>3</w:t>
      </w:r>
      <w:r>
        <w:rPr/>
        <w:t>）自主生活能力完全丧失，无法独立完成六项基本日常生活活动中的三项或三项以上。</w:t>
      </w:r>
    </w:p>
    <w:p>
      <w:pPr>
        <w:pStyle w:val="BodyText"/>
        <w:spacing w:before="71"/>
      </w:pPr>
      <w:r>
        <w:rPr>
          <w:rFonts w:ascii="Times New Roman" w:eastAsia="Times New Roman"/>
        </w:rPr>
        <w:t>4</w:t>
      </w:r>
      <w:r>
        <w:rPr/>
        <w:t>、重大器官移植术或造血干： 重大器官移植术，指因相应器官功能衰竭，已经实施了肾脏、肝脏、心脏或肺</w:t>
      </w:r>
    </w:p>
    <w:p>
      <w:pPr>
        <w:spacing w:after="0"/>
        <w:sectPr>
          <w:pgSz w:w="11960" w:h="16850"/>
          <w:pgMar w:header="897" w:footer="1001" w:top="1080" w:bottom="1200" w:left="1560" w:right="1540"/>
        </w:sectPr>
      </w:pPr>
    </w:p>
    <w:p>
      <w:pPr>
        <w:pStyle w:val="BodyText"/>
        <w:spacing w:line="219" w:lineRule="exact"/>
      </w:pPr>
      <w:r>
        <w:rPr/>
        <w:t>细胞移植术</w:t>
      </w:r>
    </w:p>
    <w:p>
      <w:pPr>
        <w:pStyle w:val="BodyText"/>
        <w:spacing w:line="217" w:lineRule="exact"/>
      </w:pPr>
      <w:r>
        <w:rPr/>
        <w:br w:type="column"/>
      </w:r>
      <w:r>
        <w:rPr/>
        <w:t>脏的异体移植手术。</w:t>
      </w:r>
    </w:p>
    <w:p>
      <w:pPr>
        <w:pStyle w:val="BodyText"/>
        <w:spacing w:line="237" w:lineRule="auto" w:before="1"/>
        <w:ind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540"/>
          <w:cols w:num="2" w:equalWidth="0">
            <w:col w:w="1042" w:space="1396"/>
            <w:col w:w="6422"/>
          </w:cols>
        </w:sectPr>
      </w:pPr>
    </w:p>
    <w:p>
      <w:pPr>
        <w:pStyle w:val="BodyText"/>
        <w:spacing w:before="79"/>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60" w:h="16850"/>
          <w:pgMar w:top="280" w:bottom="1200" w:left="1560" w:right="1540"/>
        </w:sectPr>
      </w:pPr>
    </w:p>
    <w:p>
      <w:pPr>
        <w:pStyle w:val="BodyText"/>
        <w:spacing w:line="219" w:lineRule="exact"/>
      </w:pPr>
      <w:r>
        <w:rPr/>
        <w:t>状动脉旁路移植术）</w:t>
      </w:r>
    </w:p>
    <w:p>
      <w:pPr>
        <w:spacing w:line="218" w:lineRule="exact" w:before="0"/>
        <w:ind w:left="141" w:right="0" w:firstLine="0"/>
        <w:jc w:val="left"/>
        <w:rPr>
          <w:sz w:val="18"/>
        </w:rPr>
      </w:pPr>
      <w:r>
        <w:rPr/>
        <w:br w:type="column"/>
      </w:r>
      <w:r>
        <w:rPr>
          <w:sz w:val="18"/>
        </w:rPr>
        <w:t>术。</w:t>
      </w:r>
    </w:p>
    <w:p>
      <w:pPr>
        <w:pStyle w:val="BodyText"/>
        <w:ind w:right="134"/>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540"/>
          <w:cols w:num="2" w:equalWidth="0">
            <w:col w:w="1762" w:space="676"/>
            <w:col w:w="6422"/>
          </w:cols>
        </w:sectPr>
      </w:pPr>
    </w:p>
    <w:p>
      <w:pPr>
        <w:pStyle w:val="BodyText"/>
        <w:spacing w:before="39"/>
      </w:pPr>
      <w:r>
        <w:rPr>
          <w:rFonts w:ascii="Times New Roman" w:eastAsia="Times New Roman"/>
        </w:rPr>
        <w:t>6</w:t>
      </w:r>
      <w:r>
        <w:rPr>
          <w:spacing w:val="-3"/>
        </w:rPr>
        <w:t>、终末期肾病</w:t>
      </w:r>
      <w:r>
        <w:rPr/>
        <w:t>（</w:t>
      </w:r>
      <w:r>
        <w:rPr>
          <w:spacing w:val="-17"/>
        </w:rPr>
        <w:t>或称慢性肾： 指双肾功能慢性不可逆性衰竭，达到尿毒症期，经诊断后已经进行了至少 </w:t>
      </w:r>
      <w:r>
        <w:rPr>
          <w:rFonts w:ascii="Times New Roman" w:eastAsia="Times New Roman"/>
        </w:rPr>
        <w:t>90 </w:t>
      </w:r>
      <w:r>
        <w:rPr/>
        <w:t>天</w:t>
      </w:r>
    </w:p>
    <w:p>
      <w:pPr>
        <w:pStyle w:val="BodyText"/>
        <w:tabs>
          <w:tab w:pos="2579" w:val="left" w:leader="none"/>
        </w:tabs>
        <w:spacing w:line="219" w:lineRule="exact"/>
      </w:pPr>
      <w:r>
        <w:rPr/>
        <w:t>功能衰竭尿毒症期）</w:t>
        <w:tab/>
      </w:r>
      <w:r>
        <w:rPr>
          <w:spacing w:val="-1"/>
        </w:rPr>
        <w:t>的</w:t>
      </w:r>
      <w:r>
        <w:rPr/>
        <w:t>规律性透析治疗或实施了肾脏移植手术。</w:t>
      </w:r>
    </w:p>
    <w:p>
      <w:pPr>
        <w:pStyle w:val="BodyText"/>
        <w:tabs>
          <w:tab w:pos="2380" w:val="left" w:leader="none"/>
        </w:tabs>
        <w:spacing w:line="223" w:lineRule="auto" w:before="17"/>
        <w:ind w:left="2579" w:right="191" w:hanging="2439"/>
      </w:pPr>
      <w:r>
        <w:rPr>
          <w:rFonts w:ascii="Times New Roman" w:eastAsia="Times New Roman"/>
        </w:rPr>
        <w:t>7</w:t>
      </w:r>
      <w:r>
        <w:rPr/>
        <w:t>、多个肢体缺失</w:t>
        <w:tab/>
        <w:t>：</w:t>
      </w:r>
      <w:r>
        <w:rPr>
          <w:spacing w:val="-7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225" w:lineRule="auto" w:before="57"/>
        <w:ind w:left="2579" w:right="151" w:hanging="2439"/>
      </w:pPr>
      <w:r>
        <w:rPr>
          <w:rFonts w:ascii="Times New Roman" w:eastAsia="Times New Roman"/>
        </w:rPr>
        <w:t>8</w:t>
      </w:r>
      <w:r>
        <w:rPr/>
        <w:t>、急性或亚急性重症肝炎 ： 指因肝炎病毒感染引起肝脏组织弥漫性坏死，导致急性肝功能衰竭，且经血清学或病毒学检查证实，并须满足下列全部条件：</w:t>
      </w:r>
    </w:p>
    <w:p>
      <w:pPr>
        <w:pStyle w:val="BodyText"/>
        <w:spacing w:line="238" w:lineRule="exact"/>
        <w:ind w:left="2579"/>
      </w:pPr>
      <w:r>
        <w:rPr/>
        <w:t>（</w:t>
      </w:r>
      <w:r>
        <w:rPr>
          <w:rFonts w:ascii="Times New Roman" w:eastAsia="Times New Roman"/>
        </w:rPr>
        <w:t>1</w:t>
      </w:r>
      <w:r>
        <w:rPr/>
        <w:t>）重度黄疸或黄疸迅速加重；</w:t>
      </w:r>
    </w:p>
    <w:p>
      <w:pPr>
        <w:pStyle w:val="BodyText"/>
        <w:spacing w:line="234" w:lineRule="exact"/>
        <w:ind w:left="2579"/>
      </w:pPr>
      <w:r>
        <w:rPr/>
        <w:t>（</w:t>
      </w:r>
      <w:r>
        <w:rPr>
          <w:rFonts w:ascii="Times New Roman" w:eastAsia="Times New Roman"/>
        </w:rPr>
        <w:t>2</w:t>
      </w:r>
      <w:r>
        <w:rPr/>
        <w:t>）肝性脑病；</w:t>
      </w:r>
    </w:p>
    <w:p>
      <w:pPr>
        <w:pStyle w:val="BodyText"/>
        <w:spacing w:line="234" w:lineRule="exact"/>
        <w:ind w:left="2579"/>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79"/>
      </w:pPr>
      <w:r>
        <w:rPr/>
        <w:t>（</w:t>
      </w:r>
      <w:r>
        <w:rPr>
          <w:rFonts w:ascii="Times New Roman" w:eastAsia="Times New Roman"/>
        </w:rPr>
        <w:t>4</w:t>
      </w:r>
      <w:r>
        <w:rPr/>
        <w:t>）肝功能指标进行性恶化。</w:t>
      </w:r>
    </w:p>
    <w:p>
      <w:pPr>
        <w:spacing w:after="0" w:line="241" w:lineRule="exact"/>
        <w:sectPr>
          <w:type w:val="continuous"/>
          <w:pgSz w:w="11960" w:h="16850"/>
          <w:pgMar w:top="280" w:bottom="1200" w:left="1560" w:right="1540"/>
        </w:sectPr>
      </w:pPr>
    </w:p>
    <w:p>
      <w:pPr>
        <w:pStyle w:val="BodyText"/>
        <w:ind w:left="0"/>
        <w:rPr>
          <w:sz w:val="20"/>
        </w:rPr>
      </w:pPr>
    </w:p>
    <w:p>
      <w:pPr>
        <w:pStyle w:val="BodyText"/>
        <w:spacing w:before="10"/>
        <w:ind w:left="0"/>
        <w:rPr>
          <w:sz w:val="20"/>
        </w:rPr>
      </w:pPr>
    </w:p>
    <w:p>
      <w:pPr>
        <w:pStyle w:val="BodyText"/>
        <w:tabs>
          <w:tab w:pos="2380" w:val="left" w:leader="none"/>
        </w:tabs>
        <w:spacing w:line="225" w:lineRule="auto" w:before="65"/>
        <w:ind w:left="2579" w:right="189" w:hanging="2439"/>
        <w:jc w:val="both"/>
      </w:pPr>
      <w:r>
        <w:rPr>
          <w:rFonts w:ascii="Times New Roman" w:eastAsia="Times New Roman"/>
        </w:rPr>
        <w:t>9</w:t>
      </w:r>
      <w:r>
        <w:rPr/>
        <w:t>、良性脑肿瘤</w:t>
        <w:tab/>
        <w:t>：</w:t>
      </w:r>
      <w:r>
        <w:rPr>
          <w:spacing w:val="-71"/>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并危及生</w:t>
      </w:r>
      <w:r>
        <w:rPr>
          <w:spacing w:val="-1"/>
          <w:w w:val="100"/>
        </w:rPr>
        <w:t>命。</w:t>
      </w:r>
      <w:r>
        <w:rPr>
          <w:w w:val="100"/>
        </w:rPr>
        <w:t>须由头颅断层扫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38" w:lineRule="exact"/>
        <w:ind w:left="2579"/>
      </w:pPr>
      <w:r>
        <w:rPr/>
        <w:t>（</w:t>
      </w:r>
      <w:r>
        <w:rPr>
          <w:rFonts w:ascii="Times New Roman" w:eastAsia="Times New Roman"/>
        </w:rPr>
        <w:t>1</w:t>
      </w:r>
      <w:r>
        <w:rPr/>
        <w:t>）实际实施了开颅进行的脑肿瘤完全切除或部分切除的手术；</w:t>
      </w:r>
    </w:p>
    <w:p>
      <w:pPr>
        <w:pStyle w:val="BodyText"/>
        <w:spacing w:line="233" w:lineRule="exact"/>
        <w:ind w:left="2579"/>
      </w:pPr>
      <w:r>
        <w:rPr/>
        <w:t>（</w:t>
      </w:r>
      <w:r>
        <w:rPr>
          <w:rFonts w:ascii="Times New Roman" w:eastAsia="Times New Roman"/>
        </w:rPr>
        <w:t>2</w:t>
      </w:r>
      <w:r>
        <w:rPr/>
        <w:t>）实际实施了对脑肿瘤进行的放射治疗。</w:t>
      </w:r>
    </w:p>
    <w:p>
      <w:pPr>
        <w:pStyle w:val="BodyText"/>
        <w:spacing w:line="227" w:lineRule="exact"/>
        <w:ind w:left="2579"/>
      </w:pPr>
      <w:r>
        <w:rPr/>
        <w:t>脑垂体瘤、脑囊肿、脑血管性疾病不在保障范围内。</w:t>
      </w:r>
    </w:p>
    <w:p>
      <w:pPr>
        <w:pStyle w:val="BodyText"/>
        <w:spacing w:before="60"/>
      </w:pPr>
      <w:r>
        <w:rPr>
          <w:rFonts w:ascii="Times New Roman" w:eastAsia="Times New Roman"/>
        </w:rPr>
        <w:t>10</w:t>
      </w:r>
      <w:r>
        <w:rPr/>
        <w:t>、慢性肝功能衰竭失代偿： 指因慢性肝脏疾病导致肝功能衰竭。须满足下列全部条件：</w:t>
      </w:r>
    </w:p>
    <w:p>
      <w:pPr>
        <w:pStyle w:val="BodyText"/>
        <w:tabs>
          <w:tab w:pos="2579" w:val="left" w:leader="none"/>
        </w:tabs>
        <w:spacing w:line="227" w:lineRule="exact"/>
      </w:pPr>
      <w:r>
        <w:rPr/>
        <w:t>期</w:t>
        <w:tab/>
      </w:r>
      <w:r>
        <w:rPr>
          <w:spacing w:val="-1"/>
        </w:rPr>
        <w:t>（</w:t>
      </w:r>
      <w:r>
        <w:rPr>
          <w:rFonts w:ascii="Times New Roman" w:eastAsia="Times New Roman"/>
          <w:spacing w:val="-1"/>
        </w:rPr>
        <w:t>1</w:t>
      </w:r>
      <w:r>
        <w:rPr>
          <w:spacing w:val="-1"/>
        </w:rPr>
        <w:t>）</w:t>
      </w:r>
      <w:r>
        <w:rPr/>
        <w:t>持续性黄疸；</w:t>
      </w:r>
    </w:p>
    <w:p>
      <w:pPr>
        <w:pStyle w:val="BodyText"/>
        <w:spacing w:line="233" w:lineRule="exact"/>
        <w:ind w:left="2579"/>
      </w:pPr>
      <w:r>
        <w:rPr/>
        <w:t>（</w:t>
      </w:r>
      <w:r>
        <w:rPr>
          <w:rFonts w:ascii="Times New Roman" w:eastAsia="Times New Roman"/>
        </w:rPr>
        <w:t>2</w:t>
      </w:r>
      <w:r>
        <w:rPr/>
        <w:t>）腹水；</w:t>
      </w:r>
    </w:p>
    <w:p>
      <w:pPr>
        <w:pStyle w:val="BodyText"/>
        <w:spacing w:line="233" w:lineRule="exact"/>
        <w:ind w:left="2579"/>
      </w:pPr>
      <w:r>
        <w:rPr/>
        <w:t>（</w:t>
      </w:r>
      <w:r>
        <w:rPr>
          <w:rFonts w:ascii="Times New Roman" w:eastAsia="Times New Roman"/>
        </w:rPr>
        <w:t>3</w:t>
      </w:r>
      <w:r>
        <w:rPr/>
        <w:t>）肝性脑病；</w:t>
      </w:r>
    </w:p>
    <w:p>
      <w:pPr>
        <w:pStyle w:val="BodyText"/>
        <w:spacing w:line="225" w:lineRule="auto" w:before="6"/>
        <w:ind w:left="2579" w:right="1859"/>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
      </w:pPr>
      <w:r>
        <w:rPr>
          <w:rFonts w:ascii="Times New Roman" w:eastAsia="Times New Roman"/>
        </w:rPr>
        <w:t>11</w:t>
      </w:r>
      <w:r>
        <w:rPr/>
        <w:t>、脑炎后遗症或脑膜炎后： 指因患脑炎或脑膜炎导致的神经系统永久性的功能障碍。神经系统永久性的功</w:t>
      </w:r>
    </w:p>
    <w:p>
      <w:pPr>
        <w:pStyle w:val="BodyText"/>
        <w:tabs>
          <w:tab w:pos="2579" w:val="left" w:leader="none"/>
        </w:tabs>
        <w:spacing w:line="225" w:lineRule="exact"/>
      </w:pPr>
      <w:r>
        <w:rPr/>
        <w:t>遗症</w:t>
        <w:tab/>
        <w:t>能障碍，指疾病确诊</w:t>
      </w:r>
      <w:r>
        <w:rPr>
          <w:spacing w:val="-47"/>
        </w:rPr>
        <w:t> </w:t>
      </w:r>
      <w:r>
        <w:rPr>
          <w:rFonts w:ascii="Times New Roman" w:eastAsia="Times New Roman"/>
        </w:rPr>
        <w:t>180</w:t>
      </w:r>
      <w:r>
        <w:rPr>
          <w:rFonts w:ascii="Times New Roman" w:eastAsia="Times New Roman"/>
          <w:spacing w:val="42"/>
        </w:rPr>
        <w:t> </w:t>
      </w:r>
      <w:r>
        <w:rPr/>
        <w:t>天</w:t>
      </w:r>
      <w:r>
        <w:rPr>
          <w:spacing w:val="-3"/>
        </w:rPr>
        <w:t>后</w:t>
      </w:r>
      <w:r>
        <w:rPr/>
        <w:t>，仍遗留下列一种或一种以上障碍：</w:t>
      </w:r>
    </w:p>
    <w:p>
      <w:pPr>
        <w:pStyle w:val="BodyText"/>
        <w:spacing w:line="234" w:lineRule="exact"/>
        <w:ind w:left="2579"/>
      </w:pPr>
      <w:r>
        <w:rPr/>
        <w:t>（</w:t>
      </w:r>
      <w:r>
        <w:rPr>
          <w:rFonts w:ascii="Times New Roman" w:eastAsia="Times New Roman"/>
        </w:rPr>
        <w:t>1</w:t>
      </w:r>
      <w:r>
        <w:rPr/>
        <w:t>）一肢或一肢以上肢体机能完全丧失；</w:t>
      </w:r>
    </w:p>
    <w:p>
      <w:pPr>
        <w:pStyle w:val="BodyText"/>
        <w:spacing w:line="233" w:lineRule="exact"/>
        <w:ind w:left="2579"/>
      </w:pPr>
      <w:r>
        <w:rPr/>
        <w:t>（</w:t>
      </w:r>
      <w:r>
        <w:rPr>
          <w:rFonts w:ascii="Times New Roman" w:eastAsia="Times New Roman"/>
        </w:rPr>
        <w:t>2</w:t>
      </w:r>
      <w:r>
        <w:rPr/>
        <w:t>）语言能力或咀嚼吞咽能力完全丧失；</w:t>
      </w:r>
    </w:p>
    <w:p>
      <w:pPr>
        <w:pStyle w:val="BodyText"/>
        <w:spacing w:line="223" w:lineRule="auto" w:before="9"/>
        <w:ind w:left="2579" w:right="189"/>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3" w:lineRule="auto" w:before="17"/>
        <w:ind w:left="2579" w:right="189" w:hanging="2439"/>
        <w:jc w:val="both"/>
      </w:pPr>
      <w:r>
        <w:rPr>
          <w:rFonts w:ascii="Times New Roman" w:eastAsia="Times New Roman"/>
        </w:rPr>
        <w:t>12</w:t>
      </w:r>
      <w:r>
        <w:rPr/>
        <w:t>、深度昏迷</w:t>
        <w:tab/>
        <w:t>：</w:t>
      </w:r>
      <w:r>
        <w:rPr>
          <w:spacing w:val="-29"/>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9"/>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19" w:lineRule="exact"/>
        <w:ind w:left="2579"/>
      </w:pPr>
      <w:r>
        <w:rPr/>
        <w:t>因酗酒或药物滥用导致的深度昏迷不在保障范围内。</w:t>
      </w:r>
    </w:p>
    <w:p>
      <w:pPr>
        <w:pStyle w:val="BodyText"/>
        <w:tabs>
          <w:tab w:pos="2380" w:val="left" w:leader="none"/>
        </w:tabs>
        <w:spacing w:line="225" w:lineRule="auto" w:before="60"/>
        <w:ind w:left="2579" w:right="186" w:hanging="2439"/>
        <w:jc w:val="both"/>
      </w:pPr>
      <w:r>
        <w:rPr>
          <w:rFonts w:ascii="Times New Roman" w:eastAsia="Times New Roman"/>
        </w:rPr>
        <w:t>13</w:t>
      </w:r>
      <w:r>
        <w:rPr/>
        <w:t>、双耳失聪</w:t>
        <w:tab/>
        <w:t>：</w:t>
      </w:r>
      <w:r>
        <w:rPr>
          <w:spacing w:val="-72"/>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pStyle w:val="BodyText"/>
        <w:tabs>
          <w:tab w:pos="2380" w:val="left" w:leader="none"/>
        </w:tabs>
        <w:spacing w:line="223" w:lineRule="auto" w:before="14"/>
        <w:ind w:left="2579" w:right="191" w:hanging="2439"/>
        <w:jc w:val="both"/>
      </w:pPr>
      <w:r>
        <w:rPr>
          <w:rFonts w:ascii="Times New Roman" w:eastAsia="Times New Roman"/>
        </w:rPr>
        <w:t>14</w:t>
      </w:r>
      <w:r>
        <w:rPr/>
        <w:t>、双目失明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ind w:left="2579"/>
      </w:pPr>
      <w:r>
        <w:rPr/>
        <w:t>（</w:t>
      </w:r>
      <w:r>
        <w:rPr>
          <w:rFonts w:ascii="Times New Roman" w:eastAsia="Times New Roman"/>
        </w:rPr>
        <w:t>1</w:t>
      </w:r>
      <w:r>
        <w:rPr/>
        <w:t>）眼球缺失或摘除；</w:t>
      </w:r>
    </w:p>
    <w:p>
      <w:pPr>
        <w:pStyle w:val="BodyText"/>
        <w:spacing w:line="223" w:lineRule="auto" w:before="10"/>
        <w:ind w:left="2579" w:right="193"/>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8" w:lineRule="exact"/>
        <w:ind w:left="2579"/>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3" w:lineRule="auto" w:before="16"/>
        <w:ind w:left="2579" w:right="191" w:hanging="2439"/>
        <w:jc w:val="both"/>
      </w:pPr>
      <w:r>
        <w:rPr>
          <w:rFonts w:ascii="Times New Roman" w:eastAsia="Times New Roman"/>
        </w:rPr>
        <w:t>15</w:t>
      </w:r>
      <w:r>
        <w:rPr/>
        <w:t>、瘫痪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line="249" w:lineRule="exact"/>
      </w:pPr>
      <w:r>
        <w:rPr>
          <w:rFonts w:ascii="Times New Roman" w:eastAsia="Times New Roman"/>
        </w:rPr>
        <w:t>16</w:t>
      </w:r>
      <w:r>
        <w:rPr/>
        <w:t>、心脏瓣膜手术</w:t>
        <w:tab/>
        <w:t>：</w:t>
      </w:r>
      <w:r>
        <w:rPr>
          <w:spacing w:val="-74"/>
        </w:rPr>
        <w:t> </w:t>
      </w:r>
      <w:r>
        <w:rPr/>
        <w:t>指为治疗心脏瓣膜疾病，实际实施了开胸进行的心脏瓣膜置换或修复的手术。</w:t>
      </w:r>
    </w:p>
    <w:p>
      <w:pPr>
        <w:pStyle w:val="BodyText"/>
        <w:tabs>
          <w:tab w:pos="2380" w:val="left" w:leader="none"/>
        </w:tabs>
        <w:spacing w:line="230" w:lineRule="auto" w:before="30"/>
        <w:ind w:left="2579" w:right="100" w:hanging="2439"/>
      </w:pPr>
      <w:r>
        <w:rPr>
          <w:rFonts w:ascii="Times New Roman" w:eastAsia="Times New Roman"/>
        </w:rPr>
        <w:t>17</w:t>
      </w:r>
      <w:r>
        <w:rPr/>
        <w:t>、严重阿尔茨海默病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w:t>
      </w:r>
      <w:r>
        <w:rPr>
          <w:rFonts w:ascii="Times New Roman" w:eastAsia="Times New Roman"/>
          <w:spacing w:val="-2"/>
          <w:w w:val="100"/>
        </w:rPr>
        <w:t>T</w:t>
      </w:r>
      <w:r>
        <w:rPr>
          <w:w w:val="100"/>
        </w:rPr>
        <w: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79"/>
      </w:pPr>
      <w:r>
        <w:rPr/>
        <w:t>神经官能症和精神疾病不在保障范围内。</w:t>
      </w:r>
    </w:p>
    <w:p>
      <w:pPr>
        <w:pStyle w:val="BodyText"/>
        <w:spacing w:line="225" w:lineRule="auto" w:before="19"/>
        <w:ind w:left="2579" w:right="191" w:hanging="2439"/>
        <w:jc w:val="both"/>
      </w:pPr>
      <w:r>
        <w:rPr>
          <w:rFonts w:ascii="Times New Roman" w:eastAsia="Times New Roman"/>
        </w:rPr>
        <w:t>18</w:t>
      </w:r>
      <w:r>
        <w:rPr>
          <w:spacing w:val="-4"/>
        </w:rPr>
        <w:t>、严重帕金森病       ： 是一种中枢神经系统的退行性疾病，临床表现为震颤麻痹、共济失调等。须满</w:t>
      </w:r>
      <w:r>
        <w:rPr>
          <w:spacing w:val="-1"/>
        </w:rPr>
        <w:t>足下列全部条件：</w:t>
      </w:r>
    </w:p>
    <w:p>
      <w:pPr>
        <w:pStyle w:val="BodyText"/>
        <w:spacing w:line="238" w:lineRule="exact"/>
        <w:ind w:left="2579"/>
      </w:pPr>
      <w:r>
        <w:rPr/>
        <w:t>（</w:t>
      </w:r>
      <w:r>
        <w:rPr>
          <w:rFonts w:ascii="Times New Roman" w:eastAsia="Times New Roman"/>
        </w:rPr>
        <w:t>1</w:t>
      </w:r>
      <w:r>
        <w:rPr/>
        <w:t>）药物治疗无法控制病情；</w:t>
      </w:r>
    </w:p>
    <w:p>
      <w:pPr>
        <w:pStyle w:val="BodyText"/>
        <w:spacing w:line="223" w:lineRule="auto" w:before="9"/>
        <w:ind w:left="2579" w:right="189"/>
      </w:pPr>
      <w:r>
        <w:rPr/>
        <w:t>（</w:t>
      </w:r>
      <w:r>
        <w:rPr>
          <w:rFonts w:ascii="Times New Roman" w:eastAsia="Times New Roman"/>
        </w:rPr>
        <w:t>2</w:t>
      </w:r>
      <w:r>
        <w:rPr/>
        <w:t>）自主生活能力完全丧失，无法独立完成六项基本日常生活活动中的三项或三项以上。</w:t>
      </w:r>
    </w:p>
    <w:p>
      <w:pPr>
        <w:pStyle w:val="BodyText"/>
        <w:spacing w:line="234" w:lineRule="exact"/>
        <w:ind w:left="2579"/>
      </w:pPr>
      <w:r>
        <w:rPr/>
        <w:t>继发性帕金森综合征不在保障范围内。</w:t>
      </w:r>
    </w:p>
    <w:p>
      <w:pPr>
        <w:pStyle w:val="BodyText"/>
        <w:spacing w:line="223" w:lineRule="auto" w:before="16"/>
        <w:ind w:left="2579" w:right="277" w:hanging="2439"/>
        <w:jc w:val="both"/>
      </w:pPr>
      <w:r>
        <w:rPr>
          <w:rFonts w:ascii="Times New Roman" w:hAnsi="Times New Roman" w:eastAsia="Times New Roman"/>
        </w:rPr>
        <w:t>19</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pStyle w:val="BodyText"/>
        <w:spacing w:line="232" w:lineRule="auto" w:before="4"/>
        <w:ind w:left="2579" w:right="189" w:hanging="2439"/>
        <w:jc w:val="both"/>
      </w:pPr>
      <w:r>
        <w:rPr>
          <w:rFonts w:ascii="Times New Roman" w:eastAsia="Times New Roman"/>
        </w:rPr>
        <w:t>20</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rFonts w:ascii="Times New Roman" w:eastAsia="Times New Roman"/>
        </w:rPr>
        <w:t>IV</w:t>
      </w:r>
      <w:r>
        <w:rPr>
          <w:rFonts w:ascii="Times New Roman" w:eastAsia="Times New Roman"/>
          <w:spacing w:val="38"/>
        </w:rPr>
        <w:t> </w:t>
      </w:r>
      <w:r>
        <w:rPr>
          <w:spacing w:val="-4"/>
        </w:rPr>
        <w:t>级，且静息状态下肺动脉平均压超过 </w:t>
      </w:r>
      <w:r>
        <w:rPr>
          <w:rFonts w:ascii="Times New Roman" w:eastAsia="Times New Roman"/>
        </w:rPr>
        <w:t>30mmHg</w:t>
      </w:r>
      <w:r>
        <w:rPr/>
        <w:t>。</w:t>
      </w:r>
    </w:p>
    <w:p>
      <w:pPr>
        <w:spacing w:after="0" w:line="232" w:lineRule="auto"/>
        <w:jc w:val="both"/>
        <w:sectPr>
          <w:pgSz w:w="11960" w:h="16850"/>
          <w:pgMar w:header="897" w:footer="1001" w:top="1080" w:bottom="1200" w:left="1560" w:right="1540"/>
        </w:sectPr>
      </w:pPr>
    </w:p>
    <w:p>
      <w:pPr>
        <w:pStyle w:val="BodyText"/>
        <w:ind w:left="0"/>
        <w:rPr>
          <w:sz w:val="20"/>
        </w:rPr>
      </w:pPr>
    </w:p>
    <w:p>
      <w:pPr>
        <w:pStyle w:val="BodyText"/>
        <w:spacing w:before="10"/>
        <w:ind w:left="0"/>
        <w:rPr>
          <w:sz w:val="20"/>
        </w:rPr>
      </w:pPr>
    </w:p>
    <w:p>
      <w:pPr>
        <w:pStyle w:val="BodyText"/>
        <w:spacing w:line="232" w:lineRule="auto" w:before="58"/>
        <w:ind w:left="2579" w:right="110" w:hanging="2439"/>
        <w:jc w:val="both"/>
      </w:pPr>
      <w:r>
        <w:rPr>
          <w:rFonts w:ascii="Times New Roman" w:eastAsia="Times New Roman"/>
        </w:rPr>
        <w:t>21</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23" w:lineRule="auto" w:before="67"/>
        <w:ind w:left="2579" w:right="149" w:hanging="2439"/>
        <w:jc w:val="both"/>
      </w:pPr>
      <w:r>
        <w:rPr>
          <w:rFonts w:ascii="Times New Roman" w:eastAsia="Times New Roman"/>
        </w:rPr>
        <w:t>22</w:t>
      </w:r>
      <w:r>
        <w:rPr>
          <w:spacing w:val="-3"/>
        </w:rPr>
        <w:t>、语言能力丧失 ： 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4" w:lineRule="exact"/>
        <w:ind w:left="2579"/>
      </w:pPr>
      <w:r>
        <w:rPr/>
        <w:t>精神心理因素所致的语言能力丧失不在保障范围内。</w:t>
      </w:r>
    </w:p>
    <w:p>
      <w:pPr>
        <w:pStyle w:val="BodyText"/>
        <w:spacing w:line="223" w:lineRule="auto" w:before="16"/>
        <w:ind w:left="2579" w:right="157" w:hanging="2439"/>
        <w:jc w:val="both"/>
      </w:pPr>
      <w:r>
        <w:rPr>
          <w:rFonts w:ascii="Times New Roman" w:eastAsia="Times New Roman"/>
        </w:rPr>
        <w:t>23</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9" w:lineRule="exact"/>
        <w:ind w:left="2579"/>
      </w:pPr>
      <w:r>
        <w:rPr/>
        <w:t>（</w:t>
      </w:r>
      <w:r>
        <w:rPr>
          <w:rFonts w:ascii="Times New Roman" w:eastAsia="Times New Roman"/>
        </w:rPr>
        <w:t>1</w:t>
      </w:r>
      <w:r>
        <w:rPr/>
        <w:t>）骨髓穿刺检查或骨髓活检结果支持诊断；</w:t>
      </w:r>
    </w:p>
    <w:p>
      <w:pPr>
        <w:pStyle w:val="BodyText"/>
        <w:spacing w:line="234" w:lineRule="exact"/>
        <w:ind w:left="2579"/>
      </w:pPr>
      <w:r>
        <w:rPr/>
        <w:t>（</w:t>
      </w:r>
      <w:r>
        <w:rPr>
          <w:rFonts w:ascii="Times New Roman" w:eastAsia="Times New Roman"/>
        </w:rPr>
        <w:t>2</w:t>
      </w:r>
      <w:r>
        <w:rPr/>
        <w:t>）外周血象须具备以下三项条件：</w:t>
      </w:r>
    </w:p>
    <w:p>
      <w:pPr>
        <w:pStyle w:val="BodyText"/>
        <w:spacing w:line="233" w:lineRule="exact"/>
        <w:ind w:left="2926" w:right="2979"/>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3" w:lineRule="exact"/>
        <w:ind w:left="1822" w:right="2979"/>
        <w:jc w:val="center"/>
      </w:pPr>
      <w:r>
        <w:rPr/>
        <w:t>② 网织红细胞＜</w:t>
      </w:r>
      <w:r>
        <w:rPr>
          <w:rFonts w:ascii="Times New Roman" w:hAnsi="Times New Roman" w:eastAsia="Times New Roman"/>
        </w:rPr>
        <w:t>1%</w:t>
      </w:r>
      <w:r>
        <w:rPr/>
        <w:t>；</w:t>
      </w:r>
    </w:p>
    <w:p>
      <w:pPr>
        <w:pStyle w:val="BodyText"/>
        <w:spacing w:line="241" w:lineRule="exact"/>
        <w:ind w:left="2521" w:right="2979"/>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54"/>
        <w:ind w:left="2579" w:right="148" w:hanging="2439"/>
        <w:jc w:val="both"/>
      </w:pPr>
      <w:r>
        <w:rPr>
          <w:rFonts w:ascii="Times New Roman" w:eastAsia="Times New Roman"/>
        </w:rPr>
        <w:t>24</w:t>
      </w:r>
      <w:r>
        <w:rPr/>
        <w:t>、主动脉手术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5" w:lineRule="exact"/>
        <w:ind w:left="2579"/>
      </w:pPr>
      <w:r>
        <w:rPr/>
        <w:t>动脉内血管成形术不在保障范围内。</w:t>
      </w:r>
    </w:p>
    <w:p>
      <w:pPr>
        <w:pStyle w:val="BodyText"/>
        <w:spacing w:line="316" w:lineRule="auto" w:before="67"/>
        <w:ind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1" w:lineRule="exact"/>
      </w:pPr>
      <w:r>
        <w:rPr>
          <w:rFonts w:ascii="Times New Roman" w:eastAsia="Times New Roman"/>
        </w:rPr>
        <w:t>25</w:t>
      </w:r>
      <w:r>
        <w:rPr/>
        <w:t>、慢性肺部疾病</w:t>
        <w:tab/>
        <w:t>：</w:t>
      </w:r>
      <w:r>
        <w:rPr>
          <w:spacing w:val="-72"/>
        </w:rPr>
        <w:t> </w:t>
      </w:r>
      <w:r>
        <w:rPr/>
        <w:t>是指末期肺部疾病包括间质性肺部疾病</w:t>
      </w:r>
      <w:r>
        <w:rPr>
          <w:spacing w:val="-41"/>
        </w:rPr>
        <w:t>，</w:t>
      </w:r>
      <w:r>
        <w:rPr/>
        <w:t>需要永久性的氧气治疗并且功能测验</w:t>
      </w:r>
    </w:p>
    <w:p>
      <w:pPr>
        <w:pStyle w:val="BodyText"/>
        <w:spacing w:line="223" w:lineRule="auto" w:before="9"/>
        <w:ind w:left="2579" w:right="151"/>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3" w:lineRule="auto" w:before="98"/>
        <w:ind w:left="2579" w:right="151" w:hanging="2439"/>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1"/>
        </w:rPr>
        <w:t>天以上。</w:t>
      </w:r>
    </w:p>
    <w:p>
      <w:pPr>
        <w:pStyle w:val="BodyText"/>
        <w:spacing w:line="222" w:lineRule="exact"/>
        <w:ind w:left="2579"/>
      </w:pPr>
      <w:r>
        <w:rPr/>
        <w:t>其它原因而引起的中枢神经系统疾病除外。</w:t>
      </w:r>
    </w:p>
    <w:p>
      <w:pPr>
        <w:pStyle w:val="BodyText"/>
        <w:tabs>
          <w:tab w:pos="2380" w:val="left" w:leader="none"/>
        </w:tabs>
        <w:spacing w:line="232" w:lineRule="auto" w:before="58"/>
        <w:ind w:left="2579" w:right="149" w:hanging="2439"/>
        <w:jc w:val="both"/>
      </w:pPr>
      <w:r>
        <w:rPr>
          <w:rFonts w:ascii="Times New Roman" w:eastAsia="Times New Roman"/>
        </w:rPr>
        <w:t>27</w:t>
      </w:r>
      <w:r>
        <w:rPr/>
        <w:t>、脊髓灰质炎</w:t>
        <w:tab/>
        <w:t>：</w:t>
      </w:r>
      <w:r>
        <w:rPr>
          <w:spacing w:val="-38"/>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spacing w:line="246" w:lineRule="exact"/>
      </w:pPr>
      <w:r>
        <w:rPr>
          <w:rFonts w:ascii="Times New Roman" w:eastAsia="Times New Roman"/>
        </w:rPr>
        <w:t>28</w:t>
      </w:r>
      <w:r>
        <w:rPr/>
        <w:t>、经输血导致的艾滋病病： 是指被保险人因输血感染人类免疫缺陷病毒或后天性免疫功能缺陷综合病症。</w:t>
      </w:r>
    </w:p>
    <w:p>
      <w:pPr>
        <w:spacing w:after="0" w:line="246" w:lineRule="exact"/>
        <w:sectPr>
          <w:pgSz w:w="11960" w:h="16850"/>
          <w:pgMar w:header="897" w:footer="1001" w:top="1080" w:bottom="1200" w:left="1560" w:right="1580"/>
        </w:sectPr>
      </w:pPr>
    </w:p>
    <w:p>
      <w:pPr>
        <w:pStyle w:val="BodyText"/>
        <w:spacing w:line="219" w:lineRule="exact"/>
      </w:pPr>
      <w:r>
        <w:rPr/>
        <w:t>毒感染</w:t>
      </w:r>
    </w:p>
    <w:p>
      <w:pPr>
        <w:pStyle w:val="BodyText"/>
        <w:spacing w:line="218" w:lineRule="exact"/>
      </w:pPr>
      <w:r>
        <w:rPr/>
        <w:br w:type="column"/>
      </w:r>
      <w:r>
        <w:rPr/>
        <w:t>导致感染之医疗输血的行为需符合下列所有的条件：</w:t>
      </w:r>
    </w:p>
    <w:p>
      <w:pPr>
        <w:pStyle w:val="BodyText"/>
        <w:spacing w:line="241" w:lineRule="exact"/>
      </w:pPr>
      <w:r>
        <w:rPr>
          <w:rFonts w:ascii="Times New Roman" w:eastAsia="Times New Roman"/>
        </w:rPr>
        <w:t>1</w:t>
      </w:r>
      <w:r>
        <w:rPr/>
        <w:t>、在保单生效日或复效日之后因治疗必需输血而感染艾滋病毒；</w:t>
      </w:r>
    </w:p>
    <w:p>
      <w:pPr>
        <w:pStyle w:val="BodyText"/>
        <w:spacing w:line="223" w:lineRule="auto" w:before="10"/>
        <w:ind w:right="152"/>
      </w:pPr>
      <w:r>
        <w:rPr>
          <w:rFonts w:ascii="Times New Roman" w:eastAsia="Times New Roman"/>
        </w:rPr>
        <w:t>2</w:t>
      </w:r>
      <w:r>
        <w:rPr/>
        <w:t>、输血中心或医院确认被保人因在该输血中心或医院输入污染的血而感染艾滋病毒；</w:t>
      </w:r>
    </w:p>
    <w:p>
      <w:pPr>
        <w:pStyle w:val="BodyText"/>
        <w:spacing w:line="239" w:lineRule="exact"/>
      </w:pPr>
      <w:r>
        <w:rPr>
          <w:rFonts w:ascii="Times New Roman" w:eastAsia="Times New Roman"/>
        </w:rPr>
        <w:t>3</w:t>
      </w:r>
      <w:r>
        <w:rPr/>
        <w:t>、受感染的被保险人不是血友病患者；</w:t>
      </w:r>
    </w:p>
    <w:p>
      <w:pPr>
        <w:pStyle w:val="BodyText"/>
        <w:spacing w:line="234" w:lineRule="exact"/>
      </w:pPr>
      <w:r>
        <w:rPr>
          <w:rFonts w:ascii="Times New Roman" w:eastAsia="Times New Roman"/>
        </w:rPr>
        <w:t>4</w:t>
      </w:r>
      <w:r>
        <w:rPr/>
        <w:t>、病情须对生命造成威胁及无法救治。</w:t>
      </w:r>
    </w:p>
    <w:p>
      <w:pPr>
        <w:pStyle w:val="BodyText"/>
        <w:spacing w:line="227" w:lineRule="exact"/>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682" w:space="1756"/>
            <w:col w:w="6382"/>
          </w:cols>
        </w:sectPr>
      </w:pPr>
    </w:p>
    <w:p>
      <w:pPr>
        <w:pStyle w:val="BodyText"/>
        <w:spacing w:line="228" w:lineRule="auto" w:before="10"/>
        <w:ind w:left="2579" w:right="149" w:hanging="2439"/>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spacing w:before="3"/>
        <w:ind w:left="0"/>
        <w:rPr>
          <w:sz w:val="14"/>
        </w:rPr>
      </w:pPr>
    </w:p>
    <w:p>
      <w:pPr>
        <w:pStyle w:val="BodyText"/>
      </w:pPr>
      <w:r>
        <w:rPr/>
        <w:t>重大疾病定义的释义：</w:t>
      </w:r>
    </w:p>
    <w:p>
      <w:pPr>
        <w:pStyle w:val="BodyText"/>
        <w:tabs>
          <w:tab w:pos="2380" w:val="left" w:leader="none"/>
        </w:tabs>
        <w:spacing w:line="234" w:lineRule="exact" w:before="37"/>
      </w:pPr>
      <w:r>
        <w:rPr/>
        <w:t>专科医生</w:t>
        <w:tab/>
        <w:t>：</w:t>
      </w:r>
      <w:r>
        <w:rPr>
          <w:spacing w:val="-72"/>
        </w:rPr>
        <w:t> </w:t>
      </w:r>
      <w:r>
        <w:rPr/>
        <w:t>专科医生应当同时满足以下四项资格条件：</w:t>
      </w:r>
    </w:p>
    <w:p>
      <w:pPr>
        <w:pStyle w:val="BodyText"/>
        <w:spacing w:line="240" w:lineRule="exact"/>
        <w:ind w:left="2579"/>
      </w:pPr>
      <w:r>
        <w:rPr/>
        <w:t>（</w:t>
      </w:r>
      <w:r>
        <w:rPr>
          <w:rFonts w:ascii="Times New Roman" w:eastAsia="Times New Roman"/>
        </w:rPr>
        <w:t>1</w:t>
      </w:r>
      <w:r>
        <w:rPr/>
        <w:t>）具有有效的中华人民共和国《医师资格证书》；</w:t>
      </w:r>
    </w:p>
    <w:p>
      <w:pPr>
        <w:pStyle w:val="BodyText"/>
        <w:spacing w:line="225" w:lineRule="auto" w:before="7"/>
        <w:ind w:left="2579" w:right="151"/>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4"/>
        <w:ind w:left="2579" w:right="149"/>
      </w:pPr>
      <w:r>
        <w:rPr/>
        <w:t>（</w:t>
      </w:r>
      <w:r>
        <w:rPr>
          <w:rFonts w:ascii="Times New Roman" w:eastAsia="Times New Roman"/>
        </w:rPr>
        <w:t>3</w:t>
      </w:r>
      <w:r>
        <w:rPr/>
        <w:t>）具有有效的中华人民共和国主治医师或主治医师以上职称的《医师职称证书》；</w:t>
      </w:r>
    </w:p>
    <w:p>
      <w:pPr>
        <w:pStyle w:val="BodyText"/>
        <w:spacing w:line="246" w:lineRule="exact"/>
        <w:ind w:left="2579"/>
      </w:pPr>
      <w:r>
        <w:rPr/>
        <w:t>（</w:t>
      </w:r>
      <w:r>
        <w:rPr>
          <w:rFonts w:ascii="Times New Roman" w:eastAsia="Times New Roman"/>
        </w:rPr>
        <w:t>4</w:t>
      </w:r>
      <w:r>
        <w:rPr/>
        <w:t>）在二级或二级以上医院的相应科室从事临床工作三年以上。</w:t>
      </w:r>
    </w:p>
    <w:p>
      <w:pPr>
        <w:spacing w:after="0" w:line="246" w:lineRule="exact"/>
        <w:sectPr>
          <w:type w:val="continuous"/>
          <w:pgSz w:w="11960" w:h="16850"/>
          <w:pgMar w:top="280" w:bottom="1200" w:left="1560" w:right="1580"/>
        </w:sectPr>
      </w:pPr>
    </w:p>
    <w:p>
      <w:pPr>
        <w:pStyle w:val="BodyText"/>
        <w:ind w:left="0"/>
        <w:rPr>
          <w:sz w:val="20"/>
        </w:rPr>
      </w:pPr>
    </w:p>
    <w:p>
      <w:pPr>
        <w:pStyle w:val="BodyText"/>
        <w:spacing w:before="3"/>
        <w:ind w:left="0"/>
        <w:rPr>
          <w:sz w:val="21"/>
        </w:rPr>
      </w:pPr>
    </w:p>
    <w:p>
      <w:pPr>
        <w:pStyle w:val="BodyText"/>
        <w:tabs>
          <w:tab w:pos="2380" w:val="left" w:leader="none"/>
        </w:tabs>
        <w:spacing w:line="234" w:lineRule="exact" w:before="44"/>
      </w:pPr>
      <w:r>
        <w:rPr/>
        <w:t>六项基本日常生活活动</w:t>
        <w:tab/>
        <w:t>：</w:t>
      </w:r>
      <w:r>
        <w:rPr>
          <w:spacing w:val="-72"/>
        </w:rPr>
        <w:t> </w:t>
      </w:r>
      <w:r>
        <w:rPr/>
        <w:t>六项基本日常生活活动是指：</w:t>
      </w:r>
    </w:p>
    <w:p>
      <w:pPr>
        <w:pStyle w:val="BodyText"/>
        <w:spacing w:line="240" w:lineRule="exact"/>
        <w:ind w:left="2579"/>
      </w:pPr>
      <w:r>
        <w:rPr/>
        <w:t>（</w:t>
      </w:r>
      <w:r>
        <w:rPr>
          <w:rFonts w:ascii="Times New Roman" w:eastAsia="Times New Roman"/>
        </w:rPr>
        <w:t>1</w:t>
      </w:r>
      <w:r>
        <w:rPr/>
        <w:t>）穿衣：自己能够穿衣及脱衣；</w:t>
      </w:r>
    </w:p>
    <w:p>
      <w:pPr>
        <w:pStyle w:val="BodyText"/>
        <w:spacing w:line="234" w:lineRule="exact"/>
        <w:ind w:left="2579"/>
      </w:pPr>
      <w:r>
        <w:rPr/>
        <w:t>（</w:t>
      </w:r>
      <w:r>
        <w:rPr>
          <w:rFonts w:ascii="Times New Roman" w:eastAsia="Times New Roman"/>
        </w:rPr>
        <w:t>2</w:t>
      </w:r>
      <w:r>
        <w:rPr/>
        <w:t>）移动：自己从一个房间到另一个房间；</w:t>
      </w:r>
    </w:p>
    <w:p>
      <w:pPr>
        <w:pStyle w:val="BodyText"/>
        <w:spacing w:line="234" w:lineRule="exact"/>
        <w:ind w:left="2579"/>
      </w:pPr>
      <w:r>
        <w:rPr/>
        <w:t>（</w:t>
      </w:r>
      <w:r>
        <w:rPr>
          <w:rFonts w:ascii="Times New Roman" w:eastAsia="Times New Roman"/>
        </w:rPr>
        <w:t>3</w:t>
      </w:r>
      <w:r>
        <w:rPr/>
        <w:t>）行动：自己上下床或上下轮椅；</w:t>
      </w:r>
    </w:p>
    <w:p>
      <w:pPr>
        <w:pStyle w:val="BodyText"/>
        <w:spacing w:line="233" w:lineRule="exact"/>
        <w:ind w:left="2579"/>
      </w:pPr>
      <w:r>
        <w:rPr/>
        <w:t>（</w:t>
      </w:r>
      <w:r>
        <w:rPr>
          <w:rFonts w:ascii="Times New Roman" w:eastAsia="Times New Roman"/>
        </w:rPr>
        <w:t>4</w:t>
      </w:r>
      <w:r>
        <w:rPr/>
        <w:t>）如厕：自己控制进行大小便；</w:t>
      </w:r>
    </w:p>
    <w:p>
      <w:pPr>
        <w:pStyle w:val="BodyText"/>
        <w:spacing w:line="233" w:lineRule="exact"/>
        <w:ind w:left="2579"/>
      </w:pPr>
      <w:r>
        <w:rPr/>
        <w:t>（</w:t>
      </w:r>
      <w:r>
        <w:rPr>
          <w:rFonts w:ascii="Times New Roman" w:eastAsia="Times New Roman"/>
        </w:rPr>
        <w:t>5</w:t>
      </w:r>
      <w:r>
        <w:rPr/>
        <w:t>）进食：自己从已准备好的碗或碟中取食物放入口中；</w:t>
      </w:r>
    </w:p>
    <w:p>
      <w:pPr>
        <w:pStyle w:val="BodyText"/>
        <w:spacing w:line="241" w:lineRule="exact"/>
        <w:ind w:left="2579"/>
      </w:pPr>
      <w:r>
        <w:rPr/>
        <w:t>（</w:t>
      </w:r>
      <w:r>
        <w:rPr>
          <w:rFonts w:ascii="Times New Roman" w:eastAsia="Times New Roman"/>
        </w:rPr>
        <w:t>6</w:t>
      </w:r>
      <w:r>
        <w:rPr/>
        <w:t>）洗澡：自己进行淋浴或盆浴。</w:t>
      </w:r>
    </w:p>
    <w:p>
      <w:pPr>
        <w:pStyle w:val="BodyText"/>
        <w:tabs>
          <w:tab w:pos="2380" w:val="left" w:leader="none"/>
        </w:tabs>
        <w:spacing w:line="237" w:lineRule="auto" w:before="33"/>
        <w:ind w:left="2579"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pPr>
      <w:r>
        <w:rPr/>
        <w:t>语言能力或咀嚼吞咽能力完： 语言能力完全丧失，指无法发出四种语音（包括口唇音、齿舌音、口盖音和喉</w:t>
      </w:r>
    </w:p>
    <w:p>
      <w:pPr>
        <w:spacing w:after="0"/>
        <w:sectPr>
          <w:pgSz w:w="11960" w:h="16850"/>
          <w:pgMar w:header="897" w:footer="1001" w:top="1080" w:bottom="1200" w:left="1560" w:right="1540"/>
        </w:sectPr>
      </w:pPr>
    </w:p>
    <w:p>
      <w:pPr>
        <w:pStyle w:val="BodyText"/>
        <w:spacing w:line="233" w:lineRule="exact"/>
      </w:pPr>
      <w:r>
        <w:rPr/>
        <w:t>全丧失</w:t>
      </w:r>
    </w:p>
    <w:p>
      <w:pPr>
        <w:pStyle w:val="BodyText"/>
        <w:spacing w:line="237" w:lineRule="auto"/>
        <w:ind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line="223" w:lineRule="auto" w:before="15"/>
        <w:ind w:left="2579" w:right="191" w:hanging="2439"/>
      </w:pPr>
      <w:r>
        <w:rPr/>
        <w:t>永久不可逆</w:t>
        <w:tab/>
        <w:t>：</w:t>
      </w:r>
      <w:r>
        <w:rPr>
          <w:spacing w:val="-71"/>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有医</w:t>
      </w:r>
      <w:r>
        <w:rPr/>
        <w:t>疗手段恢复。</w:t>
      </w:r>
    </w:p>
    <w:p>
      <w:pPr>
        <w:spacing w:after="0" w:line="223" w:lineRule="auto"/>
        <w:sectPr>
          <w:type w:val="continuous"/>
          <w:pgSz w:w="11960" w:h="16850"/>
          <w:pgMar w:top="280" w:bottom="1200" w:left="156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5"/>
        </w:rPr>
      </w:pPr>
    </w:p>
    <w:p>
      <w:pPr>
        <w:pStyle w:val="Heading1"/>
        <w:spacing w:before="45"/>
        <w:ind w:left="3861" w:right="3867"/>
        <w:jc w:val="center"/>
      </w:pPr>
      <w:r>
        <w:rPr>
          <w:w w:val="95"/>
        </w:rPr>
        <w:t>（本页为空）</w:t>
      </w:r>
    </w:p>
    <w:sectPr>
      <w:footerReference w:type="default" r:id="rId8"/>
      <w:pgSz w:w="11960" w:h="16850"/>
      <w:pgMar w:footer="1001" w:header="897"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780396pt;margin-top:781.347778pt;width:71.850pt;height:11pt;mso-position-horizontal-relative:page;mso-position-vertical-relative:page;z-index:-1213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50061pt;margin-top:781.347778pt;width:76.4pt;height:11pt;mso-position-horizontal-relative:page;mso-position-vertical-relative:page;z-index:-12088" type="#_x0000_t202" filled="false" stroked="false">
          <v:textbox inset="0,0,0,0">
            <w:txbxContent>
              <w:p>
                <w:pPr>
                  <w:pStyle w:val="BodyText"/>
                  <w:spacing w:line="200" w:lineRule="exact"/>
                  <w:ind w:left="20"/>
                </w:pPr>
                <w:r>
                  <w:rPr/>
                  <w:t>第 10 页 共 10</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12"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585"/>
      <w:jc w:val="center"/>
    </w:pPr>
    <w:rPr>
      <w:rFonts w:ascii="宋体" w:hAnsi="宋体" w:eastAsia="宋体" w:cs="宋体"/>
      <w:sz w:val="18"/>
      <w:szCs w:val="18"/>
    </w:rPr>
  </w:style>
  <w:style w:styleId="TOC2" w:type="paragraph">
    <w:name w:val="TOC 2"/>
    <w:basedOn w:val="Normal"/>
    <w:uiPriority w:val="1"/>
    <w:qFormat/>
    <w:pPr>
      <w:spacing w:before="166"/>
      <w:ind w:left="141"/>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sz w:val="18"/>
      <w:szCs w:val="18"/>
    </w:rPr>
  </w:style>
  <w:style w:styleId="TOC4" w:type="paragraph">
    <w:name w:val="TOC 4"/>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2018-10-20T01:41:59Z</dcterms:created>
  <dcterms:modified xsi:type="dcterms:W3CDTF">2018-10-20T01:41:59Z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