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4"/>
        <w:jc w:val="right"/>
      </w:pPr>
      <w:r>
        <w:rPr/>
        <w:drawing>
          <wp:anchor distT="0" distB="0" distL="0" distR="0" allowOverlap="1" layoutInCell="1" locked="0" behindDoc="0" simplePos="0" relativeHeight="1048">
            <wp:simplePos x="0" y="0"/>
            <wp:positionH relativeFrom="page">
              <wp:posOffset>5991225</wp:posOffset>
            </wp:positionH>
            <wp:positionV relativeFrom="paragraph">
              <wp:posOffset>250617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014 号</w:t>
      </w:r>
    </w:p>
    <w:p>
      <w:pPr>
        <w:pStyle w:val="BodyText"/>
        <w:rPr>
          <w:sz w:val="20"/>
        </w:rPr>
      </w:pPr>
    </w:p>
    <w:p>
      <w:pPr>
        <w:pStyle w:val="BodyText"/>
        <w:spacing w:before="3"/>
        <w:rPr>
          <w:sz w:val="22"/>
        </w:rPr>
      </w:pPr>
    </w:p>
    <w:p>
      <w:pPr>
        <w:pStyle w:val="Heading1"/>
        <w:ind w:left="1868"/>
      </w:pPr>
      <w:r>
        <w:rPr/>
        <w:t>泰康附加永福人生提前给付重大疾病保险条款</w:t>
      </w:r>
    </w:p>
    <w:p>
      <w:pPr>
        <w:spacing w:after="0"/>
        <w:sectPr>
          <w:type w:val="continuous"/>
          <w:pgSz w:w="11910" w:h="16840"/>
          <w:pgMar w:top="840" w:bottom="280" w:left="880" w:right="22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
        <w:rPr>
          <w:rFonts w:ascii="微软雅黑"/>
          <w:b/>
          <w:sz w:val="11"/>
        </w:rPr>
      </w:pPr>
      <w:r>
        <w:rPr/>
        <w:br w:type="column"/>
      </w:r>
      <w:r>
        <w:rPr>
          <w:rFonts w:ascii="微软雅黑"/>
          <w:b/>
          <w:sz w:val="11"/>
        </w:rPr>
      </w:r>
    </w:p>
    <w:p>
      <w:pPr>
        <w:pStyle w:val="BodyText"/>
        <w:ind w:left="2072"/>
      </w:pPr>
      <w:r>
        <w:rPr/>
        <w:t>请扫描以查询验证条款</w:t>
      </w:r>
    </w:p>
    <w:p>
      <w:pPr>
        <w:spacing w:after="0"/>
        <w:sectPr>
          <w:type w:val="continuous"/>
          <w:pgSz w:w="11910" w:h="16840"/>
          <w:pgMar w:top="840" w:bottom="280" w:left="880" w:right="220"/>
          <w:cols w:num="2" w:equalWidth="0">
            <w:col w:w="5954" w:space="40"/>
            <w:col w:w="4816"/>
          </w:cols>
        </w:sectPr>
      </w:pPr>
    </w:p>
    <w:p>
      <w:pPr>
        <w:pStyle w:val="BodyText"/>
        <w:spacing w:before="8"/>
        <w:rPr>
          <w:sz w:val="14"/>
        </w:rPr>
      </w:pPr>
    </w:p>
    <w:p>
      <w:pPr>
        <w:pStyle w:val="BodyText"/>
        <w:spacing w:before="36"/>
        <w:ind w:left="1811" w:right="240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77.8pt;mso-position-horizontal-relative:page;mso-position-vertical-relative:paragraph;z-index:-29824" coordorigin="984,36" coordsize="9936,11556">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591" stroked="true" strokeweight=".48pt" strokecolor="#000000">
              <v:stroke dashstyle="solid"/>
            </v:line>
            <v:line style="position:absolute" from="10915,46" to="10915,11591"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2.2</w:t>
      </w:r>
    </w:p>
    <w:p>
      <w:pPr>
        <w:pStyle w:val="ListParagraph"/>
        <w:numPr>
          <w:ilvl w:val="0"/>
          <w:numId w:val="1"/>
        </w:numPr>
        <w:tabs>
          <w:tab w:pos="1249" w:val="left" w:leader="none"/>
          <w:tab w:pos="1250" w:val="left" w:leader="none"/>
          <w:tab w:pos="9544"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8"/>
        <w:gridCol w:w="3426"/>
        <w:gridCol w:w="3634"/>
      </w:tblGrid>
      <w:tr>
        <w:trPr>
          <w:trHeight w:val="5877" w:hRule="atLeast"/>
        </w:trPr>
        <w:tc>
          <w:tcPr>
            <w:tcW w:w="2868"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我们提供的保障</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保险期间</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6"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2"/>
                <w:sz w:val="21"/>
              </w:rPr>
              <w:t>宽限期</w:t>
            </w:r>
          </w:p>
        </w:tc>
        <w:tc>
          <w:tcPr>
            <w:tcW w:w="3426" w:type="dxa"/>
            <w:tcBorders>
              <w:bottom w:val="single" w:sz="4" w:space="0" w:color="000000"/>
            </w:tcBorders>
          </w:tcPr>
          <w:p>
            <w:pPr>
              <w:pStyle w:val="TableParagraph"/>
              <w:numPr>
                <w:ilvl w:val="0"/>
                <w:numId w:val="3"/>
              </w:numPr>
              <w:tabs>
                <w:tab w:pos="748" w:val="left" w:leader="none"/>
              </w:tabs>
              <w:spacing w:line="211" w:lineRule="exact" w:before="0" w:after="0"/>
              <w:ind w:left="747" w:right="0" w:hanging="317"/>
              <w:jc w:val="left"/>
              <w:rPr>
                <w:b/>
                <w:sz w:val="21"/>
              </w:rPr>
            </w:pPr>
            <w:r>
              <w:rPr>
                <w:b/>
                <w:sz w:val="21"/>
              </w:rPr>
              <w:t>现金价值权益</w:t>
            </w:r>
          </w:p>
          <w:p>
            <w:pPr>
              <w:pStyle w:val="TableParagraph"/>
              <w:numPr>
                <w:ilvl w:val="1"/>
                <w:numId w:val="3"/>
              </w:numPr>
              <w:tabs>
                <w:tab w:pos="957" w:val="left" w:leader="none"/>
              </w:tabs>
              <w:spacing w:line="240" w:lineRule="auto" w:before="37" w:after="0"/>
              <w:ind w:left="956" w:right="0" w:hanging="420"/>
              <w:jc w:val="left"/>
              <w:rPr>
                <w:sz w:val="21"/>
              </w:rPr>
            </w:pPr>
            <w:r>
              <w:rPr>
                <w:spacing w:val="-2"/>
                <w:sz w:val="21"/>
              </w:rPr>
              <w:t>现金价值</w:t>
            </w:r>
          </w:p>
          <w:p>
            <w:pPr>
              <w:pStyle w:val="TableParagraph"/>
              <w:numPr>
                <w:ilvl w:val="1"/>
                <w:numId w:val="3"/>
              </w:numPr>
              <w:tabs>
                <w:tab w:pos="904" w:val="left" w:leader="none"/>
              </w:tabs>
              <w:spacing w:line="240" w:lineRule="auto" w:before="36" w:after="0"/>
              <w:ind w:left="903" w:right="0" w:hanging="367"/>
              <w:jc w:val="left"/>
              <w:rPr>
                <w:sz w:val="21"/>
              </w:rPr>
            </w:pPr>
            <w:r>
              <w:rPr>
                <w:spacing w:val="-3"/>
                <w:sz w:val="21"/>
              </w:rPr>
              <w:t>保险费自动垫交</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合同效力的中止及恢复</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效力中止</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效力恢复</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合同解除</w:t>
            </w:r>
          </w:p>
          <w:p>
            <w:pPr>
              <w:pStyle w:val="TableParagraph"/>
              <w:numPr>
                <w:ilvl w:val="1"/>
                <w:numId w:val="3"/>
              </w:numPr>
              <w:tabs>
                <w:tab w:pos="957" w:val="left" w:leader="none"/>
              </w:tabs>
              <w:spacing w:line="240" w:lineRule="auto" w:before="36" w:after="0"/>
              <w:ind w:left="956" w:right="0" w:hanging="420"/>
              <w:jc w:val="left"/>
              <w:rPr>
                <w:sz w:val="21"/>
              </w:rPr>
            </w:pPr>
            <w:r>
              <w:rPr>
                <w:spacing w:val="-3"/>
                <w:sz w:val="21"/>
              </w:rPr>
              <w:t>您解除合同的手续及风险</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其它需要关注的事项</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效力终止</w:t>
            </w:r>
          </w:p>
          <w:p>
            <w:pPr>
              <w:pStyle w:val="TableParagraph"/>
              <w:numPr>
                <w:ilvl w:val="1"/>
                <w:numId w:val="3"/>
              </w:numPr>
              <w:tabs>
                <w:tab w:pos="957" w:val="left" w:leader="none"/>
              </w:tabs>
              <w:spacing w:line="240" w:lineRule="auto" w:before="36" w:after="0"/>
              <w:ind w:left="956" w:right="0" w:hanging="420"/>
              <w:jc w:val="left"/>
              <w:rPr>
                <w:sz w:val="21"/>
              </w:rPr>
            </w:pPr>
            <w:r>
              <w:rPr>
                <w:spacing w:val="-3"/>
                <w:sz w:val="21"/>
              </w:rPr>
              <w:t>适用主合同条款</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重大疾病定义</w:t>
            </w:r>
          </w:p>
          <w:p>
            <w:pPr>
              <w:pStyle w:val="TableParagraph"/>
              <w:numPr>
                <w:ilvl w:val="0"/>
                <w:numId w:val="3"/>
              </w:numPr>
              <w:tabs>
                <w:tab w:pos="853" w:val="left" w:leader="none"/>
              </w:tabs>
              <w:spacing w:line="240" w:lineRule="auto" w:before="36" w:after="0"/>
              <w:ind w:left="853" w:right="0" w:hanging="423"/>
              <w:jc w:val="left"/>
              <w:rPr>
                <w:b/>
                <w:sz w:val="21"/>
              </w:rPr>
            </w:pPr>
            <w:r>
              <w:rPr>
                <w:b/>
                <w:sz w:val="21"/>
              </w:rPr>
              <w:t>释义</w:t>
            </w:r>
          </w:p>
          <w:p>
            <w:pPr>
              <w:pStyle w:val="TableParagraph"/>
              <w:numPr>
                <w:ilvl w:val="1"/>
                <w:numId w:val="3"/>
              </w:numPr>
              <w:tabs>
                <w:tab w:pos="1062" w:val="left" w:leader="none"/>
              </w:tabs>
              <w:spacing w:line="240" w:lineRule="auto" w:before="37" w:after="0"/>
              <w:ind w:left="1061" w:right="0" w:hanging="525"/>
              <w:jc w:val="left"/>
              <w:rPr>
                <w:sz w:val="21"/>
              </w:rPr>
            </w:pPr>
            <w:r>
              <w:rPr>
                <w:spacing w:val="-2"/>
                <w:sz w:val="21"/>
              </w:rPr>
              <w:t>保单年度</w:t>
            </w:r>
          </w:p>
          <w:p>
            <w:pPr>
              <w:pStyle w:val="TableParagraph"/>
              <w:numPr>
                <w:ilvl w:val="1"/>
                <w:numId w:val="3"/>
              </w:numPr>
              <w:tabs>
                <w:tab w:pos="1062" w:val="left" w:leader="none"/>
              </w:tabs>
              <w:spacing w:line="240" w:lineRule="auto" w:before="37" w:after="0"/>
              <w:ind w:left="1061" w:right="0" w:hanging="525"/>
              <w:jc w:val="left"/>
              <w:rPr>
                <w:sz w:val="21"/>
              </w:rPr>
            </w:pPr>
            <w:r>
              <w:rPr>
                <w:spacing w:val="-3"/>
                <w:sz w:val="21"/>
              </w:rPr>
              <w:t>保险费约定交纳日</w:t>
            </w:r>
          </w:p>
          <w:p>
            <w:pPr>
              <w:pStyle w:val="TableParagraph"/>
              <w:numPr>
                <w:ilvl w:val="1"/>
                <w:numId w:val="3"/>
              </w:numPr>
              <w:tabs>
                <w:tab w:pos="1062" w:val="left" w:leader="none"/>
              </w:tabs>
              <w:spacing w:line="240" w:lineRule="auto" w:before="37" w:after="0"/>
              <w:ind w:left="1061" w:right="0" w:hanging="525"/>
              <w:jc w:val="left"/>
              <w:rPr>
                <w:sz w:val="21"/>
              </w:rPr>
            </w:pPr>
            <w:r>
              <w:rPr>
                <w:sz w:val="21"/>
              </w:rPr>
              <w:t>周岁</w:t>
            </w:r>
          </w:p>
          <w:p>
            <w:pPr>
              <w:pStyle w:val="TableParagraph"/>
              <w:numPr>
                <w:ilvl w:val="1"/>
                <w:numId w:val="3"/>
              </w:numPr>
              <w:tabs>
                <w:tab w:pos="1062" w:val="left" w:leader="none"/>
              </w:tabs>
              <w:spacing w:line="240" w:lineRule="auto" w:before="37" w:after="0"/>
              <w:ind w:left="1061" w:right="0" w:hanging="525"/>
              <w:jc w:val="left"/>
              <w:rPr>
                <w:sz w:val="21"/>
              </w:rPr>
            </w:pPr>
            <w:r>
              <w:rPr>
                <w:spacing w:val="-3"/>
                <w:sz w:val="21"/>
              </w:rPr>
              <w:t>有效身份证件</w:t>
            </w:r>
          </w:p>
          <w:p>
            <w:pPr>
              <w:pStyle w:val="TableParagraph"/>
              <w:numPr>
                <w:ilvl w:val="1"/>
                <w:numId w:val="3"/>
              </w:numPr>
              <w:tabs>
                <w:tab w:pos="1062" w:val="left" w:leader="none"/>
              </w:tabs>
              <w:spacing w:line="240" w:lineRule="auto" w:before="37" w:after="0"/>
              <w:ind w:left="1061" w:right="0" w:hanging="525"/>
              <w:jc w:val="left"/>
              <w:rPr>
                <w:sz w:val="21"/>
              </w:rPr>
            </w:pPr>
            <w:r>
              <w:rPr>
                <w:sz w:val="21"/>
              </w:rPr>
              <w:t>医院</w:t>
            </w:r>
          </w:p>
        </w:tc>
        <w:tc>
          <w:tcPr>
            <w:tcW w:w="3634" w:type="dxa"/>
            <w:tcBorders>
              <w:bottom w:val="single" w:sz="4" w:space="0" w:color="000000"/>
            </w:tcBorders>
          </w:tcPr>
          <w:p>
            <w:pPr>
              <w:pStyle w:val="TableParagraph"/>
              <w:numPr>
                <w:ilvl w:val="1"/>
                <w:numId w:val="4"/>
              </w:numPr>
              <w:tabs>
                <w:tab w:pos="788" w:val="left" w:leader="none"/>
              </w:tabs>
              <w:spacing w:line="211" w:lineRule="exact" w:before="0" w:after="0"/>
              <w:ind w:left="156" w:right="0" w:firstLine="105"/>
              <w:jc w:val="left"/>
              <w:rPr>
                <w:sz w:val="21"/>
              </w:rPr>
            </w:pPr>
            <w:r>
              <w:rPr>
                <w:sz w:val="21"/>
              </w:rPr>
              <w:t>毒品</w:t>
            </w:r>
          </w:p>
          <w:p>
            <w:pPr>
              <w:pStyle w:val="TableParagraph"/>
              <w:numPr>
                <w:ilvl w:val="1"/>
                <w:numId w:val="4"/>
              </w:numPr>
              <w:tabs>
                <w:tab w:pos="788" w:val="left" w:leader="none"/>
              </w:tabs>
              <w:spacing w:line="240" w:lineRule="auto" w:before="37" w:after="0"/>
              <w:ind w:left="156" w:right="0" w:firstLine="105"/>
              <w:jc w:val="left"/>
              <w:rPr>
                <w:sz w:val="21"/>
              </w:rPr>
            </w:pPr>
            <w:r>
              <w:rPr>
                <w:spacing w:val="-2"/>
                <w:sz w:val="21"/>
              </w:rPr>
              <w:t>酒后驾驶</w:t>
            </w:r>
          </w:p>
          <w:p>
            <w:pPr>
              <w:pStyle w:val="TableParagraph"/>
              <w:numPr>
                <w:ilvl w:val="1"/>
                <w:numId w:val="4"/>
              </w:numPr>
              <w:tabs>
                <w:tab w:pos="788" w:val="left" w:leader="none"/>
              </w:tabs>
              <w:spacing w:line="240" w:lineRule="auto" w:before="36" w:after="0"/>
              <w:ind w:left="156" w:right="0" w:firstLine="105"/>
              <w:jc w:val="left"/>
              <w:rPr>
                <w:sz w:val="21"/>
              </w:rPr>
            </w:pPr>
            <w:r>
              <w:rPr>
                <w:spacing w:val="-3"/>
                <w:sz w:val="21"/>
              </w:rPr>
              <w:t>无合法有效驾驶证驾驶</w:t>
            </w:r>
          </w:p>
          <w:p>
            <w:pPr>
              <w:pStyle w:val="TableParagraph"/>
              <w:numPr>
                <w:ilvl w:val="1"/>
                <w:numId w:val="4"/>
              </w:numPr>
              <w:tabs>
                <w:tab w:pos="788" w:val="left" w:leader="none"/>
              </w:tabs>
              <w:spacing w:line="240" w:lineRule="auto" w:before="36" w:after="0"/>
              <w:ind w:left="156" w:right="0" w:firstLine="105"/>
              <w:jc w:val="left"/>
              <w:rPr>
                <w:sz w:val="21"/>
              </w:rPr>
            </w:pPr>
            <w:r>
              <w:rPr>
                <w:spacing w:val="-3"/>
                <w:sz w:val="21"/>
              </w:rPr>
              <w:t>无有效行驶证</w:t>
            </w:r>
          </w:p>
          <w:p>
            <w:pPr>
              <w:pStyle w:val="TableParagraph"/>
              <w:numPr>
                <w:ilvl w:val="1"/>
                <w:numId w:val="4"/>
              </w:numPr>
              <w:tabs>
                <w:tab w:pos="893" w:val="left" w:leader="none"/>
              </w:tabs>
              <w:spacing w:line="240" w:lineRule="auto" w:before="36" w:after="0"/>
              <w:ind w:left="893" w:right="0" w:hanging="632"/>
              <w:jc w:val="left"/>
              <w:rPr>
                <w:sz w:val="21"/>
              </w:rPr>
            </w:pPr>
            <w:r>
              <w:rPr>
                <w:spacing w:val="-2"/>
                <w:sz w:val="21"/>
              </w:rPr>
              <w:t>机动车</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感染艾滋病病毒或患艾滋病</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遗传性疾病</w:t>
            </w:r>
          </w:p>
          <w:p>
            <w:pPr>
              <w:pStyle w:val="TableParagraph"/>
              <w:numPr>
                <w:ilvl w:val="1"/>
                <w:numId w:val="4"/>
              </w:numPr>
              <w:tabs>
                <w:tab w:pos="893" w:val="left" w:leader="none"/>
              </w:tabs>
              <w:spacing w:line="273" w:lineRule="auto" w:before="36" w:after="0"/>
              <w:ind w:left="156" w:right="218" w:firstLine="105"/>
              <w:jc w:val="left"/>
              <w:rPr>
                <w:sz w:val="21"/>
              </w:rPr>
            </w:pPr>
            <w:r>
              <w:rPr>
                <w:spacing w:val="-3"/>
                <w:sz w:val="21"/>
              </w:rPr>
              <w:t>先天性畸形、变形或染色体异常</w:t>
            </w:r>
          </w:p>
          <w:p>
            <w:pPr>
              <w:pStyle w:val="TableParagraph"/>
              <w:numPr>
                <w:ilvl w:val="1"/>
                <w:numId w:val="4"/>
              </w:numPr>
              <w:tabs>
                <w:tab w:pos="893" w:val="left" w:leader="none"/>
              </w:tabs>
              <w:spacing w:line="240" w:lineRule="auto" w:before="7" w:after="0"/>
              <w:ind w:left="893" w:right="0" w:hanging="632"/>
              <w:jc w:val="left"/>
              <w:rPr>
                <w:sz w:val="21"/>
              </w:rPr>
            </w:pPr>
            <w:r>
              <w:rPr>
                <w:spacing w:val="-3"/>
                <w:sz w:val="21"/>
              </w:rPr>
              <w:t>现金价值</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专科医生</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利息</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肢体机能完全丧失</w:t>
            </w:r>
          </w:p>
          <w:p>
            <w:pPr>
              <w:pStyle w:val="TableParagraph"/>
              <w:numPr>
                <w:ilvl w:val="1"/>
                <w:numId w:val="4"/>
              </w:numPr>
              <w:tabs>
                <w:tab w:pos="893" w:val="left" w:leader="none"/>
              </w:tabs>
              <w:spacing w:line="273" w:lineRule="auto" w:before="37" w:after="0"/>
              <w:ind w:left="156" w:right="218" w:firstLine="105"/>
              <w:jc w:val="left"/>
              <w:rPr>
                <w:sz w:val="21"/>
              </w:rPr>
            </w:pPr>
            <w:r>
              <w:rPr>
                <w:spacing w:val="-3"/>
                <w:sz w:val="21"/>
              </w:rPr>
              <w:t>语言能力或咀嚼吞咽能力完全丧失</w:t>
            </w:r>
          </w:p>
          <w:p>
            <w:pPr>
              <w:pStyle w:val="TableParagraph"/>
              <w:numPr>
                <w:ilvl w:val="1"/>
                <w:numId w:val="4"/>
              </w:numPr>
              <w:tabs>
                <w:tab w:pos="893" w:val="left" w:leader="none"/>
              </w:tabs>
              <w:spacing w:line="240" w:lineRule="auto" w:before="7" w:after="0"/>
              <w:ind w:left="893" w:right="0" w:hanging="632"/>
              <w:jc w:val="left"/>
              <w:rPr>
                <w:sz w:val="21"/>
              </w:rPr>
            </w:pPr>
            <w:r>
              <w:rPr>
                <w:spacing w:val="-3"/>
                <w:sz w:val="21"/>
              </w:rPr>
              <w:t>六项基本日常生活活动</w:t>
            </w:r>
          </w:p>
          <w:p>
            <w:pPr>
              <w:pStyle w:val="TableParagraph"/>
              <w:numPr>
                <w:ilvl w:val="1"/>
                <w:numId w:val="4"/>
              </w:numPr>
              <w:tabs>
                <w:tab w:pos="893" w:val="left" w:leader="none"/>
              </w:tabs>
              <w:spacing w:line="240" w:lineRule="auto" w:before="37" w:after="0"/>
              <w:ind w:left="893" w:right="0" w:hanging="632"/>
              <w:jc w:val="left"/>
              <w:rPr>
                <w:sz w:val="21"/>
              </w:rPr>
            </w:pPr>
            <w:r>
              <w:rPr>
                <w:spacing w:val="-2"/>
                <w:sz w:val="21"/>
              </w:rPr>
              <w:t>意外伤害</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永久不可逆</w:t>
            </w:r>
          </w:p>
        </w:tc>
      </w:tr>
    </w:tbl>
    <w:p>
      <w:pPr>
        <w:spacing w:after="0" w:line="240" w:lineRule="auto"/>
        <w:jc w:val="left"/>
        <w:rPr>
          <w:sz w:val="21"/>
        </w:rPr>
        <w:sectPr>
          <w:type w:val="continuous"/>
          <w:pgSz w:w="11910" w:h="16840"/>
          <w:pgMar w:top="840" w:bottom="280" w:left="880" w:right="220"/>
        </w:sectPr>
      </w:pPr>
    </w:p>
    <w:p>
      <w:pPr>
        <w:pStyle w:val="Heading1"/>
        <w:spacing w:line="478"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泰康附加永福人生提前给付重大疾病保险条款</w:t>
      </w:r>
    </w:p>
    <w:p>
      <w:pPr>
        <w:pStyle w:val="BodyText"/>
        <w:spacing w:before="107"/>
        <w:ind w:left="2800"/>
      </w:pPr>
      <w:r>
        <w:rPr/>
        <w:t>（2010 年 5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的分公司，“本附加合同”指您与我们之间订立的“泰康附加永福人生提前给付重大疾病保险合同”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jc w:val="both"/>
              <w:rPr>
                <w:sz w:val="21"/>
              </w:rPr>
            </w:pPr>
            <w:r>
              <w:rPr>
                <w:spacing w:val="-3"/>
                <w:sz w:val="21"/>
              </w:rPr>
              <w:t>本附加合同由“泰康永福人生年金保险（</w:t>
            </w:r>
            <w:r>
              <w:rPr>
                <w:spacing w:val="-2"/>
                <w:sz w:val="21"/>
              </w:rPr>
              <w:t>分红型</w:t>
            </w:r>
            <w:r>
              <w:rPr>
                <w:spacing w:val="-3"/>
                <w:sz w:val="21"/>
              </w:rPr>
              <w:t>）</w:t>
            </w:r>
            <w:r>
              <w:rPr>
                <w:spacing w:val="-1"/>
                <w:sz w:val="21"/>
              </w:rPr>
              <w:t>保险合同”</w:t>
            </w:r>
            <w:r>
              <w:rPr>
                <w:sz w:val="21"/>
              </w:rPr>
              <w:t>（</w:t>
            </w:r>
            <w:r>
              <w:rPr>
                <w:spacing w:val="-3"/>
                <w:sz w:val="21"/>
              </w:rPr>
              <w:t>以下简称“主合</w:t>
            </w:r>
            <w:r>
              <w:rPr>
                <w:spacing w:val="-55"/>
                <w:w w:val="100"/>
                <w:sz w:val="21"/>
              </w:rPr>
              <w:t>同”</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69"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649" w:hRule="atLeast"/>
        </w:trPr>
        <w:tc>
          <w:tcPr>
            <w:tcW w:w="664" w:type="dxa"/>
            <w:tcBorders>
              <w:bottom w:val="single" w:sz="8" w:space="0" w:color="000000"/>
            </w:tcBorders>
          </w:tcPr>
          <w:p>
            <w:pPr>
              <w:pStyle w:val="TableParagraph"/>
              <w:spacing w:before="160"/>
              <w:ind w:left="107"/>
              <w:rPr>
                <w:b/>
                <w:sz w:val="24"/>
              </w:rPr>
            </w:pPr>
            <w:r>
              <w:rPr>
                <w:b/>
                <w:sz w:val="24"/>
              </w:rPr>
              <w:t>2.</w:t>
            </w:r>
          </w:p>
        </w:tc>
        <w:tc>
          <w:tcPr>
            <w:tcW w:w="9262" w:type="dxa"/>
            <w:gridSpan w:val="2"/>
            <w:tcBorders>
              <w:bottom w:val="single" w:sz="8" w:space="0" w:color="000000"/>
            </w:tcBorders>
          </w:tcPr>
          <w:p>
            <w:pPr>
              <w:pStyle w:val="TableParagraph"/>
              <w:spacing w:before="160"/>
              <w:ind w:left="238"/>
              <w:rPr>
                <w:b/>
                <w:sz w:val="24"/>
              </w:rPr>
            </w:pPr>
            <w:r>
              <w:rPr>
                <w:b/>
                <w:w w:val="95"/>
                <w:sz w:val="24"/>
              </w:rPr>
              <w:t>我们提供的保障</w:t>
            </w:r>
          </w:p>
        </w:tc>
      </w:tr>
      <w:tr>
        <w:trPr>
          <w:trHeight w:val="676" w:hRule="atLeast"/>
        </w:trPr>
        <w:tc>
          <w:tcPr>
            <w:tcW w:w="664" w:type="dxa"/>
            <w:tcBorders>
              <w:top w:val="single" w:sz="8" w:space="0" w:color="000000"/>
            </w:tcBorders>
          </w:tcPr>
          <w:p>
            <w:pPr>
              <w:pStyle w:val="TableParagraph"/>
              <w:spacing w:before="4"/>
              <w:ind w:left="0"/>
              <w:rPr>
                <w:sz w:val="17"/>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4"/>
              <w:ind w:left="0"/>
              <w:rPr>
                <w:sz w:val="17"/>
              </w:rPr>
            </w:pPr>
          </w:p>
          <w:p>
            <w:pPr>
              <w:pStyle w:val="TableParagraph"/>
              <w:spacing w:before="0"/>
              <w:ind w:left="238"/>
              <w:rPr>
                <w:b/>
                <w:sz w:val="21"/>
              </w:rPr>
            </w:pPr>
            <w:r>
              <w:rPr>
                <w:b/>
                <w:sz w:val="21"/>
              </w:rPr>
              <w:t>保险期间</w:t>
            </w:r>
          </w:p>
        </w:tc>
        <w:tc>
          <w:tcPr>
            <w:tcW w:w="7624" w:type="dxa"/>
            <w:tcBorders>
              <w:top w:val="single" w:sz="8" w:space="0" w:color="000000"/>
            </w:tcBorders>
          </w:tcPr>
          <w:p>
            <w:pPr>
              <w:pStyle w:val="TableParagraph"/>
              <w:spacing w:before="4"/>
              <w:ind w:left="0"/>
              <w:rPr>
                <w:sz w:val="17"/>
              </w:rPr>
            </w:pPr>
          </w:p>
          <w:p>
            <w:pPr>
              <w:pStyle w:val="TableParagraph"/>
              <w:spacing w:before="0"/>
              <w:rPr>
                <w:sz w:val="21"/>
              </w:rPr>
            </w:pPr>
            <w:r>
              <w:rPr>
                <w:sz w:val="21"/>
              </w:rPr>
              <w:t>本附加合同的保险期间与主合同的保险期间相同，并在保险单上载明。</w:t>
            </w:r>
          </w:p>
        </w:tc>
      </w:tr>
      <w:tr>
        <w:trPr>
          <w:trHeight w:val="557"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保险责任</w:t>
            </w:r>
          </w:p>
        </w:tc>
        <w:tc>
          <w:tcPr>
            <w:tcW w:w="7624" w:type="dxa"/>
          </w:tcPr>
          <w:p>
            <w:pPr>
              <w:pStyle w:val="TableParagraph"/>
              <w:spacing w:before="110"/>
              <w:rPr>
                <w:sz w:val="21"/>
              </w:rPr>
            </w:pPr>
            <w:r>
              <w:rPr>
                <w:sz w:val="21"/>
              </w:rPr>
              <w:t>在本附加合同保险期间内，我们承担下列保险责任：</w:t>
            </w:r>
          </w:p>
        </w:tc>
      </w:tr>
      <w:tr>
        <w:trPr>
          <w:trHeight w:val="171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66" w:lineRule="auto" w:before="114"/>
              <w:ind w:right="101"/>
              <w:jc w:val="both"/>
              <w:rPr>
                <w:sz w:val="21"/>
              </w:rPr>
            </w:pPr>
            <w:r>
              <w:rPr>
                <w:spacing w:val="-2"/>
                <w:sz w:val="21"/>
              </w:rPr>
              <w:t>被保险人经</w:t>
            </w:r>
            <w:r>
              <w:rPr>
                <w:b/>
                <w:sz w:val="21"/>
              </w:rPr>
              <w:t>医院</w:t>
            </w:r>
            <w:r>
              <w:rPr>
                <w:spacing w:val="-3"/>
                <w:sz w:val="21"/>
              </w:rPr>
              <w:t>（</w:t>
            </w:r>
            <w:r>
              <w:rPr>
                <w:spacing w:val="2"/>
                <w:sz w:val="21"/>
              </w:rPr>
              <w:t>见 </w:t>
            </w:r>
            <w:r>
              <w:rPr>
                <w:rFonts w:ascii="Times New Roman" w:eastAsia="Times New Roman"/>
                <w:sz w:val="21"/>
              </w:rPr>
              <w:t>10.5</w:t>
            </w:r>
            <w:r>
              <w:rPr>
                <w:sz w:val="21"/>
              </w:rPr>
              <w:t>）</w:t>
            </w:r>
            <w:r>
              <w:rPr>
                <w:spacing w:val="-3"/>
                <w:sz w:val="21"/>
              </w:rPr>
              <w:t>初次确诊罹患本附加合同所定义的重大疾病</w:t>
            </w:r>
            <w:r>
              <w:rPr>
                <w:sz w:val="21"/>
              </w:rPr>
              <w:t>（</w:t>
            </w:r>
            <w:r>
              <w:rPr>
                <w:spacing w:val="-2"/>
                <w:sz w:val="21"/>
              </w:rPr>
              <w:t>无论一</w:t>
            </w:r>
            <w:r>
              <w:rPr>
                <w:spacing w:val="-3"/>
                <w:sz w:val="21"/>
              </w:rPr>
              <w:t>种或多种</w:t>
            </w:r>
            <w:r>
              <w:rPr>
                <w:spacing w:val="-72"/>
                <w:sz w:val="21"/>
              </w:rPr>
              <w:t>）</w:t>
            </w:r>
            <w:r>
              <w:rPr>
                <w:spacing w:val="-12"/>
                <w:sz w:val="21"/>
              </w:rPr>
              <w:t>，我们将向重大疾病保险金受益人给付重大疾病保险金，本附加合同和</w:t>
            </w:r>
            <w:r>
              <w:rPr>
                <w:spacing w:val="-11"/>
                <w:sz w:val="21"/>
              </w:rPr>
              <w:t>主合同同时终止。重大疾病保险金数额等于被保险人重大疾病初次确诊之日，主</w:t>
            </w:r>
            <w:r>
              <w:rPr>
                <w:spacing w:val="-6"/>
                <w:sz w:val="21"/>
              </w:rPr>
              <w:t>合同项下的身故保险金数额。</w:t>
            </w:r>
          </w:p>
          <w:p>
            <w:pPr>
              <w:pStyle w:val="TableParagraph"/>
              <w:spacing w:line="255" w:lineRule="exact" w:before="92"/>
              <w:jc w:val="both"/>
              <w:rPr>
                <w:rFonts w:ascii="黑体" w:hAnsi="黑体" w:eastAsia="黑体" w:hint="eastAsia"/>
                <w:sz w:val="21"/>
              </w:rPr>
            </w:pPr>
            <w:r>
              <w:rPr>
                <w:rFonts w:ascii="黑体" w:hAnsi="黑体" w:eastAsia="黑体" w:hint="eastAsia"/>
                <w:sz w:val="21"/>
              </w:rPr>
              <w:t>本附加合同定义的重大疾病载明于本附加合同“9.重大疾病定义”。</w:t>
            </w:r>
          </w:p>
        </w:tc>
      </w:tr>
    </w:tbl>
    <w:p>
      <w:pPr>
        <w:spacing w:after="0" w:line="255" w:lineRule="exact"/>
        <w:jc w:val="both"/>
        <w:rPr>
          <w:rFonts w:ascii="黑体" w:hAns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711"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对于本附加合同项下的重大疾病保险金和主合同项下的身故保险金，我们只给付</w:t>
            </w:r>
          </w:p>
          <w:p>
            <w:pPr>
              <w:pStyle w:val="TableParagraph"/>
              <w:spacing w:before="37"/>
              <w:rPr>
                <w:sz w:val="21"/>
              </w:rPr>
            </w:pPr>
            <w:r>
              <w:rPr>
                <w:sz w:val="21"/>
              </w:rPr>
              <w:t>其中的一项。在给付其中任意一项后，本附加合同和主合同同时终止。</w:t>
            </w:r>
          </w:p>
          <w:p>
            <w:pPr>
              <w:pStyle w:val="TableParagraph"/>
              <w:spacing w:line="271" w:lineRule="auto" w:before="116"/>
              <w:ind w:right="132"/>
              <w:jc w:val="both"/>
              <w:rPr>
                <w:sz w:val="21"/>
              </w:rPr>
            </w:pPr>
            <w:r>
              <w:rPr>
                <w:spacing w:val="-3"/>
                <w:sz w:val="21"/>
              </w:rPr>
              <w:t>如果主合同项下有借款或其他未还款项，则我们在给付重大疾病保险金时必须依</w:t>
            </w:r>
            <w:r>
              <w:rPr>
                <w:spacing w:val="-11"/>
                <w:sz w:val="21"/>
              </w:rPr>
              <w:t>主合同 </w:t>
            </w:r>
            <w:r>
              <w:rPr>
                <w:sz w:val="21"/>
              </w:rPr>
              <w:t>9.4</w:t>
            </w:r>
            <w:r>
              <w:rPr>
                <w:spacing w:val="-8"/>
                <w:sz w:val="21"/>
              </w:rPr>
              <w:t> 的有关规定从本附加合同项下的重大疾病保险金中扣除主合同项下的</w:t>
            </w:r>
            <w:r>
              <w:rPr>
                <w:spacing w:val="-5"/>
                <w:sz w:val="21"/>
              </w:rPr>
              <w:t>所有欠款及应付利息。</w:t>
            </w:r>
          </w:p>
        </w:tc>
      </w:tr>
      <w:tr>
        <w:trPr>
          <w:trHeight w:val="6370"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责任免除</w:t>
            </w:r>
          </w:p>
        </w:tc>
        <w:tc>
          <w:tcPr>
            <w:tcW w:w="7624" w:type="dxa"/>
          </w:tcPr>
          <w:p>
            <w:pPr>
              <w:pStyle w:val="TableParagraph"/>
              <w:spacing w:line="273" w:lineRule="auto"/>
              <w:ind w:right="132"/>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10.6)；</w:t>
            </w:r>
          </w:p>
          <w:p>
            <w:pPr>
              <w:pStyle w:val="TableParagraph"/>
              <w:numPr>
                <w:ilvl w:val="0"/>
                <w:numId w:val="5"/>
              </w:numPr>
              <w:tabs>
                <w:tab w:pos="866" w:val="left" w:leader="none"/>
                <w:tab w:pos="867" w:val="left" w:leader="none"/>
              </w:tabs>
              <w:spacing w:line="273" w:lineRule="auto" w:before="114" w:after="0"/>
              <w:ind w:left="867" w:right="122"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10.7)</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10.8</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10.9)</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10.10)；</w:t>
            </w:r>
          </w:p>
          <w:p>
            <w:pPr>
              <w:pStyle w:val="TableParagraph"/>
              <w:numPr>
                <w:ilvl w:val="0"/>
                <w:numId w:val="5"/>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10.11)；</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66" w:val="left" w:leader="none"/>
                <w:tab w:pos="867" w:val="left" w:leader="none"/>
              </w:tabs>
              <w:spacing w:line="273" w:lineRule="auto" w:before="114" w:after="0"/>
              <w:ind w:left="867" w:right="125"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10.12)，</w:t>
            </w:r>
            <w:r>
              <w:rPr>
                <w:rFonts w:ascii="黑体" w:eastAsia="黑体" w:hint="eastAsia"/>
                <w:b/>
                <w:spacing w:val="-2"/>
                <w:sz w:val="21"/>
              </w:rPr>
              <w:t>先天性畸形、变形或染色体异常</w:t>
            </w:r>
            <w:r>
              <w:rPr>
                <w:rFonts w:ascii="黑体" w:eastAsia="黑体" w:hint="eastAsia"/>
                <w:spacing w:val="-18"/>
                <w:sz w:val="21"/>
              </w:rPr>
              <w:t>(见 </w:t>
            </w:r>
            <w:r>
              <w:rPr>
                <w:rFonts w:ascii="黑体" w:eastAsia="黑体" w:hint="eastAsia"/>
                <w:sz w:val="21"/>
              </w:rPr>
              <w:t>10.13)</w:t>
            </w:r>
            <w:r>
              <w:rPr>
                <w:rFonts w:ascii="黑体" w:eastAsia="黑体" w:hint="eastAsia"/>
                <w:spacing w:val="-2"/>
                <w:sz w:val="21"/>
              </w:rPr>
              <w:t>，但</w:t>
            </w:r>
            <w:r>
              <w:rPr>
                <w:rFonts w:ascii="黑体" w:eastAsia="黑体" w:hint="eastAsia"/>
                <w:spacing w:val="-3"/>
                <w:sz w:val="21"/>
              </w:rPr>
              <w:t>本附加合同有特别约定的除外。</w:t>
            </w:r>
          </w:p>
          <w:p>
            <w:pPr>
              <w:pStyle w:val="TableParagraph"/>
              <w:spacing w:line="271" w:lineRule="auto" w:before="87"/>
              <w:ind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10"/>
              <w:rPr>
                <w:rFonts w:ascii="黑体" w:eastAsia="黑体" w:hint="eastAsia"/>
                <w:sz w:val="21"/>
              </w:rPr>
            </w:pPr>
            <w:r>
              <w:rPr>
                <w:rFonts w:ascii="黑体" w:eastAsia="黑体" w:hint="eastAsia"/>
                <w:sz w:val="21"/>
              </w:rPr>
              <w:t>10.14)。</w:t>
            </w:r>
          </w:p>
          <w:p>
            <w:pPr>
              <w:pStyle w:val="TableParagraph"/>
              <w:spacing w:line="273" w:lineRule="auto" w:before="116"/>
              <w:ind w:right="132"/>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3.</w:t>
            </w:r>
          </w:p>
        </w:tc>
        <w:tc>
          <w:tcPr>
            <w:tcW w:w="1638" w:type="dxa"/>
            <w:tcBorders>
              <w:bottom w:val="single" w:sz="8" w:space="0" w:color="000000"/>
            </w:tcBorders>
          </w:tcPr>
          <w:p>
            <w:pPr>
              <w:pStyle w:val="TableParagraph"/>
              <w:spacing w:before="137"/>
              <w:ind w:left="238"/>
              <w:rPr>
                <w:b/>
                <w:sz w:val="24"/>
              </w:rPr>
            </w:pPr>
            <w:r>
              <w:rPr>
                <w:b/>
                <w:w w:val="95"/>
                <w:sz w:val="24"/>
              </w:rPr>
              <w:t>保险金的申</w:t>
            </w:r>
          </w:p>
        </w:tc>
        <w:tc>
          <w:tcPr>
            <w:tcW w:w="7624" w:type="dxa"/>
            <w:tcBorders>
              <w:bottom w:val="single" w:sz="8" w:space="0" w:color="000000"/>
            </w:tcBorders>
          </w:tcPr>
          <w:p>
            <w:pPr>
              <w:pStyle w:val="TableParagraph"/>
              <w:spacing w:before="137"/>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right="103"/>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定的部分不承担给付保险金的责任，但我们通过其他途径已经及时知道或者应当</w:t>
            </w:r>
            <w:r>
              <w:rPr>
                <w:rFonts w:ascii="黑体" w:eastAsia="黑体" w:hint="eastAsia"/>
                <w:spacing w:val="-3"/>
                <w:sz w:val="21"/>
              </w:rPr>
              <w:t>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2881"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4" w:type="dxa"/>
          </w:tcPr>
          <w:p>
            <w:pPr>
              <w:pStyle w:val="TableParagraph"/>
              <w:spacing w:line="273" w:lineRule="auto" w:before="110"/>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7"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3"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1" w:lineRule="auto" w:before="115" w:after="0"/>
              <w:ind w:left="852" w:right="101" w:hanging="720"/>
              <w:jc w:val="both"/>
              <w:rPr>
                <w:sz w:val="21"/>
              </w:rPr>
            </w:pPr>
            <w:r>
              <w:rPr>
                <w:spacing w:val="-3"/>
                <w:sz w:val="21"/>
              </w:rPr>
              <w:t>由医院</w:t>
            </w:r>
            <w:r>
              <w:rPr>
                <w:b/>
                <w:sz w:val="21"/>
              </w:rPr>
              <w:t>专科医生</w:t>
            </w:r>
            <w:r>
              <w:rPr>
                <w:spacing w:val="-12"/>
                <w:sz w:val="21"/>
              </w:rPr>
              <w:t>(见 </w:t>
            </w:r>
            <w:r>
              <w:rPr>
                <w:sz w:val="21"/>
              </w:rPr>
              <w:t>10.15</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55" w:lineRule="exact" w:before="88" w:after="0"/>
              <w:ind w:left="852" w:right="0" w:hanging="720"/>
              <w:jc w:val="left"/>
              <w:rPr>
                <w:sz w:val="21"/>
              </w:rPr>
            </w:pPr>
            <w:r>
              <w:rPr>
                <w:spacing w:val="-3"/>
                <w:sz w:val="21"/>
              </w:rPr>
              <w:t>所能提供的与确认保险事故的性质、原因等有关的其他证明和资料。</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514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以上证明和资料不完整的，我们将及时一次性通知受益人补充提供有关的证明和</w:t>
            </w:r>
          </w:p>
          <w:p>
            <w:pPr>
              <w:pStyle w:val="TableParagraph"/>
              <w:spacing w:before="37"/>
              <w:rPr>
                <w:sz w:val="21"/>
              </w:rPr>
            </w:pPr>
            <w:r>
              <w:rPr>
                <w:sz w:val="21"/>
              </w:rPr>
              <w:t>资料。</w:t>
            </w:r>
          </w:p>
          <w:p>
            <w:pPr>
              <w:pStyle w:val="TableParagraph"/>
              <w:spacing w:line="271" w:lineRule="auto" w:before="116"/>
              <w:ind w:right="132"/>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132"/>
              <w:jc w:val="both"/>
              <w:rPr>
                <w:sz w:val="21"/>
              </w:rPr>
            </w:pPr>
            <w:r>
              <w:rPr>
                <w:sz w:val="21"/>
              </w:rPr>
              <w:t>保险金作为被保险人遗产时，继承人还必须提供可证明其合法继承权的相关权利文件。</w:t>
            </w:r>
          </w:p>
          <w:p>
            <w:pPr>
              <w:pStyle w:val="TableParagraph"/>
              <w:spacing w:line="271" w:lineRule="auto" w:before="86"/>
              <w:ind w:right="132"/>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3" w:lineRule="auto" w:before="88"/>
              <w:ind w:right="132"/>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1" w:lineRule="auto" w:before="86"/>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4"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4" w:type="dxa"/>
          </w:tcPr>
          <w:p>
            <w:pPr>
              <w:pStyle w:val="TableParagraph"/>
              <w:rPr>
                <w:sz w:val="21"/>
              </w:rPr>
            </w:pPr>
            <w:r>
              <w:rPr>
                <w:sz w:val="21"/>
              </w:rPr>
              <w:t>我们在收到领取保险金申请书及本附加合同约定的证明和资料后，将在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6"/>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9"/>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3" w:lineRule="auto"/>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4" w:type="dxa"/>
            <w:tcBorders>
              <w:bottom w:val="single" w:sz="8" w:space="0" w:color="000000"/>
            </w:tcBorders>
          </w:tcPr>
          <w:p>
            <w:pPr>
              <w:pStyle w:val="TableParagraph"/>
              <w:spacing w:before="135"/>
              <w:ind w:left="-195"/>
              <w:rPr>
                <w:b/>
                <w:sz w:val="24"/>
              </w:rPr>
            </w:pPr>
            <w:r>
              <w:rPr>
                <w:b/>
                <w:w w:val="99"/>
                <w:sz w:val="24"/>
              </w:rPr>
              <w:t>纳</w:t>
            </w:r>
          </w:p>
        </w:tc>
      </w:tr>
      <w:tr>
        <w:trPr>
          <w:trHeight w:val="13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pacing w:val="-6"/>
                <w:sz w:val="21"/>
              </w:rPr>
              <w:t>本附加合同的交费方式和交费期间由您在投保时与我们约定，并在保险单上载明。</w:t>
            </w:r>
          </w:p>
          <w:p>
            <w:pPr>
              <w:pStyle w:val="TableParagraph"/>
              <w:spacing w:line="273" w:lineRule="auto" w:before="114"/>
              <w:ind w:right="132"/>
              <w:rPr>
                <w:sz w:val="21"/>
              </w:rPr>
            </w:pPr>
            <w:r>
              <w:rPr>
                <w:sz w:val="21"/>
              </w:rPr>
              <w:t>分期支付保险费的，在交纳首期保险费后，您应当在每个保险费约定交纳日交纳其余各期的保险费。</w:t>
            </w:r>
          </w:p>
        </w:tc>
      </w:tr>
      <w:tr>
        <w:trPr>
          <w:trHeight w:val="1710" w:hRule="atLeast"/>
        </w:trPr>
        <w:tc>
          <w:tcPr>
            <w:tcW w:w="664" w:type="dxa"/>
          </w:tcPr>
          <w:p>
            <w:pPr>
              <w:pStyle w:val="TableParagraph"/>
              <w:spacing w:before="110"/>
              <w:ind w:left="107"/>
              <w:rPr>
                <w:b/>
                <w:sz w:val="21"/>
              </w:rPr>
            </w:pPr>
            <w:r>
              <w:rPr>
                <w:b/>
                <w:sz w:val="21"/>
              </w:rPr>
              <w:t>4.2</w:t>
            </w:r>
          </w:p>
        </w:tc>
        <w:tc>
          <w:tcPr>
            <w:tcW w:w="1638" w:type="dxa"/>
          </w:tcPr>
          <w:p>
            <w:pPr>
              <w:pStyle w:val="TableParagraph"/>
              <w:spacing w:before="110"/>
              <w:ind w:left="238"/>
              <w:rPr>
                <w:b/>
                <w:sz w:val="21"/>
              </w:rPr>
            </w:pPr>
            <w:r>
              <w:rPr>
                <w:b/>
                <w:sz w:val="21"/>
              </w:rPr>
              <w:t>宽限期</w:t>
            </w:r>
          </w:p>
        </w:tc>
        <w:tc>
          <w:tcPr>
            <w:tcW w:w="7624" w:type="dxa"/>
          </w:tcPr>
          <w:p>
            <w:pPr>
              <w:pStyle w:val="TableParagraph"/>
              <w:spacing w:line="273" w:lineRule="auto" w:before="110"/>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310" w:lineRule="atLeast" w:before="51"/>
              <w:ind w:right="132"/>
              <w:jc w:val="both"/>
              <w:rPr>
                <w:sz w:val="21"/>
              </w:rPr>
            </w:pPr>
            <w:r>
              <w:rPr>
                <w:sz w:val="21"/>
              </w:rPr>
              <w:t>如果您在宽限期内未交纳保险费，则本附加合同自宽限期满的次日零时起效力中止，但本附加合同另有约定的除外。</w:t>
            </w:r>
          </w:p>
        </w:tc>
      </w:tr>
    </w:tbl>
    <w:p>
      <w:pPr>
        <w:spacing w:after="0" w:line="310" w:lineRule="atLeast"/>
        <w:jc w:val="both"/>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36" w:lineRule="exact" w:before="0"/>
              <w:ind w:left="107"/>
              <w:rPr>
                <w:b/>
                <w:sz w:val="24"/>
              </w:rPr>
            </w:pPr>
            <w:r>
              <w:rPr>
                <w:b/>
                <w:sz w:val="24"/>
              </w:rPr>
              <w:t>5.</w:t>
            </w:r>
          </w:p>
        </w:tc>
        <w:tc>
          <w:tcPr>
            <w:tcW w:w="1638" w:type="dxa"/>
            <w:tcBorders>
              <w:bottom w:val="single" w:sz="8" w:space="0" w:color="000000"/>
            </w:tcBorders>
          </w:tcPr>
          <w:p>
            <w:pPr>
              <w:pStyle w:val="TableParagraph"/>
              <w:spacing w:line="236" w:lineRule="exact" w:before="0"/>
              <w:ind w:left="238"/>
              <w:rPr>
                <w:b/>
                <w:sz w:val="24"/>
              </w:rPr>
            </w:pPr>
            <w:r>
              <w:rPr>
                <w:b/>
                <w:w w:val="95"/>
                <w:sz w:val="24"/>
              </w:rPr>
              <w:t>现金价值权</w:t>
            </w:r>
          </w:p>
        </w:tc>
        <w:tc>
          <w:tcPr>
            <w:tcW w:w="7624" w:type="dxa"/>
            <w:tcBorders>
              <w:bottom w:val="single" w:sz="8" w:space="0" w:color="000000"/>
            </w:tcBorders>
          </w:tcPr>
          <w:p>
            <w:pPr>
              <w:pStyle w:val="TableParagraph"/>
              <w:spacing w:line="236" w:lineRule="exact" w:before="0"/>
              <w:ind w:left="-195"/>
              <w:rPr>
                <w:b/>
                <w:sz w:val="24"/>
              </w:rPr>
            </w:pPr>
            <w:r>
              <w:rPr>
                <w:b/>
                <w:w w:val="99"/>
                <w:sz w:val="24"/>
              </w:rPr>
              <w:t>益</w:t>
            </w:r>
          </w:p>
        </w:tc>
      </w:tr>
      <w:tr>
        <w:trPr>
          <w:trHeight w:val="581"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4"/>
              <w:ind w:left="0"/>
              <w:rPr>
                <w:sz w:val="16"/>
              </w:rPr>
            </w:pPr>
          </w:p>
          <w:p>
            <w:pPr>
              <w:pStyle w:val="TableParagraph"/>
              <w:spacing w:before="0"/>
              <w:rPr>
                <w:sz w:val="21"/>
              </w:rPr>
            </w:pPr>
            <w:r>
              <w:rPr>
                <w:sz w:val="21"/>
              </w:rPr>
              <w:t>本附加合同的现金价值在保险单上载明。</w:t>
            </w:r>
          </w:p>
        </w:tc>
      </w:tr>
      <w:tr>
        <w:trPr>
          <w:trHeight w:val="2469" w:hRule="atLeast"/>
        </w:trPr>
        <w:tc>
          <w:tcPr>
            <w:tcW w:w="664" w:type="dxa"/>
          </w:tcPr>
          <w:p>
            <w:pPr>
              <w:pStyle w:val="TableParagraph"/>
              <w:spacing w:before="21"/>
              <w:ind w:left="107"/>
              <w:rPr>
                <w:b/>
                <w:sz w:val="21"/>
              </w:rPr>
            </w:pPr>
            <w:r>
              <w:rPr>
                <w:b/>
                <w:sz w:val="21"/>
              </w:rPr>
              <w:t>5.2</w:t>
            </w:r>
          </w:p>
        </w:tc>
        <w:tc>
          <w:tcPr>
            <w:tcW w:w="1638" w:type="dxa"/>
          </w:tcPr>
          <w:p>
            <w:pPr>
              <w:pStyle w:val="TableParagraph"/>
              <w:spacing w:line="273" w:lineRule="auto" w:before="21"/>
              <w:ind w:left="238" w:right="129"/>
              <w:rPr>
                <w:b/>
                <w:sz w:val="21"/>
              </w:rPr>
            </w:pPr>
            <w:r>
              <w:rPr>
                <w:b/>
                <w:sz w:val="21"/>
              </w:rPr>
              <w:t>保险费自动垫交</w:t>
            </w:r>
          </w:p>
        </w:tc>
        <w:tc>
          <w:tcPr>
            <w:tcW w:w="7624" w:type="dxa"/>
          </w:tcPr>
          <w:p>
            <w:pPr>
              <w:pStyle w:val="TableParagraph"/>
              <w:spacing w:line="273" w:lineRule="auto" w:before="21"/>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3"/>
                <w:sz w:val="21"/>
              </w:rPr>
              <w:t>(见 </w:t>
            </w:r>
            <w:r>
              <w:rPr>
                <w:sz w:val="21"/>
              </w:rPr>
              <w:t>10.16)。</w:t>
            </w:r>
          </w:p>
          <w:p>
            <w:pPr>
              <w:pStyle w:val="TableParagraph"/>
              <w:spacing w:line="271" w:lineRule="auto" w:before="87"/>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4" w:hRule="atLeast"/>
        </w:trPr>
        <w:tc>
          <w:tcPr>
            <w:tcW w:w="664" w:type="dxa"/>
            <w:tcBorders>
              <w:bottom w:val="single" w:sz="8" w:space="0" w:color="000000"/>
            </w:tcBorders>
          </w:tcPr>
          <w:p>
            <w:pPr>
              <w:pStyle w:val="TableParagraph"/>
              <w:spacing w:before="142"/>
              <w:ind w:left="107"/>
              <w:rPr>
                <w:b/>
                <w:sz w:val="24"/>
              </w:rPr>
            </w:pPr>
            <w:r>
              <w:rPr>
                <w:b/>
                <w:sz w:val="24"/>
              </w:rPr>
              <w:t>6.</w:t>
            </w:r>
          </w:p>
        </w:tc>
        <w:tc>
          <w:tcPr>
            <w:tcW w:w="9262" w:type="dxa"/>
            <w:gridSpan w:val="2"/>
            <w:tcBorders>
              <w:bottom w:val="single" w:sz="8" w:space="0" w:color="000000"/>
            </w:tcBorders>
          </w:tcPr>
          <w:p>
            <w:pPr>
              <w:pStyle w:val="TableParagraph"/>
              <w:spacing w:before="142"/>
              <w:ind w:left="238"/>
              <w:rPr>
                <w:b/>
                <w:sz w:val="24"/>
              </w:rPr>
            </w:pPr>
            <w:r>
              <w:rPr>
                <w:b/>
                <w:w w:val="95"/>
                <w:sz w:val="24"/>
              </w:rPr>
              <w:t>合同效力的中止及恢复</w:t>
            </w:r>
          </w:p>
        </w:tc>
      </w:tr>
      <w:tr>
        <w:trPr>
          <w:trHeight w:val="668" w:hRule="atLeast"/>
        </w:trPr>
        <w:tc>
          <w:tcPr>
            <w:tcW w:w="664" w:type="dxa"/>
            <w:tcBorders>
              <w:top w:val="single" w:sz="8" w:space="0" w:color="000000"/>
            </w:tcBorders>
          </w:tcPr>
          <w:p>
            <w:pPr>
              <w:pStyle w:val="TableParagraph"/>
              <w:spacing w:before="4"/>
              <w:ind w:left="0"/>
              <w:rPr>
                <w:sz w:val="16"/>
              </w:rPr>
            </w:pPr>
          </w:p>
          <w:p>
            <w:pPr>
              <w:pStyle w:val="TableParagraph"/>
              <w:spacing w:before="1"/>
              <w:ind w:left="107"/>
              <w:rPr>
                <w:b/>
                <w:sz w:val="21"/>
              </w:rPr>
            </w:pPr>
            <w:r>
              <w:rPr>
                <w:b/>
                <w:sz w:val="21"/>
              </w:rPr>
              <w:t>6.1</w:t>
            </w:r>
          </w:p>
        </w:tc>
        <w:tc>
          <w:tcPr>
            <w:tcW w:w="1638" w:type="dxa"/>
            <w:tcBorders>
              <w:top w:val="single" w:sz="8" w:space="0" w:color="000000"/>
            </w:tcBorders>
          </w:tcPr>
          <w:p>
            <w:pPr>
              <w:pStyle w:val="TableParagraph"/>
              <w:spacing w:before="4"/>
              <w:ind w:left="0"/>
              <w:rPr>
                <w:sz w:val="16"/>
              </w:rPr>
            </w:pPr>
          </w:p>
          <w:p>
            <w:pPr>
              <w:pStyle w:val="TableParagraph"/>
              <w:spacing w:before="1"/>
              <w:ind w:left="238"/>
              <w:rPr>
                <w:b/>
                <w:sz w:val="21"/>
              </w:rPr>
            </w:pPr>
            <w:r>
              <w:rPr>
                <w:b/>
                <w:sz w:val="21"/>
              </w:rPr>
              <w:t>效力中止</w:t>
            </w:r>
          </w:p>
        </w:tc>
        <w:tc>
          <w:tcPr>
            <w:tcW w:w="7624" w:type="dxa"/>
            <w:tcBorders>
              <w:top w:val="single" w:sz="8" w:space="0" w:color="000000"/>
            </w:tcBorders>
          </w:tcPr>
          <w:p>
            <w:pPr>
              <w:pStyle w:val="TableParagraph"/>
              <w:spacing w:before="4"/>
              <w:ind w:left="0"/>
              <w:rPr>
                <w:sz w:val="16"/>
              </w:rPr>
            </w:pPr>
          </w:p>
          <w:p>
            <w:pPr>
              <w:pStyle w:val="TableParagraph"/>
              <w:spacing w:before="1"/>
              <w:rPr>
                <w:sz w:val="21"/>
              </w:rPr>
            </w:pPr>
            <w:r>
              <w:rPr>
                <w:rFonts w:ascii="黑体" w:eastAsia="黑体" w:hint="eastAsia"/>
                <w:sz w:val="21"/>
              </w:rPr>
              <w:t>在本附加合同效力中止期间，我们不承担保险责任</w:t>
            </w:r>
            <w:r>
              <w:rPr>
                <w:sz w:val="21"/>
              </w:rPr>
              <w:t>。</w:t>
            </w:r>
          </w:p>
        </w:tc>
      </w:tr>
      <w:tr>
        <w:trPr>
          <w:trHeight w:val="1920" w:hRule="atLeast"/>
        </w:trPr>
        <w:tc>
          <w:tcPr>
            <w:tcW w:w="664" w:type="dxa"/>
          </w:tcPr>
          <w:p>
            <w:pPr>
              <w:pStyle w:val="TableParagraph"/>
              <w:spacing w:before="107"/>
              <w:ind w:left="107"/>
              <w:rPr>
                <w:b/>
                <w:sz w:val="21"/>
              </w:rPr>
            </w:pPr>
            <w:r>
              <w:rPr>
                <w:b/>
                <w:sz w:val="21"/>
              </w:rPr>
              <w:t>6.2</w:t>
            </w:r>
          </w:p>
        </w:tc>
        <w:tc>
          <w:tcPr>
            <w:tcW w:w="1638" w:type="dxa"/>
          </w:tcPr>
          <w:p>
            <w:pPr>
              <w:pStyle w:val="TableParagraph"/>
              <w:spacing w:before="107"/>
              <w:ind w:left="238"/>
              <w:rPr>
                <w:b/>
                <w:sz w:val="21"/>
              </w:rPr>
            </w:pPr>
            <w:r>
              <w:rPr>
                <w:b/>
                <w:sz w:val="21"/>
              </w:rPr>
              <w:t>效力恢复</w:t>
            </w:r>
          </w:p>
        </w:tc>
        <w:tc>
          <w:tcPr>
            <w:tcW w:w="7624" w:type="dxa"/>
          </w:tcPr>
          <w:p>
            <w:pPr>
              <w:pStyle w:val="TableParagraph"/>
              <w:spacing w:line="271" w:lineRule="auto" w:before="107"/>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76" w:hRule="atLeast"/>
        </w:trPr>
        <w:tc>
          <w:tcPr>
            <w:tcW w:w="664" w:type="dxa"/>
            <w:tcBorders>
              <w:bottom w:val="single" w:sz="8" w:space="0" w:color="000000"/>
            </w:tcBorders>
          </w:tcPr>
          <w:p>
            <w:pPr>
              <w:pStyle w:val="TableParagraph"/>
              <w:spacing w:before="131"/>
              <w:ind w:left="107"/>
              <w:rPr>
                <w:b/>
                <w:sz w:val="24"/>
              </w:rPr>
            </w:pPr>
            <w:r>
              <w:rPr>
                <w:b/>
                <w:sz w:val="24"/>
              </w:rPr>
              <w:t>7.</w:t>
            </w:r>
          </w:p>
        </w:tc>
        <w:tc>
          <w:tcPr>
            <w:tcW w:w="1638" w:type="dxa"/>
            <w:tcBorders>
              <w:bottom w:val="single" w:sz="8" w:space="0" w:color="000000"/>
            </w:tcBorders>
          </w:tcPr>
          <w:p>
            <w:pPr>
              <w:pStyle w:val="TableParagraph"/>
              <w:spacing w:before="131"/>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4"/>
              <w:ind w:left="0"/>
              <w:rPr>
                <w:sz w:val="16"/>
              </w:rPr>
            </w:pPr>
          </w:p>
          <w:p>
            <w:pPr>
              <w:pStyle w:val="TableParagraph"/>
              <w:spacing w:line="271"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4"/>
              <w:ind w:left="0"/>
              <w:rPr>
                <w:sz w:val="16"/>
              </w:rPr>
            </w:pPr>
          </w:p>
          <w:p>
            <w:pPr>
              <w:pStyle w:val="TableParagraph"/>
              <w:spacing w:line="271"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3"/>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6"/>
              <w:rPr>
                <w:sz w:val="21"/>
              </w:rPr>
            </w:pPr>
            <w:r>
              <w:rPr>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1"/>
              <w:ind w:left="107"/>
              <w:rPr>
                <w:b/>
                <w:sz w:val="24"/>
              </w:rPr>
            </w:pPr>
            <w:r>
              <w:rPr>
                <w:b/>
                <w:sz w:val="24"/>
              </w:rPr>
              <w:t>8.</w:t>
            </w:r>
          </w:p>
        </w:tc>
        <w:tc>
          <w:tcPr>
            <w:tcW w:w="9262" w:type="dxa"/>
            <w:gridSpan w:val="2"/>
            <w:tcBorders>
              <w:bottom w:val="single" w:sz="8" w:space="0" w:color="000000"/>
            </w:tcBorders>
          </w:tcPr>
          <w:p>
            <w:pPr>
              <w:pStyle w:val="TableParagraph"/>
              <w:spacing w:before="131"/>
              <w:ind w:left="238"/>
              <w:rPr>
                <w:b/>
                <w:sz w:val="24"/>
              </w:rPr>
            </w:pPr>
            <w:r>
              <w:rPr>
                <w:b/>
                <w:w w:val="95"/>
                <w:sz w:val="24"/>
              </w:rPr>
              <w:t>其它需要关注的事项</w:t>
            </w:r>
          </w:p>
        </w:tc>
      </w:tr>
      <w:tr>
        <w:trPr>
          <w:trHeight w:val="1447"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4"/>
              <w:ind w:left="0"/>
              <w:rPr>
                <w:sz w:val="16"/>
              </w:rPr>
            </w:pPr>
          </w:p>
          <w:p>
            <w:pPr>
              <w:pStyle w:val="TableParagraph"/>
              <w:spacing w:before="0"/>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本附加合同约定的合同效力终止情况。</w:t>
            </w:r>
          </w:p>
        </w:tc>
      </w:tr>
      <w:tr>
        <w:trPr>
          <w:trHeight w:val="1945" w:hRule="atLeast"/>
        </w:trPr>
        <w:tc>
          <w:tcPr>
            <w:tcW w:w="664" w:type="dxa"/>
          </w:tcPr>
          <w:p>
            <w:pPr>
              <w:pStyle w:val="TableParagraph"/>
              <w:spacing w:before="106"/>
              <w:ind w:left="107"/>
              <w:rPr>
                <w:b/>
                <w:sz w:val="21"/>
              </w:rPr>
            </w:pPr>
            <w:r>
              <w:rPr>
                <w:b/>
                <w:sz w:val="21"/>
              </w:rPr>
              <w:t>8.2</w:t>
            </w:r>
          </w:p>
        </w:tc>
        <w:tc>
          <w:tcPr>
            <w:tcW w:w="1638" w:type="dxa"/>
          </w:tcPr>
          <w:p>
            <w:pPr>
              <w:pStyle w:val="TableParagraph"/>
              <w:spacing w:line="273" w:lineRule="auto" w:before="106"/>
              <w:ind w:left="238" w:right="129"/>
              <w:rPr>
                <w:b/>
                <w:sz w:val="21"/>
              </w:rPr>
            </w:pPr>
            <w:r>
              <w:rPr>
                <w:b/>
                <w:sz w:val="21"/>
              </w:rPr>
              <w:t>适用主合同条款</w:t>
            </w:r>
          </w:p>
        </w:tc>
        <w:tc>
          <w:tcPr>
            <w:tcW w:w="7624" w:type="dxa"/>
          </w:tcPr>
          <w:p>
            <w:pPr>
              <w:pStyle w:val="TableParagraph"/>
              <w:spacing w:before="106"/>
              <w:rPr>
                <w:sz w:val="21"/>
              </w:rPr>
            </w:pPr>
            <w:r>
              <w:rPr>
                <w:sz w:val="21"/>
              </w:rPr>
              <w:t>主合同订立的下列各项条款适用于本附加合同：</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59" w:lineRule="exact" w:before="113" w:after="0"/>
              <w:ind w:left="869" w:right="0" w:hanging="737"/>
              <w:jc w:val="left"/>
              <w:rPr>
                <w:sz w:val="21"/>
              </w:rPr>
            </w:pPr>
            <w:r>
              <w:rPr>
                <w:spacing w:val="-3"/>
                <w:sz w:val="21"/>
              </w:rPr>
              <w:t>未还款项；</w:t>
            </w:r>
          </w:p>
        </w:tc>
      </w:tr>
    </w:tbl>
    <w:p>
      <w:pPr>
        <w:spacing w:after="0" w:line="259" w:lineRule="exact"/>
        <w:jc w:val="left"/>
        <w:rPr>
          <w:sz w:val="21"/>
        </w:rPr>
        <w:sectPr>
          <w:pgSz w:w="11910" w:h="16840"/>
          <w:pgMar w:top="132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59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10"/>
              </w:numPr>
              <w:tabs>
                <w:tab w:pos="869" w:val="left" w:leader="none"/>
                <w:tab w:pos="870" w:val="left" w:leader="none"/>
              </w:tabs>
              <w:spacing w:line="211" w:lineRule="exact" w:before="0" w:after="0"/>
              <w:ind w:left="869" w:right="0" w:hanging="737"/>
              <w:jc w:val="left"/>
              <w:rPr>
                <w:sz w:val="21"/>
              </w:rPr>
            </w:pPr>
            <w:r>
              <w:rPr>
                <w:spacing w:val="-3"/>
                <w:sz w:val="21"/>
              </w:rPr>
              <w:t>合同内容变更；</w:t>
            </w:r>
          </w:p>
          <w:p>
            <w:pPr>
              <w:pStyle w:val="TableParagraph"/>
              <w:numPr>
                <w:ilvl w:val="0"/>
                <w:numId w:val="10"/>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10"/>
              </w:numPr>
              <w:tabs>
                <w:tab w:pos="869" w:val="left" w:leader="none"/>
                <w:tab w:pos="870" w:val="left" w:leader="none"/>
              </w:tabs>
              <w:spacing w:line="240" w:lineRule="auto" w:before="114" w:after="0"/>
              <w:ind w:left="869" w:right="0" w:hanging="737"/>
              <w:jc w:val="left"/>
              <w:rPr>
                <w:sz w:val="21"/>
              </w:rPr>
            </w:pPr>
            <w:r>
              <w:rPr>
                <w:spacing w:val="-3"/>
                <w:sz w:val="21"/>
              </w:rPr>
              <w:t>争议处理；</w:t>
            </w:r>
          </w:p>
          <w:p>
            <w:pPr>
              <w:pStyle w:val="TableParagraph"/>
              <w:numPr>
                <w:ilvl w:val="0"/>
                <w:numId w:val="10"/>
              </w:numPr>
              <w:tabs>
                <w:tab w:pos="869" w:val="left" w:leader="none"/>
                <w:tab w:pos="870" w:val="left" w:leader="none"/>
              </w:tabs>
              <w:spacing w:line="240" w:lineRule="auto" w:before="116" w:after="0"/>
              <w:ind w:left="869" w:right="0" w:hanging="737"/>
              <w:jc w:val="left"/>
              <w:rPr>
                <w:sz w:val="21"/>
              </w:rPr>
            </w:pPr>
            <w:r>
              <w:rPr>
                <w:spacing w:val="-3"/>
                <w:sz w:val="21"/>
              </w:rPr>
              <w:t>保险事故鉴定。</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5"/>
              <w:ind w:left="0"/>
              <w:rPr>
                <w:sz w:val="16"/>
              </w:rPr>
            </w:pPr>
          </w:p>
          <w:p>
            <w:pPr>
              <w:pStyle w:val="TableParagraph"/>
              <w:spacing w:line="273"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664" w:type="dxa"/>
          </w:tcPr>
          <w:p>
            <w:pPr>
              <w:pStyle w:val="TableParagraph"/>
              <w:ind w:left="107"/>
              <w:rPr>
                <w:b/>
                <w:sz w:val="21"/>
              </w:rPr>
            </w:pPr>
            <w:r>
              <w:rPr>
                <w:b/>
                <w:sz w:val="21"/>
              </w:rPr>
              <w:t>9.1</w:t>
            </w:r>
          </w:p>
        </w:tc>
        <w:tc>
          <w:tcPr>
            <w:tcW w:w="1638" w:type="dxa"/>
          </w:tcPr>
          <w:p>
            <w:pPr>
              <w:pStyle w:val="TableParagraph"/>
              <w:ind w:left="238"/>
              <w:rPr>
                <w:b/>
                <w:sz w:val="21"/>
              </w:rPr>
            </w:pPr>
            <w:r>
              <w:rPr>
                <w:b/>
                <w:sz w:val="21"/>
              </w:rPr>
              <w:t>恶性肿瘤</w:t>
            </w:r>
          </w:p>
        </w:tc>
        <w:tc>
          <w:tcPr>
            <w:tcW w:w="7624" w:type="dxa"/>
          </w:tcPr>
          <w:p>
            <w:pPr>
              <w:pStyle w:val="TableParagraph"/>
              <w:spacing w:line="271" w:lineRule="auto"/>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1"/>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1"/>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1"/>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1"/>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1"/>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ind w:left="107"/>
              <w:rPr>
                <w:b/>
                <w:sz w:val="21"/>
              </w:rPr>
            </w:pPr>
            <w:r>
              <w:rPr>
                <w:b/>
                <w:sz w:val="21"/>
              </w:rPr>
              <w:t>9.2</w:t>
            </w:r>
          </w:p>
        </w:tc>
        <w:tc>
          <w:tcPr>
            <w:tcW w:w="1638" w:type="dxa"/>
          </w:tcPr>
          <w:p>
            <w:pPr>
              <w:pStyle w:val="TableParagraph"/>
              <w:ind w:left="238"/>
              <w:rPr>
                <w:b/>
                <w:sz w:val="21"/>
              </w:rPr>
            </w:pPr>
            <w:r>
              <w:rPr>
                <w:b/>
                <w:sz w:val="21"/>
              </w:rPr>
              <w:t>急性心肌梗塞</w:t>
            </w:r>
          </w:p>
        </w:tc>
        <w:tc>
          <w:tcPr>
            <w:tcW w:w="7624" w:type="dxa"/>
          </w:tcPr>
          <w:p>
            <w:pPr>
              <w:pStyle w:val="TableParagraph"/>
              <w:spacing w:line="271" w:lineRule="auto"/>
              <w:ind w:right="132"/>
              <w:rPr>
                <w:sz w:val="21"/>
              </w:rPr>
            </w:pPr>
            <w:r>
              <w:rPr>
                <w:sz w:val="21"/>
              </w:rPr>
              <w:t>指因冠状动脉阻塞导致的相应区域供血不足造成部分心肌坏死。须满足下列至少三项条件：</w:t>
            </w:r>
          </w:p>
          <w:p>
            <w:pPr>
              <w:pStyle w:val="TableParagraph"/>
              <w:numPr>
                <w:ilvl w:val="0"/>
                <w:numId w:val="12"/>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2"/>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12"/>
              </w:numPr>
              <w:tabs>
                <w:tab w:pos="834" w:val="left" w:leader="none"/>
              </w:tabs>
              <w:spacing w:line="273" w:lineRule="auto" w:before="114"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2"/>
              </w:numPr>
              <w:tabs>
                <w:tab w:pos="862" w:val="left" w:leader="none"/>
                <w:tab w:pos="863" w:val="left" w:leader="none"/>
              </w:tabs>
              <w:spacing w:line="240" w:lineRule="auto" w:before="87"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271" w:lineRule="auto" w:before="110"/>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3"/>
              </w:numPr>
              <w:tabs>
                <w:tab w:pos="869" w:val="left" w:leader="none"/>
                <w:tab w:pos="870" w:val="left" w:leader="none"/>
              </w:tabs>
              <w:spacing w:line="240" w:lineRule="auto" w:before="89"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13"/>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13"/>
              </w:numPr>
              <w:tabs>
                <w:tab w:pos="855" w:val="left" w:leader="none"/>
              </w:tabs>
              <w:spacing w:line="273" w:lineRule="auto" w:before="114" w:after="0"/>
              <w:ind w:left="852" w:right="1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695" w:hRule="atLeast"/>
        </w:trPr>
        <w:tc>
          <w:tcPr>
            <w:tcW w:w="664" w:type="dxa"/>
          </w:tcPr>
          <w:p>
            <w:pPr>
              <w:pStyle w:val="TableParagraph"/>
              <w:ind w:left="107"/>
              <w:rPr>
                <w:b/>
                <w:sz w:val="21"/>
              </w:rPr>
            </w:pPr>
            <w:r>
              <w:rPr>
                <w:b/>
                <w:sz w:val="21"/>
              </w:rPr>
              <w:t>9.4</w:t>
            </w:r>
          </w:p>
        </w:tc>
        <w:tc>
          <w:tcPr>
            <w:tcW w:w="1638" w:type="dxa"/>
          </w:tcPr>
          <w:p>
            <w:pPr>
              <w:pStyle w:val="TableParagraph"/>
              <w:spacing w:line="310" w:lineRule="atLeast" w:before="76"/>
              <w:ind w:left="238" w:right="129"/>
              <w:rPr>
                <w:b/>
                <w:sz w:val="21"/>
              </w:rPr>
            </w:pPr>
            <w:r>
              <w:rPr>
                <w:b/>
                <w:sz w:val="21"/>
              </w:rPr>
              <w:t>重大器官移植术或造血干细</w:t>
            </w:r>
          </w:p>
        </w:tc>
        <w:tc>
          <w:tcPr>
            <w:tcW w:w="7624" w:type="dxa"/>
          </w:tcPr>
          <w:p>
            <w:pPr>
              <w:pStyle w:val="TableParagraph"/>
              <w:spacing w:line="310" w:lineRule="atLeast" w:before="76"/>
              <w:ind w:right="132"/>
              <w:rPr>
                <w:sz w:val="21"/>
              </w:rPr>
            </w:pPr>
            <w:r>
              <w:rPr>
                <w:sz w:val="21"/>
              </w:rPr>
              <w:t>重大器官移植术，指因相应器官功能衰竭，已经实施了肾脏、肝脏、心脏或肺脏的异体移植手术。</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090" w:hRule="atLeast"/>
        </w:trPr>
        <w:tc>
          <w:tcPr>
            <w:tcW w:w="809" w:type="dxa"/>
          </w:tcPr>
          <w:p>
            <w:pPr>
              <w:pStyle w:val="TableParagraph"/>
              <w:spacing w:before="0"/>
              <w:ind w:left="0"/>
              <w:rPr>
                <w:rFonts w:ascii="Times New Roman"/>
                <w:sz w:val="20"/>
              </w:rPr>
            </w:pPr>
          </w:p>
        </w:tc>
        <w:tc>
          <w:tcPr>
            <w:tcW w:w="1585" w:type="dxa"/>
          </w:tcPr>
          <w:p>
            <w:pPr>
              <w:pStyle w:val="TableParagraph"/>
              <w:spacing w:line="211" w:lineRule="exact" w:before="0"/>
              <w:ind w:left="185"/>
              <w:rPr>
                <w:b/>
                <w:sz w:val="21"/>
              </w:rPr>
            </w:pPr>
            <w:r>
              <w:rPr>
                <w:b/>
                <w:sz w:val="21"/>
              </w:rPr>
              <w:t>胞移植术</w:t>
            </w:r>
          </w:p>
        </w:tc>
        <w:tc>
          <w:tcPr>
            <w:tcW w:w="7821" w:type="dxa"/>
          </w:tcPr>
          <w:p>
            <w:pPr>
              <w:pStyle w:val="TableParagraph"/>
              <w:spacing w:line="273" w:lineRule="auto" w:before="15"/>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809" w:type="dxa"/>
          </w:tcPr>
          <w:p>
            <w:pPr>
              <w:pStyle w:val="TableParagraph"/>
              <w:ind w:left="200"/>
              <w:rPr>
                <w:b/>
                <w:sz w:val="21"/>
              </w:rPr>
            </w:pPr>
            <w:r>
              <w:rPr>
                <w:b/>
                <w:sz w:val="21"/>
              </w:rPr>
              <w:t>9.5</w:t>
            </w:r>
          </w:p>
        </w:tc>
        <w:tc>
          <w:tcPr>
            <w:tcW w:w="1585" w:type="dxa"/>
          </w:tcPr>
          <w:p>
            <w:pPr>
              <w:pStyle w:val="TableParagraph"/>
              <w:spacing w:line="271" w:lineRule="auto"/>
              <w:ind w:left="185" w:right="129"/>
              <w:jc w:val="both"/>
              <w:rPr>
                <w:b/>
                <w:sz w:val="21"/>
              </w:rPr>
            </w:pPr>
            <w:r>
              <w:rPr>
                <w:b/>
                <w:sz w:val="21"/>
              </w:rPr>
              <w:t>冠状动脉搭桥术（或称冠状动脉旁路移植术）</w:t>
            </w:r>
          </w:p>
        </w:tc>
        <w:tc>
          <w:tcPr>
            <w:tcW w:w="7821" w:type="dxa"/>
          </w:tcPr>
          <w:p>
            <w:pPr>
              <w:pStyle w:val="TableParagraph"/>
              <w:rPr>
                <w:sz w:val="21"/>
              </w:rPr>
            </w:pPr>
            <w:r>
              <w:rPr>
                <w:sz w:val="21"/>
              </w:rPr>
              <w:t>指为治疗严重的冠心病，实际实施了开胸进行的冠状动脉血管旁路移植的手术。</w:t>
            </w:r>
          </w:p>
          <w:p>
            <w:pPr>
              <w:pStyle w:val="TableParagraph"/>
              <w:spacing w:line="273" w:lineRule="auto" w:before="113"/>
              <w:ind w:right="32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6" w:hRule="atLeast"/>
        </w:trPr>
        <w:tc>
          <w:tcPr>
            <w:tcW w:w="809" w:type="dxa"/>
          </w:tcPr>
          <w:p>
            <w:pPr>
              <w:pStyle w:val="TableParagraph"/>
              <w:ind w:left="200"/>
              <w:rPr>
                <w:b/>
                <w:sz w:val="21"/>
              </w:rPr>
            </w:pPr>
            <w:r>
              <w:rPr>
                <w:b/>
                <w:sz w:val="21"/>
              </w:rPr>
              <w:t>9.6</w:t>
            </w:r>
          </w:p>
        </w:tc>
        <w:tc>
          <w:tcPr>
            <w:tcW w:w="1585" w:type="dxa"/>
          </w:tcPr>
          <w:p>
            <w:pPr>
              <w:pStyle w:val="TableParagraph"/>
              <w:ind w:left="185"/>
              <w:rPr>
                <w:b/>
                <w:sz w:val="21"/>
              </w:rPr>
            </w:pPr>
            <w:r>
              <w:rPr>
                <w:b/>
                <w:sz w:val="21"/>
              </w:rPr>
              <w:t>终末期肾病</w:t>
            </w:r>
          </w:p>
          <w:p>
            <w:pPr>
              <w:pStyle w:val="TableParagraph"/>
              <w:spacing w:line="273" w:lineRule="auto" w:before="36"/>
              <w:ind w:left="185" w:right="129"/>
              <w:jc w:val="both"/>
              <w:rPr>
                <w:b/>
                <w:sz w:val="21"/>
              </w:rPr>
            </w:pPr>
            <w:r>
              <w:rPr>
                <w:b/>
                <w:sz w:val="21"/>
              </w:rPr>
              <w:t>（或称慢性肾功能衰竭尿毒症期）</w:t>
            </w:r>
          </w:p>
        </w:tc>
        <w:tc>
          <w:tcPr>
            <w:tcW w:w="7821" w:type="dxa"/>
          </w:tcPr>
          <w:p>
            <w:pPr>
              <w:pStyle w:val="TableParagraph"/>
              <w:spacing w:line="273" w:lineRule="auto"/>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809" w:type="dxa"/>
          </w:tcPr>
          <w:p>
            <w:pPr>
              <w:pStyle w:val="TableParagraph"/>
              <w:spacing w:before="110"/>
              <w:ind w:left="200"/>
              <w:rPr>
                <w:b/>
                <w:sz w:val="21"/>
              </w:rPr>
            </w:pPr>
            <w:r>
              <w:rPr>
                <w:b/>
                <w:sz w:val="21"/>
              </w:rPr>
              <w:t>9.7</w:t>
            </w:r>
          </w:p>
        </w:tc>
        <w:tc>
          <w:tcPr>
            <w:tcW w:w="1585" w:type="dxa"/>
          </w:tcPr>
          <w:p>
            <w:pPr>
              <w:pStyle w:val="TableParagraph"/>
              <w:spacing w:before="110"/>
              <w:ind w:left="185"/>
              <w:rPr>
                <w:b/>
                <w:sz w:val="21"/>
              </w:rPr>
            </w:pPr>
            <w:r>
              <w:rPr>
                <w:b/>
                <w:sz w:val="21"/>
              </w:rPr>
              <w:t>多个肢体缺失</w:t>
            </w:r>
          </w:p>
        </w:tc>
        <w:tc>
          <w:tcPr>
            <w:tcW w:w="7821" w:type="dxa"/>
          </w:tcPr>
          <w:p>
            <w:pPr>
              <w:pStyle w:val="TableParagraph"/>
              <w:spacing w:line="273" w:lineRule="auto" w:before="110"/>
              <w:ind w:right="319"/>
              <w:rPr>
                <w:sz w:val="21"/>
              </w:rPr>
            </w:pPr>
            <w:r>
              <w:rPr>
                <w:sz w:val="21"/>
              </w:rPr>
              <w:t>指因疾病或</w:t>
            </w:r>
            <w:r>
              <w:rPr>
                <w:b/>
                <w:sz w:val="21"/>
              </w:rPr>
              <w:t>意外伤害</w:t>
            </w:r>
            <w:r>
              <w:rPr>
                <w:sz w:val="21"/>
              </w:rPr>
              <w:t>（见 10.20）导致两个或两个以上肢体自腕关节或踝关节近端（靠近躯干端）以上完全性断离。</w:t>
            </w:r>
          </w:p>
        </w:tc>
      </w:tr>
      <w:tr>
        <w:trPr>
          <w:trHeight w:val="2432" w:hRule="atLeast"/>
        </w:trPr>
        <w:tc>
          <w:tcPr>
            <w:tcW w:w="809" w:type="dxa"/>
          </w:tcPr>
          <w:p>
            <w:pPr>
              <w:pStyle w:val="TableParagraph"/>
              <w:ind w:left="200"/>
              <w:rPr>
                <w:b/>
                <w:sz w:val="21"/>
              </w:rPr>
            </w:pPr>
            <w:r>
              <w:rPr>
                <w:b/>
                <w:sz w:val="21"/>
              </w:rPr>
              <w:t>9.8</w:t>
            </w:r>
          </w:p>
        </w:tc>
        <w:tc>
          <w:tcPr>
            <w:tcW w:w="1585" w:type="dxa"/>
          </w:tcPr>
          <w:p>
            <w:pPr>
              <w:pStyle w:val="TableParagraph"/>
              <w:spacing w:line="271" w:lineRule="auto"/>
              <w:ind w:left="185" w:right="129"/>
              <w:rPr>
                <w:b/>
                <w:sz w:val="21"/>
              </w:rPr>
            </w:pPr>
            <w:r>
              <w:rPr>
                <w:b/>
                <w:sz w:val="21"/>
              </w:rPr>
              <w:t>急性或亚急性重症肝炎</w:t>
            </w:r>
          </w:p>
        </w:tc>
        <w:tc>
          <w:tcPr>
            <w:tcW w:w="7821" w:type="dxa"/>
          </w:tcPr>
          <w:p>
            <w:pPr>
              <w:pStyle w:val="TableParagraph"/>
              <w:spacing w:line="271" w:lineRule="auto"/>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4"/>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4"/>
              </w:numPr>
              <w:tabs>
                <w:tab w:pos="869" w:val="left" w:leader="none"/>
                <w:tab w:pos="870" w:val="left" w:leader="none"/>
              </w:tabs>
              <w:spacing w:line="240" w:lineRule="auto" w:before="115" w:after="0"/>
              <w:ind w:left="869" w:right="0" w:hanging="737"/>
              <w:jc w:val="left"/>
              <w:rPr>
                <w:sz w:val="21"/>
              </w:rPr>
            </w:pPr>
            <w:r>
              <w:rPr>
                <w:spacing w:val="-3"/>
                <w:sz w:val="21"/>
              </w:rPr>
              <w:t>肝性脑病；</w:t>
            </w:r>
          </w:p>
          <w:p>
            <w:pPr>
              <w:pStyle w:val="TableParagraph"/>
              <w:numPr>
                <w:ilvl w:val="0"/>
                <w:numId w:val="14"/>
              </w:numPr>
              <w:tabs>
                <w:tab w:pos="869" w:val="left" w:leader="none"/>
                <w:tab w:pos="870" w:val="left" w:leader="none"/>
              </w:tabs>
              <w:spacing w:line="240" w:lineRule="auto" w:before="113"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3"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5"/>
              </w:numPr>
              <w:tabs>
                <w:tab w:pos="870" w:val="left" w:leader="none"/>
              </w:tabs>
              <w:spacing w:line="240" w:lineRule="auto" w:before="86" w:after="0"/>
              <w:ind w:left="869" w:right="0" w:hanging="737"/>
              <w:jc w:val="both"/>
              <w:rPr>
                <w:sz w:val="21"/>
              </w:rPr>
            </w:pPr>
            <w:r>
              <w:rPr>
                <w:spacing w:val="-3"/>
                <w:sz w:val="21"/>
              </w:rPr>
              <w:t>实际实施了开颅进行的脑肿瘤完全切除或部分切除的手术；</w:t>
            </w:r>
          </w:p>
          <w:p>
            <w:pPr>
              <w:pStyle w:val="TableParagraph"/>
              <w:numPr>
                <w:ilvl w:val="0"/>
                <w:numId w:val="15"/>
              </w:numPr>
              <w:tabs>
                <w:tab w:pos="870" w:val="left" w:leader="none"/>
              </w:tabs>
              <w:spacing w:line="240" w:lineRule="auto" w:before="113" w:after="0"/>
              <w:ind w:left="869" w:right="0" w:hanging="737"/>
              <w:jc w:val="both"/>
              <w:rPr>
                <w:sz w:val="21"/>
              </w:rPr>
            </w:pPr>
            <w:r>
              <w:rPr>
                <w:spacing w:val="-3"/>
                <w:sz w:val="21"/>
              </w:rPr>
              <w:t>实际实施了对脑肿瘤进行的放射治疗。</w:t>
            </w:r>
          </w:p>
          <w:p>
            <w:pPr>
              <w:pStyle w:val="TableParagraph"/>
              <w:spacing w:before="116"/>
              <w:jc w:val="both"/>
              <w:rPr>
                <w:sz w:val="21"/>
              </w:rPr>
            </w:pPr>
            <w:r>
              <w:rPr>
                <w:rFonts w:ascii="黑体" w:eastAsia="黑体" w:hint="eastAsia"/>
                <w:sz w:val="21"/>
              </w:rPr>
              <w:t>脑垂体瘤、脑囊肿、脑血管性疾病不在保障范围内</w:t>
            </w:r>
            <w:r>
              <w:rPr>
                <w:sz w:val="21"/>
              </w:rPr>
              <w:t>。</w:t>
            </w:r>
          </w:p>
        </w:tc>
      </w:tr>
      <w:tr>
        <w:trPr>
          <w:trHeight w:val="2509" w:hRule="atLeast"/>
        </w:trPr>
        <w:tc>
          <w:tcPr>
            <w:tcW w:w="809" w:type="dxa"/>
          </w:tcPr>
          <w:p>
            <w:pPr>
              <w:pStyle w:val="TableParagraph"/>
              <w:spacing w:before="110"/>
              <w:ind w:left="200"/>
              <w:rPr>
                <w:b/>
                <w:sz w:val="21"/>
              </w:rPr>
            </w:pPr>
            <w:r>
              <w:rPr>
                <w:b/>
                <w:sz w:val="21"/>
              </w:rPr>
              <w:t>9.10</w:t>
            </w:r>
          </w:p>
        </w:tc>
        <w:tc>
          <w:tcPr>
            <w:tcW w:w="1585" w:type="dxa"/>
          </w:tcPr>
          <w:p>
            <w:pPr>
              <w:pStyle w:val="TableParagraph"/>
              <w:spacing w:line="271"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6"/>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6"/>
              </w:numPr>
              <w:tabs>
                <w:tab w:pos="869" w:val="left" w:leader="none"/>
                <w:tab w:pos="870" w:val="left" w:leader="none"/>
              </w:tabs>
              <w:spacing w:line="240" w:lineRule="auto" w:before="115" w:after="0"/>
              <w:ind w:left="869" w:right="0" w:hanging="737"/>
              <w:jc w:val="left"/>
              <w:rPr>
                <w:sz w:val="21"/>
              </w:rPr>
            </w:pPr>
            <w:r>
              <w:rPr>
                <w:spacing w:val="-2"/>
                <w:sz w:val="21"/>
              </w:rPr>
              <w:t>腹水；</w:t>
            </w:r>
          </w:p>
          <w:p>
            <w:pPr>
              <w:pStyle w:val="TableParagraph"/>
              <w:numPr>
                <w:ilvl w:val="0"/>
                <w:numId w:val="16"/>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6"/>
              </w:numPr>
              <w:tabs>
                <w:tab w:pos="869" w:val="left" w:leader="none"/>
                <w:tab w:pos="870" w:val="left" w:leader="none"/>
              </w:tabs>
              <w:spacing w:line="240" w:lineRule="auto" w:before="116" w:after="0"/>
              <w:ind w:left="869" w:right="0" w:hanging="737"/>
              <w:jc w:val="left"/>
              <w:rPr>
                <w:sz w:val="21"/>
              </w:rPr>
            </w:pPr>
            <w:r>
              <w:rPr>
                <w:spacing w:val="-3"/>
                <w:sz w:val="21"/>
              </w:rPr>
              <w:t>充血性脾肿大伴脾功能亢进或食管胃底静脉曲张。</w:t>
            </w:r>
          </w:p>
          <w:p>
            <w:pPr>
              <w:pStyle w:val="TableParagraph"/>
              <w:spacing w:before="114"/>
              <w:rPr>
                <w:sz w:val="21"/>
              </w:rPr>
            </w:pPr>
            <w:r>
              <w:rPr>
                <w:rFonts w:ascii="黑体" w:eastAsia="黑体" w:hint="eastAsia"/>
                <w:sz w:val="21"/>
              </w:rPr>
              <w:t>因酗酒或药物滥用导致的肝功能衰竭不在保障范围内</w:t>
            </w:r>
            <w:r>
              <w:rPr>
                <w:sz w:val="21"/>
              </w:rPr>
              <w:t>。</w:t>
            </w:r>
          </w:p>
        </w:tc>
      </w:tr>
      <w:tr>
        <w:trPr>
          <w:trHeight w:val="2179" w:hRule="atLeast"/>
        </w:trPr>
        <w:tc>
          <w:tcPr>
            <w:tcW w:w="809" w:type="dxa"/>
          </w:tcPr>
          <w:p>
            <w:pPr>
              <w:pStyle w:val="TableParagraph"/>
              <w:ind w:left="200"/>
              <w:rPr>
                <w:b/>
                <w:sz w:val="21"/>
              </w:rPr>
            </w:pPr>
            <w:r>
              <w:rPr>
                <w:b/>
                <w:sz w:val="21"/>
              </w:rPr>
              <w:t>9.11</w:t>
            </w:r>
          </w:p>
        </w:tc>
        <w:tc>
          <w:tcPr>
            <w:tcW w:w="1585" w:type="dxa"/>
          </w:tcPr>
          <w:p>
            <w:pPr>
              <w:pStyle w:val="TableParagraph"/>
              <w:spacing w:line="271" w:lineRule="auto"/>
              <w:ind w:left="185" w:right="129"/>
              <w:rPr>
                <w:b/>
                <w:sz w:val="21"/>
              </w:rPr>
            </w:pPr>
            <w:r>
              <w:rPr>
                <w:b/>
                <w:sz w:val="21"/>
              </w:rPr>
              <w:t>脑炎后遗症或脑膜炎后遗症</w:t>
            </w:r>
          </w:p>
        </w:tc>
        <w:tc>
          <w:tcPr>
            <w:tcW w:w="7821" w:type="dxa"/>
          </w:tcPr>
          <w:p>
            <w:pPr>
              <w:pStyle w:val="TableParagraph"/>
              <w:spacing w:line="271" w:lineRule="auto"/>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7"/>
              </w:numPr>
              <w:tabs>
                <w:tab w:pos="869" w:val="left" w:leader="none"/>
                <w:tab w:pos="870" w:val="left" w:leader="none"/>
              </w:tabs>
              <w:spacing w:line="240" w:lineRule="auto" w:before="115" w:after="0"/>
              <w:ind w:left="852" w:right="0" w:hanging="720"/>
              <w:jc w:val="left"/>
              <w:rPr>
                <w:sz w:val="21"/>
              </w:rPr>
            </w:pPr>
            <w:r>
              <w:rPr>
                <w:spacing w:val="-3"/>
                <w:sz w:val="21"/>
              </w:rPr>
              <w:t>语言能力或咀嚼吞咽能力完全丧失；</w:t>
            </w:r>
          </w:p>
          <w:p>
            <w:pPr>
              <w:pStyle w:val="TableParagraph"/>
              <w:numPr>
                <w:ilvl w:val="0"/>
                <w:numId w:val="17"/>
              </w:numPr>
              <w:tabs>
                <w:tab w:pos="834" w:val="left" w:leader="none"/>
              </w:tabs>
              <w:spacing w:line="310" w:lineRule="atLeast" w:before="78" w:after="0"/>
              <w:ind w:left="852" w:right="300" w:hanging="720"/>
              <w:jc w:val="left"/>
              <w:rPr>
                <w:sz w:val="21"/>
              </w:rPr>
            </w:pPr>
            <w:r>
              <w:rPr>
                <w:spacing w:val="-6"/>
                <w:sz w:val="21"/>
              </w:rPr>
              <w:t>自主生活能力完全丧失，无法独立完成六项基本日常生活活动中的三项或</w:t>
            </w:r>
            <w:r>
              <w:rPr>
                <w:spacing w:val="-4"/>
                <w:sz w:val="21"/>
              </w:rPr>
              <w:t>三项以上。</w:t>
            </w:r>
          </w:p>
        </w:tc>
      </w:tr>
    </w:tbl>
    <w:p>
      <w:pPr>
        <w:spacing w:after="0" w:line="310" w:lineRule="atLeas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400" w:hRule="atLeast"/>
        </w:trPr>
        <w:tc>
          <w:tcPr>
            <w:tcW w:w="809" w:type="dxa"/>
          </w:tcPr>
          <w:p>
            <w:pPr>
              <w:pStyle w:val="TableParagraph"/>
              <w:spacing w:line="206" w:lineRule="exact" w:before="0"/>
              <w:ind w:left="200"/>
              <w:rPr>
                <w:b/>
                <w:sz w:val="21"/>
              </w:rPr>
            </w:pPr>
            <w:r>
              <w:rPr>
                <w:b/>
                <w:sz w:val="21"/>
              </w:rPr>
              <w:t>9.12</w:t>
            </w:r>
          </w:p>
        </w:tc>
        <w:tc>
          <w:tcPr>
            <w:tcW w:w="1585" w:type="dxa"/>
          </w:tcPr>
          <w:p>
            <w:pPr>
              <w:pStyle w:val="TableParagraph"/>
              <w:spacing w:line="206" w:lineRule="exact" w:before="0"/>
              <w:ind w:left="185"/>
              <w:rPr>
                <w:b/>
                <w:sz w:val="21"/>
              </w:rPr>
            </w:pPr>
            <w:r>
              <w:rPr>
                <w:b/>
                <w:sz w:val="21"/>
              </w:rPr>
              <w:t>深度昏迷</w:t>
            </w:r>
          </w:p>
        </w:tc>
        <w:tc>
          <w:tcPr>
            <w:tcW w:w="7824" w:type="dxa"/>
          </w:tcPr>
          <w:p>
            <w:pPr>
              <w:pStyle w:val="TableParagraph"/>
              <w:spacing w:line="206" w:lineRule="exact" w:before="0"/>
              <w:rPr>
                <w:sz w:val="21"/>
              </w:rPr>
            </w:pPr>
            <w:r>
              <w:rPr>
                <w:sz w:val="21"/>
              </w:rPr>
              <w:t>指因疾病或意外伤害导致意识丧失,对外界刺激和体内需求均无反应,昏迷程度按</w:t>
            </w:r>
          </w:p>
          <w:p>
            <w:pPr>
              <w:pStyle w:val="TableParagraph"/>
              <w:spacing w:line="273" w:lineRule="auto" w:before="37"/>
              <w:ind w:right="335"/>
              <w:rPr>
                <w:sz w:val="21"/>
              </w:rPr>
            </w:pPr>
            <w:r>
              <w:rPr>
                <w:spacing w:val="-3"/>
                <w:sz w:val="21"/>
              </w:rPr>
              <w:t>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rPr>
                <w:sz w:val="21"/>
              </w:rPr>
            </w:pPr>
            <w:r>
              <w:rPr>
                <w:rFonts w:ascii="黑体" w:eastAsia="黑体" w:hint="eastAsia"/>
                <w:sz w:val="21"/>
              </w:rPr>
              <w:t>因酗酒或药物滥用导致的深度昏迷不在保障范围内</w:t>
            </w:r>
            <w:r>
              <w:rPr>
                <w:sz w:val="21"/>
              </w:rPr>
              <w:t>。</w:t>
            </w:r>
          </w:p>
        </w:tc>
      </w:tr>
      <w:tr>
        <w:trPr>
          <w:trHeight w:val="1183" w:hRule="atLeast"/>
        </w:trPr>
        <w:tc>
          <w:tcPr>
            <w:tcW w:w="809" w:type="dxa"/>
          </w:tcPr>
          <w:p>
            <w:pPr>
              <w:pStyle w:val="TableParagraph"/>
              <w:spacing w:before="105"/>
              <w:ind w:left="200"/>
              <w:rPr>
                <w:b/>
                <w:sz w:val="21"/>
              </w:rPr>
            </w:pPr>
            <w:r>
              <w:rPr>
                <w:b/>
                <w:sz w:val="21"/>
              </w:rPr>
              <w:t>9.13</w:t>
            </w:r>
          </w:p>
        </w:tc>
        <w:tc>
          <w:tcPr>
            <w:tcW w:w="1585" w:type="dxa"/>
          </w:tcPr>
          <w:p>
            <w:pPr>
              <w:pStyle w:val="TableParagraph"/>
              <w:spacing w:before="105"/>
              <w:ind w:left="185"/>
              <w:rPr>
                <w:b/>
                <w:sz w:val="21"/>
              </w:rPr>
            </w:pPr>
            <w:r>
              <w:rPr>
                <w:b/>
                <w:sz w:val="21"/>
              </w:rPr>
              <w:t>双耳失聪</w:t>
            </w:r>
          </w:p>
        </w:tc>
        <w:tc>
          <w:tcPr>
            <w:tcW w:w="7824" w:type="dxa"/>
          </w:tcPr>
          <w:p>
            <w:pPr>
              <w:pStyle w:val="TableParagraph"/>
              <w:spacing w:before="105"/>
              <w:rPr>
                <w:sz w:val="21"/>
              </w:rPr>
            </w:pPr>
            <w:r>
              <w:rPr>
                <w:sz w:val="21"/>
              </w:rPr>
              <w:t>指因疾病或意外伤害导致双耳听力</w:t>
            </w:r>
            <w:r>
              <w:rPr>
                <w:b/>
                <w:sz w:val="21"/>
              </w:rPr>
              <w:t>永久不可逆</w:t>
            </w:r>
            <w:r>
              <w:rPr>
                <w:sz w:val="21"/>
              </w:rPr>
              <w:t>(见 10.21)性丧失，在 500 赫兹、</w:t>
            </w:r>
          </w:p>
          <w:p>
            <w:pPr>
              <w:pStyle w:val="TableParagraph"/>
              <w:spacing w:line="273" w:lineRule="auto" w:before="36"/>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5" w:hRule="atLeast"/>
        </w:trPr>
        <w:tc>
          <w:tcPr>
            <w:tcW w:w="809" w:type="dxa"/>
          </w:tcPr>
          <w:p>
            <w:pPr>
              <w:pStyle w:val="TableParagraph"/>
              <w:spacing w:before="105"/>
              <w:ind w:left="200"/>
              <w:rPr>
                <w:b/>
                <w:sz w:val="21"/>
              </w:rPr>
            </w:pPr>
            <w:r>
              <w:rPr>
                <w:b/>
                <w:sz w:val="21"/>
              </w:rPr>
              <w:t>9.14</w:t>
            </w:r>
          </w:p>
        </w:tc>
        <w:tc>
          <w:tcPr>
            <w:tcW w:w="1585" w:type="dxa"/>
          </w:tcPr>
          <w:p>
            <w:pPr>
              <w:pStyle w:val="TableParagraph"/>
              <w:spacing w:before="105"/>
              <w:ind w:left="185"/>
              <w:rPr>
                <w:b/>
                <w:sz w:val="21"/>
              </w:rPr>
            </w:pPr>
            <w:r>
              <w:rPr>
                <w:b/>
                <w:sz w:val="21"/>
              </w:rPr>
              <w:t>双目失明</w:t>
            </w:r>
          </w:p>
        </w:tc>
        <w:tc>
          <w:tcPr>
            <w:tcW w:w="7824" w:type="dxa"/>
          </w:tcPr>
          <w:p>
            <w:pPr>
              <w:pStyle w:val="TableParagraph"/>
              <w:spacing w:line="273" w:lineRule="auto" w:before="105"/>
              <w:ind w:right="332"/>
              <w:rPr>
                <w:sz w:val="21"/>
              </w:rPr>
            </w:pPr>
            <w:r>
              <w:rPr>
                <w:sz w:val="21"/>
              </w:rPr>
              <w:t>指因疾病或意外伤害导致双眼视力永久不可逆性丧失，双眼中较好眼须满足下列至少一项条件：</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18"/>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05"/>
              <w:ind w:left="200"/>
              <w:rPr>
                <w:b/>
                <w:sz w:val="21"/>
              </w:rPr>
            </w:pPr>
            <w:r>
              <w:rPr>
                <w:b/>
                <w:sz w:val="21"/>
              </w:rPr>
              <w:t>9.15</w:t>
            </w:r>
          </w:p>
        </w:tc>
        <w:tc>
          <w:tcPr>
            <w:tcW w:w="1585" w:type="dxa"/>
          </w:tcPr>
          <w:p>
            <w:pPr>
              <w:pStyle w:val="TableParagraph"/>
              <w:spacing w:before="105"/>
              <w:ind w:left="185"/>
              <w:rPr>
                <w:b/>
                <w:sz w:val="21"/>
              </w:rPr>
            </w:pPr>
            <w:r>
              <w:rPr>
                <w:b/>
                <w:sz w:val="21"/>
              </w:rPr>
              <w:t>瘫痪</w:t>
            </w:r>
          </w:p>
        </w:tc>
        <w:tc>
          <w:tcPr>
            <w:tcW w:w="7824" w:type="dxa"/>
          </w:tcPr>
          <w:p>
            <w:pPr>
              <w:pStyle w:val="TableParagraph"/>
              <w:spacing w:line="273" w:lineRule="auto" w:before="105"/>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06"/>
              <w:ind w:left="200"/>
              <w:rPr>
                <w:b/>
                <w:sz w:val="21"/>
              </w:rPr>
            </w:pPr>
            <w:r>
              <w:rPr>
                <w:b/>
                <w:sz w:val="21"/>
              </w:rPr>
              <w:t>9.16</w:t>
            </w:r>
          </w:p>
        </w:tc>
        <w:tc>
          <w:tcPr>
            <w:tcW w:w="1585" w:type="dxa"/>
          </w:tcPr>
          <w:p>
            <w:pPr>
              <w:pStyle w:val="TableParagraph"/>
              <w:spacing w:before="106"/>
              <w:ind w:left="185"/>
              <w:rPr>
                <w:b/>
                <w:sz w:val="21"/>
              </w:rPr>
            </w:pPr>
            <w:r>
              <w:rPr>
                <w:b/>
                <w:sz w:val="21"/>
              </w:rPr>
              <w:t>心脏瓣膜手术</w:t>
            </w:r>
          </w:p>
        </w:tc>
        <w:tc>
          <w:tcPr>
            <w:tcW w:w="7824" w:type="dxa"/>
          </w:tcPr>
          <w:p>
            <w:pPr>
              <w:pStyle w:val="TableParagraph"/>
              <w:spacing w:before="106"/>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spacing w:before="105"/>
              <w:ind w:left="200"/>
              <w:rPr>
                <w:b/>
                <w:sz w:val="21"/>
              </w:rPr>
            </w:pPr>
            <w:r>
              <w:rPr>
                <w:b/>
                <w:sz w:val="21"/>
              </w:rPr>
              <w:t>9.17</w:t>
            </w:r>
          </w:p>
        </w:tc>
        <w:tc>
          <w:tcPr>
            <w:tcW w:w="1585" w:type="dxa"/>
          </w:tcPr>
          <w:p>
            <w:pPr>
              <w:pStyle w:val="TableParagraph"/>
              <w:spacing w:line="271" w:lineRule="auto" w:before="105"/>
              <w:ind w:left="185" w:right="129"/>
              <w:rPr>
                <w:b/>
                <w:sz w:val="21"/>
              </w:rPr>
            </w:pPr>
            <w:r>
              <w:rPr>
                <w:b/>
                <w:sz w:val="21"/>
              </w:rPr>
              <w:t>严重阿尔茨海默病</w:t>
            </w:r>
          </w:p>
        </w:tc>
        <w:tc>
          <w:tcPr>
            <w:tcW w:w="7824" w:type="dxa"/>
          </w:tcPr>
          <w:p>
            <w:pPr>
              <w:pStyle w:val="TableParagraph"/>
              <w:spacing w:line="271" w:lineRule="auto" w:before="105"/>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49" w:hRule="atLeast"/>
        </w:trPr>
        <w:tc>
          <w:tcPr>
            <w:tcW w:w="809" w:type="dxa"/>
          </w:tcPr>
          <w:p>
            <w:pPr>
              <w:pStyle w:val="TableParagraph"/>
              <w:spacing w:before="78"/>
              <w:ind w:left="200"/>
              <w:rPr>
                <w:b/>
                <w:sz w:val="21"/>
              </w:rPr>
            </w:pPr>
            <w:r>
              <w:rPr>
                <w:b/>
                <w:sz w:val="21"/>
              </w:rPr>
              <w:t>9.18</w:t>
            </w:r>
          </w:p>
        </w:tc>
        <w:tc>
          <w:tcPr>
            <w:tcW w:w="1585" w:type="dxa"/>
          </w:tcPr>
          <w:p>
            <w:pPr>
              <w:pStyle w:val="TableParagraph"/>
              <w:spacing w:before="78"/>
              <w:ind w:left="185"/>
              <w:rPr>
                <w:b/>
                <w:sz w:val="21"/>
              </w:rPr>
            </w:pPr>
            <w:r>
              <w:rPr>
                <w:b/>
                <w:sz w:val="21"/>
              </w:rPr>
              <w:t>严重脑损伤</w:t>
            </w:r>
          </w:p>
        </w:tc>
        <w:tc>
          <w:tcPr>
            <w:tcW w:w="7824" w:type="dxa"/>
          </w:tcPr>
          <w:p>
            <w:pPr>
              <w:pStyle w:val="TableParagraph"/>
              <w:spacing w:line="271" w:lineRule="auto" w:before="78"/>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9"/>
              </w:numPr>
              <w:tabs>
                <w:tab w:pos="869" w:val="left" w:leader="none"/>
                <w:tab w:pos="870" w:val="left" w:leader="none"/>
              </w:tabs>
              <w:spacing w:line="240" w:lineRule="auto" w:before="89" w:after="0"/>
              <w:ind w:left="852" w:right="0" w:hanging="720"/>
              <w:jc w:val="left"/>
              <w:rPr>
                <w:sz w:val="21"/>
              </w:rPr>
            </w:pPr>
            <w:r>
              <w:rPr>
                <w:spacing w:val="-3"/>
                <w:sz w:val="21"/>
              </w:rPr>
              <w:t>一肢或一肢以上肢体机能完全丧失；</w:t>
            </w:r>
          </w:p>
          <w:p>
            <w:pPr>
              <w:pStyle w:val="TableParagraph"/>
              <w:numPr>
                <w:ilvl w:val="0"/>
                <w:numId w:val="19"/>
              </w:numPr>
              <w:tabs>
                <w:tab w:pos="869" w:val="left" w:leader="none"/>
                <w:tab w:pos="870" w:val="left" w:leader="none"/>
              </w:tabs>
              <w:spacing w:line="240" w:lineRule="auto" w:before="116" w:after="0"/>
              <w:ind w:left="852" w:right="0" w:hanging="720"/>
              <w:jc w:val="left"/>
              <w:rPr>
                <w:sz w:val="21"/>
              </w:rPr>
            </w:pPr>
            <w:r>
              <w:rPr>
                <w:spacing w:val="-3"/>
                <w:sz w:val="21"/>
              </w:rPr>
              <w:t>语言能力或咀嚼吞咽能力完全丧失；</w:t>
            </w:r>
          </w:p>
          <w:p>
            <w:pPr>
              <w:pStyle w:val="TableParagraph"/>
              <w:numPr>
                <w:ilvl w:val="0"/>
                <w:numId w:val="19"/>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789" w:hRule="atLeast"/>
        </w:trPr>
        <w:tc>
          <w:tcPr>
            <w:tcW w:w="809" w:type="dxa"/>
          </w:tcPr>
          <w:p>
            <w:pPr>
              <w:pStyle w:val="TableParagraph"/>
              <w:spacing w:before="105"/>
              <w:ind w:left="200"/>
              <w:rPr>
                <w:b/>
                <w:sz w:val="21"/>
              </w:rPr>
            </w:pPr>
            <w:r>
              <w:rPr>
                <w:b/>
                <w:sz w:val="21"/>
              </w:rPr>
              <w:t>9.19</w:t>
            </w:r>
          </w:p>
        </w:tc>
        <w:tc>
          <w:tcPr>
            <w:tcW w:w="1585" w:type="dxa"/>
          </w:tcPr>
          <w:p>
            <w:pPr>
              <w:pStyle w:val="TableParagraph"/>
              <w:spacing w:before="105"/>
              <w:ind w:left="185"/>
              <w:rPr>
                <w:b/>
                <w:sz w:val="21"/>
              </w:rPr>
            </w:pPr>
            <w:r>
              <w:rPr>
                <w:b/>
                <w:sz w:val="21"/>
              </w:rPr>
              <w:t>严重帕金森病</w:t>
            </w:r>
          </w:p>
        </w:tc>
        <w:tc>
          <w:tcPr>
            <w:tcW w:w="7824" w:type="dxa"/>
          </w:tcPr>
          <w:p>
            <w:pPr>
              <w:pStyle w:val="TableParagraph"/>
              <w:spacing w:line="273" w:lineRule="auto" w:before="105"/>
              <w:ind w:right="332"/>
              <w:rPr>
                <w:sz w:val="21"/>
              </w:rPr>
            </w:pPr>
            <w:r>
              <w:rPr>
                <w:sz w:val="21"/>
              </w:rPr>
              <w:t>是一种中枢神经系统的退行性疾病，临床表现为震颤麻痹、共济失调等。须满足下列全部条件：</w:t>
            </w:r>
          </w:p>
          <w:p>
            <w:pPr>
              <w:pStyle w:val="TableParagraph"/>
              <w:numPr>
                <w:ilvl w:val="0"/>
                <w:numId w:val="20"/>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20"/>
              </w:numPr>
              <w:tabs>
                <w:tab w:pos="834" w:val="left" w:leader="none"/>
              </w:tabs>
              <w:spacing w:line="310" w:lineRule="atLeast" w:before="78"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bl>
    <w:p>
      <w:pPr>
        <w:spacing w:after="0" w:line="310" w:lineRule="atLeast"/>
        <w:jc w:val="left"/>
        <w:rPr>
          <w:sz w:val="21"/>
        </w:rPr>
        <w:sectPr>
          <w:pgSz w:w="11910" w:h="16840"/>
          <w:pgMar w:top="14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77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rFonts w:ascii="黑体" w:eastAsia="黑体" w:hint="eastAsia"/>
                <w:sz w:val="21"/>
              </w:rPr>
            </w:pPr>
            <w:r>
              <w:rPr>
                <w:rFonts w:ascii="黑体" w:eastAsia="黑体" w:hint="eastAsia"/>
                <w:sz w:val="21"/>
              </w:rPr>
              <w:t>继发性帕金森综合征不在保障范围内。</w:t>
            </w:r>
          </w:p>
          <w:p>
            <w:pPr>
              <w:pStyle w:val="TableParagraph"/>
              <w:spacing w:before="116"/>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3"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ind w:left="200"/>
              <w:rPr>
                <w:b/>
                <w:sz w:val="21"/>
              </w:rPr>
            </w:pPr>
            <w:r>
              <w:rPr>
                <w:b/>
                <w:sz w:val="21"/>
              </w:rPr>
              <w:t>9.21</w:t>
            </w:r>
          </w:p>
        </w:tc>
        <w:tc>
          <w:tcPr>
            <w:tcW w:w="1585" w:type="dxa"/>
          </w:tcPr>
          <w:p>
            <w:pPr>
              <w:pStyle w:val="TableParagraph"/>
              <w:spacing w:line="271" w:lineRule="auto"/>
              <w:ind w:left="185" w:right="129"/>
              <w:rPr>
                <w:b/>
                <w:sz w:val="21"/>
              </w:rPr>
            </w:pPr>
            <w:r>
              <w:rPr>
                <w:b/>
                <w:sz w:val="21"/>
              </w:rPr>
              <w:t>严重原发性肺动脉高压</w:t>
            </w:r>
          </w:p>
        </w:tc>
        <w:tc>
          <w:tcPr>
            <w:tcW w:w="7824" w:type="dxa"/>
          </w:tcPr>
          <w:p>
            <w:pPr>
              <w:pStyle w:val="TableParagraph"/>
              <w:spacing w:line="271" w:lineRule="auto"/>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ind w:left="200"/>
              <w:rPr>
                <w:b/>
                <w:sz w:val="21"/>
              </w:rPr>
            </w:pPr>
            <w:r>
              <w:rPr>
                <w:b/>
                <w:sz w:val="21"/>
              </w:rPr>
              <w:t>9.22</w:t>
            </w:r>
          </w:p>
        </w:tc>
        <w:tc>
          <w:tcPr>
            <w:tcW w:w="1585" w:type="dxa"/>
          </w:tcPr>
          <w:p>
            <w:pPr>
              <w:pStyle w:val="TableParagraph"/>
              <w:spacing w:line="271" w:lineRule="auto"/>
              <w:ind w:left="185" w:right="129"/>
              <w:rPr>
                <w:b/>
                <w:sz w:val="21"/>
              </w:rPr>
            </w:pPr>
            <w:r>
              <w:rPr>
                <w:b/>
                <w:sz w:val="21"/>
              </w:rPr>
              <w:t>严重运动神经元病</w:t>
            </w:r>
          </w:p>
        </w:tc>
        <w:tc>
          <w:tcPr>
            <w:tcW w:w="7824" w:type="dxa"/>
          </w:tcPr>
          <w:p>
            <w:pPr>
              <w:pStyle w:val="TableParagraph"/>
              <w:spacing w:line="271"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4" w:hRule="atLeast"/>
        </w:trPr>
        <w:tc>
          <w:tcPr>
            <w:tcW w:w="809" w:type="dxa"/>
          </w:tcPr>
          <w:p>
            <w:pPr>
              <w:pStyle w:val="TableParagraph"/>
              <w:ind w:left="200"/>
              <w:rPr>
                <w:b/>
                <w:sz w:val="21"/>
              </w:rPr>
            </w:pPr>
            <w:r>
              <w:rPr>
                <w:b/>
                <w:sz w:val="21"/>
              </w:rPr>
              <w:t>9.23</w:t>
            </w:r>
          </w:p>
        </w:tc>
        <w:tc>
          <w:tcPr>
            <w:tcW w:w="1585" w:type="dxa"/>
          </w:tcPr>
          <w:p>
            <w:pPr>
              <w:pStyle w:val="TableParagraph"/>
              <w:ind w:left="185"/>
              <w:rPr>
                <w:b/>
                <w:sz w:val="21"/>
              </w:rPr>
            </w:pPr>
            <w:r>
              <w:rPr>
                <w:b/>
                <w:sz w:val="21"/>
              </w:rPr>
              <w:t>语言能力丧失</w:t>
            </w:r>
          </w:p>
        </w:tc>
        <w:tc>
          <w:tcPr>
            <w:tcW w:w="7824" w:type="dxa"/>
          </w:tcPr>
          <w:p>
            <w:pPr>
              <w:pStyle w:val="TableParagraph"/>
              <w:spacing w:line="273" w:lineRule="auto"/>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1"/>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1"/>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4"/>
              <w:ind w:left="845"/>
              <w:rPr>
                <w:sz w:val="21"/>
              </w:rPr>
            </w:pPr>
            <w:r>
              <w:rPr>
                <w:sz w:val="21"/>
              </w:rPr>
              <w:t>② 网织红细胞＜1%；</w:t>
            </w:r>
          </w:p>
          <w:p>
            <w:pPr>
              <w:pStyle w:val="TableParagraph"/>
              <w:spacing w:before="116"/>
              <w:ind w:left="845"/>
              <w:rPr>
                <w:sz w:val="21"/>
              </w:rPr>
            </w:pPr>
            <w:r>
              <w:rPr>
                <w:sz w:val="21"/>
              </w:rPr>
              <w:t>③ 血小板绝对值≤20×10</w:t>
            </w:r>
            <w:r>
              <w:rPr>
                <w:position w:val="11"/>
                <w:sz w:val="11"/>
              </w:rPr>
              <w:t>9</w:t>
            </w:r>
            <w:r>
              <w:rPr>
                <w:sz w:val="21"/>
              </w:rPr>
              <w:t>/L。</w:t>
            </w:r>
          </w:p>
        </w:tc>
      </w:tr>
      <w:tr>
        <w:trPr>
          <w:trHeight w:val="1573"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1"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sz w:val="21"/>
              </w:rPr>
            </w:pPr>
            <w:r>
              <w:rPr>
                <w:rFonts w:ascii="黑体" w:eastAsia="黑体" w:hint="eastAsia"/>
                <w:sz w:val="21"/>
              </w:rPr>
              <w:t>动脉内血管成形术不在保障范围内</w:t>
            </w:r>
            <w:r>
              <w:rPr>
                <w:sz w:val="21"/>
              </w:rPr>
              <w:t>。</w:t>
            </w:r>
          </w:p>
        </w:tc>
      </w:tr>
      <w:tr>
        <w:trPr>
          <w:trHeight w:val="1815" w:hRule="atLeast"/>
        </w:trPr>
        <w:tc>
          <w:tcPr>
            <w:tcW w:w="809" w:type="dxa"/>
          </w:tcPr>
          <w:p>
            <w:pPr>
              <w:pStyle w:val="TableParagraph"/>
              <w:ind w:left="200"/>
              <w:rPr>
                <w:b/>
                <w:sz w:val="21"/>
              </w:rPr>
            </w:pPr>
            <w:r>
              <w:rPr>
                <w:b/>
                <w:sz w:val="21"/>
              </w:rPr>
              <w:t>9.26</w:t>
            </w:r>
          </w:p>
        </w:tc>
        <w:tc>
          <w:tcPr>
            <w:tcW w:w="1585" w:type="dxa"/>
          </w:tcPr>
          <w:p>
            <w:pPr>
              <w:pStyle w:val="TableParagraph"/>
              <w:ind w:left="185"/>
              <w:rPr>
                <w:b/>
                <w:sz w:val="21"/>
              </w:rPr>
            </w:pPr>
            <w:r>
              <w:rPr>
                <w:b/>
                <w:sz w:val="21"/>
              </w:rPr>
              <w:t>多发性硬化</w:t>
            </w:r>
          </w:p>
        </w:tc>
        <w:tc>
          <w:tcPr>
            <w:tcW w:w="7824" w:type="dxa"/>
          </w:tcPr>
          <w:p>
            <w:pPr>
              <w:pStyle w:val="TableParagraph"/>
              <w:spacing w:line="271" w:lineRule="auto"/>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809" w:type="dxa"/>
          </w:tcPr>
          <w:p>
            <w:pPr>
              <w:pStyle w:val="TableParagraph"/>
              <w:spacing w:before="103"/>
              <w:ind w:left="200"/>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8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2"/>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2"/>
              </w:numPr>
              <w:tabs>
                <w:tab w:pos="869" w:val="left" w:leader="none"/>
                <w:tab w:pos="870" w:val="left" w:leader="none"/>
              </w:tabs>
              <w:spacing w:line="240" w:lineRule="auto" w:before="113" w:after="0"/>
              <w:ind w:left="869" w:right="0" w:hanging="737"/>
              <w:jc w:val="left"/>
              <w:rPr>
                <w:sz w:val="21"/>
              </w:rPr>
            </w:pPr>
            <w:r>
              <w:rPr>
                <w:spacing w:val="-3"/>
                <w:sz w:val="21"/>
              </w:rPr>
              <w:t>病人缺氧必须广泛而持续地进行输氧治疗；</w:t>
            </w:r>
          </w:p>
          <w:p>
            <w:pPr>
              <w:pStyle w:val="TableParagraph"/>
              <w:numPr>
                <w:ilvl w:val="0"/>
                <w:numId w:val="22"/>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4"/>
              <w:rPr>
                <w:sz w:val="21"/>
              </w:rPr>
            </w:pPr>
            <w:r>
              <w:rPr>
                <w:sz w:val="21"/>
              </w:rPr>
              <w:t>理赔时必须提供以上三项相应的证明文件或检查报告。</w:t>
            </w:r>
          </w:p>
        </w:tc>
      </w:tr>
      <w:tr>
        <w:trPr>
          <w:trHeight w:val="697" w:hRule="atLeast"/>
        </w:trPr>
        <w:tc>
          <w:tcPr>
            <w:tcW w:w="809" w:type="dxa"/>
          </w:tcPr>
          <w:p>
            <w:pPr>
              <w:pStyle w:val="TableParagraph"/>
              <w:spacing w:before="110"/>
              <w:ind w:left="200"/>
              <w:rPr>
                <w:b/>
                <w:sz w:val="21"/>
              </w:rPr>
            </w:pPr>
            <w:r>
              <w:rPr>
                <w:b/>
                <w:sz w:val="21"/>
              </w:rPr>
              <w:t>9.28</w:t>
            </w:r>
          </w:p>
        </w:tc>
        <w:tc>
          <w:tcPr>
            <w:tcW w:w="1585" w:type="dxa"/>
          </w:tcPr>
          <w:p>
            <w:pPr>
              <w:pStyle w:val="TableParagraph"/>
              <w:spacing w:before="110"/>
              <w:ind w:left="185"/>
              <w:rPr>
                <w:b/>
                <w:sz w:val="21"/>
              </w:rPr>
            </w:pPr>
            <w:r>
              <w:rPr>
                <w:b/>
                <w:sz w:val="21"/>
              </w:rPr>
              <w:t>颅脑手术</w:t>
            </w:r>
          </w:p>
        </w:tc>
        <w:tc>
          <w:tcPr>
            <w:tcW w:w="7824" w:type="dxa"/>
          </w:tcPr>
          <w:p>
            <w:pPr>
              <w:pStyle w:val="TableParagraph"/>
              <w:spacing w:line="310" w:lineRule="atLeast" w:before="75"/>
              <w:ind w:right="5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tc>
      </w:tr>
    </w:tbl>
    <w:p>
      <w:pPr>
        <w:spacing w:after="0" w:line="310" w:lineRule="atLeas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533"/>
        <w:gridCol w:w="7624"/>
      </w:tblGrid>
      <w:tr>
        <w:trPr>
          <w:trHeight w:val="776" w:hRule="atLeast"/>
        </w:trPr>
        <w:tc>
          <w:tcPr>
            <w:tcW w:w="770"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624" w:type="dxa"/>
          </w:tcPr>
          <w:p>
            <w:pPr>
              <w:pStyle w:val="TableParagraph"/>
              <w:spacing w:line="211" w:lineRule="exact" w:before="0"/>
              <w:ind w:left="130"/>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ind w:left="130"/>
              <w:rPr>
                <w:sz w:val="21"/>
              </w:rPr>
            </w:pPr>
            <w:r>
              <w:rPr>
                <w:sz w:val="21"/>
              </w:rPr>
              <w:t>理赔时必须提供由神经外科医生出具的诊断书及手术报告。</w:t>
            </w:r>
          </w:p>
        </w:tc>
      </w:tr>
      <w:tr>
        <w:trPr>
          <w:trHeight w:val="1573" w:hRule="atLeast"/>
        </w:trPr>
        <w:tc>
          <w:tcPr>
            <w:tcW w:w="770" w:type="dxa"/>
          </w:tcPr>
          <w:p>
            <w:pPr>
              <w:pStyle w:val="TableParagraph"/>
              <w:spacing w:before="110"/>
              <w:ind w:left="107"/>
              <w:rPr>
                <w:b/>
                <w:sz w:val="21"/>
              </w:rPr>
            </w:pPr>
            <w:r>
              <w:rPr>
                <w:b/>
                <w:sz w:val="21"/>
              </w:rPr>
              <w:t>9.29</w:t>
            </w:r>
          </w:p>
        </w:tc>
        <w:tc>
          <w:tcPr>
            <w:tcW w:w="1533" w:type="dxa"/>
          </w:tcPr>
          <w:p>
            <w:pPr>
              <w:pStyle w:val="TableParagraph"/>
              <w:spacing w:before="110"/>
              <w:ind w:left="132"/>
              <w:rPr>
                <w:b/>
                <w:sz w:val="21"/>
              </w:rPr>
            </w:pPr>
            <w:r>
              <w:rPr>
                <w:b/>
                <w:sz w:val="21"/>
              </w:rPr>
              <w:t>脊髓灰质炎</w:t>
            </w:r>
          </w:p>
        </w:tc>
        <w:tc>
          <w:tcPr>
            <w:tcW w:w="7624" w:type="dxa"/>
          </w:tcPr>
          <w:p>
            <w:pPr>
              <w:pStyle w:val="TableParagraph"/>
              <w:spacing w:line="273" w:lineRule="auto" w:before="110"/>
              <w:ind w:left="130" w:right="133"/>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6"/>
              <w:ind w:left="130" w:right="133"/>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4" w:hRule="atLeast"/>
        </w:trPr>
        <w:tc>
          <w:tcPr>
            <w:tcW w:w="770" w:type="dxa"/>
          </w:tcPr>
          <w:p>
            <w:pPr>
              <w:pStyle w:val="TableParagraph"/>
              <w:ind w:left="107"/>
              <w:rPr>
                <w:b/>
                <w:sz w:val="21"/>
              </w:rPr>
            </w:pPr>
            <w:r>
              <w:rPr>
                <w:b/>
                <w:sz w:val="21"/>
              </w:rPr>
              <w:t>9.30</w:t>
            </w:r>
          </w:p>
        </w:tc>
        <w:tc>
          <w:tcPr>
            <w:tcW w:w="1533" w:type="dxa"/>
          </w:tcPr>
          <w:p>
            <w:pPr>
              <w:pStyle w:val="TableParagraph"/>
              <w:spacing w:line="273" w:lineRule="auto"/>
              <w:ind w:left="132" w:right="130"/>
              <w:rPr>
                <w:b/>
                <w:sz w:val="21"/>
              </w:rPr>
            </w:pPr>
            <w:r>
              <w:rPr>
                <w:b/>
                <w:sz w:val="21"/>
              </w:rPr>
              <w:t>严重肌营养不良症</w:t>
            </w:r>
          </w:p>
        </w:tc>
        <w:tc>
          <w:tcPr>
            <w:tcW w:w="7624" w:type="dxa"/>
          </w:tcPr>
          <w:p>
            <w:pPr>
              <w:pStyle w:val="TableParagraph"/>
              <w:spacing w:line="273" w:lineRule="auto"/>
              <w:ind w:left="130" w:right="133"/>
              <w:rPr>
                <w:sz w:val="21"/>
              </w:rPr>
            </w:pPr>
            <w:r>
              <w:rPr>
                <w:sz w:val="21"/>
              </w:rPr>
              <w:t>指一组原发于肌肉的遗传性疾病，临床表现为与神经系统无关的肌肉无力和肌肉萎缩。须满足下列全部条件：</w:t>
            </w:r>
          </w:p>
          <w:p>
            <w:pPr>
              <w:pStyle w:val="TableParagraph"/>
              <w:numPr>
                <w:ilvl w:val="0"/>
                <w:numId w:val="23"/>
              </w:numPr>
              <w:tabs>
                <w:tab w:pos="868" w:val="left" w:leader="none"/>
                <w:tab w:pos="869" w:val="left" w:leader="none"/>
              </w:tabs>
              <w:spacing w:line="240" w:lineRule="auto" w:before="86" w:after="0"/>
              <w:ind w:left="851" w:right="0" w:hanging="720"/>
              <w:jc w:val="left"/>
              <w:rPr>
                <w:sz w:val="21"/>
              </w:rPr>
            </w:pPr>
            <w:r>
              <w:rPr>
                <w:spacing w:val="-3"/>
                <w:sz w:val="21"/>
              </w:rPr>
              <w:t>肌肉组织活检结果满足肌营养不良症的肌肉细胞变性、坏死等阳性改变；</w:t>
            </w:r>
          </w:p>
          <w:p>
            <w:pPr>
              <w:pStyle w:val="TableParagraph"/>
              <w:numPr>
                <w:ilvl w:val="0"/>
                <w:numId w:val="23"/>
              </w:numPr>
              <w:tabs>
                <w:tab w:pos="833" w:val="left" w:leader="none"/>
              </w:tabs>
              <w:spacing w:line="273" w:lineRule="auto" w:before="113" w:after="0"/>
              <w:ind w:left="851" w:right="104"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4" w:hRule="atLeast"/>
        </w:trPr>
        <w:tc>
          <w:tcPr>
            <w:tcW w:w="770" w:type="dxa"/>
          </w:tcPr>
          <w:p>
            <w:pPr>
              <w:pStyle w:val="TableParagraph"/>
              <w:spacing w:before="110"/>
              <w:ind w:left="107"/>
              <w:rPr>
                <w:b/>
                <w:sz w:val="21"/>
              </w:rPr>
            </w:pPr>
            <w:r>
              <w:rPr>
                <w:b/>
                <w:sz w:val="21"/>
              </w:rPr>
              <w:t>9.31</w:t>
            </w:r>
          </w:p>
        </w:tc>
        <w:tc>
          <w:tcPr>
            <w:tcW w:w="1533" w:type="dxa"/>
          </w:tcPr>
          <w:p>
            <w:pPr>
              <w:pStyle w:val="TableParagraph"/>
              <w:spacing w:line="273" w:lineRule="auto" w:before="110"/>
              <w:ind w:left="132" w:right="130"/>
              <w:rPr>
                <w:b/>
                <w:sz w:val="21"/>
              </w:rPr>
            </w:pPr>
            <w:r>
              <w:rPr>
                <w:b/>
                <w:sz w:val="21"/>
              </w:rPr>
              <w:t>急性出血坏死性胰腺炎</w:t>
            </w:r>
          </w:p>
        </w:tc>
        <w:tc>
          <w:tcPr>
            <w:tcW w:w="7624" w:type="dxa"/>
          </w:tcPr>
          <w:p>
            <w:pPr>
              <w:pStyle w:val="TableParagraph"/>
              <w:spacing w:line="273" w:lineRule="auto" w:before="110"/>
              <w:ind w:left="130" w:right="133"/>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18" w:hRule="atLeast"/>
        </w:trPr>
        <w:tc>
          <w:tcPr>
            <w:tcW w:w="770" w:type="dxa"/>
          </w:tcPr>
          <w:p>
            <w:pPr>
              <w:pStyle w:val="TableParagraph"/>
              <w:ind w:left="107"/>
              <w:rPr>
                <w:b/>
                <w:sz w:val="21"/>
              </w:rPr>
            </w:pPr>
            <w:r>
              <w:rPr>
                <w:b/>
                <w:sz w:val="21"/>
              </w:rPr>
              <w:t>9.32</w:t>
            </w:r>
          </w:p>
        </w:tc>
        <w:tc>
          <w:tcPr>
            <w:tcW w:w="1533" w:type="dxa"/>
          </w:tcPr>
          <w:p>
            <w:pPr>
              <w:pStyle w:val="TableParagraph"/>
              <w:ind w:left="132"/>
              <w:rPr>
                <w:b/>
                <w:sz w:val="21"/>
              </w:rPr>
            </w:pPr>
            <w:r>
              <w:rPr>
                <w:b/>
                <w:sz w:val="21"/>
              </w:rPr>
              <w:t>侵蚀性葡萄胎</w:t>
            </w:r>
          </w:p>
          <w:p>
            <w:pPr>
              <w:pStyle w:val="TableParagraph"/>
              <w:spacing w:line="273" w:lineRule="auto" w:before="34"/>
              <w:ind w:left="132" w:right="130"/>
              <w:rPr>
                <w:b/>
                <w:sz w:val="21"/>
              </w:rPr>
            </w:pPr>
            <w:r>
              <w:rPr>
                <w:b/>
                <w:sz w:val="21"/>
              </w:rPr>
              <w:t>（或称恶性葡萄胎）</w:t>
            </w:r>
          </w:p>
        </w:tc>
        <w:tc>
          <w:tcPr>
            <w:tcW w:w="7624" w:type="dxa"/>
          </w:tcPr>
          <w:p>
            <w:pPr>
              <w:pStyle w:val="TableParagraph"/>
              <w:spacing w:line="271" w:lineRule="auto"/>
              <w:ind w:left="130" w:right="133"/>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70" w:type="dxa"/>
            <w:tcBorders>
              <w:bottom w:val="single" w:sz="8" w:space="0" w:color="000000"/>
            </w:tcBorders>
          </w:tcPr>
          <w:p>
            <w:pPr>
              <w:pStyle w:val="TableParagraph"/>
              <w:spacing w:before="136"/>
              <w:ind w:left="107"/>
              <w:rPr>
                <w:b/>
                <w:sz w:val="24"/>
              </w:rPr>
            </w:pPr>
            <w:r>
              <w:rPr>
                <w:b/>
                <w:sz w:val="24"/>
              </w:rPr>
              <w:t>10.</w:t>
            </w:r>
          </w:p>
        </w:tc>
        <w:tc>
          <w:tcPr>
            <w:tcW w:w="1533" w:type="dxa"/>
            <w:tcBorders>
              <w:bottom w:val="single" w:sz="8" w:space="0" w:color="000000"/>
            </w:tcBorders>
          </w:tcPr>
          <w:p>
            <w:pPr>
              <w:pStyle w:val="TableParagraph"/>
              <w:spacing w:before="136"/>
              <w:ind w:left="132"/>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667" w:hRule="atLeast"/>
        </w:trPr>
        <w:tc>
          <w:tcPr>
            <w:tcW w:w="770"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33" w:type="dxa"/>
            <w:tcBorders>
              <w:top w:val="single" w:sz="8" w:space="0" w:color="000000"/>
            </w:tcBorders>
          </w:tcPr>
          <w:p>
            <w:pPr>
              <w:pStyle w:val="TableParagraph"/>
              <w:spacing w:before="8"/>
              <w:ind w:left="0"/>
              <w:rPr>
                <w:sz w:val="16"/>
              </w:rPr>
            </w:pPr>
          </w:p>
          <w:p>
            <w:pPr>
              <w:pStyle w:val="TableParagraph"/>
              <w:spacing w:before="0"/>
              <w:ind w:left="132"/>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before="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10.2</w:t>
            </w:r>
          </w:p>
        </w:tc>
        <w:tc>
          <w:tcPr>
            <w:tcW w:w="1533" w:type="dxa"/>
          </w:tcPr>
          <w:p>
            <w:pPr>
              <w:pStyle w:val="TableParagraph"/>
              <w:spacing w:line="271" w:lineRule="auto"/>
              <w:ind w:left="132" w:right="130"/>
              <w:rPr>
                <w:b/>
                <w:sz w:val="21"/>
              </w:rPr>
            </w:pPr>
            <w:r>
              <w:rPr>
                <w:b/>
                <w:sz w:val="21"/>
              </w:rPr>
              <w:t>保险费约定交纳日</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ind w:left="107"/>
              <w:rPr>
                <w:b/>
                <w:sz w:val="21"/>
              </w:rPr>
            </w:pPr>
            <w:r>
              <w:rPr>
                <w:b/>
                <w:sz w:val="21"/>
              </w:rPr>
              <w:t>10.3</w:t>
            </w:r>
          </w:p>
        </w:tc>
        <w:tc>
          <w:tcPr>
            <w:tcW w:w="1533" w:type="dxa"/>
          </w:tcPr>
          <w:p>
            <w:pPr>
              <w:pStyle w:val="TableParagraph"/>
              <w:ind w:left="132"/>
              <w:rPr>
                <w:b/>
                <w:sz w:val="21"/>
              </w:rPr>
            </w:pPr>
            <w:r>
              <w:rPr>
                <w:b/>
                <w:sz w:val="21"/>
              </w:rPr>
              <w:t>周岁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10.4</w:t>
            </w:r>
          </w:p>
        </w:tc>
        <w:tc>
          <w:tcPr>
            <w:tcW w:w="1533" w:type="dxa"/>
          </w:tcPr>
          <w:p>
            <w:pPr>
              <w:pStyle w:val="TableParagraph"/>
              <w:spacing w:before="110"/>
              <w:ind w:left="132"/>
              <w:rPr>
                <w:b/>
                <w:sz w:val="21"/>
              </w:rPr>
            </w:pPr>
            <w:r>
              <w:rPr>
                <w:b/>
                <w:sz w:val="21"/>
              </w:rPr>
              <w:t>有效身份证件</w:t>
            </w:r>
          </w:p>
        </w:tc>
        <w:tc>
          <w:tcPr>
            <w:tcW w:w="7624" w:type="dxa"/>
          </w:tcPr>
          <w:p>
            <w:pPr>
              <w:pStyle w:val="TableParagraph"/>
              <w:spacing w:before="11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10.5</w:t>
            </w:r>
          </w:p>
        </w:tc>
        <w:tc>
          <w:tcPr>
            <w:tcW w:w="1533" w:type="dxa"/>
          </w:tcPr>
          <w:p>
            <w:pPr>
              <w:pStyle w:val="TableParagraph"/>
              <w:ind w:left="132"/>
              <w:rPr>
                <w:b/>
                <w:sz w:val="21"/>
              </w:rPr>
            </w:pPr>
            <w:r>
              <w:rPr>
                <w:b/>
                <w:sz w:val="21"/>
              </w:rPr>
              <w:t>医院</w:t>
            </w:r>
          </w:p>
        </w:tc>
        <w:tc>
          <w:tcPr>
            <w:tcW w:w="7624" w:type="dxa"/>
          </w:tcPr>
          <w:p>
            <w:pPr>
              <w:pStyle w:val="TableParagraph"/>
              <w:spacing w:line="271" w:lineRule="auto"/>
              <w:ind w:left="130" w:right="133"/>
              <w:rPr>
                <w:sz w:val="21"/>
              </w:rPr>
            </w:pPr>
            <w:r>
              <w:rPr>
                <w:sz w:val="21"/>
              </w:rPr>
              <w:t>指国家卫生部医院等级分类中的二级合格或二级合格以上的医院，但不包括主要作为康复、护理、疗养、戒酒、戒毒或相类似的医疗机构。</w:t>
            </w:r>
          </w:p>
        </w:tc>
      </w:tr>
      <w:tr>
        <w:trPr>
          <w:trHeight w:val="560" w:hRule="atLeast"/>
        </w:trPr>
        <w:tc>
          <w:tcPr>
            <w:tcW w:w="770" w:type="dxa"/>
          </w:tcPr>
          <w:p>
            <w:pPr>
              <w:pStyle w:val="TableParagraph"/>
              <w:ind w:left="107"/>
              <w:rPr>
                <w:b/>
                <w:sz w:val="21"/>
              </w:rPr>
            </w:pPr>
            <w:r>
              <w:rPr>
                <w:b/>
                <w:sz w:val="21"/>
              </w:rPr>
              <w:t>10.6</w:t>
            </w:r>
          </w:p>
        </w:tc>
        <w:tc>
          <w:tcPr>
            <w:tcW w:w="1533" w:type="dxa"/>
          </w:tcPr>
          <w:p>
            <w:pPr>
              <w:pStyle w:val="TableParagraph"/>
              <w:ind w:left="132"/>
              <w:rPr>
                <w:b/>
                <w:sz w:val="21"/>
              </w:rPr>
            </w:pPr>
            <w:r>
              <w:rPr>
                <w:b/>
                <w:sz w:val="21"/>
              </w:rPr>
              <w:t>毒品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10.7</w:t>
            </w:r>
          </w:p>
        </w:tc>
        <w:tc>
          <w:tcPr>
            <w:tcW w:w="1533" w:type="dxa"/>
          </w:tcPr>
          <w:p>
            <w:pPr>
              <w:pStyle w:val="TableParagraph"/>
              <w:spacing w:before="110"/>
              <w:ind w:left="132"/>
              <w:rPr>
                <w:b/>
                <w:sz w:val="21"/>
              </w:rPr>
            </w:pPr>
            <w:r>
              <w:rPr>
                <w:b/>
                <w:sz w:val="21"/>
              </w:rPr>
              <w:t>酒后驾驶</w:t>
            </w:r>
          </w:p>
        </w:tc>
        <w:tc>
          <w:tcPr>
            <w:tcW w:w="7624" w:type="dxa"/>
          </w:tcPr>
          <w:p>
            <w:pPr>
              <w:pStyle w:val="TableParagraph"/>
              <w:spacing w:before="11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10.8</w:t>
            </w:r>
          </w:p>
        </w:tc>
        <w:tc>
          <w:tcPr>
            <w:tcW w:w="1533" w:type="dxa"/>
          </w:tcPr>
          <w:p>
            <w:pPr>
              <w:pStyle w:val="TableParagraph"/>
              <w:spacing w:line="271" w:lineRule="auto"/>
              <w:ind w:left="132" w:right="130"/>
              <w:rPr>
                <w:b/>
                <w:sz w:val="21"/>
              </w:rPr>
            </w:pPr>
            <w:r>
              <w:rPr>
                <w:b/>
                <w:sz w:val="21"/>
              </w:rPr>
              <w:t>无合法有效驾驶证驾驶</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ind w:left="107"/>
              <w:rPr>
                <w:b/>
                <w:sz w:val="21"/>
              </w:rPr>
            </w:pPr>
            <w:r>
              <w:rPr>
                <w:b/>
                <w:sz w:val="21"/>
              </w:rPr>
              <w:t>10.9</w:t>
            </w:r>
          </w:p>
        </w:tc>
        <w:tc>
          <w:tcPr>
            <w:tcW w:w="1533" w:type="dxa"/>
          </w:tcPr>
          <w:p>
            <w:pPr>
              <w:pStyle w:val="TableParagraph"/>
              <w:ind w:left="132"/>
              <w:rPr>
                <w:b/>
                <w:sz w:val="21"/>
              </w:rPr>
            </w:pPr>
            <w:r>
              <w:rPr>
                <w:b/>
                <w:sz w:val="21"/>
              </w:rPr>
              <w:t>无有效行驶证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10.10</w:t>
            </w:r>
          </w:p>
        </w:tc>
        <w:tc>
          <w:tcPr>
            <w:tcW w:w="1533" w:type="dxa"/>
          </w:tcPr>
          <w:p>
            <w:pPr>
              <w:pStyle w:val="TableParagraph"/>
              <w:spacing w:before="110"/>
              <w:ind w:left="132"/>
              <w:rPr>
                <w:b/>
                <w:sz w:val="21"/>
              </w:rPr>
            </w:pPr>
            <w:r>
              <w:rPr>
                <w:b/>
                <w:sz w:val="21"/>
              </w:rPr>
              <w:t>机动车</w:t>
            </w:r>
          </w:p>
        </w:tc>
        <w:tc>
          <w:tcPr>
            <w:tcW w:w="7624" w:type="dxa"/>
          </w:tcPr>
          <w:p>
            <w:pPr>
              <w:pStyle w:val="TableParagraph"/>
              <w:spacing w:before="110"/>
              <w:ind w:left="130"/>
              <w:rPr>
                <w:sz w:val="21"/>
              </w:rPr>
            </w:pPr>
            <w:r>
              <w:rPr>
                <w:sz w:val="21"/>
              </w:rPr>
              <w:t>见主合同释义。</w:t>
            </w:r>
          </w:p>
        </w:tc>
      </w:tr>
      <w:tr>
        <w:trPr>
          <w:trHeight w:val="386" w:hRule="atLeast"/>
        </w:trPr>
        <w:tc>
          <w:tcPr>
            <w:tcW w:w="770" w:type="dxa"/>
          </w:tcPr>
          <w:p>
            <w:pPr>
              <w:pStyle w:val="TableParagraph"/>
              <w:spacing w:line="255" w:lineRule="exact"/>
              <w:ind w:left="107"/>
              <w:rPr>
                <w:b/>
                <w:sz w:val="21"/>
              </w:rPr>
            </w:pPr>
            <w:r>
              <w:rPr>
                <w:b/>
                <w:sz w:val="21"/>
              </w:rPr>
              <w:t>10.11</w:t>
            </w:r>
          </w:p>
        </w:tc>
        <w:tc>
          <w:tcPr>
            <w:tcW w:w="1533" w:type="dxa"/>
          </w:tcPr>
          <w:p>
            <w:pPr>
              <w:pStyle w:val="TableParagraph"/>
              <w:spacing w:line="255" w:lineRule="exact"/>
              <w:ind w:left="132"/>
              <w:rPr>
                <w:b/>
                <w:sz w:val="21"/>
              </w:rPr>
            </w:pPr>
            <w:r>
              <w:rPr>
                <w:b/>
                <w:sz w:val="21"/>
              </w:rPr>
              <w:t>感染艾滋病病</w:t>
            </w:r>
          </w:p>
        </w:tc>
        <w:tc>
          <w:tcPr>
            <w:tcW w:w="7624" w:type="dxa"/>
          </w:tcPr>
          <w:p>
            <w:pPr>
              <w:pStyle w:val="TableParagraph"/>
              <w:spacing w:line="255" w:lineRule="exact"/>
              <w:ind w:left="130"/>
              <w:rPr>
                <w:sz w:val="21"/>
              </w:rPr>
            </w:pPr>
            <w:r>
              <w:rPr>
                <w:sz w:val="21"/>
              </w:rPr>
              <w:t>艾滋病病毒指人类免疫缺陷病毒，英文缩写为 HIV。艾滋病指人类免疫缺陷病毒</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1402" w:hRule="atLeast"/>
        </w:trPr>
        <w:tc>
          <w:tcPr>
            <w:tcW w:w="862" w:type="dxa"/>
          </w:tcPr>
          <w:p>
            <w:pPr>
              <w:pStyle w:val="TableParagraph"/>
              <w:spacing w:before="0"/>
              <w:ind w:left="0"/>
              <w:rPr>
                <w:rFonts w:ascii="Times New Roman"/>
                <w:sz w:val="20"/>
              </w:rPr>
            </w:pPr>
          </w:p>
        </w:tc>
        <w:tc>
          <w:tcPr>
            <w:tcW w:w="1533" w:type="dxa"/>
          </w:tcPr>
          <w:p>
            <w:pPr>
              <w:pStyle w:val="TableParagraph"/>
              <w:spacing w:line="211" w:lineRule="exact" w:before="0"/>
              <w:ind w:left="132"/>
              <w:rPr>
                <w:b/>
                <w:sz w:val="21"/>
              </w:rPr>
            </w:pPr>
            <w:r>
              <w:rPr>
                <w:b/>
                <w:sz w:val="21"/>
              </w:rPr>
              <w:t>毒或患艾滋病</w:t>
            </w:r>
          </w:p>
        </w:tc>
        <w:tc>
          <w:tcPr>
            <w:tcW w:w="7827" w:type="dxa"/>
          </w:tcPr>
          <w:p>
            <w:pPr>
              <w:pStyle w:val="TableParagraph"/>
              <w:spacing w:line="211" w:lineRule="exact" w:before="0"/>
              <w:ind w:left="130"/>
              <w:rPr>
                <w:sz w:val="21"/>
              </w:rPr>
            </w:pPr>
            <w:r>
              <w:rPr>
                <w:sz w:val="21"/>
              </w:rPr>
              <w:t>引起的获得性免疫缺陷综合征，英文缩写为 AIDS。</w:t>
            </w:r>
          </w:p>
          <w:p>
            <w:pPr>
              <w:pStyle w:val="TableParagraph"/>
              <w:spacing w:line="273" w:lineRule="auto" w:before="116"/>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62" w:type="dxa"/>
          </w:tcPr>
          <w:p>
            <w:pPr>
              <w:pStyle w:val="TableParagraph"/>
              <w:ind w:left="0" w:right="131"/>
              <w:jc w:val="right"/>
              <w:rPr>
                <w:b/>
                <w:sz w:val="21"/>
              </w:rPr>
            </w:pPr>
            <w:r>
              <w:rPr>
                <w:b/>
                <w:sz w:val="21"/>
              </w:rPr>
              <w:t>10.12</w:t>
            </w:r>
          </w:p>
        </w:tc>
        <w:tc>
          <w:tcPr>
            <w:tcW w:w="1533" w:type="dxa"/>
          </w:tcPr>
          <w:p>
            <w:pPr>
              <w:pStyle w:val="TableParagraph"/>
              <w:ind w:left="132"/>
              <w:rPr>
                <w:b/>
                <w:sz w:val="21"/>
              </w:rPr>
            </w:pPr>
            <w:r>
              <w:rPr>
                <w:b/>
                <w:sz w:val="21"/>
              </w:rPr>
              <w:t>遗传性疾病</w:t>
            </w:r>
          </w:p>
        </w:tc>
        <w:tc>
          <w:tcPr>
            <w:tcW w:w="7827" w:type="dxa"/>
          </w:tcPr>
          <w:p>
            <w:pPr>
              <w:pStyle w:val="TableParagraph"/>
              <w:spacing w:line="271" w:lineRule="auto"/>
              <w:ind w:left="130" w:right="127"/>
              <w:rPr>
                <w:sz w:val="21"/>
              </w:rPr>
            </w:pPr>
            <w:r>
              <w:rPr>
                <w:sz w:val="21"/>
              </w:rPr>
              <w:t>指生殖细胞或受精卵的遗传物质（染色体和基因）发生突变或畸变所引起的疾病， 通常具有由亲代传至后代的垂直传递的特征。</w:t>
            </w:r>
          </w:p>
        </w:tc>
      </w:tr>
      <w:tr>
        <w:trPr>
          <w:trHeight w:val="1184" w:hRule="atLeast"/>
        </w:trPr>
        <w:tc>
          <w:tcPr>
            <w:tcW w:w="862" w:type="dxa"/>
          </w:tcPr>
          <w:p>
            <w:pPr>
              <w:pStyle w:val="TableParagraph"/>
              <w:ind w:left="0" w:right="131"/>
              <w:jc w:val="right"/>
              <w:rPr>
                <w:b/>
                <w:sz w:val="21"/>
              </w:rPr>
            </w:pPr>
            <w:r>
              <w:rPr>
                <w:b/>
                <w:w w:val="95"/>
                <w:sz w:val="21"/>
              </w:rPr>
              <w:t>10.13</w:t>
            </w:r>
          </w:p>
        </w:tc>
        <w:tc>
          <w:tcPr>
            <w:tcW w:w="1533" w:type="dxa"/>
          </w:tcPr>
          <w:p>
            <w:pPr>
              <w:pStyle w:val="TableParagraph"/>
              <w:spacing w:line="273" w:lineRule="auto"/>
              <w:ind w:left="132" w:right="130"/>
              <w:jc w:val="both"/>
              <w:rPr>
                <w:b/>
                <w:sz w:val="21"/>
              </w:rPr>
            </w:pPr>
            <w:r>
              <w:rPr>
                <w:b/>
                <w:sz w:val="21"/>
              </w:rPr>
              <w:t>先天性畸形、变形或染色体异常</w:t>
            </w:r>
          </w:p>
        </w:tc>
        <w:tc>
          <w:tcPr>
            <w:tcW w:w="7827" w:type="dxa"/>
          </w:tcPr>
          <w:p>
            <w:pPr>
              <w:pStyle w:val="TableParagraph"/>
              <w:spacing w:line="273" w:lineRule="auto"/>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2" w:hRule="atLeast"/>
        </w:trPr>
        <w:tc>
          <w:tcPr>
            <w:tcW w:w="862" w:type="dxa"/>
          </w:tcPr>
          <w:p>
            <w:pPr>
              <w:pStyle w:val="TableParagraph"/>
              <w:spacing w:before="110"/>
              <w:ind w:left="0" w:right="131"/>
              <w:jc w:val="right"/>
              <w:rPr>
                <w:b/>
                <w:sz w:val="21"/>
              </w:rPr>
            </w:pPr>
            <w:r>
              <w:rPr>
                <w:b/>
                <w:sz w:val="21"/>
              </w:rPr>
              <w:t>10.14</w:t>
            </w:r>
          </w:p>
        </w:tc>
        <w:tc>
          <w:tcPr>
            <w:tcW w:w="1533" w:type="dxa"/>
          </w:tcPr>
          <w:p>
            <w:pPr>
              <w:pStyle w:val="TableParagraph"/>
              <w:spacing w:before="110"/>
              <w:ind w:left="132"/>
              <w:rPr>
                <w:b/>
                <w:sz w:val="21"/>
              </w:rPr>
            </w:pPr>
            <w:r>
              <w:rPr>
                <w:b/>
                <w:sz w:val="21"/>
              </w:rPr>
              <w:t>现金价值</w:t>
            </w:r>
          </w:p>
        </w:tc>
        <w:tc>
          <w:tcPr>
            <w:tcW w:w="7827" w:type="dxa"/>
          </w:tcPr>
          <w:p>
            <w:pPr>
              <w:pStyle w:val="TableParagraph"/>
              <w:spacing w:line="273" w:lineRule="auto" w:before="110"/>
              <w:ind w:left="130" w:right="336"/>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ind w:left="0" w:right="131"/>
              <w:jc w:val="right"/>
              <w:rPr>
                <w:b/>
                <w:sz w:val="21"/>
              </w:rPr>
            </w:pPr>
            <w:r>
              <w:rPr>
                <w:b/>
                <w:w w:val="95"/>
                <w:sz w:val="21"/>
              </w:rPr>
              <w:t>10.15</w:t>
            </w:r>
          </w:p>
        </w:tc>
        <w:tc>
          <w:tcPr>
            <w:tcW w:w="1533" w:type="dxa"/>
          </w:tcPr>
          <w:p>
            <w:pPr>
              <w:pStyle w:val="TableParagraph"/>
              <w:ind w:left="132"/>
              <w:rPr>
                <w:b/>
                <w:sz w:val="21"/>
              </w:rPr>
            </w:pPr>
            <w:r>
              <w:rPr>
                <w:b/>
                <w:sz w:val="21"/>
              </w:rPr>
              <w:t>专科医生</w:t>
            </w:r>
          </w:p>
        </w:tc>
        <w:tc>
          <w:tcPr>
            <w:tcW w:w="7827" w:type="dxa"/>
          </w:tcPr>
          <w:p>
            <w:pPr>
              <w:pStyle w:val="TableParagraph"/>
              <w:ind w:left="130"/>
              <w:rPr>
                <w:sz w:val="21"/>
              </w:rPr>
            </w:pPr>
            <w:r>
              <w:rPr>
                <w:sz w:val="21"/>
              </w:rPr>
              <w:t>专科医生应当同时满足以下四项资格条件：</w:t>
            </w:r>
          </w:p>
          <w:p>
            <w:pPr>
              <w:pStyle w:val="TableParagraph"/>
              <w:numPr>
                <w:ilvl w:val="0"/>
                <w:numId w:val="24"/>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4"/>
              </w:numPr>
              <w:tabs>
                <w:tab w:pos="868" w:val="left" w:leader="none"/>
                <w:tab w:pos="869" w:val="left" w:leader="none"/>
              </w:tabs>
              <w:spacing w:line="271" w:lineRule="auto" w:before="116" w:after="0"/>
              <w:ind w:left="851" w:right="343" w:hanging="720"/>
              <w:jc w:val="left"/>
              <w:rPr>
                <w:sz w:val="21"/>
              </w:rPr>
            </w:pPr>
            <w:r>
              <w:rPr>
                <w:spacing w:val="-9"/>
                <w:sz w:val="21"/>
              </w:rPr>
              <w:t>具有有效的中华人民共和国《医师执业证书》，并按期到相关部门登记注</w:t>
            </w:r>
            <w:r>
              <w:rPr>
                <w:sz w:val="21"/>
              </w:rPr>
              <w:t>册；</w:t>
            </w:r>
          </w:p>
          <w:p>
            <w:pPr>
              <w:pStyle w:val="TableParagraph"/>
              <w:numPr>
                <w:ilvl w:val="0"/>
                <w:numId w:val="24"/>
              </w:numPr>
              <w:tabs>
                <w:tab w:pos="833" w:val="left" w:leader="none"/>
              </w:tabs>
              <w:spacing w:line="273" w:lineRule="auto" w:before="89"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4"/>
              </w:numPr>
              <w:tabs>
                <w:tab w:pos="868" w:val="left" w:leader="none"/>
                <w:tab w:pos="869" w:val="left" w:leader="none"/>
              </w:tabs>
              <w:spacing w:line="240" w:lineRule="auto" w:before="87" w:after="0"/>
              <w:ind w:left="851" w:right="0" w:hanging="720"/>
              <w:jc w:val="left"/>
              <w:rPr>
                <w:sz w:val="21"/>
              </w:rPr>
            </w:pPr>
            <w:r>
              <w:rPr>
                <w:spacing w:val="-3"/>
                <w:sz w:val="21"/>
              </w:rPr>
              <w:t>在二级或二级以上医院的相应科室从事临床工作三年以上。</w:t>
            </w:r>
          </w:p>
        </w:tc>
      </w:tr>
      <w:tr>
        <w:trPr>
          <w:trHeight w:val="586" w:hRule="atLeast"/>
        </w:trPr>
        <w:tc>
          <w:tcPr>
            <w:tcW w:w="862" w:type="dxa"/>
          </w:tcPr>
          <w:p>
            <w:pPr>
              <w:pStyle w:val="TableParagraph"/>
              <w:spacing w:before="110"/>
              <w:ind w:left="0" w:right="131"/>
              <w:jc w:val="right"/>
              <w:rPr>
                <w:b/>
                <w:sz w:val="21"/>
              </w:rPr>
            </w:pPr>
            <w:r>
              <w:rPr>
                <w:b/>
                <w:sz w:val="21"/>
              </w:rPr>
              <w:t>10.16</w:t>
            </w:r>
          </w:p>
        </w:tc>
        <w:tc>
          <w:tcPr>
            <w:tcW w:w="1533" w:type="dxa"/>
          </w:tcPr>
          <w:p>
            <w:pPr>
              <w:pStyle w:val="TableParagraph"/>
              <w:spacing w:before="110"/>
              <w:ind w:left="132"/>
              <w:rPr>
                <w:b/>
                <w:sz w:val="21"/>
              </w:rPr>
            </w:pPr>
            <w:r>
              <w:rPr>
                <w:b/>
                <w:sz w:val="21"/>
              </w:rPr>
              <w:t>利息</w:t>
            </w:r>
          </w:p>
        </w:tc>
        <w:tc>
          <w:tcPr>
            <w:tcW w:w="7827" w:type="dxa"/>
          </w:tcPr>
          <w:p>
            <w:pPr>
              <w:pStyle w:val="TableParagraph"/>
              <w:spacing w:before="110"/>
              <w:ind w:left="130"/>
              <w:rPr>
                <w:sz w:val="21"/>
              </w:rPr>
            </w:pPr>
            <w:r>
              <w:rPr>
                <w:sz w:val="21"/>
              </w:rPr>
              <w:t>见主合同释义。</w:t>
            </w:r>
          </w:p>
        </w:tc>
      </w:tr>
      <w:tr>
        <w:trPr>
          <w:trHeight w:val="897" w:hRule="atLeast"/>
        </w:trPr>
        <w:tc>
          <w:tcPr>
            <w:tcW w:w="862" w:type="dxa"/>
          </w:tcPr>
          <w:p>
            <w:pPr>
              <w:pStyle w:val="TableParagraph"/>
              <w:spacing w:before="138"/>
              <w:ind w:left="0" w:right="131"/>
              <w:jc w:val="right"/>
              <w:rPr>
                <w:b/>
                <w:sz w:val="21"/>
              </w:rPr>
            </w:pPr>
            <w:r>
              <w:rPr>
                <w:b/>
                <w:sz w:val="21"/>
              </w:rPr>
              <w:t>10.17</w:t>
            </w:r>
          </w:p>
        </w:tc>
        <w:tc>
          <w:tcPr>
            <w:tcW w:w="1533" w:type="dxa"/>
          </w:tcPr>
          <w:p>
            <w:pPr>
              <w:pStyle w:val="TableParagraph"/>
              <w:spacing w:line="271" w:lineRule="auto" w:before="138"/>
              <w:ind w:left="132" w:right="130"/>
              <w:rPr>
                <w:b/>
                <w:sz w:val="21"/>
              </w:rPr>
            </w:pPr>
            <w:r>
              <w:rPr>
                <w:b/>
                <w:sz w:val="21"/>
              </w:rPr>
              <w:t>肢体机能完全丧失</w:t>
            </w:r>
          </w:p>
        </w:tc>
        <w:tc>
          <w:tcPr>
            <w:tcW w:w="7827" w:type="dxa"/>
          </w:tcPr>
          <w:p>
            <w:pPr>
              <w:pStyle w:val="TableParagraph"/>
              <w:spacing w:line="271" w:lineRule="auto" w:before="138"/>
              <w:ind w:left="130" w:right="336"/>
              <w:rPr>
                <w:sz w:val="21"/>
              </w:rPr>
            </w:pPr>
            <w:r>
              <w:rPr>
                <w:sz w:val="21"/>
              </w:rPr>
              <w:t>指肢体的三大关节中的两大关节僵硬，或不能随意识活动。肢体是指包括肩关节的整个上肢或包括髋关节的整个下肢。</w:t>
            </w:r>
          </w:p>
        </w:tc>
      </w:tr>
      <w:tr>
        <w:trPr>
          <w:trHeight w:val="1495" w:hRule="atLeast"/>
        </w:trPr>
        <w:tc>
          <w:tcPr>
            <w:tcW w:w="862" w:type="dxa"/>
          </w:tcPr>
          <w:p>
            <w:pPr>
              <w:pStyle w:val="TableParagraph"/>
              <w:ind w:left="0" w:right="131"/>
              <w:jc w:val="right"/>
              <w:rPr>
                <w:b/>
                <w:sz w:val="21"/>
              </w:rPr>
            </w:pPr>
            <w:r>
              <w:rPr>
                <w:b/>
                <w:sz w:val="21"/>
              </w:rPr>
              <w:t>10.18</w:t>
            </w:r>
          </w:p>
        </w:tc>
        <w:tc>
          <w:tcPr>
            <w:tcW w:w="1533" w:type="dxa"/>
          </w:tcPr>
          <w:p>
            <w:pPr>
              <w:pStyle w:val="TableParagraph"/>
              <w:spacing w:line="271" w:lineRule="auto"/>
              <w:ind w:left="132" w:right="130"/>
              <w:jc w:val="both"/>
              <w:rPr>
                <w:b/>
                <w:sz w:val="21"/>
              </w:rPr>
            </w:pPr>
            <w:r>
              <w:rPr>
                <w:b/>
                <w:sz w:val="21"/>
              </w:rPr>
              <w:t>语言能力或咀嚼吞咽能力完全丧失</w:t>
            </w:r>
          </w:p>
        </w:tc>
        <w:tc>
          <w:tcPr>
            <w:tcW w:w="7827" w:type="dxa"/>
          </w:tcPr>
          <w:p>
            <w:pPr>
              <w:pStyle w:val="TableParagraph"/>
              <w:spacing w:line="271" w:lineRule="auto"/>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2" w:hRule="atLeast"/>
        </w:trPr>
        <w:tc>
          <w:tcPr>
            <w:tcW w:w="862" w:type="dxa"/>
          </w:tcPr>
          <w:p>
            <w:pPr>
              <w:pStyle w:val="TableParagraph"/>
              <w:ind w:left="0" w:right="131"/>
              <w:jc w:val="right"/>
              <w:rPr>
                <w:b/>
                <w:sz w:val="21"/>
              </w:rPr>
            </w:pPr>
            <w:r>
              <w:rPr>
                <w:b/>
                <w:sz w:val="21"/>
              </w:rPr>
              <w:t>10.19</w:t>
            </w:r>
          </w:p>
        </w:tc>
        <w:tc>
          <w:tcPr>
            <w:tcW w:w="1533" w:type="dxa"/>
          </w:tcPr>
          <w:p>
            <w:pPr>
              <w:pStyle w:val="TableParagraph"/>
              <w:spacing w:line="273" w:lineRule="auto"/>
              <w:ind w:left="132" w:right="130"/>
              <w:rPr>
                <w:b/>
                <w:sz w:val="21"/>
              </w:rPr>
            </w:pPr>
            <w:r>
              <w:rPr>
                <w:b/>
                <w:sz w:val="21"/>
              </w:rPr>
              <w:t>六项基本日常生活活动</w:t>
            </w:r>
          </w:p>
        </w:tc>
        <w:tc>
          <w:tcPr>
            <w:tcW w:w="7827" w:type="dxa"/>
          </w:tcPr>
          <w:p>
            <w:pPr>
              <w:pStyle w:val="TableParagraph"/>
              <w:ind w:left="130"/>
              <w:rPr>
                <w:sz w:val="21"/>
              </w:rPr>
            </w:pPr>
            <w:r>
              <w:rPr>
                <w:sz w:val="21"/>
              </w:rPr>
              <w:t>六项基本日常生活活动是指：</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5"/>
              </w:numPr>
              <w:tabs>
                <w:tab w:pos="868" w:val="left" w:leader="none"/>
                <w:tab w:pos="869" w:val="left" w:leader="none"/>
              </w:tabs>
              <w:spacing w:line="240" w:lineRule="auto" w:before="114" w:after="0"/>
              <w:ind w:left="868" w:right="0" w:hanging="737"/>
              <w:jc w:val="left"/>
              <w:rPr>
                <w:sz w:val="21"/>
              </w:rPr>
            </w:pPr>
            <w:r>
              <w:rPr>
                <w:spacing w:val="-3"/>
                <w:sz w:val="21"/>
              </w:rPr>
              <w:t>移动：自己从一个房间到另一个房间；</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如厕：自己控制进行大小便；</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进食：自己从已准备好的碗或碟中取食物放入口中；</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洗澡：自己进行淋浴或盆浴。</w:t>
            </w:r>
          </w:p>
        </w:tc>
      </w:tr>
      <w:tr>
        <w:trPr>
          <w:trHeight w:val="1007" w:hRule="atLeast"/>
        </w:trPr>
        <w:tc>
          <w:tcPr>
            <w:tcW w:w="862" w:type="dxa"/>
          </w:tcPr>
          <w:p>
            <w:pPr>
              <w:pStyle w:val="TableParagraph"/>
              <w:ind w:left="0" w:right="133"/>
              <w:jc w:val="right"/>
              <w:rPr>
                <w:b/>
                <w:sz w:val="21"/>
              </w:rPr>
            </w:pPr>
            <w:r>
              <w:rPr>
                <w:b/>
                <w:sz w:val="21"/>
              </w:rPr>
              <w:t>10.20</w:t>
            </w:r>
          </w:p>
        </w:tc>
        <w:tc>
          <w:tcPr>
            <w:tcW w:w="1533" w:type="dxa"/>
          </w:tcPr>
          <w:p>
            <w:pPr>
              <w:pStyle w:val="TableParagraph"/>
              <w:ind w:left="132"/>
              <w:rPr>
                <w:b/>
                <w:sz w:val="21"/>
              </w:rPr>
            </w:pPr>
            <w:r>
              <w:rPr>
                <w:b/>
                <w:sz w:val="21"/>
              </w:rPr>
              <w:t>意外伤害</w:t>
            </w:r>
          </w:p>
        </w:tc>
        <w:tc>
          <w:tcPr>
            <w:tcW w:w="7827" w:type="dxa"/>
          </w:tcPr>
          <w:p>
            <w:pPr>
              <w:pStyle w:val="TableParagraph"/>
              <w:spacing w:line="271" w:lineRule="auto"/>
              <w:ind w:left="130" w:right="336"/>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并以此客观事件为直接且单独原因导致被保险人身体蒙受伤害或身故，</w:t>
            </w:r>
            <w:r>
              <w:rPr>
                <w:rFonts w:ascii="黑体" w:eastAsia="黑体" w:hint="eastAsia"/>
                <w:sz w:val="21"/>
              </w:rPr>
              <w:t>猝死不属</w:t>
            </w:r>
          </w:p>
          <w:p>
            <w:pPr>
              <w:pStyle w:val="TableParagraph"/>
              <w:spacing w:line="255" w:lineRule="exact" w:before="9"/>
              <w:ind w:left="130"/>
              <w:rPr>
                <w:rFonts w:ascii="黑体" w:eastAsia="黑体" w:hint="eastAsia"/>
                <w:sz w:val="21"/>
              </w:rPr>
            </w:pPr>
            <w:r>
              <w:rPr>
                <w:rFonts w:ascii="黑体" w:eastAsia="黑体" w:hint="eastAsia"/>
                <w:sz w:val="21"/>
              </w:rPr>
              <w:t>于意外伤害。</w:t>
            </w:r>
          </w:p>
        </w:tc>
      </w:tr>
    </w:tbl>
    <w:p>
      <w:pPr>
        <w:spacing w:after="0" w:line="255" w:lineRule="exact"/>
        <w:rPr>
          <w:rFonts w:ascii="黑体" w:eastAsia="黑体" w:hint="eastAsia"/>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523" w:hRule="atLeast"/>
        </w:trPr>
        <w:tc>
          <w:tcPr>
            <w:tcW w:w="862" w:type="dxa"/>
          </w:tcPr>
          <w:p>
            <w:pPr>
              <w:pStyle w:val="TableParagraph"/>
              <w:spacing w:line="211" w:lineRule="exact" w:before="0"/>
              <w:ind w:left="200"/>
              <w:rPr>
                <w:b/>
                <w:sz w:val="21"/>
              </w:rPr>
            </w:pPr>
            <w:r>
              <w:rPr>
                <w:b/>
                <w:sz w:val="21"/>
              </w:rPr>
              <w:t>10.21</w:t>
            </w:r>
          </w:p>
        </w:tc>
        <w:tc>
          <w:tcPr>
            <w:tcW w:w="1427" w:type="dxa"/>
          </w:tcPr>
          <w:p>
            <w:pPr>
              <w:pStyle w:val="TableParagraph"/>
              <w:spacing w:line="211" w:lineRule="exact" w:before="0"/>
              <w:ind w:left="132"/>
              <w:rPr>
                <w:b/>
                <w:sz w:val="21"/>
              </w:rPr>
            </w:pPr>
            <w:r>
              <w:rPr>
                <w:b/>
                <w:sz w:val="21"/>
              </w:rPr>
              <w:t>永久不可逆</w:t>
            </w:r>
          </w:p>
        </w:tc>
        <w:tc>
          <w:tcPr>
            <w:tcW w:w="7795" w:type="dxa"/>
          </w:tcPr>
          <w:p>
            <w:pPr>
              <w:pStyle w:val="TableParagraph"/>
              <w:spacing w:line="211" w:lineRule="exact" w:before="0"/>
              <w:ind w:left="236"/>
              <w:rPr>
                <w:sz w:val="21"/>
              </w:rPr>
            </w:pPr>
            <w:r>
              <w:rPr>
                <w:sz w:val="21"/>
              </w:rPr>
              <w:t>指自疾病确诊或意外伤害发生之日起，经过积极治疗 180 天后，仍无法通过现有</w:t>
            </w:r>
          </w:p>
          <w:p>
            <w:pPr>
              <w:pStyle w:val="TableParagraph"/>
              <w:spacing w:line="255" w:lineRule="exact" w:before="37"/>
              <w:ind w:left="236"/>
              <w:rPr>
                <w:sz w:val="21"/>
              </w:rPr>
            </w:pPr>
            <w:r>
              <w:rPr>
                <w:sz w:val="21"/>
              </w:rPr>
              <w:t>医疗手段恢复。</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2">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0">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5"/>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0"/>
      <w:numFmt w:val="decimal"/>
      <w:lvlText w:val="%1"/>
      <w:lvlJc w:val="left"/>
      <w:pPr>
        <w:ind w:left="787" w:hanging="526"/>
        <w:jc w:val="left"/>
      </w:pPr>
      <w:rPr>
        <w:rFonts w:hint="default"/>
      </w:rPr>
    </w:lvl>
    <w:lvl w:ilvl="1">
      <w:start w:val="6"/>
      <w:numFmt w:val="decimal"/>
      <w:lvlText w:val="%1.%2"/>
      <w:lvlJc w:val="left"/>
      <w:pPr>
        <w:ind w:left="156" w:hanging="526"/>
        <w:jc w:val="left"/>
      </w:pPr>
      <w:rPr>
        <w:rFonts w:hint="default" w:ascii="宋体" w:hAnsi="宋体" w:eastAsia="宋体" w:cs="宋体"/>
        <w:w w:val="100"/>
        <w:sz w:val="21"/>
        <w:szCs w:val="21"/>
      </w:rPr>
    </w:lvl>
    <w:lvl w:ilvl="2">
      <w:start w:val="0"/>
      <w:numFmt w:val="bullet"/>
      <w:lvlText w:val="•"/>
      <w:lvlJc w:val="left"/>
      <w:pPr>
        <w:ind w:left="1097" w:hanging="526"/>
      </w:pPr>
      <w:rPr>
        <w:rFonts w:hint="default"/>
      </w:rPr>
    </w:lvl>
    <w:lvl w:ilvl="3">
      <w:start w:val="0"/>
      <w:numFmt w:val="bullet"/>
      <w:lvlText w:val="•"/>
      <w:lvlJc w:val="left"/>
      <w:pPr>
        <w:ind w:left="1414" w:hanging="526"/>
      </w:pPr>
      <w:rPr>
        <w:rFonts w:hint="default"/>
      </w:rPr>
    </w:lvl>
    <w:lvl w:ilvl="4">
      <w:start w:val="0"/>
      <w:numFmt w:val="bullet"/>
      <w:lvlText w:val="•"/>
      <w:lvlJc w:val="left"/>
      <w:pPr>
        <w:ind w:left="1731" w:hanging="526"/>
      </w:pPr>
      <w:rPr>
        <w:rFonts w:hint="default"/>
      </w:rPr>
    </w:lvl>
    <w:lvl w:ilvl="5">
      <w:start w:val="0"/>
      <w:numFmt w:val="bullet"/>
      <w:lvlText w:val="•"/>
      <w:lvlJc w:val="left"/>
      <w:pPr>
        <w:ind w:left="2048" w:hanging="526"/>
      </w:pPr>
      <w:rPr>
        <w:rFonts w:hint="default"/>
      </w:rPr>
    </w:lvl>
    <w:lvl w:ilvl="6">
      <w:start w:val="0"/>
      <w:numFmt w:val="bullet"/>
      <w:lvlText w:val="•"/>
      <w:lvlJc w:val="left"/>
      <w:pPr>
        <w:ind w:left="2365" w:hanging="526"/>
      </w:pPr>
      <w:rPr>
        <w:rFonts w:hint="default"/>
      </w:rPr>
    </w:lvl>
    <w:lvl w:ilvl="7">
      <w:start w:val="0"/>
      <w:numFmt w:val="bullet"/>
      <w:lvlText w:val="•"/>
      <w:lvlJc w:val="left"/>
      <w:pPr>
        <w:ind w:left="2682" w:hanging="526"/>
      </w:pPr>
      <w:rPr>
        <w:rFonts w:hint="default"/>
      </w:rPr>
    </w:lvl>
    <w:lvl w:ilvl="8">
      <w:start w:val="0"/>
      <w:numFmt w:val="bullet"/>
      <w:lvlText w:val="•"/>
      <w:lvlJc w:val="left"/>
      <w:pPr>
        <w:ind w:left="2999" w:hanging="526"/>
      </w:pPr>
      <w:rPr>
        <w:rFonts w:hint="default"/>
      </w:rPr>
    </w:lvl>
  </w:abstractNum>
  <w:abstractNum w:abstractNumId="2">
    <w:multiLevelType w:val="hybridMultilevel"/>
    <w:lvl w:ilvl="0">
      <w:start w:val="5"/>
      <w:numFmt w:val="decimal"/>
      <w:lvlText w:val="%1."/>
      <w:lvlJc w:val="left"/>
      <w:pPr>
        <w:ind w:left="747" w:hanging="317"/>
        <w:jc w:val="left"/>
      </w:pPr>
      <w:rPr>
        <w:rFonts w:hint="default" w:ascii="宋体" w:hAnsi="宋体" w:eastAsia="宋体" w:cs="宋体"/>
        <w:b/>
        <w:bCs/>
        <w:w w:val="99"/>
        <w:sz w:val="21"/>
        <w:szCs w:val="21"/>
      </w:rPr>
    </w:lvl>
    <w:lvl w:ilvl="1">
      <w:start w:val="1"/>
      <w:numFmt w:val="decimal"/>
      <w:lvlText w:val="%1.%2"/>
      <w:lvlJc w:val="left"/>
      <w:pPr>
        <w:ind w:left="956" w:hanging="420"/>
        <w:jc w:val="left"/>
      </w:pPr>
      <w:rPr>
        <w:rFonts w:hint="default" w:ascii="宋体" w:hAnsi="宋体" w:eastAsia="宋体" w:cs="宋体"/>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1355" w:hanging="420"/>
      </w:pPr>
      <w:rPr>
        <w:rFonts w:hint="default"/>
      </w:rPr>
    </w:lvl>
    <w:lvl w:ilvl="4">
      <w:start w:val="0"/>
      <w:numFmt w:val="bullet"/>
      <w:lvlText w:val="•"/>
      <w:lvlJc w:val="left"/>
      <w:pPr>
        <w:ind w:left="1651" w:hanging="420"/>
      </w:pPr>
      <w:rPr>
        <w:rFonts w:hint="default"/>
      </w:rPr>
    </w:lvl>
    <w:lvl w:ilvl="5">
      <w:start w:val="0"/>
      <w:numFmt w:val="bullet"/>
      <w:lvlText w:val="•"/>
      <w:lvlJc w:val="left"/>
      <w:pPr>
        <w:ind w:left="1947" w:hanging="420"/>
      </w:pPr>
      <w:rPr>
        <w:rFonts w:hint="default"/>
      </w:rPr>
    </w:lvl>
    <w:lvl w:ilvl="6">
      <w:start w:val="0"/>
      <w:numFmt w:val="bullet"/>
      <w:lvlText w:val="•"/>
      <w:lvlJc w:val="left"/>
      <w:pPr>
        <w:ind w:left="2243"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834" w:hanging="420"/>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76" w:hanging="421"/>
      </w:pPr>
      <w:rPr>
        <w:rFonts w:hint="default"/>
      </w:rPr>
    </w:lvl>
    <w:lvl w:ilvl="3">
      <w:start w:val="0"/>
      <w:numFmt w:val="bullet"/>
      <w:lvlText w:val="•"/>
      <w:lvlJc w:val="left"/>
      <w:pPr>
        <w:ind w:left="1212" w:hanging="421"/>
      </w:pPr>
      <w:rPr>
        <w:rFonts w:hint="default"/>
      </w:rPr>
    </w:lvl>
    <w:lvl w:ilvl="4">
      <w:start w:val="0"/>
      <w:numFmt w:val="bullet"/>
      <w:lvlText w:val="•"/>
      <w:lvlJc w:val="left"/>
      <w:pPr>
        <w:ind w:left="1449" w:hanging="421"/>
      </w:pPr>
      <w:rPr>
        <w:rFonts w:hint="default"/>
      </w:rPr>
    </w:lvl>
    <w:lvl w:ilvl="5">
      <w:start w:val="0"/>
      <w:numFmt w:val="bullet"/>
      <w:lvlText w:val="•"/>
      <w:lvlJc w:val="left"/>
      <w:pPr>
        <w:ind w:left="1685" w:hanging="421"/>
      </w:pPr>
      <w:rPr>
        <w:rFonts w:hint="default"/>
      </w:rPr>
    </w:lvl>
    <w:lvl w:ilvl="6">
      <w:start w:val="0"/>
      <w:numFmt w:val="bullet"/>
      <w:lvlText w:val="•"/>
      <w:lvlJc w:val="left"/>
      <w:pPr>
        <w:ind w:left="1922" w:hanging="421"/>
      </w:pPr>
      <w:rPr>
        <w:rFonts w:hint="default"/>
      </w:rPr>
    </w:lvl>
    <w:lvl w:ilvl="7">
      <w:start w:val="0"/>
      <w:numFmt w:val="bullet"/>
      <w:lvlText w:val="•"/>
      <w:lvlJc w:val="left"/>
      <w:pPr>
        <w:ind w:left="2158" w:hanging="421"/>
      </w:pPr>
      <w:rPr>
        <w:rFonts w:hint="default"/>
      </w:rPr>
    </w:lvl>
    <w:lvl w:ilvl="8">
      <w:start w:val="0"/>
      <w:numFmt w:val="bullet"/>
      <w:lvlText w:val="•"/>
      <w:lvlJc w:val="left"/>
      <w:pPr>
        <w:ind w:left="2395"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6" w:hanging="399"/>
      </w:pPr>
      <w:rPr>
        <w:rFonts w:hint="default"/>
      </w:rPr>
    </w:lvl>
    <w:lvl w:ilvl="2">
      <w:start w:val="0"/>
      <w:numFmt w:val="bullet"/>
      <w:lvlText w:val="•"/>
      <w:lvlJc w:val="left"/>
      <w:pPr>
        <w:ind w:left="3153" w:hanging="399"/>
      </w:pPr>
      <w:rPr>
        <w:rFonts w:hint="default"/>
      </w:rPr>
    </w:lvl>
    <w:lvl w:ilvl="3">
      <w:start w:val="0"/>
      <w:numFmt w:val="bullet"/>
      <w:lvlText w:val="•"/>
      <w:lvlJc w:val="left"/>
      <w:pPr>
        <w:ind w:left="4109" w:hanging="399"/>
      </w:pPr>
      <w:rPr>
        <w:rFonts w:hint="default"/>
      </w:rPr>
    </w:lvl>
    <w:lvl w:ilvl="4">
      <w:start w:val="0"/>
      <w:numFmt w:val="bullet"/>
      <w:lvlText w:val="•"/>
      <w:lvlJc w:val="left"/>
      <w:pPr>
        <w:ind w:left="5066" w:hanging="399"/>
      </w:pPr>
      <w:rPr>
        <w:rFonts w:hint="default"/>
      </w:rPr>
    </w:lvl>
    <w:lvl w:ilvl="5">
      <w:start w:val="0"/>
      <w:numFmt w:val="bullet"/>
      <w:lvlText w:val="•"/>
      <w:lvlJc w:val="left"/>
      <w:pPr>
        <w:ind w:left="6023" w:hanging="399"/>
      </w:pPr>
      <w:rPr>
        <w:rFonts w:hint="default"/>
      </w:rPr>
    </w:lvl>
    <w:lvl w:ilvl="6">
      <w:start w:val="0"/>
      <w:numFmt w:val="bullet"/>
      <w:lvlText w:val="•"/>
      <w:lvlJc w:val="left"/>
      <w:pPr>
        <w:ind w:left="6979" w:hanging="399"/>
      </w:pPr>
      <w:rPr>
        <w:rFonts w:hint="default"/>
      </w:rPr>
    </w:lvl>
    <w:lvl w:ilvl="7">
      <w:start w:val="0"/>
      <w:numFmt w:val="bullet"/>
      <w:lvlText w:val="•"/>
      <w:lvlJc w:val="left"/>
      <w:pPr>
        <w:ind w:left="7936" w:hanging="399"/>
      </w:pPr>
      <w:rPr>
        <w:rFonts w:hint="default"/>
      </w:rPr>
    </w:lvl>
    <w:lvl w:ilvl="8">
      <w:start w:val="0"/>
      <w:numFmt w:val="bullet"/>
      <w:lvlText w:val="•"/>
      <w:lvlJc w:val="left"/>
      <w:pPr>
        <w:ind w:left="8893"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2018-10-20T01:02:33Z</dcterms:created>
  <dcterms:modified xsi:type="dcterms:W3CDTF">2018-10-20T01:02:33Z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