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3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交银康联[2010]疾病保险 039 号</w:t>
      </w:r>
    </w:p>
    <w:p>
      <w:pPr>
        <w:pStyle w:val="BodyText"/>
        <w:ind w:right="137"/>
        <w:jc w:val="right"/>
      </w:pPr>
      <w:r>
        <w:rPr/>
        <w:t>请扫描以查询验证条款</w:t>
      </w:r>
    </w:p>
    <w:p>
      <w:pPr>
        <w:pStyle w:val="Heading1"/>
        <w:spacing w:before="20"/>
        <w:ind w:right="1814"/>
        <w:jc w:val="center"/>
      </w:pPr>
      <w:r>
        <w:rPr/>
        <w:pict>
          <v:line style="position:absolute;mso-position-horizontal-relative:page;mso-position-vertical-relative:paragraph;z-index:-20200" from="49.560001pt,2.966659pt" to="545.760001pt,2.966659pt" stroked="true" strokeweight=".71997pt" strokecolor="#000000">
            <v:stroke dashstyle="solid"/>
            <w10:wrap type="none"/>
          </v:line>
        </w:pict>
      </w:r>
      <w:r>
        <w:rPr>
          <w:w w:val="95"/>
        </w:rPr>
        <w:t>交银康联附加重大疾病保险条款</w:t>
      </w:r>
      <w:r>
        <w:rPr>
          <w:w w:val="95"/>
          <w:vertAlign w:val="subscript"/>
        </w:rPr>
        <w:t>（2010</w:t>
      </w:r>
      <w:r>
        <w:rPr>
          <w:w w:val="95"/>
          <w:vertAlign w:val="baseline"/>
        </w:rPr>
        <w:t> 年 </w:t>
      </w:r>
      <w:r>
        <w:rPr>
          <w:w w:val="95"/>
          <w:vertAlign w:val="subscript"/>
        </w:rPr>
        <w:t>1</w:t>
      </w:r>
      <w:r>
        <w:rPr>
          <w:w w:val="95"/>
          <w:vertAlign w:val="baseline"/>
        </w:rPr>
        <w:t> 月</w:t>
      </w:r>
      <w:r>
        <w:rPr>
          <w:w w:val="95"/>
          <w:vertAlign w:val="subscript"/>
        </w:rPr>
        <w:t>）</w:t>
      </w:r>
      <w:r>
        <w:rPr>
          <w:w w:val="95"/>
          <w:vertAlign w:val="baseline"/>
        </w:rPr>
      </w:r>
    </w:p>
    <w:p>
      <w:pPr>
        <w:spacing w:before="71"/>
        <w:ind w:left="1814" w:right="1813"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2"/>
        <w:ind w:left="1814" w:right="1814"/>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before="27"/>
        <w:ind w:left="305"/>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 w:pos="9989" w:val="right" w:leader="dot"/>
        </w:tabs>
        <w:spacing w:line="240" w:lineRule="auto" w:before="22" w:after="0"/>
        <w:ind w:left="1697" w:right="0" w:hanging="420"/>
        <w:jc w:val="left"/>
        <w:rPr>
          <w:sz w:val="21"/>
        </w:rPr>
      </w:pPr>
      <w:r>
        <w:rPr>
          <w:sz w:val="21"/>
        </w:rPr>
        <w:t>被保险人可以享受本附加合同提供的保障</w:t>
        <w:tab/>
        <w:t>2.3</w:t>
      </w:r>
    </w:p>
    <w:p>
      <w:pPr>
        <w:pStyle w:val="ListParagraph"/>
        <w:numPr>
          <w:ilvl w:val="0"/>
          <w:numId w:val="1"/>
        </w:numPr>
        <w:tabs>
          <w:tab w:pos="1697" w:val="left" w:leader="none"/>
          <w:tab w:pos="1698" w:val="left" w:leader="none"/>
          <w:tab w:pos="9988" w:val="right" w:leader="dot"/>
        </w:tabs>
        <w:spacing w:line="240" w:lineRule="auto" w:before="22" w:after="0"/>
        <w:ind w:left="1697" w:right="0" w:hanging="420"/>
        <w:jc w:val="left"/>
        <w:rPr>
          <w:sz w:val="21"/>
        </w:rPr>
      </w:pPr>
      <w:r>
        <w:rPr>
          <w:sz w:val="21"/>
        </w:rPr>
        <w:t>您有退保的权利</w:t>
        <w:tab/>
        <w:t>7.1</w:t>
      </w:r>
    </w:p>
    <w:p>
      <w:pPr>
        <w:pStyle w:val="Heading3"/>
        <w:tabs>
          <w:tab w:pos="1315" w:val="left" w:leader="none"/>
        </w:tabs>
        <w:spacing w:before="25"/>
        <w:ind w:left="305"/>
      </w:pPr>
      <w:r>
        <w:rPr>
          <w:rFonts w:ascii="Arial" w:hAnsi="Arial" w:eastAsia="Arial"/>
          <w:w w:val="105"/>
          <w:position w:val="-11"/>
          <w:sz w:val="52"/>
        </w:rPr>
        <w:t></w:t>
        <w:tab/>
      </w:r>
      <w:r>
        <w:rPr>
          <w:w w:val="95"/>
        </w:rPr>
        <w:t>您应当特别注意的事项</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本附加合同保障的重大疾病有180日的等待期</w:t>
        <w:tab/>
        <w:t>2.3</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有些情况本公司不承担保险责任，请您仔细阅读责任免除条款</w:t>
        <w:tab/>
        <w:t>2.4</w:t>
      </w:r>
    </w:p>
    <w:p>
      <w:pPr>
        <w:pStyle w:val="ListParagraph"/>
        <w:numPr>
          <w:ilvl w:val="0"/>
          <w:numId w:val="1"/>
        </w:numPr>
        <w:tabs>
          <w:tab w:pos="1697" w:val="left" w:leader="none"/>
          <w:tab w:pos="1698" w:val="left" w:leader="none"/>
          <w:tab w:pos="9988" w:val="right" w:leader="dot"/>
        </w:tabs>
        <w:spacing w:line="240" w:lineRule="auto" w:before="21" w:after="0"/>
        <w:ind w:left="1697" w:right="0" w:hanging="420"/>
        <w:jc w:val="left"/>
        <w:rPr>
          <w:sz w:val="21"/>
        </w:rPr>
      </w:pPr>
      <w:r>
        <w:rPr>
          <w:sz w:val="21"/>
        </w:rPr>
        <w:t>您应当按时交纳保险费</w:t>
        <w:tab/>
        <w:t>4.1</w:t>
      </w:r>
    </w:p>
    <w:p>
      <w:pPr>
        <w:pStyle w:val="ListParagraph"/>
        <w:numPr>
          <w:ilvl w:val="0"/>
          <w:numId w:val="1"/>
        </w:numPr>
        <w:tabs>
          <w:tab w:pos="1697" w:val="left" w:leader="none"/>
          <w:tab w:pos="1698" w:val="left" w:leader="none"/>
          <w:tab w:pos="9992" w:val="right" w:leader="dot"/>
        </w:tabs>
        <w:spacing w:line="240" w:lineRule="auto" w:before="21" w:after="0"/>
        <w:ind w:left="1697" w:right="0" w:hanging="420"/>
        <w:jc w:val="left"/>
        <w:rPr>
          <w:sz w:val="21"/>
        </w:rPr>
      </w:pPr>
      <w:r>
        <w:rPr>
          <w:sz w:val="21"/>
        </w:rPr>
        <w:t>本公司保留提高或降低保险费率的权利，但不影响您已经交纳的保险费</w:t>
        <w:tab/>
        <w:t>4.3</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退保会给您造成一定的损失，请您慎重决策</w:t>
        <w:tab/>
        <w:t>7.1</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主合同的部分条款适用于本附加合同，请您仔细阅读</w:t>
        <w:tab/>
        <w:t>8.2</w:t>
      </w:r>
    </w:p>
    <w:p>
      <w:pPr>
        <w:pStyle w:val="ListParagraph"/>
        <w:numPr>
          <w:ilvl w:val="0"/>
          <w:numId w:val="1"/>
        </w:numPr>
        <w:tabs>
          <w:tab w:pos="1697" w:val="left" w:leader="none"/>
          <w:tab w:pos="1698" w:val="left" w:leader="none"/>
          <w:tab w:pos="9780" w:val="right" w:leader="dot"/>
        </w:tabs>
        <w:spacing w:line="240" w:lineRule="auto" w:before="21" w:after="0"/>
        <w:ind w:left="1697" w:right="0" w:hanging="420"/>
        <w:jc w:val="left"/>
        <w:rPr>
          <w:sz w:val="21"/>
        </w:rPr>
      </w:pPr>
      <w:r>
        <w:rPr>
          <w:sz w:val="21"/>
        </w:rPr>
        <w:t>本公司对一些重要术语进行了解释，并作了显著标识，请您注意</w:t>
        <w:tab/>
        <w:t>9</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本公司对保障范围内的重大疾病做了定义，请您仔细阅读</w:t>
        <w:tab/>
        <w:t>9.3</w:t>
      </w:r>
    </w:p>
    <w:p>
      <w:pPr>
        <w:tabs>
          <w:tab w:pos="1315" w:val="left" w:leader="none"/>
        </w:tabs>
        <w:spacing w:before="25"/>
        <w:ind w:left="30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15" w:val="left" w:leader="none"/>
        </w:tabs>
        <w:spacing w:before="25"/>
        <w:ind w:left="305" w:right="0" w:firstLine="0"/>
        <w:jc w:val="left"/>
        <w:rPr>
          <w:b/>
          <w:sz w:val="21"/>
        </w:rPr>
      </w:pPr>
      <w:r>
        <w:rPr/>
        <w:pict>
          <v:shapetype id="_x0000_t202" o:spt="202" coordsize="21600,21600" path="m,l,21600r21600,l21600,xe">
            <v:stroke joinstyle="miter"/>
            <v:path gradientshapeok="t" o:connecttype="rect"/>
          </v:shapetype>
          <v:shape style="position:absolute;margin-left:76.785004pt;margin-top:24.557985pt;width:460.35pt;height:274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1"/>
                    <w:gridCol w:w="2999"/>
                    <w:gridCol w:w="667"/>
                    <w:gridCol w:w="2433"/>
                  </w:tblGrid>
                  <w:tr>
                    <w:trPr>
                      <w:trHeight w:val="512" w:hRule="atLeast"/>
                    </w:trPr>
                    <w:tc>
                      <w:tcPr>
                        <w:tcW w:w="3091" w:type="dxa"/>
                        <w:tcBorders>
                          <w:top w:val="dotted" w:sz="6" w:space="0" w:color="000000"/>
                          <w:left w:val="dotted" w:sz="6" w:space="0" w:color="000000"/>
                        </w:tcBorders>
                      </w:tcPr>
                      <w:p>
                        <w:pPr>
                          <w:pStyle w:val="TableParagraph"/>
                          <w:spacing w:line="342" w:lineRule="exact" w:before="151"/>
                          <w:ind w:left="462"/>
                          <w:rPr>
                            <w:rFonts w:ascii="Microsoft JhengHei" w:eastAsia="Microsoft JhengHei" w:hint="eastAsia"/>
                            <w:b/>
                            <w:sz w:val="21"/>
                          </w:rPr>
                        </w:pPr>
                        <w:r>
                          <w:rPr>
                            <w:rFonts w:ascii="Microsoft JhengHei" w:eastAsia="Microsoft JhengHei" w:hint="eastAsia"/>
                            <w:b/>
                            <w:w w:val="95"/>
                            <w:sz w:val="21"/>
                          </w:rPr>
                          <w:t>1．您与本公司订立的合同</w:t>
                        </w:r>
                      </w:p>
                    </w:tc>
                    <w:tc>
                      <w:tcPr>
                        <w:tcW w:w="2999" w:type="dxa"/>
                        <w:tcBorders>
                          <w:top w:val="dotted" w:sz="6" w:space="0" w:color="000000"/>
                        </w:tcBorders>
                      </w:tcPr>
                      <w:p>
                        <w:pPr>
                          <w:pStyle w:val="TableParagraph"/>
                          <w:spacing w:line="342" w:lineRule="exact" w:before="151"/>
                          <w:ind w:left="212"/>
                          <w:rPr>
                            <w:rFonts w:ascii="Microsoft JhengHei" w:eastAsia="Microsoft JhengHei" w:hint="eastAsia"/>
                            <w:b/>
                            <w:sz w:val="21"/>
                          </w:rPr>
                        </w:pPr>
                        <w:r>
                          <w:rPr>
                            <w:sz w:val="21"/>
                          </w:rPr>
                          <w:t>5</w:t>
                        </w:r>
                        <w:r>
                          <w:rPr>
                            <w:rFonts w:ascii="Microsoft JhengHei" w:eastAsia="Microsoft JhengHei" w:hint="eastAsia"/>
                            <w:b/>
                            <w:sz w:val="21"/>
                          </w:rPr>
                          <w:t>．现金价值权益</w:t>
                        </w:r>
                      </w:p>
                    </w:tc>
                    <w:tc>
                      <w:tcPr>
                        <w:tcW w:w="667" w:type="dxa"/>
                        <w:tcBorders>
                          <w:top w:val="dotted" w:sz="6" w:space="0" w:color="000000"/>
                        </w:tcBorders>
                      </w:tcPr>
                      <w:p>
                        <w:pPr>
                          <w:pStyle w:val="TableParagraph"/>
                          <w:spacing w:line="240" w:lineRule="auto" w:before="9"/>
                          <w:rPr>
                            <w:b/>
                            <w:sz w:val="16"/>
                          </w:rPr>
                        </w:pPr>
                      </w:p>
                      <w:p>
                        <w:pPr>
                          <w:pStyle w:val="TableParagraph"/>
                          <w:spacing w:line="274" w:lineRule="exact"/>
                          <w:ind w:left="255"/>
                          <w:rPr>
                            <w:sz w:val="21"/>
                          </w:rPr>
                        </w:pPr>
                        <w:r>
                          <w:rPr>
                            <w:sz w:val="21"/>
                          </w:rPr>
                          <w:t>9.6</w:t>
                        </w:r>
                      </w:p>
                    </w:tc>
                    <w:tc>
                      <w:tcPr>
                        <w:tcW w:w="2433" w:type="dxa"/>
                        <w:tcBorders>
                          <w:top w:val="dotted" w:sz="6" w:space="0" w:color="000000"/>
                          <w:right w:val="dotted" w:sz="6" w:space="0" w:color="000000"/>
                        </w:tcBorders>
                      </w:tcPr>
                      <w:p>
                        <w:pPr>
                          <w:pStyle w:val="TableParagraph"/>
                          <w:spacing w:line="240" w:lineRule="auto" w:before="9"/>
                          <w:rPr>
                            <w:b/>
                            <w:sz w:val="16"/>
                          </w:rPr>
                        </w:pPr>
                      </w:p>
                      <w:p>
                        <w:pPr>
                          <w:pStyle w:val="TableParagraph"/>
                          <w:spacing w:line="274" w:lineRule="exact"/>
                          <w:ind w:left="11"/>
                          <w:rPr>
                            <w:sz w:val="21"/>
                          </w:rPr>
                        </w:pPr>
                        <w:r>
                          <w:rPr>
                            <w:sz w:val="21"/>
                          </w:rPr>
                          <w:t>语言能力或咀嚼吞咽</w:t>
                        </w:r>
                      </w:p>
                    </w:tc>
                  </w:tr>
                  <w:tr>
                    <w:trPr>
                      <w:trHeight w:val="250" w:hRule="atLeast"/>
                    </w:trPr>
                    <w:tc>
                      <w:tcPr>
                        <w:tcW w:w="3091" w:type="dxa"/>
                        <w:tcBorders>
                          <w:left w:val="dotted" w:sz="6" w:space="0" w:color="000000"/>
                        </w:tcBorders>
                      </w:tcPr>
                      <w:p>
                        <w:pPr>
                          <w:pStyle w:val="TableParagraph"/>
                          <w:spacing w:line="229" w:lineRule="exact"/>
                          <w:ind w:left="672"/>
                          <w:rPr>
                            <w:sz w:val="21"/>
                          </w:rPr>
                        </w:pPr>
                        <w:r>
                          <w:rPr>
                            <w:sz w:val="21"/>
                          </w:rPr>
                          <w:t>1.1 合同构成</w:t>
                        </w:r>
                      </w:p>
                    </w:tc>
                    <w:tc>
                      <w:tcPr>
                        <w:tcW w:w="2999" w:type="dxa"/>
                      </w:tcPr>
                      <w:p>
                        <w:pPr>
                          <w:pStyle w:val="TableParagraph"/>
                          <w:spacing w:line="229" w:lineRule="exact"/>
                          <w:ind w:left="422"/>
                          <w:rPr>
                            <w:sz w:val="21"/>
                          </w:rPr>
                        </w:pPr>
                        <w:r>
                          <w:rPr>
                            <w:sz w:val="21"/>
                          </w:rPr>
                          <w:t>5.1 现金价值</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30" w:lineRule="exact"/>
                          <w:ind w:left="8"/>
                          <w:rPr>
                            <w:sz w:val="21"/>
                          </w:rPr>
                        </w:pPr>
                        <w:r>
                          <w:rPr>
                            <w:sz w:val="21"/>
                          </w:rPr>
                          <w:t>能力完全丧失</w:t>
                        </w: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1.2 合同生效</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6．合同效力的中止及恢复</w:t>
                        </w:r>
                      </w:p>
                    </w:tc>
                    <w:tc>
                      <w:tcPr>
                        <w:tcW w:w="667" w:type="dxa"/>
                      </w:tcPr>
                      <w:p>
                        <w:pPr>
                          <w:pStyle w:val="TableParagraph"/>
                          <w:spacing w:line="230" w:lineRule="exact"/>
                          <w:ind w:left="255"/>
                          <w:rPr>
                            <w:sz w:val="21"/>
                          </w:rPr>
                        </w:pPr>
                        <w:r>
                          <w:rPr>
                            <w:sz w:val="21"/>
                          </w:rPr>
                          <w:t>9.7</w:t>
                        </w:r>
                      </w:p>
                    </w:tc>
                    <w:tc>
                      <w:tcPr>
                        <w:tcW w:w="2433" w:type="dxa"/>
                        <w:tcBorders>
                          <w:right w:val="dotted" w:sz="6" w:space="0" w:color="000000"/>
                        </w:tcBorders>
                      </w:tcPr>
                      <w:p>
                        <w:pPr>
                          <w:pStyle w:val="TableParagraph"/>
                          <w:spacing w:line="230" w:lineRule="exact"/>
                          <w:ind w:left="8"/>
                          <w:rPr>
                            <w:sz w:val="21"/>
                          </w:rPr>
                        </w:pPr>
                        <w:r>
                          <w:rPr>
                            <w:sz w:val="21"/>
                          </w:rPr>
                          <w:t>永久不可逆</w:t>
                        </w: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1.3 投保年龄</w:t>
                        </w:r>
                      </w:p>
                    </w:tc>
                    <w:tc>
                      <w:tcPr>
                        <w:tcW w:w="2999" w:type="dxa"/>
                      </w:tcPr>
                      <w:p>
                        <w:pPr>
                          <w:pStyle w:val="TableParagraph"/>
                          <w:spacing w:line="230" w:lineRule="exact"/>
                          <w:ind w:left="422"/>
                          <w:rPr>
                            <w:sz w:val="21"/>
                          </w:rPr>
                        </w:pPr>
                        <w:r>
                          <w:rPr>
                            <w:sz w:val="21"/>
                          </w:rPr>
                          <w:t>6.1 效力中止</w:t>
                        </w:r>
                      </w:p>
                    </w:tc>
                    <w:tc>
                      <w:tcPr>
                        <w:tcW w:w="667" w:type="dxa"/>
                      </w:tcPr>
                      <w:p>
                        <w:pPr>
                          <w:pStyle w:val="TableParagraph"/>
                          <w:spacing w:line="230" w:lineRule="exact"/>
                          <w:ind w:left="255"/>
                          <w:rPr>
                            <w:sz w:val="21"/>
                          </w:rPr>
                        </w:pPr>
                        <w:r>
                          <w:rPr>
                            <w:sz w:val="21"/>
                          </w:rPr>
                          <w:t>9.8</w:t>
                        </w:r>
                      </w:p>
                    </w:tc>
                    <w:tc>
                      <w:tcPr>
                        <w:tcW w:w="2433" w:type="dxa"/>
                        <w:tcBorders>
                          <w:right w:val="dotted" w:sz="6" w:space="0" w:color="000000"/>
                        </w:tcBorders>
                      </w:tcPr>
                      <w:p>
                        <w:pPr>
                          <w:pStyle w:val="TableParagraph"/>
                          <w:spacing w:line="230" w:lineRule="exact"/>
                          <w:ind w:left="11"/>
                          <w:rPr>
                            <w:sz w:val="21"/>
                          </w:rPr>
                        </w:pPr>
                        <w:r>
                          <w:rPr>
                            <w:sz w:val="21"/>
                          </w:rPr>
                          <w:t>感染艾滋病病毒或患</w:t>
                        </w:r>
                      </w:p>
                    </w:tc>
                  </w:tr>
                  <w:tr>
                    <w:trPr>
                      <w:trHeight w:val="250" w:hRule="atLeast"/>
                    </w:trPr>
                    <w:tc>
                      <w:tcPr>
                        <w:tcW w:w="3091" w:type="dxa"/>
                        <w:tcBorders>
                          <w:left w:val="dotted" w:sz="6" w:space="0" w:color="000000"/>
                        </w:tcBorders>
                      </w:tcPr>
                      <w:p>
                        <w:pPr>
                          <w:pStyle w:val="TableParagraph"/>
                          <w:spacing w:line="229" w:lineRule="exact"/>
                          <w:ind w:left="672"/>
                          <w:rPr>
                            <w:sz w:val="21"/>
                          </w:rPr>
                        </w:pPr>
                        <w:r>
                          <w:rPr>
                            <w:sz w:val="21"/>
                          </w:rPr>
                          <w:t>1.4 犹豫期</w:t>
                        </w:r>
                      </w:p>
                    </w:tc>
                    <w:tc>
                      <w:tcPr>
                        <w:tcW w:w="2999" w:type="dxa"/>
                      </w:tcPr>
                      <w:p>
                        <w:pPr>
                          <w:pStyle w:val="TableParagraph"/>
                          <w:spacing w:line="229" w:lineRule="exact"/>
                          <w:ind w:left="422"/>
                          <w:rPr>
                            <w:sz w:val="21"/>
                          </w:rPr>
                        </w:pPr>
                        <w:r>
                          <w:rPr>
                            <w:sz w:val="21"/>
                          </w:rPr>
                          <w:t>6.2 效力恢复</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30" w:lineRule="exact"/>
                          <w:ind w:left="8"/>
                          <w:rPr>
                            <w:sz w:val="21"/>
                          </w:rPr>
                        </w:pPr>
                        <w:r>
                          <w:rPr>
                            <w:sz w:val="21"/>
                          </w:rPr>
                          <w:t>艾滋病</w:t>
                        </w:r>
                      </w:p>
                    </w:tc>
                  </w:tr>
                  <w:tr>
                    <w:trPr>
                      <w:trHeight w:val="249" w:hRule="atLeast"/>
                    </w:trPr>
                    <w:tc>
                      <w:tcPr>
                        <w:tcW w:w="3091" w:type="dxa"/>
                        <w:tcBorders>
                          <w:left w:val="dotted" w:sz="6" w:space="0" w:color="000000"/>
                        </w:tcBorders>
                      </w:tcPr>
                      <w:p>
                        <w:pPr>
                          <w:pStyle w:val="TableParagraph"/>
                          <w:spacing w:line="230" w:lineRule="exact"/>
                          <w:ind w:left="462"/>
                          <w:rPr>
                            <w:rFonts w:ascii="Microsoft JhengHei" w:eastAsia="Microsoft JhengHei" w:hint="eastAsia"/>
                            <w:b/>
                            <w:sz w:val="21"/>
                          </w:rPr>
                        </w:pPr>
                        <w:r>
                          <w:rPr>
                            <w:rFonts w:ascii="Microsoft JhengHei" w:eastAsia="Microsoft JhengHei" w:hint="eastAsia"/>
                            <w:b/>
                            <w:w w:val="95"/>
                            <w:sz w:val="21"/>
                          </w:rPr>
                          <w:t>2．本公司提供的保障</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7．合同解除</w:t>
                        </w:r>
                      </w:p>
                    </w:tc>
                    <w:tc>
                      <w:tcPr>
                        <w:tcW w:w="667" w:type="dxa"/>
                      </w:tcPr>
                      <w:p>
                        <w:pPr>
                          <w:pStyle w:val="TableParagraph"/>
                          <w:spacing w:line="230" w:lineRule="exact"/>
                          <w:ind w:left="255"/>
                          <w:rPr>
                            <w:sz w:val="21"/>
                          </w:rPr>
                        </w:pPr>
                        <w:r>
                          <w:rPr>
                            <w:sz w:val="21"/>
                          </w:rPr>
                          <w:t>9.9</w:t>
                        </w:r>
                      </w:p>
                    </w:tc>
                    <w:tc>
                      <w:tcPr>
                        <w:tcW w:w="2433" w:type="dxa"/>
                        <w:tcBorders>
                          <w:right w:val="dotted" w:sz="6" w:space="0" w:color="000000"/>
                        </w:tcBorders>
                      </w:tcPr>
                      <w:p>
                        <w:pPr>
                          <w:pStyle w:val="TableParagraph"/>
                          <w:spacing w:line="230" w:lineRule="exact"/>
                          <w:ind w:left="8"/>
                          <w:rPr>
                            <w:sz w:val="21"/>
                          </w:rPr>
                        </w:pPr>
                        <w:r>
                          <w:rPr>
                            <w:sz w:val="21"/>
                          </w:rPr>
                          <w:t>遗传性疾病</w:t>
                        </w: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2.1 保险金额</w:t>
                        </w:r>
                      </w:p>
                    </w:tc>
                    <w:tc>
                      <w:tcPr>
                        <w:tcW w:w="2999" w:type="dxa"/>
                      </w:tcPr>
                      <w:p>
                        <w:pPr>
                          <w:pStyle w:val="TableParagraph"/>
                          <w:spacing w:line="230" w:lineRule="exact"/>
                          <w:ind w:right="264"/>
                          <w:jc w:val="right"/>
                          <w:rPr>
                            <w:sz w:val="21"/>
                          </w:rPr>
                        </w:pPr>
                        <w:r>
                          <w:rPr>
                            <w:sz w:val="21"/>
                          </w:rPr>
                          <w:t>7.1 您解除合同的手续及</w:t>
                        </w:r>
                      </w:p>
                    </w:tc>
                    <w:tc>
                      <w:tcPr>
                        <w:tcW w:w="667" w:type="dxa"/>
                      </w:tcPr>
                      <w:p>
                        <w:pPr>
                          <w:pStyle w:val="TableParagraph"/>
                          <w:spacing w:line="230" w:lineRule="exact"/>
                          <w:ind w:left="255" w:right="-15"/>
                          <w:rPr>
                            <w:sz w:val="21"/>
                          </w:rPr>
                        </w:pPr>
                        <w:r>
                          <w:rPr>
                            <w:sz w:val="21"/>
                          </w:rPr>
                          <w:t>9.10</w:t>
                        </w:r>
                      </w:p>
                    </w:tc>
                    <w:tc>
                      <w:tcPr>
                        <w:tcW w:w="2433" w:type="dxa"/>
                        <w:tcBorders>
                          <w:right w:val="dotted" w:sz="6" w:space="0" w:color="000000"/>
                        </w:tcBorders>
                      </w:tcPr>
                      <w:p>
                        <w:pPr>
                          <w:pStyle w:val="TableParagraph"/>
                          <w:spacing w:line="230" w:lineRule="exact"/>
                          <w:ind w:left="113"/>
                          <w:rPr>
                            <w:sz w:val="21"/>
                          </w:rPr>
                        </w:pPr>
                        <w:r>
                          <w:rPr>
                            <w:sz w:val="21"/>
                          </w:rPr>
                          <w:t>先天性畸形、变形或</w:t>
                        </w:r>
                      </w:p>
                    </w:tc>
                  </w:tr>
                  <w:tr>
                    <w:trPr>
                      <w:trHeight w:val="250" w:hRule="atLeast"/>
                    </w:trPr>
                    <w:tc>
                      <w:tcPr>
                        <w:tcW w:w="3091" w:type="dxa"/>
                        <w:tcBorders>
                          <w:left w:val="dotted" w:sz="6" w:space="0" w:color="000000"/>
                        </w:tcBorders>
                      </w:tcPr>
                      <w:p>
                        <w:pPr>
                          <w:pStyle w:val="TableParagraph"/>
                          <w:spacing w:line="229" w:lineRule="exact"/>
                          <w:ind w:left="672"/>
                          <w:rPr>
                            <w:sz w:val="21"/>
                          </w:rPr>
                        </w:pPr>
                        <w:r>
                          <w:rPr>
                            <w:sz w:val="21"/>
                          </w:rPr>
                          <w:t>2.2 保险期间</w:t>
                        </w:r>
                      </w:p>
                    </w:tc>
                    <w:tc>
                      <w:tcPr>
                        <w:tcW w:w="2999" w:type="dxa"/>
                      </w:tcPr>
                      <w:p>
                        <w:pPr>
                          <w:pStyle w:val="TableParagraph"/>
                          <w:spacing w:line="229" w:lineRule="exact"/>
                          <w:ind w:left="842"/>
                          <w:rPr>
                            <w:sz w:val="21"/>
                          </w:rPr>
                        </w:pPr>
                        <w:r>
                          <w:rPr>
                            <w:sz w:val="21"/>
                          </w:rPr>
                          <w:t>风险</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30" w:lineRule="exact"/>
                          <w:ind w:left="114"/>
                          <w:rPr>
                            <w:sz w:val="21"/>
                          </w:rPr>
                        </w:pPr>
                        <w:r>
                          <w:rPr>
                            <w:sz w:val="21"/>
                          </w:rPr>
                          <w:t>染色体异常</w:t>
                        </w: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2.3 保险责任</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8．其他需要关注的事项</w:t>
                        </w:r>
                      </w:p>
                    </w:tc>
                    <w:tc>
                      <w:tcPr>
                        <w:tcW w:w="667" w:type="dxa"/>
                      </w:tcPr>
                      <w:p>
                        <w:pPr>
                          <w:pStyle w:val="TableParagraph"/>
                          <w:spacing w:line="230" w:lineRule="exact"/>
                          <w:ind w:left="255" w:right="-15"/>
                          <w:rPr>
                            <w:sz w:val="21"/>
                          </w:rPr>
                        </w:pPr>
                        <w:r>
                          <w:rPr>
                            <w:sz w:val="21"/>
                          </w:rPr>
                          <w:t>9.11</w:t>
                        </w:r>
                      </w:p>
                    </w:tc>
                    <w:tc>
                      <w:tcPr>
                        <w:tcW w:w="2433" w:type="dxa"/>
                        <w:tcBorders>
                          <w:right w:val="dotted" w:sz="6" w:space="0" w:color="000000"/>
                        </w:tcBorders>
                      </w:tcPr>
                      <w:p>
                        <w:pPr>
                          <w:pStyle w:val="TableParagraph"/>
                          <w:spacing w:line="230" w:lineRule="exact"/>
                          <w:ind w:left="113"/>
                          <w:rPr>
                            <w:sz w:val="21"/>
                          </w:rPr>
                        </w:pPr>
                        <w:r>
                          <w:rPr>
                            <w:sz w:val="21"/>
                          </w:rPr>
                          <w:t>适用主合同释义</w:t>
                        </w: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2.4 责任免除</w:t>
                        </w:r>
                      </w:p>
                    </w:tc>
                    <w:tc>
                      <w:tcPr>
                        <w:tcW w:w="2999" w:type="dxa"/>
                      </w:tcPr>
                      <w:p>
                        <w:pPr>
                          <w:pStyle w:val="TableParagraph"/>
                          <w:spacing w:line="230" w:lineRule="exact"/>
                          <w:ind w:left="422"/>
                          <w:rPr>
                            <w:sz w:val="21"/>
                          </w:rPr>
                        </w:pPr>
                        <w:r>
                          <w:rPr>
                            <w:sz w:val="21"/>
                          </w:rPr>
                          <w:t>8.1 效力终止</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40" w:lineRule="auto"/>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462"/>
                          <w:rPr>
                            <w:rFonts w:ascii="Microsoft JhengHei" w:eastAsia="Microsoft JhengHei" w:hint="eastAsia"/>
                            <w:b/>
                            <w:sz w:val="21"/>
                          </w:rPr>
                        </w:pPr>
                        <w:r>
                          <w:rPr>
                            <w:rFonts w:ascii="Microsoft JhengHei" w:eastAsia="Microsoft JhengHei" w:hint="eastAsia"/>
                            <w:b/>
                            <w:w w:val="95"/>
                            <w:sz w:val="21"/>
                          </w:rPr>
                          <w:t>3．保险金的申请</w:t>
                        </w:r>
                      </w:p>
                    </w:tc>
                    <w:tc>
                      <w:tcPr>
                        <w:tcW w:w="2999" w:type="dxa"/>
                      </w:tcPr>
                      <w:p>
                        <w:pPr>
                          <w:pStyle w:val="TableParagraph"/>
                          <w:spacing w:line="230" w:lineRule="exact"/>
                          <w:ind w:left="422"/>
                          <w:rPr>
                            <w:sz w:val="21"/>
                          </w:rPr>
                        </w:pPr>
                        <w:r>
                          <w:rPr>
                            <w:sz w:val="21"/>
                          </w:rPr>
                          <w:t>8.2 适用主合同条款</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40" w:lineRule="auto"/>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3.1 受益人</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9．释义</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40" w:lineRule="auto"/>
                          <w:rPr>
                            <w:rFonts w:ascii="Times New Roman"/>
                            <w:sz w:val="18"/>
                          </w:rPr>
                        </w:pP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3.2 保险金申请</w:t>
                        </w:r>
                      </w:p>
                    </w:tc>
                    <w:tc>
                      <w:tcPr>
                        <w:tcW w:w="2999" w:type="dxa"/>
                      </w:tcPr>
                      <w:p>
                        <w:pPr>
                          <w:pStyle w:val="TableParagraph"/>
                          <w:spacing w:line="230" w:lineRule="exact"/>
                          <w:ind w:left="422"/>
                          <w:rPr>
                            <w:sz w:val="21"/>
                          </w:rPr>
                        </w:pPr>
                        <w:r>
                          <w:rPr>
                            <w:sz w:val="21"/>
                          </w:rPr>
                          <w:t>9.1 医院</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40" w:lineRule="auto"/>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3.3 诉讼时效</w:t>
                        </w:r>
                      </w:p>
                    </w:tc>
                    <w:tc>
                      <w:tcPr>
                        <w:tcW w:w="2999" w:type="dxa"/>
                      </w:tcPr>
                      <w:p>
                        <w:pPr>
                          <w:pStyle w:val="TableParagraph"/>
                          <w:spacing w:line="230" w:lineRule="exact"/>
                          <w:ind w:left="422"/>
                          <w:rPr>
                            <w:sz w:val="21"/>
                          </w:rPr>
                        </w:pPr>
                        <w:r>
                          <w:rPr>
                            <w:sz w:val="21"/>
                          </w:rPr>
                          <w:t>9.2 专科医生</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40" w:lineRule="auto"/>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462"/>
                          <w:rPr>
                            <w:rFonts w:ascii="Microsoft JhengHei" w:eastAsia="Microsoft JhengHei" w:hint="eastAsia"/>
                            <w:b/>
                            <w:sz w:val="21"/>
                          </w:rPr>
                        </w:pPr>
                        <w:r>
                          <w:rPr>
                            <w:w w:val="105"/>
                            <w:sz w:val="21"/>
                          </w:rPr>
                          <w:t>4</w:t>
                        </w:r>
                        <w:r>
                          <w:rPr>
                            <w:rFonts w:ascii="Microsoft JhengHei" w:eastAsia="Microsoft JhengHei" w:hint="eastAsia"/>
                            <w:b/>
                            <w:w w:val="105"/>
                            <w:sz w:val="21"/>
                          </w:rPr>
                          <w:t>. 保险费的交纳</w:t>
                        </w:r>
                      </w:p>
                    </w:tc>
                    <w:tc>
                      <w:tcPr>
                        <w:tcW w:w="2999" w:type="dxa"/>
                      </w:tcPr>
                      <w:p>
                        <w:pPr>
                          <w:pStyle w:val="TableParagraph"/>
                          <w:spacing w:line="230" w:lineRule="exact"/>
                          <w:ind w:left="422"/>
                          <w:rPr>
                            <w:sz w:val="21"/>
                          </w:rPr>
                        </w:pPr>
                        <w:r>
                          <w:rPr>
                            <w:sz w:val="21"/>
                          </w:rPr>
                          <w:t>9.3 重大疾病</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40" w:lineRule="auto"/>
                          <w:rPr>
                            <w:rFonts w:ascii="Times New Roman"/>
                            <w:sz w:val="18"/>
                          </w:rPr>
                        </w:pP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4.1 保险费的交纳</w:t>
                        </w:r>
                      </w:p>
                    </w:tc>
                    <w:tc>
                      <w:tcPr>
                        <w:tcW w:w="2999" w:type="dxa"/>
                      </w:tcPr>
                      <w:p>
                        <w:pPr>
                          <w:pStyle w:val="TableParagraph"/>
                          <w:spacing w:line="230" w:lineRule="exact"/>
                          <w:ind w:right="237"/>
                          <w:jc w:val="right"/>
                          <w:rPr>
                            <w:sz w:val="21"/>
                          </w:rPr>
                        </w:pPr>
                        <w:r>
                          <w:rPr>
                            <w:sz w:val="21"/>
                          </w:rPr>
                          <w:t>9.4 六项基本日常生活活</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40" w:lineRule="auto"/>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4.2 宽限期</w:t>
                        </w:r>
                      </w:p>
                    </w:tc>
                    <w:tc>
                      <w:tcPr>
                        <w:tcW w:w="2999" w:type="dxa"/>
                      </w:tcPr>
                      <w:p>
                        <w:pPr>
                          <w:pStyle w:val="TableParagraph"/>
                          <w:spacing w:line="230" w:lineRule="exact"/>
                          <w:ind w:left="842"/>
                          <w:rPr>
                            <w:sz w:val="21"/>
                          </w:rPr>
                        </w:pPr>
                        <w:r>
                          <w:rPr>
                            <w:sz w:val="21"/>
                          </w:rPr>
                          <w:t>动</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40" w:lineRule="auto"/>
                          <w:rPr>
                            <w:rFonts w:ascii="Times New Roman"/>
                            <w:sz w:val="18"/>
                          </w:rPr>
                        </w:pPr>
                      </w:p>
                    </w:tc>
                  </w:tr>
                  <w:tr>
                    <w:trPr>
                      <w:trHeight w:val="937" w:hRule="atLeast"/>
                    </w:trPr>
                    <w:tc>
                      <w:tcPr>
                        <w:tcW w:w="3091" w:type="dxa"/>
                        <w:tcBorders>
                          <w:left w:val="dotted" w:sz="6" w:space="0" w:color="000000"/>
                          <w:bottom w:val="dotted" w:sz="6" w:space="0" w:color="000000"/>
                        </w:tcBorders>
                      </w:tcPr>
                      <w:p>
                        <w:pPr>
                          <w:pStyle w:val="TableParagraph"/>
                          <w:spacing w:line="230" w:lineRule="exact"/>
                          <w:ind w:left="672"/>
                          <w:rPr>
                            <w:sz w:val="21"/>
                          </w:rPr>
                        </w:pPr>
                        <w:r>
                          <w:rPr>
                            <w:sz w:val="21"/>
                          </w:rPr>
                          <w:t>4.3 保险费率调整</w:t>
                        </w:r>
                      </w:p>
                    </w:tc>
                    <w:tc>
                      <w:tcPr>
                        <w:tcW w:w="2999" w:type="dxa"/>
                        <w:tcBorders>
                          <w:bottom w:val="dotted" w:sz="6" w:space="0" w:color="000000"/>
                        </w:tcBorders>
                      </w:tcPr>
                      <w:p>
                        <w:pPr>
                          <w:pStyle w:val="TableParagraph"/>
                          <w:spacing w:line="230" w:lineRule="exact"/>
                          <w:ind w:left="422"/>
                          <w:rPr>
                            <w:sz w:val="21"/>
                          </w:rPr>
                        </w:pPr>
                        <w:r>
                          <w:rPr>
                            <w:sz w:val="21"/>
                          </w:rPr>
                          <w:t>9.5 肢体机能完全丧失</w:t>
                        </w:r>
                      </w:p>
                    </w:tc>
                    <w:tc>
                      <w:tcPr>
                        <w:tcW w:w="667" w:type="dxa"/>
                        <w:tcBorders>
                          <w:bottom w:val="dotted" w:sz="6" w:space="0" w:color="000000"/>
                        </w:tcBorders>
                      </w:tcPr>
                      <w:p>
                        <w:pPr>
                          <w:pStyle w:val="TableParagraph"/>
                          <w:spacing w:line="240" w:lineRule="auto"/>
                          <w:rPr>
                            <w:rFonts w:ascii="Times New Roman"/>
                            <w:sz w:val="20"/>
                          </w:rPr>
                        </w:pPr>
                      </w:p>
                    </w:tc>
                    <w:tc>
                      <w:tcPr>
                        <w:tcW w:w="2433" w:type="dxa"/>
                        <w:tcBorders>
                          <w:bottom w:val="dotted" w:sz="6" w:space="0" w:color="000000"/>
                          <w:right w:val="dotted" w:sz="6" w:space="0" w:color="000000"/>
                        </w:tcBorders>
                      </w:tcPr>
                      <w:p>
                        <w:pPr>
                          <w:pStyle w:val="TableParagraph"/>
                          <w:spacing w:line="240" w:lineRule="auto"/>
                          <w:rPr>
                            <w:rFonts w:ascii="Times New Roman"/>
                            <w:sz w:val="20"/>
                          </w:rPr>
                        </w:pPr>
                      </w:p>
                    </w:tc>
                  </w:tr>
                </w:tbl>
                <w:p>
                  <w:pPr>
                    <w:pStyle w:val="BodyText"/>
                  </w:pPr>
                </w:p>
              </w:txbxContent>
            </v:textbox>
            <w10:wrap type="none"/>
          </v:shape>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20" w:bottom="280" w:left="880" w:right="880"/>
        </w:sectPr>
      </w:pPr>
    </w:p>
    <w:p>
      <w:pPr>
        <w:pStyle w:val="Heading1"/>
        <w:spacing w:line="480" w:lineRule="exact" w:before="0"/>
        <w:ind w:left="3230"/>
      </w:pPr>
      <w:r>
        <w:rPr/>
        <w:t>交银康联人寿保险有限公司</w:t>
      </w:r>
    </w:p>
    <w:p>
      <w:pPr>
        <w:spacing w:before="71"/>
        <w:ind w:left="1967" w:right="0" w:firstLine="0"/>
        <w:jc w:val="left"/>
        <w:rPr>
          <w:rFonts w:ascii="微软雅黑" w:eastAsia="微软雅黑" w:hint="eastAsia"/>
          <w:b/>
          <w:sz w:val="32"/>
        </w:rPr>
      </w:pPr>
      <w:r>
        <w:rPr>
          <w:rFonts w:ascii="微软雅黑" w:eastAsia="微软雅黑" w:hint="eastAsia"/>
          <w:b/>
          <w:w w:val="95"/>
          <w:sz w:val="32"/>
        </w:rPr>
        <w:t>交银康联附加重大疾病保险条款</w:t>
      </w:r>
      <w:r>
        <w:rPr>
          <w:rFonts w:ascii="微软雅黑" w:eastAsia="微软雅黑" w:hint="eastAsia"/>
          <w:b/>
          <w:w w:val="95"/>
          <w:sz w:val="32"/>
          <w:vertAlign w:val="subscript"/>
        </w:rPr>
        <w:t>（2010</w:t>
      </w:r>
      <w:r>
        <w:rPr>
          <w:rFonts w:ascii="微软雅黑" w:eastAsia="微软雅黑" w:hint="eastAsia"/>
          <w:b/>
          <w:w w:val="95"/>
          <w:sz w:val="32"/>
          <w:vertAlign w:val="baseline"/>
        </w:rPr>
        <w:t> 年 </w:t>
      </w:r>
      <w:r>
        <w:rPr>
          <w:rFonts w:ascii="微软雅黑" w:eastAsia="微软雅黑" w:hint="eastAsia"/>
          <w:b/>
          <w:w w:val="95"/>
          <w:sz w:val="32"/>
          <w:vertAlign w:val="subscript"/>
        </w:rPr>
        <w:t>1</w:t>
      </w:r>
      <w:r>
        <w:rPr>
          <w:rFonts w:ascii="微软雅黑" w:eastAsia="微软雅黑" w:hint="eastAsia"/>
          <w:b/>
          <w:w w:val="95"/>
          <w:sz w:val="32"/>
          <w:vertAlign w:val="baseline"/>
        </w:rPr>
        <w:t> 月</w:t>
      </w:r>
      <w:r>
        <w:rPr>
          <w:rFonts w:ascii="微软雅黑" w:eastAsia="微软雅黑" w:hint="eastAsia"/>
          <w:b/>
          <w:w w:val="95"/>
          <w:sz w:val="32"/>
          <w:vertAlign w:val="subscript"/>
        </w:rPr>
        <w:t>）</w:t>
      </w:r>
      <w:r>
        <w:rPr>
          <w:rFonts w:ascii="微软雅黑" w:eastAsia="微软雅黑" w:hint="eastAsia"/>
          <w:b/>
          <w:w w:val="95"/>
          <w:sz w:val="32"/>
          <w:vertAlign w:val="baseline"/>
        </w:rPr>
      </w:r>
    </w:p>
    <w:p>
      <w:pPr>
        <w:pStyle w:val="BodyText"/>
        <w:spacing w:line="273" w:lineRule="auto" w:before="102"/>
        <w:ind w:left="221" w:right="217"/>
      </w:pPr>
      <w:r>
        <w:rPr>
          <w:spacing w:val="-6"/>
        </w:rPr>
        <w:t>在本条款中，“您”指投保人， “本公司”指交银康联人寿保险有限公司，“本附加合同”指您与本公司之间订立的“交银康联附加重大疾病保险合同”。</w:t>
      </w:r>
    </w:p>
    <w:p>
      <w:pPr>
        <w:pStyle w:val="BodyText"/>
        <w:rPr>
          <w:sz w:val="20"/>
        </w:rPr>
      </w:pPr>
    </w:p>
    <w:p>
      <w:pPr>
        <w:pStyle w:val="BodyText"/>
        <w:spacing w:before="1"/>
      </w:pPr>
    </w:p>
    <w:p>
      <w:pPr>
        <w:pStyle w:val="Heading2"/>
        <w:tabs>
          <w:tab w:pos="978" w:val="left" w:leader="none"/>
        </w:tabs>
      </w:pPr>
      <w:r>
        <w:rPr/>
        <w:pict>
          <v:group style="position:absolute;margin-left:45.66pt;margin-top:28.100044pt;width:504.5pt;height:1pt;mso-position-horizontal-relative:page;mso-position-vertical-relative:paragraph;z-index:1096;mso-wrap-distance-left:0;mso-wrap-distance-right:0" coordorigin="913,562" coordsize="10090,20">
            <v:line style="position:absolute" from="913,572" to="3647,572" stroked="true" strokeweight=".95996pt" strokecolor="#000000">
              <v:stroke dashstyle="solid"/>
            </v:line>
            <v:line style="position:absolute" from="3647,572" to="11003,572" stroked="true" strokeweight=".96pt" strokecolor="#000000">
              <v:stroke dashstyle="solid"/>
            </v:line>
            <w10:wrap type="topAndBottom"/>
          </v:group>
        </w:pict>
      </w:r>
      <w:r>
        <w:rPr>
          <w:rFonts w:ascii="Arial" w:hAnsi="Arial" w:eastAsia="Arial"/>
          <w:position w:val="-3"/>
          <w:sz w:val="40"/>
        </w:rPr>
        <w:t></w:t>
        <w:tab/>
      </w:r>
      <w:r>
        <w:rPr>
          <w:w w:val="95"/>
        </w:rPr>
        <w:t>您与本公司订立的合同</w:t>
      </w:r>
    </w:p>
    <w:p>
      <w:pPr>
        <w:pStyle w:val="BodyText"/>
        <w:spacing w:before="10"/>
        <w:rPr>
          <w:b/>
          <w:sz w:val="9"/>
        </w:rPr>
      </w:pPr>
    </w:p>
    <w:p>
      <w:pPr>
        <w:pStyle w:val="ListParagraph"/>
        <w:numPr>
          <w:ilvl w:val="1"/>
          <w:numId w:val="2"/>
        </w:numPr>
        <w:tabs>
          <w:tab w:pos="977" w:val="left" w:leader="none"/>
          <w:tab w:pos="978" w:val="left" w:leader="none"/>
          <w:tab w:pos="2935" w:val="left" w:leader="none"/>
        </w:tabs>
        <w:spacing w:line="273" w:lineRule="auto" w:before="35" w:after="0"/>
        <w:ind w:left="2935" w:right="103" w:hanging="2714"/>
        <w:jc w:val="left"/>
        <w:rPr>
          <w:sz w:val="21"/>
        </w:rPr>
      </w:pPr>
      <w:r>
        <w:rPr>
          <w:b/>
          <w:sz w:val="21"/>
        </w:rPr>
        <w:t>合同构成</w:t>
        <w:tab/>
      </w:r>
      <w:r>
        <w:rPr>
          <w:sz w:val="21"/>
        </w:rPr>
        <w:t>本附加合同是您与本公司约定保险权利义务关系的协议，包括本保险条款、保险单或其他保险凭证</w:t>
      </w:r>
      <w:r>
        <w:rPr>
          <w:spacing w:val="-29"/>
          <w:sz w:val="21"/>
        </w:rPr>
        <w:t>、</w:t>
      </w:r>
      <w:r>
        <w:rPr>
          <w:sz w:val="21"/>
        </w:rPr>
        <w:t>投保单</w:t>
      </w:r>
      <w:r>
        <w:rPr>
          <w:spacing w:val="-29"/>
          <w:sz w:val="21"/>
        </w:rPr>
        <w:t>、</w:t>
      </w:r>
      <w:r>
        <w:rPr>
          <w:sz w:val="21"/>
        </w:rPr>
        <w:t>与保险合同有关的投保文件</w:t>
      </w:r>
      <w:r>
        <w:rPr>
          <w:spacing w:val="-29"/>
          <w:sz w:val="21"/>
        </w:rPr>
        <w:t>、</w:t>
      </w:r>
      <w:r>
        <w:rPr>
          <w:sz w:val="21"/>
        </w:rPr>
        <w:t>合法有效的声明、批注、批单、及其他您与本公司共同认可的书面协议。</w:t>
      </w:r>
    </w:p>
    <w:p>
      <w:pPr>
        <w:pStyle w:val="BodyText"/>
        <w:spacing w:before="12"/>
        <w:rPr>
          <w:sz w:val="17"/>
        </w:rPr>
      </w:pPr>
    </w:p>
    <w:p>
      <w:pPr>
        <w:pStyle w:val="ListParagraph"/>
        <w:numPr>
          <w:ilvl w:val="1"/>
          <w:numId w:val="2"/>
        </w:numPr>
        <w:tabs>
          <w:tab w:pos="977" w:val="left" w:leader="none"/>
          <w:tab w:pos="978" w:val="left" w:leader="none"/>
          <w:tab w:pos="2935" w:val="left" w:leader="none"/>
        </w:tabs>
        <w:spacing w:line="273" w:lineRule="auto" w:before="0" w:after="0"/>
        <w:ind w:left="2935" w:right="103" w:hanging="2714"/>
        <w:jc w:val="left"/>
        <w:rPr>
          <w:sz w:val="21"/>
        </w:rPr>
      </w:pPr>
      <w:r>
        <w:rPr>
          <w:b/>
          <w:sz w:val="21"/>
        </w:rPr>
        <w:t>合同生效</w:t>
        <w:tab/>
      </w:r>
      <w:r>
        <w:rPr>
          <w:sz w:val="21"/>
        </w:rPr>
        <w:t>除另有约定外，本附加合同须与主合同同时投保，本附加合同的生效日与主合同相同</w:t>
      </w:r>
      <w:r>
        <w:rPr>
          <w:spacing w:val="-87"/>
          <w:sz w:val="21"/>
        </w:rPr>
        <w:t>。</w:t>
      </w:r>
      <w:r>
        <w:rPr>
          <w:sz w:val="21"/>
        </w:rPr>
        <w:t>本公司自合同生效日次日零时起开始承担本附加合同约定的保险责任。</w:t>
      </w:r>
    </w:p>
    <w:p>
      <w:pPr>
        <w:pStyle w:val="BodyText"/>
        <w:spacing w:before="4"/>
        <w:rPr>
          <w:sz w:val="24"/>
        </w:rPr>
      </w:pPr>
    </w:p>
    <w:p>
      <w:pPr>
        <w:pStyle w:val="ListParagraph"/>
        <w:numPr>
          <w:ilvl w:val="1"/>
          <w:numId w:val="2"/>
        </w:numPr>
        <w:tabs>
          <w:tab w:pos="978" w:val="left" w:leader="none"/>
          <w:tab w:pos="979" w:val="left" w:leader="none"/>
          <w:tab w:pos="2935" w:val="left" w:leader="none"/>
        </w:tabs>
        <w:spacing w:line="273" w:lineRule="auto" w:before="1" w:after="0"/>
        <w:ind w:left="2935" w:right="225" w:hanging="2714"/>
        <w:jc w:val="left"/>
        <w:rPr>
          <w:sz w:val="21"/>
        </w:rPr>
      </w:pPr>
      <w:r>
        <w:rPr>
          <w:b/>
          <w:sz w:val="21"/>
        </w:rPr>
        <w:t>投保年龄</w:t>
        <w:tab/>
      </w:r>
      <w:r>
        <w:rPr>
          <w:w w:val="95"/>
          <w:sz w:val="21"/>
        </w:rPr>
        <w:t>指您投保时被保险人的年龄，投保年龄以</w:t>
      </w:r>
      <w:r>
        <w:rPr>
          <w:b/>
          <w:w w:val="95"/>
          <w:sz w:val="21"/>
        </w:rPr>
        <w:t>周岁</w:t>
      </w:r>
      <w:r>
        <w:rPr>
          <w:w w:val="95"/>
          <w:sz w:val="21"/>
        </w:rPr>
        <w:t>计算，本附加合同接受的投保年    </w:t>
      </w:r>
      <w:r>
        <w:rPr>
          <w:sz w:val="21"/>
        </w:rPr>
        <w:t>龄为出生满</w:t>
      </w:r>
      <w:r>
        <w:rPr>
          <w:spacing w:val="-54"/>
          <w:sz w:val="21"/>
        </w:rPr>
        <w:t> </w:t>
      </w:r>
      <w:r>
        <w:rPr>
          <w:sz w:val="21"/>
        </w:rPr>
        <w:t>30</w:t>
      </w:r>
      <w:r>
        <w:rPr>
          <w:spacing w:val="-53"/>
          <w:sz w:val="21"/>
        </w:rPr>
        <w:t> </w:t>
      </w:r>
      <w:r>
        <w:rPr>
          <w:sz w:val="21"/>
        </w:rPr>
        <w:t>天至</w:t>
      </w:r>
      <w:r>
        <w:rPr>
          <w:spacing w:val="-55"/>
          <w:sz w:val="21"/>
        </w:rPr>
        <w:t> </w:t>
      </w:r>
      <w:r>
        <w:rPr>
          <w:sz w:val="21"/>
        </w:rPr>
        <w:t>60</w:t>
      </w:r>
      <w:r>
        <w:rPr>
          <w:spacing w:val="-54"/>
          <w:sz w:val="21"/>
        </w:rPr>
        <w:t> </w:t>
      </w:r>
      <w:r>
        <w:rPr>
          <w:b/>
          <w:sz w:val="21"/>
        </w:rPr>
        <w:t>周岁</w:t>
      </w:r>
      <w:r>
        <w:rPr>
          <w:sz w:val="21"/>
        </w:rPr>
        <w:t>。</w:t>
      </w:r>
    </w:p>
    <w:p>
      <w:pPr>
        <w:pStyle w:val="BodyText"/>
        <w:spacing w:before="12"/>
      </w:pPr>
    </w:p>
    <w:p>
      <w:pPr>
        <w:pStyle w:val="Heading2"/>
        <w:tabs>
          <w:tab w:pos="978" w:val="left" w:leader="none"/>
        </w:tabs>
        <w:spacing w:before="62"/>
      </w:pPr>
      <w:r>
        <w:rPr/>
        <w:pict>
          <v:group style="position:absolute;margin-left:45.66pt;margin-top:31.200071pt;width:504.5pt;height:1pt;mso-position-horizontal-relative:page;mso-position-vertical-relative:paragraph;z-index:1120;mso-wrap-distance-left:0;mso-wrap-distance-right:0" coordorigin="913,624" coordsize="10090,20">
            <v:line style="position:absolute" from="913,634" to="3647,634" stroked="true" strokeweight=".95999pt" strokecolor="#000000">
              <v:stroke dashstyle="solid"/>
            </v:line>
            <v:line style="position:absolute" from="3647,634" to="11003,634" stroked="true" strokeweight=".96pt" strokecolor="#000000">
              <v:stroke dashstyle="solid"/>
            </v:line>
            <w10:wrap type="topAndBottom"/>
          </v:group>
        </w:pict>
      </w:r>
      <w:r>
        <w:rPr>
          <w:rFonts w:ascii="Arial" w:hAnsi="Arial" w:eastAsia="Arial"/>
          <w:position w:val="-3"/>
          <w:sz w:val="40"/>
        </w:rPr>
        <w:t></w:t>
        <w:tab/>
      </w:r>
      <w:r>
        <w:rPr>
          <w:w w:val="95"/>
        </w:rPr>
        <w:t>本公司提供的保障</w:t>
      </w:r>
    </w:p>
    <w:p>
      <w:pPr>
        <w:pStyle w:val="BodyText"/>
        <w:spacing w:before="11"/>
        <w:rPr>
          <w:b/>
          <w:sz w:val="5"/>
        </w:rPr>
      </w:pPr>
    </w:p>
    <w:p>
      <w:pPr>
        <w:pStyle w:val="ListParagraph"/>
        <w:numPr>
          <w:ilvl w:val="1"/>
          <w:numId w:val="3"/>
        </w:numPr>
        <w:tabs>
          <w:tab w:pos="978" w:val="left" w:leader="none"/>
          <w:tab w:pos="979" w:val="left" w:leader="none"/>
          <w:tab w:pos="2935" w:val="left" w:leader="none"/>
        </w:tabs>
        <w:spacing w:line="273" w:lineRule="auto" w:before="35" w:after="0"/>
        <w:ind w:left="2935" w:right="226" w:hanging="2714"/>
        <w:jc w:val="left"/>
        <w:rPr>
          <w:sz w:val="21"/>
        </w:rPr>
      </w:pPr>
      <w:r>
        <w:rPr>
          <w:b/>
          <w:sz w:val="21"/>
        </w:rPr>
        <w:t>保险金额</w:t>
        <w:tab/>
      </w:r>
      <w:r>
        <w:rPr>
          <w:sz w:val="21"/>
        </w:rPr>
        <w:t>本附加合同的保险金额由您在投保时与本公司约定，为本附加合同保险费的计算基础，并载明于保险单或批注上。</w:t>
      </w:r>
    </w:p>
    <w:p>
      <w:pPr>
        <w:pStyle w:val="BodyText"/>
        <w:spacing w:before="11"/>
        <w:rPr>
          <w:sz w:val="17"/>
        </w:rPr>
      </w:pPr>
    </w:p>
    <w:p>
      <w:pPr>
        <w:pStyle w:val="ListParagraph"/>
        <w:numPr>
          <w:ilvl w:val="1"/>
          <w:numId w:val="3"/>
        </w:numPr>
        <w:tabs>
          <w:tab w:pos="977" w:val="left" w:leader="none"/>
          <w:tab w:pos="978" w:val="left" w:leader="none"/>
          <w:tab w:pos="2935" w:val="left" w:leader="none"/>
        </w:tabs>
        <w:spacing w:line="273" w:lineRule="auto" w:before="1" w:after="0"/>
        <w:ind w:left="2935" w:right="103" w:hanging="2714"/>
        <w:jc w:val="left"/>
        <w:rPr>
          <w:sz w:val="21"/>
        </w:rPr>
      </w:pPr>
      <w:r>
        <w:rPr>
          <w:b/>
          <w:sz w:val="21"/>
        </w:rPr>
        <w:t>保险期间</w:t>
        <w:tab/>
      </w:r>
      <w:r>
        <w:rPr>
          <w:sz w:val="21"/>
        </w:rPr>
        <w:t>本附加合同的保险期间有五年、十年、十五年、二十年、二十五年、三十年，或至被保险人十八</w:t>
      </w:r>
      <w:r>
        <w:rPr>
          <w:b/>
          <w:sz w:val="21"/>
        </w:rPr>
        <w:t>周岁</w:t>
      </w:r>
      <w:r>
        <w:rPr>
          <w:sz w:val="21"/>
        </w:rPr>
        <w:t>、五十</w:t>
      </w:r>
      <w:r>
        <w:rPr>
          <w:b/>
          <w:sz w:val="21"/>
        </w:rPr>
        <w:t>周岁</w:t>
      </w:r>
      <w:r>
        <w:rPr>
          <w:sz w:val="21"/>
        </w:rPr>
        <w:t>、五十五</w:t>
      </w:r>
      <w:r>
        <w:rPr>
          <w:b/>
          <w:sz w:val="21"/>
        </w:rPr>
        <w:t>周岁</w:t>
      </w:r>
      <w:r>
        <w:rPr>
          <w:sz w:val="21"/>
        </w:rPr>
        <w:t>、六十</w:t>
      </w:r>
      <w:r>
        <w:rPr>
          <w:b/>
          <w:sz w:val="21"/>
        </w:rPr>
        <w:t>周岁</w:t>
      </w:r>
      <w:r>
        <w:rPr>
          <w:sz w:val="21"/>
        </w:rPr>
        <w:t>、六十五</w:t>
      </w:r>
      <w:r>
        <w:rPr>
          <w:b/>
          <w:sz w:val="21"/>
        </w:rPr>
        <w:t>周岁</w:t>
      </w:r>
      <w:r>
        <w:rPr>
          <w:sz w:val="21"/>
        </w:rPr>
        <w:t>，或终身</w:t>
      </w:r>
      <w:r>
        <w:rPr>
          <w:spacing w:val="-96"/>
          <w:sz w:val="21"/>
        </w:rPr>
        <w:t>，</w:t>
      </w:r>
      <w:r>
        <w:rPr>
          <w:sz w:val="21"/>
        </w:rPr>
        <w:t>共十二种</w:t>
      </w:r>
      <w:r>
        <w:rPr>
          <w:spacing w:val="-96"/>
          <w:sz w:val="21"/>
        </w:rPr>
        <w:t>，</w:t>
      </w:r>
      <w:r>
        <w:rPr>
          <w:sz w:val="21"/>
        </w:rPr>
        <w:t>自本附加合同生效日次日零时起至本附加合同期满日</w:t>
      </w:r>
      <w:r>
        <w:rPr>
          <w:spacing w:val="-62"/>
          <w:sz w:val="21"/>
        </w:rPr>
        <w:t> </w:t>
      </w:r>
      <w:r>
        <w:rPr>
          <w:sz w:val="21"/>
        </w:rPr>
        <w:t>24</w:t>
      </w:r>
      <w:r>
        <w:rPr>
          <w:spacing w:val="-62"/>
          <w:sz w:val="21"/>
        </w:rPr>
        <w:t> </w:t>
      </w:r>
      <w:r>
        <w:rPr>
          <w:sz w:val="21"/>
        </w:rPr>
        <w:t>时止。您可以与本公司约定其中一种保险期间并在保险单上载明。</w:t>
      </w:r>
    </w:p>
    <w:p>
      <w:pPr>
        <w:pStyle w:val="BodyText"/>
        <w:rPr>
          <w:sz w:val="18"/>
        </w:rPr>
      </w:pPr>
    </w:p>
    <w:p>
      <w:pPr>
        <w:pStyle w:val="ListParagraph"/>
        <w:numPr>
          <w:ilvl w:val="1"/>
          <w:numId w:val="3"/>
        </w:numPr>
        <w:tabs>
          <w:tab w:pos="977" w:val="left" w:leader="none"/>
          <w:tab w:pos="978" w:val="left" w:leader="none"/>
          <w:tab w:pos="2935" w:val="left" w:leader="none"/>
        </w:tabs>
        <w:spacing w:line="240" w:lineRule="auto" w:before="0" w:after="0"/>
        <w:ind w:left="977" w:right="0" w:hanging="756"/>
        <w:jc w:val="left"/>
        <w:rPr>
          <w:sz w:val="21"/>
        </w:rPr>
      </w:pPr>
      <w:r>
        <w:rPr>
          <w:b/>
          <w:sz w:val="21"/>
        </w:rPr>
        <w:t>保险责任</w:t>
        <w:tab/>
      </w:r>
      <w:r>
        <w:rPr>
          <w:sz w:val="21"/>
        </w:rPr>
        <w:t>在本附加合同保险责任有效期间内，本公司承担下列保险责任：</w:t>
      </w:r>
    </w:p>
    <w:p>
      <w:pPr>
        <w:pStyle w:val="BodyText"/>
        <w:spacing w:before="4"/>
        <w:rPr>
          <w:sz w:val="20"/>
        </w:rPr>
      </w:pPr>
    </w:p>
    <w:p>
      <w:pPr>
        <w:pStyle w:val="BodyText"/>
        <w:tabs>
          <w:tab w:pos="2935" w:val="left" w:leader="none"/>
        </w:tabs>
        <w:spacing w:line="273" w:lineRule="auto"/>
        <w:ind w:left="2935" w:right="209" w:hanging="1958"/>
      </w:pPr>
      <w:r>
        <w:rPr>
          <w:b/>
        </w:rPr>
        <w:t>重大疾病保险金</w:t>
        <w:tab/>
      </w:r>
      <w:r>
        <w:rPr/>
        <w:t>如果被保险人在合同生效日或最后复效日（以较迟者为准）180</w:t>
      </w:r>
      <w:r>
        <w:rPr>
          <w:spacing w:val="-86"/>
        </w:rPr>
        <w:t> </w:t>
      </w:r>
      <w:r>
        <w:rPr/>
        <w:t>日以后，经</w:t>
      </w:r>
      <w:r>
        <w:rPr>
          <w:b/>
        </w:rPr>
        <w:t>医院</w:t>
      </w:r>
      <w:r>
        <w:rPr/>
        <w:t>的</w:t>
      </w:r>
      <w:r>
        <w:rPr>
          <w:b/>
        </w:rPr>
        <w:t>专科医生</w:t>
      </w:r>
      <w:r>
        <w:rPr/>
        <w:t>确诊初次患上本附加合同内所界定的</w:t>
      </w:r>
      <w:r>
        <w:rPr>
          <w:b/>
        </w:rPr>
        <w:t>重大疾病</w:t>
      </w:r>
      <w:r>
        <w:rPr/>
        <w:t>中的任何一种疾 病</w:t>
      </w:r>
      <w:r>
        <w:rPr>
          <w:spacing w:val="-29"/>
        </w:rPr>
        <w:t>，</w:t>
      </w:r>
      <w:r>
        <w:rPr/>
        <w:t>并于患病后</w:t>
      </w:r>
      <w:r>
        <w:rPr>
          <w:spacing w:val="-65"/>
        </w:rPr>
        <w:t> </w:t>
      </w:r>
      <w:r>
        <w:rPr/>
        <w:t>30</w:t>
      </w:r>
      <w:r>
        <w:rPr>
          <w:spacing w:val="-64"/>
        </w:rPr>
        <w:t> </w:t>
      </w:r>
      <w:r>
        <w:rPr/>
        <w:t>日仍生存</w:t>
      </w:r>
      <w:r>
        <w:rPr>
          <w:spacing w:val="-29"/>
        </w:rPr>
        <w:t>，</w:t>
      </w:r>
      <w:r>
        <w:rPr/>
        <w:t>本公司按保险金额给付重大疾病保险金</w:t>
      </w:r>
      <w:r>
        <w:rPr>
          <w:spacing w:val="-29"/>
        </w:rPr>
        <w:t>，</w:t>
      </w:r>
      <w:r>
        <w:rPr/>
        <w:t>本附加合同终止。</w:t>
      </w:r>
    </w:p>
    <w:p>
      <w:pPr>
        <w:pStyle w:val="BodyText"/>
        <w:spacing w:before="7"/>
        <w:ind w:left="2935"/>
      </w:pPr>
      <w:r>
        <w:rPr/>
        <w:t>本公司对本附加合同所负的重大疾病保险金给付责任以一次为限。</w:t>
      </w:r>
    </w:p>
    <w:p>
      <w:pPr>
        <w:pStyle w:val="BodyText"/>
        <w:spacing w:before="1"/>
        <w:rPr>
          <w:sz w:val="20"/>
        </w:rPr>
      </w:pPr>
    </w:p>
    <w:p>
      <w:pPr>
        <w:pStyle w:val="ListParagraph"/>
        <w:numPr>
          <w:ilvl w:val="1"/>
          <w:numId w:val="3"/>
        </w:numPr>
        <w:tabs>
          <w:tab w:pos="978" w:val="left" w:leader="none"/>
          <w:tab w:pos="979" w:val="left" w:leader="none"/>
          <w:tab w:pos="2935" w:val="left" w:leader="none"/>
        </w:tabs>
        <w:spacing w:line="273" w:lineRule="auto" w:before="0" w:after="0"/>
        <w:ind w:left="2935" w:right="226" w:hanging="2714"/>
        <w:jc w:val="left"/>
        <w:rPr>
          <w:rFonts w:ascii="黑体" w:eastAsia="黑体" w:hint="eastAsia"/>
          <w:sz w:val="21"/>
        </w:rPr>
      </w:pPr>
      <w:r>
        <w:rPr>
          <w:b/>
          <w:sz w:val="21"/>
        </w:rPr>
        <w:t>责任免除</w:t>
        <w:tab/>
      </w:r>
      <w:r>
        <w:rPr>
          <w:rFonts w:ascii="黑体" w:eastAsia="黑体" w:hint="eastAsia"/>
          <w:sz w:val="21"/>
        </w:rPr>
        <w:t>因下列情形之一，导致被保险人发Th本合同界定的重大疾病的，本公司不承担保险责任：</w:t>
      </w:r>
    </w:p>
    <w:p>
      <w:pPr>
        <w:pStyle w:val="BodyText"/>
        <w:spacing w:before="7"/>
        <w:ind w:left="2935"/>
        <w:rPr>
          <w:rFonts w:ascii="黑体" w:eastAsia="黑体" w:hint="eastAsia"/>
        </w:rPr>
      </w:pPr>
      <w:r>
        <w:rPr>
          <w:rFonts w:ascii="黑体" w:eastAsia="黑体" w:hint="eastAsia"/>
        </w:rPr>
        <w:t>（1）投保人对被保险人的故意杀害、故意伤害；</w:t>
      </w:r>
    </w:p>
    <w:p>
      <w:pPr>
        <w:pStyle w:val="BodyText"/>
        <w:spacing w:before="37"/>
        <w:ind w:left="2935"/>
        <w:rPr>
          <w:rFonts w:ascii="黑体" w:eastAsia="黑体" w:hint="eastAsia"/>
        </w:rPr>
      </w:pPr>
      <w:r>
        <w:rPr>
          <w:rFonts w:ascii="黑体" w:eastAsia="黑体" w:hint="eastAsia"/>
        </w:rPr>
        <w:t>（2）被保险人故意自伤、故意犯罪或者抗拒依法采取的刑事强制措施；</w:t>
      </w:r>
    </w:p>
    <w:p>
      <w:pPr>
        <w:pStyle w:val="BodyText"/>
        <w:spacing w:before="37"/>
        <w:ind w:left="2935"/>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73" w:lineRule="auto" w:before="37"/>
        <w:ind w:left="3439" w:right="208" w:hanging="504"/>
        <w:jc w:val="left"/>
        <w:rPr>
          <w:rFonts w:ascii="黑体" w:eastAsia="黑体" w:hint="eastAsia"/>
          <w:sz w:val="21"/>
        </w:rPr>
      </w:pPr>
      <w:r>
        <w:rPr>
          <w:rFonts w:ascii="黑体" w:eastAsia="黑体" w:hint="eastAsia"/>
          <w:spacing w:val="-12"/>
          <w:sz w:val="21"/>
        </w:rPr>
        <w:t>（4）</w:t>
      </w:r>
      <w:r>
        <w:rPr>
          <w:rFonts w:ascii="黑体" w:eastAsia="黑体" w:hint="eastAsia"/>
          <w:sz w:val="21"/>
        </w:rPr>
        <w:t>被保险人</w:t>
      </w:r>
      <w:r>
        <w:rPr>
          <w:rFonts w:ascii="黑体" w:eastAsia="黑体" w:hint="eastAsia"/>
          <w:b/>
          <w:sz w:val="21"/>
        </w:rPr>
        <w:t>酒后驾驶</w:t>
      </w:r>
      <w:r>
        <w:rPr>
          <w:rFonts w:ascii="黑体" w:eastAsia="黑体" w:hint="eastAsia"/>
          <w:spacing w:val="-34"/>
          <w:sz w:val="21"/>
        </w:rPr>
        <w:t>、</w:t>
      </w:r>
      <w:r>
        <w:rPr>
          <w:rFonts w:ascii="黑体" w:eastAsia="黑体" w:hint="eastAsia"/>
          <w:b/>
          <w:sz w:val="21"/>
        </w:rPr>
        <w:t>无合法有效驾驶证驾驶</w:t>
      </w:r>
      <w:r>
        <w:rPr>
          <w:rFonts w:ascii="黑体" w:eastAsia="黑体" w:hint="eastAsia"/>
          <w:spacing w:val="-9"/>
          <w:sz w:val="21"/>
        </w:rPr>
        <w:t>，或驾驶</w:t>
      </w:r>
      <w:r>
        <w:rPr>
          <w:rFonts w:ascii="黑体" w:eastAsia="黑体" w:hint="eastAsia"/>
          <w:b/>
          <w:sz w:val="21"/>
        </w:rPr>
        <w:t>无有效行驶证</w:t>
      </w:r>
      <w:r>
        <w:rPr>
          <w:rFonts w:ascii="黑体" w:eastAsia="黑体" w:hint="eastAsia"/>
          <w:sz w:val="21"/>
        </w:rPr>
        <w:t>的机动车；</w:t>
      </w:r>
    </w:p>
    <w:p>
      <w:pPr>
        <w:spacing w:before="7"/>
        <w:ind w:left="2935" w:right="0" w:firstLine="0"/>
        <w:jc w:val="left"/>
        <w:rPr>
          <w:rFonts w:ascii="黑体" w:eastAsia="黑体" w:hint="eastAsia"/>
          <w:b/>
          <w:sz w:val="21"/>
        </w:rPr>
      </w:pPr>
      <w:r>
        <w:rPr>
          <w:rFonts w:ascii="黑体" w:eastAsia="黑体" w:hint="eastAsia"/>
          <w:w w:val="95"/>
          <w:sz w:val="21"/>
        </w:rPr>
        <w:t>（5）被保险人</w:t>
      </w:r>
      <w:r>
        <w:rPr>
          <w:rFonts w:ascii="黑体" w:eastAsia="黑体" w:hint="eastAsia"/>
          <w:b/>
          <w:w w:val="95"/>
          <w:sz w:val="21"/>
        </w:rPr>
        <w:t>感染艾滋病病毒或患艾滋病；</w:t>
      </w:r>
    </w:p>
    <w:p>
      <w:pPr>
        <w:pStyle w:val="BodyText"/>
        <w:spacing w:before="36"/>
        <w:ind w:left="2935"/>
        <w:rPr>
          <w:rFonts w:ascii="黑体" w:eastAsia="黑体" w:hint="eastAsia"/>
        </w:rPr>
      </w:pPr>
      <w:r>
        <w:rPr>
          <w:rFonts w:ascii="黑体" w:eastAsia="黑体" w:hint="eastAsia"/>
        </w:rPr>
        <w:t>（6）战争、军事冲突、暴乱或武装叛乱；</w:t>
      </w:r>
    </w:p>
    <w:p>
      <w:pPr>
        <w:spacing w:after="0"/>
        <w:rPr>
          <w:rFonts w:ascii="黑体" w:eastAsia="黑体" w:hint="eastAsia"/>
        </w:rPr>
        <w:sectPr>
          <w:footerReference w:type="default" r:id="rId6"/>
          <w:pgSz w:w="11910" w:h="16840"/>
          <w:pgMar w:footer="460" w:header="0" w:top="1160" w:bottom="660" w:left="800" w:right="800"/>
          <w:pgNumType w:start="2"/>
        </w:sectPr>
      </w:pPr>
    </w:p>
    <w:p>
      <w:pPr>
        <w:pStyle w:val="BodyText"/>
        <w:rPr>
          <w:rFonts w:ascii="黑体"/>
          <w:sz w:val="42"/>
        </w:rPr>
      </w:pPr>
    </w:p>
    <w:p>
      <w:pPr>
        <w:pStyle w:val="BodyText"/>
        <w:spacing w:before="7"/>
        <w:rPr>
          <w:rFonts w:ascii="黑体"/>
          <w:sz w:val="31"/>
        </w:rPr>
      </w:pPr>
    </w:p>
    <w:p>
      <w:pPr>
        <w:tabs>
          <w:tab w:pos="978" w:val="left" w:leader="none"/>
        </w:tabs>
        <w:spacing w:before="0"/>
        <w:ind w:left="221" w:right="0" w:firstLine="0"/>
        <w:jc w:val="left"/>
        <w:rPr>
          <w:b/>
          <w:sz w:val="24"/>
        </w:rPr>
      </w:pPr>
      <w:r>
        <w:rPr>
          <w:rFonts w:ascii="Arial" w:hAnsi="Arial" w:eastAsia="Arial"/>
          <w:b/>
          <w:position w:val="-3"/>
          <w:sz w:val="40"/>
        </w:rPr>
        <w:t></w:t>
        <w:tab/>
      </w:r>
      <w:r>
        <w:rPr>
          <w:b/>
          <w:w w:val="95"/>
          <w:sz w:val="24"/>
        </w:rPr>
        <w:t>保险金的申请</w:t>
      </w:r>
    </w:p>
    <w:p>
      <w:pPr>
        <w:pStyle w:val="BodyText"/>
        <w:spacing w:before="19"/>
        <w:ind w:left="221"/>
        <w:rPr>
          <w:rFonts w:ascii="黑体" w:eastAsia="黑体" w:hint="eastAsia"/>
        </w:rPr>
      </w:pPr>
      <w:r>
        <w:rPr/>
        <w:br w:type="column"/>
      </w:r>
      <w:r>
        <w:rPr>
          <w:rFonts w:ascii="黑体" w:eastAsia="黑体" w:hint="eastAsia"/>
        </w:rPr>
        <w:t>（7）核爆炸、核辐射或核污染；</w:t>
      </w:r>
    </w:p>
    <w:p>
      <w:pPr>
        <w:spacing w:before="18"/>
        <w:ind w:left="221"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spacing w:after="0"/>
        <w:jc w:val="left"/>
        <w:rPr>
          <w:rFonts w:ascii="黑体" w:eastAsia="黑体" w:hint="eastAsia"/>
          <w:sz w:val="21"/>
        </w:rPr>
        <w:sectPr>
          <w:pgSz w:w="11910" w:h="16840"/>
          <w:pgMar w:header="0" w:footer="460" w:top="1100" w:bottom="660" w:left="800" w:right="800"/>
          <w:cols w:num="2" w:equalWidth="0">
            <w:col w:w="2422" w:space="292"/>
            <w:col w:w="7596"/>
          </w:cols>
        </w:sectPr>
      </w:pPr>
    </w:p>
    <w:p>
      <w:pPr>
        <w:pStyle w:val="BodyText"/>
        <w:spacing w:before="9" w:after="1"/>
        <w:rPr>
          <w:rFonts w:ascii="黑体"/>
          <w:sz w:val="7"/>
        </w:rPr>
      </w:pPr>
    </w:p>
    <w:p>
      <w:pPr>
        <w:pStyle w:val="BodyText"/>
        <w:spacing w:line="20" w:lineRule="exact"/>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2734,10" stroked="true" strokeweight=".95996pt" strokecolor="#000000">
              <v:stroke dashstyle="solid"/>
            </v:line>
            <v:line style="position:absolute" from="2734,10" to="10090,10" stroked="true" strokeweight=".96pt" strokecolor="#000000">
              <v:stroke dashstyle="solid"/>
            </v:line>
          </v:group>
        </w:pict>
      </w:r>
      <w:r>
        <w:rPr>
          <w:rFonts w:ascii="黑体"/>
          <w:spacing w:val="6"/>
          <w:sz w:val="2"/>
        </w:rPr>
      </w:r>
    </w:p>
    <w:p>
      <w:pPr>
        <w:pStyle w:val="BodyText"/>
        <w:rPr>
          <w:rFonts w:ascii="黑体"/>
          <w:sz w:val="12"/>
        </w:rPr>
      </w:pPr>
    </w:p>
    <w:p>
      <w:pPr>
        <w:pStyle w:val="ListParagraph"/>
        <w:numPr>
          <w:ilvl w:val="1"/>
          <w:numId w:val="4"/>
        </w:numPr>
        <w:tabs>
          <w:tab w:pos="978" w:val="left" w:leader="none"/>
          <w:tab w:pos="979" w:val="left" w:leader="none"/>
          <w:tab w:pos="2935" w:val="left" w:leader="none"/>
        </w:tabs>
        <w:spacing w:line="240" w:lineRule="auto" w:before="35" w:after="0"/>
        <w:ind w:left="2935" w:right="0" w:hanging="2714"/>
        <w:jc w:val="left"/>
        <w:rPr>
          <w:sz w:val="21"/>
        </w:rPr>
      </w:pPr>
      <w:r>
        <w:rPr>
          <w:b/>
          <w:sz w:val="21"/>
        </w:rPr>
        <w:t>受益人</w:t>
        <w:tab/>
      </w:r>
      <w:r>
        <w:rPr>
          <w:sz w:val="21"/>
        </w:rPr>
        <w:t>您或者被保险人可以指定一人或多人为保险金受益人。</w:t>
      </w:r>
    </w:p>
    <w:p>
      <w:pPr>
        <w:pStyle w:val="BodyText"/>
        <w:spacing w:line="273" w:lineRule="auto" w:before="37"/>
        <w:ind w:left="2935" w:right="103"/>
      </w:pPr>
      <w:r>
        <w:rPr>
          <w:spacing w:val="-6"/>
        </w:rPr>
        <w:t>保险金受益人为多人时，可以确定受益人顺序和受益份额；如果没有确定份额， 各受益人按照相等份额享有受益权。</w:t>
      </w:r>
    </w:p>
    <w:p>
      <w:pPr>
        <w:pStyle w:val="BodyText"/>
        <w:spacing w:line="273" w:lineRule="auto" w:before="8"/>
        <w:ind w:left="2935" w:right="226"/>
      </w:pPr>
      <w:r>
        <w:rPr/>
        <w:t>被保险人为无民事行为能力人或限制民事行为能力人的，可以由其监护人指定受益人。</w:t>
      </w:r>
    </w:p>
    <w:p>
      <w:pPr>
        <w:pStyle w:val="BodyText"/>
        <w:spacing w:line="273" w:lineRule="auto" w:before="8"/>
        <w:ind w:left="2935" w:right="226"/>
      </w:pPr>
      <w:r>
        <w:rPr/>
        <w:t>您或者被保险人可以变更保险金受益人并书面通知本公司。本公司收到变更受益人的书面通知后，在保险单或其他保险凭证上批注或附贴批单。</w:t>
      </w:r>
    </w:p>
    <w:p>
      <w:pPr>
        <w:pStyle w:val="BodyText"/>
        <w:spacing w:before="8"/>
        <w:ind w:left="2935"/>
      </w:pPr>
      <w:r>
        <w:rPr/>
        <w:t>除本合同另有约定外，如果有下列情形之一的，受益人为被保险人：</w:t>
      </w:r>
    </w:p>
    <w:p>
      <w:pPr>
        <w:pStyle w:val="BodyText"/>
        <w:spacing w:before="37"/>
        <w:ind w:left="2935"/>
      </w:pPr>
      <w:r>
        <w:rPr/>
        <w:t>（1）没有指定受益人，或者受益人指定不明无法确定的；</w:t>
      </w:r>
    </w:p>
    <w:p>
      <w:pPr>
        <w:pStyle w:val="BodyText"/>
        <w:spacing w:before="37"/>
        <w:ind w:left="2951"/>
      </w:pPr>
      <w:r>
        <w:rPr/>
        <w:t>（2）受益人先于被保险人身故，没有其他受益人的；</w:t>
      </w:r>
    </w:p>
    <w:p>
      <w:pPr>
        <w:pStyle w:val="BodyText"/>
        <w:spacing w:before="37"/>
        <w:ind w:left="2935"/>
      </w:pPr>
      <w:r>
        <w:rPr/>
        <w:t>（3）受益人依法丧失受益权或者放弃受益权，没有其他受益人的。</w:t>
      </w:r>
    </w:p>
    <w:p>
      <w:pPr>
        <w:pStyle w:val="BodyText"/>
        <w:spacing w:line="273" w:lineRule="auto" w:before="37"/>
        <w:ind w:left="2935" w:right="103"/>
      </w:pPr>
      <w:r>
        <w:rPr>
          <w:spacing w:val="-7"/>
        </w:rPr>
        <w:t>受益人故意造成被保险人身故、伤残、疾病的，或者故意杀害被保险人未遂的， 该受益人丧失受益权。</w:t>
      </w:r>
    </w:p>
    <w:p>
      <w:pPr>
        <w:pStyle w:val="BodyText"/>
        <w:spacing w:before="12"/>
        <w:rPr>
          <w:sz w:val="17"/>
        </w:rPr>
      </w:pPr>
    </w:p>
    <w:p>
      <w:pPr>
        <w:pStyle w:val="ListParagraph"/>
        <w:numPr>
          <w:ilvl w:val="1"/>
          <w:numId w:val="4"/>
        </w:numPr>
        <w:tabs>
          <w:tab w:pos="978" w:val="left" w:leader="none"/>
          <w:tab w:pos="979" w:val="left" w:leader="none"/>
          <w:tab w:pos="2935" w:val="left" w:leader="none"/>
        </w:tabs>
        <w:spacing w:line="273" w:lineRule="auto" w:before="0" w:after="0"/>
        <w:ind w:left="2935" w:right="226" w:hanging="2714"/>
        <w:jc w:val="left"/>
        <w:rPr>
          <w:sz w:val="21"/>
        </w:rPr>
      </w:pPr>
      <w:r>
        <w:rPr>
          <w:b/>
          <w:sz w:val="21"/>
        </w:rPr>
        <w:t>保险金申请</w:t>
        <w:tab/>
      </w:r>
      <w:r>
        <w:rPr>
          <w:sz w:val="21"/>
        </w:rPr>
        <w:t>在申请保险金时，重大疾病保险金受益人作为申请人填写保险金给付申请书，并须提供下列证明和资料：</w:t>
      </w:r>
    </w:p>
    <w:p>
      <w:pPr>
        <w:pStyle w:val="BodyText"/>
        <w:spacing w:before="7"/>
        <w:ind w:left="2935"/>
      </w:pPr>
      <w:r>
        <w:rPr/>
        <w:t>（1）保险合同；</w:t>
      </w:r>
    </w:p>
    <w:p>
      <w:pPr>
        <w:spacing w:before="36"/>
        <w:ind w:left="2935" w:right="0" w:firstLine="0"/>
        <w:jc w:val="left"/>
        <w:rPr>
          <w:sz w:val="21"/>
        </w:rPr>
      </w:pPr>
      <w:r>
        <w:rPr>
          <w:w w:val="95"/>
          <w:sz w:val="21"/>
        </w:rPr>
        <w:t>（2）受益人的</w:t>
      </w:r>
      <w:r>
        <w:rPr>
          <w:b/>
          <w:w w:val="95"/>
          <w:sz w:val="21"/>
        </w:rPr>
        <w:t>法定身份证明</w:t>
      </w:r>
      <w:r>
        <w:rPr>
          <w:w w:val="95"/>
          <w:sz w:val="21"/>
        </w:rPr>
        <w:t>；</w:t>
      </w:r>
    </w:p>
    <w:p>
      <w:pPr>
        <w:pStyle w:val="BodyText"/>
        <w:spacing w:line="273" w:lineRule="auto" w:before="36"/>
        <w:ind w:left="3454" w:right="313" w:hanging="503"/>
      </w:pPr>
      <w:r>
        <w:rPr/>
        <w:t>（3）本公司认可</w:t>
      </w:r>
      <w:r>
        <w:rPr>
          <w:b/>
        </w:rPr>
        <w:t>医院</w:t>
      </w:r>
      <w:r>
        <w:rPr/>
        <w:t>的</w:t>
      </w:r>
      <w:r>
        <w:rPr>
          <w:b/>
        </w:rPr>
        <w:t>专科医生</w:t>
      </w:r>
      <w:r>
        <w:rPr/>
        <w:t>出具的附有被保险人病历、病理、血液及其他科学方法检验报告的诊断证明文件；</w:t>
      </w:r>
    </w:p>
    <w:p>
      <w:pPr>
        <w:pStyle w:val="BodyText"/>
        <w:spacing w:before="7"/>
        <w:ind w:left="2935"/>
      </w:pPr>
      <w:r>
        <w:rPr/>
        <w:t>（4）所能提供的与确认保险事故的性质、原因等有关的其他证明和资料。</w:t>
      </w:r>
    </w:p>
    <w:p>
      <w:pPr>
        <w:pStyle w:val="BodyText"/>
        <w:spacing w:line="273" w:lineRule="auto" w:before="37"/>
        <w:ind w:left="2935" w:right="226"/>
      </w:pPr>
      <w:r>
        <w:rPr/>
        <w:t>以上证明和资料不完整的，本公司将及时一次性通知申请人补充提供有关的证明和资料。</w:t>
      </w:r>
    </w:p>
    <w:p>
      <w:pPr>
        <w:pStyle w:val="BodyText"/>
        <w:spacing w:before="12"/>
        <w:rPr>
          <w:sz w:val="17"/>
        </w:rPr>
      </w:pPr>
    </w:p>
    <w:p>
      <w:pPr>
        <w:pStyle w:val="ListParagraph"/>
        <w:numPr>
          <w:ilvl w:val="1"/>
          <w:numId w:val="4"/>
        </w:numPr>
        <w:tabs>
          <w:tab w:pos="977" w:val="left" w:leader="none"/>
          <w:tab w:pos="978" w:val="left" w:leader="none"/>
          <w:tab w:pos="2935" w:val="left" w:leader="none"/>
        </w:tabs>
        <w:spacing w:line="273" w:lineRule="auto" w:before="0" w:after="0"/>
        <w:ind w:left="2935" w:right="226" w:hanging="2714"/>
        <w:jc w:val="left"/>
        <w:rPr>
          <w:sz w:val="21"/>
        </w:rPr>
      </w:pPr>
      <w:r>
        <w:rPr>
          <w:b/>
          <w:sz w:val="21"/>
        </w:rPr>
        <w:t>诉讼时效</w:t>
        <w:tab/>
      </w:r>
      <w:r>
        <w:rPr>
          <w:sz w:val="21"/>
        </w:rPr>
        <w:t>受益人向本公司请求给付保险金的诉讼时效期间为</w:t>
      </w:r>
      <w:r>
        <w:rPr>
          <w:spacing w:val="-54"/>
          <w:sz w:val="21"/>
        </w:rPr>
        <w:t> </w:t>
      </w:r>
      <w:r>
        <w:rPr>
          <w:sz w:val="21"/>
        </w:rPr>
        <w:t>2</w:t>
      </w:r>
      <w:r>
        <w:rPr>
          <w:spacing w:val="-53"/>
          <w:sz w:val="21"/>
        </w:rPr>
        <w:t> </w:t>
      </w:r>
      <w:r>
        <w:rPr>
          <w:sz w:val="21"/>
        </w:rPr>
        <w:t>年，自其知道或者应当知道保险事故发生之日起计算。</w:t>
      </w:r>
    </w:p>
    <w:p>
      <w:pPr>
        <w:pStyle w:val="BodyText"/>
        <w:spacing w:before="10"/>
        <w:rPr>
          <w:sz w:val="18"/>
        </w:rPr>
      </w:pPr>
    </w:p>
    <w:p>
      <w:pPr>
        <w:tabs>
          <w:tab w:pos="978" w:val="left" w:leader="none"/>
        </w:tabs>
        <w:spacing w:before="98"/>
        <w:ind w:left="221" w:right="0" w:firstLine="0"/>
        <w:jc w:val="left"/>
        <w:rPr>
          <w:b/>
          <w:sz w:val="24"/>
        </w:rPr>
      </w:pPr>
      <w:r>
        <w:rPr/>
        <w:pict>
          <v:group style="position:absolute;margin-left:45.66pt;margin-top:31.718931pt;width:504.5pt;height:1pt;mso-position-horizontal-relative:page;mso-position-vertical-relative:paragraph;z-index:1168;mso-wrap-distance-left:0;mso-wrap-distance-right:0" coordorigin="913,634" coordsize="10090,20">
            <v:line style="position:absolute" from="913,644" to="3647,644" stroked="true" strokeweight=".95996pt" strokecolor="#000000">
              <v:stroke dashstyle="solid"/>
            </v:line>
            <v:line style="position:absolute" from="3647,644" to="11003,644" stroked="true" strokeweight=".96pt" strokecolor="#000000">
              <v:stroke dashstyle="solid"/>
            </v:line>
            <w10:wrap type="topAndBottom"/>
          </v:group>
        </w:pict>
      </w:r>
      <w:r>
        <w:rPr>
          <w:rFonts w:ascii="Wingdings" w:hAnsi="Wingdings" w:eastAsia="Wingdings"/>
          <w:position w:val="-4"/>
          <w:sz w:val="40"/>
        </w:rPr>
        <w:t></w:t>
      </w:r>
      <w:r>
        <w:rPr>
          <w:rFonts w:ascii="Times New Roman" w:hAnsi="Times New Roman" w:eastAsia="Times New Roman"/>
          <w:position w:val="-4"/>
          <w:sz w:val="40"/>
        </w:rPr>
        <w:tab/>
      </w:r>
      <w:r>
        <w:rPr>
          <w:b/>
          <w:w w:val="95"/>
          <w:sz w:val="24"/>
        </w:rPr>
        <w:t>保险费的交纳</w:t>
      </w:r>
    </w:p>
    <w:p>
      <w:pPr>
        <w:pStyle w:val="BodyText"/>
        <w:spacing w:before="10"/>
        <w:rPr>
          <w:b/>
          <w:sz w:val="9"/>
        </w:rPr>
      </w:pPr>
    </w:p>
    <w:p>
      <w:pPr>
        <w:pStyle w:val="ListParagraph"/>
        <w:numPr>
          <w:ilvl w:val="1"/>
          <w:numId w:val="5"/>
        </w:numPr>
        <w:tabs>
          <w:tab w:pos="978" w:val="left" w:leader="none"/>
          <w:tab w:pos="979" w:val="left" w:leader="none"/>
          <w:tab w:pos="2935" w:val="left" w:leader="none"/>
        </w:tabs>
        <w:spacing w:line="273" w:lineRule="auto" w:before="35" w:after="0"/>
        <w:ind w:left="2935" w:right="436" w:hanging="2714"/>
        <w:jc w:val="left"/>
        <w:rPr>
          <w:sz w:val="21"/>
        </w:rPr>
      </w:pPr>
      <w:r>
        <w:rPr>
          <w:b/>
          <w:sz w:val="21"/>
        </w:rPr>
        <w:t>保险费的交纳</w:t>
        <w:tab/>
      </w:r>
      <w:r>
        <w:rPr>
          <w:sz w:val="21"/>
        </w:rPr>
        <w:t>本附加合同的交费方式和交费期间由您和本公司约定并载明于保险单或批注上。</w:t>
      </w:r>
    </w:p>
    <w:p>
      <w:pPr>
        <w:pStyle w:val="BodyText"/>
        <w:spacing w:line="273" w:lineRule="auto" w:before="7"/>
        <w:ind w:left="2935" w:right="222"/>
      </w:pPr>
      <w:r>
        <w:rPr/>
        <w:t>分期支付保险费的，在交纳首期保险费后，您应当按照约定，在每个</w:t>
      </w:r>
      <w:r>
        <w:rPr>
          <w:b/>
        </w:rPr>
        <w:t>保险费约</w:t>
      </w:r>
      <w:r>
        <w:rPr>
          <w:b/>
          <w:w w:val="95"/>
        </w:rPr>
        <w:t>定交纳日</w:t>
      </w:r>
      <w:r>
        <w:rPr>
          <w:w w:val="95"/>
        </w:rPr>
        <w:t>交纳其余各期的保险费。</w:t>
      </w:r>
    </w:p>
    <w:p>
      <w:pPr>
        <w:pStyle w:val="BodyText"/>
        <w:spacing w:before="11"/>
        <w:rPr>
          <w:sz w:val="17"/>
        </w:rPr>
      </w:pPr>
    </w:p>
    <w:p>
      <w:pPr>
        <w:pStyle w:val="ListParagraph"/>
        <w:numPr>
          <w:ilvl w:val="1"/>
          <w:numId w:val="5"/>
        </w:numPr>
        <w:tabs>
          <w:tab w:pos="979" w:val="left" w:leader="none"/>
          <w:tab w:pos="2935" w:val="left" w:leader="none"/>
        </w:tabs>
        <w:spacing w:line="273" w:lineRule="auto" w:before="1" w:after="0"/>
        <w:ind w:left="2935" w:right="209" w:hanging="2714"/>
        <w:jc w:val="both"/>
        <w:rPr>
          <w:sz w:val="21"/>
        </w:rPr>
      </w:pPr>
      <w:r>
        <w:rPr>
          <w:b/>
          <w:sz w:val="21"/>
        </w:rPr>
        <w:t>宽限期</w:t>
        <w:tab/>
      </w:r>
      <w:r>
        <w:rPr>
          <w:sz w:val="21"/>
        </w:rPr>
        <w:t>分期支付保险费的，您交纳首期保险费后，除本附加合同另有约定外，如果您到期未交纳保险费</w:t>
      </w:r>
      <w:r>
        <w:rPr>
          <w:spacing w:val="-93"/>
          <w:sz w:val="21"/>
        </w:rPr>
        <w:t>，</w:t>
      </w:r>
      <w:r>
        <w:rPr>
          <w:sz w:val="21"/>
        </w:rPr>
        <w:t>自您首次欠费的</w:t>
      </w:r>
      <w:r>
        <w:rPr>
          <w:b/>
          <w:sz w:val="21"/>
        </w:rPr>
        <w:t>保险费约定交纳日</w:t>
      </w:r>
      <w:r>
        <w:rPr>
          <w:sz w:val="21"/>
        </w:rPr>
        <w:t>的次日零时起</w:t>
      </w:r>
      <w:r>
        <w:rPr>
          <w:spacing w:val="-58"/>
          <w:sz w:val="21"/>
        </w:rPr>
        <w:t> </w:t>
      </w:r>
      <w:r>
        <w:rPr>
          <w:sz w:val="21"/>
        </w:rPr>
        <w:t>60</w:t>
      </w:r>
      <w:r>
        <w:rPr>
          <w:spacing w:val="-58"/>
          <w:sz w:val="21"/>
        </w:rPr>
        <w:t> </w:t>
      </w:r>
      <w:r>
        <w:rPr>
          <w:sz w:val="21"/>
        </w:rPr>
        <w:t>日为宽限期。宽限期内发生的保险事故，本公司仍会承担保险责任，但在给付保险金时会扣减您欠交的保险费。</w:t>
      </w:r>
    </w:p>
    <w:p>
      <w:pPr>
        <w:pStyle w:val="BodyText"/>
        <w:spacing w:line="273" w:lineRule="auto" w:before="8"/>
        <w:ind w:left="2935" w:right="226"/>
      </w:pPr>
      <w:r>
        <w:rPr/>
        <w:t>如果您宽限期结束之后仍未交纳保险费，则本附加合同自宽限期满的次日零时起效力中止。</w:t>
      </w:r>
    </w:p>
    <w:p>
      <w:pPr>
        <w:spacing w:after="0" w:line="273" w:lineRule="auto"/>
        <w:sectPr>
          <w:type w:val="continuous"/>
          <w:pgSz w:w="11910" w:h="16840"/>
          <w:pgMar w:top="520" w:bottom="280" w:left="800" w:right="800"/>
        </w:sectPr>
      </w:pPr>
    </w:p>
    <w:p>
      <w:pPr>
        <w:pStyle w:val="ListParagraph"/>
        <w:numPr>
          <w:ilvl w:val="1"/>
          <w:numId w:val="5"/>
        </w:numPr>
        <w:tabs>
          <w:tab w:pos="979" w:val="left" w:leader="none"/>
        </w:tabs>
        <w:spacing w:line="273" w:lineRule="auto" w:before="19" w:after="0"/>
        <w:ind w:left="2935" w:right="226" w:hanging="2714"/>
        <w:jc w:val="both"/>
        <w:rPr>
          <w:sz w:val="21"/>
        </w:rPr>
      </w:pPr>
      <w:r>
        <w:rPr>
          <w:b/>
          <w:spacing w:val="3"/>
          <w:sz w:val="21"/>
        </w:rPr>
        <w:t>保险费率调整     </w:t>
      </w:r>
      <w:r>
        <w:rPr>
          <w:sz w:val="21"/>
        </w:rPr>
        <w:t>本公司保留提高或降低保险费率的权利，但须报送国务院保险监督管理机构备案。保险费率的调整适用于相同产品项下的所有被保险人或同一投保年龄和性别的所有被保险人。</w:t>
      </w:r>
    </w:p>
    <w:p>
      <w:pPr>
        <w:pStyle w:val="BodyText"/>
        <w:spacing w:line="273" w:lineRule="auto" w:before="7"/>
        <w:ind w:left="2935" w:right="226"/>
      </w:pPr>
      <w:r>
        <w:rPr/>
        <w:t>本公司调整保险费率后，您须按调整后的保险费率交纳续期保险费，调整前您已经交纳的保险费不受影响。</w:t>
      </w:r>
    </w:p>
    <w:p>
      <w:pPr>
        <w:pStyle w:val="BodyText"/>
        <w:spacing w:before="1"/>
        <w:rPr>
          <w:sz w:val="19"/>
        </w:rPr>
      </w:pPr>
    </w:p>
    <w:p>
      <w:pPr>
        <w:tabs>
          <w:tab w:pos="978" w:val="left" w:leader="none"/>
        </w:tabs>
        <w:spacing w:before="61"/>
        <w:ind w:left="221" w:right="0" w:firstLine="0"/>
        <w:jc w:val="left"/>
        <w:rPr>
          <w:b/>
          <w:sz w:val="24"/>
        </w:rPr>
      </w:pPr>
      <w:r>
        <w:rPr/>
        <w:pict>
          <v:group style="position:absolute;margin-left:45.66pt;margin-top:31.150026pt;width:504.5pt;height:1pt;mso-position-horizontal-relative:page;mso-position-vertical-relative:paragraph;z-index:1192;mso-wrap-distance-left:0;mso-wrap-distance-right:0" coordorigin="913,623" coordsize="10090,20">
            <v:line style="position:absolute" from="913,633" to="3647,633" stroked="true" strokeweight=".96002pt" strokecolor="#000000">
              <v:stroke dashstyle="solid"/>
            </v:line>
            <v:line style="position:absolute" from="3647,633" to="11003,633" stroked="true" strokeweight=".96pt" strokecolor="#000000">
              <v:stroke dashstyle="solid"/>
            </v:line>
            <w10:wrap type="topAndBottom"/>
          </v:group>
        </w:pict>
      </w:r>
      <w:r>
        <w:rPr>
          <w:rFonts w:ascii="Arial" w:hAnsi="Arial" w:eastAsia="Arial"/>
          <w:b/>
          <w:position w:val="-3"/>
          <w:sz w:val="40"/>
        </w:rPr>
        <w:t></w:t>
        <w:tab/>
      </w:r>
      <w:r>
        <w:rPr>
          <w:b/>
          <w:w w:val="95"/>
          <w:sz w:val="24"/>
        </w:rPr>
        <w:t>现金价值权益</w:t>
      </w:r>
    </w:p>
    <w:p>
      <w:pPr>
        <w:pStyle w:val="BodyText"/>
        <w:spacing w:before="10"/>
        <w:rPr>
          <w:b/>
          <w:sz w:val="9"/>
        </w:rPr>
      </w:pPr>
    </w:p>
    <w:p>
      <w:pPr>
        <w:tabs>
          <w:tab w:pos="977" w:val="left" w:leader="none"/>
          <w:tab w:pos="2935" w:val="left" w:leader="none"/>
        </w:tabs>
        <w:spacing w:before="35"/>
        <w:ind w:left="221" w:right="0" w:firstLine="0"/>
        <w:jc w:val="left"/>
        <w:rPr>
          <w:sz w:val="21"/>
        </w:rPr>
      </w:pPr>
      <w:r>
        <w:rPr>
          <w:b/>
          <w:sz w:val="21"/>
        </w:rPr>
        <w:t>5.1</w:t>
        <w:tab/>
        <w:t>现金价值</w:t>
        <w:tab/>
      </w:r>
      <w:r>
        <w:rPr>
          <w:sz w:val="21"/>
        </w:rPr>
        <w:t>本附加合同的现金价值为零。</w:t>
      </w:r>
    </w:p>
    <w:p>
      <w:pPr>
        <w:pStyle w:val="BodyText"/>
        <w:rPr>
          <w:sz w:val="26"/>
        </w:rPr>
      </w:pPr>
    </w:p>
    <w:p>
      <w:pPr>
        <w:pStyle w:val="Heading2"/>
        <w:tabs>
          <w:tab w:pos="978" w:val="left" w:leader="none"/>
        </w:tabs>
      </w:pPr>
      <w:r>
        <w:rPr/>
        <w:pict>
          <v:group style="position:absolute;margin-left:45.66pt;margin-top:28.100046pt;width:504.5pt;height:1pt;mso-position-horizontal-relative:page;mso-position-vertical-relative:paragraph;z-index:1216;mso-wrap-distance-left:0;mso-wrap-distance-right:0" coordorigin="913,562" coordsize="10090,20">
            <v:line style="position:absolute" from="913,572" to="3647,572" stroked="true" strokeweight=".96002pt" strokecolor="#000000">
              <v:stroke dashstyle="solid"/>
            </v:line>
            <v:line style="position:absolute" from="3647,572" to="11003,572" stroked="true" strokeweight=".96pt" strokecolor="#000000">
              <v:stroke dashstyle="solid"/>
            </v:line>
            <w10:wrap type="topAndBottom"/>
          </v:group>
        </w:pict>
      </w:r>
      <w:r>
        <w:rPr>
          <w:rFonts w:ascii="Arial" w:hAnsi="Arial" w:eastAsia="Arial"/>
          <w:position w:val="-3"/>
          <w:sz w:val="40"/>
        </w:rPr>
        <w:t></w:t>
        <w:tab/>
      </w:r>
      <w:r>
        <w:rPr>
          <w:w w:val="95"/>
        </w:rPr>
        <w:t>合同效力的中止及恢复</w:t>
      </w:r>
    </w:p>
    <w:p>
      <w:pPr>
        <w:pStyle w:val="BodyText"/>
        <w:spacing w:before="11"/>
        <w:rPr>
          <w:b/>
          <w:sz w:val="9"/>
        </w:rPr>
      </w:pPr>
    </w:p>
    <w:p>
      <w:pPr>
        <w:pStyle w:val="ListParagraph"/>
        <w:numPr>
          <w:ilvl w:val="1"/>
          <w:numId w:val="6"/>
        </w:numPr>
        <w:tabs>
          <w:tab w:pos="977" w:val="left" w:leader="none"/>
          <w:tab w:pos="978" w:val="left" w:leader="none"/>
          <w:tab w:pos="2935" w:val="left" w:leader="none"/>
        </w:tabs>
        <w:spacing w:line="273" w:lineRule="auto" w:before="35" w:after="0"/>
        <w:ind w:left="2935" w:right="436" w:hanging="2714"/>
        <w:jc w:val="left"/>
        <w:rPr>
          <w:sz w:val="21"/>
        </w:rPr>
      </w:pPr>
      <w:r>
        <w:rPr>
          <w:b/>
          <w:sz w:val="21"/>
        </w:rPr>
        <w:t>效力中止</w:t>
        <w:tab/>
      </w:r>
      <w:r>
        <w:rPr>
          <w:sz w:val="21"/>
        </w:rPr>
        <w:t>除主合同或本附加合同另有约定外，本附加合同效力的中止与主合同一致。在本附加合同效力中止期间，本公司不承担保险责任。</w:t>
      </w:r>
    </w:p>
    <w:p>
      <w:pPr>
        <w:pStyle w:val="BodyText"/>
        <w:spacing w:before="12"/>
        <w:rPr>
          <w:sz w:val="17"/>
        </w:rPr>
      </w:pPr>
    </w:p>
    <w:p>
      <w:pPr>
        <w:pStyle w:val="ListParagraph"/>
        <w:numPr>
          <w:ilvl w:val="1"/>
          <w:numId w:val="6"/>
        </w:numPr>
        <w:tabs>
          <w:tab w:pos="978" w:val="left" w:leader="none"/>
          <w:tab w:pos="2935" w:val="left" w:leader="none"/>
        </w:tabs>
        <w:spacing w:line="273" w:lineRule="auto" w:before="0" w:after="0"/>
        <w:ind w:left="2935" w:right="224" w:hanging="2714"/>
        <w:jc w:val="both"/>
        <w:rPr>
          <w:sz w:val="21"/>
        </w:rPr>
      </w:pPr>
      <w:r>
        <w:rPr>
          <w:b/>
          <w:sz w:val="21"/>
        </w:rPr>
        <w:t>效力恢复</w:t>
        <w:tab/>
      </w:r>
      <w:r>
        <w:rPr>
          <w:sz w:val="21"/>
        </w:rPr>
        <w:t>本附加合同效力中止后</w:t>
      </w:r>
      <w:r>
        <w:rPr>
          <w:spacing w:val="-54"/>
          <w:sz w:val="21"/>
        </w:rPr>
        <w:t> </w:t>
      </w:r>
      <w:r>
        <w:rPr>
          <w:sz w:val="21"/>
        </w:rPr>
        <w:t>2</w:t>
      </w:r>
      <w:r>
        <w:rPr>
          <w:spacing w:val="-53"/>
          <w:sz w:val="21"/>
        </w:rPr>
        <w:t> </w:t>
      </w:r>
      <w:r>
        <w:rPr>
          <w:sz w:val="21"/>
        </w:rPr>
        <w:t>年内，您在申请主合同效力恢复的同时可以申请恢复本附加合同效力。经您与本公司协商并达成协议，在您补交保险费及</w:t>
      </w:r>
      <w:r>
        <w:rPr>
          <w:b/>
          <w:sz w:val="21"/>
        </w:rPr>
        <w:t>利息</w:t>
      </w:r>
      <w:r>
        <w:rPr>
          <w:sz w:val="21"/>
        </w:rPr>
        <w:t>、清</w:t>
      </w:r>
      <w:r>
        <w:rPr>
          <w:w w:val="95"/>
          <w:sz w:val="21"/>
        </w:rPr>
        <w:t>偿其他各项欠款及</w:t>
      </w:r>
      <w:r>
        <w:rPr>
          <w:b/>
          <w:w w:val="95"/>
          <w:sz w:val="21"/>
        </w:rPr>
        <w:t>利息</w:t>
      </w:r>
      <w:r>
        <w:rPr>
          <w:w w:val="95"/>
          <w:sz w:val="21"/>
        </w:rPr>
        <w:t>后次日的零时起，合同效力恢复。</w:t>
      </w:r>
    </w:p>
    <w:p>
      <w:pPr>
        <w:pStyle w:val="BodyText"/>
        <w:spacing w:line="273" w:lineRule="auto" w:before="7"/>
        <w:ind w:left="2935" w:right="226"/>
      </w:pPr>
      <w:r>
        <w:rPr>
          <w:spacing w:val="-4"/>
        </w:rPr>
        <w:t>自本附加合同效力中止之日起满 </w:t>
      </w:r>
      <w:r>
        <w:rPr/>
        <w:t>2</w:t>
      </w:r>
      <w:r>
        <w:rPr>
          <w:spacing w:val="-8"/>
        </w:rPr>
        <w:t> 年您和本公司未达成协议的，本公司有权解除合同。本公司解除合同的，按照合同解除条款处理。</w:t>
      </w:r>
    </w:p>
    <w:p>
      <w:pPr>
        <w:pStyle w:val="BodyText"/>
        <w:spacing w:before="2"/>
        <w:rPr>
          <w:sz w:val="19"/>
        </w:rPr>
      </w:pPr>
    </w:p>
    <w:p>
      <w:pPr>
        <w:tabs>
          <w:tab w:pos="978" w:val="left" w:leader="none"/>
        </w:tabs>
        <w:spacing w:before="62"/>
        <w:ind w:left="221" w:right="0" w:firstLine="0"/>
        <w:jc w:val="left"/>
        <w:rPr>
          <w:b/>
          <w:sz w:val="24"/>
        </w:rPr>
      </w:pPr>
      <w:r>
        <w:rPr/>
        <w:pict>
          <v:group style="position:absolute;margin-left:45.66pt;margin-top:31.20006pt;width:504.5pt;height:1pt;mso-position-horizontal-relative:page;mso-position-vertical-relative:paragraph;z-index:1240;mso-wrap-distance-left:0;mso-wrap-distance-right:0" coordorigin="913,624" coordsize="10090,20">
            <v:line style="position:absolute" from="913,634" to="3647,634" stroked="true" strokeweight=".95999pt" strokecolor="#000000">
              <v:stroke dashstyle="solid"/>
            </v:line>
            <v:line style="position:absolute" from="3647,634" to="11003,634" stroked="true" strokeweight=".96pt" strokecolor="#000000">
              <v:stroke dashstyle="solid"/>
            </v:line>
            <w10:wrap type="topAndBottom"/>
          </v:group>
        </w:pict>
      </w:r>
      <w:r>
        <w:rPr>
          <w:rFonts w:ascii="Arial" w:hAnsi="Arial" w:eastAsia="Arial"/>
          <w:b/>
          <w:w w:val="105"/>
          <w:position w:val="-3"/>
          <w:sz w:val="40"/>
        </w:rPr>
        <w:t></w:t>
        <w:tab/>
      </w:r>
      <w:r>
        <w:rPr>
          <w:b/>
          <w:w w:val="95"/>
          <w:sz w:val="24"/>
        </w:rPr>
        <w:t>合同解除</w:t>
      </w:r>
    </w:p>
    <w:p>
      <w:pPr>
        <w:pStyle w:val="BodyText"/>
        <w:spacing w:before="10"/>
        <w:rPr>
          <w:b/>
          <w:sz w:val="9"/>
        </w:rPr>
      </w:pPr>
    </w:p>
    <w:p>
      <w:pPr>
        <w:spacing w:after="0"/>
        <w:rPr>
          <w:sz w:val="9"/>
        </w:rPr>
        <w:sectPr>
          <w:pgSz w:w="11910" w:h="16840"/>
          <w:pgMar w:header="0" w:footer="460" w:top="1100" w:bottom="660" w:left="800" w:right="800"/>
        </w:sectPr>
      </w:pPr>
    </w:p>
    <w:p>
      <w:pPr>
        <w:pStyle w:val="Heading3"/>
        <w:tabs>
          <w:tab w:pos="978" w:val="left" w:leader="none"/>
        </w:tabs>
        <w:ind w:left="221"/>
      </w:pPr>
      <w:r>
        <w:rPr/>
        <w:t>7.1</w:t>
        <w:tab/>
      </w:r>
      <w:r>
        <w:rPr>
          <w:w w:val="95"/>
        </w:rPr>
        <w:t>您解除合同的手续</w:t>
      </w:r>
    </w:p>
    <w:p>
      <w:pPr>
        <w:spacing w:before="36"/>
        <w:ind w:left="975" w:right="1049" w:firstLine="0"/>
        <w:jc w:val="center"/>
        <w:rPr>
          <w:b/>
          <w:sz w:val="21"/>
        </w:rPr>
      </w:pPr>
      <w:r>
        <w:rPr>
          <w:b/>
          <w:w w:val="95"/>
          <w:sz w:val="21"/>
        </w:rPr>
        <w:t>及风险</w:t>
      </w:r>
    </w:p>
    <w:p>
      <w:pPr>
        <w:pStyle w:val="BodyText"/>
        <w:spacing w:before="35"/>
        <w:ind w:left="221"/>
      </w:pPr>
      <w:r>
        <w:rPr/>
        <w:br w:type="column"/>
      </w:r>
      <w:r>
        <w:rPr/>
        <w:t>如您申请解除本附加合同，请填写解除合同申请书并向本公司提供下列资料：</w:t>
      </w:r>
    </w:p>
    <w:p>
      <w:pPr>
        <w:pStyle w:val="BodyText"/>
        <w:spacing w:before="36"/>
        <w:ind w:left="221"/>
      </w:pPr>
      <w:r>
        <w:rPr/>
        <w:t>（1）保险合同；</w:t>
      </w:r>
    </w:p>
    <w:p>
      <w:pPr>
        <w:pStyle w:val="BodyText"/>
        <w:spacing w:before="36"/>
        <w:ind w:left="221"/>
      </w:pPr>
      <w:r>
        <w:rPr/>
        <w:t>（2）您的法定身份证明。</w:t>
      </w:r>
    </w:p>
    <w:p>
      <w:pPr>
        <w:pStyle w:val="BodyText"/>
        <w:spacing w:line="273" w:lineRule="auto" w:before="36"/>
        <w:ind w:left="221" w:right="207"/>
        <w:jc w:val="both"/>
      </w:pPr>
      <w:r>
        <w:rPr/>
        <w:t>自本公司收到解除合同申请书之日起，本附加合同终止。本公司自收到解除合</w:t>
      </w:r>
      <w:r>
        <w:rPr>
          <w:spacing w:val="-8"/>
        </w:rPr>
        <w:t>同申请书之日起 </w:t>
      </w:r>
      <w:r>
        <w:rPr>
          <w:spacing w:val="-1"/>
        </w:rPr>
        <w:t>3</w:t>
      </w:r>
      <w:r>
        <w:rPr/>
        <w:t>0</w:t>
      </w:r>
      <w:r>
        <w:rPr>
          <w:spacing w:val="-9"/>
        </w:rPr>
        <w:t> 日内，如果本附加合同缴费已满一年</w:t>
      </w:r>
      <w:r>
        <w:rPr>
          <w:spacing w:val="-1"/>
        </w:rPr>
        <w:t>（不含一年</w:t>
      </w:r>
      <w:r>
        <w:rPr>
          <w:spacing w:val="-104"/>
        </w:rPr>
        <w:t>）</w:t>
      </w:r>
      <w:r>
        <w:rPr>
          <w:spacing w:val="-1"/>
        </w:rPr>
        <w:t>，本公司按下表比例退还本附加合同最后一期已交保险费；如果本附加合同缴费未满一</w:t>
      </w:r>
      <w:r>
        <w:rPr>
          <w:spacing w:val="-44"/>
        </w:rPr>
        <w:t>年</w:t>
      </w:r>
      <w:r>
        <w:rPr/>
        <w:t>（含一年</w:t>
      </w:r>
      <w:r>
        <w:rPr>
          <w:spacing w:val="-75"/>
        </w:rPr>
        <w:t>）</w:t>
      </w:r>
      <w:r>
        <w:rPr>
          <w:spacing w:val="-9"/>
        </w:rPr>
        <w:t>，本公司在扣除百分之七十的金额后按下表比例退还最后一期已交保险费。</w:t>
      </w:r>
    </w:p>
    <w:p>
      <w:pPr>
        <w:spacing w:after="0" w:line="273" w:lineRule="auto"/>
        <w:jc w:val="both"/>
        <w:sectPr>
          <w:type w:val="continuous"/>
          <w:pgSz w:w="11910" w:h="16840"/>
          <w:pgMar w:top="520" w:bottom="280" w:left="800" w:right="800"/>
          <w:cols w:num="2" w:equalWidth="0">
            <w:col w:w="2666" w:space="49"/>
            <w:col w:w="7595"/>
          </w:cols>
        </w:sectPr>
      </w:pPr>
    </w:p>
    <w:tbl>
      <w:tblPr>
        <w:tblW w:w="0" w:type="auto"/>
        <w:jc w:val="left"/>
        <w:tblInd w:w="3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0"/>
        <w:gridCol w:w="852"/>
        <w:gridCol w:w="851"/>
        <w:gridCol w:w="851"/>
        <w:gridCol w:w="851"/>
      </w:tblGrid>
      <w:tr>
        <w:trPr>
          <w:trHeight w:val="311" w:hRule="atLeast"/>
        </w:trPr>
        <w:tc>
          <w:tcPr>
            <w:tcW w:w="3440" w:type="dxa"/>
            <w:vMerge w:val="restart"/>
          </w:tcPr>
          <w:p>
            <w:pPr>
              <w:pStyle w:val="TableParagraph"/>
              <w:spacing w:line="240" w:lineRule="auto" w:before="145"/>
              <w:ind w:left="249"/>
              <w:rPr>
                <w:sz w:val="21"/>
              </w:rPr>
            </w:pPr>
            <w:r>
              <w:rPr>
                <w:sz w:val="21"/>
              </w:rPr>
              <w:t>最后一期已交保险费的剩余月数</w:t>
            </w:r>
          </w:p>
        </w:tc>
        <w:tc>
          <w:tcPr>
            <w:tcW w:w="3405" w:type="dxa"/>
            <w:gridSpan w:val="4"/>
          </w:tcPr>
          <w:p>
            <w:pPr>
              <w:pStyle w:val="TableParagraph"/>
              <w:ind w:left="127"/>
              <w:rPr>
                <w:sz w:val="21"/>
              </w:rPr>
            </w:pPr>
            <w:r>
              <w:rPr>
                <w:sz w:val="21"/>
              </w:rPr>
              <w:t>不同交费方式下退还保险费的比例</w:t>
            </w:r>
          </w:p>
        </w:tc>
      </w:tr>
      <w:tr>
        <w:trPr>
          <w:trHeight w:val="311" w:hRule="atLeast"/>
        </w:trPr>
        <w:tc>
          <w:tcPr>
            <w:tcW w:w="3440" w:type="dxa"/>
            <w:vMerge/>
            <w:tcBorders>
              <w:top w:val="nil"/>
            </w:tcBorders>
          </w:tcPr>
          <w:p>
            <w:pPr>
              <w:rPr>
                <w:sz w:val="2"/>
                <w:szCs w:val="2"/>
              </w:rPr>
            </w:pPr>
          </w:p>
        </w:tc>
        <w:tc>
          <w:tcPr>
            <w:tcW w:w="852" w:type="dxa"/>
          </w:tcPr>
          <w:p>
            <w:pPr>
              <w:pStyle w:val="TableParagraph"/>
              <w:ind w:left="195" w:right="185"/>
              <w:jc w:val="center"/>
              <w:rPr>
                <w:b/>
                <w:sz w:val="21"/>
              </w:rPr>
            </w:pPr>
            <w:r>
              <w:rPr>
                <w:b/>
                <w:sz w:val="21"/>
              </w:rPr>
              <w:t>月交</w:t>
            </w:r>
          </w:p>
        </w:tc>
        <w:tc>
          <w:tcPr>
            <w:tcW w:w="851" w:type="dxa"/>
          </w:tcPr>
          <w:p>
            <w:pPr>
              <w:pStyle w:val="TableParagraph"/>
              <w:ind w:left="87" w:right="80"/>
              <w:jc w:val="center"/>
              <w:rPr>
                <w:b/>
                <w:sz w:val="21"/>
              </w:rPr>
            </w:pPr>
            <w:r>
              <w:rPr>
                <w:b/>
                <w:w w:val="95"/>
                <w:sz w:val="21"/>
              </w:rPr>
              <w:t>季交</w:t>
            </w:r>
          </w:p>
        </w:tc>
        <w:tc>
          <w:tcPr>
            <w:tcW w:w="851" w:type="dxa"/>
          </w:tcPr>
          <w:p>
            <w:pPr>
              <w:pStyle w:val="TableParagraph"/>
              <w:ind w:left="88" w:right="80"/>
              <w:jc w:val="center"/>
              <w:rPr>
                <w:b/>
                <w:sz w:val="21"/>
              </w:rPr>
            </w:pPr>
            <w:r>
              <w:rPr>
                <w:b/>
                <w:sz w:val="21"/>
              </w:rPr>
              <w:t>半年交</w:t>
            </w:r>
          </w:p>
        </w:tc>
        <w:tc>
          <w:tcPr>
            <w:tcW w:w="851" w:type="dxa"/>
          </w:tcPr>
          <w:p>
            <w:pPr>
              <w:pStyle w:val="TableParagraph"/>
              <w:ind w:left="87" w:right="80"/>
              <w:jc w:val="center"/>
              <w:rPr>
                <w:b/>
                <w:sz w:val="21"/>
              </w:rPr>
            </w:pPr>
            <w:r>
              <w:rPr>
                <w:b/>
                <w:w w:val="95"/>
                <w:sz w:val="21"/>
              </w:rPr>
              <w:t>年交</w:t>
            </w:r>
          </w:p>
        </w:tc>
      </w:tr>
      <w:tr>
        <w:trPr>
          <w:trHeight w:val="312" w:hRule="atLeast"/>
        </w:trPr>
        <w:tc>
          <w:tcPr>
            <w:tcW w:w="3440" w:type="dxa"/>
          </w:tcPr>
          <w:p>
            <w:pPr>
              <w:pStyle w:val="TableParagraph"/>
              <w:spacing w:line="261" w:lineRule="exact"/>
              <w:ind w:left="106"/>
              <w:rPr>
                <w:sz w:val="21"/>
              </w:rPr>
            </w:pPr>
            <w:r>
              <w:rPr>
                <w:sz w:val="21"/>
              </w:rPr>
              <w:t>满 11 个月</w:t>
            </w:r>
          </w:p>
        </w:tc>
        <w:tc>
          <w:tcPr>
            <w:tcW w:w="852" w:type="dxa"/>
          </w:tcPr>
          <w:p>
            <w:pPr>
              <w:pStyle w:val="TableParagraph"/>
              <w:spacing w:line="261" w:lineRule="exact"/>
              <w:ind w:left="10"/>
              <w:jc w:val="center"/>
              <w:rPr>
                <w:sz w:val="21"/>
              </w:rPr>
            </w:pPr>
            <w:r>
              <w:rPr>
                <w:sz w:val="21"/>
              </w:rPr>
              <w:t>-</w:t>
            </w:r>
          </w:p>
        </w:tc>
        <w:tc>
          <w:tcPr>
            <w:tcW w:w="851" w:type="dxa"/>
          </w:tcPr>
          <w:p>
            <w:pPr>
              <w:pStyle w:val="TableParagraph"/>
              <w:spacing w:line="261" w:lineRule="exact"/>
              <w:ind w:left="9"/>
              <w:jc w:val="center"/>
              <w:rPr>
                <w:sz w:val="21"/>
              </w:rPr>
            </w:pPr>
            <w:r>
              <w:rPr>
                <w:sz w:val="21"/>
              </w:rPr>
              <w:t>-</w:t>
            </w:r>
          </w:p>
        </w:tc>
        <w:tc>
          <w:tcPr>
            <w:tcW w:w="851" w:type="dxa"/>
          </w:tcPr>
          <w:p>
            <w:pPr>
              <w:pStyle w:val="TableParagraph"/>
              <w:spacing w:line="261" w:lineRule="exact"/>
              <w:ind w:left="8"/>
              <w:jc w:val="center"/>
              <w:rPr>
                <w:sz w:val="21"/>
              </w:rPr>
            </w:pPr>
            <w:r>
              <w:rPr>
                <w:sz w:val="21"/>
              </w:rPr>
              <w:t>-</w:t>
            </w:r>
          </w:p>
        </w:tc>
        <w:tc>
          <w:tcPr>
            <w:tcW w:w="851" w:type="dxa"/>
          </w:tcPr>
          <w:p>
            <w:pPr>
              <w:pStyle w:val="TableParagraph"/>
              <w:spacing w:line="261" w:lineRule="exact"/>
              <w:ind w:left="85" w:right="80"/>
              <w:jc w:val="center"/>
              <w:rPr>
                <w:sz w:val="21"/>
              </w:rPr>
            </w:pPr>
            <w:r>
              <w:rPr>
                <w:sz w:val="21"/>
              </w:rPr>
              <w:t>55%</w:t>
            </w:r>
          </w:p>
        </w:tc>
      </w:tr>
      <w:tr>
        <w:trPr>
          <w:trHeight w:val="311" w:hRule="atLeast"/>
        </w:trPr>
        <w:tc>
          <w:tcPr>
            <w:tcW w:w="3440" w:type="dxa"/>
          </w:tcPr>
          <w:p>
            <w:pPr>
              <w:pStyle w:val="TableParagraph"/>
              <w:ind w:left="106"/>
              <w:rPr>
                <w:sz w:val="21"/>
              </w:rPr>
            </w:pPr>
            <w:r>
              <w:rPr>
                <w:sz w:val="21"/>
              </w:rPr>
              <w:t>满 10 个月但不满 11 个月</w:t>
            </w:r>
          </w:p>
        </w:tc>
        <w:tc>
          <w:tcPr>
            <w:tcW w:w="852" w:type="dxa"/>
          </w:tcPr>
          <w:p>
            <w:pPr>
              <w:pStyle w:val="TableParagraph"/>
              <w:ind w:left="8"/>
              <w:jc w:val="center"/>
              <w:rPr>
                <w:sz w:val="21"/>
              </w:rPr>
            </w:pPr>
            <w:r>
              <w:rPr>
                <w:sz w:val="21"/>
              </w:rPr>
              <w:t>-</w:t>
            </w:r>
          </w:p>
        </w:tc>
        <w:tc>
          <w:tcPr>
            <w:tcW w:w="851" w:type="dxa"/>
          </w:tcPr>
          <w:p>
            <w:pPr>
              <w:pStyle w:val="TableParagraph"/>
              <w:ind w:left="7"/>
              <w:jc w:val="center"/>
              <w:rPr>
                <w:sz w:val="21"/>
              </w:rPr>
            </w:pPr>
            <w:r>
              <w:rPr>
                <w:sz w:val="21"/>
              </w:rPr>
              <w:t>-</w:t>
            </w:r>
          </w:p>
        </w:tc>
        <w:tc>
          <w:tcPr>
            <w:tcW w:w="851" w:type="dxa"/>
          </w:tcPr>
          <w:p>
            <w:pPr>
              <w:pStyle w:val="TableParagraph"/>
              <w:ind w:left="6"/>
              <w:jc w:val="center"/>
              <w:rPr>
                <w:sz w:val="21"/>
              </w:rPr>
            </w:pPr>
            <w:r>
              <w:rPr>
                <w:sz w:val="21"/>
              </w:rPr>
              <w:t>-</w:t>
            </w:r>
          </w:p>
        </w:tc>
        <w:tc>
          <w:tcPr>
            <w:tcW w:w="851" w:type="dxa"/>
          </w:tcPr>
          <w:p>
            <w:pPr>
              <w:pStyle w:val="TableParagraph"/>
              <w:ind w:left="85" w:right="80"/>
              <w:jc w:val="center"/>
              <w:rPr>
                <w:sz w:val="21"/>
              </w:rPr>
            </w:pPr>
            <w:r>
              <w:rPr>
                <w:sz w:val="21"/>
              </w:rPr>
              <w:t>50%</w:t>
            </w:r>
          </w:p>
        </w:tc>
      </w:tr>
      <w:tr>
        <w:trPr>
          <w:trHeight w:val="311" w:hRule="atLeast"/>
        </w:trPr>
        <w:tc>
          <w:tcPr>
            <w:tcW w:w="3440" w:type="dxa"/>
          </w:tcPr>
          <w:p>
            <w:pPr>
              <w:pStyle w:val="TableParagraph"/>
              <w:ind w:left="106"/>
              <w:rPr>
                <w:sz w:val="21"/>
              </w:rPr>
            </w:pPr>
            <w:r>
              <w:rPr>
                <w:sz w:val="21"/>
              </w:rPr>
              <w:t>满 9 个月但不满 10 个月</w:t>
            </w:r>
          </w:p>
        </w:tc>
        <w:tc>
          <w:tcPr>
            <w:tcW w:w="852" w:type="dxa"/>
          </w:tcPr>
          <w:p>
            <w:pPr>
              <w:pStyle w:val="TableParagraph"/>
              <w:ind w:left="8"/>
              <w:jc w:val="center"/>
              <w:rPr>
                <w:sz w:val="21"/>
              </w:rPr>
            </w:pPr>
            <w:r>
              <w:rPr>
                <w:sz w:val="21"/>
              </w:rPr>
              <w:t>-</w:t>
            </w:r>
          </w:p>
        </w:tc>
        <w:tc>
          <w:tcPr>
            <w:tcW w:w="851" w:type="dxa"/>
          </w:tcPr>
          <w:p>
            <w:pPr>
              <w:pStyle w:val="TableParagraph"/>
              <w:ind w:left="7"/>
              <w:jc w:val="center"/>
              <w:rPr>
                <w:sz w:val="21"/>
              </w:rPr>
            </w:pPr>
            <w:r>
              <w:rPr>
                <w:sz w:val="21"/>
              </w:rPr>
              <w:t>-</w:t>
            </w:r>
          </w:p>
        </w:tc>
        <w:tc>
          <w:tcPr>
            <w:tcW w:w="851" w:type="dxa"/>
          </w:tcPr>
          <w:p>
            <w:pPr>
              <w:pStyle w:val="TableParagraph"/>
              <w:ind w:left="6"/>
              <w:jc w:val="center"/>
              <w:rPr>
                <w:sz w:val="21"/>
              </w:rPr>
            </w:pPr>
            <w:r>
              <w:rPr>
                <w:sz w:val="21"/>
              </w:rPr>
              <w:t>-</w:t>
            </w:r>
          </w:p>
        </w:tc>
        <w:tc>
          <w:tcPr>
            <w:tcW w:w="851" w:type="dxa"/>
          </w:tcPr>
          <w:p>
            <w:pPr>
              <w:pStyle w:val="TableParagraph"/>
              <w:ind w:left="85" w:right="80"/>
              <w:jc w:val="center"/>
              <w:rPr>
                <w:sz w:val="21"/>
              </w:rPr>
            </w:pPr>
            <w:r>
              <w:rPr>
                <w:sz w:val="21"/>
              </w:rPr>
              <w:t>45%</w:t>
            </w:r>
          </w:p>
        </w:tc>
      </w:tr>
      <w:tr>
        <w:trPr>
          <w:trHeight w:val="312" w:hRule="atLeast"/>
        </w:trPr>
        <w:tc>
          <w:tcPr>
            <w:tcW w:w="3440" w:type="dxa"/>
          </w:tcPr>
          <w:p>
            <w:pPr>
              <w:pStyle w:val="TableParagraph"/>
              <w:spacing w:line="261" w:lineRule="exact"/>
              <w:ind w:left="106"/>
              <w:rPr>
                <w:sz w:val="21"/>
              </w:rPr>
            </w:pPr>
            <w:r>
              <w:rPr>
                <w:sz w:val="21"/>
              </w:rPr>
              <w:t>满 8 个月但不满 9 个月</w:t>
            </w:r>
          </w:p>
        </w:tc>
        <w:tc>
          <w:tcPr>
            <w:tcW w:w="852" w:type="dxa"/>
          </w:tcPr>
          <w:p>
            <w:pPr>
              <w:pStyle w:val="TableParagraph"/>
              <w:spacing w:line="261" w:lineRule="exact"/>
              <w:ind w:left="8"/>
              <w:jc w:val="center"/>
              <w:rPr>
                <w:sz w:val="21"/>
              </w:rPr>
            </w:pPr>
            <w:r>
              <w:rPr>
                <w:sz w:val="21"/>
              </w:rPr>
              <w:t>-</w:t>
            </w:r>
          </w:p>
        </w:tc>
        <w:tc>
          <w:tcPr>
            <w:tcW w:w="851" w:type="dxa"/>
          </w:tcPr>
          <w:p>
            <w:pPr>
              <w:pStyle w:val="TableParagraph"/>
              <w:spacing w:line="261" w:lineRule="exact"/>
              <w:ind w:left="7"/>
              <w:jc w:val="center"/>
              <w:rPr>
                <w:sz w:val="21"/>
              </w:rPr>
            </w:pPr>
            <w:r>
              <w:rPr>
                <w:sz w:val="21"/>
              </w:rPr>
              <w:t>-</w:t>
            </w:r>
          </w:p>
        </w:tc>
        <w:tc>
          <w:tcPr>
            <w:tcW w:w="851" w:type="dxa"/>
          </w:tcPr>
          <w:p>
            <w:pPr>
              <w:pStyle w:val="TableParagraph"/>
              <w:spacing w:line="261" w:lineRule="exact"/>
              <w:ind w:left="7"/>
              <w:jc w:val="center"/>
              <w:rPr>
                <w:sz w:val="21"/>
              </w:rPr>
            </w:pPr>
            <w:r>
              <w:rPr>
                <w:sz w:val="21"/>
              </w:rPr>
              <w:t>-</w:t>
            </w:r>
          </w:p>
        </w:tc>
        <w:tc>
          <w:tcPr>
            <w:tcW w:w="851" w:type="dxa"/>
          </w:tcPr>
          <w:p>
            <w:pPr>
              <w:pStyle w:val="TableParagraph"/>
              <w:spacing w:line="261" w:lineRule="exact"/>
              <w:ind w:left="85" w:right="80"/>
              <w:jc w:val="center"/>
              <w:rPr>
                <w:sz w:val="21"/>
              </w:rPr>
            </w:pPr>
            <w:r>
              <w:rPr>
                <w:sz w:val="21"/>
              </w:rPr>
              <w:t>40%</w:t>
            </w:r>
          </w:p>
        </w:tc>
      </w:tr>
      <w:tr>
        <w:trPr>
          <w:trHeight w:val="311" w:hRule="atLeast"/>
        </w:trPr>
        <w:tc>
          <w:tcPr>
            <w:tcW w:w="3440" w:type="dxa"/>
          </w:tcPr>
          <w:p>
            <w:pPr>
              <w:pStyle w:val="TableParagraph"/>
              <w:ind w:left="106"/>
              <w:rPr>
                <w:sz w:val="21"/>
              </w:rPr>
            </w:pPr>
            <w:r>
              <w:rPr>
                <w:sz w:val="21"/>
              </w:rPr>
              <w:t>满 7 个月但不满 8 个月</w:t>
            </w:r>
          </w:p>
        </w:tc>
        <w:tc>
          <w:tcPr>
            <w:tcW w:w="852" w:type="dxa"/>
          </w:tcPr>
          <w:p>
            <w:pPr>
              <w:pStyle w:val="TableParagraph"/>
              <w:ind w:left="8"/>
              <w:jc w:val="center"/>
              <w:rPr>
                <w:sz w:val="21"/>
              </w:rPr>
            </w:pPr>
            <w:r>
              <w:rPr>
                <w:sz w:val="21"/>
              </w:rPr>
              <w:t>-</w:t>
            </w:r>
          </w:p>
        </w:tc>
        <w:tc>
          <w:tcPr>
            <w:tcW w:w="851" w:type="dxa"/>
          </w:tcPr>
          <w:p>
            <w:pPr>
              <w:pStyle w:val="TableParagraph"/>
              <w:ind w:left="7"/>
              <w:jc w:val="center"/>
              <w:rPr>
                <w:sz w:val="21"/>
              </w:rPr>
            </w:pPr>
            <w:r>
              <w:rPr>
                <w:sz w:val="21"/>
              </w:rPr>
              <w:t>-</w:t>
            </w:r>
          </w:p>
        </w:tc>
        <w:tc>
          <w:tcPr>
            <w:tcW w:w="851" w:type="dxa"/>
          </w:tcPr>
          <w:p>
            <w:pPr>
              <w:pStyle w:val="TableParagraph"/>
              <w:ind w:left="7"/>
              <w:jc w:val="center"/>
              <w:rPr>
                <w:sz w:val="21"/>
              </w:rPr>
            </w:pPr>
            <w:r>
              <w:rPr>
                <w:sz w:val="21"/>
              </w:rPr>
              <w:t>-</w:t>
            </w:r>
          </w:p>
        </w:tc>
        <w:tc>
          <w:tcPr>
            <w:tcW w:w="851" w:type="dxa"/>
          </w:tcPr>
          <w:p>
            <w:pPr>
              <w:pStyle w:val="TableParagraph"/>
              <w:ind w:left="85" w:right="80"/>
              <w:jc w:val="center"/>
              <w:rPr>
                <w:sz w:val="21"/>
              </w:rPr>
            </w:pPr>
            <w:r>
              <w:rPr>
                <w:sz w:val="21"/>
              </w:rPr>
              <w:t>35%</w:t>
            </w:r>
          </w:p>
        </w:tc>
      </w:tr>
      <w:tr>
        <w:trPr>
          <w:trHeight w:val="311" w:hRule="atLeast"/>
        </w:trPr>
        <w:tc>
          <w:tcPr>
            <w:tcW w:w="3440" w:type="dxa"/>
          </w:tcPr>
          <w:p>
            <w:pPr>
              <w:pStyle w:val="TableParagraph"/>
              <w:ind w:left="106"/>
              <w:rPr>
                <w:sz w:val="21"/>
              </w:rPr>
            </w:pPr>
            <w:r>
              <w:rPr>
                <w:sz w:val="21"/>
              </w:rPr>
              <w:t>满 6 个月但不满 7 个月</w:t>
            </w:r>
          </w:p>
        </w:tc>
        <w:tc>
          <w:tcPr>
            <w:tcW w:w="852" w:type="dxa"/>
          </w:tcPr>
          <w:p>
            <w:pPr>
              <w:pStyle w:val="TableParagraph"/>
              <w:ind w:left="9"/>
              <w:jc w:val="center"/>
              <w:rPr>
                <w:sz w:val="21"/>
              </w:rPr>
            </w:pPr>
            <w:r>
              <w:rPr>
                <w:sz w:val="21"/>
              </w:rPr>
              <w:t>-</w:t>
            </w:r>
          </w:p>
        </w:tc>
        <w:tc>
          <w:tcPr>
            <w:tcW w:w="851" w:type="dxa"/>
          </w:tcPr>
          <w:p>
            <w:pPr>
              <w:pStyle w:val="TableParagraph"/>
              <w:ind w:left="8"/>
              <w:jc w:val="center"/>
              <w:rPr>
                <w:sz w:val="21"/>
              </w:rPr>
            </w:pPr>
            <w:r>
              <w:rPr>
                <w:sz w:val="21"/>
              </w:rPr>
              <w:t>-</w:t>
            </w:r>
          </w:p>
        </w:tc>
        <w:tc>
          <w:tcPr>
            <w:tcW w:w="851" w:type="dxa"/>
          </w:tcPr>
          <w:p>
            <w:pPr>
              <w:pStyle w:val="TableParagraph"/>
              <w:ind w:left="8"/>
              <w:jc w:val="center"/>
              <w:rPr>
                <w:sz w:val="21"/>
              </w:rPr>
            </w:pPr>
            <w:r>
              <w:rPr>
                <w:sz w:val="21"/>
              </w:rPr>
              <w:t>-</w:t>
            </w:r>
          </w:p>
        </w:tc>
        <w:tc>
          <w:tcPr>
            <w:tcW w:w="851" w:type="dxa"/>
          </w:tcPr>
          <w:p>
            <w:pPr>
              <w:pStyle w:val="TableParagraph"/>
              <w:ind w:left="85" w:right="80"/>
              <w:jc w:val="center"/>
              <w:rPr>
                <w:sz w:val="21"/>
              </w:rPr>
            </w:pPr>
            <w:r>
              <w:rPr>
                <w:sz w:val="21"/>
              </w:rPr>
              <w:t>30%</w:t>
            </w:r>
          </w:p>
        </w:tc>
      </w:tr>
      <w:tr>
        <w:trPr>
          <w:trHeight w:val="312" w:hRule="atLeast"/>
        </w:trPr>
        <w:tc>
          <w:tcPr>
            <w:tcW w:w="3440" w:type="dxa"/>
          </w:tcPr>
          <w:p>
            <w:pPr>
              <w:pStyle w:val="TableParagraph"/>
              <w:spacing w:line="261" w:lineRule="exact"/>
              <w:ind w:left="106"/>
              <w:rPr>
                <w:sz w:val="21"/>
              </w:rPr>
            </w:pPr>
            <w:r>
              <w:rPr>
                <w:sz w:val="21"/>
              </w:rPr>
              <w:t>满 5 个月但不满 6 个月</w:t>
            </w:r>
          </w:p>
        </w:tc>
        <w:tc>
          <w:tcPr>
            <w:tcW w:w="852" w:type="dxa"/>
          </w:tcPr>
          <w:p>
            <w:pPr>
              <w:pStyle w:val="TableParagraph"/>
              <w:spacing w:line="261" w:lineRule="exact"/>
              <w:ind w:left="9"/>
              <w:jc w:val="center"/>
              <w:rPr>
                <w:sz w:val="21"/>
              </w:rPr>
            </w:pPr>
            <w:r>
              <w:rPr>
                <w:sz w:val="21"/>
              </w:rPr>
              <w:t>-</w:t>
            </w:r>
          </w:p>
        </w:tc>
        <w:tc>
          <w:tcPr>
            <w:tcW w:w="851" w:type="dxa"/>
          </w:tcPr>
          <w:p>
            <w:pPr>
              <w:pStyle w:val="TableParagraph"/>
              <w:spacing w:line="261" w:lineRule="exact"/>
              <w:ind w:left="8"/>
              <w:jc w:val="center"/>
              <w:rPr>
                <w:sz w:val="21"/>
              </w:rPr>
            </w:pPr>
            <w:r>
              <w:rPr>
                <w:sz w:val="21"/>
              </w:rPr>
              <w:t>-</w:t>
            </w:r>
          </w:p>
        </w:tc>
        <w:tc>
          <w:tcPr>
            <w:tcW w:w="851" w:type="dxa"/>
          </w:tcPr>
          <w:p>
            <w:pPr>
              <w:pStyle w:val="TableParagraph"/>
              <w:spacing w:line="261" w:lineRule="exact"/>
              <w:ind w:left="86" w:right="80"/>
              <w:jc w:val="center"/>
              <w:rPr>
                <w:sz w:val="21"/>
              </w:rPr>
            </w:pPr>
            <w:r>
              <w:rPr>
                <w:sz w:val="21"/>
              </w:rPr>
              <w:t>50%</w:t>
            </w:r>
          </w:p>
        </w:tc>
        <w:tc>
          <w:tcPr>
            <w:tcW w:w="851" w:type="dxa"/>
          </w:tcPr>
          <w:p>
            <w:pPr>
              <w:pStyle w:val="TableParagraph"/>
              <w:spacing w:line="261" w:lineRule="exact"/>
              <w:ind w:left="85" w:right="80"/>
              <w:jc w:val="center"/>
              <w:rPr>
                <w:sz w:val="21"/>
              </w:rPr>
            </w:pPr>
            <w:r>
              <w:rPr>
                <w:sz w:val="21"/>
              </w:rPr>
              <w:t>25%</w:t>
            </w:r>
          </w:p>
        </w:tc>
      </w:tr>
      <w:tr>
        <w:trPr>
          <w:trHeight w:val="311" w:hRule="atLeast"/>
        </w:trPr>
        <w:tc>
          <w:tcPr>
            <w:tcW w:w="3440" w:type="dxa"/>
          </w:tcPr>
          <w:p>
            <w:pPr>
              <w:pStyle w:val="TableParagraph"/>
              <w:ind w:left="106"/>
              <w:rPr>
                <w:sz w:val="21"/>
              </w:rPr>
            </w:pPr>
            <w:r>
              <w:rPr>
                <w:sz w:val="21"/>
              </w:rPr>
              <w:t>满 4 个月但不满 5 个月</w:t>
            </w:r>
          </w:p>
        </w:tc>
        <w:tc>
          <w:tcPr>
            <w:tcW w:w="852" w:type="dxa"/>
          </w:tcPr>
          <w:p>
            <w:pPr>
              <w:pStyle w:val="TableParagraph"/>
              <w:ind w:left="8"/>
              <w:jc w:val="center"/>
              <w:rPr>
                <w:sz w:val="21"/>
              </w:rPr>
            </w:pPr>
            <w:r>
              <w:rPr>
                <w:sz w:val="21"/>
              </w:rPr>
              <w:t>-</w:t>
            </w:r>
          </w:p>
        </w:tc>
        <w:tc>
          <w:tcPr>
            <w:tcW w:w="851" w:type="dxa"/>
          </w:tcPr>
          <w:p>
            <w:pPr>
              <w:pStyle w:val="TableParagraph"/>
              <w:ind w:left="7"/>
              <w:jc w:val="center"/>
              <w:rPr>
                <w:sz w:val="21"/>
              </w:rPr>
            </w:pPr>
            <w:r>
              <w:rPr>
                <w:sz w:val="21"/>
              </w:rPr>
              <w:t>-</w:t>
            </w:r>
          </w:p>
        </w:tc>
        <w:tc>
          <w:tcPr>
            <w:tcW w:w="851" w:type="dxa"/>
          </w:tcPr>
          <w:p>
            <w:pPr>
              <w:pStyle w:val="TableParagraph"/>
              <w:ind w:left="85" w:right="80"/>
              <w:jc w:val="center"/>
              <w:rPr>
                <w:sz w:val="21"/>
              </w:rPr>
            </w:pPr>
            <w:r>
              <w:rPr>
                <w:sz w:val="21"/>
              </w:rPr>
              <w:t>40%</w:t>
            </w:r>
          </w:p>
        </w:tc>
        <w:tc>
          <w:tcPr>
            <w:tcW w:w="851" w:type="dxa"/>
          </w:tcPr>
          <w:p>
            <w:pPr>
              <w:pStyle w:val="TableParagraph"/>
              <w:ind w:left="85" w:right="80"/>
              <w:jc w:val="center"/>
              <w:rPr>
                <w:sz w:val="21"/>
              </w:rPr>
            </w:pPr>
            <w:r>
              <w:rPr>
                <w:sz w:val="21"/>
              </w:rPr>
              <w:t>20%</w:t>
            </w:r>
          </w:p>
        </w:tc>
      </w:tr>
      <w:tr>
        <w:trPr>
          <w:trHeight w:val="311" w:hRule="atLeast"/>
        </w:trPr>
        <w:tc>
          <w:tcPr>
            <w:tcW w:w="3440" w:type="dxa"/>
          </w:tcPr>
          <w:p>
            <w:pPr>
              <w:pStyle w:val="TableParagraph"/>
              <w:ind w:left="106"/>
              <w:rPr>
                <w:sz w:val="21"/>
              </w:rPr>
            </w:pPr>
            <w:r>
              <w:rPr>
                <w:sz w:val="21"/>
              </w:rPr>
              <w:t>满 3 个月但不满 4 个月</w:t>
            </w:r>
          </w:p>
        </w:tc>
        <w:tc>
          <w:tcPr>
            <w:tcW w:w="852" w:type="dxa"/>
          </w:tcPr>
          <w:p>
            <w:pPr>
              <w:pStyle w:val="TableParagraph"/>
              <w:ind w:left="8"/>
              <w:jc w:val="center"/>
              <w:rPr>
                <w:sz w:val="21"/>
              </w:rPr>
            </w:pPr>
            <w:r>
              <w:rPr>
                <w:sz w:val="21"/>
              </w:rPr>
              <w:t>-</w:t>
            </w:r>
          </w:p>
        </w:tc>
        <w:tc>
          <w:tcPr>
            <w:tcW w:w="851" w:type="dxa"/>
          </w:tcPr>
          <w:p>
            <w:pPr>
              <w:pStyle w:val="TableParagraph"/>
              <w:ind w:left="7"/>
              <w:jc w:val="center"/>
              <w:rPr>
                <w:sz w:val="21"/>
              </w:rPr>
            </w:pPr>
            <w:r>
              <w:rPr>
                <w:sz w:val="21"/>
              </w:rPr>
              <w:t>-</w:t>
            </w:r>
          </w:p>
        </w:tc>
        <w:tc>
          <w:tcPr>
            <w:tcW w:w="851" w:type="dxa"/>
          </w:tcPr>
          <w:p>
            <w:pPr>
              <w:pStyle w:val="TableParagraph"/>
              <w:ind w:left="85" w:right="80"/>
              <w:jc w:val="center"/>
              <w:rPr>
                <w:sz w:val="21"/>
              </w:rPr>
            </w:pPr>
            <w:r>
              <w:rPr>
                <w:sz w:val="21"/>
              </w:rPr>
              <w:t>30%</w:t>
            </w:r>
          </w:p>
        </w:tc>
        <w:tc>
          <w:tcPr>
            <w:tcW w:w="851" w:type="dxa"/>
          </w:tcPr>
          <w:p>
            <w:pPr>
              <w:pStyle w:val="TableParagraph"/>
              <w:ind w:left="85" w:right="80"/>
              <w:jc w:val="center"/>
              <w:rPr>
                <w:sz w:val="21"/>
              </w:rPr>
            </w:pPr>
            <w:r>
              <w:rPr>
                <w:sz w:val="21"/>
              </w:rPr>
              <w:t>15%</w:t>
            </w:r>
          </w:p>
        </w:tc>
      </w:tr>
      <w:tr>
        <w:trPr>
          <w:trHeight w:val="312" w:hRule="atLeast"/>
        </w:trPr>
        <w:tc>
          <w:tcPr>
            <w:tcW w:w="3440" w:type="dxa"/>
          </w:tcPr>
          <w:p>
            <w:pPr>
              <w:pStyle w:val="TableParagraph"/>
              <w:spacing w:line="261" w:lineRule="exact"/>
              <w:ind w:left="106"/>
              <w:rPr>
                <w:sz w:val="21"/>
              </w:rPr>
            </w:pPr>
            <w:r>
              <w:rPr>
                <w:sz w:val="21"/>
              </w:rPr>
              <w:t>满 2 个月但不满 3 个月</w:t>
            </w:r>
          </w:p>
        </w:tc>
        <w:tc>
          <w:tcPr>
            <w:tcW w:w="852" w:type="dxa"/>
          </w:tcPr>
          <w:p>
            <w:pPr>
              <w:pStyle w:val="TableParagraph"/>
              <w:spacing w:line="261" w:lineRule="exact"/>
              <w:ind w:left="8"/>
              <w:jc w:val="center"/>
              <w:rPr>
                <w:sz w:val="21"/>
              </w:rPr>
            </w:pPr>
            <w:r>
              <w:rPr>
                <w:sz w:val="21"/>
              </w:rPr>
              <w:t>-</w:t>
            </w:r>
          </w:p>
        </w:tc>
        <w:tc>
          <w:tcPr>
            <w:tcW w:w="851" w:type="dxa"/>
          </w:tcPr>
          <w:p>
            <w:pPr>
              <w:pStyle w:val="TableParagraph"/>
              <w:spacing w:line="261" w:lineRule="exact"/>
              <w:ind w:left="85" w:right="80"/>
              <w:jc w:val="center"/>
              <w:rPr>
                <w:sz w:val="21"/>
              </w:rPr>
            </w:pPr>
            <w:r>
              <w:rPr>
                <w:sz w:val="21"/>
              </w:rPr>
              <w:t>40%</w:t>
            </w:r>
          </w:p>
        </w:tc>
        <w:tc>
          <w:tcPr>
            <w:tcW w:w="851" w:type="dxa"/>
          </w:tcPr>
          <w:p>
            <w:pPr>
              <w:pStyle w:val="TableParagraph"/>
              <w:spacing w:line="261" w:lineRule="exact"/>
              <w:ind w:left="85" w:right="80"/>
              <w:jc w:val="center"/>
              <w:rPr>
                <w:sz w:val="21"/>
              </w:rPr>
            </w:pPr>
            <w:r>
              <w:rPr>
                <w:sz w:val="21"/>
              </w:rPr>
              <w:t>20%</w:t>
            </w:r>
          </w:p>
        </w:tc>
        <w:tc>
          <w:tcPr>
            <w:tcW w:w="851" w:type="dxa"/>
          </w:tcPr>
          <w:p>
            <w:pPr>
              <w:pStyle w:val="TableParagraph"/>
              <w:spacing w:line="261" w:lineRule="exact"/>
              <w:ind w:left="85" w:right="80"/>
              <w:jc w:val="center"/>
              <w:rPr>
                <w:sz w:val="21"/>
              </w:rPr>
            </w:pPr>
            <w:r>
              <w:rPr>
                <w:sz w:val="21"/>
              </w:rPr>
              <w:t>10%</w:t>
            </w:r>
          </w:p>
        </w:tc>
      </w:tr>
      <w:tr>
        <w:trPr>
          <w:trHeight w:val="311" w:hRule="atLeast"/>
        </w:trPr>
        <w:tc>
          <w:tcPr>
            <w:tcW w:w="3440" w:type="dxa"/>
          </w:tcPr>
          <w:p>
            <w:pPr>
              <w:pStyle w:val="TableParagraph"/>
              <w:ind w:left="106"/>
              <w:rPr>
                <w:sz w:val="21"/>
              </w:rPr>
            </w:pPr>
            <w:r>
              <w:rPr>
                <w:sz w:val="21"/>
              </w:rPr>
              <w:t>满 1 个月但不满 2 个月</w:t>
            </w:r>
          </w:p>
        </w:tc>
        <w:tc>
          <w:tcPr>
            <w:tcW w:w="852" w:type="dxa"/>
          </w:tcPr>
          <w:p>
            <w:pPr>
              <w:pStyle w:val="TableParagraph"/>
              <w:ind w:left="8"/>
              <w:jc w:val="center"/>
              <w:rPr>
                <w:sz w:val="21"/>
              </w:rPr>
            </w:pPr>
            <w:r>
              <w:rPr>
                <w:sz w:val="21"/>
              </w:rPr>
              <w:t>-</w:t>
            </w:r>
          </w:p>
        </w:tc>
        <w:tc>
          <w:tcPr>
            <w:tcW w:w="851" w:type="dxa"/>
          </w:tcPr>
          <w:p>
            <w:pPr>
              <w:pStyle w:val="TableParagraph"/>
              <w:ind w:left="85" w:right="80"/>
              <w:jc w:val="center"/>
              <w:rPr>
                <w:sz w:val="21"/>
              </w:rPr>
            </w:pPr>
            <w:r>
              <w:rPr>
                <w:sz w:val="21"/>
              </w:rPr>
              <w:t>20%</w:t>
            </w:r>
          </w:p>
        </w:tc>
        <w:tc>
          <w:tcPr>
            <w:tcW w:w="851" w:type="dxa"/>
          </w:tcPr>
          <w:p>
            <w:pPr>
              <w:pStyle w:val="TableParagraph"/>
              <w:ind w:left="85" w:right="80"/>
              <w:jc w:val="center"/>
              <w:rPr>
                <w:sz w:val="21"/>
              </w:rPr>
            </w:pPr>
            <w:r>
              <w:rPr>
                <w:sz w:val="21"/>
              </w:rPr>
              <w:t>10%</w:t>
            </w:r>
          </w:p>
        </w:tc>
        <w:tc>
          <w:tcPr>
            <w:tcW w:w="851" w:type="dxa"/>
          </w:tcPr>
          <w:p>
            <w:pPr>
              <w:pStyle w:val="TableParagraph"/>
              <w:ind w:left="87" w:right="80"/>
              <w:jc w:val="center"/>
              <w:rPr>
                <w:sz w:val="21"/>
              </w:rPr>
            </w:pPr>
            <w:r>
              <w:rPr>
                <w:sz w:val="21"/>
              </w:rPr>
              <w:t>5%</w:t>
            </w:r>
          </w:p>
        </w:tc>
      </w:tr>
      <w:tr>
        <w:trPr>
          <w:trHeight w:val="312" w:hRule="atLeast"/>
        </w:trPr>
        <w:tc>
          <w:tcPr>
            <w:tcW w:w="3440" w:type="dxa"/>
          </w:tcPr>
          <w:p>
            <w:pPr>
              <w:pStyle w:val="TableParagraph"/>
              <w:ind w:left="106"/>
              <w:rPr>
                <w:sz w:val="21"/>
              </w:rPr>
            </w:pPr>
            <w:r>
              <w:rPr>
                <w:sz w:val="21"/>
              </w:rPr>
              <w:t>不满 1 个月</w:t>
            </w:r>
          </w:p>
        </w:tc>
        <w:tc>
          <w:tcPr>
            <w:tcW w:w="852" w:type="dxa"/>
          </w:tcPr>
          <w:p>
            <w:pPr>
              <w:pStyle w:val="TableParagraph"/>
              <w:ind w:left="195" w:right="185"/>
              <w:jc w:val="center"/>
              <w:rPr>
                <w:sz w:val="21"/>
              </w:rPr>
            </w:pPr>
            <w:r>
              <w:rPr>
                <w:sz w:val="21"/>
              </w:rPr>
              <w:t>0%</w:t>
            </w:r>
          </w:p>
        </w:tc>
        <w:tc>
          <w:tcPr>
            <w:tcW w:w="851" w:type="dxa"/>
          </w:tcPr>
          <w:p>
            <w:pPr>
              <w:pStyle w:val="TableParagraph"/>
              <w:ind w:left="88" w:right="80"/>
              <w:jc w:val="center"/>
              <w:rPr>
                <w:sz w:val="21"/>
              </w:rPr>
            </w:pPr>
            <w:r>
              <w:rPr>
                <w:sz w:val="21"/>
              </w:rPr>
              <w:t>0%</w:t>
            </w:r>
          </w:p>
        </w:tc>
        <w:tc>
          <w:tcPr>
            <w:tcW w:w="851" w:type="dxa"/>
          </w:tcPr>
          <w:p>
            <w:pPr>
              <w:pStyle w:val="TableParagraph"/>
              <w:ind w:left="88" w:right="80"/>
              <w:jc w:val="center"/>
              <w:rPr>
                <w:sz w:val="21"/>
              </w:rPr>
            </w:pPr>
            <w:r>
              <w:rPr>
                <w:sz w:val="21"/>
              </w:rPr>
              <w:t>0%</w:t>
            </w:r>
          </w:p>
        </w:tc>
        <w:tc>
          <w:tcPr>
            <w:tcW w:w="851" w:type="dxa"/>
          </w:tcPr>
          <w:p>
            <w:pPr>
              <w:pStyle w:val="TableParagraph"/>
              <w:ind w:left="87" w:right="80"/>
              <w:jc w:val="center"/>
              <w:rPr>
                <w:sz w:val="21"/>
              </w:rPr>
            </w:pPr>
            <w:r>
              <w:rPr>
                <w:sz w:val="21"/>
              </w:rPr>
              <w:t>0%</w:t>
            </w:r>
          </w:p>
        </w:tc>
      </w:tr>
    </w:tbl>
    <w:p>
      <w:pPr>
        <w:spacing w:after="0"/>
        <w:jc w:val="center"/>
        <w:rPr>
          <w:sz w:val="21"/>
        </w:rPr>
        <w:sectPr>
          <w:type w:val="continuous"/>
          <w:pgSz w:w="11910" w:h="16840"/>
          <w:pgMar w:top="520" w:bottom="280" w:left="800" w:right="800"/>
        </w:sectPr>
      </w:pPr>
    </w:p>
    <w:p>
      <w:pPr>
        <w:pStyle w:val="BodyText"/>
        <w:spacing w:before="19"/>
        <w:ind w:left="2935"/>
      </w:pPr>
      <w:r>
        <w:rPr/>
        <w:t>您解除合同会遭受一定损失。</w:t>
      </w:r>
    </w:p>
    <w:p>
      <w:pPr>
        <w:pStyle w:val="BodyText"/>
        <w:rPr>
          <w:sz w:val="20"/>
        </w:rPr>
      </w:pPr>
    </w:p>
    <w:p>
      <w:pPr>
        <w:pStyle w:val="BodyText"/>
        <w:spacing w:before="7"/>
        <w:rPr>
          <w:sz w:val="18"/>
        </w:rPr>
      </w:pPr>
    </w:p>
    <w:p>
      <w:pPr>
        <w:pStyle w:val="Heading2"/>
        <w:tabs>
          <w:tab w:pos="978" w:val="left" w:leader="none"/>
        </w:tabs>
        <w:spacing w:before="1"/>
      </w:pPr>
      <w:r>
        <w:rPr/>
        <w:pict>
          <v:group style="position:absolute;margin-left:45.66pt;margin-top:28.15004pt;width:504.5pt;height:1pt;mso-position-horizontal-relative:page;mso-position-vertical-relative:paragraph;z-index:1264;mso-wrap-distance-left:0;mso-wrap-distance-right:0" coordorigin="913,563" coordsize="10090,20">
            <v:line style="position:absolute" from="913,573" to="3647,573" stroked="true" strokeweight=".95996pt" strokecolor="#000000">
              <v:stroke dashstyle="solid"/>
            </v:line>
            <v:line style="position:absolute" from="3647,573" to="11003,573"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0"/>
        <w:rPr>
          <w:b/>
          <w:sz w:val="9"/>
        </w:rPr>
      </w:pPr>
    </w:p>
    <w:p>
      <w:pPr>
        <w:pStyle w:val="ListParagraph"/>
        <w:numPr>
          <w:ilvl w:val="1"/>
          <w:numId w:val="7"/>
        </w:numPr>
        <w:tabs>
          <w:tab w:pos="978" w:val="left" w:leader="none"/>
          <w:tab w:pos="979" w:val="left" w:leader="none"/>
          <w:tab w:pos="2935" w:val="left" w:leader="none"/>
        </w:tabs>
        <w:spacing w:line="273" w:lineRule="auto" w:before="35" w:after="0"/>
        <w:ind w:left="2935" w:right="226" w:hanging="2714"/>
        <w:jc w:val="left"/>
        <w:rPr>
          <w:sz w:val="21"/>
        </w:rPr>
      </w:pPr>
      <w:r>
        <w:rPr>
          <w:b/>
          <w:sz w:val="21"/>
        </w:rPr>
        <w:t>效力终止</w:t>
        <w:tab/>
      </w:r>
      <w:r>
        <w:rPr>
          <w:sz w:val="21"/>
        </w:rPr>
        <w:t>除主合同或本附加合同另有约定外，本附加合同的效力在主合同撤销、解除、期满、终止或变更为减额交清保险时自动终止。</w:t>
      </w:r>
    </w:p>
    <w:p>
      <w:pPr>
        <w:pStyle w:val="BodyText"/>
        <w:spacing w:before="11"/>
        <w:rPr>
          <w:sz w:val="17"/>
        </w:rPr>
      </w:pPr>
    </w:p>
    <w:p>
      <w:pPr>
        <w:pStyle w:val="ListParagraph"/>
        <w:numPr>
          <w:ilvl w:val="1"/>
          <w:numId w:val="7"/>
        </w:numPr>
        <w:tabs>
          <w:tab w:pos="978" w:val="left" w:leader="none"/>
          <w:tab w:pos="979" w:val="left" w:leader="none"/>
          <w:tab w:pos="2935" w:val="left" w:leader="none"/>
        </w:tabs>
        <w:spacing w:line="240" w:lineRule="auto" w:before="0" w:after="0"/>
        <w:ind w:left="978" w:right="0" w:hanging="757"/>
        <w:jc w:val="left"/>
        <w:rPr>
          <w:sz w:val="21"/>
        </w:rPr>
      </w:pPr>
      <w:r>
        <w:rPr>
          <w:b/>
          <w:sz w:val="21"/>
        </w:rPr>
        <w:t>适用主合同条款</w:t>
        <w:tab/>
      </w:r>
      <w:r>
        <w:rPr>
          <w:sz w:val="21"/>
        </w:rPr>
        <w:t>主合同订立的下列各项条款适用于本附加合同：</w:t>
      </w:r>
    </w:p>
    <w:p>
      <w:pPr>
        <w:pStyle w:val="BodyText"/>
        <w:spacing w:before="36"/>
        <w:ind w:left="2935"/>
      </w:pPr>
      <w:r>
        <w:rPr/>
        <w:t>（1）犹豫期</w:t>
      </w:r>
    </w:p>
    <w:p>
      <w:pPr>
        <w:pStyle w:val="BodyText"/>
        <w:spacing w:before="36"/>
        <w:ind w:left="2935"/>
      </w:pPr>
      <w:r>
        <w:rPr/>
        <w:t>（2）保险事故通知</w:t>
      </w:r>
    </w:p>
    <w:p>
      <w:pPr>
        <w:pStyle w:val="BodyText"/>
        <w:spacing w:before="36"/>
        <w:ind w:left="2935"/>
      </w:pPr>
      <w:r>
        <w:rPr/>
        <w:t>（3）保险金给付</w:t>
      </w:r>
    </w:p>
    <w:p>
      <w:pPr>
        <w:pStyle w:val="BodyText"/>
        <w:spacing w:before="36"/>
        <w:ind w:left="2935"/>
      </w:pPr>
      <w:r>
        <w:rPr/>
        <w:t>（4）明确说明与如实告知</w:t>
      </w:r>
    </w:p>
    <w:p>
      <w:pPr>
        <w:pStyle w:val="BodyText"/>
        <w:spacing w:before="36"/>
        <w:ind w:left="2935"/>
      </w:pPr>
      <w:r>
        <w:rPr/>
        <w:t>（5）本公司合同解除权的限制</w:t>
      </w:r>
    </w:p>
    <w:p>
      <w:pPr>
        <w:pStyle w:val="BodyText"/>
        <w:spacing w:before="36"/>
        <w:ind w:left="2935"/>
      </w:pPr>
      <w:r>
        <w:rPr/>
        <w:t>（6）年龄性别错误</w:t>
      </w:r>
    </w:p>
    <w:p>
      <w:pPr>
        <w:pStyle w:val="BodyText"/>
        <w:spacing w:before="36"/>
        <w:ind w:left="2935"/>
      </w:pPr>
      <w:r>
        <w:rPr/>
        <w:t>（7）未还款项</w:t>
      </w:r>
    </w:p>
    <w:p>
      <w:pPr>
        <w:pStyle w:val="BodyText"/>
        <w:spacing w:before="36"/>
        <w:ind w:left="2935"/>
      </w:pPr>
      <w:r>
        <w:rPr/>
        <w:t>（8）合同内容变更</w:t>
      </w:r>
    </w:p>
    <w:p>
      <w:pPr>
        <w:pStyle w:val="BodyText"/>
        <w:spacing w:before="36"/>
        <w:ind w:left="2935"/>
      </w:pPr>
      <w:r>
        <w:rPr/>
        <w:t>（9）争议处理</w:t>
      </w:r>
    </w:p>
    <w:p>
      <w:pPr>
        <w:pStyle w:val="BodyText"/>
        <w:spacing w:before="36"/>
        <w:ind w:left="2935"/>
      </w:pPr>
      <w:r>
        <w:rPr/>
        <w:t>如果主合同与本附加合同的条款互有抵触，则以本附加合同的条款为准。</w:t>
      </w:r>
    </w:p>
    <w:p>
      <w:pPr>
        <w:pStyle w:val="BodyText"/>
        <w:spacing w:before="4"/>
      </w:pPr>
    </w:p>
    <w:p>
      <w:pPr>
        <w:tabs>
          <w:tab w:pos="978" w:val="left" w:leader="none"/>
        </w:tabs>
        <w:spacing w:before="61"/>
        <w:ind w:left="221" w:right="0" w:firstLine="0"/>
        <w:jc w:val="left"/>
        <w:rPr>
          <w:b/>
          <w:sz w:val="24"/>
        </w:rPr>
      </w:pPr>
      <w:r>
        <w:rPr/>
        <w:pict>
          <v:group style="position:absolute;margin-left:45.66pt;margin-top:31.15008pt;width:504.5pt;height:1pt;mso-position-horizontal-relative:page;mso-position-vertical-relative:paragraph;z-index:1288;mso-wrap-distance-left:0;mso-wrap-distance-right:0" coordorigin="913,623" coordsize="10090,20">
            <v:line style="position:absolute" from="913,633" to="3647,633" stroked="true" strokeweight=".95999pt" strokecolor="#000000">
              <v:stroke dashstyle="solid"/>
            </v:line>
            <v:line style="position:absolute" from="3647,633" to="11003,633" stroked="true" strokeweight=".96pt" strokecolor="#000000">
              <v:stroke dashstyle="solid"/>
            </v:line>
            <w10:wrap type="topAndBottom"/>
          </v:group>
        </w:pict>
      </w:r>
      <w:r>
        <w:rPr>
          <w:rFonts w:ascii="Arial" w:hAnsi="Arial" w:eastAsia="Arial"/>
          <w:b/>
          <w:w w:val="110"/>
          <w:position w:val="-3"/>
          <w:sz w:val="40"/>
        </w:rPr>
        <w:t></w:t>
        <w:tab/>
      </w:r>
      <w:r>
        <w:rPr>
          <w:b/>
          <w:w w:val="95"/>
          <w:sz w:val="24"/>
        </w:rPr>
        <w:t>释义</w:t>
      </w:r>
    </w:p>
    <w:p>
      <w:pPr>
        <w:pStyle w:val="BodyText"/>
        <w:spacing w:before="10"/>
        <w:rPr>
          <w:b/>
          <w:sz w:val="9"/>
        </w:rPr>
      </w:pPr>
    </w:p>
    <w:p>
      <w:pPr>
        <w:pStyle w:val="ListParagraph"/>
        <w:numPr>
          <w:ilvl w:val="1"/>
          <w:numId w:val="8"/>
        </w:numPr>
        <w:tabs>
          <w:tab w:pos="979" w:val="left" w:leader="none"/>
          <w:tab w:pos="2935" w:val="left" w:leader="none"/>
        </w:tabs>
        <w:spacing w:line="273" w:lineRule="auto" w:before="35" w:after="0"/>
        <w:ind w:left="2935" w:right="226" w:hanging="2714"/>
        <w:jc w:val="both"/>
        <w:rPr>
          <w:sz w:val="21"/>
        </w:rPr>
      </w:pPr>
      <w:r>
        <w:rPr>
          <w:b/>
          <w:sz w:val="21"/>
        </w:rPr>
        <w:t>医院</w:t>
        <w:tab/>
      </w:r>
      <w:r>
        <w:rPr>
          <w:sz w:val="21"/>
        </w:rPr>
        <w:t>指国家卫生行政管理部门医院等级分类中的二级或二级以上的上海市内公立医院，或外省市的三级公立医院，但不包括主要提供门诊、康复、护理、疗养、戒酒、戒毒或相类似服务之医疗机构。同时该医院必须具有符合有关医院管理规定设置标准的医疗设备，并且提供二十四小时有合格专科医生及护士驻院的医疗和护理等服务。</w:t>
      </w:r>
    </w:p>
    <w:p>
      <w:pPr>
        <w:pStyle w:val="BodyText"/>
        <w:spacing w:before="12"/>
        <w:rPr>
          <w:sz w:val="17"/>
        </w:rPr>
      </w:pPr>
    </w:p>
    <w:p>
      <w:pPr>
        <w:pStyle w:val="ListParagraph"/>
        <w:numPr>
          <w:ilvl w:val="1"/>
          <w:numId w:val="8"/>
        </w:numPr>
        <w:tabs>
          <w:tab w:pos="979" w:val="left" w:leader="none"/>
          <w:tab w:pos="2935" w:val="left" w:leader="none"/>
        </w:tabs>
        <w:spacing w:line="273" w:lineRule="auto" w:before="0" w:after="0"/>
        <w:ind w:left="2935" w:right="207" w:hanging="2714"/>
        <w:jc w:val="both"/>
        <w:rPr>
          <w:sz w:val="21"/>
        </w:rPr>
      </w:pPr>
      <w:r>
        <w:rPr>
          <w:b/>
          <w:spacing w:val="0"/>
          <w:w w:val="99"/>
          <w:sz w:val="21"/>
        </w:rPr>
        <w:t>专科医</w:t>
      </w:r>
      <w:r>
        <w:rPr>
          <w:b/>
          <w:w w:val="99"/>
          <w:sz w:val="21"/>
        </w:rPr>
        <w:t>生</w:t>
      </w:r>
      <w:r>
        <w:rPr>
          <w:b/>
          <w:sz w:val="21"/>
        </w:rPr>
        <w:tab/>
      </w:r>
      <w:r>
        <w:rPr>
          <w:sz w:val="21"/>
        </w:rPr>
        <w:t>专科医生应当同时满足以下四项资格条件</w:t>
      </w:r>
      <w:r>
        <w:rPr>
          <w:spacing w:val="-168"/>
          <w:sz w:val="21"/>
        </w:rPr>
        <w:t>：</w:t>
      </w:r>
      <w:r>
        <w:rPr>
          <w:sz w:val="21"/>
        </w:rPr>
        <w:t>（1</w:t>
      </w:r>
      <w:r>
        <w:rPr>
          <w:spacing w:val="-65"/>
          <w:sz w:val="21"/>
        </w:rPr>
        <w:t>）</w:t>
      </w:r>
      <w:r>
        <w:rPr>
          <w:sz w:val="21"/>
        </w:rPr>
        <w:t>具有有效的中华人民共和</w:t>
      </w:r>
      <w:r>
        <w:rPr>
          <w:spacing w:val="-64"/>
          <w:sz w:val="21"/>
        </w:rPr>
        <w:t>国</w:t>
      </w:r>
      <w:r>
        <w:rPr>
          <w:sz w:val="21"/>
        </w:rPr>
        <w:t>《医师资格证书</w:t>
      </w:r>
      <w:r>
        <w:rPr>
          <w:spacing w:val="-106"/>
          <w:sz w:val="21"/>
        </w:rPr>
        <w:t>》</w:t>
      </w:r>
      <w:r>
        <w:rPr>
          <w:spacing w:val="-105"/>
          <w:sz w:val="21"/>
        </w:rPr>
        <w:t>；</w:t>
      </w:r>
      <w:r>
        <w:rPr>
          <w:sz w:val="21"/>
        </w:rPr>
        <w:t>（2）具</w:t>
      </w:r>
      <w:r>
        <w:rPr>
          <w:spacing w:val="-2"/>
          <w:sz w:val="21"/>
        </w:rPr>
        <w:t>有</w:t>
      </w:r>
      <w:r>
        <w:rPr>
          <w:sz w:val="21"/>
        </w:rPr>
        <w:t>有效的中华人民共和国《医师执业证书</w:t>
      </w:r>
      <w:r>
        <w:rPr>
          <w:spacing w:val="-105"/>
          <w:sz w:val="21"/>
        </w:rPr>
        <w:t>》</w:t>
      </w:r>
      <w:r>
        <w:rPr>
          <w:sz w:val="21"/>
        </w:rPr>
        <w:t>，并</w:t>
      </w:r>
      <w:r>
        <w:rPr>
          <w:spacing w:val="-2"/>
          <w:sz w:val="21"/>
        </w:rPr>
        <w:t>按</w:t>
      </w:r>
      <w:r>
        <w:rPr>
          <w:sz w:val="21"/>
        </w:rPr>
        <w:t>期到相关部门登记注册</w:t>
      </w:r>
      <w:r>
        <w:rPr>
          <w:spacing w:val="-105"/>
          <w:sz w:val="21"/>
        </w:rPr>
        <w:t>；</w:t>
      </w:r>
      <w:r>
        <w:rPr>
          <w:sz w:val="21"/>
        </w:rPr>
        <w:t>（3</w:t>
      </w:r>
      <w:r>
        <w:rPr>
          <w:spacing w:val="-2"/>
          <w:sz w:val="21"/>
        </w:rPr>
        <w:t>）</w:t>
      </w:r>
      <w:r>
        <w:rPr>
          <w:sz w:val="21"/>
        </w:rPr>
        <w:t>具有有效的中华人民共和国主治医师或主治医师以上职称</w:t>
      </w:r>
      <w:r>
        <w:rPr>
          <w:spacing w:val="-29"/>
          <w:sz w:val="21"/>
        </w:rPr>
        <w:t>的</w:t>
      </w:r>
      <w:r>
        <w:rPr>
          <w:sz w:val="21"/>
        </w:rPr>
        <w:t>《医师职称证书</w:t>
      </w:r>
      <w:r>
        <w:rPr>
          <w:spacing w:val="-105"/>
          <w:sz w:val="21"/>
        </w:rPr>
        <w:t>》</w:t>
      </w:r>
      <w:r>
        <w:rPr>
          <w:spacing w:val="-135"/>
          <w:sz w:val="21"/>
        </w:rPr>
        <w:t>；</w:t>
      </w:r>
      <w:r>
        <w:rPr>
          <w:sz w:val="21"/>
        </w:rPr>
        <w:t>（4</w:t>
      </w:r>
      <w:r>
        <w:rPr>
          <w:spacing w:val="-29"/>
          <w:sz w:val="21"/>
        </w:rPr>
        <w:t>）</w:t>
      </w:r>
      <w:r>
        <w:rPr>
          <w:sz w:val="21"/>
        </w:rPr>
        <w:t>在二级或二级以上医院的相应科室从事临床工作三年以上。</w:t>
      </w:r>
    </w:p>
    <w:p>
      <w:pPr>
        <w:pStyle w:val="BodyText"/>
        <w:spacing w:before="7"/>
        <w:ind w:left="2935"/>
      </w:pPr>
      <w:r>
        <w:rPr/>
        <w:t>专科医生不包括被保险人本人及其直系亲属。</w:t>
      </w:r>
    </w:p>
    <w:p>
      <w:pPr>
        <w:pStyle w:val="BodyText"/>
        <w:spacing w:before="2"/>
        <w:rPr>
          <w:sz w:val="20"/>
        </w:rPr>
      </w:pPr>
    </w:p>
    <w:p>
      <w:pPr>
        <w:pStyle w:val="ListParagraph"/>
        <w:numPr>
          <w:ilvl w:val="1"/>
          <w:numId w:val="8"/>
        </w:numPr>
        <w:tabs>
          <w:tab w:pos="978" w:val="left" w:leader="none"/>
          <w:tab w:pos="979" w:val="left" w:leader="none"/>
          <w:tab w:pos="2935" w:val="left" w:leader="none"/>
        </w:tabs>
        <w:spacing w:line="240" w:lineRule="auto" w:before="0" w:after="0"/>
        <w:ind w:left="2935" w:right="0" w:hanging="2714"/>
        <w:jc w:val="left"/>
        <w:rPr>
          <w:sz w:val="21"/>
        </w:rPr>
      </w:pPr>
      <w:r>
        <w:rPr>
          <w:b/>
          <w:sz w:val="21"/>
        </w:rPr>
        <w:t>重大疾病</w:t>
        <w:tab/>
      </w:r>
      <w:r>
        <w:rPr>
          <w:sz w:val="21"/>
        </w:rPr>
        <w:t>指下列任何一种疾病：</w:t>
      </w:r>
    </w:p>
    <w:p>
      <w:pPr>
        <w:pStyle w:val="BodyText"/>
        <w:spacing w:before="2"/>
        <w:rPr>
          <w:sz w:val="20"/>
        </w:rPr>
      </w:pPr>
    </w:p>
    <w:p>
      <w:pPr>
        <w:pStyle w:val="BodyText"/>
        <w:tabs>
          <w:tab w:pos="2935" w:val="left" w:leader="none"/>
        </w:tabs>
        <w:spacing w:line="273" w:lineRule="auto"/>
        <w:ind w:left="2935" w:right="226" w:hanging="1958"/>
        <w:jc w:val="both"/>
      </w:pPr>
      <w:r>
        <w:rPr>
          <w:b/>
        </w:rPr>
        <w:t>恶性肿瘤</w:t>
        <w:tab/>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7"/>
        <w:ind w:left="2935" w:right="4636"/>
      </w:pPr>
      <w:r>
        <w:rPr/>
        <w:t>（ICD-10）的恶性肿瘤范畴。下列疾病不在保障范围内：</w:t>
      </w:r>
    </w:p>
    <w:p>
      <w:pPr>
        <w:pStyle w:val="BodyText"/>
        <w:spacing w:before="7"/>
        <w:ind w:left="2935"/>
      </w:pPr>
      <w:r>
        <w:rPr/>
        <w:t>（1）原位癌；</w:t>
      </w:r>
    </w:p>
    <w:p>
      <w:pPr>
        <w:pStyle w:val="BodyText"/>
        <w:spacing w:before="37"/>
        <w:ind w:left="2935"/>
      </w:pPr>
      <w:r>
        <w:rPr/>
        <w:t>（2）相当于Binet 分期方案 A 期程度的慢性淋巴细胞白血病；</w:t>
      </w:r>
    </w:p>
    <w:p>
      <w:pPr>
        <w:pStyle w:val="BodyText"/>
        <w:spacing w:before="37"/>
        <w:ind w:left="2935"/>
      </w:pPr>
      <w:r>
        <w:rPr/>
        <w:t>（3）相当于Ann Arbor 分期方案 I 期程度的何杰金氏病；</w:t>
      </w:r>
    </w:p>
    <w:p>
      <w:pPr>
        <w:pStyle w:val="BodyText"/>
        <w:spacing w:before="37"/>
        <w:ind w:left="2935"/>
      </w:pPr>
      <w:r>
        <w:rPr/>
        <w:t>（4）</w:t>
      </w:r>
      <w:r>
        <w:rPr>
          <w:spacing w:val="-1"/>
        </w:rPr>
        <w:t>皮肤癌</w:t>
      </w:r>
      <w:r>
        <w:rPr/>
        <w:t>（不包括恶性黑色素瘤及已发生转移的皮肤癌</w:t>
      </w:r>
      <w:r>
        <w:rPr>
          <w:spacing w:val="-106"/>
        </w:rPr>
        <w:t>）</w:t>
      </w:r>
      <w:r>
        <w:rPr/>
        <w:t>；</w:t>
      </w:r>
    </w:p>
    <w:p>
      <w:pPr>
        <w:pStyle w:val="BodyText"/>
        <w:spacing w:before="37"/>
        <w:ind w:left="2935"/>
      </w:pPr>
      <w:r>
        <w:rPr/>
        <w:t>（5）TNM 分期为 T1N0M0 期或更轻分期的前列腺癌；</w:t>
      </w:r>
    </w:p>
    <w:p>
      <w:pPr>
        <w:spacing w:after="0"/>
        <w:sectPr>
          <w:pgSz w:w="11910" w:h="16840"/>
          <w:pgMar w:header="0" w:footer="460" w:top="1100" w:bottom="660" w:left="800" w:right="800"/>
        </w:sectPr>
      </w:pPr>
    </w:p>
    <w:p>
      <w:pPr>
        <w:pStyle w:val="BodyText"/>
        <w:spacing w:before="19"/>
        <w:ind w:left="2075"/>
      </w:pPr>
      <w:r>
        <w:rPr/>
        <w:t>（6）感染艾滋病病毒或患艾滋病期间所患恶性肿瘤。</w:t>
      </w:r>
    </w:p>
    <w:p>
      <w:pPr>
        <w:pStyle w:val="BodyText"/>
        <w:spacing w:before="2"/>
        <w:rPr>
          <w:sz w:val="20"/>
        </w:rPr>
      </w:pPr>
    </w:p>
    <w:p>
      <w:pPr>
        <w:spacing w:line="273" w:lineRule="auto" w:before="0"/>
        <w:ind w:left="2075" w:right="226" w:hanging="1958"/>
        <w:jc w:val="both"/>
        <w:rPr>
          <w:sz w:val="21"/>
        </w:rPr>
      </w:pPr>
      <w:r>
        <w:rPr>
          <w:b/>
          <w:sz w:val="21"/>
        </w:rPr>
        <w:t>急性心肌梗塞     </w:t>
      </w:r>
      <w:r>
        <w:rPr>
          <w:sz w:val="21"/>
        </w:rPr>
        <w:t>指因冠状动脉阻塞导致的相应区域供血不足造成部分心肌坏死。须满足下列至少三项条件：</w:t>
      </w:r>
    </w:p>
    <w:p>
      <w:pPr>
        <w:pStyle w:val="BodyText"/>
        <w:spacing w:before="7"/>
        <w:ind w:left="2075"/>
      </w:pPr>
      <w:r>
        <w:rPr/>
        <w:t>（1）典型临床表现，例如急性胸痛等；</w:t>
      </w:r>
    </w:p>
    <w:p>
      <w:pPr>
        <w:pStyle w:val="BodyText"/>
        <w:spacing w:before="36"/>
        <w:ind w:left="2075"/>
      </w:pPr>
      <w:r>
        <w:rPr/>
        <w:t>（2）新近的心电图改变提示急性心肌梗塞；</w:t>
      </w:r>
    </w:p>
    <w:p>
      <w:pPr>
        <w:pStyle w:val="BodyText"/>
        <w:spacing w:line="273" w:lineRule="auto" w:before="36"/>
        <w:ind w:left="2601" w:right="128" w:hanging="526"/>
      </w:pPr>
      <w:r>
        <w:rPr/>
        <w:t>（3）心肌酶或肌钙蛋白有诊断意义的升高，或呈符合急性心肌梗塞的动态性变化；</w:t>
      </w:r>
    </w:p>
    <w:p>
      <w:pPr>
        <w:pStyle w:val="BodyText"/>
        <w:spacing w:before="7"/>
        <w:ind w:left="2075"/>
      </w:pPr>
      <w:r>
        <w:rPr>
          <w:spacing w:val="-4"/>
        </w:rPr>
        <w:t>（4）</w:t>
      </w:r>
      <w:r>
        <w:rPr>
          <w:spacing w:val="-19"/>
        </w:rPr>
        <w:t>发病 </w:t>
      </w:r>
      <w:r>
        <w:rPr/>
        <w:t>90</w:t>
      </w:r>
      <w:r>
        <w:rPr>
          <w:spacing w:val="-12"/>
        </w:rPr>
        <w:t> 天后，经检查证实左心室功能降低，如左心室射血分数低于 </w:t>
      </w:r>
      <w:r>
        <w:rPr/>
        <w:t>50%。</w:t>
      </w:r>
    </w:p>
    <w:p>
      <w:pPr>
        <w:pStyle w:val="BodyText"/>
        <w:spacing w:before="2"/>
        <w:rPr>
          <w:sz w:val="20"/>
        </w:rPr>
      </w:pPr>
    </w:p>
    <w:p>
      <w:pPr>
        <w:pStyle w:val="BodyText"/>
        <w:spacing w:line="273" w:lineRule="auto"/>
        <w:ind w:left="2075" w:right="226" w:hanging="1958"/>
        <w:jc w:val="both"/>
      </w:pPr>
      <w:r>
        <w:rPr>
          <w:b/>
          <w:spacing w:val="5"/>
        </w:rPr>
        <w:t>脑中风后遗症     </w:t>
      </w:r>
      <w:r>
        <w:rPr/>
        <w:t>指因脑血管的突发病变引起脑血管出血、栓塞或梗塞，并导致神经系统永久性</w:t>
      </w:r>
      <w:r>
        <w:rPr>
          <w:spacing w:val="-3"/>
        </w:rPr>
        <w:t>的功能障碍。神经系统永久性的功能障碍，指疾病确诊 </w:t>
      </w:r>
      <w:r>
        <w:rPr/>
        <w:t>180</w:t>
      </w:r>
      <w:r>
        <w:rPr>
          <w:spacing w:val="-8"/>
        </w:rPr>
        <w:t> 天后，仍遗留下列</w:t>
      </w:r>
      <w:r>
        <w:rPr>
          <w:spacing w:val="-1"/>
        </w:rPr>
        <w:t>一种或一种以上障碍：</w:t>
      </w:r>
    </w:p>
    <w:p>
      <w:pPr>
        <w:pStyle w:val="BodyText"/>
        <w:spacing w:before="7"/>
        <w:ind w:left="2075"/>
      </w:pPr>
      <w:r>
        <w:rPr/>
        <w:t>（1）一肢或一肢以上肢体机能完全丧失；</w:t>
      </w:r>
    </w:p>
    <w:p>
      <w:pPr>
        <w:pStyle w:val="BodyText"/>
        <w:spacing w:before="36"/>
        <w:ind w:left="2075"/>
      </w:pPr>
      <w:r>
        <w:rPr/>
        <w:t>（2）语言能力或咀嚼吞咽能力完全丧失；</w:t>
      </w:r>
    </w:p>
    <w:p>
      <w:pPr>
        <w:pStyle w:val="BodyText"/>
        <w:spacing w:line="273" w:lineRule="auto" w:before="36"/>
        <w:ind w:left="2579" w:right="128" w:hanging="504"/>
      </w:pPr>
      <w:r>
        <w:rPr/>
        <w:t>（3）自主生活能力完全丧失，无法独立完成六项基本日常生活活动中的三项或三项以上。</w:t>
      </w:r>
    </w:p>
    <w:p>
      <w:pPr>
        <w:pStyle w:val="BodyText"/>
        <w:spacing w:before="2"/>
        <w:rPr>
          <w:sz w:val="15"/>
        </w:rPr>
      </w:pPr>
    </w:p>
    <w:p>
      <w:pPr>
        <w:spacing w:after="0"/>
        <w:rPr>
          <w:sz w:val="15"/>
        </w:rPr>
        <w:sectPr>
          <w:pgSz w:w="11910" w:h="16840"/>
          <w:pgMar w:header="0" w:footer="460" w:top="1100" w:bottom="660" w:left="1660" w:right="800"/>
        </w:sectPr>
      </w:pPr>
    </w:p>
    <w:p>
      <w:pPr>
        <w:pStyle w:val="Heading3"/>
        <w:spacing w:line="273" w:lineRule="auto"/>
        <w:ind w:left="118"/>
      </w:pPr>
      <w:r>
        <w:rPr/>
        <w:t>重大器官移植术或</w:t>
      </w:r>
      <w:r>
        <w:rPr>
          <w:w w:val="95"/>
        </w:rPr>
        <w:t>造血干细胞移植术</w:t>
      </w:r>
    </w:p>
    <w:p>
      <w:pPr>
        <w:pStyle w:val="BodyText"/>
        <w:spacing w:line="273" w:lineRule="auto" w:before="35"/>
        <w:ind w:left="118" w:right="226"/>
        <w:jc w:val="both"/>
      </w:pPr>
      <w:r>
        <w:rPr/>
        <w:br w:type="column"/>
      </w:r>
      <w:r>
        <w:rPr/>
        <w:t>重大器官移植术，指因相应器官功能衰竭，已经实施了肾脏、肝脏、心脏或肺脏的异体移植手术。</w:t>
      </w:r>
    </w:p>
    <w:p>
      <w:pPr>
        <w:pStyle w:val="BodyText"/>
        <w:spacing w:line="273" w:lineRule="auto" w:before="7"/>
        <w:ind w:left="118" w:right="226"/>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20" w:bottom="280" w:left="1660" w:right="800"/>
          <w:cols w:num="2" w:equalWidth="0">
            <w:col w:w="1806" w:space="151"/>
            <w:col w:w="7493"/>
          </w:cols>
        </w:sectPr>
      </w:pPr>
    </w:p>
    <w:p>
      <w:pPr>
        <w:pStyle w:val="BodyText"/>
        <w:spacing w:before="4"/>
        <w:rPr>
          <w:sz w:val="15"/>
        </w:rPr>
      </w:pPr>
    </w:p>
    <w:p>
      <w:pPr>
        <w:spacing w:after="0"/>
        <w:rPr>
          <w:sz w:val="15"/>
        </w:rPr>
        <w:sectPr>
          <w:type w:val="continuous"/>
          <w:pgSz w:w="11910" w:h="16840"/>
          <w:pgMar w:top="520" w:bottom="280" w:left="1660" w:right="800"/>
        </w:sectPr>
      </w:pPr>
    </w:p>
    <w:p>
      <w:pPr>
        <w:pStyle w:val="Heading3"/>
        <w:ind w:left="118"/>
      </w:pPr>
      <w:r>
        <w:rPr>
          <w:w w:val="95"/>
        </w:rPr>
        <w:t>冠状动脉搭桥术</w:t>
      </w:r>
    </w:p>
    <w:p>
      <w:pPr>
        <w:spacing w:line="273" w:lineRule="auto" w:before="37"/>
        <w:ind w:left="118" w:right="0" w:firstLine="0"/>
        <w:jc w:val="left"/>
        <w:rPr>
          <w:b/>
          <w:sz w:val="21"/>
        </w:rPr>
      </w:pPr>
      <w:r>
        <w:rPr>
          <w:b/>
          <w:sz w:val="21"/>
        </w:rPr>
        <w:t>（或称冠状动脉旁</w:t>
      </w:r>
      <w:r>
        <w:rPr>
          <w:b/>
          <w:w w:val="95"/>
          <w:sz w:val="21"/>
        </w:rPr>
        <w:t>路移植术）</w:t>
      </w:r>
    </w:p>
    <w:p>
      <w:pPr>
        <w:pStyle w:val="BodyText"/>
        <w:spacing w:line="273" w:lineRule="auto" w:before="35"/>
        <w:ind w:left="118" w:right="103"/>
      </w:pPr>
      <w:r>
        <w:rPr/>
        <w:br w:type="column"/>
      </w:r>
      <w:r>
        <w:rPr>
          <w:spacing w:val="-8"/>
        </w:rPr>
        <w:t>指为治疗严重的冠心病，实际实施了开胸进行的冠状动脉血管旁路移植的手术。冠状动脉支架植入术、心导管球囊扩张术、激光射频技术及其它非开胸的介入手术、腔镜手术不在保障范围内。</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2"/>
        <w:rPr>
          <w:sz w:val="15"/>
        </w:rPr>
      </w:pPr>
    </w:p>
    <w:p>
      <w:pPr>
        <w:spacing w:after="0"/>
        <w:rPr>
          <w:sz w:val="15"/>
        </w:rPr>
        <w:sectPr>
          <w:type w:val="continuous"/>
          <w:pgSz w:w="11910" w:h="16840"/>
          <w:pgMar w:top="520" w:bottom="280" w:left="1660" w:right="800"/>
        </w:sectPr>
      </w:pPr>
    </w:p>
    <w:p>
      <w:pPr>
        <w:pStyle w:val="Heading3"/>
        <w:spacing w:line="273" w:lineRule="auto" w:before="36"/>
        <w:ind w:left="118"/>
        <w:jc w:val="both"/>
      </w:pPr>
      <w:r>
        <w:rPr/>
        <w:t>终末期肾病（或称慢性肾功能衰竭尿毒症期）</w:t>
      </w:r>
    </w:p>
    <w:p>
      <w:pPr>
        <w:pStyle w:val="BodyText"/>
        <w:spacing w:line="273" w:lineRule="auto" w:before="36"/>
        <w:ind w:left="118" w:right="320"/>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3"/>
        <w:rPr>
          <w:sz w:val="15"/>
        </w:rPr>
      </w:pPr>
    </w:p>
    <w:p>
      <w:pPr>
        <w:spacing w:after="0"/>
        <w:rPr>
          <w:sz w:val="15"/>
        </w:rPr>
        <w:sectPr>
          <w:type w:val="continuous"/>
          <w:pgSz w:w="11910" w:h="16840"/>
          <w:pgMar w:top="520" w:bottom="280" w:left="1660" w:right="800"/>
        </w:sectPr>
      </w:pPr>
    </w:p>
    <w:p>
      <w:pPr>
        <w:pStyle w:val="Heading3"/>
        <w:spacing w:line="273" w:lineRule="auto"/>
        <w:ind w:left="118"/>
      </w:pPr>
      <w:r>
        <w:rPr/>
        <w:t>慢性肝功能衰竭失代偿期</w:t>
      </w:r>
    </w:p>
    <w:p>
      <w:pPr>
        <w:pStyle w:val="BodyText"/>
        <w:spacing w:before="35"/>
        <w:ind w:left="118"/>
      </w:pPr>
      <w:r>
        <w:rPr/>
        <w:br w:type="column"/>
      </w:r>
      <w:r>
        <w:rPr/>
        <w:t>指因慢性肝脏疾病导致肝功能衰竭。须满足下列全部条件：</w:t>
      </w:r>
    </w:p>
    <w:p>
      <w:pPr>
        <w:pStyle w:val="BodyText"/>
        <w:spacing w:before="37"/>
        <w:ind w:left="118"/>
      </w:pPr>
      <w:r>
        <w:rPr/>
        <w:t>（1）持续性黄疸；</w:t>
      </w:r>
    </w:p>
    <w:p>
      <w:pPr>
        <w:pStyle w:val="BodyText"/>
        <w:spacing w:before="37"/>
        <w:ind w:left="118"/>
      </w:pPr>
      <w:r>
        <w:rPr/>
        <w:t>（2）腹水；</w:t>
      </w:r>
    </w:p>
    <w:p>
      <w:pPr>
        <w:pStyle w:val="BodyText"/>
        <w:spacing w:before="37"/>
        <w:ind w:left="118"/>
      </w:pPr>
      <w:r>
        <w:rPr/>
        <w:t>（3）肝性脑病；</w:t>
      </w:r>
    </w:p>
    <w:p>
      <w:pPr>
        <w:pStyle w:val="BodyText"/>
        <w:spacing w:line="273" w:lineRule="auto" w:before="37"/>
        <w:ind w:left="118" w:right="2223"/>
      </w:pPr>
      <w:r>
        <w:rPr/>
        <w:t>（4）充血性脾肿大伴脾功能亢进或食管胃底静脉曲张。因酗酒或药物滥用导致的肝功能衰竭不在保障范围内。</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2"/>
        <w:rPr>
          <w:sz w:val="15"/>
        </w:rPr>
      </w:pPr>
    </w:p>
    <w:p>
      <w:pPr>
        <w:pStyle w:val="BodyText"/>
        <w:tabs>
          <w:tab w:pos="2075" w:val="left" w:leader="none"/>
        </w:tabs>
        <w:spacing w:line="273" w:lineRule="auto" w:before="36"/>
        <w:ind w:left="2075" w:right="226" w:hanging="1958"/>
        <w:jc w:val="both"/>
      </w:pPr>
      <w:r>
        <w:rPr>
          <w:b/>
        </w:rPr>
        <w:t>深度昏迷</w:t>
        <w:tab/>
      </w:r>
      <w:r>
        <w:rPr/>
        <w:t>指因疾病或意外伤害导致意识丧失，对外界刺激和体内需求均无反应，昏迷程度按照格拉斯哥昏迷分级（Glasgow</w:t>
      </w:r>
      <w:r>
        <w:rPr>
          <w:spacing w:val="-9"/>
        </w:rPr>
        <w:t> </w:t>
      </w:r>
      <w:r>
        <w:rPr/>
        <w:t>coma</w:t>
      </w:r>
      <w:r>
        <w:rPr>
          <w:spacing w:val="-9"/>
        </w:rPr>
        <w:t> </w:t>
      </w:r>
      <w:r>
        <w:rPr/>
        <w:t>scale）结果为</w:t>
      </w:r>
      <w:r>
        <w:rPr>
          <w:spacing w:val="-57"/>
        </w:rPr>
        <w:t> </w:t>
      </w:r>
      <w:r>
        <w:rPr/>
        <w:t>5</w:t>
      </w:r>
      <w:r>
        <w:rPr>
          <w:spacing w:val="-57"/>
        </w:rPr>
        <w:t> </w:t>
      </w:r>
      <w:r>
        <w:rPr/>
        <w:t>分或</w:t>
      </w:r>
      <w:r>
        <w:rPr>
          <w:spacing w:val="-57"/>
        </w:rPr>
        <w:t> </w:t>
      </w:r>
      <w:r>
        <w:rPr/>
        <w:t>5</w:t>
      </w:r>
      <w:r>
        <w:rPr>
          <w:spacing w:val="-56"/>
        </w:rPr>
        <w:t> </w:t>
      </w:r>
      <w:r>
        <w:rPr/>
        <w:t>分以下，且已经持续使用呼吸机及其它生命维持系统</w:t>
      </w:r>
      <w:r>
        <w:rPr>
          <w:spacing w:val="-65"/>
        </w:rPr>
        <w:t> </w:t>
      </w:r>
      <w:r>
        <w:rPr/>
        <w:t>96</w:t>
      </w:r>
      <w:r>
        <w:rPr>
          <w:spacing w:val="-65"/>
        </w:rPr>
        <w:t> </w:t>
      </w:r>
      <w:r>
        <w:rPr/>
        <w:t>小时以上。</w:t>
      </w:r>
    </w:p>
    <w:p>
      <w:pPr>
        <w:pStyle w:val="BodyText"/>
        <w:spacing w:before="8"/>
        <w:ind w:left="2075"/>
      </w:pPr>
      <w:r>
        <w:rPr/>
        <w:t>因酗酒或药物滥用导致的深度昏迷不在保障范围内。</w:t>
      </w:r>
    </w:p>
    <w:p>
      <w:pPr>
        <w:pStyle w:val="BodyText"/>
        <w:spacing w:before="2"/>
        <w:rPr>
          <w:sz w:val="20"/>
        </w:rPr>
      </w:pPr>
    </w:p>
    <w:p>
      <w:pPr>
        <w:pStyle w:val="BodyText"/>
        <w:tabs>
          <w:tab w:pos="2075" w:val="left" w:leader="none"/>
        </w:tabs>
        <w:spacing w:line="273" w:lineRule="auto"/>
        <w:ind w:left="2075" w:right="226" w:hanging="1958"/>
        <w:jc w:val="both"/>
      </w:pPr>
      <w:r>
        <w:rPr>
          <w:b/>
        </w:rPr>
        <w:t>双目失明</w:t>
        <w:tab/>
      </w:r>
      <w:r>
        <w:rPr/>
        <w:t>指因疾病或意外伤害导致双眼视力永久不可逆性丧失，双眼中较好眼须满足下</w:t>
      </w:r>
      <w:r>
        <w:rPr>
          <w:spacing w:val="-1"/>
        </w:rPr>
        <w:t>列至少一项条件：</w:t>
      </w:r>
    </w:p>
    <w:p>
      <w:pPr>
        <w:pStyle w:val="BodyText"/>
        <w:spacing w:before="7"/>
        <w:ind w:left="2075"/>
      </w:pPr>
      <w:r>
        <w:rPr/>
        <w:t>（1）眼球缺失或摘除；</w:t>
      </w:r>
    </w:p>
    <w:p>
      <w:pPr>
        <w:pStyle w:val="BodyText"/>
        <w:spacing w:before="37"/>
        <w:ind w:left="2075"/>
      </w:pPr>
      <w:r>
        <w:rPr/>
        <w:t>（2）矫正视力低于 0.02（采用国际标准视力表，如果使用其它视力表应进行</w:t>
      </w:r>
    </w:p>
    <w:p>
      <w:pPr>
        <w:spacing w:after="0"/>
        <w:sectPr>
          <w:type w:val="continuous"/>
          <w:pgSz w:w="11910" w:h="16840"/>
          <w:pgMar w:top="520" w:bottom="280" w:left="1660" w:right="800"/>
        </w:sectPr>
      </w:pPr>
    </w:p>
    <w:p>
      <w:pPr>
        <w:pStyle w:val="BodyText"/>
        <w:spacing w:before="19"/>
        <w:ind w:left="3341"/>
      </w:pPr>
      <w:r>
        <w:rPr/>
        <w:t>换算</w:t>
      </w:r>
      <w:r>
        <w:rPr>
          <w:spacing w:val="-105"/>
        </w:rPr>
        <w:t>）</w:t>
      </w:r>
      <w:r>
        <w:rPr/>
        <w:t>；</w:t>
      </w:r>
    </w:p>
    <w:p>
      <w:pPr>
        <w:pStyle w:val="BodyText"/>
        <w:spacing w:before="37"/>
        <w:ind w:left="2815"/>
      </w:pPr>
      <w:r>
        <w:rPr/>
        <w:t>（3）视野半径小于 5 度。</w:t>
      </w:r>
    </w:p>
    <w:p>
      <w:pPr>
        <w:pStyle w:val="BodyText"/>
        <w:spacing w:before="2"/>
        <w:rPr>
          <w:sz w:val="20"/>
        </w:rPr>
      </w:pPr>
    </w:p>
    <w:p>
      <w:pPr>
        <w:pStyle w:val="BodyText"/>
        <w:tabs>
          <w:tab w:pos="2815" w:val="left" w:leader="none"/>
        </w:tabs>
        <w:spacing w:line="273" w:lineRule="auto"/>
        <w:ind w:left="2815" w:right="226" w:hanging="1958"/>
        <w:jc w:val="both"/>
      </w:pPr>
      <w:r>
        <w:rPr>
          <w:b/>
        </w:rPr>
        <w:t>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pStyle w:val="BodyText"/>
        <w:spacing w:before="11"/>
        <w:rPr>
          <w:sz w:val="17"/>
        </w:rPr>
      </w:pPr>
    </w:p>
    <w:p>
      <w:pPr>
        <w:pStyle w:val="BodyText"/>
        <w:tabs>
          <w:tab w:pos="2815" w:val="left" w:leader="none"/>
        </w:tabs>
        <w:spacing w:line="273" w:lineRule="auto" w:before="1"/>
        <w:ind w:left="2815" w:right="103" w:hanging="1958"/>
      </w:pPr>
      <w:r>
        <w:rPr>
          <w:b/>
        </w:rPr>
        <w:t>严重阿尔茨海默病</w:t>
        <w:tab/>
      </w:r>
      <w:r>
        <w:rPr/>
        <w:t>指因大脑进行性、不可逆性改变导致智能严重衰退或丧失，临床表现为明显的认知能力障碍</w:t>
      </w:r>
      <w:r>
        <w:rPr>
          <w:spacing w:val="-44"/>
        </w:rPr>
        <w:t>、</w:t>
      </w:r>
      <w:r>
        <w:rPr/>
        <w:t>行为异常和社交能力减退</w:t>
      </w:r>
      <w:r>
        <w:rPr>
          <w:spacing w:val="-44"/>
        </w:rPr>
        <w:t>，</w:t>
      </w:r>
      <w:r>
        <w:rPr/>
        <w:t>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或正电子发射断层扫描（PET）等影像学检查证实，且自主生活能力完全丧失，无法独立完成六项基本日常生</w:t>
      </w:r>
      <w:r>
        <w:rPr>
          <w:spacing w:val="-1"/>
        </w:rPr>
        <w:t>活活动中的三项或三项以上。</w:t>
      </w:r>
    </w:p>
    <w:p>
      <w:pPr>
        <w:pStyle w:val="BodyText"/>
        <w:spacing w:before="8"/>
        <w:ind w:left="2815"/>
      </w:pPr>
      <w:r>
        <w:rPr/>
        <w:t>神经官能症和精神疾病不在保障范围内。</w:t>
      </w:r>
    </w:p>
    <w:p>
      <w:pPr>
        <w:pStyle w:val="BodyText"/>
        <w:spacing w:before="2"/>
        <w:rPr>
          <w:sz w:val="20"/>
        </w:rPr>
      </w:pPr>
    </w:p>
    <w:p>
      <w:pPr>
        <w:spacing w:line="273" w:lineRule="auto" w:before="0"/>
        <w:ind w:left="2815" w:right="226" w:hanging="1958"/>
        <w:jc w:val="both"/>
        <w:rPr>
          <w:sz w:val="21"/>
        </w:rPr>
      </w:pPr>
      <w:r>
        <w:rPr>
          <w:b/>
          <w:sz w:val="21"/>
        </w:rPr>
        <w:t>严重帕金森病     </w:t>
      </w:r>
      <w:r>
        <w:rPr>
          <w:sz w:val="21"/>
        </w:rPr>
        <w:t>是一种中枢神经系统的退行性疾病，临床表现为震颤麻痹、共济失调等。须满足下列全部条件：</w:t>
      </w:r>
    </w:p>
    <w:p>
      <w:pPr>
        <w:pStyle w:val="BodyText"/>
        <w:spacing w:before="7"/>
        <w:ind w:left="2815"/>
      </w:pPr>
      <w:r>
        <w:rPr/>
        <w:t>（1）药物治疗无法控制病情；</w:t>
      </w:r>
    </w:p>
    <w:p>
      <w:pPr>
        <w:pStyle w:val="BodyText"/>
        <w:spacing w:line="273" w:lineRule="auto" w:before="37"/>
        <w:ind w:left="3341" w:right="128" w:hanging="526"/>
      </w:pPr>
      <w:r>
        <w:rPr/>
        <w:t>（2）自主生活能力完全丧失，无法独立完成六项基本日常生活活动中的三项或三项以上。</w:t>
      </w:r>
    </w:p>
    <w:p>
      <w:pPr>
        <w:pStyle w:val="BodyText"/>
        <w:spacing w:before="8"/>
        <w:ind w:left="2815"/>
      </w:pPr>
      <w:r>
        <w:rPr/>
        <w:t>继发性帕金森综合征不在保障范围内。</w:t>
      </w:r>
    </w:p>
    <w:p>
      <w:pPr>
        <w:pStyle w:val="BodyText"/>
        <w:spacing w:before="3"/>
        <w:rPr>
          <w:sz w:val="20"/>
        </w:rPr>
      </w:pPr>
    </w:p>
    <w:p>
      <w:pPr>
        <w:pStyle w:val="BodyText"/>
        <w:tabs>
          <w:tab w:pos="2815" w:val="left" w:leader="none"/>
        </w:tabs>
        <w:spacing w:line="273" w:lineRule="auto"/>
        <w:ind w:left="2815" w:right="121" w:hanging="1958"/>
      </w:pPr>
      <w:r>
        <w:rPr>
          <w:b/>
        </w:rPr>
        <w:t>严重Ⅲ度烧伤</w:t>
        <w:tab/>
      </w:r>
      <w:r>
        <w:rPr/>
        <w:t>指烧伤程度为Ⅲ度，且Ⅲ度烧伤的面积达到全身体表面积的</w:t>
      </w:r>
      <w:r>
        <w:rPr>
          <w:spacing w:val="-54"/>
        </w:rPr>
        <w:t> </w:t>
      </w:r>
      <w:r>
        <w:rPr/>
        <w:t>20％或</w:t>
      </w:r>
      <w:r>
        <w:rPr>
          <w:spacing w:val="-54"/>
        </w:rPr>
        <w:t> </w:t>
      </w:r>
      <w:r>
        <w:rPr/>
        <w:t>20％以上。体表面积根据《中国新九分法》计算。</w:t>
      </w:r>
    </w:p>
    <w:p>
      <w:pPr>
        <w:pStyle w:val="BodyText"/>
        <w:spacing w:before="11"/>
        <w:rPr>
          <w:sz w:val="17"/>
        </w:rPr>
      </w:pPr>
    </w:p>
    <w:p>
      <w:pPr>
        <w:pStyle w:val="BodyText"/>
        <w:spacing w:line="273" w:lineRule="auto"/>
        <w:ind w:left="2815" w:right="226" w:hanging="1958"/>
        <w:jc w:val="both"/>
      </w:pPr>
      <w:r>
        <w:rPr>
          <w:b/>
        </w:rPr>
        <w:t>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2815"/>
      </w:pPr>
      <w:r>
        <w:rPr/>
        <w:t>动脉内血管成形术不在保障范围内。</w:t>
      </w:r>
    </w:p>
    <w:p>
      <w:pPr>
        <w:pStyle w:val="BodyText"/>
        <w:spacing w:before="2"/>
        <w:rPr>
          <w:sz w:val="20"/>
        </w:rPr>
      </w:pPr>
    </w:p>
    <w:p>
      <w:pPr>
        <w:pStyle w:val="BodyText"/>
        <w:spacing w:line="273" w:lineRule="auto"/>
        <w:ind w:left="2815" w:right="208"/>
      </w:pPr>
      <w:r>
        <w:rPr>
          <w:spacing w:val="-21"/>
        </w:rPr>
        <w:t>以上 </w:t>
      </w:r>
      <w:r>
        <w:rPr/>
        <w:t>14</w:t>
      </w:r>
      <w:r>
        <w:rPr>
          <w:spacing w:val="-12"/>
        </w:rPr>
        <w:t> 种重大疾病的定义采用中国保险行业协会制定的《重大疾病保险的疾病</w:t>
      </w:r>
      <w:r>
        <w:rPr>
          <w:spacing w:val="-23"/>
        </w:rPr>
        <w:t>定义使用规范》。</w:t>
      </w:r>
    </w:p>
    <w:p>
      <w:pPr>
        <w:pStyle w:val="BodyText"/>
        <w:spacing w:before="12"/>
        <w:rPr>
          <w:sz w:val="17"/>
        </w:rPr>
      </w:pPr>
    </w:p>
    <w:p>
      <w:pPr>
        <w:tabs>
          <w:tab w:pos="2815" w:val="left" w:leader="none"/>
        </w:tabs>
        <w:spacing w:before="0"/>
        <w:ind w:left="858" w:right="0" w:firstLine="0"/>
        <w:jc w:val="left"/>
        <w:rPr>
          <w:sz w:val="21"/>
        </w:rPr>
      </w:pPr>
      <w:r>
        <w:rPr>
          <w:b/>
          <w:sz w:val="21"/>
        </w:rPr>
        <w:t>慢性呼吸功能衰竭</w:t>
        <w:tab/>
      </w:r>
      <w:r>
        <w:rPr>
          <w:sz w:val="21"/>
        </w:rPr>
        <w:t>是指末期肺部疾病包括间质肺部疾病所引起的慢性呼吸功能衰竭。肺功能测验</w:t>
      </w:r>
    </w:p>
    <w:p>
      <w:pPr>
        <w:pStyle w:val="BodyText"/>
        <w:spacing w:line="273" w:lineRule="auto" w:before="37"/>
        <w:ind w:left="2815" w:right="226"/>
        <w:jc w:val="both"/>
      </w:pPr>
      <w:r>
        <w:rPr/>
        <w:t>FEV1（第一秒钟末用力呼气量）</w:t>
      </w:r>
      <w:r>
        <w:rPr>
          <w:spacing w:val="-19"/>
        </w:rPr>
        <w:t>少于 </w:t>
      </w:r>
      <w:r>
        <w:rPr/>
        <w:t>1</w:t>
      </w:r>
      <w:r>
        <w:rPr>
          <w:spacing w:val="-8"/>
        </w:rPr>
        <w:t> 公升且需要持久大量的氧气治疗，动脉血气分析结果符合重度呼吸衰竭诊断标准，静止时也感到呼吸困难。诊断必须由呼吸专科医生确认。</w:t>
      </w:r>
    </w:p>
    <w:p>
      <w:pPr>
        <w:pStyle w:val="BodyText"/>
        <w:spacing w:before="11"/>
        <w:rPr>
          <w:sz w:val="17"/>
        </w:rPr>
      </w:pPr>
    </w:p>
    <w:p>
      <w:pPr>
        <w:pStyle w:val="BodyText"/>
        <w:spacing w:line="273" w:lineRule="auto" w:before="1"/>
        <w:ind w:left="2815" w:right="226" w:hanging="1958"/>
        <w:jc w:val="both"/>
      </w:pPr>
      <w:r>
        <w:rPr>
          <w:b/>
        </w:rPr>
        <w:t>脊髓灰质炎       </w:t>
      </w:r>
      <w:r>
        <w:rPr/>
        <w:t>是指由神经专科医师确认是由脊髓灰质病毒感染所致的瘫痪性疾病，以致表现出运动功能障碍或呼吸功能减弱。被保险人若无瘫痪则理赔不予受理，其他病因所致的瘫痪例如格-巴二氏综合症（急性感染性多神经炎）是除外的。</w:t>
      </w:r>
    </w:p>
    <w:p>
      <w:pPr>
        <w:pStyle w:val="BodyText"/>
        <w:spacing w:before="12"/>
        <w:rPr>
          <w:sz w:val="17"/>
        </w:rPr>
      </w:pPr>
    </w:p>
    <w:p>
      <w:pPr>
        <w:pStyle w:val="BodyText"/>
        <w:tabs>
          <w:tab w:pos="2815" w:val="left" w:leader="none"/>
        </w:tabs>
        <w:spacing w:line="273" w:lineRule="auto"/>
        <w:ind w:left="2815" w:right="226" w:hanging="1958"/>
        <w:jc w:val="both"/>
      </w:pPr>
      <w:r>
        <w:rPr>
          <w:b/>
        </w:rPr>
        <w:t>心肌病</w:t>
        <w:tab/>
      </w:r>
      <w:r>
        <w:rPr/>
        <w:t>是指由不同病因引起的永久性不可逆转的心肌功能损害，其心功能损害必须达到纽约心脏协会心脏功能衰竭分类之第四级。直接由於酗酒、服用、吸食或注射毒品而引起的心肌病除外。</w:t>
      </w:r>
    </w:p>
    <w:p>
      <w:pPr>
        <w:pStyle w:val="BodyText"/>
        <w:spacing w:before="10"/>
        <w:rPr>
          <w:sz w:val="14"/>
        </w:rPr>
      </w:pPr>
    </w:p>
    <w:p>
      <w:pPr>
        <w:spacing w:after="0"/>
        <w:rPr>
          <w:sz w:val="14"/>
        </w:rPr>
        <w:sectPr>
          <w:pgSz w:w="11910" w:h="16840"/>
          <w:pgMar w:header="0" w:footer="460" w:top="1100" w:bottom="660" w:left="920" w:right="800"/>
        </w:sectPr>
      </w:pPr>
    </w:p>
    <w:p>
      <w:pPr>
        <w:pStyle w:val="Heading3"/>
        <w:numPr>
          <w:ilvl w:val="1"/>
          <w:numId w:val="8"/>
        </w:numPr>
        <w:tabs>
          <w:tab w:pos="858" w:val="left" w:leader="none"/>
          <w:tab w:pos="859" w:val="left" w:leader="none"/>
        </w:tabs>
        <w:spacing w:line="240" w:lineRule="auto" w:before="42" w:after="0"/>
        <w:ind w:left="858" w:right="0" w:hanging="757"/>
        <w:jc w:val="left"/>
      </w:pPr>
      <w:r>
        <w:rPr>
          <w:w w:val="95"/>
        </w:rPr>
        <w:t>六项基本日常生活</w:t>
      </w:r>
    </w:p>
    <w:p>
      <w:pPr>
        <w:spacing w:before="36"/>
        <w:ind w:left="840" w:right="1244" w:firstLine="0"/>
        <w:jc w:val="center"/>
        <w:rPr>
          <w:b/>
          <w:sz w:val="21"/>
        </w:rPr>
      </w:pPr>
      <w:r>
        <w:rPr>
          <w:b/>
          <w:sz w:val="21"/>
        </w:rPr>
        <w:t>活动</w:t>
      </w:r>
    </w:p>
    <w:p>
      <w:pPr>
        <w:pStyle w:val="BodyText"/>
        <w:spacing w:before="42"/>
        <w:ind w:left="101"/>
      </w:pPr>
      <w:r>
        <w:rPr/>
        <w:br w:type="column"/>
      </w:r>
      <w:r>
        <w:rPr/>
        <w:t>适用于年龄 </w:t>
      </w:r>
      <w:r>
        <w:rPr>
          <w:rFonts w:ascii="Times New Roman" w:eastAsia="Times New Roman"/>
        </w:rPr>
        <w:t>4 </w:t>
      </w:r>
      <w:r>
        <w:rPr/>
        <w:t>周岁以上被保险人，包括：</w:t>
      </w:r>
    </w:p>
    <w:p>
      <w:pPr>
        <w:pStyle w:val="BodyText"/>
        <w:spacing w:before="21"/>
        <w:ind w:left="101"/>
      </w:pPr>
      <w:r>
        <w:rPr/>
        <w:t>（</w:t>
      </w:r>
      <w:r>
        <w:rPr>
          <w:rFonts w:ascii="Times New Roman" w:eastAsia="Times New Roman"/>
        </w:rPr>
        <w:t>1</w:t>
      </w:r>
      <w:r>
        <w:rPr/>
        <w:t>）穿衣：自己能够穿衣及脱衣；</w:t>
      </w:r>
    </w:p>
    <w:p>
      <w:pPr>
        <w:pStyle w:val="BodyText"/>
        <w:spacing w:before="21"/>
        <w:ind w:left="101"/>
      </w:pPr>
      <w:r>
        <w:rPr/>
        <w:t>（</w:t>
      </w:r>
      <w:r>
        <w:rPr>
          <w:rFonts w:ascii="Times New Roman" w:eastAsia="Times New Roman"/>
        </w:rPr>
        <w:t>2</w:t>
      </w:r>
      <w:r>
        <w:rPr/>
        <w:t>）移动：自己从一个房间到另一个房间；</w:t>
      </w:r>
    </w:p>
    <w:p>
      <w:pPr>
        <w:pStyle w:val="BodyText"/>
        <w:spacing w:before="21"/>
        <w:ind w:left="101"/>
      </w:pPr>
      <w:r>
        <w:rPr/>
        <w:t>（</w:t>
      </w:r>
      <w:r>
        <w:rPr>
          <w:rFonts w:ascii="Times New Roman" w:eastAsia="Times New Roman"/>
        </w:rPr>
        <w:t>3</w:t>
      </w:r>
      <w:r>
        <w:rPr/>
        <w:t>）行动：自己上下床或上下轮椅；</w:t>
      </w:r>
    </w:p>
    <w:p>
      <w:pPr>
        <w:spacing w:after="0"/>
        <w:sectPr>
          <w:type w:val="continuous"/>
          <w:pgSz w:w="11910" w:h="16840"/>
          <w:pgMar w:top="520" w:bottom="280" w:left="920" w:right="800"/>
          <w:cols w:num="2" w:equalWidth="0">
            <w:col w:w="2546" w:space="169"/>
            <w:col w:w="7475"/>
          </w:cols>
        </w:sectPr>
      </w:pPr>
    </w:p>
    <w:p>
      <w:pPr>
        <w:pStyle w:val="BodyText"/>
        <w:spacing w:before="19"/>
        <w:ind w:left="2815"/>
      </w:pPr>
      <w:r>
        <w:rPr/>
        <w:t>（</w:t>
      </w:r>
      <w:r>
        <w:rPr>
          <w:rFonts w:ascii="Times New Roman" w:eastAsia="Times New Roman"/>
        </w:rPr>
        <w:t>4</w:t>
      </w:r>
      <w:r>
        <w:rPr/>
        <w:t>）如厕：自己控制进行大小便；</w:t>
      </w:r>
    </w:p>
    <w:p>
      <w:pPr>
        <w:pStyle w:val="BodyText"/>
        <w:spacing w:before="21"/>
        <w:ind w:left="2815"/>
      </w:pPr>
      <w:r>
        <w:rPr/>
        <w:t>（</w:t>
      </w:r>
      <w:r>
        <w:rPr>
          <w:rFonts w:ascii="Times New Roman" w:eastAsia="Times New Roman"/>
        </w:rPr>
        <w:t>5</w:t>
      </w:r>
      <w:r>
        <w:rPr/>
        <w:t>）进食：自己从已准备好的碗或碟中取食物放入口中；</w:t>
      </w:r>
    </w:p>
    <w:p>
      <w:pPr>
        <w:pStyle w:val="BodyText"/>
        <w:spacing w:before="21"/>
        <w:ind w:left="2815"/>
      </w:pPr>
      <w:r>
        <w:rPr/>
        <w:t>（</w:t>
      </w:r>
      <w:r>
        <w:rPr>
          <w:rFonts w:ascii="Times New Roman" w:eastAsia="Times New Roman"/>
        </w:rPr>
        <w:t>6</w:t>
      </w:r>
      <w:r>
        <w:rPr/>
        <w:t>）洗澡：自己进行淋浴或盆浴。</w:t>
      </w:r>
    </w:p>
    <w:p>
      <w:pPr>
        <w:pStyle w:val="BodyText"/>
        <w:spacing w:before="12"/>
        <w:rPr>
          <w:sz w:val="18"/>
        </w:rPr>
      </w:pPr>
    </w:p>
    <w:p>
      <w:pPr>
        <w:pStyle w:val="ListParagraph"/>
        <w:numPr>
          <w:ilvl w:val="1"/>
          <w:numId w:val="8"/>
        </w:numPr>
        <w:tabs>
          <w:tab w:pos="858" w:val="left" w:leader="none"/>
          <w:tab w:pos="859" w:val="left" w:leader="none"/>
          <w:tab w:pos="2815" w:val="left" w:leader="none"/>
        </w:tabs>
        <w:spacing w:line="273" w:lineRule="auto" w:before="0" w:after="0"/>
        <w:ind w:left="2815" w:right="226" w:hanging="2714"/>
        <w:jc w:val="left"/>
        <w:rPr>
          <w:sz w:val="21"/>
        </w:rPr>
      </w:pPr>
      <w:r>
        <w:rPr>
          <w:b/>
          <w:sz w:val="21"/>
        </w:rPr>
        <w:t>肢体机能完全丧失</w:t>
        <w:tab/>
      </w:r>
      <w:r>
        <w:rPr>
          <w:sz w:val="21"/>
        </w:rPr>
        <w:t>指肢体的三大关节中的两大关节僵硬，或不能随意识活动。肢体是指包括肩关节的整个上肢或包括髋关节的整个下肢。</w:t>
      </w:r>
    </w:p>
    <w:p>
      <w:pPr>
        <w:pStyle w:val="BodyText"/>
        <w:spacing w:before="2"/>
        <w:rPr>
          <w:sz w:val="15"/>
        </w:rPr>
      </w:pPr>
    </w:p>
    <w:p>
      <w:pPr>
        <w:spacing w:after="0"/>
        <w:rPr>
          <w:sz w:val="15"/>
        </w:rPr>
        <w:sectPr>
          <w:pgSz w:w="11910" w:h="16840"/>
          <w:pgMar w:header="0" w:footer="460" w:top="1100" w:bottom="660" w:left="920" w:right="800"/>
        </w:sectPr>
      </w:pPr>
    </w:p>
    <w:p>
      <w:pPr>
        <w:pStyle w:val="Heading3"/>
        <w:numPr>
          <w:ilvl w:val="1"/>
          <w:numId w:val="8"/>
        </w:numPr>
        <w:tabs>
          <w:tab w:pos="858" w:val="left" w:leader="none"/>
          <w:tab w:pos="859" w:val="left" w:leader="none"/>
        </w:tabs>
        <w:spacing w:line="240" w:lineRule="auto" w:before="36" w:after="0"/>
        <w:ind w:left="858" w:right="0" w:hanging="757"/>
        <w:jc w:val="left"/>
      </w:pPr>
      <w:r>
        <w:rPr>
          <w:w w:val="95"/>
        </w:rPr>
        <w:t>语言能力或咀嚼吞</w:t>
      </w:r>
    </w:p>
    <w:p>
      <w:pPr>
        <w:spacing w:before="37"/>
        <w:ind w:left="858" w:right="0" w:firstLine="0"/>
        <w:jc w:val="left"/>
        <w:rPr>
          <w:b/>
          <w:sz w:val="21"/>
        </w:rPr>
      </w:pPr>
      <w:r>
        <w:rPr>
          <w:b/>
          <w:w w:val="95"/>
          <w:sz w:val="21"/>
        </w:rPr>
        <w:t>咽能力完全丧失</w:t>
      </w:r>
    </w:p>
    <w:p>
      <w:pPr>
        <w:pStyle w:val="BodyText"/>
        <w:spacing w:line="273" w:lineRule="auto" w:before="36"/>
        <w:ind w:left="101" w:right="103"/>
      </w:pPr>
      <w:r>
        <w:rPr/>
        <w:br w:type="column"/>
      </w:r>
      <w:r>
        <w:rPr/>
        <w:t>语言能力完全丧失，指无法发出四种语音（包括口唇音、齿舌音、口盖音和喉头音</w:t>
      </w:r>
      <w:r>
        <w:rPr>
          <w:spacing w:val="-29"/>
        </w:rPr>
        <w:t>）</w:t>
      </w:r>
      <w:r>
        <w:rPr>
          <w:spacing w:val="-7"/>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520" w:bottom="280" w:left="920" w:right="800"/>
          <w:cols w:num="2" w:equalWidth="0">
            <w:col w:w="2546" w:space="169"/>
            <w:col w:w="7475"/>
          </w:cols>
        </w:sectPr>
      </w:pPr>
    </w:p>
    <w:p>
      <w:pPr>
        <w:pStyle w:val="BodyText"/>
        <w:spacing w:before="9"/>
        <w:rPr>
          <w:sz w:val="14"/>
        </w:rPr>
      </w:pPr>
    </w:p>
    <w:p>
      <w:pPr>
        <w:pStyle w:val="ListParagraph"/>
        <w:numPr>
          <w:ilvl w:val="1"/>
          <w:numId w:val="8"/>
        </w:numPr>
        <w:tabs>
          <w:tab w:pos="858" w:val="left" w:leader="none"/>
          <w:tab w:pos="859" w:val="left" w:leader="none"/>
          <w:tab w:pos="2815" w:val="left" w:leader="none"/>
        </w:tabs>
        <w:spacing w:line="256" w:lineRule="auto" w:before="42" w:after="0"/>
        <w:ind w:left="2815" w:right="226" w:hanging="2714"/>
        <w:jc w:val="left"/>
        <w:rPr>
          <w:sz w:val="21"/>
        </w:rPr>
      </w:pPr>
      <w:r>
        <w:rPr>
          <w:b/>
          <w:sz w:val="21"/>
        </w:rPr>
        <w:t>永久不可逆</w:t>
        <w:tab/>
      </w:r>
      <w:r>
        <w:rPr>
          <w:sz w:val="21"/>
        </w:rPr>
        <w:t>指自疾病确诊或意外伤害发生之日起，经过积极治疗</w:t>
      </w:r>
      <w:r>
        <w:rPr>
          <w:spacing w:val="-54"/>
          <w:sz w:val="21"/>
        </w:rPr>
        <w:t> </w:t>
      </w:r>
      <w:r>
        <w:rPr>
          <w:rFonts w:ascii="Times New Roman" w:eastAsia="Times New Roman"/>
          <w:sz w:val="21"/>
        </w:rPr>
        <w:t>180</w:t>
      </w:r>
      <w:r>
        <w:rPr>
          <w:rFonts w:ascii="Times New Roman" w:eastAsia="Times New Roman"/>
          <w:spacing w:val="-2"/>
          <w:sz w:val="21"/>
        </w:rPr>
        <w:t> </w:t>
      </w:r>
      <w:r>
        <w:rPr>
          <w:sz w:val="21"/>
        </w:rPr>
        <w:t>天后，仍无法通过现有医疗手段恢复。</w:t>
      </w:r>
    </w:p>
    <w:p>
      <w:pPr>
        <w:pStyle w:val="BodyText"/>
        <w:spacing w:before="11"/>
        <w:rPr>
          <w:sz w:val="15"/>
        </w:rPr>
      </w:pPr>
    </w:p>
    <w:p>
      <w:pPr>
        <w:spacing w:after="0"/>
        <w:rPr>
          <w:sz w:val="15"/>
        </w:rPr>
        <w:sectPr>
          <w:type w:val="continuous"/>
          <w:pgSz w:w="11910" w:h="16840"/>
          <w:pgMar w:top="520" w:bottom="280" w:left="920" w:right="800"/>
        </w:sectPr>
      </w:pPr>
    </w:p>
    <w:p>
      <w:pPr>
        <w:pStyle w:val="Heading3"/>
        <w:numPr>
          <w:ilvl w:val="1"/>
          <w:numId w:val="8"/>
        </w:numPr>
        <w:tabs>
          <w:tab w:pos="858" w:val="left" w:leader="none"/>
          <w:tab w:pos="859" w:val="left" w:leader="none"/>
        </w:tabs>
        <w:spacing w:line="273" w:lineRule="auto" w:before="42" w:after="0"/>
        <w:ind w:left="858" w:right="0" w:hanging="757"/>
        <w:jc w:val="left"/>
      </w:pPr>
      <w:r>
        <w:rPr/>
        <w:t>感染艾滋病病毒或</w:t>
      </w:r>
      <w:r>
        <w:rPr>
          <w:w w:val="95"/>
        </w:rPr>
        <w:t>患艾滋病</w:t>
      </w:r>
    </w:p>
    <w:p>
      <w:pPr>
        <w:pStyle w:val="BodyText"/>
        <w:spacing w:line="256" w:lineRule="auto" w:before="42"/>
        <w:ind w:left="101" w:right="220"/>
        <w:jc w:val="both"/>
      </w:pPr>
      <w:r>
        <w:rPr/>
        <w:br w:type="column"/>
      </w:r>
      <w:r>
        <w:rPr>
          <w:spacing w:val="-3"/>
        </w:rPr>
        <w:t>艾滋病病毒指人类免疫缺陷病毒，英文缩写为 </w:t>
      </w:r>
      <w:r>
        <w:rPr>
          <w:rFonts w:ascii="Times New Roman" w:eastAsia="Times New Roman"/>
        </w:rPr>
        <w:t>HIV</w:t>
      </w:r>
      <w:r>
        <w:rPr/>
        <w:t>。艾滋病指人类免疫缺陷病</w:t>
      </w:r>
      <w:r>
        <w:rPr>
          <w:spacing w:val="-3"/>
        </w:rPr>
        <w:t>毒引起的获得性免疫缺陷综合征，英文缩写为 </w:t>
      </w:r>
      <w:r>
        <w:rPr>
          <w:rFonts w:ascii="Times New Roman" w:eastAsia="Times New Roman"/>
        </w:rPr>
        <w:t>AIDS</w:t>
      </w:r>
      <w:r>
        <w:rPr/>
        <w:t>。</w:t>
      </w:r>
    </w:p>
    <w:p>
      <w:pPr>
        <w:pStyle w:val="BodyText"/>
        <w:spacing w:line="273" w:lineRule="auto" w:before="4"/>
        <w:ind w:left="101" w:right="226"/>
        <w:jc w:val="both"/>
      </w:pPr>
      <w:r>
        <w:rPr/>
        <w:t>在人体血液或其他样本中检测到艾滋病病毒或其抗体呈阳性，没有出现临床症状或体征的，为感染艾滋病病毒；如果同时出现了明显临床症状或体征的，为患艾滋病。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20" w:bottom="280" w:left="920" w:right="800"/>
          <w:cols w:num="2" w:equalWidth="0">
            <w:col w:w="2546" w:space="169"/>
            <w:col w:w="7475"/>
          </w:cols>
        </w:sectPr>
      </w:pPr>
    </w:p>
    <w:p>
      <w:pPr>
        <w:pStyle w:val="BodyText"/>
        <w:spacing w:before="2"/>
        <w:rPr>
          <w:sz w:val="15"/>
        </w:rPr>
      </w:pPr>
    </w:p>
    <w:p>
      <w:pPr>
        <w:pStyle w:val="ListParagraph"/>
        <w:numPr>
          <w:ilvl w:val="1"/>
          <w:numId w:val="8"/>
        </w:numPr>
        <w:tabs>
          <w:tab w:pos="858" w:val="left" w:leader="none"/>
          <w:tab w:pos="859" w:val="left" w:leader="none"/>
          <w:tab w:pos="2837" w:val="left" w:leader="none"/>
        </w:tabs>
        <w:spacing w:line="273" w:lineRule="auto" w:before="36" w:after="0"/>
        <w:ind w:left="2837" w:right="207" w:hanging="2736"/>
        <w:jc w:val="left"/>
        <w:rPr>
          <w:sz w:val="21"/>
        </w:rPr>
      </w:pPr>
      <w:r>
        <w:rPr>
          <w:b/>
          <w:sz w:val="21"/>
        </w:rPr>
        <w:t>遗传性疾病</w:t>
        <w:tab/>
      </w:r>
      <w:r>
        <w:rPr>
          <w:spacing w:val="-1"/>
          <w:sz w:val="21"/>
        </w:rPr>
        <w:t>指生殖细</w:t>
      </w:r>
      <w:r>
        <w:rPr>
          <w:sz w:val="21"/>
        </w:rPr>
        <w:t>胞或受精卵的遗传物质（染色体和基因）发生突变或畸变所引起的疾病，通常具有由亲代传至后代的垂直传递的特征。</w:t>
      </w:r>
    </w:p>
    <w:p>
      <w:pPr>
        <w:pStyle w:val="BodyText"/>
        <w:spacing w:before="3"/>
        <w:rPr>
          <w:sz w:val="15"/>
        </w:rPr>
      </w:pPr>
    </w:p>
    <w:p>
      <w:pPr>
        <w:spacing w:after="0"/>
        <w:rPr>
          <w:sz w:val="15"/>
        </w:rPr>
        <w:sectPr>
          <w:type w:val="continuous"/>
          <w:pgSz w:w="11910" w:h="16840"/>
          <w:pgMar w:top="520" w:bottom="280" w:left="920" w:right="800"/>
        </w:sectPr>
      </w:pPr>
    </w:p>
    <w:p>
      <w:pPr>
        <w:pStyle w:val="Heading3"/>
        <w:numPr>
          <w:ilvl w:val="1"/>
          <w:numId w:val="8"/>
        </w:numPr>
        <w:tabs>
          <w:tab w:pos="858" w:val="left" w:leader="none"/>
          <w:tab w:pos="859" w:val="left" w:leader="none"/>
        </w:tabs>
        <w:spacing w:line="240" w:lineRule="auto" w:before="35" w:after="0"/>
        <w:ind w:left="858" w:right="0" w:hanging="757"/>
        <w:jc w:val="left"/>
      </w:pPr>
      <w:r>
        <w:rPr>
          <w:w w:val="95"/>
        </w:rPr>
        <w:t>先天性畸形、变形</w:t>
      </w:r>
    </w:p>
    <w:p>
      <w:pPr>
        <w:spacing w:before="37"/>
        <w:ind w:left="858" w:right="0" w:firstLine="0"/>
        <w:jc w:val="left"/>
        <w:rPr>
          <w:b/>
          <w:sz w:val="21"/>
        </w:rPr>
      </w:pPr>
      <w:r>
        <w:rPr>
          <w:b/>
          <w:w w:val="95"/>
          <w:sz w:val="21"/>
        </w:rPr>
        <w:t>或染色体异常</w:t>
      </w:r>
    </w:p>
    <w:p>
      <w:pPr>
        <w:pStyle w:val="BodyText"/>
        <w:spacing w:line="273" w:lineRule="auto" w:before="35"/>
        <w:ind w:left="101" w:right="103"/>
      </w:pPr>
      <w:r>
        <w:rPr/>
        <w:br w:type="column"/>
      </w:r>
      <w:r>
        <w:rPr/>
        <w:t>指被保险人出生时就具有的畸形、变形或染色体异常。先天性畸形、变形和染</w:t>
      </w:r>
      <w:r>
        <w:rPr>
          <w:spacing w:val="-4"/>
        </w:rPr>
        <w:t>色体异常依照世界卫生组织《疾病和有关健康问题的国际统计分类》</w:t>
      </w:r>
      <w:r>
        <w:rPr/>
        <w:t>（ICD-10） 确定。</w:t>
      </w:r>
    </w:p>
    <w:p>
      <w:pPr>
        <w:spacing w:after="0" w:line="273" w:lineRule="auto"/>
        <w:sectPr>
          <w:type w:val="continuous"/>
          <w:pgSz w:w="11910" w:h="16840"/>
          <w:pgMar w:top="520" w:bottom="280" w:left="920" w:right="800"/>
          <w:cols w:num="2" w:equalWidth="0">
            <w:col w:w="2546" w:space="190"/>
            <w:col w:w="7454"/>
          </w:cols>
        </w:sectPr>
      </w:pPr>
    </w:p>
    <w:p>
      <w:pPr>
        <w:pStyle w:val="BodyText"/>
        <w:spacing w:before="2"/>
        <w:rPr>
          <w:sz w:val="15"/>
        </w:rPr>
      </w:pPr>
    </w:p>
    <w:p>
      <w:pPr>
        <w:pStyle w:val="ListParagraph"/>
        <w:numPr>
          <w:ilvl w:val="1"/>
          <w:numId w:val="8"/>
        </w:numPr>
        <w:tabs>
          <w:tab w:pos="858" w:val="left" w:leader="none"/>
          <w:tab w:pos="859" w:val="left" w:leader="none"/>
          <w:tab w:pos="2837" w:val="left" w:leader="none"/>
        </w:tabs>
        <w:spacing w:line="240" w:lineRule="auto" w:before="36" w:after="0"/>
        <w:ind w:left="858" w:right="0" w:hanging="757"/>
        <w:jc w:val="left"/>
        <w:rPr>
          <w:sz w:val="21"/>
        </w:rPr>
      </w:pPr>
      <w:r>
        <w:rPr>
          <w:b/>
          <w:sz w:val="21"/>
        </w:rPr>
        <w:t>适用主合同释义</w:t>
        <w:tab/>
      </w:r>
      <w:r>
        <w:rPr>
          <w:sz w:val="21"/>
        </w:rPr>
        <w:t>本附加合同中其他重要术语的释义请参看主合同释义条款。</w:t>
      </w:r>
    </w:p>
    <w:sectPr>
      <w:type w:val="continuous"/>
      <w:pgSz w:w="11910" w:h="16840"/>
      <w:pgMar w:top="520" w:bottom="28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0.73999pt;margin-top:807.999695pt;width:14.55pt;height:12pt;mso-position-horizontal-relative:page;mso-position-vertical-relative:page;z-index:-20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r>
                  <w:rPr>
                    <w:rFonts w:ascii="Times New Roman"/>
                    <w:sz w:val="18"/>
                  </w:rPr>
                  <w:t>/8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9"/>
      <w:numFmt w:val="decimal"/>
      <w:lvlText w:val="%1"/>
      <w:lvlJc w:val="left"/>
      <w:pPr>
        <w:ind w:left="2935" w:hanging="758"/>
        <w:jc w:val="left"/>
      </w:pPr>
      <w:rPr>
        <w:rFonts w:hint="default"/>
      </w:rPr>
    </w:lvl>
    <w:lvl w:ilvl="1">
      <w:start w:val="1"/>
      <w:numFmt w:val="decimal"/>
      <w:lvlText w:val="%1.%2"/>
      <w:lvlJc w:val="left"/>
      <w:pPr>
        <w:ind w:left="2935" w:hanging="758"/>
        <w:jc w:val="right"/>
      </w:pPr>
      <w:rPr>
        <w:rFonts w:hint="default" w:ascii="宋体" w:hAnsi="宋体" w:eastAsia="宋体" w:cs="宋体"/>
        <w:b/>
        <w:bCs/>
        <w:w w:val="99"/>
        <w:sz w:val="21"/>
        <w:szCs w:val="21"/>
      </w:rPr>
    </w:lvl>
    <w:lvl w:ilvl="2">
      <w:start w:val="0"/>
      <w:numFmt w:val="bullet"/>
      <w:lvlText w:val="•"/>
      <w:lvlJc w:val="left"/>
      <w:pPr>
        <w:ind w:left="4220" w:hanging="758"/>
      </w:pPr>
      <w:rPr>
        <w:rFonts w:hint="default"/>
      </w:rPr>
    </w:lvl>
    <w:lvl w:ilvl="3">
      <w:start w:val="0"/>
      <w:numFmt w:val="bullet"/>
      <w:lvlText w:val="•"/>
      <w:lvlJc w:val="left"/>
      <w:pPr>
        <w:ind w:left="4980" w:hanging="758"/>
      </w:pPr>
      <w:rPr>
        <w:rFonts w:hint="default"/>
      </w:rPr>
    </w:lvl>
    <w:lvl w:ilvl="4">
      <w:start w:val="0"/>
      <w:numFmt w:val="bullet"/>
      <w:lvlText w:val="•"/>
      <w:lvlJc w:val="left"/>
      <w:pPr>
        <w:ind w:left="5741" w:hanging="758"/>
      </w:pPr>
      <w:rPr>
        <w:rFonts w:hint="default"/>
      </w:rPr>
    </w:lvl>
    <w:lvl w:ilvl="5">
      <w:start w:val="0"/>
      <w:numFmt w:val="bullet"/>
      <w:lvlText w:val="•"/>
      <w:lvlJc w:val="left"/>
      <w:pPr>
        <w:ind w:left="6501" w:hanging="758"/>
      </w:pPr>
      <w:rPr>
        <w:rFonts w:hint="default"/>
      </w:rPr>
    </w:lvl>
    <w:lvl w:ilvl="6">
      <w:start w:val="0"/>
      <w:numFmt w:val="bullet"/>
      <w:lvlText w:val="•"/>
      <w:lvlJc w:val="left"/>
      <w:pPr>
        <w:ind w:left="7262" w:hanging="758"/>
      </w:pPr>
      <w:rPr>
        <w:rFonts w:hint="default"/>
      </w:rPr>
    </w:lvl>
    <w:lvl w:ilvl="7">
      <w:start w:val="0"/>
      <w:numFmt w:val="bullet"/>
      <w:lvlText w:val="•"/>
      <w:lvlJc w:val="left"/>
      <w:pPr>
        <w:ind w:left="8022" w:hanging="758"/>
      </w:pPr>
      <w:rPr>
        <w:rFonts w:hint="default"/>
      </w:rPr>
    </w:lvl>
    <w:lvl w:ilvl="8">
      <w:start w:val="0"/>
      <w:numFmt w:val="bullet"/>
      <w:lvlText w:val="•"/>
      <w:lvlJc w:val="left"/>
      <w:pPr>
        <w:ind w:left="8783" w:hanging="758"/>
      </w:pPr>
      <w:rPr>
        <w:rFonts w:hint="default"/>
      </w:rPr>
    </w:lvl>
  </w:abstractNum>
  <w:abstractNum w:abstractNumId="6">
    <w:multiLevelType w:val="hybridMultilevel"/>
    <w:lvl w:ilvl="0">
      <w:start w:val="8"/>
      <w:numFmt w:val="decimal"/>
      <w:lvlText w:val="%1"/>
      <w:lvlJc w:val="left"/>
      <w:pPr>
        <w:ind w:left="2935" w:hanging="758"/>
        <w:jc w:val="left"/>
      </w:pPr>
      <w:rPr>
        <w:rFonts w:hint="default"/>
      </w:rPr>
    </w:lvl>
    <w:lvl w:ilvl="1">
      <w:start w:val="1"/>
      <w:numFmt w:val="decimal"/>
      <w:lvlText w:val="%1.%2"/>
      <w:lvlJc w:val="left"/>
      <w:pPr>
        <w:ind w:left="2935" w:hanging="758"/>
        <w:jc w:val="left"/>
      </w:pPr>
      <w:rPr>
        <w:rFonts w:hint="default" w:ascii="宋体" w:hAnsi="宋体" w:eastAsia="宋体" w:cs="宋体"/>
        <w:b/>
        <w:bCs/>
        <w:spacing w:val="0"/>
        <w:w w:val="99"/>
        <w:sz w:val="21"/>
        <w:szCs w:val="21"/>
      </w:rPr>
    </w:lvl>
    <w:lvl w:ilvl="2">
      <w:start w:val="0"/>
      <w:numFmt w:val="bullet"/>
      <w:lvlText w:val="•"/>
      <w:lvlJc w:val="left"/>
      <w:pPr>
        <w:ind w:left="4412" w:hanging="758"/>
      </w:pPr>
      <w:rPr>
        <w:rFonts w:hint="default"/>
      </w:rPr>
    </w:lvl>
    <w:lvl w:ilvl="3">
      <w:start w:val="0"/>
      <w:numFmt w:val="bullet"/>
      <w:lvlText w:val="•"/>
      <w:lvlJc w:val="left"/>
      <w:pPr>
        <w:ind w:left="5149" w:hanging="758"/>
      </w:pPr>
      <w:rPr>
        <w:rFonts w:hint="default"/>
      </w:rPr>
    </w:lvl>
    <w:lvl w:ilvl="4">
      <w:start w:val="0"/>
      <w:numFmt w:val="bullet"/>
      <w:lvlText w:val="•"/>
      <w:lvlJc w:val="left"/>
      <w:pPr>
        <w:ind w:left="5885" w:hanging="758"/>
      </w:pPr>
      <w:rPr>
        <w:rFonts w:hint="default"/>
      </w:rPr>
    </w:lvl>
    <w:lvl w:ilvl="5">
      <w:start w:val="0"/>
      <w:numFmt w:val="bullet"/>
      <w:lvlText w:val="•"/>
      <w:lvlJc w:val="left"/>
      <w:pPr>
        <w:ind w:left="6622" w:hanging="758"/>
      </w:pPr>
      <w:rPr>
        <w:rFonts w:hint="default"/>
      </w:rPr>
    </w:lvl>
    <w:lvl w:ilvl="6">
      <w:start w:val="0"/>
      <w:numFmt w:val="bullet"/>
      <w:lvlText w:val="•"/>
      <w:lvlJc w:val="left"/>
      <w:pPr>
        <w:ind w:left="7358" w:hanging="758"/>
      </w:pPr>
      <w:rPr>
        <w:rFonts w:hint="default"/>
      </w:rPr>
    </w:lvl>
    <w:lvl w:ilvl="7">
      <w:start w:val="0"/>
      <w:numFmt w:val="bullet"/>
      <w:lvlText w:val="•"/>
      <w:lvlJc w:val="left"/>
      <w:pPr>
        <w:ind w:left="8095" w:hanging="758"/>
      </w:pPr>
      <w:rPr>
        <w:rFonts w:hint="default"/>
      </w:rPr>
    </w:lvl>
    <w:lvl w:ilvl="8">
      <w:start w:val="0"/>
      <w:numFmt w:val="bullet"/>
      <w:lvlText w:val="•"/>
      <w:lvlJc w:val="left"/>
      <w:pPr>
        <w:ind w:left="8831" w:hanging="758"/>
      </w:pPr>
      <w:rPr>
        <w:rFonts w:hint="default"/>
      </w:rPr>
    </w:lvl>
  </w:abstractNum>
  <w:abstractNum w:abstractNumId="5">
    <w:multiLevelType w:val="hybridMultilevel"/>
    <w:lvl w:ilvl="0">
      <w:start w:val="6"/>
      <w:numFmt w:val="decimal"/>
      <w:lvlText w:val="%1"/>
      <w:lvlJc w:val="left"/>
      <w:pPr>
        <w:ind w:left="2935" w:hanging="757"/>
        <w:jc w:val="left"/>
      </w:pPr>
      <w:rPr>
        <w:rFonts w:hint="default"/>
      </w:rPr>
    </w:lvl>
    <w:lvl w:ilvl="1">
      <w:start w:val="1"/>
      <w:numFmt w:val="decimal"/>
      <w:lvlText w:val="%1.%2"/>
      <w:lvlJc w:val="left"/>
      <w:pPr>
        <w:ind w:left="2935" w:hanging="757"/>
        <w:jc w:val="left"/>
      </w:pPr>
      <w:rPr>
        <w:rFonts w:hint="default" w:ascii="宋体" w:hAnsi="宋体" w:eastAsia="宋体" w:cs="宋体"/>
        <w:b/>
        <w:bCs/>
        <w:w w:val="99"/>
        <w:sz w:val="21"/>
        <w:szCs w:val="21"/>
      </w:rPr>
    </w:lvl>
    <w:lvl w:ilvl="2">
      <w:start w:val="0"/>
      <w:numFmt w:val="bullet"/>
      <w:lvlText w:val="•"/>
      <w:lvlJc w:val="left"/>
      <w:pPr>
        <w:ind w:left="4412" w:hanging="757"/>
      </w:pPr>
      <w:rPr>
        <w:rFonts w:hint="default"/>
      </w:rPr>
    </w:lvl>
    <w:lvl w:ilvl="3">
      <w:start w:val="0"/>
      <w:numFmt w:val="bullet"/>
      <w:lvlText w:val="•"/>
      <w:lvlJc w:val="left"/>
      <w:pPr>
        <w:ind w:left="5149" w:hanging="757"/>
      </w:pPr>
      <w:rPr>
        <w:rFonts w:hint="default"/>
      </w:rPr>
    </w:lvl>
    <w:lvl w:ilvl="4">
      <w:start w:val="0"/>
      <w:numFmt w:val="bullet"/>
      <w:lvlText w:val="•"/>
      <w:lvlJc w:val="left"/>
      <w:pPr>
        <w:ind w:left="5885" w:hanging="757"/>
      </w:pPr>
      <w:rPr>
        <w:rFonts w:hint="default"/>
      </w:rPr>
    </w:lvl>
    <w:lvl w:ilvl="5">
      <w:start w:val="0"/>
      <w:numFmt w:val="bullet"/>
      <w:lvlText w:val="•"/>
      <w:lvlJc w:val="left"/>
      <w:pPr>
        <w:ind w:left="6622" w:hanging="757"/>
      </w:pPr>
      <w:rPr>
        <w:rFonts w:hint="default"/>
      </w:rPr>
    </w:lvl>
    <w:lvl w:ilvl="6">
      <w:start w:val="0"/>
      <w:numFmt w:val="bullet"/>
      <w:lvlText w:val="•"/>
      <w:lvlJc w:val="left"/>
      <w:pPr>
        <w:ind w:left="7358" w:hanging="757"/>
      </w:pPr>
      <w:rPr>
        <w:rFonts w:hint="default"/>
      </w:rPr>
    </w:lvl>
    <w:lvl w:ilvl="7">
      <w:start w:val="0"/>
      <w:numFmt w:val="bullet"/>
      <w:lvlText w:val="•"/>
      <w:lvlJc w:val="left"/>
      <w:pPr>
        <w:ind w:left="8095" w:hanging="757"/>
      </w:pPr>
      <w:rPr>
        <w:rFonts w:hint="default"/>
      </w:rPr>
    </w:lvl>
    <w:lvl w:ilvl="8">
      <w:start w:val="0"/>
      <w:numFmt w:val="bullet"/>
      <w:lvlText w:val="•"/>
      <w:lvlJc w:val="left"/>
      <w:pPr>
        <w:ind w:left="8831" w:hanging="757"/>
      </w:pPr>
      <w:rPr>
        <w:rFonts w:hint="default"/>
      </w:rPr>
    </w:lvl>
  </w:abstractNum>
  <w:abstractNum w:abstractNumId="4">
    <w:multiLevelType w:val="hybridMultilevel"/>
    <w:lvl w:ilvl="0">
      <w:start w:val="4"/>
      <w:numFmt w:val="decimal"/>
      <w:lvlText w:val="%1"/>
      <w:lvlJc w:val="left"/>
      <w:pPr>
        <w:ind w:left="2935" w:hanging="758"/>
        <w:jc w:val="left"/>
      </w:pPr>
      <w:rPr>
        <w:rFonts w:hint="default"/>
      </w:rPr>
    </w:lvl>
    <w:lvl w:ilvl="1">
      <w:start w:val="1"/>
      <w:numFmt w:val="decimal"/>
      <w:lvlText w:val="%1.%2"/>
      <w:lvlJc w:val="left"/>
      <w:pPr>
        <w:ind w:left="2935" w:hanging="758"/>
        <w:jc w:val="left"/>
      </w:pPr>
      <w:rPr>
        <w:rFonts w:hint="default" w:ascii="宋体" w:hAnsi="宋体" w:eastAsia="宋体" w:cs="宋体"/>
        <w:b/>
        <w:bCs/>
        <w:w w:val="99"/>
        <w:sz w:val="21"/>
        <w:szCs w:val="21"/>
      </w:rPr>
    </w:lvl>
    <w:lvl w:ilvl="2">
      <w:start w:val="0"/>
      <w:numFmt w:val="bullet"/>
      <w:lvlText w:val="•"/>
      <w:lvlJc w:val="left"/>
      <w:pPr>
        <w:ind w:left="4412" w:hanging="758"/>
      </w:pPr>
      <w:rPr>
        <w:rFonts w:hint="default"/>
      </w:rPr>
    </w:lvl>
    <w:lvl w:ilvl="3">
      <w:start w:val="0"/>
      <w:numFmt w:val="bullet"/>
      <w:lvlText w:val="•"/>
      <w:lvlJc w:val="left"/>
      <w:pPr>
        <w:ind w:left="5149" w:hanging="758"/>
      </w:pPr>
      <w:rPr>
        <w:rFonts w:hint="default"/>
      </w:rPr>
    </w:lvl>
    <w:lvl w:ilvl="4">
      <w:start w:val="0"/>
      <w:numFmt w:val="bullet"/>
      <w:lvlText w:val="•"/>
      <w:lvlJc w:val="left"/>
      <w:pPr>
        <w:ind w:left="5885" w:hanging="758"/>
      </w:pPr>
      <w:rPr>
        <w:rFonts w:hint="default"/>
      </w:rPr>
    </w:lvl>
    <w:lvl w:ilvl="5">
      <w:start w:val="0"/>
      <w:numFmt w:val="bullet"/>
      <w:lvlText w:val="•"/>
      <w:lvlJc w:val="left"/>
      <w:pPr>
        <w:ind w:left="6622" w:hanging="758"/>
      </w:pPr>
      <w:rPr>
        <w:rFonts w:hint="default"/>
      </w:rPr>
    </w:lvl>
    <w:lvl w:ilvl="6">
      <w:start w:val="0"/>
      <w:numFmt w:val="bullet"/>
      <w:lvlText w:val="•"/>
      <w:lvlJc w:val="left"/>
      <w:pPr>
        <w:ind w:left="7358" w:hanging="758"/>
      </w:pPr>
      <w:rPr>
        <w:rFonts w:hint="default"/>
      </w:rPr>
    </w:lvl>
    <w:lvl w:ilvl="7">
      <w:start w:val="0"/>
      <w:numFmt w:val="bullet"/>
      <w:lvlText w:val="•"/>
      <w:lvlJc w:val="left"/>
      <w:pPr>
        <w:ind w:left="8095" w:hanging="758"/>
      </w:pPr>
      <w:rPr>
        <w:rFonts w:hint="default"/>
      </w:rPr>
    </w:lvl>
    <w:lvl w:ilvl="8">
      <w:start w:val="0"/>
      <w:numFmt w:val="bullet"/>
      <w:lvlText w:val="•"/>
      <w:lvlJc w:val="left"/>
      <w:pPr>
        <w:ind w:left="8831" w:hanging="758"/>
      </w:pPr>
      <w:rPr>
        <w:rFonts w:hint="default"/>
      </w:rPr>
    </w:lvl>
  </w:abstractNum>
  <w:abstractNum w:abstractNumId="3">
    <w:multiLevelType w:val="hybridMultilevel"/>
    <w:lvl w:ilvl="0">
      <w:start w:val="3"/>
      <w:numFmt w:val="decimal"/>
      <w:lvlText w:val="%1"/>
      <w:lvlJc w:val="left"/>
      <w:pPr>
        <w:ind w:left="2935" w:hanging="758"/>
        <w:jc w:val="left"/>
      </w:pPr>
      <w:rPr>
        <w:rFonts w:hint="default"/>
      </w:rPr>
    </w:lvl>
    <w:lvl w:ilvl="1">
      <w:start w:val="1"/>
      <w:numFmt w:val="decimal"/>
      <w:lvlText w:val="%1.%2"/>
      <w:lvlJc w:val="left"/>
      <w:pPr>
        <w:ind w:left="2935" w:hanging="758"/>
        <w:jc w:val="left"/>
      </w:pPr>
      <w:rPr>
        <w:rFonts w:hint="default" w:ascii="宋体" w:hAnsi="宋体" w:eastAsia="宋体" w:cs="宋体"/>
        <w:b/>
        <w:bCs/>
        <w:w w:val="99"/>
        <w:sz w:val="21"/>
        <w:szCs w:val="21"/>
      </w:rPr>
    </w:lvl>
    <w:lvl w:ilvl="2">
      <w:start w:val="0"/>
      <w:numFmt w:val="bullet"/>
      <w:lvlText w:val="•"/>
      <w:lvlJc w:val="left"/>
      <w:pPr>
        <w:ind w:left="4412" w:hanging="758"/>
      </w:pPr>
      <w:rPr>
        <w:rFonts w:hint="default"/>
      </w:rPr>
    </w:lvl>
    <w:lvl w:ilvl="3">
      <w:start w:val="0"/>
      <w:numFmt w:val="bullet"/>
      <w:lvlText w:val="•"/>
      <w:lvlJc w:val="left"/>
      <w:pPr>
        <w:ind w:left="5149" w:hanging="758"/>
      </w:pPr>
      <w:rPr>
        <w:rFonts w:hint="default"/>
      </w:rPr>
    </w:lvl>
    <w:lvl w:ilvl="4">
      <w:start w:val="0"/>
      <w:numFmt w:val="bullet"/>
      <w:lvlText w:val="•"/>
      <w:lvlJc w:val="left"/>
      <w:pPr>
        <w:ind w:left="5885" w:hanging="758"/>
      </w:pPr>
      <w:rPr>
        <w:rFonts w:hint="default"/>
      </w:rPr>
    </w:lvl>
    <w:lvl w:ilvl="5">
      <w:start w:val="0"/>
      <w:numFmt w:val="bullet"/>
      <w:lvlText w:val="•"/>
      <w:lvlJc w:val="left"/>
      <w:pPr>
        <w:ind w:left="6622" w:hanging="758"/>
      </w:pPr>
      <w:rPr>
        <w:rFonts w:hint="default"/>
      </w:rPr>
    </w:lvl>
    <w:lvl w:ilvl="6">
      <w:start w:val="0"/>
      <w:numFmt w:val="bullet"/>
      <w:lvlText w:val="•"/>
      <w:lvlJc w:val="left"/>
      <w:pPr>
        <w:ind w:left="7358" w:hanging="758"/>
      </w:pPr>
      <w:rPr>
        <w:rFonts w:hint="default"/>
      </w:rPr>
    </w:lvl>
    <w:lvl w:ilvl="7">
      <w:start w:val="0"/>
      <w:numFmt w:val="bullet"/>
      <w:lvlText w:val="•"/>
      <w:lvlJc w:val="left"/>
      <w:pPr>
        <w:ind w:left="8095" w:hanging="758"/>
      </w:pPr>
      <w:rPr>
        <w:rFonts w:hint="default"/>
      </w:rPr>
    </w:lvl>
    <w:lvl w:ilvl="8">
      <w:start w:val="0"/>
      <w:numFmt w:val="bullet"/>
      <w:lvlText w:val="•"/>
      <w:lvlJc w:val="left"/>
      <w:pPr>
        <w:ind w:left="8831" w:hanging="758"/>
      </w:pPr>
      <w:rPr>
        <w:rFonts w:hint="default"/>
      </w:rPr>
    </w:lvl>
  </w:abstractNum>
  <w:abstractNum w:abstractNumId="2">
    <w:multiLevelType w:val="hybridMultilevel"/>
    <w:lvl w:ilvl="0">
      <w:start w:val="2"/>
      <w:numFmt w:val="decimal"/>
      <w:lvlText w:val="%1"/>
      <w:lvlJc w:val="left"/>
      <w:pPr>
        <w:ind w:left="2935" w:hanging="758"/>
        <w:jc w:val="left"/>
      </w:pPr>
      <w:rPr>
        <w:rFonts w:hint="default"/>
      </w:rPr>
    </w:lvl>
    <w:lvl w:ilvl="1">
      <w:start w:val="1"/>
      <w:numFmt w:val="decimal"/>
      <w:lvlText w:val="%1.%2"/>
      <w:lvlJc w:val="left"/>
      <w:pPr>
        <w:ind w:left="2935" w:hanging="758"/>
        <w:jc w:val="left"/>
      </w:pPr>
      <w:rPr>
        <w:rFonts w:hint="default" w:ascii="宋体" w:hAnsi="宋体" w:eastAsia="宋体" w:cs="宋体"/>
        <w:b/>
        <w:bCs/>
        <w:spacing w:val="0"/>
        <w:w w:val="99"/>
        <w:sz w:val="21"/>
        <w:szCs w:val="21"/>
      </w:rPr>
    </w:lvl>
    <w:lvl w:ilvl="2">
      <w:start w:val="0"/>
      <w:numFmt w:val="bullet"/>
      <w:lvlText w:val="•"/>
      <w:lvlJc w:val="left"/>
      <w:pPr>
        <w:ind w:left="4412" w:hanging="758"/>
      </w:pPr>
      <w:rPr>
        <w:rFonts w:hint="default"/>
      </w:rPr>
    </w:lvl>
    <w:lvl w:ilvl="3">
      <w:start w:val="0"/>
      <w:numFmt w:val="bullet"/>
      <w:lvlText w:val="•"/>
      <w:lvlJc w:val="left"/>
      <w:pPr>
        <w:ind w:left="5149" w:hanging="758"/>
      </w:pPr>
      <w:rPr>
        <w:rFonts w:hint="default"/>
      </w:rPr>
    </w:lvl>
    <w:lvl w:ilvl="4">
      <w:start w:val="0"/>
      <w:numFmt w:val="bullet"/>
      <w:lvlText w:val="•"/>
      <w:lvlJc w:val="left"/>
      <w:pPr>
        <w:ind w:left="5885" w:hanging="758"/>
      </w:pPr>
      <w:rPr>
        <w:rFonts w:hint="default"/>
      </w:rPr>
    </w:lvl>
    <w:lvl w:ilvl="5">
      <w:start w:val="0"/>
      <w:numFmt w:val="bullet"/>
      <w:lvlText w:val="•"/>
      <w:lvlJc w:val="left"/>
      <w:pPr>
        <w:ind w:left="6622" w:hanging="758"/>
      </w:pPr>
      <w:rPr>
        <w:rFonts w:hint="default"/>
      </w:rPr>
    </w:lvl>
    <w:lvl w:ilvl="6">
      <w:start w:val="0"/>
      <w:numFmt w:val="bullet"/>
      <w:lvlText w:val="•"/>
      <w:lvlJc w:val="left"/>
      <w:pPr>
        <w:ind w:left="7358" w:hanging="758"/>
      </w:pPr>
      <w:rPr>
        <w:rFonts w:hint="default"/>
      </w:rPr>
    </w:lvl>
    <w:lvl w:ilvl="7">
      <w:start w:val="0"/>
      <w:numFmt w:val="bullet"/>
      <w:lvlText w:val="•"/>
      <w:lvlJc w:val="left"/>
      <w:pPr>
        <w:ind w:left="8095" w:hanging="758"/>
      </w:pPr>
      <w:rPr>
        <w:rFonts w:hint="default"/>
      </w:rPr>
    </w:lvl>
    <w:lvl w:ilvl="8">
      <w:start w:val="0"/>
      <w:numFmt w:val="bullet"/>
      <w:lvlText w:val="•"/>
      <w:lvlJc w:val="left"/>
      <w:pPr>
        <w:ind w:left="8831" w:hanging="758"/>
      </w:pPr>
      <w:rPr>
        <w:rFonts w:hint="default"/>
      </w:rPr>
    </w:lvl>
  </w:abstractNum>
  <w:abstractNum w:abstractNumId="1">
    <w:multiLevelType w:val="hybridMultilevel"/>
    <w:lvl w:ilvl="0">
      <w:start w:val="1"/>
      <w:numFmt w:val="decimal"/>
      <w:lvlText w:val="%1"/>
      <w:lvlJc w:val="left"/>
      <w:pPr>
        <w:ind w:left="2935" w:hanging="757"/>
        <w:jc w:val="left"/>
      </w:pPr>
      <w:rPr>
        <w:rFonts w:hint="default"/>
      </w:rPr>
    </w:lvl>
    <w:lvl w:ilvl="1">
      <w:start w:val="1"/>
      <w:numFmt w:val="decimal"/>
      <w:lvlText w:val="%1.%2"/>
      <w:lvlJc w:val="left"/>
      <w:pPr>
        <w:ind w:left="2935" w:hanging="757"/>
        <w:jc w:val="left"/>
      </w:pPr>
      <w:rPr>
        <w:rFonts w:hint="default" w:ascii="宋体" w:hAnsi="宋体" w:eastAsia="宋体" w:cs="宋体"/>
        <w:b/>
        <w:bCs/>
        <w:w w:val="99"/>
        <w:sz w:val="21"/>
        <w:szCs w:val="21"/>
      </w:rPr>
    </w:lvl>
    <w:lvl w:ilvl="2">
      <w:start w:val="0"/>
      <w:numFmt w:val="bullet"/>
      <w:lvlText w:val="•"/>
      <w:lvlJc w:val="left"/>
      <w:pPr>
        <w:ind w:left="4412" w:hanging="757"/>
      </w:pPr>
      <w:rPr>
        <w:rFonts w:hint="default"/>
      </w:rPr>
    </w:lvl>
    <w:lvl w:ilvl="3">
      <w:start w:val="0"/>
      <w:numFmt w:val="bullet"/>
      <w:lvlText w:val="•"/>
      <w:lvlJc w:val="left"/>
      <w:pPr>
        <w:ind w:left="5149" w:hanging="757"/>
      </w:pPr>
      <w:rPr>
        <w:rFonts w:hint="default"/>
      </w:rPr>
    </w:lvl>
    <w:lvl w:ilvl="4">
      <w:start w:val="0"/>
      <w:numFmt w:val="bullet"/>
      <w:lvlText w:val="•"/>
      <w:lvlJc w:val="left"/>
      <w:pPr>
        <w:ind w:left="5885" w:hanging="757"/>
      </w:pPr>
      <w:rPr>
        <w:rFonts w:hint="default"/>
      </w:rPr>
    </w:lvl>
    <w:lvl w:ilvl="5">
      <w:start w:val="0"/>
      <w:numFmt w:val="bullet"/>
      <w:lvlText w:val="•"/>
      <w:lvlJc w:val="left"/>
      <w:pPr>
        <w:ind w:left="6622" w:hanging="757"/>
      </w:pPr>
      <w:rPr>
        <w:rFonts w:hint="default"/>
      </w:rPr>
    </w:lvl>
    <w:lvl w:ilvl="6">
      <w:start w:val="0"/>
      <w:numFmt w:val="bullet"/>
      <w:lvlText w:val="•"/>
      <w:lvlJc w:val="left"/>
      <w:pPr>
        <w:ind w:left="7358" w:hanging="757"/>
      </w:pPr>
      <w:rPr>
        <w:rFonts w:hint="default"/>
      </w:rPr>
    </w:lvl>
    <w:lvl w:ilvl="7">
      <w:start w:val="0"/>
      <w:numFmt w:val="bullet"/>
      <w:lvlText w:val="•"/>
      <w:lvlJc w:val="left"/>
      <w:pPr>
        <w:ind w:left="8095" w:hanging="757"/>
      </w:pPr>
      <w:rPr>
        <w:rFonts w:hint="default"/>
      </w:rPr>
    </w:lvl>
    <w:lvl w:ilvl="8">
      <w:start w:val="0"/>
      <w:numFmt w:val="bullet"/>
      <w:lvlText w:val="•"/>
      <w:lvlJc w:val="left"/>
      <w:pPr>
        <w:ind w:left="8831" w:hanging="757"/>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44" w:hanging="420"/>
      </w:pPr>
      <w:rPr>
        <w:rFonts w:hint="default"/>
      </w:rPr>
    </w:lvl>
    <w:lvl w:ilvl="2">
      <w:start w:val="0"/>
      <w:numFmt w:val="bullet"/>
      <w:lvlText w:val="•"/>
      <w:lvlJc w:val="left"/>
      <w:pPr>
        <w:ind w:left="3388" w:hanging="420"/>
      </w:pPr>
      <w:rPr>
        <w:rFonts w:hint="default"/>
      </w:rPr>
    </w:lvl>
    <w:lvl w:ilvl="3">
      <w:start w:val="0"/>
      <w:numFmt w:val="bullet"/>
      <w:lvlText w:val="•"/>
      <w:lvlJc w:val="left"/>
      <w:pPr>
        <w:ind w:left="4233" w:hanging="420"/>
      </w:pPr>
      <w:rPr>
        <w:rFonts w:hint="default"/>
      </w:rPr>
    </w:lvl>
    <w:lvl w:ilvl="4">
      <w:start w:val="0"/>
      <w:numFmt w:val="bullet"/>
      <w:lvlText w:val="•"/>
      <w:lvlJc w:val="left"/>
      <w:pPr>
        <w:ind w:left="5077" w:hanging="420"/>
      </w:pPr>
      <w:rPr>
        <w:rFonts w:hint="default"/>
      </w:rPr>
    </w:lvl>
    <w:lvl w:ilvl="5">
      <w:start w:val="0"/>
      <w:numFmt w:val="bullet"/>
      <w:lvlText w:val="•"/>
      <w:lvlJc w:val="left"/>
      <w:pPr>
        <w:ind w:left="5922" w:hanging="420"/>
      </w:pPr>
      <w:rPr>
        <w:rFonts w:hint="default"/>
      </w:rPr>
    </w:lvl>
    <w:lvl w:ilvl="6">
      <w:start w:val="0"/>
      <w:numFmt w:val="bullet"/>
      <w:lvlText w:val="•"/>
      <w:lvlJc w:val="left"/>
      <w:pPr>
        <w:ind w:left="6766" w:hanging="420"/>
      </w:pPr>
      <w:rPr>
        <w:rFonts w:hint="default"/>
      </w:rPr>
    </w:lvl>
    <w:lvl w:ilvl="7">
      <w:start w:val="0"/>
      <w:numFmt w:val="bullet"/>
      <w:lvlText w:val="•"/>
      <w:lvlJc w:val="left"/>
      <w:pPr>
        <w:ind w:left="7611" w:hanging="420"/>
      </w:pPr>
      <w:rPr>
        <w:rFonts w:hint="default"/>
      </w:rPr>
    </w:lvl>
    <w:lvl w:ilvl="8">
      <w:start w:val="0"/>
      <w:numFmt w:val="bullet"/>
      <w:lvlText w:val="•"/>
      <w:lvlJc w:val="left"/>
      <w:pPr>
        <w:ind w:left="8455"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1"/>
      <w:ind w:left="1814"/>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5"/>
      <w:ind w:left="858"/>
      <w:outlineLvl w:val="3"/>
    </w:pPr>
    <w:rPr>
      <w:rFonts w:ascii="宋体" w:hAnsi="宋体" w:eastAsia="宋体" w:cs="宋体"/>
      <w:b/>
      <w:bCs/>
      <w:sz w:val="21"/>
      <w:szCs w:val="21"/>
    </w:rPr>
  </w:style>
  <w:style w:styleId="ListParagraph" w:type="paragraph">
    <w:name w:val="List Paragraph"/>
    <w:basedOn w:val="Normal"/>
    <w:uiPriority w:val="1"/>
    <w:qFormat/>
    <w:pPr>
      <w:ind w:left="2935" w:hanging="2714"/>
    </w:pPr>
    <w:rPr>
      <w:rFonts w:ascii="宋体" w:hAnsi="宋体" w:eastAsia="宋体" w:cs="宋体"/>
    </w:rPr>
  </w:style>
  <w:style w:styleId="TableParagraph" w:type="paragraph">
    <w:name w:val="Table Paragraph"/>
    <w:basedOn w:val="Normal"/>
    <w:uiPriority w:val="1"/>
    <w:qFormat/>
    <w:pPr>
      <w:spacing w:line="26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&lt;4D6963726F736F667420576F7264202D20BDBBD2F8BFB5C1AAB8BDBCD3D6D8B4F3BCB2B2A1B1A3CFD52DCCF5BFEE2D36A3A8B6FECEACC2EBA3A9&gt;</dc:title>
  <dcterms:created xsi:type="dcterms:W3CDTF">2018-10-19T23:58:06Z</dcterms:created>
  <dcterms:modified xsi:type="dcterms:W3CDTF">2018-10-19T23:58:06Z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2014-04-18T00:00:00Z</vt:filetime>
  </property>
  <property fmtid="{D5CDD505-2E9C-101B-9397-08002B2CF9AE}" pid="3" name="Creator">
    <vt:lpwstr>PScript5.dll Version 5.2.2</vt:lpwstr>
  </property>
  <property fmtid="{D5CDD505-2E9C-101B-9397-08002B2CF9AE}" pid="4" name="LastSaved">
    <vt:filetime>2018-10-19T00:00:00Z</vt:filetime>
  </property>
</Properties>
</file>