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ind w:left="0"/>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58"/>
        <w:ind w:left="2788" w:right="0" w:firstLine="0"/>
        <w:jc w:val="center"/>
        <w:rPr>
          <w:b/>
          <w:sz w:val="30"/>
        </w:rPr>
      </w:pPr>
      <w:r>
        <w:rPr>
          <w:b/>
          <w:spacing w:val="-11"/>
          <w:sz w:val="30"/>
        </w:rPr>
        <w:t>太平康颐金生 </w:t>
      </w:r>
      <w:r>
        <w:rPr>
          <w:rFonts w:ascii="Times New Roman" w:eastAsia="Times New Roman"/>
          <w:b/>
          <w:sz w:val="30"/>
        </w:rPr>
        <w:t>C </w:t>
      </w:r>
      <w:r>
        <w:rPr>
          <w:b/>
          <w:sz w:val="30"/>
        </w:rPr>
        <w:t>款终身重大疾病保险条款</w:t>
      </w:r>
    </w:p>
    <w:p>
      <w:pPr>
        <w:pStyle w:val="BodyText"/>
        <w:spacing w:before="49"/>
        <w:ind w:left="2788"/>
        <w:jc w:val="center"/>
      </w:pPr>
      <w:r>
        <w:rPr/>
        <w:t>（</w:t>
      </w:r>
      <w:r>
        <w:rPr>
          <w:rFonts w:ascii="Times New Roman" w:eastAsia="Times New Roman"/>
        </w:rPr>
        <w:t>2013</w:t>
      </w:r>
      <w:r>
        <w:rPr/>
        <w:t>年</w:t>
      </w:r>
      <w:r>
        <w:rPr>
          <w:rFonts w:ascii="Times New Roman" w:eastAsia="Times New Roman"/>
        </w:rPr>
        <w:t>1</w:t>
      </w:r>
      <w:r>
        <w:rPr/>
        <w:t>月呈报中国保险监督管理委员会备案）</w:t>
      </w:r>
    </w:p>
    <w:p>
      <w:pPr>
        <w:pStyle w:val="BodyText"/>
        <w:ind w:left="0"/>
        <w:rPr>
          <w:sz w:val="22"/>
        </w:rPr>
      </w:pPr>
    </w:p>
    <w:p>
      <w:pPr>
        <w:pStyle w:val="BodyText"/>
        <w:spacing w:before="8"/>
        <w:ind w:left="0"/>
        <w:rPr>
          <w:sz w:val="24"/>
        </w:rPr>
      </w:pPr>
    </w:p>
    <w:p>
      <w:pPr>
        <w:spacing w:before="1"/>
        <w:ind w:left="2786" w:right="0" w:firstLine="0"/>
        <w:jc w:val="center"/>
        <w:rPr>
          <w:b/>
          <w:sz w:val="28"/>
        </w:rPr>
      </w:pPr>
      <w:r>
        <w:rPr>
          <w:b/>
          <w:sz w:val="28"/>
        </w:rPr>
        <w:t>特别提示</w:t>
      </w:r>
    </w:p>
    <w:p>
      <w:pPr>
        <w:spacing w:before="19"/>
        <w:ind w:left="113" w:right="0" w:firstLine="0"/>
        <w:jc w:val="left"/>
        <w:rPr>
          <w:sz w:val="18"/>
        </w:rPr>
      </w:pPr>
      <w:r>
        <w:rPr/>
        <w:br w:type="column"/>
      </w:r>
      <w:r>
        <w:rPr>
          <w:sz w:val="18"/>
        </w:rPr>
        <w:t>太平人寿[2013]疾病保险 027 号</w:t>
      </w:r>
    </w:p>
    <w:p>
      <w:pPr>
        <w:pStyle w:val="BodyText"/>
        <w:spacing w:before="4"/>
        <w:ind w:left="0"/>
        <w:rPr>
          <w:sz w:val="7"/>
        </w:rPr>
      </w:pPr>
    </w:p>
    <w:p>
      <w:pPr>
        <w:pStyle w:val="BodyText"/>
        <w:ind w:left="988"/>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108"/>
        <w:ind w:left="582" w:right="0" w:firstLine="0"/>
        <w:jc w:val="left"/>
        <w:rPr>
          <w:sz w:val="18"/>
        </w:rPr>
      </w:pPr>
      <w:r>
        <w:rPr>
          <w:sz w:val="18"/>
        </w:rPr>
        <w:t>请扫描以查询验证条款</w:t>
      </w:r>
    </w:p>
    <w:p>
      <w:pPr>
        <w:spacing w:after="0"/>
        <w:jc w:val="left"/>
        <w:rPr>
          <w:sz w:val="18"/>
        </w:rPr>
        <w:sectPr>
          <w:type w:val="continuous"/>
          <w:pgSz w:w="11910" w:h="16160"/>
          <w:pgMar w:top="560" w:bottom="280" w:left="500" w:right="320"/>
          <w:cols w:num="2" w:equalWidth="0">
            <w:col w:w="8276" w:space="59"/>
            <w:col w:w="2755"/>
          </w:cols>
        </w:sectPr>
      </w:pPr>
    </w:p>
    <w:p>
      <w:pPr>
        <w:pStyle w:val="BodyText"/>
        <w:ind w:left="0"/>
        <w:rPr>
          <w:sz w:val="20"/>
        </w:rPr>
      </w:pPr>
    </w:p>
    <w:p>
      <w:pPr>
        <w:pStyle w:val="BodyText"/>
        <w:ind w:left="0"/>
        <w:rPr>
          <w:sz w:val="20"/>
        </w:rPr>
      </w:pPr>
    </w:p>
    <w:p>
      <w:pPr>
        <w:pStyle w:val="BodyText"/>
        <w:spacing w:before="1"/>
        <w:ind w:left="0"/>
        <w:rPr>
          <w:sz w:val="16"/>
        </w:rPr>
      </w:pPr>
    </w:p>
    <w:p>
      <w:pPr>
        <w:spacing w:before="26"/>
        <w:ind w:left="1058" w:right="0" w:firstLine="0"/>
        <w:jc w:val="left"/>
        <w:rPr>
          <w:sz w:val="24"/>
        </w:rPr>
      </w:pPr>
      <w:r>
        <w:rPr>
          <w:sz w:val="24"/>
        </w:rPr>
        <w:t>感谢您选择了太平人寿保险有限公司。</w:t>
      </w:r>
    </w:p>
    <w:p>
      <w:pPr>
        <w:spacing w:line="549" w:lineRule="auto" w:before="46"/>
        <w:ind w:left="1060" w:right="23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92pt;width:486.25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90"/>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90"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90" w:type="dxa"/>
                      </w:tcPr>
                      <w:p>
                        <w:pPr>
                          <w:pStyle w:val="TableParagraph"/>
                          <w:spacing w:line="276" w:lineRule="auto" w:before="185"/>
                          <w:ind w:left="143" w:right="203"/>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90" w:type="dxa"/>
                      </w:tcPr>
                      <w:p>
                        <w:pPr>
                          <w:pStyle w:val="TableParagraph"/>
                          <w:spacing w:line="360" w:lineRule="atLeast" w:before="139"/>
                          <w:ind w:left="143" w:right="198"/>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1"/>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w w:val="95"/>
          <w:sz w:val="24"/>
        </w:rPr>
        <w:t>解除保险合同会给您造成一定的损失，请您慎重决策</w:t>
      </w:r>
      <w:r>
        <w:rPr>
          <w:rFonts w:ascii="Courier New" w:eastAsia="Courier New"/>
          <w:b/>
          <w:w w:val="95"/>
          <w:sz w:val="24"/>
        </w:rPr>
        <w:t>...............</w:t>
      </w:r>
      <w:r>
        <w:rPr>
          <w:b/>
          <w:w w:val="95"/>
          <w:sz w:val="24"/>
        </w:rPr>
        <w:t>第二十四条</w:t>
      </w:r>
    </w:p>
    <w:p>
      <w:pPr>
        <w:pStyle w:val="BodyText"/>
        <w:ind w:left="0"/>
        <w:rPr>
          <w:b/>
          <w:sz w:val="26"/>
        </w:rPr>
      </w:pPr>
    </w:p>
    <w:p>
      <w:pPr>
        <w:pStyle w:val="BodyText"/>
        <w:spacing w:before="8"/>
        <w:ind w:left="0"/>
        <w:rPr>
          <w:b/>
          <w:sz w:val="29"/>
        </w:rPr>
      </w:pPr>
    </w:p>
    <w:p>
      <w:pPr>
        <w:spacing w:line="276" w:lineRule="auto" w:before="0"/>
        <w:ind w:left="1058" w:right="4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0"/>
          <w:w w:val="95"/>
          <w:position w:val="-8"/>
          <w:sz w:val="24"/>
        </w:rPr>
        <w:t>．</w:t>
      </w:r>
      <w:r>
        <w:rPr>
          <w:b/>
          <w:spacing w:val="-168"/>
          <w:w w:val="95"/>
          <w:sz w:val="24"/>
        </w:rPr>
        <w:t>释</w:t>
      </w:r>
      <w:r>
        <w:rPr>
          <w:spacing w:val="-72"/>
          <w:w w:val="95"/>
          <w:position w:val="-8"/>
          <w:sz w:val="24"/>
        </w:rPr>
        <w:t>．</w:t>
      </w:r>
      <w:r>
        <w:rPr>
          <w:b/>
          <w:spacing w:val="-168"/>
          <w:w w:val="95"/>
          <w:sz w:val="24"/>
        </w:rPr>
        <w:t>内</w:t>
      </w:r>
      <w:r>
        <w:rPr>
          <w:spacing w:val="-72"/>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2"/>
        </w:rPr>
      </w:pPr>
    </w:p>
    <w:p>
      <w:pPr>
        <w:pStyle w:val="BodyText"/>
        <w:spacing w:before="43"/>
        <w:ind w:left="4833" w:right="4852"/>
        <w:jc w:val="center"/>
      </w:pPr>
      <w:r>
        <w:rPr/>
        <w:t>第</w:t>
      </w:r>
      <w:r>
        <w:rPr>
          <w:rFonts w:ascii="Times New Roman" w:eastAsia="Times New Roman"/>
        </w:rPr>
        <w:t>1</w:t>
      </w:r>
      <w:r>
        <w:rPr/>
        <w:t>页，共</w:t>
      </w:r>
      <w:r>
        <w:rPr>
          <w:rFonts w:ascii="Times New Roman" w:eastAsia="Times New Roman"/>
        </w:rPr>
        <w:t>20</w:t>
      </w:r>
      <w:r>
        <w:rPr/>
        <w:t>页</w:t>
      </w:r>
    </w:p>
    <w:p>
      <w:pPr>
        <w:spacing w:after="0"/>
        <w:jc w:val="center"/>
        <w:sectPr>
          <w:type w:val="continuous"/>
          <w:pgSz w:w="11910" w:h="16160"/>
          <w:pgMar w:top="560" w:bottom="280" w:left="500" w:right="320"/>
        </w:sectPr>
      </w:pPr>
    </w:p>
    <w:p>
      <w:pPr>
        <w:tabs>
          <w:tab w:pos="1415" w:val="left" w:leader="none"/>
        </w:tabs>
        <w:spacing w:line="314" w:lineRule="exact" w:before="0"/>
        <w:ind w:left="572"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14"/>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10013" w:val="right" w:leader="dot"/>
            </w:tabs>
            <w:spacing w:before="4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37" w:val="left" w:leader="none"/>
              <w:tab w:pos="10013" w:val="right" w:leader="dot"/>
            </w:tabs>
            <w:spacing w:before="63"/>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37"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37"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0">
            <w:r>
              <w:rPr/>
              <w:t>第三部分</w:t>
              <w:tab/>
              <w:t>如何支付保险费</w:t>
              <w:tab/>
            </w:r>
            <w:r>
              <w:rPr>
                <w:rFonts w:ascii="Times New Roman" w:eastAsia="Times New Roman"/>
              </w:rPr>
              <w:t>6</w:t>
            </w:r>
          </w:hyperlink>
        </w:p>
        <w:p>
          <w:pPr>
            <w:pStyle w:val="TOC2"/>
            <w:tabs>
              <w:tab w:pos="1737"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6</w:t>
            </w:r>
          </w:hyperlink>
        </w:p>
        <w:p>
          <w:pPr>
            <w:pStyle w:val="TOC2"/>
            <w:tabs>
              <w:tab w:pos="1737" w:val="left" w:leader="none"/>
              <w:tab w:pos="10013" w:val="right" w:leader="dot"/>
            </w:tabs>
            <w:rPr>
              <w:rFonts w:ascii="Times New Roman" w:eastAsia="Times New Roman"/>
            </w:rPr>
          </w:pPr>
          <w:hyperlink w:history="true" w:anchor="_bookmark12">
            <w:r>
              <w:rPr/>
              <w:t>第十条</w:t>
              <w:tab/>
              <w:t>保险费率的调整</w:t>
              <w:tab/>
            </w:r>
            <w:r>
              <w:rPr>
                <w:rFonts w:ascii="Times New Roman" w:eastAsia="Times New Roman"/>
              </w:rPr>
              <w:t>6</w:t>
            </w:r>
          </w:hyperlink>
        </w:p>
        <w:p>
          <w:pPr>
            <w:pStyle w:val="TOC2"/>
            <w:tabs>
              <w:tab w:pos="1737" w:val="left" w:leader="none"/>
              <w:tab w:pos="10013" w:val="right" w:leader="dot"/>
            </w:tabs>
            <w:rPr>
              <w:rFonts w:ascii="Times New Roman" w:eastAsia="Times New Roman"/>
            </w:rPr>
          </w:pPr>
          <w:hyperlink w:history="true" w:anchor="_bookmark13">
            <w:r>
              <w:rPr/>
              <w:t>第十一条</w:t>
              <w:tab/>
              <w:t>宽限期</w:t>
              <w:tab/>
            </w:r>
            <w:r>
              <w:rPr>
                <w:rFonts w:ascii="Times New Roman" w:eastAsia="Times New Roman"/>
              </w:rPr>
              <w:t>6</w:t>
            </w:r>
          </w:hyperlink>
        </w:p>
        <w:p>
          <w:pPr>
            <w:pStyle w:val="TOC1"/>
            <w:tabs>
              <w:tab w:pos="1377" w:val="left" w:leader="none"/>
              <w:tab w:pos="10019" w:val="right" w:leader="dot"/>
            </w:tabs>
            <w:rPr>
              <w:rFonts w:ascii="Times New Roman" w:eastAsia="Times New Roman"/>
            </w:rPr>
          </w:pPr>
          <w:hyperlink w:history="true" w:anchor="_bookmark14">
            <w:r>
              <w:rPr/>
              <w:t>第四部分</w:t>
              <w:tab/>
              <w:t>如何申请保险金</w:t>
              <w:tab/>
            </w:r>
            <w:r>
              <w:rPr>
                <w:rFonts w:ascii="Times New Roman" w:eastAsia="Times New Roman"/>
              </w:rPr>
              <w:t>6</w:t>
            </w:r>
          </w:hyperlink>
        </w:p>
        <w:p>
          <w:pPr>
            <w:pStyle w:val="TOC2"/>
            <w:tabs>
              <w:tab w:pos="1737" w:val="left" w:leader="none"/>
              <w:tab w:pos="10013" w:val="right" w:leader="dot"/>
            </w:tabs>
            <w:spacing w:before="42"/>
            <w:rPr>
              <w:rFonts w:ascii="Times New Roman" w:eastAsia="Times New Roman"/>
            </w:rPr>
          </w:pPr>
          <w:hyperlink w:history="true" w:anchor="_bookmark15">
            <w:r>
              <w:rPr/>
              <w:t>第十二条</w:t>
              <w:tab/>
              <w:t>受益人</w:t>
              <w:tab/>
            </w:r>
            <w:r>
              <w:rPr>
                <w:rFonts w:ascii="Times New Roman" w:eastAsia="Times New Roman"/>
              </w:rPr>
              <w:t>6</w:t>
            </w:r>
          </w:hyperlink>
        </w:p>
        <w:p>
          <w:pPr>
            <w:pStyle w:val="TOC2"/>
            <w:tabs>
              <w:tab w:pos="1737" w:val="left" w:leader="none"/>
              <w:tab w:pos="10013" w:val="right" w:leader="dot"/>
            </w:tabs>
            <w:spacing w:before="63"/>
            <w:rPr>
              <w:rFonts w:ascii="Times New Roman" w:eastAsia="Times New Roman"/>
            </w:rPr>
          </w:pPr>
          <w:hyperlink w:history="true" w:anchor="_bookmark16">
            <w:r>
              <w:rPr/>
              <w:t>第十三条</w:t>
              <w:tab/>
              <w:t>保险事故通知</w:t>
              <w:tab/>
            </w:r>
            <w:r>
              <w:rPr>
                <w:rFonts w:ascii="Times New Roman" w:eastAsia="Times New Roman"/>
              </w:rPr>
              <w:t>7</w:t>
            </w:r>
          </w:hyperlink>
        </w:p>
        <w:p>
          <w:pPr>
            <w:pStyle w:val="TOC2"/>
            <w:tabs>
              <w:tab w:pos="1737" w:val="left" w:leader="none"/>
              <w:tab w:pos="10013" w:val="right" w:leader="dot"/>
            </w:tabs>
            <w:spacing w:before="63"/>
            <w:rPr>
              <w:rFonts w:ascii="Times New Roman" w:eastAsia="Times New Roman"/>
            </w:rPr>
          </w:pPr>
          <w:hyperlink w:history="true" w:anchor="_bookmark17">
            <w:r>
              <w:rPr/>
              <w:t>第十四条</w:t>
              <w:tab/>
              <w:t>诉讼时效</w:t>
              <w:tab/>
            </w:r>
            <w:r>
              <w:rPr>
                <w:rFonts w:ascii="Times New Roman" w:eastAsia="Times New Roman"/>
              </w:rPr>
              <w:t>7</w:t>
            </w:r>
          </w:hyperlink>
        </w:p>
        <w:p>
          <w:pPr>
            <w:pStyle w:val="TOC2"/>
            <w:tabs>
              <w:tab w:pos="1737" w:val="left" w:leader="none"/>
              <w:tab w:pos="10013" w:val="right" w:leader="dot"/>
            </w:tabs>
            <w:spacing w:before="63"/>
            <w:rPr>
              <w:rFonts w:ascii="Times New Roman" w:eastAsia="Times New Roman"/>
            </w:rPr>
          </w:pPr>
          <w:hyperlink w:history="true" w:anchor="_bookmark18">
            <w:r>
              <w:rPr/>
              <w:t>第十五条</w:t>
              <w:tab/>
              <w:t>保险金申请</w:t>
              <w:tab/>
            </w:r>
            <w:r>
              <w:rPr>
                <w:rFonts w:ascii="Times New Roman" w:eastAsia="Times New Roman"/>
              </w:rPr>
              <w:t>7</w:t>
            </w:r>
          </w:hyperlink>
        </w:p>
        <w:p>
          <w:pPr>
            <w:pStyle w:val="TOC2"/>
            <w:tabs>
              <w:tab w:pos="1737" w:val="left" w:leader="none"/>
              <w:tab w:pos="10013" w:val="right" w:leader="dot"/>
            </w:tabs>
            <w:spacing w:before="63"/>
            <w:rPr>
              <w:rFonts w:ascii="Times New Roman" w:eastAsia="Times New Roman"/>
            </w:rPr>
          </w:pPr>
          <w:hyperlink w:history="true" w:anchor="_bookmark19">
            <w:r>
              <w:rPr/>
              <w:t>第十六条</w:t>
              <w:tab/>
              <w:t>保险金给付</w:t>
              <w:tab/>
            </w:r>
            <w:r>
              <w:rPr>
                <w:rFonts w:ascii="Times New Roman" w:eastAsia="Times New Roman"/>
              </w:rPr>
              <w:t>8</w:t>
            </w:r>
          </w:hyperlink>
        </w:p>
        <w:p>
          <w:pPr>
            <w:pStyle w:val="TOC2"/>
            <w:tabs>
              <w:tab w:pos="1737" w:val="left" w:leader="none"/>
              <w:tab w:pos="10013" w:val="right" w:leader="dot"/>
            </w:tabs>
            <w:spacing w:before="63"/>
            <w:rPr>
              <w:rFonts w:ascii="Times New Roman" w:eastAsia="Times New Roman"/>
            </w:rPr>
          </w:pPr>
          <w:hyperlink w:history="true" w:anchor="_bookmark20">
            <w:r>
              <w:rPr/>
              <w:t>第十七条</w:t>
              <w:tab/>
              <w:t>司法鉴定</w:t>
              <w:tab/>
            </w:r>
            <w:r>
              <w:rPr>
                <w:rFonts w:ascii="Times New Roman" w:eastAsia="Times New Roman"/>
              </w:rPr>
              <w:t>8</w:t>
            </w:r>
          </w:hyperlink>
        </w:p>
        <w:p>
          <w:pPr>
            <w:pStyle w:val="TOC2"/>
            <w:tabs>
              <w:tab w:pos="1737" w:val="left" w:leader="none"/>
              <w:tab w:pos="10013" w:val="right" w:leader="dot"/>
            </w:tabs>
            <w:spacing w:before="63"/>
            <w:rPr>
              <w:rFonts w:ascii="Times New Roman" w:eastAsia="Times New Roman"/>
            </w:rPr>
          </w:pPr>
          <w:hyperlink w:history="true" w:anchor="_bookmark21">
            <w:r>
              <w:rPr/>
              <w:t>第十八条</w:t>
              <w:tab/>
              <w:t>失踪处理</w:t>
              <w:tab/>
            </w:r>
            <w:r>
              <w:rPr>
                <w:rFonts w:ascii="Times New Roman" w:eastAsia="Times New Roman"/>
              </w:rPr>
              <w:t>8</w:t>
            </w:r>
          </w:hyperlink>
        </w:p>
        <w:p>
          <w:pPr>
            <w:pStyle w:val="TOC1"/>
            <w:tabs>
              <w:tab w:pos="1377" w:val="left" w:leader="none"/>
              <w:tab w:pos="10019" w:val="right" w:leader="dot"/>
            </w:tabs>
            <w:rPr>
              <w:rFonts w:ascii="Times New Roman" w:eastAsia="Times New Roman"/>
            </w:rPr>
          </w:pPr>
          <w:hyperlink w:history="true" w:anchor="_bookmark22">
            <w:r>
              <w:rPr/>
              <w:t>第五部分</w:t>
              <w:tab/>
              <w:t>您还享有哪些权益</w:t>
              <w:tab/>
            </w:r>
            <w:r>
              <w:rPr>
                <w:rFonts w:ascii="Times New Roman" w:eastAsia="Times New Roman"/>
              </w:rPr>
              <w:t>8</w:t>
            </w:r>
          </w:hyperlink>
        </w:p>
        <w:p>
          <w:pPr>
            <w:pStyle w:val="TOC2"/>
            <w:tabs>
              <w:tab w:pos="1737" w:val="left" w:leader="none"/>
              <w:tab w:pos="10013" w:val="right" w:leader="dot"/>
            </w:tabs>
            <w:spacing w:before="42"/>
            <w:rPr>
              <w:rFonts w:ascii="Times New Roman" w:eastAsia="Times New Roman"/>
            </w:rPr>
          </w:pPr>
          <w:hyperlink w:history="true" w:anchor="_bookmark23">
            <w:r>
              <w:rPr/>
              <w:t>第十九条</w:t>
              <w:tab/>
              <w:t>保单贷款</w:t>
              <w:tab/>
            </w:r>
            <w:r>
              <w:rPr>
                <w:rFonts w:ascii="Times New Roman" w:eastAsia="Times New Roman"/>
              </w:rPr>
              <w:t>8</w:t>
            </w:r>
          </w:hyperlink>
        </w:p>
        <w:p>
          <w:pPr>
            <w:pStyle w:val="TOC2"/>
            <w:tabs>
              <w:tab w:pos="1737" w:val="left" w:leader="none"/>
              <w:tab w:pos="10013" w:val="right" w:leader="dot"/>
            </w:tabs>
            <w:rPr>
              <w:rFonts w:ascii="Times New Roman" w:eastAsia="Times New Roman"/>
            </w:rPr>
          </w:pPr>
          <w:hyperlink w:history="true" w:anchor="_bookmark24">
            <w:r>
              <w:rPr/>
              <w:t>第二十条</w:t>
              <w:tab/>
              <w:t>年金转换权</w:t>
              <w:tab/>
            </w:r>
            <w:r>
              <w:rPr>
                <w:rFonts w:ascii="Times New Roman" w:eastAsia="Times New Roman"/>
              </w:rPr>
              <w:t>9</w:t>
            </w:r>
          </w:hyperlink>
        </w:p>
        <w:p>
          <w:pPr>
            <w:pStyle w:val="TOC2"/>
            <w:tabs>
              <w:tab w:pos="1737" w:val="left" w:leader="none"/>
              <w:tab w:pos="10013" w:val="right" w:leader="dot"/>
            </w:tabs>
            <w:rPr>
              <w:rFonts w:ascii="Times New Roman" w:eastAsia="Times New Roman"/>
            </w:rPr>
          </w:pPr>
          <w:hyperlink w:history="true" w:anchor="_bookmark25">
            <w:r>
              <w:rPr/>
              <w:t>第二十一条</w:t>
              <w:tab/>
              <w:t>合同内容的变更权</w:t>
              <w:tab/>
            </w:r>
            <w:r>
              <w:rPr>
                <w:rFonts w:ascii="Times New Roman" w:eastAsia="Times New Roman"/>
              </w:rPr>
              <w:t>9</w:t>
            </w:r>
          </w:hyperlink>
        </w:p>
        <w:p>
          <w:pPr>
            <w:pStyle w:val="TOC2"/>
            <w:tabs>
              <w:tab w:pos="1737" w:val="left" w:leader="none"/>
              <w:tab w:pos="10013" w:val="right" w:leader="dot"/>
            </w:tabs>
            <w:rPr>
              <w:rFonts w:ascii="Times New Roman" w:eastAsia="Times New Roman"/>
            </w:rPr>
          </w:pPr>
          <w:hyperlink w:history="true" w:anchor="_bookmark26">
            <w:r>
              <w:rPr/>
              <w:t>第二十二条</w:t>
              <w:tab/>
              <w:t>合同效力的中止与恢复</w:t>
              <w:tab/>
            </w:r>
            <w:r>
              <w:rPr>
                <w:rFonts w:ascii="Times New Roman" w:eastAsia="Times New Roman"/>
              </w:rPr>
              <w:t>9</w:t>
            </w:r>
          </w:hyperlink>
        </w:p>
        <w:p>
          <w:pPr>
            <w:pStyle w:val="TOC2"/>
            <w:tabs>
              <w:tab w:pos="1737" w:val="left" w:leader="none"/>
              <w:tab w:pos="10013" w:val="right" w:leader="dot"/>
            </w:tabs>
            <w:rPr>
              <w:rFonts w:ascii="Times New Roman" w:eastAsia="Times New Roman"/>
            </w:rPr>
          </w:pPr>
          <w:hyperlink w:history="true" w:anchor="_bookmark27">
            <w:r>
              <w:rPr/>
              <w:t>第二十三条</w:t>
              <w:tab/>
              <w:t>犹豫期</w:t>
              <w:tab/>
            </w:r>
            <w:r>
              <w:rPr>
                <w:rFonts w:ascii="Times New Roman" w:eastAsia="Times New Roman"/>
              </w:rPr>
              <w:t>9</w:t>
            </w:r>
          </w:hyperlink>
        </w:p>
        <w:p>
          <w:pPr>
            <w:pStyle w:val="TOC2"/>
            <w:tabs>
              <w:tab w:pos="1737" w:val="left" w:leader="none"/>
              <w:tab w:pos="10017" w:val="right" w:leader="dot"/>
            </w:tabs>
            <w:rPr>
              <w:rFonts w:ascii="Times New Roman" w:eastAsia="Times New Roman"/>
            </w:rPr>
          </w:pPr>
          <w:hyperlink w:history="true" w:anchor="_bookmark28">
            <w:r>
              <w:rPr/>
              <w:t>第二十四条</w:t>
              <w:tab/>
              <w:t>您解除合同的手续及风险</w:t>
              <w:tab/>
            </w:r>
            <w:r>
              <w:rPr>
                <w:rFonts w:ascii="Times New Roman" w:eastAsia="Times New Roman"/>
              </w:rPr>
              <w:t>10</w:t>
            </w:r>
          </w:hyperlink>
        </w:p>
        <w:p>
          <w:pPr>
            <w:pStyle w:val="TOC1"/>
            <w:tabs>
              <w:tab w:pos="1377" w:val="left" w:leader="none"/>
              <w:tab w:pos="10019" w:val="right" w:leader="dot"/>
            </w:tabs>
            <w:spacing w:before="41"/>
            <w:rPr>
              <w:rFonts w:ascii="Times New Roman" w:eastAsia="Times New Roman"/>
            </w:rPr>
          </w:pPr>
          <w:hyperlink w:history="true" w:anchor="_bookmark29">
            <w:r>
              <w:rPr/>
              <w:t>第六部分</w:t>
              <w:tab/>
              <w:t>您必须了解的其他</w:t>
            </w:r>
            <w:r>
              <w:rPr>
                <w:spacing w:val="-3"/>
              </w:rPr>
              <w:t>事</w:t>
            </w:r>
            <w:r>
              <w:rPr/>
              <w:t>项</w:t>
              <w:tab/>
            </w:r>
            <w:r>
              <w:rPr>
                <w:rFonts w:ascii="Times New Roman" w:eastAsia="Times New Roman"/>
              </w:rPr>
              <w:t>10</w:t>
            </w:r>
          </w:hyperlink>
        </w:p>
        <w:p>
          <w:pPr>
            <w:pStyle w:val="TOC2"/>
            <w:tabs>
              <w:tab w:pos="1737" w:val="left" w:leader="none"/>
              <w:tab w:pos="10017" w:val="right" w:leader="dot"/>
            </w:tabs>
            <w:spacing w:before="41"/>
            <w:rPr>
              <w:rFonts w:ascii="Times New Roman" w:eastAsia="Times New Roman"/>
            </w:rPr>
          </w:pPr>
          <w:hyperlink w:history="true" w:anchor="_bookmark30">
            <w:r>
              <w:rPr/>
              <w:t>第二十五条</w:t>
              <w:tab/>
              <w:t>明确说明与如实告知</w:t>
              <w:tab/>
            </w:r>
            <w:r>
              <w:rPr>
                <w:rFonts w:ascii="Times New Roman" w:eastAsia="Times New Roman"/>
              </w:rPr>
              <w:t>10</w:t>
            </w:r>
          </w:hyperlink>
        </w:p>
        <w:p>
          <w:pPr>
            <w:pStyle w:val="TOC2"/>
            <w:tabs>
              <w:tab w:pos="1737" w:val="left" w:leader="none"/>
              <w:tab w:pos="10017" w:val="right" w:leader="dot"/>
            </w:tabs>
            <w:rPr>
              <w:rFonts w:ascii="Times New Roman" w:eastAsia="Times New Roman"/>
            </w:rPr>
          </w:pPr>
          <w:hyperlink w:history="true" w:anchor="_bookmark31">
            <w:r>
              <w:rPr/>
              <w:t>第二十六条</w:t>
              <w:tab/>
              <w:t>我们合同解除权的限制</w:t>
              <w:tab/>
            </w:r>
            <w:r>
              <w:rPr>
                <w:rFonts w:ascii="Times New Roman" w:eastAsia="Times New Roman"/>
              </w:rPr>
              <w:t>10</w:t>
            </w:r>
          </w:hyperlink>
        </w:p>
        <w:p>
          <w:pPr>
            <w:pStyle w:val="TOC2"/>
            <w:tabs>
              <w:tab w:pos="1737" w:val="left" w:leader="none"/>
              <w:tab w:pos="10017" w:val="right" w:leader="dot"/>
            </w:tabs>
            <w:spacing w:before="63"/>
            <w:rPr>
              <w:rFonts w:ascii="Times New Roman" w:eastAsia="Times New Roman"/>
            </w:rPr>
          </w:pPr>
          <w:hyperlink w:history="true" w:anchor="_bookmark32">
            <w:r>
              <w:rPr/>
              <w:t>第二十七条</w:t>
              <w:tab/>
              <w:t>年龄错误</w:t>
              <w:tab/>
            </w:r>
            <w:r>
              <w:rPr>
                <w:rFonts w:ascii="Times New Roman" w:eastAsia="Times New Roman"/>
              </w:rPr>
              <w:t>10</w:t>
            </w:r>
          </w:hyperlink>
        </w:p>
        <w:p>
          <w:pPr>
            <w:pStyle w:val="TOC2"/>
            <w:tabs>
              <w:tab w:pos="1737" w:val="left" w:leader="none"/>
              <w:tab w:pos="10017" w:val="right" w:leader="dot"/>
            </w:tabs>
            <w:rPr>
              <w:rFonts w:ascii="Times New Roman" w:eastAsia="Times New Roman"/>
            </w:rPr>
          </w:pPr>
          <w:hyperlink w:history="true" w:anchor="_bookmark33">
            <w:r>
              <w:rPr/>
              <w:t>第二十八条</w:t>
              <w:tab/>
              <w:t>性别错误</w:t>
              <w:tab/>
            </w:r>
            <w:r>
              <w:rPr>
                <w:rFonts w:ascii="Times New Roman" w:eastAsia="Times New Roman"/>
              </w:rPr>
              <w:t>10</w:t>
            </w:r>
          </w:hyperlink>
        </w:p>
        <w:p>
          <w:pPr>
            <w:pStyle w:val="TOC2"/>
            <w:tabs>
              <w:tab w:pos="1737" w:val="left" w:leader="none"/>
              <w:tab w:pos="10009" w:val="right" w:leader="dot"/>
            </w:tabs>
            <w:rPr>
              <w:rFonts w:ascii="Times New Roman" w:eastAsia="Times New Roman"/>
            </w:rPr>
          </w:pPr>
          <w:hyperlink w:history="true" w:anchor="_bookmark34">
            <w:r>
              <w:rPr/>
              <w:t>第二十九条</w:t>
              <w:tab/>
              <w:t>未还款项</w:t>
              <w:tab/>
            </w:r>
            <w:r>
              <w:rPr>
                <w:rFonts w:ascii="Times New Roman" w:eastAsia="Times New Roman"/>
                <w:spacing w:val="-6"/>
              </w:rPr>
              <w:t>11</w:t>
            </w:r>
          </w:hyperlink>
        </w:p>
        <w:p>
          <w:pPr>
            <w:pStyle w:val="TOC2"/>
            <w:tabs>
              <w:tab w:pos="1737" w:val="left" w:leader="none"/>
              <w:tab w:pos="10009" w:val="right" w:leader="dot"/>
            </w:tabs>
            <w:rPr>
              <w:rFonts w:ascii="Times New Roman" w:eastAsia="Times New Roman"/>
            </w:rPr>
          </w:pPr>
          <w:hyperlink w:history="true" w:anchor="_bookmark35">
            <w:r>
              <w:rPr/>
              <w:t>第三十条</w:t>
              <w:tab/>
              <w:t>保险合同的终止</w:t>
              <w:tab/>
            </w:r>
            <w:r>
              <w:rPr>
                <w:rFonts w:ascii="Times New Roman" w:eastAsia="Times New Roman"/>
                <w:spacing w:val="-6"/>
              </w:rPr>
              <w:t>11</w:t>
            </w:r>
          </w:hyperlink>
        </w:p>
        <w:p>
          <w:pPr>
            <w:pStyle w:val="TOC2"/>
            <w:tabs>
              <w:tab w:pos="1737" w:val="left" w:leader="none"/>
              <w:tab w:pos="10009" w:val="right" w:leader="dot"/>
            </w:tabs>
            <w:rPr>
              <w:rFonts w:ascii="Times New Roman" w:eastAsia="Times New Roman"/>
            </w:rPr>
          </w:pPr>
          <w:hyperlink w:history="true" w:anchor="_bookmark36">
            <w:r>
              <w:rPr/>
              <w:t>第三十一条</w:t>
              <w:tab/>
              <w:t>联系方式的变更</w:t>
              <w:tab/>
            </w:r>
            <w:r>
              <w:rPr>
                <w:rFonts w:ascii="Times New Roman" w:eastAsia="Times New Roman"/>
                <w:spacing w:val="-6"/>
              </w:rPr>
              <w:t>11</w:t>
            </w:r>
          </w:hyperlink>
        </w:p>
        <w:p>
          <w:pPr>
            <w:pStyle w:val="TOC2"/>
            <w:tabs>
              <w:tab w:pos="1737" w:val="left" w:leader="none"/>
              <w:tab w:pos="10009" w:val="right" w:leader="dot"/>
            </w:tabs>
            <w:rPr>
              <w:rFonts w:ascii="Times New Roman" w:eastAsia="Times New Roman"/>
            </w:rPr>
          </w:pPr>
          <w:hyperlink w:history="true" w:anchor="_bookmark37">
            <w:r>
              <w:rPr/>
              <w:t>第三十二条</w:t>
              <w:tab/>
              <w:t>争议处理</w:t>
              <w:tab/>
            </w:r>
            <w:r>
              <w:rPr>
                <w:rFonts w:ascii="Times New Roman" w:eastAsia="Times New Roman"/>
                <w:spacing w:val="-6"/>
              </w:rPr>
              <w:t>11</w:t>
            </w:r>
          </w:hyperlink>
        </w:p>
        <w:p>
          <w:pPr>
            <w:pStyle w:val="TOC2"/>
            <w:tabs>
              <w:tab w:pos="1737" w:val="left" w:leader="none"/>
              <w:tab w:pos="10009" w:val="right" w:leader="dot"/>
            </w:tabs>
            <w:rPr>
              <w:rFonts w:ascii="Times New Roman" w:eastAsia="Times New Roman"/>
            </w:rPr>
          </w:pPr>
          <w:hyperlink w:history="true" w:anchor="_bookmark38">
            <w:r>
              <w:rPr/>
              <w:t>第三十三条</w:t>
              <w:tab/>
              <w:t>重大疾病的种类及定义</w:t>
              <w:tab/>
            </w:r>
            <w:r>
              <w:rPr>
                <w:rFonts w:ascii="Times New Roman" w:eastAsia="Times New Roman"/>
                <w:spacing w:val="-6"/>
              </w:rPr>
              <w:t>11</w:t>
            </w:r>
          </w:hyperlink>
        </w:p>
        <w:p>
          <w:pPr>
            <w:pStyle w:val="TOC2"/>
            <w:tabs>
              <w:tab w:pos="1737" w:val="left" w:leader="none"/>
              <w:tab w:pos="10017" w:val="right" w:leader="dot"/>
            </w:tabs>
            <w:rPr>
              <w:rFonts w:ascii="Times New Roman" w:eastAsia="Times New Roman"/>
            </w:rPr>
          </w:pPr>
          <w:hyperlink w:history="true" w:anchor="_bookmark39">
            <w:r>
              <w:rPr/>
              <w:t>第三十四条</w:t>
              <w:tab/>
              <w:t>特定疾病的种类及定义</w:t>
              <w:tab/>
            </w:r>
            <w:r>
              <w:rPr>
                <w:rFonts w:ascii="Times New Roman" w:eastAsia="Times New Roman"/>
              </w:rPr>
              <w:t>18</w:t>
            </w:r>
          </w:hyperlink>
        </w:p>
        <w:p>
          <w:pPr>
            <w:pStyle w:val="TOC2"/>
            <w:tabs>
              <w:tab w:pos="1737" w:val="left" w:leader="none"/>
              <w:tab w:pos="10017" w:val="right" w:leader="dot"/>
            </w:tabs>
            <w:rPr>
              <w:rFonts w:ascii="Times New Roman" w:eastAsia="Times New Roman"/>
            </w:rPr>
          </w:pPr>
          <w:hyperlink w:history="true" w:anchor="_bookmark40">
            <w:r>
              <w:rPr/>
              <w:t>第三十五条</w:t>
              <w:tab/>
              <w:t>身体高度残疾的定义</w:t>
              <w:tab/>
            </w:r>
            <w:r>
              <w:rPr>
                <w:rFonts w:ascii="Times New Roman" w:eastAsia="Times New Roman"/>
              </w:rPr>
              <w:t>20</w:t>
            </w:r>
          </w:hyperlink>
        </w:p>
      </w:sdtContent>
    </w:sdt>
    <w:p>
      <w:pPr>
        <w:spacing w:after="0"/>
        <w:rPr>
          <w:rFonts w:ascii="Times New Roman" w:eastAsia="Times New Roman"/>
        </w:rPr>
        <w:sectPr>
          <w:footerReference w:type="default" r:id="rId8"/>
          <w:pgSz w:w="11910" w:h="16160"/>
          <w:pgMar w:footer="993" w:header="0" w:top="1340" w:bottom="118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57" w:val="left" w:leader="none"/>
        </w:tabs>
      </w:pPr>
      <w:bookmarkStart w:name="_bookmark1" w:id="2"/>
      <w:bookmarkEnd w:id="2"/>
      <w:r>
        <w:rPr>
          <w:b w:val="0"/>
        </w:rPr>
      </w:r>
      <w:r>
        <w:rPr/>
        <w:t>第一条</w:t>
        <w:tab/>
        <w:t>保险合同的构成</w:t>
      </w:r>
    </w:p>
    <w:p>
      <w:pPr>
        <w:pStyle w:val="BodyText"/>
        <w:spacing w:line="273" w:lineRule="auto" w:before="36"/>
        <w:ind w:right="1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57" w:val="left" w:leader="none"/>
        </w:tabs>
      </w:pPr>
      <w:bookmarkStart w:name="_bookmark2" w:id="3"/>
      <w:bookmarkEnd w:id="3"/>
      <w:r>
        <w:rPr>
          <w:b w:val="0"/>
        </w:rPr>
      </w:r>
      <w:r>
        <w:rPr/>
        <w:t>第二条</w:t>
        <w:tab/>
        <w:t>投保范围</w:t>
      </w:r>
    </w:p>
    <w:p>
      <w:pPr>
        <w:pStyle w:val="BodyText"/>
        <w:spacing w:before="37"/>
        <w:ind w:left="538"/>
      </w:pPr>
      <w:r>
        <w:rPr/>
        <w:t>本合同接受的被保险人的投保年龄为出生满 </w:t>
      </w:r>
      <w:r>
        <w:rPr>
          <w:rFonts w:ascii="Times New Roman" w:eastAsia="Times New Roman"/>
        </w:rPr>
        <w:t>28 </w:t>
      </w:r>
      <w:r>
        <w:rPr/>
        <w:t>天至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57"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57" w:val="left" w:leader="none"/>
        </w:tabs>
      </w:pPr>
      <w:bookmarkStart w:name="_bookmark4" w:id="5"/>
      <w:bookmarkEnd w:id="5"/>
      <w:r>
        <w:rPr>
          <w:b w:val="0"/>
        </w:rPr>
      </w:r>
      <w:r>
        <w:rPr/>
        <w:t>第四条</w:t>
        <w:tab/>
        <w:t>保险期间</w:t>
      </w:r>
    </w:p>
    <w:p>
      <w:pPr>
        <w:pStyle w:val="BodyText"/>
        <w:spacing w:before="36"/>
        <w:ind w:left="538"/>
      </w:pPr>
      <w:r>
        <w:rPr/>
        <w:t>本合同的保险期间为终身，自本合同生效日零时起至被保险人身故时止，并在保险单上载明。</w:t>
      </w:r>
    </w:p>
    <w:p>
      <w:pPr>
        <w:pStyle w:val="BodyText"/>
        <w:spacing w:before="6"/>
        <w:ind w:left="0"/>
        <w:rPr>
          <w:sz w:val="24"/>
        </w:rPr>
      </w:pPr>
    </w:p>
    <w:p>
      <w:pPr>
        <w:pStyle w:val="Heading1"/>
        <w:tabs>
          <w:tab w:pos="1418" w:val="left" w:leader="none"/>
        </w:tabs>
        <w:ind w:right="3"/>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57" w:val="left" w:leader="none"/>
        </w:tabs>
      </w:pPr>
      <w:bookmarkStart w:name="_bookmark6" w:id="7"/>
      <w:bookmarkEnd w:id="7"/>
      <w:r>
        <w:rPr>
          <w:b w:val="0"/>
        </w:rPr>
      </w:r>
      <w:r>
        <w:rPr/>
        <w:t>第五条</w:t>
        <w:tab/>
      </w:r>
      <w:r>
        <w:rPr>
          <w:spacing w:val="-1"/>
        </w:rPr>
        <w:t>基</w:t>
      </w:r>
      <w:r>
        <w:rPr/>
        <w:t>本保险金额</w:t>
      </w:r>
    </w:p>
    <w:p>
      <w:pPr>
        <w:pStyle w:val="BodyText"/>
        <w:spacing w:line="273" w:lineRule="auto" w:before="37"/>
        <w:ind w:right="121" w:firstLine="420"/>
      </w:pPr>
      <w:r>
        <w:rPr/>
        <w:t>本合同的基本保险金额由您和我们约定，并在保险单或批注上列明。如果该金额发生变更，则以变更后的金额为基本保险金额。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spacing w:before="1"/>
      </w:pPr>
      <w:bookmarkStart w:name="_bookmark7" w:id="8"/>
      <w:bookmarkEnd w:id="8"/>
      <w:r>
        <w:rPr>
          <w:b w:val="0"/>
        </w:rPr>
      </w:r>
      <w:r>
        <w:rPr/>
        <w:t>第六条</w:t>
        <w:tab/>
        <w:t>等待期</w:t>
      </w:r>
    </w:p>
    <w:p>
      <w:pPr>
        <w:pStyle w:val="BodyText"/>
        <w:spacing w:before="37"/>
        <w:ind w:left="540"/>
      </w:pPr>
      <w:r>
        <w:rPr/>
        <w:t>自本合同生效日零时起 </w:t>
      </w:r>
      <w:r>
        <w:rPr>
          <w:rFonts w:ascii="Times New Roman" w:eastAsia="Times New Roman"/>
        </w:rPr>
        <w:t>90 </w:t>
      </w:r>
      <w:r>
        <w:rPr/>
        <w:t>天为等待期。如果本合同曾一次或多次恢复效力，则自每次合同效力恢复之日</w:t>
      </w:r>
    </w:p>
    <w:p>
      <w:pPr>
        <w:pStyle w:val="BodyText"/>
        <w:spacing w:before="21"/>
      </w:pPr>
      <w:r>
        <w:rPr/>
        <w:t>零时起 </w:t>
      </w:r>
      <w:r>
        <w:rPr>
          <w:rFonts w:ascii="Times New Roman" w:eastAsia="Times New Roman"/>
        </w:rPr>
        <w:t>90 </w:t>
      </w:r>
      <w:r>
        <w:rPr/>
        <w:t>天均为等待期。</w:t>
      </w:r>
    </w:p>
    <w:p>
      <w:pPr>
        <w:pStyle w:val="BodyText"/>
        <w:spacing w:before="6"/>
        <w:ind w:left="0"/>
        <w:rPr>
          <w:sz w:val="25"/>
        </w:rPr>
      </w:pPr>
    </w:p>
    <w:p>
      <w:pPr>
        <w:pStyle w:val="Heading2"/>
        <w:tabs>
          <w:tab w:pos="957" w:val="left" w:leader="none"/>
        </w:tabs>
      </w:pPr>
      <w:bookmarkStart w:name="_bookmark8" w:id="9"/>
      <w:bookmarkEnd w:id="9"/>
      <w:r>
        <w:rPr>
          <w:b w:val="0"/>
        </w:rPr>
      </w:r>
      <w:r>
        <w:rPr/>
        <w:t>第七条</w:t>
        <w:tab/>
        <w:t>保险责任</w:t>
      </w:r>
    </w:p>
    <w:p>
      <w:pPr>
        <w:pStyle w:val="BodyText"/>
        <w:spacing w:line="273" w:lineRule="auto" w:before="37"/>
        <w:ind w:left="538" w:right="1829" w:firstLine="2"/>
      </w:pPr>
      <w:r>
        <w:rPr/>
        <w:t>在本合同保险期间内且本合同有效，我们按照下列约定承担给付相应保险金的责任： 一、重大疾病保险金</w:t>
      </w:r>
    </w:p>
    <w:p>
      <w:pPr>
        <w:pStyle w:val="ListParagraph"/>
        <w:numPr>
          <w:ilvl w:val="0"/>
          <w:numId w:val="2"/>
        </w:numPr>
        <w:tabs>
          <w:tab w:pos="805" w:val="left" w:leader="none"/>
        </w:tabs>
        <w:spacing w:line="256" w:lineRule="auto" w:before="7" w:after="0"/>
        <w:ind w:left="117" w:right="117" w:firstLine="421"/>
        <w:jc w:val="left"/>
        <w:rPr>
          <w:sz w:val="21"/>
        </w:rPr>
      </w:pPr>
      <w:r>
        <w:rPr>
          <w:sz w:val="21"/>
        </w:rPr>
        <w:t>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0"/>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pacing w:val="0"/>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确诊初次</w:t>
      </w:r>
      <w:r>
        <w:rPr>
          <w:spacing w:val="-3"/>
          <w:sz w:val="21"/>
          <w:vertAlign w:val="baseline"/>
        </w:rPr>
        <w:t>患上一种或多种本合同第三十三条所定义的重大疾病，我们按本合同的基本保险金额给付重大疾病保险金，</w:t>
      </w:r>
    </w:p>
    <w:p>
      <w:pPr>
        <w:pStyle w:val="BodyText"/>
        <w:spacing w:before="3"/>
        <w:ind w:left="0"/>
        <w:rPr>
          <w:sz w:val="28"/>
        </w:rPr>
      </w:pPr>
      <w:r>
        <w:rPr/>
        <w:pict>
          <v:line style="position:absolute;mso-position-horizontal-relative:page;mso-position-vertical-relative:paragraph;z-index:1072;mso-wrap-distance-left:0;mso-wrap-distance-right:0" from="53.880001pt,20.673594pt" to="197.930001pt,20.673594pt" stroked="true" strokeweight=".47998pt" strokecolor="#000000">
            <v:stroke dashstyle="solid"/>
            <w10:wrap type="topAndBottom"/>
          </v:line>
        </w:pict>
      </w:r>
    </w:p>
    <w:p>
      <w:pPr>
        <w:pStyle w:val="BodyText"/>
        <w:spacing w:line="288" w:lineRule="exact"/>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pPr>
      <w:r>
        <w:rPr/>
        <w:t>度。如果当月无对应的同一日，则以该月最后一日为对应日。</w:t>
      </w:r>
    </w:p>
    <w:p>
      <w:pPr>
        <w:spacing w:line="318"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指在本合同交费期限内，保险单或批注上列明的合同生效日在每月、每季、每半年或每</w:t>
      </w:r>
    </w:p>
    <w:p>
      <w:pPr>
        <w:pStyle w:val="BodyText"/>
        <w:spacing w:line="226" w:lineRule="exact"/>
      </w:pPr>
      <w:r>
        <w:rPr/>
        <w:t>年（根据交费方式确定）的对应日。如果当月无对应的同一日，则以该月最后一日作为对应日。</w:t>
      </w:r>
    </w:p>
    <w:p>
      <w:pPr>
        <w:spacing w:line="284" w:lineRule="exact" w:before="0"/>
        <w:ind w:left="117" w:right="0" w:firstLine="0"/>
        <w:jc w:val="left"/>
        <w:rPr>
          <w:sz w:val="21"/>
        </w:rPr>
      </w:pPr>
      <w:r>
        <w:rPr>
          <w:rFonts w:ascii="Times New Roman" w:eastAsia="Times New Roman"/>
          <w:position w:val="10"/>
          <w:sz w:val="14"/>
        </w:rPr>
        <w:t>4</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pPr>
      <w:r>
        <w:rPr>
          <w:rFonts w:ascii="Times New Roman" w:eastAsia="Times New Roman"/>
          <w:position w:val="10"/>
          <w:sz w:val="14"/>
        </w:rPr>
        <w:t>5</w:t>
      </w:r>
      <w:r>
        <w:rPr>
          <w:rFonts w:ascii="Microsoft JhengHei" w:eastAsia="Microsoft JhengHei" w:hint="eastAsia"/>
          <w:b/>
        </w:rPr>
        <w:t>发病：</w:t>
      </w:r>
      <w:r>
        <w:rPr/>
        <w:t>指被保险人出现本合同所界定疾病的前兆或异常的身体状况，或已经显现足以使一般人士引起注意并</w:t>
      </w:r>
    </w:p>
    <w:p>
      <w:pPr>
        <w:pStyle w:val="BodyText"/>
        <w:spacing w:line="227" w:lineRule="exact"/>
      </w:pPr>
      <w:r>
        <w:rPr/>
        <w:t>寻求诊断、治疗或护理的病症，但不包括本合同生效或恢复效力前的任何疾病或症状。</w:t>
      </w:r>
    </w:p>
    <w:p>
      <w:pPr>
        <w:pStyle w:val="BodyText"/>
        <w:spacing w:line="318" w:lineRule="exact"/>
      </w:pPr>
      <w:r>
        <w:rPr>
          <w:rFonts w:ascii="Times New Roman" w:eastAsia="Times New Roman"/>
          <w:position w:val="10"/>
          <w:sz w:val="14"/>
        </w:rPr>
        <w:t>6</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pPr>
      <w:r>
        <w:rPr/>
        <w:t>酒、戒毒或相类似的医疗机构。同时该医院必须具有符合有关医院管理规定设臵标准的医疗设备，并且提供</w:t>
      </w:r>
    </w:p>
    <w:p>
      <w:pPr>
        <w:pStyle w:val="BodyText"/>
        <w:spacing w:line="290" w:lineRule="exact"/>
      </w:pPr>
      <w:r>
        <w:rPr>
          <w:rFonts w:ascii="Times New Roman" w:eastAsia="Times New Roman"/>
        </w:rPr>
        <w:t>24 </w:t>
      </w:r>
      <w:r>
        <w:rPr/>
        <w:t>小时有合格医师及护士驻院的医疗和护理等服务。</w:t>
      </w:r>
    </w:p>
    <w:p>
      <w:pPr>
        <w:spacing w:after="0" w:line="290" w:lineRule="exact"/>
        <w:sectPr>
          <w:pgSz w:w="11910" w:h="16160"/>
          <w:pgMar w:header="0" w:footer="993" w:top="1520" w:bottom="1220" w:left="960" w:right="800"/>
        </w:sectPr>
      </w:pPr>
    </w:p>
    <w:p>
      <w:pPr>
        <w:pStyle w:val="BodyText"/>
        <w:spacing w:before="7"/>
      </w:pPr>
      <w:r>
        <w:rPr/>
        <w:t>同时本合同终止。</w:t>
      </w:r>
    </w:p>
    <w:p>
      <w:pPr>
        <w:pStyle w:val="BodyText"/>
        <w:spacing w:line="273" w:lineRule="auto" w:before="37"/>
        <w:ind w:right="219" w:firstLine="420"/>
      </w:pPr>
      <w:r>
        <w:rPr/>
        <w:t>如果被保险人已经领取或我们应给付特定疾病保险金，我们按本合同的基本保险金额扣除被保险人已经领取或我们应给付的特定疾病保险金后的余额给付重大疾病保险金。</w:t>
      </w:r>
    </w:p>
    <w:p>
      <w:pPr>
        <w:pStyle w:val="ListParagraph"/>
        <w:numPr>
          <w:ilvl w:val="0"/>
          <w:numId w:val="2"/>
        </w:numPr>
        <w:tabs>
          <w:tab w:pos="807" w:val="left" w:leader="none"/>
        </w:tabs>
        <w:spacing w:line="256" w:lineRule="auto" w:before="7" w:after="0"/>
        <w:ind w:left="117" w:right="109" w:firstLine="421"/>
        <w:jc w:val="left"/>
        <w:rPr>
          <w:sz w:val="21"/>
        </w:rPr>
      </w:pPr>
      <w:r>
        <w:rPr>
          <w:sz w:val="21"/>
        </w:rPr>
        <w:t>被保险人因意外伤害事故以外的原因经医院确诊初次患上一种或多种本合同第三十三条所定义的重 </w:t>
      </w:r>
      <w:r>
        <w:rPr>
          <w:spacing w:val="-9"/>
          <w:sz w:val="21"/>
        </w:rPr>
        <w:t>大疾病，并且首次发病时间在等待期内，我们按本合同的已交保险费给付重大疾病保险金，同时本合同终止。</w:t>
      </w:r>
    </w:p>
    <w:p>
      <w:pPr>
        <w:pStyle w:val="BodyText"/>
        <w:spacing w:line="273" w:lineRule="auto" w:before="21"/>
        <w:ind w:right="217" w:firstLine="420"/>
        <w:jc w:val="both"/>
      </w:pPr>
      <w:r>
        <w:rPr/>
        <w:t>如果被保险人已经领取或我们应给付特定疾病保险金，我们按本合同的已交保险费扣除被保险人已经领取或我们应给付的特定疾病保险金后的余额给付重大疾病保险金。如果该余额为零或负值，则重大疾病保险金金额为零。</w:t>
      </w:r>
    </w:p>
    <w:p>
      <w:pPr>
        <w:pStyle w:val="BodyText"/>
        <w:spacing w:before="7"/>
        <w:ind w:left="538"/>
      </w:pPr>
      <w:r>
        <w:rPr/>
        <w:t>二、特定疾病保险金</w:t>
      </w:r>
    </w:p>
    <w:p>
      <w:pPr>
        <w:pStyle w:val="ListParagraph"/>
        <w:numPr>
          <w:ilvl w:val="0"/>
          <w:numId w:val="3"/>
        </w:numPr>
        <w:tabs>
          <w:tab w:pos="807" w:val="left" w:leader="none"/>
        </w:tabs>
        <w:spacing w:line="256" w:lineRule="auto" w:before="37" w:after="0"/>
        <w:ind w:left="117" w:right="107" w:firstLine="421"/>
        <w:jc w:val="left"/>
        <w:rPr>
          <w:sz w:val="21"/>
        </w:rPr>
      </w:pPr>
      <w:r>
        <w:rPr>
          <w:sz w:val="21"/>
        </w:rPr>
        <w:t>被保险人因意外伤害事故或等待期后因意外伤害事故以外的原因导致首次发病并经医院确诊初次患 </w:t>
      </w:r>
      <w:r>
        <w:rPr>
          <w:spacing w:val="-8"/>
          <w:sz w:val="21"/>
        </w:rPr>
        <w:t>上一种或多种本合同第三十四条所定义的特定疾病，我们按本合同基本保险金额的 </w:t>
      </w:r>
      <w:r>
        <w:rPr>
          <w:rFonts w:ascii="Times New Roman" w:eastAsia="Times New Roman"/>
          <w:sz w:val="21"/>
        </w:rPr>
        <w:t>20%</w:t>
      </w:r>
      <w:r>
        <w:rPr>
          <w:spacing w:val="-3"/>
          <w:sz w:val="21"/>
        </w:rPr>
        <w:t>给付特定疾病保险金， </w:t>
      </w:r>
      <w:r>
        <w:rPr>
          <w:spacing w:val="-5"/>
          <w:sz w:val="21"/>
        </w:rPr>
        <w:t>但给付以一次为限，给付金额最高为人民币 </w:t>
      </w:r>
      <w:r>
        <w:rPr>
          <w:rFonts w:ascii="Times New Roman" w:eastAsia="Times New Roman"/>
          <w:sz w:val="21"/>
        </w:rPr>
        <w:t>10</w:t>
      </w:r>
      <w:r>
        <w:rPr>
          <w:rFonts w:ascii="Times New Roman" w:eastAsia="Times New Roman"/>
          <w:spacing w:val="22"/>
          <w:sz w:val="21"/>
        </w:rPr>
        <w:t> </w:t>
      </w:r>
      <w:r>
        <w:rPr>
          <w:spacing w:val="-3"/>
          <w:sz w:val="21"/>
        </w:rPr>
        <w:t>万元，同时本项责任终止，但本合同继续有效。</w:t>
      </w:r>
    </w:p>
    <w:p>
      <w:pPr>
        <w:pStyle w:val="ListParagraph"/>
        <w:numPr>
          <w:ilvl w:val="0"/>
          <w:numId w:val="3"/>
        </w:numPr>
        <w:tabs>
          <w:tab w:pos="807" w:val="left" w:leader="none"/>
        </w:tabs>
        <w:spacing w:line="256" w:lineRule="auto" w:before="5" w:after="0"/>
        <w:ind w:left="117" w:right="217" w:firstLine="421"/>
        <w:jc w:val="left"/>
        <w:rPr>
          <w:sz w:val="21"/>
        </w:rPr>
      </w:pPr>
      <w:r>
        <w:rPr>
          <w:sz w:val="21"/>
        </w:rPr>
        <w:t>被保险人因意外伤害事故以外的原因经医院确诊初次患上一种或多种本合同第三十四条所定义的特</w:t>
      </w:r>
      <w:r>
        <w:rPr>
          <w:spacing w:val="-3"/>
          <w:sz w:val="21"/>
        </w:rPr>
        <w:t>定疾病，并且首次发病时间在等待期内，我们不承担保险责任，同时本项责任终止，但本合同继续有效。</w:t>
      </w:r>
    </w:p>
    <w:p>
      <w:pPr>
        <w:pStyle w:val="BodyText"/>
        <w:spacing w:before="22"/>
        <w:ind w:left="538"/>
      </w:pPr>
      <w:r>
        <w:rPr/>
        <w:t>三、身体高度残疾保险金</w:t>
      </w:r>
    </w:p>
    <w:p>
      <w:pPr>
        <w:pStyle w:val="ListParagraph"/>
        <w:numPr>
          <w:ilvl w:val="0"/>
          <w:numId w:val="4"/>
        </w:numPr>
        <w:tabs>
          <w:tab w:pos="819" w:val="left" w:leader="none"/>
        </w:tabs>
        <w:spacing w:line="256" w:lineRule="auto" w:before="37" w:after="0"/>
        <w:ind w:left="117" w:right="215" w:firstLine="435"/>
        <w:jc w:val="left"/>
        <w:rPr>
          <w:sz w:val="21"/>
        </w:rPr>
      </w:pPr>
      <w:r>
        <w:rPr>
          <w:sz w:val="21"/>
        </w:rPr>
        <w:t>被保险人因意外伤害事故或等待期后因意外伤害事故以外的原因导致本合同第三十五条所定义的身</w:t>
      </w:r>
      <w:r>
        <w:rPr>
          <w:spacing w:val="-3"/>
          <w:sz w:val="21"/>
        </w:rPr>
        <w:t>体高度残疾，我们按本合同的基本保险金额给付身体高度残疾保险金，同时本合同终止。</w:t>
      </w:r>
    </w:p>
    <w:p>
      <w:pPr>
        <w:pStyle w:val="ListParagraph"/>
        <w:numPr>
          <w:ilvl w:val="0"/>
          <w:numId w:val="4"/>
        </w:numPr>
        <w:tabs>
          <w:tab w:pos="817" w:val="left" w:leader="none"/>
        </w:tabs>
        <w:spacing w:line="256" w:lineRule="auto" w:before="22" w:after="0"/>
        <w:ind w:left="117" w:right="217" w:firstLine="435"/>
        <w:jc w:val="left"/>
        <w:rPr>
          <w:sz w:val="21"/>
        </w:rPr>
      </w:pPr>
      <w:r>
        <w:rPr>
          <w:spacing w:val="-4"/>
          <w:sz w:val="21"/>
        </w:rPr>
        <w:t>被保险人在等待期内因意外伤害事故以外的原因导致本合同第三十五条所定义的身体高度残疾，我们</w:t>
      </w:r>
      <w:r>
        <w:rPr>
          <w:spacing w:val="-3"/>
          <w:sz w:val="21"/>
        </w:rPr>
        <w:t>按本合同的已交保险费给付身体高度残疾保险金，同时本合同终止。</w:t>
      </w:r>
    </w:p>
    <w:p>
      <w:pPr>
        <w:pStyle w:val="BodyText"/>
        <w:spacing w:before="22"/>
        <w:ind w:left="552"/>
      </w:pPr>
      <w:r>
        <w:rPr/>
        <w:t>四、身故保险金</w:t>
      </w:r>
    </w:p>
    <w:p>
      <w:pPr>
        <w:pStyle w:val="ListParagraph"/>
        <w:numPr>
          <w:ilvl w:val="0"/>
          <w:numId w:val="5"/>
        </w:numPr>
        <w:tabs>
          <w:tab w:pos="803" w:val="left" w:leader="none"/>
        </w:tabs>
        <w:spacing w:line="264" w:lineRule="auto" w:before="37" w:after="0"/>
        <w:ind w:left="117" w:right="217" w:firstLine="421"/>
        <w:jc w:val="both"/>
        <w:rPr>
          <w:sz w:val="21"/>
        </w:rPr>
      </w:pPr>
      <w:r>
        <w:rPr>
          <w:spacing w:val="-6"/>
          <w:sz w:val="21"/>
        </w:rPr>
        <w:t>如果被保险人投保时年龄未满 </w:t>
      </w:r>
      <w:r>
        <w:rPr>
          <w:rFonts w:ascii="Times New Roman" w:eastAsia="Times New Roman"/>
          <w:sz w:val="21"/>
        </w:rPr>
        <w:t>18</w:t>
      </w:r>
      <w:r>
        <w:rPr>
          <w:rFonts w:ascii="Times New Roman" w:eastAsia="Times New Roman"/>
          <w:spacing w:val="5"/>
          <w:sz w:val="21"/>
        </w:rPr>
        <w:t> </w:t>
      </w:r>
      <w:r>
        <w:rPr>
          <w:spacing w:val="-14"/>
          <w:sz w:val="21"/>
        </w:rPr>
        <w:t>周岁，且被保险人在年满 </w:t>
      </w:r>
      <w:r>
        <w:rPr>
          <w:rFonts w:ascii="Times New Roman" w:eastAsia="Times New Roman"/>
          <w:sz w:val="21"/>
        </w:rPr>
        <w:t>18</w:t>
      </w:r>
      <w:r>
        <w:rPr>
          <w:rFonts w:ascii="Times New Roman" w:eastAsia="Times New Roman"/>
          <w:spacing w:val="7"/>
          <w:sz w:val="21"/>
        </w:rPr>
        <w:t> </w:t>
      </w:r>
      <w:r>
        <w:rPr>
          <w:spacing w:val="-3"/>
          <w:sz w:val="21"/>
        </w:rPr>
        <w:t>周岁后的首个</w:t>
      </w:r>
      <w:r>
        <w:rPr>
          <w:b/>
          <w:sz w:val="21"/>
        </w:rPr>
        <w:t>保险单周年日</w:t>
      </w:r>
      <w:r>
        <w:rPr>
          <w:rFonts w:ascii="Times New Roman" w:eastAsia="Times New Roman"/>
          <w:b/>
          <w:sz w:val="21"/>
          <w:vertAlign w:val="superscript"/>
        </w:rPr>
        <w:t>7</w:t>
      </w:r>
      <w:r>
        <w:rPr>
          <w:rFonts w:ascii="Times New Roman" w:eastAsia="Times New Roman"/>
          <w:b/>
          <w:sz w:val="21"/>
          <w:vertAlign w:val="baseline"/>
        </w:rPr>
      </w:r>
      <w:r>
        <w:rPr>
          <w:spacing w:val="-1"/>
          <w:sz w:val="21"/>
          <w:vertAlign w:val="baseline"/>
        </w:rPr>
        <w:t>零时之前因</w:t>
      </w:r>
      <w:r>
        <w:rPr>
          <w:spacing w:val="-3"/>
          <w:sz w:val="21"/>
          <w:vertAlign w:val="baseline"/>
        </w:rPr>
        <w:t>意外伤害事故或等待期后因意外伤害事故以外的原因导致身故，我们按以下方式给付身故保险金，同时本合同终止：</w:t>
      </w:r>
    </w:p>
    <w:p>
      <w:pPr>
        <w:pStyle w:val="ListParagraph"/>
        <w:numPr>
          <w:ilvl w:val="0"/>
          <w:numId w:val="6"/>
        </w:numPr>
        <w:tabs>
          <w:tab w:pos="1174" w:val="left" w:leader="none"/>
        </w:tabs>
        <w:spacing w:line="256" w:lineRule="auto" w:before="16" w:after="0"/>
        <w:ind w:left="117" w:right="218" w:firstLine="421"/>
        <w:jc w:val="left"/>
        <w:rPr>
          <w:sz w:val="21"/>
        </w:rPr>
      </w:pPr>
      <w:r>
        <w:rPr>
          <w:sz w:val="21"/>
        </w:rPr>
        <w:t>如果被保险人于交费期满前身故，身故保险金 </w:t>
      </w:r>
      <w:r>
        <w:rPr>
          <w:rFonts w:ascii="Times New Roman" w:hAnsi="Times New Roman" w:eastAsia="Times New Roman"/>
          <w:spacing w:val="10"/>
          <w:sz w:val="21"/>
        </w:rPr>
        <w:t>= </w:t>
      </w:r>
      <w:r>
        <w:rPr>
          <w:sz w:val="21"/>
        </w:rPr>
        <w:t>本合同的</w:t>
      </w:r>
      <w:r>
        <w:rPr>
          <w:b/>
          <w:sz w:val="21"/>
        </w:rPr>
        <w:t>标准体</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z w:val="21"/>
          <w:vertAlign w:val="baseline"/>
        </w:rPr>
        <w:t>年交保险费×被保险人身故时</w:t>
      </w:r>
      <w:r>
        <w:rPr>
          <w:spacing w:val="-1"/>
          <w:sz w:val="21"/>
          <w:vertAlign w:val="baseline"/>
        </w:rPr>
        <w:t>本合同的</w:t>
      </w:r>
      <w:r>
        <w:rPr>
          <w:b/>
          <w:spacing w:val="-1"/>
          <w:sz w:val="21"/>
          <w:vertAlign w:val="baseline"/>
        </w:rPr>
        <w:t>保单年度数</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sz w:val="21"/>
          <w:vertAlign w:val="baseline"/>
        </w:rPr>
        <w:t>；</w:t>
      </w:r>
    </w:p>
    <w:p>
      <w:pPr>
        <w:pStyle w:val="ListParagraph"/>
        <w:numPr>
          <w:ilvl w:val="0"/>
          <w:numId w:val="6"/>
        </w:numPr>
        <w:tabs>
          <w:tab w:pos="1170" w:val="left" w:leader="none"/>
        </w:tabs>
        <w:spacing w:line="256" w:lineRule="auto" w:before="4" w:after="0"/>
        <w:ind w:left="538" w:right="220" w:firstLine="0"/>
        <w:jc w:val="left"/>
        <w:rPr>
          <w:sz w:val="21"/>
        </w:rPr>
      </w:pPr>
      <w:r>
        <w:rPr>
          <w:spacing w:val="-2"/>
          <w:sz w:val="21"/>
        </w:rPr>
        <w:t>如果被保险人于交费期满后身故，身故保险金 </w:t>
      </w:r>
      <w:r>
        <w:rPr>
          <w:rFonts w:ascii="Times New Roman" w:hAnsi="Times New Roman" w:eastAsia="Times New Roman"/>
          <w:spacing w:val="8"/>
          <w:sz w:val="21"/>
        </w:rPr>
        <w:t>= </w:t>
      </w:r>
      <w:r>
        <w:rPr>
          <w:spacing w:val="-3"/>
          <w:sz w:val="21"/>
        </w:rPr>
        <w:t>本合同的标准体年交保险费×</w:t>
      </w:r>
      <w:r>
        <w:rPr>
          <w:b/>
          <w:spacing w:val="-1"/>
          <w:sz w:val="21"/>
        </w:rPr>
        <w:t>交费年期数</w:t>
      </w:r>
      <w:r>
        <w:rPr>
          <w:rFonts w:ascii="Times New Roman" w:hAnsi="Times New Roman" w:eastAsia="Times New Roman"/>
          <w:b/>
          <w:sz w:val="21"/>
          <w:vertAlign w:val="superscript"/>
        </w:rPr>
        <w:t>10</w:t>
      </w:r>
      <w:r>
        <w:rPr>
          <w:rFonts w:ascii="Times New Roman" w:hAnsi="Times New Roman" w:eastAsia="Times New Roman"/>
          <w:b/>
          <w:sz w:val="21"/>
          <w:vertAlign w:val="baseline"/>
        </w:rPr>
      </w:r>
      <w:r>
        <w:rPr>
          <w:sz w:val="21"/>
          <w:vertAlign w:val="baseline"/>
        </w:rPr>
        <w:t>。上述本合同的标准体年交保险费根据被保险人在年交（</w:t>
      </w:r>
      <w:r>
        <w:rPr>
          <w:spacing w:val="2"/>
          <w:sz w:val="21"/>
          <w:vertAlign w:val="baseline"/>
        </w:rPr>
        <w:t>或</w:t>
      </w:r>
      <w:r>
        <w:rPr>
          <w:b/>
          <w:sz w:val="21"/>
          <w:vertAlign w:val="baseline"/>
        </w:rPr>
        <w:t>趸交</w:t>
      </w:r>
      <w:r>
        <w:rPr>
          <w:rFonts w:ascii="Times New Roman" w:hAnsi="Times New Roman" w:eastAsia="Times New Roman"/>
          <w:b/>
          <w:sz w:val="21"/>
          <w:vertAlign w:val="superscript"/>
        </w:rPr>
        <w:t>1</w:t>
      </w:r>
      <w:r>
        <w:rPr>
          <w:rFonts w:ascii="Times New Roman" w:hAnsi="Times New Roman" w:eastAsia="Times New Roman"/>
          <w:b/>
          <w:sz w:val="21"/>
          <w:vertAlign w:val="superscript"/>
        </w:rPr>
        <w:t>1</w:t>
      </w:r>
      <w:r>
        <w:rPr>
          <w:rFonts w:ascii="Times New Roman" w:hAnsi="Times New Roman" w:eastAsia="Times New Roman"/>
          <w:b/>
          <w:sz w:val="21"/>
          <w:vertAlign w:val="baseline"/>
        </w:rPr>
      </w:r>
      <w:r>
        <w:rPr>
          <w:sz w:val="21"/>
          <w:vertAlign w:val="baseline"/>
        </w:rPr>
        <w:t>）的交费方式下对应的本合同标准体保</w:t>
      </w:r>
    </w:p>
    <w:p>
      <w:pPr>
        <w:pStyle w:val="BodyText"/>
        <w:spacing w:before="4"/>
      </w:pPr>
      <w:r>
        <w:rPr/>
        <w:t>险费率，以被保险人身故时本合同的基本保险金额为基础计算。</w:t>
      </w:r>
    </w:p>
    <w:p>
      <w:pPr>
        <w:pStyle w:val="ListParagraph"/>
        <w:numPr>
          <w:ilvl w:val="0"/>
          <w:numId w:val="5"/>
        </w:numPr>
        <w:tabs>
          <w:tab w:pos="803" w:val="left" w:leader="none"/>
        </w:tabs>
        <w:spacing w:line="256" w:lineRule="auto" w:before="36" w:after="0"/>
        <w:ind w:left="117" w:right="215" w:firstLine="421"/>
        <w:jc w:val="left"/>
        <w:rPr>
          <w:sz w:val="21"/>
        </w:rPr>
      </w:pPr>
      <w:r>
        <w:rPr>
          <w:spacing w:val="-4"/>
          <w:sz w:val="21"/>
        </w:rPr>
        <w:t>被保险人在等待期内因意外伤害事故以外的原因导致身故，我们按本合同的已交保险费给付身故保险</w:t>
      </w:r>
      <w:r>
        <w:rPr>
          <w:spacing w:val="-3"/>
          <w:sz w:val="21"/>
        </w:rPr>
        <w:t>金，同时本合同终止。</w:t>
      </w:r>
    </w:p>
    <w:p>
      <w:pPr>
        <w:pStyle w:val="ListParagraph"/>
        <w:numPr>
          <w:ilvl w:val="0"/>
          <w:numId w:val="5"/>
        </w:numPr>
        <w:tabs>
          <w:tab w:pos="803" w:val="left" w:leader="none"/>
        </w:tabs>
        <w:spacing w:line="256" w:lineRule="auto" w:before="22" w:after="0"/>
        <w:ind w:left="117" w:right="212" w:firstLine="421"/>
        <w:jc w:val="left"/>
        <w:rPr>
          <w:sz w:val="21"/>
        </w:rPr>
      </w:pPr>
      <w:r>
        <w:rPr>
          <w:spacing w:val="-2"/>
          <w:sz w:val="21"/>
        </w:rPr>
        <w:t>如果被保险人因本款第 </w:t>
      </w:r>
      <w:r>
        <w:rPr>
          <w:rFonts w:ascii="Times New Roman" w:eastAsia="Times New Roman"/>
          <w:sz w:val="21"/>
        </w:rPr>
        <w:t>1</w:t>
      </w:r>
      <w:r>
        <w:rPr>
          <w:sz w:val="21"/>
        </w:rPr>
        <w:t>、</w:t>
      </w:r>
      <w:r>
        <w:rPr>
          <w:rFonts w:ascii="Times New Roman" w:eastAsia="Times New Roman"/>
          <w:sz w:val="21"/>
        </w:rPr>
        <w:t>2</w:t>
      </w:r>
      <w:r>
        <w:rPr>
          <w:rFonts w:ascii="Times New Roman" w:eastAsia="Times New Roman"/>
          <w:spacing w:val="13"/>
          <w:sz w:val="21"/>
        </w:rPr>
        <w:t> </w:t>
      </w:r>
      <w:r>
        <w:rPr>
          <w:spacing w:val="-3"/>
          <w:sz w:val="21"/>
        </w:rPr>
        <w:t>项以外情形身故，我们按被保险人身故时本合同的基本保险金额给付身故保险金，同时本合同终止。</w:t>
      </w:r>
    </w:p>
    <w:p>
      <w:pPr>
        <w:pStyle w:val="BodyText"/>
        <w:ind w:left="0"/>
        <w:rPr>
          <w:sz w:val="20"/>
        </w:rPr>
      </w:pPr>
    </w:p>
    <w:p>
      <w:pPr>
        <w:pStyle w:val="BodyText"/>
        <w:spacing w:before="3"/>
        <w:ind w:left="0"/>
        <w:rPr>
          <w:sz w:val="29"/>
        </w:rPr>
      </w:pPr>
      <w:r>
        <w:rPr/>
        <w:pict>
          <v:line style="position:absolute;mso-position-horizontal-relative:page;mso-position-vertical-relative:paragraph;z-index:1096;mso-wrap-distance-left:0;mso-wrap-distance-right:0" from="53.880001pt,21.339682pt" to="197.930001pt,21.339682pt" stroked="true" strokeweight=".47998pt" strokecolor="#000000">
            <v:stroke dashstyle="solid"/>
            <w10:wrap type="topAndBottom"/>
          </v:line>
        </w:pict>
      </w:r>
    </w:p>
    <w:p>
      <w:pPr>
        <w:pStyle w:val="BodyText"/>
        <w:spacing w:line="320" w:lineRule="exact"/>
      </w:pPr>
      <w:r>
        <w:rPr>
          <w:rFonts w:ascii="Times New Roman" w:eastAsia="Times New Roman"/>
          <w:position w:val="10"/>
          <w:sz w:val="14"/>
        </w:rPr>
        <w:t>7</w:t>
      </w:r>
      <w:r>
        <w:rPr>
          <w:rFonts w:ascii="Microsoft JhengHei" w:eastAsia="Microsoft JhengHei" w:hint="eastAsia"/>
          <w:b/>
        </w:rPr>
        <w:t>保险单周年日：</w:t>
      </w:r>
      <w:r>
        <w:rPr/>
        <w:t>指在本合同有效期内，每一个保单年度内本合同生效日期的对应日。如果当月无对应的同一</w:t>
      </w:r>
    </w:p>
    <w:p>
      <w:pPr>
        <w:pStyle w:val="BodyText"/>
        <w:spacing w:line="227" w:lineRule="exact"/>
      </w:pPr>
      <w:r>
        <w:rPr/>
        <w:t>日，则以该月最后一日为对应日。</w:t>
      </w:r>
    </w:p>
    <w:p>
      <w:pPr>
        <w:pStyle w:val="BodyText"/>
        <w:spacing w:line="318" w:lineRule="exact"/>
      </w:pPr>
      <w:r>
        <w:rPr>
          <w:rFonts w:ascii="Times New Roman" w:eastAsia="Times New Roman"/>
          <w:position w:val="10"/>
          <w:sz w:val="14"/>
        </w:rPr>
        <w:t>8</w:t>
      </w:r>
      <w:r>
        <w:rPr>
          <w:rFonts w:ascii="Microsoft JhengHei" w:eastAsia="Microsoft JhengHei" w:hint="eastAsia"/>
          <w:b/>
        </w:rPr>
        <w:t>标准体：</w:t>
      </w:r>
      <w:r>
        <w:rPr/>
        <w:t>指经保险公司授权的专业人员审核后，保险公司不用增加额外保险费或特殊限制，而同意接受投保</w:t>
      </w:r>
    </w:p>
    <w:p>
      <w:pPr>
        <w:pStyle w:val="BodyText"/>
        <w:spacing w:line="226" w:lineRule="exact"/>
      </w:pPr>
      <w:r>
        <w:rPr/>
        <w:t>申请的被保险人。</w:t>
      </w:r>
    </w:p>
    <w:p>
      <w:pPr>
        <w:pStyle w:val="BodyText"/>
        <w:spacing w:line="220" w:lineRule="auto"/>
        <w:ind w:right="215"/>
        <w:rPr>
          <w:rFonts w:ascii="Times New Roman" w:eastAsia="Times New Roman"/>
        </w:rPr>
      </w:pPr>
      <w:r>
        <w:rPr>
          <w:rFonts w:ascii="Times New Roman" w:eastAsia="Times New Roman"/>
          <w:position w:val="10"/>
          <w:sz w:val="14"/>
        </w:rPr>
        <w:t>9</w:t>
      </w:r>
      <w:r>
        <w:rPr>
          <w:rFonts w:ascii="Microsoft JhengHei" w:eastAsia="Microsoft JhengHei" w:hint="eastAsia"/>
          <w:b/>
        </w:rPr>
        <w:t>保单年度数：</w:t>
      </w:r>
      <w:r>
        <w:rPr>
          <w:spacing w:val="-4"/>
        </w:rPr>
        <w:t>指保险单自承保后所处的年度数。承保后首年的保单年度数为 </w:t>
      </w:r>
      <w:r>
        <w:rPr>
          <w:rFonts w:ascii="Times New Roman" w:eastAsia="Times New Roman"/>
        </w:rPr>
        <w:t>1</w:t>
      </w:r>
      <w:r>
        <w:rPr>
          <w:spacing w:val="-3"/>
        </w:rPr>
        <w:t>，此后每到达一个保险单周年</w:t>
      </w:r>
      <w:r>
        <w:rPr>
          <w:spacing w:val="-11"/>
        </w:rPr>
        <w:t>日，保单年度数增加 </w:t>
      </w:r>
      <w:r>
        <w:rPr>
          <w:rFonts w:ascii="Times New Roman" w:eastAsia="Times New Roman"/>
          <w:spacing w:val="-3"/>
        </w:rPr>
        <w:t>1</w:t>
      </w:r>
      <w:r>
        <w:rPr>
          <w:spacing w:val="-11"/>
        </w:rPr>
        <w:t>。例如，如果本合同生效日为 </w:t>
      </w:r>
      <w:r>
        <w:rPr>
          <w:rFonts w:ascii="Times New Roman" w:eastAsia="Times New Roman"/>
        </w:rPr>
        <w:t>2003 </w:t>
      </w:r>
      <w:r>
        <w:rPr>
          <w:spacing w:val="-27"/>
        </w:rPr>
        <w:t>年 </w:t>
      </w:r>
      <w:r>
        <w:rPr>
          <w:rFonts w:ascii="Times New Roman" w:eastAsia="Times New Roman"/>
        </w:rPr>
        <w:t>7 </w:t>
      </w:r>
      <w:r>
        <w:rPr>
          <w:spacing w:val="-27"/>
        </w:rPr>
        <w:t>月 </w:t>
      </w:r>
      <w:r>
        <w:rPr>
          <w:rFonts w:ascii="Times New Roman" w:eastAsia="Times New Roman"/>
        </w:rPr>
        <w:t>1 </w:t>
      </w:r>
      <w:r>
        <w:rPr>
          <w:spacing w:val="-19"/>
        </w:rPr>
        <w:t>日，自 </w:t>
      </w:r>
      <w:r>
        <w:rPr>
          <w:rFonts w:ascii="Times New Roman" w:eastAsia="Times New Roman"/>
        </w:rPr>
        <w:t>2003 </w:t>
      </w:r>
      <w:r>
        <w:rPr>
          <w:spacing w:val="-26"/>
        </w:rPr>
        <w:t>年 </w:t>
      </w:r>
      <w:r>
        <w:rPr>
          <w:rFonts w:ascii="Times New Roman" w:eastAsia="Times New Roman"/>
        </w:rPr>
        <w:t>7 </w:t>
      </w:r>
      <w:r>
        <w:rPr>
          <w:spacing w:val="-25"/>
        </w:rPr>
        <w:t>月 </w:t>
      </w:r>
      <w:r>
        <w:rPr>
          <w:rFonts w:ascii="Times New Roman" w:eastAsia="Times New Roman"/>
        </w:rPr>
        <w:t>1 </w:t>
      </w:r>
      <w:r>
        <w:rPr>
          <w:spacing w:val="-19"/>
        </w:rPr>
        <w:t>日至 </w:t>
      </w:r>
      <w:r>
        <w:rPr>
          <w:rFonts w:ascii="Times New Roman" w:eastAsia="Times New Roman"/>
        </w:rPr>
        <w:t>2004 </w:t>
      </w:r>
      <w:r>
        <w:rPr>
          <w:spacing w:val="-26"/>
        </w:rPr>
        <w:t>年 </w:t>
      </w:r>
      <w:r>
        <w:rPr>
          <w:rFonts w:ascii="Times New Roman" w:eastAsia="Times New Roman"/>
        </w:rPr>
        <w:t>6 </w:t>
      </w:r>
      <w:r>
        <w:rPr>
          <w:spacing w:val="-26"/>
        </w:rPr>
        <w:t>月 </w:t>
      </w:r>
      <w:r>
        <w:rPr>
          <w:rFonts w:ascii="Times New Roman" w:eastAsia="Times New Roman"/>
        </w:rPr>
        <w:t>30</w:t>
      </w:r>
    </w:p>
    <w:p>
      <w:pPr>
        <w:pStyle w:val="BodyText"/>
        <w:spacing w:line="225" w:lineRule="auto" w:before="4"/>
        <w:ind w:right="215"/>
      </w:pPr>
      <w:r>
        <w:rPr>
          <w:spacing w:val="-9"/>
        </w:rPr>
        <w:t>日保单年度数为 </w:t>
      </w:r>
      <w:r>
        <w:rPr>
          <w:rFonts w:ascii="Times New Roman" w:eastAsia="Times New Roman"/>
          <w:spacing w:val="-14"/>
        </w:rPr>
        <w:t>1</w:t>
      </w:r>
      <w:r>
        <w:rPr>
          <w:spacing w:val="-22"/>
        </w:rPr>
        <w:t>，自 </w:t>
      </w:r>
      <w:r>
        <w:rPr>
          <w:rFonts w:ascii="Times New Roman" w:eastAsia="Times New Roman"/>
        </w:rPr>
        <w:t>2004 </w:t>
      </w:r>
      <w:r>
        <w:rPr>
          <w:spacing w:val="-25"/>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2005 </w:t>
      </w:r>
      <w:r>
        <w:rPr>
          <w:spacing w:val="-26"/>
        </w:rPr>
        <w:t>年 </w:t>
      </w:r>
      <w:r>
        <w:rPr>
          <w:rFonts w:ascii="Times New Roman" w:eastAsia="Times New Roman"/>
        </w:rPr>
        <w:t>6 </w:t>
      </w:r>
      <w:r>
        <w:rPr>
          <w:spacing w:val="-25"/>
        </w:rPr>
        <w:t>月 </w:t>
      </w:r>
      <w:r>
        <w:rPr>
          <w:rFonts w:ascii="Times New Roman" w:eastAsia="Times New Roman"/>
        </w:rPr>
        <w:t>30 </w:t>
      </w:r>
      <w:r>
        <w:rPr>
          <w:spacing w:val="-9"/>
        </w:rPr>
        <w:t>日保单年度数为 </w:t>
      </w:r>
      <w:r>
        <w:rPr>
          <w:rFonts w:ascii="Times New Roman" w:eastAsia="Times New Roman"/>
          <w:spacing w:val="-14"/>
        </w:rPr>
        <w:t>2</w:t>
      </w:r>
      <w:r>
        <w:rPr>
          <w:spacing w:val="-4"/>
        </w:rPr>
        <w:t>，后续年度以此类推</w:t>
      </w:r>
      <w:r>
        <w:rPr>
          <w:spacing w:val="-130"/>
        </w:rPr>
        <w:t>。</w:t>
      </w:r>
      <w:r>
        <w:rPr>
          <w:spacing w:val="-3"/>
        </w:rPr>
        <w:t>（</w:t>
      </w:r>
      <w:r>
        <w:rPr>
          <w:spacing w:val="-2"/>
        </w:rPr>
        <w:t>以上示例</w:t>
      </w:r>
      <w:r>
        <w:rPr>
          <w:spacing w:val="-3"/>
        </w:rPr>
        <w:t>仅供您辅助理解之用，实际合同生效日在保险单或批注上列明</w:t>
      </w:r>
      <w:r>
        <w:rPr/>
        <w:t>）</w:t>
      </w:r>
    </w:p>
    <w:p>
      <w:pPr>
        <w:pStyle w:val="BodyText"/>
        <w:spacing w:line="249" w:lineRule="exact"/>
      </w:pPr>
      <w:r>
        <w:rPr>
          <w:rFonts w:ascii="Times New Roman" w:eastAsia="Times New Roman"/>
          <w:position w:val="10"/>
          <w:sz w:val="14"/>
        </w:rPr>
        <w:t>10</w:t>
      </w:r>
      <w:r>
        <w:rPr>
          <w:rFonts w:ascii="Microsoft JhengHei" w:eastAsia="Microsoft JhengHei" w:hint="eastAsia"/>
          <w:b/>
        </w:rPr>
        <w:t>交费年期数：</w:t>
      </w:r>
      <w:r>
        <w:rPr/>
        <w:t>指保险单中约定的交费年期的数值。如果交费方式为趸交，则交费年期数为 </w:t>
      </w:r>
      <w:r>
        <w:rPr>
          <w:rFonts w:ascii="Times New Roman" w:eastAsia="Times New Roman"/>
        </w:rPr>
        <w:t>1</w:t>
      </w:r>
      <w:r>
        <w:rPr/>
        <w:t>。</w:t>
      </w:r>
    </w:p>
    <w:p>
      <w:pPr>
        <w:spacing w:line="320" w:lineRule="exact" w:before="0"/>
        <w:ind w:left="117" w:right="0" w:firstLine="0"/>
        <w:jc w:val="left"/>
        <w:rPr>
          <w:sz w:val="21"/>
        </w:rPr>
      </w:pPr>
      <w:r>
        <w:rPr>
          <w:rFonts w:ascii="Times New Roman" w:eastAsia="Times New Roman"/>
          <w:position w:val="10"/>
          <w:sz w:val="14"/>
        </w:rPr>
        <w:t>11</w:t>
      </w:r>
      <w:r>
        <w:rPr>
          <w:rFonts w:ascii="Microsoft JhengHei" w:eastAsia="Microsoft JhengHei" w:hint="eastAsia"/>
          <w:b/>
          <w:sz w:val="21"/>
        </w:rPr>
        <w:t>趸交：</w:t>
      </w:r>
      <w:r>
        <w:rPr>
          <w:sz w:val="21"/>
        </w:rPr>
        <w:t>指一次性支付保险费。</w:t>
      </w:r>
    </w:p>
    <w:p>
      <w:pPr>
        <w:spacing w:after="0" w:line="320" w:lineRule="exact"/>
        <w:jc w:val="left"/>
        <w:rPr>
          <w:sz w:val="21"/>
        </w:rPr>
        <w:sectPr>
          <w:pgSz w:w="11910" w:h="16160"/>
          <w:pgMar w:header="0" w:footer="993" w:top="1360" w:bottom="1240" w:left="960" w:right="700"/>
        </w:sectPr>
      </w:pPr>
    </w:p>
    <w:p>
      <w:pPr>
        <w:pStyle w:val="BodyText"/>
        <w:spacing w:before="26"/>
        <w:ind w:right="220" w:firstLine="420"/>
      </w:pPr>
      <w:r>
        <w:rPr/>
        <w:t>我们只给付本合同保险责任中约定的重大疾病保险金、身体高度残疾保险金和身故保险金的其中一项保险金，且以一次为限。</w:t>
      </w:r>
    </w:p>
    <w:p>
      <w:pPr>
        <w:pStyle w:val="BodyText"/>
        <w:spacing w:before="11"/>
        <w:ind w:left="0"/>
        <w:rPr>
          <w:sz w:val="19"/>
        </w:rPr>
      </w:pPr>
    </w:p>
    <w:p>
      <w:pPr>
        <w:pStyle w:val="Heading2"/>
        <w:tabs>
          <w:tab w:pos="957" w:val="left" w:leader="none"/>
        </w:tabs>
        <w:spacing w:before="1"/>
      </w:pPr>
      <w:bookmarkStart w:name="_bookmark9" w:id="10"/>
      <w:bookmarkEnd w:id="10"/>
      <w:r>
        <w:rPr>
          <w:b w:val="0"/>
        </w:rPr>
      </w:r>
      <w:r>
        <w:rPr/>
        <w:t>第八条</w:t>
        <w:tab/>
        <w:t>责任免除</w:t>
      </w:r>
    </w:p>
    <w:p>
      <w:pPr>
        <w:pStyle w:val="BodyText"/>
        <w:spacing w:line="273" w:lineRule="auto" w:before="37"/>
        <w:ind w:right="215" w:firstLine="396"/>
        <w:rPr>
          <w:rFonts w:ascii="黑体" w:eastAsia="黑体" w:hint="eastAsia"/>
        </w:rPr>
      </w:pPr>
      <w:r>
        <w:rPr>
          <w:rFonts w:ascii="黑体" w:eastAsia="黑体" w:hint="eastAsia"/>
        </w:rPr>
        <w:t>一、因下列情形之一导致被保险人患上本合同所定义的重大疾病、特定疾病或身体高度残疾的，我们不承担给付相应保险金的责任：</w:t>
      </w:r>
    </w:p>
    <w:p>
      <w:pPr>
        <w:pStyle w:val="ListParagraph"/>
        <w:numPr>
          <w:ilvl w:val="0"/>
          <w:numId w:val="7"/>
        </w:numPr>
        <w:tabs>
          <w:tab w:pos="803" w:val="left" w:leader="none"/>
        </w:tabs>
        <w:spacing w:line="240" w:lineRule="auto" w:before="7"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7"/>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7"/>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7"/>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无合法有效驾驶证驾驶</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1"/>
          <w:sz w:val="21"/>
          <w:vertAlign w:val="baseline"/>
        </w:rPr>
        <w:t>的机动车；</w:t>
      </w:r>
    </w:p>
    <w:p>
      <w:pPr>
        <w:pStyle w:val="ListParagraph"/>
        <w:numPr>
          <w:ilvl w:val="0"/>
          <w:numId w:val="7"/>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pacing w:val="-3"/>
          <w:sz w:val="21"/>
          <w:vertAlign w:val="baseline"/>
        </w:rPr>
        <w:t>，但本合同另有约定的除外；</w:t>
      </w:r>
    </w:p>
    <w:p>
      <w:pPr>
        <w:pStyle w:val="ListParagraph"/>
        <w:numPr>
          <w:ilvl w:val="0"/>
          <w:numId w:val="7"/>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7"/>
        </w:numPr>
        <w:tabs>
          <w:tab w:pos="803" w:val="left" w:leader="none"/>
        </w:tabs>
        <w:spacing w:line="240" w:lineRule="auto" w:before="22"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7"/>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b/>
          <w:sz w:val="21"/>
          <w:vertAlign w:val="baseline"/>
        </w:rPr>
        <w:t>，</w:t>
      </w:r>
      <w:r>
        <w:rPr>
          <w:rFonts w:ascii="黑体" w:eastAsia="黑体" w:hint="eastAsia"/>
          <w:spacing w:val="-3"/>
          <w:sz w:val="21"/>
          <w:vertAlign w:val="baseline"/>
        </w:rPr>
        <w:t>但本合同另有约定的除外。</w:t>
      </w:r>
    </w:p>
    <w:p>
      <w:pPr>
        <w:pStyle w:val="BodyText"/>
        <w:spacing w:before="21"/>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项情形导致被保险人患上本合同所定义的重大疾病、特定疾病或身体高度残疾的，本合同</w:t>
      </w:r>
    </w:p>
    <w:p>
      <w:pPr>
        <w:pStyle w:val="BodyText"/>
        <w:spacing w:before="21"/>
        <w:rPr>
          <w:rFonts w:ascii="黑体" w:eastAsia="黑体" w:hint="eastAsia"/>
        </w:rPr>
      </w:pPr>
      <w:r>
        <w:rPr>
          <w:rFonts w:ascii="黑体" w:eastAsia="黑体" w:hint="eastAsia"/>
        </w:rPr>
        <w:t>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19</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right="219" w:firstLine="420"/>
        <w:rPr>
          <w:rFonts w:ascii="黑体" w:eastAsia="黑体" w:hint="eastAsia"/>
        </w:rPr>
      </w:pPr>
      <w:r>
        <w:rPr>
          <w:rFonts w:ascii="黑体" w:eastAsia="黑体" w:hint="eastAsia"/>
        </w:rPr>
        <w:t>发Th上述其他情形导致被保险人患上本合同所定义的重大疾病、特定疾病或身体高度残疾的，本合同终止，我们向您退还保险单的现金价值。</w:t>
      </w:r>
    </w:p>
    <w:p>
      <w:pPr>
        <w:pStyle w:val="BodyText"/>
        <w:spacing w:before="7"/>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8"/>
        </w:numPr>
        <w:tabs>
          <w:tab w:pos="803" w:val="left" w:leader="none"/>
        </w:tabs>
        <w:spacing w:line="240" w:lineRule="auto" w:before="36" w:after="0"/>
        <w:ind w:left="117" w:right="0" w:firstLine="421"/>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8"/>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BodyText"/>
        <w:ind w:left="0"/>
        <w:rPr>
          <w:rFonts w:ascii="黑体"/>
          <w:sz w:val="20"/>
        </w:rPr>
      </w:pPr>
    </w:p>
    <w:p>
      <w:pPr>
        <w:pStyle w:val="BodyText"/>
        <w:ind w:left="0"/>
        <w:rPr>
          <w:rFonts w:ascii="黑体"/>
          <w:sz w:val="20"/>
        </w:rPr>
      </w:pPr>
    </w:p>
    <w:p>
      <w:pPr>
        <w:pStyle w:val="BodyText"/>
        <w:spacing w:before="3"/>
        <w:ind w:left="0"/>
        <w:rPr>
          <w:rFonts w:ascii="黑体"/>
          <w:sz w:val="12"/>
        </w:rPr>
      </w:pPr>
      <w:r>
        <w:rPr/>
        <w:pict>
          <v:line style="position:absolute;mso-position-horizontal-relative:page;mso-position-vertical-relative:paragraph;z-index:1120;mso-wrap-distance-left:0;mso-wrap-distance-right:0" from="53.880001pt,10.203807pt" to="197.930001pt,10.203807pt" stroked="true" strokeweight=".48001pt" strokecolor="#000000">
            <v:stroke dashstyle="solid"/>
            <w10:wrap type="topAndBottom"/>
          </v:line>
        </w:pict>
      </w:r>
    </w:p>
    <w:p>
      <w:pPr>
        <w:pStyle w:val="BodyText"/>
        <w:spacing w:line="319" w:lineRule="exact"/>
      </w:pPr>
      <w:r>
        <w:rPr>
          <w:rFonts w:ascii="Times New Roman" w:eastAsia="Times New Roman"/>
          <w:position w:val="10"/>
          <w:sz w:val="14"/>
        </w:rPr>
        <w:t>12</w:t>
      </w:r>
      <w:r>
        <w:rPr>
          <w:rFonts w:ascii="Microsoft JhengHei" w:eastAsia="Microsoft JhengHei" w:hint="eastAsia"/>
          <w:b/>
        </w:rPr>
        <w:t>毒品：</w:t>
      </w:r>
      <w:r>
        <w:rPr>
          <w:spacing w:val="-3"/>
        </w:rPr>
        <w:t>指中华人民共和国刑法规定的鸦片、海洛因、甲基苯丙胺</w:t>
      </w:r>
      <w:r>
        <w:rPr/>
        <w:t>（</w:t>
      </w:r>
      <w:r>
        <w:rPr>
          <w:spacing w:val="-2"/>
        </w:rPr>
        <w:t>冰毒</w:t>
      </w:r>
      <w:r>
        <w:rPr>
          <w:spacing w:val="-106"/>
        </w:rPr>
        <w:t>）</w:t>
      </w:r>
      <w:r>
        <w:rPr>
          <w:spacing w:val="-3"/>
        </w:rPr>
        <w:t>、吗啡、大麻、可卡因以及国家规</w:t>
      </w:r>
    </w:p>
    <w:p>
      <w:pPr>
        <w:pStyle w:val="BodyText"/>
        <w:spacing w:line="237" w:lineRule="auto"/>
        <w:ind w:right="246"/>
      </w:pPr>
      <w:r>
        <w:rPr/>
        <w:t>定管制的其他能够使人形成瘾癖的麻醉药品和精神药品，但不包括由医生开具并遵医嘱使用的用于治疗疾病但含有毒品成分的处方药品。</w:t>
      </w:r>
    </w:p>
    <w:p>
      <w:pPr>
        <w:pStyle w:val="BodyText"/>
        <w:spacing w:line="284" w:lineRule="exact" w:before="10"/>
      </w:pPr>
      <w:r>
        <w:rPr>
          <w:rFonts w:ascii="Times New Roman" w:eastAsia="Times New Roman"/>
          <w:position w:val="10"/>
          <w:sz w:val="14"/>
        </w:rPr>
        <w:t>13</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14</w:t>
      </w:r>
      <w:r>
        <w:rPr>
          <w:rFonts w:ascii="Microsoft JhengHei" w:eastAsia="Microsoft JhengHei" w:hint="eastAsia"/>
          <w:b/>
          <w:spacing w:val="-2"/>
          <w:w w:val="100"/>
          <w:sz w:val="21"/>
        </w:rPr>
        <w:t>无合法有效驾驶证驾驶：</w:t>
      </w: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p>
    <w:p>
      <w:pPr>
        <w:pStyle w:val="BodyText"/>
        <w:spacing w:line="225" w:lineRule="auto" w:before="4"/>
        <w:ind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3" w:lineRule="exact"/>
      </w:pPr>
      <w:r>
        <w:rPr>
          <w:rFonts w:ascii="Times New Roman" w:eastAsia="Times New Roman"/>
          <w:w w:val="99"/>
          <w:position w:val="10"/>
          <w:sz w:val="14"/>
        </w:rPr>
        <w:t>15</w:t>
      </w:r>
      <w:r>
        <w:rPr>
          <w:rFonts w:ascii="Microsoft JhengHei" w:eastAsia="Microsoft JhengHei" w:hint="eastAsia"/>
          <w:b/>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pPr>
      <w:r>
        <w:rPr/>
        <w:t>技术检验。</w:t>
      </w:r>
    </w:p>
    <w:p>
      <w:pPr>
        <w:spacing w:line="318" w:lineRule="exact" w:before="0"/>
        <w:ind w:left="117" w:right="0" w:firstLine="0"/>
        <w:jc w:val="left"/>
        <w:rPr>
          <w:sz w:val="21"/>
        </w:rPr>
      </w:pPr>
      <w:r>
        <w:rPr>
          <w:rFonts w:ascii="Times New Roman" w:eastAsia="Times New Roman"/>
          <w:position w:val="10"/>
          <w:sz w:val="14"/>
        </w:rPr>
        <w:t>16</w:t>
      </w:r>
      <w:r>
        <w:rPr>
          <w:rFonts w:ascii="Microsoft JhengHei" w:eastAsia="Microsoft JhengHei" w:hint="eastAsia"/>
          <w:b/>
          <w:sz w:val="21"/>
        </w:rPr>
        <w:t>感染艾滋病病毒或患艾滋病：</w:t>
      </w:r>
      <w:r>
        <w:rPr>
          <w:sz w:val="21"/>
        </w:rPr>
        <w:t>艾滋病病毒指人类免疫缺陷病毒，英文缩写为 </w:t>
      </w:r>
      <w:r>
        <w:rPr>
          <w:rFonts w:ascii="Times New Roman" w:eastAsia="Times New Roman"/>
          <w:sz w:val="21"/>
        </w:rPr>
        <w:t>HIV</w:t>
      </w:r>
      <w:r>
        <w:rPr>
          <w:sz w:val="21"/>
        </w:rPr>
        <w:t>。艾滋病指人类免疫缺陷</w:t>
      </w:r>
    </w:p>
    <w:p>
      <w:pPr>
        <w:pStyle w:val="BodyText"/>
        <w:spacing w:line="230" w:lineRule="auto"/>
        <w:ind w:right="212"/>
        <w:jc w:val="both"/>
      </w:pP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r>
        <w:rPr>
          <w:spacing w:val="-5"/>
        </w:rPr>
        <w:t>呈阳性，没有出现临床症状或体征的，为感染艾滋病病毒；如果同时出现了明显临床症状或体征的，为患艾滋病。</w:t>
      </w:r>
    </w:p>
    <w:p>
      <w:pPr>
        <w:pStyle w:val="BodyText"/>
        <w:spacing w:line="283" w:lineRule="exact" w:before="1"/>
      </w:pPr>
      <w:r>
        <w:rPr>
          <w:rFonts w:ascii="Times New Roman" w:eastAsia="Times New Roman"/>
          <w:position w:val="10"/>
          <w:sz w:val="14"/>
        </w:rPr>
        <w:t>17</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pPr>
      <w:r>
        <w:rPr/>
        <w:t>由亲代传至后代的垂直传递的特征。</w:t>
      </w:r>
    </w:p>
    <w:p>
      <w:pPr>
        <w:spacing w:line="317"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19</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right="246"/>
        <w:jc w:val="both"/>
      </w:pPr>
      <w:r>
        <w:rPr/>
        <w:t>金额。每个保单年度末本合同所具有的现金价值在保险单或批注上列明。每个保单年度中，本合同所具有的现金价值根据本合同实际经过的天数计算。在保险单或批注上列明的现金价值，是指未发生任何给付情况下的现金价值。如果我们已按本合同的约定给付过特定疾病保险金，则本合同所具有的现金价值将按给付比例相应减少，给付比例为已给付的特定疾病保险金与基本保险金额的比例。</w:t>
      </w:r>
    </w:p>
    <w:p>
      <w:pPr>
        <w:spacing w:after="0" w:line="237" w:lineRule="auto"/>
        <w:jc w:val="both"/>
        <w:sectPr>
          <w:pgSz w:w="11910" w:h="16160"/>
          <w:pgMar w:header="0" w:footer="993" w:top="1320" w:bottom="1240" w:left="960" w:right="700"/>
        </w:sectPr>
      </w:pPr>
    </w:p>
    <w:p>
      <w:pPr>
        <w:pStyle w:val="ListParagraph"/>
        <w:numPr>
          <w:ilvl w:val="0"/>
          <w:numId w:val="8"/>
        </w:numPr>
        <w:tabs>
          <w:tab w:pos="803" w:val="left" w:leader="none"/>
        </w:tabs>
        <w:spacing w:line="256" w:lineRule="auto" w:before="67" w:after="0"/>
        <w:ind w:left="117" w:right="217" w:firstLine="421"/>
        <w:jc w:val="left"/>
        <w:rPr>
          <w:rFonts w:ascii="黑体" w:eastAsia="黑体" w:hint="eastAsia"/>
          <w:sz w:val="21"/>
        </w:rPr>
      </w:pPr>
      <w:r>
        <w:rPr>
          <w:rFonts w:ascii="黑体" w:eastAsia="黑体" w:hint="eastAsia"/>
          <w:spacing w:val="-2"/>
          <w:sz w:val="21"/>
        </w:rPr>
        <w:t>被保险人自本合同成立或者合同效力恢复之日起</w:t>
      </w:r>
      <w:r>
        <w:rPr>
          <w:rFonts w:ascii="Times New Roman" w:eastAsia="Times New Roman"/>
          <w:sz w:val="21"/>
        </w:rPr>
        <w:t>2</w:t>
      </w:r>
      <w:r>
        <w:rPr>
          <w:rFonts w:ascii="Times New Roman" w:eastAsia="Times New Roman"/>
          <w:spacing w:val="-3"/>
          <w:sz w:val="21"/>
        </w:rPr>
        <w:t> </w:t>
      </w:r>
      <w:r>
        <w:rPr>
          <w:rFonts w:ascii="黑体" w:eastAsia="黑体" w:hint="eastAsia"/>
          <w:spacing w:val="-12"/>
          <w:sz w:val="21"/>
        </w:rPr>
        <w:t>年内自杀，但被保险人自杀时为</w:t>
      </w:r>
      <w:r>
        <w:rPr>
          <w:rFonts w:ascii="黑体" w:eastAsia="黑体" w:hint="eastAsia"/>
          <w:b/>
          <w:spacing w:val="-1"/>
          <w:sz w:val="21"/>
        </w:rPr>
        <w:t>无民事行为能力人</w:t>
      </w:r>
      <w:r>
        <w:rPr>
          <w:rFonts w:ascii="Times New Roman" w:eastAsia="Times New Roman"/>
          <w:b/>
          <w:sz w:val="21"/>
          <w:vertAlign w:val="superscript"/>
        </w:rPr>
        <w:t>20</w:t>
      </w:r>
      <w:r>
        <w:rPr>
          <w:rFonts w:ascii="Times New Roman" w:eastAsia="Times New Roman"/>
          <w:b/>
          <w:sz w:val="21"/>
          <w:vertAlign w:val="superscript"/>
        </w:rPr>
        <w:t> </w:t>
      </w:r>
      <w:r>
        <w:rPr>
          <w:rFonts w:ascii="Times New Roman" w:eastAsia="Times New Roman"/>
          <w:b/>
          <w:sz w:val="21"/>
          <w:vertAlign w:val="baseline"/>
        </w:rPr>
      </w:r>
      <w:r>
        <w:rPr>
          <w:rFonts w:ascii="黑体" w:eastAsia="黑体" w:hint="eastAsia"/>
          <w:spacing w:val="-1"/>
          <w:sz w:val="21"/>
          <w:vertAlign w:val="baseline"/>
        </w:rPr>
        <w:t>的除外；</w:t>
      </w:r>
    </w:p>
    <w:p>
      <w:pPr>
        <w:pStyle w:val="ListParagraph"/>
        <w:numPr>
          <w:ilvl w:val="0"/>
          <w:numId w:val="8"/>
        </w:numPr>
        <w:tabs>
          <w:tab w:pos="803" w:val="left" w:leader="none"/>
        </w:tabs>
        <w:spacing w:line="240" w:lineRule="auto" w:before="22"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8"/>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8"/>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8"/>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21"/>
        <w:ind w:right="2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2"/>
        <w:ind w:left="0"/>
        <w:rPr>
          <w:rFonts w:ascii="黑体"/>
          <w:sz w:val="19"/>
        </w:rPr>
      </w:pPr>
    </w:p>
    <w:p>
      <w:pPr>
        <w:pStyle w:val="Heading1"/>
        <w:tabs>
          <w:tab w:pos="1418" w:val="left" w:leader="none"/>
        </w:tabs>
        <w:ind w:right="99"/>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57"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本合同保险费的交费方式和交费期限由您和我们约定，并在保险单或批注上列明。</w:t>
      </w:r>
    </w:p>
    <w:p>
      <w:pPr>
        <w:pStyle w:val="BodyText"/>
        <w:spacing w:line="273" w:lineRule="auto" w:before="36"/>
        <w:ind w:right="220" w:firstLine="420"/>
      </w:pPr>
      <w:r>
        <w:rPr/>
        <w:t>您可以选择趸交或分期支付保险费。选择分期支付保险费的，您在支付了首期保险费后，应按本合同的约定在每个保险费约定支付日支付当期应支付的保险费。</w:t>
      </w:r>
    </w:p>
    <w:p>
      <w:pPr>
        <w:pStyle w:val="BodyText"/>
        <w:spacing w:before="5"/>
        <w:ind w:left="0"/>
        <w:rPr>
          <w:sz w:val="24"/>
        </w:rPr>
      </w:pPr>
    </w:p>
    <w:p>
      <w:pPr>
        <w:pStyle w:val="Heading2"/>
        <w:tabs>
          <w:tab w:pos="957" w:val="left" w:leader="none"/>
        </w:tabs>
      </w:pPr>
      <w:bookmarkStart w:name="_bookmark12" w:id="13"/>
      <w:bookmarkEnd w:id="13"/>
      <w:r>
        <w:rPr>
          <w:b w:val="0"/>
        </w:rPr>
      </w:r>
      <w:r>
        <w:rPr/>
        <w:t>第十条</w:t>
        <w:tab/>
        <w:t>保险费率的调整</w:t>
      </w:r>
    </w:p>
    <w:p>
      <w:pPr>
        <w:spacing w:line="273" w:lineRule="auto" w:before="37"/>
        <w:ind w:left="117" w:right="113" w:firstLine="413"/>
        <w:jc w:val="left"/>
        <w:rPr>
          <w:b/>
          <w:sz w:val="21"/>
        </w:rPr>
      </w:pPr>
      <w:r>
        <w:rPr>
          <w:b/>
          <w:spacing w:val="-3"/>
          <w:sz w:val="21"/>
        </w:rPr>
        <w:t>在本合同交费期限内，如果本合同计算费率所用的疾病发生率与实际经验相比有实质性的改变，我们保</w:t>
      </w:r>
      <w:r>
        <w:rPr>
          <w:b/>
          <w:spacing w:val="-9"/>
          <w:sz w:val="21"/>
        </w:rPr>
        <w:t>留提高或降低保险费率之权利，但须向监管机构备案。保险费率的调整针对所有被保险人或同一类被保险人。</w:t>
      </w:r>
    </w:p>
    <w:p>
      <w:pPr>
        <w:spacing w:line="273" w:lineRule="auto" w:before="7"/>
        <w:ind w:left="117" w:right="217" w:firstLine="413"/>
        <w:jc w:val="both"/>
        <w:rPr>
          <w:b/>
          <w:sz w:val="21"/>
        </w:rPr>
      </w:pPr>
      <w:r>
        <w:rPr>
          <w:b/>
          <w:sz w:val="21"/>
        </w:rPr>
        <w:t>我们进行保险费率调整，会在合理的时间内通知您，如您同意，则您须按调整后的保险费率支付续期保险费，保险费率调整前您已经支付的保险费不受影响。如不同意，则您可以选择解除合同，相关内容参见第二十四条“您解除合同的手续及风险”。</w:t>
      </w:r>
    </w:p>
    <w:p>
      <w:pPr>
        <w:pStyle w:val="BodyText"/>
        <w:spacing w:before="5"/>
        <w:ind w:left="0"/>
        <w:rPr>
          <w:b/>
          <w:sz w:val="24"/>
        </w:rPr>
      </w:pPr>
    </w:p>
    <w:p>
      <w:pPr>
        <w:pStyle w:val="Heading2"/>
      </w:pPr>
      <w:bookmarkStart w:name="_bookmark13" w:id="14"/>
      <w:bookmarkEnd w:id="14"/>
      <w:r>
        <w:rPr>
          <w:b w:val="0"/>
        </w:rPr>
      </w:r>
      <w:r>
        <w:rPr/>
        <w:t>第十一条 宽限期</w:t>
      </w:r>
    </w:p>
    <w:p>
      <w:pPr>
        <w:pStyle w:val="BodyText"/>
        <w:spacing w:line="264" w:lineRule="auto" w:before="36"/>
        <w:ind w:right="2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21</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5"/>
        <w:ind w:left="538"/>
      </w:pPr>
      <w:r>
        <w:rPr/>
        <w:t>如果您宽限期结束之后仍未支付保险费，则本合同自宽限期满的次日零时起效力中止。</w:t>
      </w:r>
    </w:p>
    <w:p>
      <w:pPr>
        <w:pStyle w:val="BodyText"/>
        <w:spacing w:before="6"/>
        <w:ind w:left="0"/>
        <w:rPr>
          <w:sz w:val="24"/>
        </w:rPr>
      </w:pPr>
    </w:p>
    <w:p>
      <w:pPr>
        <w:pStyle w:val="Heading1"/>
        <w:tabs>
          <w:tab w:pos="1418" w:val="left" w:leader="none"/>
        </w:tabs>
        <w:spacing w:before="1"/>
        <w:ind w:right="100"/>
        <w:jc w:val="center"/>
      </w:pPr>
      <w:bookmarkStart w:name="_bookmark14" w:id="15"/>
      <w:bookmarkEnd w:id="15"/>
      <w:r>
        <w:rPr>
          <w:b w:val="0"/>
        </w:rPr>
      </w:r>
      <w:r>
        <w:rPr/>
        <w:t>第四部分</w:t>
        <w:tab/>
      </w:r>
      <w:r>
        <w:rPr>
          <w:w w:val="95"/>
        </w:rPr>
        <w:t>如何申请保险金</w:t>
      </w:r>
    </w:p>
    <w:p>
      <w:pPr>
        <w:pStyle w:val="BodyText"/>
        <w:spacing w:before="10"/>
        <w:ind w:left="0"/>
        <w:rPr>
          <w:b/>
          <w:sz w:val="25"/>
        </w:rPr>
      </w:pPr>
    </w:p>
    <w:p>
      <w:pPr>
        <w:pStyle w:val="Heading2"/>
      </w:pPr>
      <w:bookmarkStart w:name="_bookmark15" w:id="16"/>
      <w:bookmarkEnd w:id="16"/>
      <w:r>
        <w:rPr>
          <w:b w:val="0"/>
        </w:rPr>
      </w:r>
      <w:r>
        <w:rPr/>
        <w:t>第十二条 受益人</w:t>
      </w:r>
    </w:p>
    <w:p>
      <w:pPr>
        <w:pStyle w:val="BodyText"/>
        <w:spacing w:line="273" w:lineRule="auto" w:before="36"/>
        <w:ind w:left="538" w:right="457"/>
      </w:pPr>
      <w:r>
        <w:rPr/>
        <w:t>除另有约定外，重大疾病保险金、特定疾病保险金和身体高度残疾保险金的受益人为被保险人本人。您或者被保险人可以指定一人或多人为身故保险金受益人。</w:t>
      </w:r>
    </w:p>
    <w:p>
      <w:pPr>
        <w:pStyle w:val="BodyText"/>
        <w:spacing w:line="273" w:lineRule="auto" w:before="7"/>
        <w:ind w:right="219"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的，可以由其监护人指定受益人。</w:t>
      </w:r>
    </w:p>
    <w:p>
      <w:pPr>
        <w:pStyle w:val="BodyText"/>
        <w:spacing w:before="4"/>
        <w:ind w:left="0"/>
        <w:rPr>
          <w:sz w:val="15"/>
        </w:rPr>
      </w:pPr>
      <w:r>
        <w:rPr/>
        <w:pict>
          <v:line style="position:absolute;mso-position-horizontal-relative:page;mso-position-vertical-relative:paragraph;z-index:1144;mso-wrap-distance-left:0;mso-wrap-distance-right:0" from="53.880001pt,12.227269pt" to="197.930001pt,12.227269pt" stroked="true" strokeweight=".48004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10"/>
          <w:sz w:val="14"/>
        </w:rPr>
        <w:t>20</w:t>
      </w:r>
      <w:r>
        <w:rPr>
          <w:rFonts w:ascii="Microsoft JhengHei" w:eastAsia="Microsoft JhengHei" w:hint="eastAsia"/>
          <w:b/>
          <w:spacing w:val="-7"/>
          <w:sz w:val="21"/>
        </w:rPr>
        <w:t>无民事行为能力人：</w:t>
      </w:r>
      <w:r>
        <w:rPr>
          <w:spacing w:val="-7"/>
          <w:sz w:val="21"/>
        </w:rPr>
        <w:t>一种是指十周岁以下的未成年人，另一种是指不能辨认自己行为的精神病人</w:t>
      </w:r>
      <w:r>
        <w:rPr>
          <w:spacing w:val="-161"/>
          <w:sz w:val="21"/>
        </w:rPr>
        <w:t>。</w:t>
      </w:r>
      <w:r>
        <w:rPr>
          <w:sz w:val="21"/>
        </w:rPr>
        <w:t>（</w:t>
      </w:r>
      <w:r>
        <w:rPr>
          <w:spacing w:val="-15"/>
          <w:sz w:val="21"/>
        </w:rPr>
        <w:t>根据《中</w:t>
      </w:r>
    </w:p>
    <w:p>
      <w:pPr>
        <w:pStyle w:val="BodyText"/>
        <w:spacing w:line="227" w:lineRule="exact"/>
      </w:pPr>
      <w:r>
        <w:rPr/>
        <w:t>华人民共和国民法通则》第十二条及第十三条规定）</w:t>
      </w:r>
    </w:p>
    <w:p>
      <w:pPr>
        <w:spacing w:line="284" w:lineRule="exact" w:before="0"/>
        <w:ind w:left="117" w:right="0" w:firstLine="0"/>
        <w:jc w:val="left"/>
        <w:rPr>
          <w:sz w:val="21"/>
        </w:rPr>
      </w:pPr>
      <w:r>
        <w:rPr>
          <w:rFonts w:ascii="Times New Roman" w:eastAsia="Times New Roman"/>
          <w:position w:val="10"/>
          <w:sz w:val="14"/>
        </w:rPr>
        <w:t>21</w:t>
      </w:r>
      <w:r>
        <w:rPr>
          <w:rFonts w:ascii="Microsoft JhengHei" w:eastAsia="Microsoft JhengHei" w:hint="eastAsia"/>
          <w:b/>
          <w:sz w:val="21"/>
        </w:rPr>
        <w:t>保险事故：</w:t>
      </w:r>
      <w:r>
        <w:rPr>
          <w:sz w:val="21"/>
        </w:rPr>
        <w:t>指本合同约定的保险责任范围内的事故。</w:t>
      </w:r>
    </w:p>
    <w:p>
      <w:pPr>
        <w:spacing w:line="306" w:lineRule="exact" w:before="0"/>
        <w:ind w:left="117" w:right="0" w:firstLine="0"/>
        <w:jc w:val="left"/>
        <w:rPr>
          <w:sz w:val="21"/>
        </w:rPr>
      </w:pPr>
      <w:r>
        <w:rPr>
          <w:rFonts w:ascii="Times New Roman" w:eastAsia="Times New Roman"/>
          <w:position w:val="10"/>
          <w:sz w:val="14"/>
        </w:rPr>
        <w:t>22</w:t>
      </w:r>
      <w:r>
        <w:rPr>
          <w:rFonts w:ascii="Microsoft JhengHei" w:eastAsia="Microsoft JhengHei" w:hint="eastAsia"/>
          <w:b/>
          <w:spacing w:val="-9"/>
          <w:sz w:val="21"/>
        </w:rPr>
        <w:t>限制民事行为能力人：</w:t>
      </w:r>
      <w:r>
        <w:rPr>
          <w:spacing w:val="-8"/>
          <w:sz w:val="21"/>
        </w:rPr>
        <w:t>一种是指十周岁以上的未成年人，另一种是指不能完全辨认自己行为的精神病人</w:t>
      </w:r>
      <w:r>
        <w:rPr>
          <w:spacing w:val="-180"/>
          <w:sz w:val="21"/>
        </w:rPr>
        <w:t>。</w:t>
      </w:r>
      <w:r>
        <w:rPr>
          <w:spacing w:val="-3"/>
          <w:sz w:val="21"/>
        </w:rPr>
        <w:t>（</w:t>
      </w:r>
      <w:r>
        <w:rPr>
          <w:sz w:val="21"/>
        </w:rPr>
        <w:t>根</w:t>
      </w:r>
    </w:p>
    <w:p>
      <w:pPr>
        <w:pStyle w:val="BodyText"/>
        <w:spacing w:line="262" w:lineRule="exact"/>
      </w:pPr>
      <w:r>
        <w:rPr/>
        <w:t>据《中华人民共和国民法通则》第十二条及第十三条规定）</w:t>
      </w:r>
    </w:p>
    <w:p>
      <w:pPr>
        <w:spacing w:after="0" w:line="262" w:lineRule="exact"/>
        <w:sectPr>
          <w:pgSz w:w="11910" w:h="16160"/>
          <w:pgMar w:header="0" w:footer="993" w:top="1300" w:bottom="1240" w:left="960" w:right="700"/>
        </w:sectPr>
      </w:pPr>
    </w:p>
    <w:p>
      <w:pPr>
        <w:pStyle w:val="BodyText"/>
        <w:spacing w:line="273" w:lineRule="auto" w:before="7"/>
        <w:ind w:right="2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right="220" w:firstLine="420"/>
      </w:pPr>
      <w:r>
        <w:rPr/>
        <w:t>被保险人身故后，有下列情形之一的，保险金作为被保险人的遗产，由我们依照《中华人民共和国继承法》的规定履行给付保险金的义务：</w:t>
      </w:r>
    </w:p>
    <w:p>
      <w:pPr>
        <w:pStyle w:val="BodyText"/>
        <w:spacing w:line="273" w:lineRule="auto" w:before="8"/>
        <w:ind w:left="538" w:right="4449"/>
      </w:pPr>
      <w:r>
        <w:rPr/>
        <w:t>一、没有指定受益人，或者受益人指定不明无法确定的； 二、受益人先于被保险人身故，没有其他受益人的；</w:t>
      </w:r>
    </w:p>
    <w:p>
      <w:pPr>
        <w:pStyle w:val="BodyText"/>
        <w:spacing w:before="8"/>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9"/>
        <w:ind w:left="0"/>
        <w:rPr>
          <w:sz w:val="26"/>
        </w:rPr>
      </w:pPr>
    </w:p>
    <w:p>
      <w:pPr>
        <w:pStyle w:val="Heading2"/>
        <w:tabs>
          <w:tab w:pos="1197" w:val="left" w:leader="none"/>
        </w:tabs>
      </w:pPr>
      <w:bookmarkStart w:name="_bookmark16" w:id="17"/>
      <w:bookmarkEnd w:id="17"/>
      <w:r>
        <w:rPr>
          <w:b w:val="0"/>
        </w:rPr>
      </w:r>
      <w:r>
        <w:rPr/>
        <w:t>第十三条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spacing w:line="273" w:lineRule="auto" w:before="20"/>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p>
      <w:pPr>
        <w:pStyle w:val="BodyText"/>
        <w:spacing w:before="5"/>
        <w:ind w:left="0"/>
        <w:rPr>
          <w:sz w:val="24"/>
        </w:rPr>
      </w:pPr>
    </w:p>
    <w:p>
      <w:pPr>
        <w:pStyle w:val="Heading2"/>
        <w:tabs>
          <w:tab w:pos="1197" w:val="left" w:leader="none"/>
        </w:tabs>
      </w:pPr>
      <w:bookmarkStart w:name="_bookmark17" w:id="18"/>
      <w:bookmarkEnd w:id="18"/>
      <w:r>
        <w:rPr>
          <w:b w:val="0"/>
        </w:rPr>
      </w:r>
      <w:r>
        <w:rPr/>
        <w:t>第十四条</w:t>
        <w:tab/>
        <w:t>诉讼时效</w:t>
      </w:r>
    </w:p>
    <w:p>
      <w:pPr>
        <w:pStyle w:val="BodyText"/>
        <w:spacing w:line="273" w:lineRule="auto" w:before="37"/>
        <w:ind w:right="2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73" w:lineRule="auto" w:before="7"/>
        <w:ind w:right="220" w:firstLine="420"/>
      </w:pPr>
      <w:r>
        <w:rPr/>
        <w:t>人寿保险的被保险人或者受益人向我们请求给付保险金的诉讼时效期间为五年，自其知道或者应当知道保险事故发生之日起计算。</w:t>
      </w:r>
    </w:p>
    <w:p>
      <w:pPr>
        <w:pStyle w:val="BodyText"/>
        <w:spacing w:before="5"/>
        <w:ind w:left="0"/>
        <w:rPr>
          <w:sz w:val="24"/>
        </w:rPr>
      </w:pPr>
    </w:p>
    <w:p>
      <w:pPr>
        <w:pStyle w:val="Heading2"/>
        <w:tabs>
          <w:tab w:pos="1197" w:val="left" w:leader="none"/>
        </w:tabs>
      </w:pPr>
      <w:bookmarkStart w:name="_bookmark18" w:id="19"/>
      <w:bookmarkEnd w:id="19"/>
      <w:r>
        <w:rPr>
          <w:b w:val="0"/>
        </w:rPr>
      </w:r>
      <w:r>
        <w:rPr/>
        <w:t>第十五条</w:t>
        <w:tab/>
        <w:t>保险金申请</w:t>
      </w:r>
    </w:p>
    <w:p>
      <w:pPr>
        <w:pStyle w:val="BodyText"/>
        <w:spacing w:before="37"/>
        <w:ind w:left="538"/>
      </w:pPr>
      <w:r>
        <w:rPr/>
        <w:t>一、重大疾病保险金或特定疾病保险金的申请</w:t>
      </w:r>
    </w:p>
    <w:p>
      <w:pPr>
        <w:pStyle w:val="BodyText"/>
        <w:spacing w:line="273" w:lineRule="auto" w:before="37"/>
        <w:ind w:right="109" w:firstLine="420"/>
      </w:pPr>
      <w:r>
        <w:rPr>
          <w:spacing w:val="-7"/>
        </w:rPr>
        <w:t>在申请重大疾病保险金或特定疾病保险金时，由相应保险金的受益人作为申请人填写保险金给付申请书， </w:t>
      </w:r>
      <w:r>
        <w:rPr>
          <w:spacing w:val="-5"/>
        </w:rPr>
        <w:t>并提供下列证明和资料：</w:t>
      </w:r>
    </w:p>
    <w:p>
      <w:pPr>
        <w:pStyle w:val="ListParagraph"/>
        <w:numPr>
          <w:ilvl w:val="0"/>
          <w:numId w:val="9"/>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9"/>
        </w:numPr>
        <w:tabs>
          <w:tab w:pos="803" w:val="left" w:leader="none"/>
        </w:tabs>
        <w:spacing w:line="240" w:lineRule="auto" w:before="21"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ListParagraph"/>
        <w:numPr>
          <w:ilvl w:val="0"/>
          <w:numId w:val="9"/>
        </w:numPr>
        <w:tabs>
          <w:tab w:pos="803" w:val="left" w:leader="none"/>
        </w:tabs>
        <w:spacing w:line="240" w:lineRule="auto" w:before="21"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9"/>
        </w:numPr>
        <w:tabs>
          <w:tab w:pos="803" w:val="left" w:leader="none"/>
        </w:tabs>
        <w:spacing w:line="256" w:lineRule="auto" w:before="21" w:after="0"/>
        <w:ind w:left="538" w:right="3138" w:firstLine="0"/>
        <w:jc w:val="left"/>
        <w:rPr>
          <w:sz w:val="21"/>
        </w:rPr>
      </w:pPr>
      <w:r>
        <w:rPr>
          <w:spacing w:val="-3"/>
          <w:sz w:val="21"/>
        </w:rPr>
        <w:t>所能提供的与确认保险事故的性质、原因等有关的其他证明和资料。二、身体高度残疾保险金的申请</w:t>
      </w:r>
    </w:p>
    <w:p>
      <w:pPr>
        <w:pStyle w:val="BodyText"/>
        <w:spacing w:line="273" w:lineRule="auto" w:before="22"/>
        <w:ind w:right="220" w:firstLine="420"/>
      </w:pPr>
      <w:r>
        <w:rPr/>
        <w:t>在申请身体高度残疾保险金时，由身体高度残疾保险金的受益人作为申请人填写保险金给付申请书，并提供下列证明和资料：</w:t>
      </w:r>
    </w:p>
    <w:p>
      <w:pPr>
        <w:pStyle w:val="ListParagraph"/>
        <w:numPr>
          <w:ilvl w:val="0"/>
          <w:numId w:val="10"/>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10"/>
        </w:numPr>
        <w:tabs>
          <w:tab w:pos="803" w:val="left" w:leader="none"/>
        </w:tabs>
        <w:spacing w:line="240" w:lineRule="auto" w:before="20" w:after="0"/>
        <w:ind w:left="538" w:right="0" w:firstLine="0"/>
        <w:jc w:val="left"/>
        <w:rPr>
          <w:sz w:val="21"/>
        </w:rPr>
      </w:pPr>
      <w:r>
        <w:rPr>
          <w:spacing w:val="-3"/>
          <w:sz w:val="21"/>
        </w:rPr>
        <w:t>受益人的有效身份证件；</w:t>
      </w:r>
    </w:p>
    <w:p>
      <w:pPr>
        <w:pStyle w:val="ListParagraph"/>
        <w:numPr>
          <w:ilvl w:val="0"/>
          <w:numId w:val="10"/>
        </w:numPr>
        <w:tabs>
          <w:tab w:pos="803" w:val="left" w:leader="none"/>
        </w:tabs>
        <w:spacing w:line="240" w:lineRule="auto" w:before="20" w:after="0"/>
        <w:ind w:left="538" w:right="0" w:firstLine="0"/>
        <w:jc w:val="left"/>
        <w:rPr>
          <w:sz w:val="21"/>
        </w:rPr>
      </w:pPr>
      <w:r>
        <w:rPr>
          <w:spacing w:val="-3"/>
          <w:sz w:val="21"/>
        </w:rPr>
        <w:t>医院或法定伤残鉴定机构出具的被保险人残疾证明或资料；</w:t>
      </w:r>
    </w:p>
    <w:p>
      <w:pPr>
        <w:pStyle w:val="ListParagraph"/>
        <w:numPr>
          <w:ilvl w:val="0"/>
          <w:numId w:val="10"/>
        </w:numPr>
        <w:tabs>
          <w:tab w:pos="803" w:val="left" w:leader="none"/>
        </w:tabs>
        <w:spacing w:line="256" w:lineRule="auto" w:before="20" w:after="0"/>
        <w:ind w:left="538" w:right="3138" w:firstLine="0"/>
        <w:jc w:val="left"/>
        <w:rPr>
          <w:sz w:val="21"/>
        </w:rPr>
      </w:pPr>
      <w:r>
        <w:rPr>
          <w:spacing w:val="-3"/>
          <w:sz w:val="21"/>
        </w:rPr>
        <w:t>所能提供的与确认保险事故的性质、原因等有关的其他证明和资料。三、身故保险金的申请</w:t>
      </w:r>
    </w:p>
    <w:p>
      <w:pPr>
        <w:pStyle w:val="BodyText"/>
        <w:spacing w:before="22"/>
        <w:ind w:left="538"/>
      </w:pPr>
      <w:r>
        <w:rPr/>
        <w:t>在申请身故保险金时，由身故保险金的受益人作为申请人填写保险金给付申请书，并提供下列证明和资</w:t>
      </w:r>
    </w:p>
    <w:p>
      <w:pPr>
        <w:pStyle w:val="BodyText"/>
        <w:spacing w:before="1"/>
        <w:ind w:left="0"/>
        <w:rPr>
          <w:sz w:val="26"/>
        </w:rPr>
      </w:pPr>
      <w:r>
        <w:rPr/>
        <w:pict>
          <v:line style="position:absolute;mso-position-horizontal-relative:page;mso-position-vertical-relative:paragraph;z-index:1168;mso-wrap-distance-left:0;mso-wrap-distance-right:0" from="53.880001pt,19.282436pt" to="197.930001pt,19.282436pt" stroked="true" strokeweight=".47998pt" strokecolor="#000000">
            <v:stroke dashstyle="solid"/>
            <w10:wrap type="topAndBottom"/>
          </v:line>
        </w:pict>
      </w:r>
    </w:p>
    <w:p>
      <w:pPr>
        <w:pStyle w:val="BodyText"/>
        <w:spacing w:line="319" w:lineRule="exact"/>
      </w:pPr>
      <w:r>
        <w:rPr>
          <w:rFonts w:ascii="Times New Roman" w:eastAsia="Times New Roman"/>
          <w:position w:val="10"/>
          <w:sz w:val="14"/>
        </w:rPr>
        <w:t>23</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62" w:lineRule="exact"/>
      </w:pPr>
      <w:r>
        <w:rPr/>
        <w:t>的未成年人。</w:t>
      </w:r>
    </w:p>
    <w:p>
      <w:pPr>
        <w:spacing w:after="0" w:line="262" w:lineRule="exact"/>
        <w:sectPr>
          <w:pgSz w:w="11910" w:h="16160"/>
          <w:pgMar w:header="0" w:footer="993" w:top="1360" w:bottom="1240" w:left="960" w:right="700"/>
        </w:sectPr>
      </w:pPr>
    </w:p>
    <w:p>
      <w:pPr>
        <w:pStyle w:val="BodyText"/>
        <w:spacing w:before="7"/>
      </w:pPr>
      <w:r>
        <w:rPr/>
        <w:t>料：</w:t>
      </w:r>
    </w:p>
    <w:p>
      <w:pPr>
        <w:pStyle w:val="ListParagraph"/>
        <w:numPr>
          <w:ilvl w:val="0"/>
          <w:numId w:val="11"/>
        </w:numPr>
        <w:tabs>
          <w:tab w:pos="803" w:val="left" w:leader="none"/>
        </w:tabs>
        <w:spacing w:line="240" w:lineRule="auto" w:before="37" w:after="0"/>
        <w:ind w:left="802" w:right="0" w:hanging="264"/>
        <w:jc w:val="left"/>
        <w:rPr>
          <w:sz w:val="21"/>
        </w:rPr>
      </w:pPr>
      <w:r>
        <w:rPr>
          <w:spacing w:val="-3"/>
          <w:sz w:val="21"/>
        </w:rPr>
        <w:t>保险合同；</w:t>
      </w:r>
    </w:p>
    <w:p>
      <w:pPr>
        <w:pStyle w:val="ListParagraph"/>
        <w:numPr>
          <w:ilvl w:val="0"/>
          <w:numId w:val="11"/>
        </w:numPr>
        <w:tabs>
          <w:tab w:pos="803" w:val="left" w:leader="none"/>
        </w:tabs>
        <w:spacing w:line="240" w:lineRule="auto" w:before="21" w:after="0"/>
        <w:ind w:left="802" w:right="0" w:hanging="264"/>
        <w:jc w:val="left"/>
        <w:rPr>
          <w:sz w:val="21"/>
        </w:rPr>
      </w:pPr>
      <w:r>
        <w:rPr>
          <w:spacing w:val="-3"/>
          <w:sz w:val="21"/>
        </w:rPr>
        <w:t>受益人的有效身份证件；</w:t>
      </w:r>
    </w:p>
    <w:p>
      <w:pPr>
        <w:pStyle w:val="ListParagraph"/>
        <w:numPr>
          <w:ilvl w:val="0"/>
          <w:numId w:val="11"/>
        </w:numPr>
        <w:tabs>
          <w:tab w:pos="803" w:val="left" w:leader="none"/>
        </w:tabs>
        <w:spacing w:line="240" w:lineRule="auto" w:before="21" w:after="0"/>
        <w:ind w:left="802" w:right="0" w:hanging="264"/>
        <w:jc w:val="left"/>
        <w:rPr>
          <w:sz w:val="21"/>
        </w:rPr>
      </w:pPr>
      <w:r>
        <w:rPr>
          <w:spacing w:val="-3"/>
          <w:sz w:val="21"/>
        </w:rPr>
        <w:t>国家卫生行政部门认定的医疗机构、公安部门或其他相关机构出具的被保险人的死亡证明；</w:t>
      </w:r>
    </w:p>
    <w:p>
      <w:pPr>
        <w:pStyle w:val="ListParagraph"/>
        <w:numPr>
          <w:ilvl w:val="0"/>
          <w:numId w:val="11"/>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5"/>
        <w:ind w:left="0"/>
        <w:rPr>
          <w:sz w:val="25"/>
        </w:rPr>
      </w:pPr>
    </w:p>
    <w:p>
      <w:pPr>
        <w:pStyle w:val="BodyText"/>
        <w:spacing w:line="273" w:lineRule="auto" w:before="1"/>
        <w:ind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6"/>
        <w:ind w:left="0"/>
        <w:rPr>
          <w:sz w:val="24"/>
        </w:rPr>
      </w:pPr>
    </w:p>
    <w:p>
      <w:pPr>
        <w:pStyle w:val="Heading2"/>
        <w:tabs>
          <w:tab w:pos="1197" w:val="left" w:leader="none"/>
        </w:tabs>
      </w:pPr>
      <w:bookmarkStart w:name="_bookmark19" w:id="20"/>
      <w:bookmarkEnd w:id="20"/>
      <w:r>
        <w:rPr>
          <w:b w:val="0"/>
        </w:rPr>
      </w:r>
      <w:r>
        <w:rPr/>
        <w:t>第十六条</w:t>
        <w:tab/>
        <w:t>保险金给付</w:t>
      </w:r>
    </w:p>
    <w:p>
      <w:pPr>
        <w:pStyle w:val="BodyText"/>
        <w:spacing w:before="36"/>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0"/>
        <w:ind w:right="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right="11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7"/>
        <w:ind w:left="0"/>
        <w:rPr>
          <w:sz w:val="25"/>
        </w:rPr>
      </w:pPr>
    </w:p>
    <w:p>
      <w:pPr>
        <w:pStyle w:val="Heading2"/>
        <w:tabs>
          <w:tab w:pos="1197" w:val="left" w:leader="none"/>
        </w:tabs>
      </w:pPr>
      <w:bookmarkStart w:name="_bookmark20" w:id="21"/>
      <w:bookmarkEnd w:id="21"/>
      <w:r>
        <w:rPr>
          <w:b w:val="0"/>
        </w:rPr>
      </w:r>
      <w:r>
        <w:rPr/>
        <w:t>第十七条</w:t>
        <w:tab/>
        <w:t>司法鉴定</w:t>
      </w:r>
    </w:p>
    <w:p>
      <w:pPr>
        <w:pStyle w:val="BodyText"/>
        <w:spacing w:before="37"/>
        <w:ind w:left="538"/>
      </w:pPr>
      <w:r>
        <w:rPr/>
        <w:t>如果被保险人身故，我们有权要求司法鉴定机构对保险事故进行鉴定。</w:t>
      </w:r>
    </w:p>
    <w:p>
      <w:pPr>
        <w:pStyle w:val="BodyText"/>
        <w:spacing w:before="9"/>
        <w:ind w:left="0"/>
        <w:rPr>
          <w:sz w:val="26"/>
        </w:rPr>
      </w:pPr>
    </w:p>
    <w:p>
      <w:pPr>
        <w:pStyle w:val="Heading2"/>
        <w:tabs>
          <w:tab w:pos="1197" w:val="left" w:leader="none"/>
        </w:tabs>
      </w:pPr>
      <w:bookmarkStart w:name="_bookmark21" w:id="22"/>
      <w:bookmarkEnd w:id="22"/>
      <w:r>
        <w:rPr>
          <w:b w:val="0"/>
        </w:rPr>
      </w:r>
      <w:r>
        <w:rPr/>
        <w:t>第十八条</w:t>
        <w:tab/>
        <w:t>失踪处理</w:t>
      </w:r>
    </w:p>
    <w:p>
      <w:pPr>
        <w:pStyle w:val="BodyText"/>
        <w:spacing w:line="273" w:lineRule="auto" w:before="36"/>
        <w:ind w:right="117" w:firstLine="420"/>
        <w:jc w:val="both"/>
      </w:pPr>
      <w:r>
        <w:rPr/>
        <w:t>在本合同保险期间内且本合同有效，如果被保险人失踪，且经法院宣告死亡，申请人可以向我们申请身故保险金，我们以法院判决宣告之被保险人死亡日为被保险人死亡的日期，并且按第七条“保险责任”第四款处理。</w:t>
      </w:r>
    </w:p>
    <w:p>
      <w:pPr>
        <w:pStyle w:val="BodyText"/>
        <w:spacing w:before="7"/>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pPr>
      <w:r>
        <w:rPr/>
        <w:t>天内，向我们退还已领取的身故保险金。退还保险金后，本合同的效力由您和我们协商处理。</w:t>
      </w:r>
    </w:p>
    <w:p>
      <w:pPr>
        <w:pStyle w:val="BodyText"/>
        <w:spacing w:before="7"/>
        <w:ind w:left="0"/>
        <w:rPr>
          <w:sz w:val="24"/>
        </w:rPr>
      </w:pPr>
    </w:p>
    <w:p>
      <w:pPr>
        <w:pStyle w:val="Heading1"/>
        <w:tabs>
          <w:tab w:pos="1418" w:val="left" w:leader="none"/>
        </w:tabs>
        <w:jc w:val="center"/>
      </w:pPr>
      <w:bookmarkStart w:name="_bookmark22" w:id="23"/>
      <w:bookmarkEnd w:id="23"/>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23" w:id="24"/>
      <w:bookmarkEnd w:id="24"/>
      <w:r>
        <w:rPr>
          <w:b w:val="0"/>
        </w:rPr>
      </w:r>
      <w:r>
        <w:rPr/>
        <w:t>第十九条</w:t>
        <w:tab/>
        <w:t>保单贷款</w:t>
      </w:r>
    </w:p>
    <w:p>
      <w:pPr>
        <w:pStyle w:val="BodyText"/>
        <w:spacing w:line="261" w:lineRule="auto" w:before="37"/>
        <w:ind w:right="114" w:firstLine="420"/>
        <w:jc w:val="both"/>
      </w:pPr>
      <w:r>
        <w:rPr>
          <w:spacing w:val="-5"/>
        </w:rPr>
        <w:t>如果本合同具有现金价值，而且您已支付 </w:t>
      </w:r>
      <w:r>
        <w:rPr>
          <w:rFonts w:ascii="Times New Roman" w:eastAsia="Times New Roman"/>
        </w:rPr>
        <w:t>2 </w:t>
      </w:r>
      <w:r>
        <w:rPr/>
        <w:t>年</w:t>
      </w:r>
      <w:r>
        <w:rPr>
          <w:spacing w:val="-3"/>
        </w:rPr>
        <w:t>（</w:t>
      </w:r>
      <w:r>
        <w:rPr>
          <w:spacing w:val="-18"/>
        </w:rPr>
        <w:t>或 </w:t>
      </w:r>
      <w:r>
        <w:rPr>
          <w:rFonts w:ascii="Times New Roman" w:eastAsia="Times New Roman"/>
        </w:rPr>
        <w:t>2 </w:t>
      </w:r>
      <w:r>
        <w:rPr>
          <w:spacing w:val="-3"/>
        </w:rPr>
        <w:t>年以上</w:t>
      </w:r>
      <w:r>
        <w:rPr/>
        <w:t>）</w:t>
      </w:r>
      <w:r>
        <w:rPr>
          <w:spacing w:val="-3"/>
        </w:rPr>
        <w:t>保险费或趸交保险费的，经被保险人书面同意，您可以将本合同作为保单贷款的质押，向我们申请保单贷款。保单贷款的最高金额不超过本合同当时</w:t>
      </w:r>
      <w:r>
        <w:rPr>
          <w:spacing w:val="-3"/>
          <w:w w:val="100"/>
        </w:rPr>
        <w:t>所具有的</w:t>
      </w:r>
      <w:r>
        <w:rPr>
          <w:b/>
          <w:spacing w:val="-1"/>
          <w:w w:val="100"/>
        </w:rPr>
        <w:t>现金价值净额</w:t>
      </w:r>
      <w:r>
        <w:rPr>
          <w:rFonts w:ascii="Times New Roman" w:eastAsia="Times New Roman"/>
          <w:b/>
          <w:w w:val="97"/>
          <w:vertAlign w:val="superscript"/>
        </w:rPr>
        <w:t>24</w:t>
      </w:r>
      <w:r>
        <w:rPr>
          <w:rFonts w:ascii="Times New Roman" w:eastAsia="Times New Roman"/>
          <w:b/>
          <w:w w:val="97"/>
          <w:vertAlign w:val="baseline"/>
        </w:rPr>
      </w:r>
      <w:r>
        <w:rPr>
          <w:w w:val="100"/>
          <w:vertAlign w:val="baseline"/>
        </w:rPr>
        <w:t>的</w:t>
      </w:r>
      <w:r>
        <w:rPr>
          <w:vertAlign w:val="baseline"/>
        </w:rPr>
        <w:t> </w:t>
      </w:r>
      <w:r>
        <w:rPr>
          <w:rFonts w:ascii="Times New Roman" w:eastAsia="Times New Roman"/>
          <w:w w:val="100"/>
          <w:vertAlign w:val="baseline"/>
        </w:rPr>
        <w:t>90</w:t>
      </w:r>
      <w:r>
        <w:rPr>
          <w:w w:val="100"/>
          <w:vertAlign w:val="baseline"/>
        </w:rPr>
        <w:t>％</w:t>
      </w:r>
      <w:r>
        <w:rPr>
          <w:spacing w:val="-3"/>
          <w:w w:val="100"/>
          <w:vertAlign w:val="baseline"/>
        </w:rPr>
        <w:t>（最低金额不得少于人民币</w:t>
      </w:r>
      <w:r>
        <w:rPr>
          <w:spacing w:val="-3"/>
          <w:vertAlign w:val="baseline"/>
        </w:rPr>
        <w:t> </w:t>
      </w:r>
      <w:r>
        <w:rPr>
          <w:rFonts w:ascii="Times New Roman" w:eastAsia="Times New Roman"/>
          <w:w w:val="100"/>
          <w:vertAlign w:val="baseline"/>
        </w:rPr>
        <w:t>1</w:t>
      </w:r>
      <w:r>
        <w:rPr>
          <w:rFonts w:ascii="Times New Roman" w:eastAsia="Times New Roman"/>
          <w:spacing w:val="-3"/>
          <w:w w:val="100"/>
          <w:vertAlign w:val="baseline"/>
        </w:rPr>
        <w:t>0</w:t>
      </w:r>
      <w:r>
        <w:rPr>
          <w:rFonts w:ascii="Times New Roman" w:eastAsia="Times New Roman"/>
          <w:spacing w:val="-1"/>
          <w:w w:val="100"/>
          <w:vertAlign w:val="baseline"/>
        </w:rPr>
        <w:t>0</w:t>
      </w:r>
      <w:r>
        <w:rPr>
          <w:rFonts w:ascii="Times New Roman" w:eastAsia="Times New Roman"/>
          <w:w w:val="100"/>
          <w:vertAlign w:val="baseline"/>
        </w:rPr>
        <w:t>0</w:t>
      </w:r>
      <w:r>
        <w:rPr>
          <w:rFonts w:ascii="Times New Roman" w:eastAsia="Times New Roman"/>
          <w:vertAlign w:val="baseline"/>
        </w:rPr>
        <w:t> </w:t>
      </w:r>
      <w:r>
        <w:rPr>
          <w:spacing w:val="-3"/>
          <w:w w:val="100"/>
          <w:vertAlign w:val="baseline"/>
        </w:rPr>
        <w:t>元，我们将不定期调整最低贷款金额</w:t>
      </w:r>
      <w:r>
        <w:rPr>
          <w:spacing w:val="-108"/>
          <w:w w:val="100"/>
          <w:vertAlign w:val="baseline"/>
        </w:rPr>
        <w:t>）</w:t>
      </w:r>
      <w:r>
        <w:rPr>
          <w:spacing w:val="-2"/>
          <w:w w:val="100"/>
          <w:vertAlign w:val="baseline"/>
        </w:rPr>
        <w:t>，具</w:t>
      </w:r>
      <w:r>
        <w:rPr>
          <w:spacing w:val="-5"/>
          <w:vertAlign w:val="baseline"/>
        </w:rPr>
        <w:t>体额度需经我们审批。每一期贷款的最长期限为 </w:t>
      </w:r>
      <w:r>
        <w:rPr>
          <w:rFonts w:ascii="Times New Roman" w:eastAsia="Times New Roman"/>
          <w:vertAlign w:val="baseline"/>
        </w:rPr>
        <w:t>6 </w:t>
      </w:r>
      <w:r>
        <w:rPr>
          <w:vertAlign w:val="baseline"/>
        </w:rPr>
        <w:t>个月。</w:t>
      </w:r>
    </w:p>
    <w:p>
      <w:pPr>
        <w:pStyle w:val="BodyText"/>
        <w:ind w:left="538"/>
      </w:pPr>
      <w:r>
        <w:rPr/>
        <w:t>如果您没有未偿还的保单贷款，您申请的保单贷款按我们最近一次确定的</w:t>
      </w:r>
      <w:r>
        <w:rPr>
          <w:b/>
        </w:rPr>
        <w:t>保单贷款利率</w:t>
      </w:r>
      <w:r>
        <w:rPr>
          <w:rFonts w:ascii="Times New Roman" w:eastAsia="Times New Roman"/>
          <w:b/>
          <w:vertAlign w:val="superscript"/>
        </w:rPr>
        <w:t>2</w:t>
      </w:r>
      <w:r>
        <w:rPr>
          <w:rFonts w:ascii="Times New Roman" w:eastAsia="Times New Roman"/>
          <w:b/>
          <w:vertAlign w:val="superscript"/>
        </w:rPr>
        <w:t>5</w:t>
      </w:r>
      <w:r>
        <w:rPr>
          <w:rFonts w:ascii="Times New Roman" w:eastAsia="Times New Roman"/>
          <w:b/>
          <w:vertAlign w:val="baseline"/>
        </w:rPr>
      </w:r>
      <w:r>
        <w:rPr>
          <w:vertAlign w:val="baseline"/>
        </w:rPr>
        <w:t>每日计息，每</w:t>
      </w:r>
    </w:p>
    <w:p>
      <w:pPr>
        <w:pStyle w:val="BodyText"/>
        <w:spacing w:before="11"/>
        <w:ind w:left="0"/>
        <w:rPr>
          <w:sz w:val="24"/>
        </w:rPr>
      </w:pPr>
      <w:r>
        <w:rPr/>
        <w:pict>
          <v:line style="position:absolute;mso-position-horizontal-relative:page;mso-position-vertical-relative:paragraph;z-index:1192;mso-wrap-distance-left:0;mso-wrap-distance-right:0" from="53.880001pt,18.479666pt" to="197.930001pt,18.479666pt" stroked="true" strokeweight=".48004pt" strokecolor="#000000">
            <v:stroke dashstyle="solid"/>
            <w10:wrap type="topAndBottom"/>
          </v:line>
        </w:pict>
      </w:r>
    </w:p>
    <w:p>
      <w:pPr>
        <w:spacing w:line="315" w:lineRule="exact" w:before="0"/>
        <w:ind w:left="117" w:right="0" w:firstLine="0"/>
        <w:jc w:val="left"/>
        <w:rPr>
          <w:sz w:val="21"/>
        </w:rPr>
      </w:pPr>
      <w:r>
        <w:rPr>
          <w:rFonts w:ascii="Times New Roman" w:eastAsia="Times New Roman"/>
          <w:position w:val="10"/>
          <w:sz w:val="14"/>
        </w:rPr>
        <w:t>24</w:t>
      </w:r>
      <w:r>
        <w:rPr>
          <w:rFonts w:ascii="Microsoft JhengHei" w:eastAsia="Microsoft JhengHei" w:hint="eastAsia"/>
          <w:b/>
          <w:sz w:val="21"/>
        </w:rPr>
        <w:t>现金价值净额：</w:t>
      </w:r>
      <w:r>
        <w:rPr>
          <w:sz w:val="21"/>
        </w:rPr>
        <w:t>指现金价值在扣除尚未偿还的保单贷款及累积利息后的余额。</w:t>
      </w:r>
    </w:p>
    <w:p>
      <w:pPr>
        <w:pStyle w:val="BodyText"/>
        <w:spacing w:line="315" w:lineRule="exact"/>
        <w:rPr>
          <w:rFonts w:ascii="Times New Roman" w:hAnsi="Times New Roman" w:eastAsia="Times New Roman"/>
        </w:rPr>
      </w:pPr>
      <w:r>
        <w:rPr>
          <w:rFonts w:ascii="Times New Roman" w:hAnsi="Times New Roman" w:eastAsia="Times New Roman"/>
          <w:position w:val="10"/>
          <w:sz w:val="14"/>
        </w:rPr>
        <w:t>25</w:t>
      </w:r>
      <w:r>
        <w:rPr>
          <w:rFonts w:ascii="Microsoft JhengHei" w:hAnsi="Microsoft JhengHei" w:eastAsia="Microsoft JhengHei" w:hint="eastAsia"/>
          <w:b/>
        </w:rPr>
        <w:t>保单贷款利率：</w:t>
      </w:r>
      <w:r>
        <w:rPr/>
        <w:t>我们将根据“同期人民银行每月第一个营业日颁布的二年期居民定期储蓄存款利率与 </w:t>
      </w:r>
      <w:r>
        <w:rPr>
          <w:rFonts w:ascii="Times New Roman" w:hAnsi="Times New Roman" w:eastAsia="Times New Roman"/>
        </w:rPr>
        <w:t>2.5%</w:t>
      </w:r>
    </w:p>
    <w:p>
      <w:pPr>
        <w:pStyle w:val="BodyText"/>
        <w:spacing w:line="278" w:lineRule="exact"/>
      </w:pPr>
      <w:r>
        <w:rPr/>
        <w:t>之较大者”＋</w:t>
      </w:r>
      <w:r>
        <w:rPr>
          <w:rFonts w:ascii="Times New Roman" w:hAnsi="Times New Roman" w:eastAsia="Times New Roman"/>
        </w:rPr>
        <w:t>2.0%</w:t>
      </w:r>
      <w:r>
        <w:rPr/>
        <w:t>确定计息的利率。</w:t>
      </w:r>
    </w:p>
    <w:p>
      <w:pPr>
        <w:spacing w:after="0" w:line="278" w:lineRule="exact"/>
        <w:sectPr>
          <w:pgSz w:w="11910" w:h="16160"/>
          <w:pgMar w:header="0" w:footer="993" w:top="1360" w:bottom="1220" w:left="960" w:right="800"/>
        </w:sectPr>
      </w:pPr>
    </w:p>
    <w:p>
      <w:pPr>
        <w:pStyle w:val="BodyText"/>
        <w:spacing w:before="7"/>
      </w:pPr>
      <w:r>
        <w:rPr/>
        <w:t>一期贷款适用的保单贷款利率在贷款期限内固定不变。</w:t>
      </w:r>
    </w:p>
    <w:p>
      <w:pPr>
        <w:pStyle w:val="BodyText"/>
        <w:spacing w:line="264" w:lineRule="auto" w:before="37"/>
        <w:ind w:right="113" w:firstLine="420"/>
        <w:jc w:val="both"/>
      </w:pPr>
      <w:r>
        <w:rPr>
          <w:spacing w:val="-3"/>
        </w:rPr>
        <w:t>如果您有未偿还的保单贷款，您可以申请增加贷款，当期未偿还的保单贷款和增加贷款的累积最高金额</w:t>
      </w:r>
      <w:r>
        <w:rPr>
          <w:spacing w:val="-4"/>
        </w:rPr>
        <w:t>不超过增加贷款时本合同所具有的现金价值净额的 </w:t>
      </w:r>
      <w:r>
        <w:rPr>
          <w:rFonts w:ascii="Times New Roman" w:eastAsia="Times New Roman"/>
          <w:spacing w:val="-5"/>
        </w:rPr>
        <w:t>90</w:t>
      </w:r>
      <w:r>
        <w:rPr>
          <w:spacing w:val="-4"/>
        </w:rPr>
        <w:t>％，增加的保单贷款的期限为当期未偿还的保单贷款的</w:t>
      </w:r>
      <w:r>
        <w:rPr>
          <w:spacing w:val="-3"/>
        </w:rPr>
        <w:t>剩余期限。增加的保单贷款按当期未偿还的保单贷款适用的贷款利率每日计息。</w:t>
      </w:r>
    </w:p>
    <w:p>
      <w:pPr>
        <w:pStyle w:val="BodyText"/>
        <w:spacing w:line="256" w:lineRule="auto" w:before="16"/>
        <w:ind w:right="112" w:firstLine="420"/>
        <w:jc w:val="both"/>
      </w:pPr>
      <w:r>
        <w:rPr/>
        <w:t>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，且本合同的现金价值净额大于零，未偿</w:t>
      </w:r>
      <w:r>
        <w:rPr>
          <w:spacing w:val="-4"/>
          <w:vertAlign w:val="baseline"/>
        </w:rPr>
        <w:t>还的保单贷款及累积利息将构成新一期的保单贷款，贷款期限为 </w:t>
      </w:r>
      <w:r>
        <w:rPr>
          <w:rFonts w:ascii="Times New Roman" w:eastAsia="Times New Roman"/>
          <w:vertAlign w:val="baseline"/>
        </w:rPr>
        <w:t>6 </w:t>
      </w:r>
      <w:r>
        <w:rPr>
          <w:spacing w:val="-3"/>
          <w:vertAlign w:val="baseline"/>
        </w:rPr>
        <w:t>个月，并按我们最近一次确定的保单贷款利率计息。</w:t>
      </w:r>
    </w:p>
    <w:p>
      <w:pPr>
        <w:pStyle w:val="BodyText"/>
        <w:spacing w:line="273" w:lineRule="auto" w:before="22"/>
        <w:ind w:right="120" w:firstLine="420"/>
      </w:pPr>
      <w:r>
        <w:rPr/>
        <w:t>您可以在保单贷款期满时，或保单贷款期满前偿还全部或部分的贷款及累积利息，还款将首先用于偿还累积利息，然后用于偿还贷款本金。</w:t>
      </w:r>
    </w:p>
    <w:p>
      <w:pPr>
        <w:pStyle w:val="BodyText"/>
        <w:spacing w:before="7"/>
        <w:ind w:left="538"/>
      </w:pPr>
      <w:r>
        <w:rPr/>
        <w:t>当本合同的现金价值净额小于或等于零时，本合同的效力中止。</w:t>
      </w:r>
    </w:p>
    <w:p>
      <w:pPr>
        <w:pStyle w:val="BodyText"/>
        <w:spacing w:before="8"/>
        <w:ind w:left="0"/>
        <w:rPr>
          <w:sz w:val="26"/>
        </w:rPr>
      </w:pPr>
    </w:p>
    <w:p>
      <w:pPr>
        <w:pStyle w:val="Heading2"/>
        <w:tabs>
          <w:tab w:pos="1197" w:val="left" w:leader="none"/>
        </w:tabs>
      </w:pPr>
      <w:bookmarkStart w:name="_bookmark24" w:id="25"/>
      <w:bookmarkEnd w:id="25"/>
      <w:r>
        <w:rPr>
          <w:b w:val="0"/>
        </w:rPr>
      </w:r>
      <w:r>
        <w:rPr/>
        <w:t>第二十条</w:t>
        <w:tab/>
        <w:t>年金转换权</w:t>
      </w:r>
    </w:p>
    <w:p>
      <w:pPr>
        <w:pStyle w:val="BodyText"/>
        <w:spacing w:line="273" w:lineRule="auto" w:before="37"/>
        <w:ind w:left="538" w:right="148"/>
      </w:pPr>
      <w:r>
        <w:rPr/>
        <w:t>您或者受益人与我们协商同意后，有权按以下方式申请订立我们当时提供的保险金转换年金保险合同： 方式一：受益人在申请本合同的保险金时，可将保险金全部或部分转换成年金。</w:t>
      </w:r>
    </w:p>
    <w:p>
      <w:pPr>
        <w:pStyle w:val="BodyText"/>
        <w:spacing w:line="256" w:lineRule="auto" w:before="7"/>
        <w:ind w:right="115" w:firstLine="420"/>
      </w:pPr>
      <w:r>
        <w:rPr>
          <w:spacing w:val="-9"/>
        </w:rPr>
        <w:t>方式二：本合同生效第 </w:t>
      </w:r>
      <w:r>
        <w:rPr>
          <w:rFonts w:ascii="Times New Roman" w:eastAsia="Times New Roman"/>
        </w:rPr>
        <w:t>20 </w:t>
      </w:r>
      <w:r>
        <w:rPr>
          <w:spacing w:val="-7"/>
        </w:rPr>
        <w:t>个保险单周年日之后，如果您按本合同第二十四条的约定申请解除本合同，或</w:t>
      </w:r>
      <w:r>
        <w:rPr>
          <w:spacing w:val="-5"/>
        </w:rPr>
        <w:t>依据我们届时的相关政策进行</w:t>
      </w:r>
      <w:r>
        <w:rPr>
          <w:b/>
        </w:rPr>
        <w:t>减保</w:t>
      </w:r>
      <w:r>
        <w:rPr>
          <w:rFonts w:ascii="Times New Roman" w:eastAsia="Times New Roman"/>
          <w:b/>
          <w:vertAlign w:val="superscript"/>
        </w:rPr>
        <w:t>27</w:t>
      </w:r>
      <w:r>
        <w:rPr>
          <w:rFonts w:ascii="Times New Roman" w:eastAsia="Times New Roman"/>
          <w:b/>
          <w:vertAlign w:val="baseline"/>
        </w:rPr>
      </w:r>
      <w:r>
        <w:rPr>
          <w:spacing w:val="-3"/>
          <w:vertAlign w:val="baseline"/>
        </w:rPr>
        <w:t>，您可将我们所退还的现金价值全部或部分转换成年金。</w:t>
      </w:r>
    </w:p>
    <w:p>
      <w:pPr>
        <w:pStyle w:val="BodyText"/>
        <w:spacing w:before="4"/>
        <w:ind w:left="538"/>
      </w:pPr>
      <w:r>
        <w:rPr/>
        <w:t>申请转换的保险金、现金价值的总额不得低于转换当时我们规定的最低限额。</w:t>
      </w:r>
    </w:p>
    <w:p>
      <w:pPr>
        <w:pStyle w:val="BodyText"/>
        <w:spacing w:before="8"/>
        <w:ind w:left="0"/>
        <w:rPr>
          <w:sz w:val="26"/>
        </w:rPr>
      </w:pPr>
    </w:p>
    <w:p>
      <w:pPr>
        <w:pStyle w:val="Heading2"/>
        <w:tabs>
          <w:tab w:pos="1377" w:val="left" w:leader="none"/>
        </w:tabs>
      </w:pPr>
      <w:bookmarkStart w:name="_bookmark25" w:id="26"/>
      <w:bookmarkEnd w:id="26"/>
      <w:r>
        <w:rPr>
          <w:b w:val="0"/>
        </w:rPr>
      </w:r>
      <w:r>
        <w:rPr/>
        <w:t>第二十一条</w:t>
        <w:tab/>
        <w:t>合同内容的变更权</w:t>
      </w:r>
    </w:p>
    <w:p>
      <w:pPr>
        <w:pStyle w:val="BodyText"/>
        <w:spacing w:line="273" w:lineRule="auto" w:before="36"/>
        <w:ind w:right="120" w:firstLine="420"/>
      </w:pPr>
      <w:r>
        <w:rPr/>
        <w:t>您与我们协商同意后，有权变更本合同的有关内容，并由我们在保险单或保险凭证上批注，或签订合同变更的书面协议。</w:t>
      </w:r>
    </w:p>
    <w:p>
      <w:pPr>
        <w:pStyle w:val="BodyText"/>
        <w:spacing w:before="5"/>
        <w:ind w:left="0"/>
        <w:rPr>
          <w:sz w:val="24"/>
        </w:rPr>
      </w:pPr>
    </w:p>
    <w:p>
      <w:pPr>
        <w:pStyle w:val="Heading2"/>
        <w:tabs>
          <w:tab w:pos="1377" w:val="left" w:leader="none"/>
        </w:tabs>
      </w:pPr>
      <w:bookmarkStart w:name="_bookmark26" w:id="27"/>
      <w:bookmarkEnd w:id="27"/>
      <w:r>
        <w:rPr>
          <w:b w:val="0"/>
        </w:rPr>
      </w:r>
      <w:r>
        <w:rPr/>
        <w:t>第二十二条</w:t>
        <w:tab/>
        <w:t>合同效力的中止与</w:t>
      </w:r>
      <w:r>
        <w:rPr>
          <w:spacing w:val="-3"/>
        </w:rPr>
        <w:t>恢</w:t>
      </w:r>
      <w:r>
        <w:rPr/>
        <w:t>复</w:t>
      </w:r>
    </w:p>
    <w:p>
      <w:pPr>
        <w:spacing w:before="37"/>
        <w:ind w:left="538" w:right="0" w:firstLine="0"/>
        <w:jc w:val="left"/>
        <w:rPr>
          <w:b/>
          <w:sz w:val="21"/>
        </w:rPr>
      </w:pPr>
      <w:r>
        <w:rPr>
          <w:b/>
          <w:sz w:val="21"/>
        </w:rPr>
        <w:t>在本合同效力中止期间，我们不承担保险责任。</w:t>
      </w:r>
    </w:p>
    <w:p>
      <w:pPr>
        <w:pStyle w:val="BodyText"/>
        <w:spacing w:before="36"/>
        <w:ind w:left="538"/>
      </w:pPr>
      <w:r>
        <w:rPr/>
        <w:t>本合同效力中止后 </w:t>
      </w:r>
      <w:r>
        <w:rPr>
          <w:rFonts w:ascii="Times New Roman" w:eastAsia="Times New Roman"/>
        </w:rPr>
        <w:t>2 </w:t>
      </w:r>
      <w:r>
        <w:rPr/>
        <w:t>年内，您可以申请恢复合同效力。</w:t>
      </w:r>
    </w:p>
    <w:p>
      <w:pPr>
        <w:pStyle w:val="BodyText"/>
        <w:spacing w:line="273" w:lineRule="auto" w:before="20"/>
        <w:ind w:right="120" w:firstLine="420"/>
      </w:pPr>
      <w:r>
        <w:rPr/>
        <w:t>因欠交保险费导致合同效力中止的，经我们与您协商并达成协议，在您补交保险费及累积利息之日起， 合同效力恢复。</w:t>
      </w:r>
    </w:p>
    <w:p>
      <w:pPr>
        <w:pStyle w:val="BodyText"/>
        <w:spacing w:line="273" w:lineRule="auto" w:before="7"/>
        <w:ind w:right="120" w:firstLine="420"/>
      </w:pPr>
      <w:r>
        <w:rPr/>
        <w:t>因保单贷款导致合同效力中止的，经我们与您协商并达成协议，在您偿还保单贷款、累积利息及其他未还款项之日起，合同效力恢复。</w:t>
      </w:r>
    </w:p>
    <w:p>
      <w:pPr>
        <w:pStyle w:val="BodyText"/>
        <w:spacing w:line="256" w:lineRule="auto" w:before="7"/>
        <w:ind w:right="72"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6"/>
        <w:ind w:left="0"/>
        <w:rPr>
          <w:sz w:val="25"/>
        </w:rPr>
      </w:pPr>
    </w:p>
    <w:p>
      <w:pPr>
        <w:pStyle w:val="Heading2"/>
        <w:tabs>
          <w:tab w:pos="1377" w:val="left" w:leader="none"/>
        </w:tabs>
      </w:pPr>
      <w:bookmarkStart w:name="_bookmark27" w:id="28"/>
      <w:bookmarkEnd w:id="28"/>
      <w:r>
        <w:rPr>
          <w:b w:val="0"/>
        </w:rPr>
      </w:r>
      <w:r>
        <w:rPr/>
        <w:t>第二十三条</w:t>
        <w:tab/>
        <w:t>犹豫期</w:t>
      </w:r>
    </w:p>
    <w:p>
      <w:pPr>
        <w:pStyle w:val="BodyText"/>
        <w:spacing w:before="36"/>
        <w:ind w:left="538"/>
      </w:pPr>
      <w:r>
        <w:rPr/>
        <w:t>您在收到本合同并书面签收之日起可享有 </w:t>
      </w:r>
      <w:r>
        <w:rPr>
          <w:rFonts w:ascii="Times New Roman" w:eastAsia="Times New Roman"/>
        </w:rPr>
        <w:t>10 </w:t>
      </w:r>
      <w:r>
        <w:rPr/>
        <w:t>天的犹豫期，在犹豫期内要求解除本合同的，在我们收齐相</w:t>
      </w:r>
    </w:p>
    <w:p>
      <w:pPr>
        <w:pStyle w:val="BodyText"/>
        <w:spacing w:line="256" w:lineRule="auto" w:before="21"/>
        <w:ind w:right="114"/>
      </w:pPr>
      <w:r>
        <w:rPr>
          <w:spacing w:val="-8"/>
        </w:rPr>
        <w:t>关文件和资料的次日零时，本合同即被解除，我们自始不承担保险责任。我们在扣除 </w:t>
      </w:r>
      <w:r>
        <w:rPr>
          <w:rFonts w:ascii="Times New Roman" w:eastAsia="Times New Roman"/>
        </w:rPr>
        <w:t>10 </w:t>
      </w:r>
      <w:r>
        <w:rPr>
          <w:spacing w:val="-6"/>
        </w:rPr>
        <w:t>元工本费后，无息退</w:t>
      </w:r>
      <w:r>
        <w:rPr>
          <w:spacing w:val="-4"/>
        </w:rPr>
        <w:t>还已交保险费。</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8"/>
        </w:rPr>
      </w:pPr>
      <w:r>
        <w:rPr/>
        <w:pict>
          <v:line style="position:absolute;mso-position-horizontal-relative:page;mso-position-vertical-relative:paragraph;z-index:1216;mso-wrap-distance-left:0;mso-wrap-distance-right:0" from="53.880001pt,14.432483pt" to="197.930001pt,14.432483pt" stroked="true" strokeweight=".48004pt" strokecolor="#000000">
            <v:stroke dashstyle="solid"/>
            <w10:wrap type="topAndBottom"/>
          </v:line>
        </w:pict>
      </w:r>
    </w:p>
    <w:p>
      <w:pPr>
        <w:pStyle w:val="BodyText"/>
        <w:spacing w:line="319" w:lineRule="exact"/>
      </w:pPr>
      <w:r>
        <w:rPr>
          <w:rFonts w:ascii="Times New Roman" w:hAnsi="Times New Roman" w:eastAsia="Times New Roman"/>
          <w:position w:val="10"/>
          <w:sz w:val="14"/>
        </w:rPr>
        <w:t>26</w:t>
      </w:r>
      <w:r>
        <w:rPr>
          <w:rFonts w:ascii="Microsoft JhengHei" w:hAnsi="Microsoft JhengHei" w:eastAsia="Microsoft JhengHei" w:hint="eastAsia"/>
          <w:b/>
        </w:rPr>
        <w:t>累积利息：</w:t>
      </w:r>
      <w:r>
        <w:rPr/>
        <w:t>指根据我们已确定的利率计算的金额。我们将根据“同期人民银行每月第一个营业日颁布的二</w:t>
      </w:r>
    </w:p>
    <w:p>
      <w:pPr>
        <w:pStyle w:val="BodyText"/>
        <w:spacing w:line="223" w:lineRule="auto" w:before="7"/>
        <w:ind w:right="113"/>
      </w:pPr>
      <w:r>
        <w:rPr>
          <w:spacing w:val="-4"/>
        </w:rPr>
        <w:t>年期居民定期储蓄存款利率与 </w:t>
      </w:r>
      <w:r>
        <w:rPr>
          <w:rFonts w:ascii="Times New Roman" w:hAnsi="Times New Roman" w:eastAsia="Times New Roman"/>
        </w:rPr>
        <w:t>2.5%</w:t>
      </w:r>
      <w:r>
        <w:rPr>
          <w:spacing w:val="-5"/>
        </w:rPr>
        <w:t>之较大者”＋</w:t>
      </w:r>
      <w:r>
        <w:rPr>
          <w:rFonts w:ascii="Times New Roman" w:hAnsi="Times New Roman" w:eastAsia="Times New Roman"/>
          <w:spacing w:val="-6"/>
        </w:rPr>
        <w:t>2.0%</w:t>
      </w:r>
      <w:r>
        <w:rPr>
          <w:spacing w:val="-6"/>
        </w:rPr>
        <w:t>确定计息的利率。如果本合同有欠交的保险费或保单贷</w:t>
      </w:r>
      <w:r>
        <w:rPr>
          <w:spacing w:val="-4"/>
        </w:rPr>
        <w:t>款，我们将每半年复利计息一次。</w:t>
      </w:r>
    </w:p>
    <w:p>
      <w:pPr>
        <w:pStyle w:val="BodyText"/>
        <w:spacing w:line="297" w:lineRule="exact"/>
      </w:pPr>
      <w:r>
        <w:rPr>
          <w:rFonts w:ascii="Times New Roman" w:eastAsia="Times New Roman"/>
          <w:position w:val="10"/>
          <w:sz w:val="14"/>
        </w:rPr>
        <w:t>27</w:t>
      </w:r>
      <w:r>
        <w:rPr>
          <w:rFonts w:ascii="Microsoft JhengHei" w:eastAsia="Microsoft JhengHei" w:hint="eastAsia"/>
          <w:b/>
        </w:rPr>
        <w:t>减保：</w:t>
      </w:r>
      <w:r>
        <w:rPr/>
        <w:t>是指减少本合同的基本保险金额，我们将退还减少部分对应的现金价值。</w:t>
      </w:r>
    </w:p>
    <w:p>
      <w:pPr>
        <w:spacing w:after="0" w:line="297" w:lineRule="exact"/>
        <w:sectPr>
          <w:pgSz w:w="11910" w:h="16160"/>
          <w:pgMar w:header="0" w:footer="993" w:top="1360" w:bottom="1240" w:left="960" w:right="800"/>
        </w:sectPr>
      </w:pPr>
    </w:p>
    <w:p>
      <w:pPr>
        <w:pStyle w:val="Heading2"/>
        <w:tabs>
          <w:tab w:pos="1377" w:val="left" w:leader="none"/>
        </w:tabs>
        <w:spacing w:before="7"/>
      </w:pPr>
      <w:bookmarkStart w:name="_bookmark28" w:id="29"/>
      <w:bookmarkEnd w:id="29"/>
      <w:r>
        <w:rPr>
          <w:b w:val="0"/>
        </w:rPr>
      </w:r>
      <w:r>
        <w:rPr/>
        <w:t>第二十四条</w:t>
        <w:tab/>
        <w:t>您解除合同的手续</w:t>
      </w:r>
      <w:r>
        <w:rPr>
          <w:spacing w:val="-3"/>
        </w:rPr>
        <w:t>及</w:t>
      </w:r>
      <w:r>
        <w:rPr/>
        <w:t>风险</w:t>
      </w:r>
    </w:p>
    <w:p>
      <w:pPr>
        <w:pStyle w:val="BodyText"/>
        <w:spacing w:line="273" w:lineRule="auto" w:before="37"/>
        <w:ind w:left="538" w:right="2037"/>
      </w:pPr>
      <w:r>
        <w:rPr/>
        <w:t>如您在犹豫期后申请解除本合同，请填写解除合同申请书并向我们提供下列资料： 一、保险合同；</w:t>
      </w:r>
    </w:p>
    <w:p>
      <w:pPr>
        <w:pStyle w:val="BodyText"/>
        <w:spacing w:before="7"/>
        <w:ind w:left="538"/>
      </w:pPr>
      <w:r>
        <w:rPr/>
        <w:t>二、您的有效身份证件。</w:t>
      </w:r>
    </w:p>
    <w:p>
      <w:pPr>
        <w:pStyle w:val="BodyText"/>
        <w:spacing w:line="256" w:lineRule="auto" w:before="36"/>
        <w:ind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ind w:left="0"/>
        <w:rPr>
          <w:sz w:val="24"/>
        </w:rPr>
      </w:pPr>
    </w:p>
    <w:p>
      <w:pPr>
        <w:pStyle w:val="Heading1"/>
        <w:tabs>
          <w:tab w:pos="4575" w:val="left" w:leader="none"/>
        </w:tabs>
        <w:ind w:left="3157"/>
      </w:pPr>
      <w:bookmarkStart w:name="_bookmark29" w:id="30"/>
      <w:bookmarkEnd w:id="30"/>
      <w:r>
        <w:rPr>
          <w:b w:val="0"/>
        </w:rPr>
      </w:r>
      <w:r>
        <w:rPr/>
        <w:t>第六部分</w:t>
        <w:tab/>
      </w:r>
      <w:r>
        <w:rPr>
          <w:w w:val="95"/>
        </w:rPr>
        <w:t>您必须了解的其他事项</w:t>
      </w:r>
    </w:p>
    <w:p>
      <w:pPr>
        <w:pStyle w:val="BodyText"/>
        <w:spacing w:before="10"/>
        <w:ind w:left="0"/>
        <w:rPr>
          <w:b/>
          <w:sz w:val="25"/>
        </w:rPr>
      </w:pPr>
    </w:p>
    <w:p>
      <w:pPr>
        <w:pStyle w:val="Heading2"/>
        <w:tabs>
          <w:tab w:pos="1377" w:val="left" w:leader="none"/>
        </w:tabs>
      </w:pPr>
      <w:bookmarkStart w:name="_bookmark30" w:id="31"/>
      <w:bookmarkEnd w:id="31"/>
      <w:r>
        <w:rPr>
          <w:b w:val="0"/>
        </w:rPr>
      </w:r>
      <w:r>
        <w:rPr/>
        <w:t>第二十五条</w:t>
        <w:tab/>
        <w:t>明确说明与如实告知</w:t>
      </w:r>
    </w:p>
    <w:p>
      <w:pPr>
        <w:pStyle w:val="BodyText"/>
        <w:spacing w:before="37"/>
        <w:ind w:left="538"/>
      </w:pPr>
      <w:r>
        <w:rPr/>
        <w:t>订立本合同时，我们应向您说明本合同的内容。</w:t>
      </w:r>
    </w:p>
    <w:p>
      <w:pPr>
        <w:pStyle w:val="BodyText"/>
        <w:spacing w:line="273" w:lineRule="auto" w:before="38"/>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8"/>
        <w:ind w:left="538"/>
      </w:pPr>
      <w:r>
        <w:rPr/>
        <w:t>我们就您和被保险人的有关情况提出询问，您应当如实告知。</w:t>
      </w:r>
    </w:p>
    <w:p>
      <w:pPr>
        <w:spacing w:line="273" w:lineRule="auto" w:before="37"/>
        <w:ind w:left="117" w:right="120" w:firstLine="422"/>
        <w:jc w:val="left"/>
        <w:rPr>
          <w:b/>
          <w:sz w:val="21"/>
        </w:rPr>
      </w:pPr>
      <w:r>
        <w:rPr>
          <w:b/>
          <w:sz w:val="21"/>
        </w:rPr>
        <w:t>如果您故意或者因重大过失未履行前款规定的如实告知义务，足以影响我们决定是否同意承保或者提高保险费率的，我们有权解除本合同。</w:t>
      </w:r>
    </w:p>
    <w:p>
      <w:pPr>
        <w:spacing w:line="273" w:lineRule="auto" w:before="7"/>
        <w:ind w:left="117" w:right="118" w:firstLine="422"/>
        <w:jc w:val="left"/>
        <w:rPr>
          <w:b/>
          <w:sz w:val="21"/>
        </w:rPr>
      </w:pPr>
      <w:r>
        <w:rPr>
          <w:b/>
          <w:sz w:val="21"/>
        </w:rPr>
        <w:t>如果您故意不履行如实告知义务，对于本合同解除前发生的保险事故，我们不承担给付保险金的责任， 并不退还保险费。</w:t>
      </w:r>
    </w:p>
    <w:p>
      <w:pPr>
        <w:spacing w:line="273" w:lineRule="auto" w:before="7"/>
        <w:ind w:left="117" w:right="118" w:firstLine="422"/>
        <w:jc w:val="left"/>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before="7"/>
        <w:ind w:right="120" w:firstLine="420"/>
      </w:pPr>
      <w:r>
        <w:rPr/>
        <w:t>我们在合同订立时已经知道您未如实告知的情况的，我们不得解除合同；发生保险事故的，我们承担给付保险金的责任。</w:t>
      </w:r>
    </w:p>
    <w:p>
      <w:pPr>
        <w:pStyle w:val="BodyText"/>
        <w:spacing w:before="5"/>
        <w:ind w:left="0"/>
        <w:rPr>
          <w:sz w:val="24"/>
        </w:rPr>
      </w:pPr>
    </w:p>
    <w:p>
      <w:pPr>
        <w:pStyle w:val="Heading2"/>
        <w:tabs>
          <w:tab w:pos="1377" w:val="left" w:leader="none"/>
        </w:tabs>
      </w:pPr>
      <w:bookmarkStart w:name="_bookmark31" w:id="32"/>
      <w:bookmarkEnd w:id="32"/>
      <w:r>
        <w:rPr>
          <w:b w:val="0"/>
        </w:rPr>
      </w:r>
      <w:r>
        <w:rPr/>
        <w:t>第二十六条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pPr>
      <w:r>
        <w:rPr/>
        <w:t>超过 </w:t>
      </w:r>
      <w:r>
        <w:rPr>
          <w:rFonts w:ascii="Times New Roman" w:eastAsia="Times New Roman"/>
        </w:rPr>
        <w:t>2 </w:t>
      </w:r>
      <w:r>
        <w:rPr/>
        <w:t>年的，我们不得解除合同；发生保险事故的，我们承担给付保险金的责任。</w:t>
      </w:r>
    </w:p>
    <w:p>
      <w:pPr>
        <w:pStyle w:val="BodyText"/>
        <w:spacing w:before="5"/>
        <w:ind w:left="0"/>
        <w:rPr>
          <w:sz w:val="25"/>
        </w:rPr>
      </w:pPr>
    </w:p>
    <w:p>
      <w:pPr>
        <w:pStyle w:val="Heading2"/>
        <w:tabs>
          <w:tab w:pos="1377" w:val="left" w:leader="none"/>
        </w:tabs>
      </w:pPr>
      <w:bookmarkStart w:name="_bookmark32" w:id="33"/>
      <w:bookmarkEnd w:id="33"/>
      <w:r>
        <w:rPr>
          <w:b w:val="0"/>
        </w:rPr>
      </w:r>
      <w:r>
        <w:rPr/>
        <w:t>第二十七条</w:t>
        <w:tab/>
        <w:t>年龄错误</w:t>
      </w:r>
    </w:p>
    <w:p>
      <w:pPr>
        <w:pStyle w:val="BodyText"/>
        <w:spacing w:line="273" w:lineRule="auto" w:before="36"/>
        <w:ind w:right="120" w:firstLine="420"/>
      </w:pPr>
      <w:r>
        <w:rPr/>
        <w:t>您在申请投保时，应将与有效身份证件相符的被保险人的出生日期在投保单上填明，如果发生错误按照下列方式办理：</w:t>
      </w:r>
    </w:p>
    <w:p>
      <w:pPr>
        <w:spacing w:line="273" w:lineRule="auto" w:before="7"/>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pStyle w:val="BodyText"/>
        <w:spacing w:line="273" w:lineRule="auto" w:before="7"/>
        <w:ind w:right="118" w:firstLine="420"/>
      </w:pPr>
      <w:r>
        <w:rPr>
          <w:b/>
        </w:rPr>
        <w:t>二、</w:t>
      </w:r>
      <w:r>
        <w:rPr/>
        <w:t>您申报的被保险人年龄不真实，致使您实付保险费少于应付保险费的，我们有权更正并要求您补交保险费。若已经发生保险事故，在给付保险金时按实付保险费和应付保险费的比例给付。</w:t>
      </w:r>
    </w:p>
    <w:p>
      <w:pPr>
        <w:pStyle w:val="BodyText"/>
        <w:spacing w:line="273" w:lineRule="auto" w:before="7"/>
        <w:ind w:right="120" w:firstLine="420"/>
      </w:pPr>
      <w:r>
        <w:rPr/>
        <w:t>三、您申报的被保险人年龄不真实，致使您实付保险费多于应付保险费的，我们会将多收的保险费退还给您。</w:t>
      </w:r>
    </w:p>
    <w:p>
      <w:pPr>
        <w:pStyle w:val="BodyText"/>
        <w:spacing w:before="5"/>
        <w:ind w:left="0"/>
        <w:rPr>
          <w:sz w:val="24"/>
        </w:rPr>
      </w:pPr>
    </w:p>
    <w:p>
      <w:pPr>
        <w:pStyle w:val="Heading2"/>
        <w:tabs>
          <w:tab w:pos="1377" w:val="left" w:leader="none"/>
        </w:tabs>
      </w:pPr>
      <w:bookmarkStart w:name="_bookmark33" w:id="34"/>
      <w:bookmarkEnd w:id="34"/>
      <w:r>
        <w:rPr>
          <w:b w:val="0"/>
        </w:rPr>
      </w:r>
      <w:r>
        <w:rPr/>
        <w:t>第二十八条</w:t>
        <w:tab/>
        <w:t>性别错误</w:t>
      </w:r>
    </w:p>
    <w:p>
      <w:pPr>
        <w:pStyle w:val="BodyText"/>
        <w:spacing w:line="273" w:lineRule="auto" w:before="36"/>
        <w:ind w:right="119" w:firstLine="420"/>
      </w:pPr>
      <w:r>
        <w:rPr/>
        <w:t>您在申请投保时，应将与有效身份证件相符的被保险人的性别在投保单上填明，如果发生错误按照下列方式办理：</w:t>
      </w:r>
    </w:p>
    <w:p>
      <w:pPr>
        <w:spacing w:after="0" w:line="273" w:lineRule="auto"/>
        <w:sectPr>
          <w:pgSz w:w="11910" w:h="16160"/>
          <w:pgMar w:header="0" w:footer="993" w:top="1360" w:bottom="1260" w:left="960" w:right="800"/>
        </w:sectPr>
      </w:pPr>
    </w:p>
    <w:p>
      <w:pPr>
        <w:pStyle w:val="BodyText"/>
        <w:spacing w:line="273" w:lineRule="auto" w:before="7"/>
        <w:ind w:left="317" w:right="300" w:firstLine="420"/>
      </w:pPr>
      <w:r>
        <w:rPr/>
        <w:t>一、您申报的被保险人性别不真实，致使您实付保险费少于应付保险费的，我们有权更正并要求您补交保险费。若已经发生保险事故，在给付保险金时按实付保险费和应付保险费的比例给付。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7"/>
        <w:ind w:left="317" w:right="300" w:firstLine="420"/>
      </w:pPr>
      <w:r>
        <w:rPr/>
        <w:t>二、您申报的被保险人性别不真实，致使您实付保险费多于应付保险费的，我们会将多收的保险费退还给您。</w:t>
      </w:r>
    </w:p>
    <w:p>
      <w:pPr>
        <w:pStyle w:val="BodyText"/>
        <w:ind w:left="0"/>
        <w:rPr>
          <w:sz w:val="20"/>
        </w:rPr>
      </w:pPr>
    </w:p>
    <w:p>
      <w:pPr>
        <w:pStyle w:val="Heading2"/>
        <w:tabs>
          <w:tab w:pos="1577" w:val="left" w:leader="none"/>
        </w:tabs>
        <w:ind w:left="317"/>
      </w:pPr>
      <w:bookmarkStart w:name="_bookmark34" w:id="35"/>
      <w:bookmarkEnd w:id="35"/>
      <w:r>
        <w:rPr>
          <w:b w:val="0"/>
        </w:rPr>
      </w:r>
      <w:r>
        <w:rPr/>
        <w:t>第二十九条</w:t>
        <w:tab/>
        <w:t>未还款项</w:t>
      </w:r>
    </w:p>
    <w:p>
      <w:pPr>
        <w:pStyle w:val="BodyText"/>
        <w:spacing w:line="273" w:lineRule="auto" w:before="10"/>
        <w:ind w:left="317" w:right="298"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九条。</w:t>
      </w:r>
    </w:p>
    <w:p>
      <w:pPr>
        <w:pStyle w:val="BodyText"/>
        <w:spacing w:before="12"/>
        <w:ind w:left="0"/>
        <w:rPr>
          <w:sz w:val="19"/>
        </w:rPr>
      </w:pPr>
    </w:p>
    <w:p>
      <w:pPr>
        <w:pStyle w:val="Heading2"/>
        <w:tabs>
          <w:tab w:pos="1397" w:val="left" w:leader="none"/>
        </w:tabs>
        <w:spacing w:before="1"/>
        <w:ind w:left="317"/>
      </w:pPr>
      <w:bookmarkStart w:name="_bookmark35" w:id="36"/>
      <w:bookmarkEnd w:id="36"/>
      <w:r>
        <w:rPr>
          <w:b w:val="0"/>
        </w:rPr>
      </w:r>
      <w:r>
        <w:rPr/>
        <w:t>第三十条</w:t>
        <w:tab/>
        <w:t>保险合同的终止</w:t>
      </w:r>
    </w:p>
    <w:p>
      <w:pPr>
        <w:pStyle w:val="BodyText"/>
        <w:spacing w:before="11"/>
        <w:ind w:left="738"/>
      </w:pPr>
      <w:r>
        <w:rPr/>
        <w:t>除本合同另有约定外，本合同在发生下列情况之一时自动终止：</w:t>
      </w:r>
    </w:p>
    <w:p>
      <w:pPr>
        <w:pStyle w:val="BodyText"/>
        <w:spacing w:line="273" w:lineRule="auto" w:before="38"/>
        <w:ind w:left="738" w:right="1797"/>
      </w:pPr>
      <w:r>
        <w:rPr/>
        <w:t>一、我们已按本合同的约定给付重大疾病保险金、身体高度残疾保险金或身故保险金； 二、本合同内约定的其他终止情况。</w:t>
      </w:r>
    </w:p>
    <w:p>
      <w:pPr>
        <w:pStyle w:val="BodyText"/>
        <w:ind w:left="0"/>
        <w:rPr>
          <w:sz w:val="20"/>
        </w:rPr>
      </w:pPr>
    </w:p>
    <w:p>
      <w:pPr>
        <w:pStyle w:val="Heading2"/>
        <w:tabs>
          <w:tab w:pos="1577" w:val="left" w:leader="none"/>
        </w:tabs>
        <w:ind w:left="317"/>
      </w:pPr>
      <w:bookmarkStart w:name="_bookmark36" w:id="37"/>
      <w:bookmarkEnd w:id="37"/>
      <w:r>
        <w:rPr>
          <w:b w:val="0"/>
        </w:rPr>
      </w:r>
      <w:r>
        <w:rPr/>
        <w:t>第三十一条</w:t>
        <w:tab/>
        <w:t>联系方式的变更</w:t>
      </w:r>
    </w:p>
    <w:p>
      <w:pPr>
        <w:pStyle w:val="BodyText"/>
        <w:spacing w:line="273" w:lineRule="auto" w:before="10"/>
        <w:ind w:left="317" w:right="300" w:firstLine="420"/>
      </w:pPr>
      <w:r>
        <w:rPr/>
        <w:t>为了保障您的权益，如果您的联系方式（如联系地址、联系电话、电子邮箱等）发生变化，请及时通知我们。否则，我们将按已知的最后联系方式与您联系。</w:t>
      </w:r>
    </w:p>
    <w:p>
      <w:pPr>
        <w:pStyle w:val="BodyText"/>
        <w:ind w:left="0"/>
        <w:rPr>
          <w:sz w:val="20"/>
        </w:rPr>
      </w:pPr>
    </w:p>
    <w:p>
      <w:pPr>
        <w:pStyle w:val="Heading2"/>
        <w:tabs>
          <w:tab w:pos="1577" w:val="left" w:leader="none"/>
        </w:tabs>
        <w:ind w:left="317"/>
      </w:pPr>
      <w:bookmarkStart w:name="_bookmark37" w:id="38"/>
      <w:bookmarkEnd w:id="38"/>
      <w:r>
        <w:rPr>
          <w:b w:val="0"/>
        </w:rPr>
      </w:r>
      <w:r>
        <w:rPr/>
        <w:t>第三十二条</w:t>
        <w:tab/>
        <w:t>争议处理</w:t>
      </w:r>
    </w:p>
    <w:p>
      <w:pPr>
        <w:pStyle w:val="BodyText"/>
        <w:spacing w:before="1"/>
        <w:ind w:left="738"/>
      </w:pPr>
      <w:r>
        <w:rPr/>
        <w:t>在合同履行过程中，双方发生争议时，可以从下列两种方式中选择一种争议处理方式：</w:t>
      </w:r>
    </w:p>
    <w:p>
      <w:pPr>
        <w:pStyle w:val="BodyText"/>
        <w:spacing w:line="244" w:lineRule="auto" w:before="6"/>
        <w:ind w:left="738" w:right="53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line="274" w:lineRule="exact"/>
        <w:ind w:left="738"/>
      </w:pPr>
      <w:r>
        <w:rPr/>
        <w:t>如果双方选择仲裁方式，应当达成仲裁协议并明确约定仲裁事项、仲裁机构。</w:t>
      </w:r>
    </w:p>
    <w:p>
      <w:pPr>
        <w:pStyle w:val="BodyText"/>
        <w:spacing w:before="6"/>
        <w:ind w:left="0"/>
        <w:rPr>
          <w:sz w:val="20"/>
        </w:rPr>
      </w:pPr>
    </w:p>
    <w:p>
      <w:pPr>
        <w:pStyle w:val="Heading2"/>
        <w:tabs>
          <w:tab w:pos="1577" w:val="left" w:leader="none"/>
        </w:tabs>
        <w:ind w:left="317"/>
      </w:pPr>
      <w:bookmarkStart w:name="_bookmark38" w:id="39"/>
      <w:bookmarkEnd w:id="39"/>
      <w:r>
        <w:rPr>
          <w:b w:val="0"/>
        </w:rPr>
      </w:r>
      <w:r>
        <w:rPr/>
        <w:t>第三十三条</w:t>
        <w:tab/>
        <w:t>重大疾病的种类及</w:t>
      </w:r>
      <w:r>
        <w:rPr>
          <w:spacing w:val="-3"/>
        </w:rPr>
        <w:t>定义</w:t>
      </w:r>
    </w:p>
    <w:p>
      <w:pPr>
        <w:pStyle w:val="BodyText"/>
        <w:spacing w:line="256" w:lineRule="auto" w:before="13"/>
        <w:ind w:left="317" w:right="298" w:firstLine="420"/>
      </w:pPr>
      <w:r>
        <w:rPr/>
        <w:t>本合同所保障的重大疾病，是指被保险人经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8</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292" w:firstLine="420"/>
      </w:pPr>
      <w:r>
        <w:rPr>
          <w:spacing w:val="-7"/>
        </w:rPr>
        <w:t>本合同所保障的重大疾病共 </w:t>
      </w:r>
      <w:r>
        <w:rPr>
          <w:rFonts w:ascii="Times New Roman" w:eastAsia="Times New Roman"/>
        </w:rPr>
        <w:t>45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6"/>
        </w:rPr>
        <w:t>日启用的《重大疾病保险的疾病定义使</w:t>
      </w:r>
      <w:r>
        <w:rPr>
          <w:spacing w:val="-3"/>
        </w:rPr>
        <w:t>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232"/>
        <w:gridCol w:w="7579"/>
      </w:tblGrid>
      <w:tr>
        <w:trPr>
          <w:trHeight w:val="2420" w:hRule="atLeast"/>
        </w:trPr>
        <w:tc>
          <w:tcPr>
            <w:tcW w:w="489" w:type="dxa"/>
          </w:tcPr>
          <w:p>
            <w:pPr>
              <w:pStyle w:val="TableParagraph"/>
              <w:spacing w:line="234" w:lineRule="exact"/>
              <w:ind w:left="200"/>
              <w:rPr>
                <w:rFonts w:ascii="Times New Roman"/>
                <w:sz w:val="21"/>
              </w:rPr>
            </w:pPr>
            <w:r>
              <w:rPr>
                <w:rFonts w:ascii="Times New Roman"/>
                <w:sz w:val="21"/>
              </w:rPr>
              <w:t>1.</w:t>
            </w:r>
          </w:p>
        </w:tc>
        <w:tc>
          <w:tcPr>
            <w:tcW w:w="2232" w:type="dxa"/>
          </w:tcPr>
          <w:p>
            <w:pPr>
              <w:pStyle w:val="TableParagraph"/>
              <w:spacing w:line="220" w:lineRule="exact"/>
              <w:ind w:left="131"/>
              <w:rPr>
                <w:sz w:val="21"/>
              </w:rPr>
            </w:pPr>
            <w:r>
              <w:rPr>
                <w:sz w:val="21"/>
              </w:rPr>
              <w:t>恶性肿瘤</w:t>
            </w:r>
          </w:p>
        </w:tc>
        <w:tc>
          <w:tcPr>
            <w:tcW w:w="7579" w:type="dxa"/>
          </w:tcPr>
          <w:p>
            <w:pPr>
              <w:pStyle w:val="TableParagraph"/>
              <w:spacing w:line="220" w:lineRule="exact"/>
              <w:ind w:left="1260"/>
              <w:rPr>
                <w:sz w:val="21"/>
              </w:rPr>
            </w:pPr>
            <w:r>
              <w:rPr>
                <w:sz w:val="21"/>
              </w:rPr>
              <w:t>指恶性细胞不受控制的进行性增长和扩散，浸润和破坏周围正常组</w:t>
            </w:r>
          </w:p>
          <w:p>
            <w:pPr>
              <w:pStyle w:val="TableParagraph"/>
              <w:spacing w:line="273" w:lineRule="auto" w:before="37"/>
              <w:ind w:left="1260" w:right="196"/>
              <w:jc w:val="both"/>
              <w:rPr>
                <w:sz w:val="21"/>
              </w:rPr>
            </w:pPr>
            <w:r>
              <w:rPr>
                <w:sz w:val="21"/>
              </w:rPr>
              <w:t>织，可以经血管、淋巴管和体腔扩散转移到身体其他部位的疾病。经病理学检查结果明确诊断，临床诊断属于世界卫生组织《疾病和有关健康问题的国际统计分类》（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1260"/>
              <w:jc w:val="both"/>
              <w:rPr>
                <w:b/>
                <w:sz w:val="21"/>
              </w:rPr>
            </w:pPr>
            <w:r>
              <w:rPr>
                <w:b/>
                <w:sz w:val="21"/>
              </w:rPr>
              <w:t>下列疾病不在保障范围内：</w:t>
            </w:r>
          </w:p>
          <w:p>
            <w:pPr>
              <w:pStyle w:val="TableParagraph"/>
              <w:spacing w:before="38"/>
              <w:ind w:left="1260"/>
              <w:jc w:val="both"/>
              <w:rPr>
                <w:b/>
                <w:sz w:val="21"/>
              </w:rPr>
            </w:pPr>
            <w:r>
              <w:rPr>
                <w:b/>
                <w:w w:val="95"/>
                <w:sz w:val="21"/>
              </w:rPr>
              <w:t>（</w:t>
            </w:r>
            <w:r>
              <w:rPr>
                <w:rFonts w:ascii="Times New Roman" w:eastAsia="Times New Roman"/>
                <w:b/>
                <w:w w:val="95"/>
                <w:sz w:val="21"/>
              </w:rPr>
              <w:t>1</w:t>
            </w:r>
            <w:r>
              <w:rPr>
                <w:b/>
                <w:w w:val="95"/>
                <w:sz w:val="21"/>
              </w:rPr>
              <w:t>）原位癌</w:t>
            </w:r>
            <w:r>
              <w:rPr>
                <w:rFonts w:ascii="Times New Roman" w:eastAsia="Times New Roman"/>
                <w:b/>
                <w:w w:val="95"/>
                <w:sz w:val="21"/>
                <w:vertAlign w:val="superscript"/>
              </w:rPr>
              <w:t>29</w:t>
            </w:r>
            <w:r>
              <w:rPr>
                <w:rFonts w:ascii="Times New Roman" w:eastAsia="Times New Roman"/>
                <w:b/>
                <w:w w:val="95"/>
                <w:sz w:val="21"/>
                <w:vertAlign w:val="baseline"/>
              </w:rPr>
            </w:r>
            <w:r>
              <w:rPr>
                <w:b/>
                <w:w w:val="95"/>
                <w:sz w:val="21"/>
                <w:vertAlign w:val="baseline"/>
              </w:rPr>
              <w:t>；</w:t>
            </w:r>
          </w:p>
          <w:p>
            <w:pPr>
              <w:pStyle w:val="TableParagraph"/>
              <w:spacing w:before="21"/>
              <w:ind w:left="1260"/>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line="271" w:lineRule="exact" w:before="21"/>
              <w:ind w:left="1260"/>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tc>
      </w:tr>
    </w:tbl>
    <w:p>
      <w:pPr>
        <w:pStyle w:val="BodyText"/>
        <w:ind w:left="0"/>
        <w:rPr>
          <w:sz w:val="20"/>
        </w:rPr>
      </w:pPr>
    </w:p>
    <w:p>
      <w:pPr>
        <w:pStyle w:val="BodyText"/>
        <w:spacing w:before="1"/>
        <w:ind w:left="0"/>
        <w:rPr>
          <w:sz w:val="11"/>
        </w:rPr>
      </w:pPr>
      <w:r>
        <w:rPr/>
        <w:pict>
          <v:line style="position:absolute;mso-position-horizontal-relative:page;mso-position-vertical-relative:paragraph;z-index:1240;mso-wrap-distance-left:0;mso-wrap-distance-right:0" from="53.880001pt,9.478863pt" to="197.930001pt,9.478863pt" stroked="true" strokeweight=".48004pt" strokecolor="#000000">
            <v:stroke dashstyle="solid"/>
            <w10:wrap type="topAndBottom"/>
          </v:line>
        </w:pict>
      </w:r>
    </w:p>
    <w:p>
      <w:pPr>
        <w:pStyle w:val="BodyText"/>
        <w:spacing w:line="318" w:lineRule="exact"/>
        <w:ind w:left="317"/>
      </w:pPr>
      <w:r>
        <w:rPr>
          <w:rFonts w:ascii="Times New Roman" w:eastAsia="Times New Roman"/>
          <w:w w:val="99"/>
          <w:position w:val="10"/>
          <w:sz w:val="14"/>
        </w:rPr>
        <w:t>28</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5"/>
        <w:ind w:left="317" w:right="29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2"/>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pStyle w:val="BodyText"/>
        <w:spacing w:line="283" w:lineRule="exact"/>
        <w:ind w:left="317"/>
      </w:pPr>
      <w:r>
        <w:rPr>
          <w:rFonts w:ascii="Times New Roman" w:eastAsia="Times New Roman"/>
          <w:position w:val="10"/>
          <w:sz w:val="14"/>
        </w:rPr>
        <w:t>29</w:t>
      </w:r>
      <w:r>
        <w:rPr>
          <w:rFonts w:ascii="Microsoft JhengHei" w:eastAsia="Microsoft JhengHei" w:hint="eastAsia"/>
          <w:b/>
        </w:rPr>
        <w:t>原位癌：</w:t>
      </w:r>
      <w:r>
        <w:rPr/>
        <w:t>指恶性细胞局限于上皮内尚未穿破基底膜浸润周围正常组织的癌细胞新生物。原位癌必须经对固</w:t>
      </w:r>
    </w:p>
    <w:p>
      <w:pPr>
        <w:pStyle w:val="BodyText"/>
        <w:spacing w:line="262" w:lineRule="exact"/>
        <w:ind w:left="317"/>
      </w:pPr>
      <w:r>
        <w:rPr/>
        <w:t>定活组织的组织病理学检查明确诊断。被保险人必须己经接受了针对原位癌病灶的积极治疗。</w:t>
      </w:r>
    </w:p>
    <w:p>
      <w:pPr>
        <w:spacing w:after="0" w:line="262" w:lineRule="exact"/>
        <w:sectPr>
          <w:pgSz w:w="11910" w:h="16160"/>
          <w:pgMar w:header="0" w:footer="993" w:top="1360" w:bottom="124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3283"/>
        <w:gridCol w:w="6532"/>
      </w:tblGrid>
      <w:tr>
        <w:trPr>
          <w:trHeight w:val="1200" w:hRule="atLeast"/>
        </w:trPr>
        <w:tc>
          <w:tcPr>
            <w:tcW w:w="489" w:type="dxa"/>
          </w:tcPr>
          <w:p>
            <w:pPr>
              <w:pStyle w:val="TableParagraph"/>
              <w:ind w:left="0"/>
              <w:rPr>
                <w:rFonts w:ascii="Times New Roman"/>
                <w:sz w:val="20"/>
              </w:rPr>
            </w:pPr>
          </w:p>
        </w:tc>
        <w:tc>
          <w:tcPr>
            <w:tcW w:w="3283" w:type="dxa"/>
          </w:tcPr>
          <w:p>
            <w:pPr>
              <w:pStyle w:val="TableParagraph"/>
              <w:ind w:left="0"/>
              <w:rPr>
                <w:rFonts w:ascii="Times New Roman"/>
                <w:sz w:val="20"/>
              </w:rPr>
            </w:pPr>
          </w:p>
        </w:tc>
        <w:tc>
          <w:tcPr>
            <w:tcW w:w="6532" w:type="dxa"/>
          </w:tcPr>
          <w:p>
            <w:pPr>
              <w:pStyle w:val="TableParagraph"/>
              <w:spacing w:line="234" w:lineRule="exact"/>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21"/>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3"/>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pStyle w:val="TableParagraph"/>
              <w:spacing w:line="256" w:lineRule="auto" w:before="20"/>
              <w:ind w:right="1367"/>
              <w:rPr>
                <w:b/>
                <w:sz w:val="21"/>
              </w:rPr>
            </w:pPr>
            <w:r>
              <w:rPr>
                <w:b/>
                <w:sz w:val="21"/>
              </w:rPr>
              <w:t>（</w:t>
            </w:r>
            <w:r>
              <w:rPr>
                <w:rFonts w:ascii="Times New Roman" w:eastAsia="Times New Roman"/>
                <w:b/>
                <w:sz w:val="21"/>
              </w:rPr>
              <w:t>6</w:t>
            </w:r>
            <w:r>
              <w:rPr>
                <w:b/>
                <w:sz w:val="21"/>
              </w:rPr>
              <w:t>）感染艾滋病病毒或患艾滋病期间所患恶性肿瘤。注：如果为女性重大疾病保险，则不包括此项。</w:t>
            </w:r>
          </w:p>
        </w:tc>
      </w:tr>
      <w:tr>
        <w:trPr>
          <w:trHeight w:val="2504" w:hRule="atLeast"/>
        </w:trPr>
        <w:tc>
          <w:tcPr>
            <w:tcW w:w="489" w:type="dxa"/>
          </w:tcPr>
          <w:p>
            <w:pPr>
              <w:pStyle w:val="TableParagraph"/>
              <w:spacing w:before="38"/>
              <w:ind w:left="180" w:right="111"/>
              <w:jc w:val="center"/>
              <w:rPr>
                <w:rFonts w:ascii="Times New Roman"/>
                <w:sz w:val="21"/>
              </w:rPr>
            </w:pPr>
            <w:r>
              <w:rPr>
                <w:rFonts w:ascii="Times New Roman"/>
                <w:sz w:val="21"/>
              </w:rPr>
              <w:t>2.</w:t>
            </w:r>
          </w:p>
        </w:tc>
        <w:tc>
          <w:tcPr>
            <w:tcW w:w="3283" w:type="dxa"/>
          </w:tcPr>
          <w:p>
            <w:pPr>
              <w:pStyle w:val="TableParagraph"/>
              <w:spacing w:line="266" w:lineRule="exact"/>
              <w:ind w:left="131"/>
              <w:rPr>
                <w:sz w:val="21"/>
              </w:rPr>
            </w:pPr>
            <w:r>
              <w:rPr>
                <w:sz w:val="21"/>
              </w:rPr>
              <w:t>急性心肌梗塞</w:t>
            </w:r>
          </w:p>
        </w:tc>
        <w:tc>
          <w:tcPr>
            <w:tcW w:w="6532" w:type="dxa"/>
          </w:tcPr>
          <w:p>
            <w:pPr>
              <w:pStyle w:val="TableParagraph"/>
              <w:spacing w:line="273" w:lineRule="auto"/>
              <w:ind w:right="200"/>
              <w:rPr>
                <w:sz w:val="21"/>
              </w:rPr>
            </w:pPr>
            <w:r>
              <w:rPr>
                <w:sz w:val="21"/>
              </w:rPr>
              <w:t>指因冠状动脉阻塞导致的相应区域供血不足造成部分心肌坏死。须满足下列至少三项条件：</w:t>
            </w:r>
          </w:p>
          <w:p>
            <w:pPr>
              <w:pStyle w:val="TableParagraph"/>
              <w:spacing w:before="16"/>
              <w:rPr>
                <w:sz w:val="21"/>
              </w:rPr>
            </w:pPr>
            <w:r>
              <w:rPr>
                <w:sz w:val="21"/>
              </w:rPr>
              <w:t>（</w:t>
            </w:r>
            <w:r>
              <w:rPr>
                <w:rFonts w:ascii="Times New Roman" w:eastAsia="Times New Roman"/>
                <w:sz w:val="21"/>
              </w:rPr>
              <w:t>1</w:t>
            </w:r>
            <w:r>
              <w:rPr>
                <w:sz w:val="21"/>
              </w:rPr>
              <w:t>）典型临床表现，例如急性胸痛等；</w:t>
            </w:r>
          </w:p>
          <w:p>
            <w:pPr>
              <w:pStyle w:val="TableParagraph"/>
              <w:spacing w:before="20"/>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right="125"/>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right="147"/>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176" w:hRule="atLeast"/>
        </w:trPr>
        <w:tc>
          <w:tcPr>
            <w:tcW w:w="489" w:type="dxa"/>
          </w:tcPr>
          <w:p>
            <w:pPr>
              <w:pStyle w:val="TableParagraph"/>
              <w:spacing w:before="30"/>
              <w:ind w:left="180" w:right="111"/>
              <w:jc w:val="center"/>
              <w:rPr>
                <w:rFonts w:ascii="Times New Roman"/>
                <w:sz w:val="21"/>
              </w:rPr>
            </w:pPr>
            <w:r>
              <w:rPr>
                <w:rFonts w:ascii="Times New Roman"/>
                <w:sz w:val="21"/>
              </w:rPr>
              <w:t>3.</w:t>
            </w:r>
          </w:p>
        </w:tc>
        <w:tc>
          <w:tcPr>
            <w:tcW w:w="3283" w:type="dxa"/>
          </w:tcPr>
          <w:p>
            <w:pPr>
              <w:pStyle w:val="TableParagraph"/>
              <w:spacing w:line="258" w:lineRule="exact"/>
              <w:ind w:left="131"/>
              <w:rPr>
                <w:sz w:val="21"/>
              </w:rPr>
            </w:pPr>
            <w:r>
              <w:rPr>
                <w:sz w:val="21"/>
              </w:rPr>
              <w:t>脑中风后遗症</w:t>
            </w:r>
          </w:p>
        </w:tc>
        <w:tc>
          <w:tcPr>
            <w:tcW w:w="6532" w:type="dxa"/>
          </w:tcPr>
          <w:p>
            <w:pPr>
              <w:pStyle w:val="TableParagraph"/>
              <w:spacing w:line="258" w:lineRule="exact"/>
              <w:rPr>
                <w:sz w:val="21"/>
              </w:rPr>
            </w:pPr>
            <w:r>
              <w:rPr>
                <w:sz w:val="21"/>
              </w:rPr>
              <w:t>指因脑血管的突发病变引起脑血管出血、栓塞或梗塞，并导致神经</w:t>
            </w:r>
          </w:p>
          <w:p>
            <w:pPr>
              <w:pStyle w:val="TableParagraph"/>
              <w:spacing w:before="37"/>
              <w:rPr>
                <w:sz w:val="21"/>
              </w:rPr>
            </w:pPr>
            <w:r>
              <w:rPr>
                <w:sz w:val="21"/>
              </w:rPr>
              <w:t>系统永久性的功能障碍。神经系统永久性的功能障碍，指疾病确诊</w:t>
            </w:r>
          </w:p>
          <w:p>
            <w:pPr>
              <w:pStyle w:val="TableParagraph"/>
              <w:spacing w:before="37"/>
              <w:rPr>
                <w:sz w:val="21"/>
              </w:rPr>
            </w:pPr>
            <w:r>
              <w:rPr>
                <w:rFonts w:ascii="Times New Roman" w:eastAsia="Times New Roman"/>
                <w:sz w:val="21"/>
              </w:rPr>
              <w:t>180 </w:t>
            </w:r>
            <w:r>
              <w:rPr>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30</w:t>
            </w:r>
            <w:r>
              <w:rPr>
                <w:rFonts w:ascii="Times New Roman" w:eastAsia="Times New Roman"/>
                <w:b/>
                <w:sz w:val="21"/>
                <w:vertAlign w:val="baseline"/>
              </w:rPr>
            </w:r>
            <w:r>
              <w:rPr>
                <w:sz w:val="21"/>
                <w:vertAlign w:val="baseline"/>
              </w:rPr>
              <w:t>；</w:t>
            </w:r>
          </w:p>
          <w:p>
            <w:pPr>
              <w:pStyle w:val="TableParagraph"/>
              <w:spacing w:before="2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31</w:t>
            </w:r>
            <w:r>
              <w:rPr>
                <w:rFonts w:ascii="Times New Roman" w:eastAsia="Times New Roman"/>
                <w:b/>
                <w:sz w:val="21"/>
                <w:vertAlign w:val="baseline"/>
              </w:rPr>
            </w:r>
            <w:r>
              <w:rPr>
                <w:sz w:val="21"/>
                <w:vertAlign w:val="baseline"/>
              </w:rPr>
              <w:t>；</w:t>
            </w:r>
          </w:p>
          <w:p>
            <w:pPr>
              <w:pStyle w:val="TableParagraph"/>
              <w:spacing w:line="256" w:lineRule="auto" w:before="21"/>
              <w:ind w:right="201"/>
              <w:rPr>
                <w:sz w:val="21"/>
              </w:rPr>
            </w:pPr>
            <w:r>
              <w:rPr>
                <w:w w:val="100"/>
                <w:sz w:val="21"/>
              </w:rPr>
              <w:t>（</w:t>
            </w:r>
            <w:r>
              <w:rPr>
                <w:rFonts w:ascii="Times New Roman" w:eastAsia="Times New Roman"/>
                <w:w w:val="100"/>
                <w:sz w:val="21"/>
              </w:rPr>
              <w:t>3</w:t>
            </w:r>
            <w:r>
              <w:rPr>
                <w:spacing w:val="-92"/>
                <w:w w:val="100"/>
                <w:sz w:val="21"/>
              </w:rPr>
              <w:t>）</w:t>
            </w:r>
            <w:r>
              <w:rPr>
                <w:spacing w:val="-3"/>
                <w:w w:val="100"/>
                <w:sz w:val="21"/>
              </w:rPr>
              <w:t>自主生活能力完全丧失</w:t>
            </w:r>
            <w:r>
              <w:rPr>
                <w:spacing w:val="-48"/>
                <w:w w:val="59"/>
                <w:sz w:val="21"/>
              </w:rPr>
              <w:t>，</w:t>
            </w:r>
            <w:r>
              <w:rPr>
                <w:spacing w:val="-3"/>
                <w:w w:val="100"/>
                <w:sz w:val="21"/>
              </w:rPr>
              <w:t>无法独立完成</w:t>
            </w:r>
            <w:r>
              <w:rPr>
                <w:b/>
                <w:spacing w:val="-2"/>
                <w:w w:val="100"/>
                <w:sz w:val="21"/>
              </w:rPr>
              <w:t>六项基本日常生活活动</w:t>
            </w:r>
            <w:r>
              <w:rPr>
                <w:rFonts w:ascii="Times New Roman" w:eastAsia="Times New Roman"/>
                <w:b/>
                <w:w w:val="97"/>
                <w:sz w:val="21"/>
                <w:vertAlign w:val="superscript"/>
              </w:rPr>
              <w:t>32</w:t>
            </w:r>
            <w:r>
              <w:rPr>
                <w:rFonts w:ascii="Times New Roman" w:eastAsia="Times New Roman"/>
                <w:b/>
                <w:w w:val="97"/>
                <w:sz w:val="21"/>
                <w:vertAlign w:val="baseline"/>
              </w:rPr>
            </w:r>
            <w:r>
              <w:rPr>
                <w:spacing w:val="-3"/>
                <w:sz w:val="21"/>
                <w:vertAlign w:val="baseline"/>
              </w:rPr>
              <w:t>中的三项或三项以上。</w:t>
            </w:r>
          </w:p>
        </w:tc>
      </w:tr>
      <w:tr>
        <w:trPr>
          <w:trHeight w:val="1560" w:hRule="atLeast"/>
        </w:trPr>
        <w:tc>
          <w:tcPr>
            <w:tcW w:w="489" w:type="dxa"/>
          </w:tcPr>
          <w:p>
            <w:pPr>
              <w:pStyle w:val="TableParagraph"/>
              <w:spacing w:before="38"/>
              <w:ind w:left="180" w:right="111"/>
              <w:jc w:val="center"/>
              <w:rPr>
                <w:rFonts w:ascii="Times New Roman"/>
                <w:sz w:val="21"/>
              </w:rPr>
            </w:pPr>
            <w:r>
              <w:rPr>
                <w:rFonts w:ascii="Times New Roman"/>
                <w:sz w:val="21"/>
              </w:rPr>
              <w:t>4.</w:t>
            </w:r>
          </w:p>
        </w:tc>
        <w:tc>
          <w:tcPr>
            <w:tcW w:w="3283" w:type="dxa"/>
          </w:tcPr>
          <w:p>
            <w:pPr>
              <w:pStyle w:val="TableParagraph"/>
              <w:spacing w:line="273" w:lineRule="auto"/>
              <w:ind w:left="131" w:right="204"/>
              <w:rPr>
                <w:sz w:val="21"/>
              </w:rPr>
            </w:pPr>
            <w:r>
              <w:rPr>
                <w:sz w:val="21"/>
              </w:rPr>
              <w:t>重大器官移植术或造血干细胞移植术</w:t>
            </w:r>
          </w:p>
        </w:tc>
        <w:tc>
          <w:tcPr>
            <w:tcW w:w="6532" w:type="dxa"/>
          </w:tcPr>
          <w:p>
            <w:pPr>
              <w:pStyle w:val="TableParagraph"/>
              <w:spacing w:line="273" w:lineRule="auto"/>
              <w:ind w:right="303"/>
              <w:rPr>
                <w:sz w:val="21"/>
              </w:rPr>
            </w:pPr>
            <w:r>
              <w:rPr>
                <w:spacing w:val="-9"/>
                <w:sz w:val="21"/>
              </w:rPr>
              <w:t>重大器官移植术，指因相应器官功能衰竭，已经实施了肾脏、肝脏</w:t>
            </w:r>
            <w:r>
              <w:rPr>
                <w:spacing w:val="-5"/>
                <w:sz w:val="21"/>
              </w:rPr>
              <w:t>心脏或肺脏的异体移植手术。</w:t>
            </w:r>
          </w:p>
          <w:p>
            <w:pPr>
              <w:pStyle w:val="TableParagraph"/>
              <w:spacing w:line="312" w:lineRule="exact" w:before="12"/>
              <w:ind w:right="20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8" w:hRule="atLeast"/>
        </w:trPr>
        <w:tc>
          <w:tcPr>
            <w:tcW w:w="489" w:type="dxa"/>
          </w:tcPr>
          <w:p>
            <w:pPr>
              <w:pStyle w:val="TableParagraph"/>
              <w:spacing w:before="38"/>
              <w:ind w:left="180" w:right="111"/>
              <w:jc w:val="center"/>
              <w:rPr>
                <w:rFonts w:ascii="Times New Roman"/>
                <w:sz w:val="21"/>
              </w:rPr>
            </w:pPr>
            <w:r>
              <w:rPr>
                <w:rFonts w:ascii="Times New Roman"/>
                <w:sz w:val="21"/>
              </w:rPr>
              <w:t>5.</w:t>
            </w:r>
          </w:p>
        </w:tc>
        <w:tc>
          <w:tcPr>
            <w:tcW w:w="3283" w:type="dxa"/>
          </w:tcPr>
          <w:p>
            <w:pPr>
              <w:pStyle w:val="TableParagraph"/>
              <w:spacing w:line="273" w:lineRule="auto"/>
              <w:ind w:left="131" w:right="204"/>
              <w:rPr>
                <w:sz w:val="21"/>
              </w:rPr>
            </w:pPr>
            <w:r>
              <w:rPr>
                <w:sz w:val="21"/>
              </w:rPr>
              <w:t>冠状动脉搭桥术（或称冠状动脉旁路移植术）</w:t>
            </w:r>
          </w:p>
        </w:tc>
        <w:tc>
          <w:tcPr>
            <w:tcW w:w="6532" w:type="dxa"/>
          </w:tcPr>
          <w:p>
            <w:pPr>
              <w:pStyle w:val="TableParagraph"/>
              <w:spacing w:line="273" w:lineRule="auto"/>
              <w:ind w:right="200"/>
              <w:rPr>
                <w:sz w:val="21"/>
              </w:rPr>
            </w:pPr>
            <w:r>
              <w:rPr>
                <w:sz w:val="21"/>
              </w:rPr>
              <w:t>指为治疗严重的冠心病，实际实施了开胸进行的冠状动脉血管旁路移植的手术。</w:t>
            </w:r>
          </w:p>
          <w:p>
            <w:pPr>
              <w:pStyle w:val="TableParagraph"/>
              <w:spacing w:line="312" w:lineRule="exact" w:before="12"/>
              <w:ind w:right="200"/>
              <w:rPr>
                <w:b/>
                <w:sz w:val="21"/>
              </w:rPr>
            </w:pPr>
            <w:r>
              <w:rPr>
                <w:b/>
                <w:sz w:val="21"/>
              </w:rPr>
              <w:t>冠状动脉支架植入术、心导管球囊扩张术、激光射频技术及其他非开胸的介入手术、腔镜手术不在保障范围内。</w:t>
            </w:r>
          </w:p>
        </w:tc>
      </w:tr>
      <w:tr>
        <w:trPr>
          <w:trHeight w:val="631" w:hRule="atLeast"/>
        </w:trPr>
        <w:tc>
          <w:tcPr>
            <w:tcW w:w="489" w:type="dxa"/>
          </w:tcPr>
          <w:p>
            <w:pPr>
              <w:pStyle w:val="TableParagraph"/>
              <w:spacing w:before="38"/>
              <w:ind w:left="180" w:right="111"/>
              <w:jc w:val="center"/>
              <w:rPr>
                <w:rFonts w:ascii="Times New Roman"/>
                <w:sz w:val="21"/>
              </w:rPr>
            </w:pPr>
            <w:r>
              <w:rPr>
                <w:rFonts w:ascii="Times New Roman"/>
                <w:sz w:val="21"/>
              </w:rPr>
              <w:t>6.</w:t>
            </w:r>
          </w:p>
        </w:tc>
        <w:tc>
          <w:tcPr>
            <w:tcW w:w="3283" w:type="dxa"/>
          </w:tcPr>
          <w:p>
            <w:pPr>
              <w:pStyle w:val="TableParagraph"/>
              <w:spacing w:line="273" w:lineRule="auto"/>
              <w:ind w:left="131" w:right="204"/>
              <w:rPr>
                <w:sz w:val="21"/>
              </w:rPr>
            </w:pPr>
            <w:r>
              <w:rPr>
                <w:sz w:val="21"/>
              </w:rPr>
              <w:t>终末期肾病（或称慢性肾功能衰竭尿毒症期）</w:t>
            </w:r>
          </w:p>
        </w:tc>
        <w:tc>
          <w:tcPr>
            <w:tcW w:w="6532" w:type="dxa"/>
          </w:tcPr>
          <w:p>
            <w:pPr>
              <w:pStyle w:val="TableParagraph"/>
              <w:spacing w:line="266" w:lineRule="exact"/>
              <w:rPr>
                <w:sz w:val="21"/>
              </w:rPr>
            </w:pPr>
            <w:r>
              <w:rPr>
                <w:sz w:val="21"/>
              </w:rPr>
              <w:t>指双肾功能慢性不可逆性衰竭，达到尿毒症期，经诊断后已经进行</w:t>
            </w:r>
          </w:p>
          <w:p>
            <w:pPr>
              <w:pStyle w:val="TableParagraph"/>
              <w:spacing w:before="37"/>
              <w:rPr>
                <w:sz w:val="21"/>
              </w:rPr>
            </w:pPr>
            <w:r>
              <w:rPr>
                <w:sz w:val="21"/>
              </w:rPr>
              <w:t>了至少 </w:t>
            </w:r>
            <w:r>
              <w:rPr>
                <w:rFonts w:ascii="Times New Roman" w:eastAsia="Times New Roman"/>
                <w:sz w:val="21"/>
              </w:rPr>
              <w:t>90 </w:t>
            </w:r>
            <w:r>
              <w:rPr>
                <w:sz w:val="21"/>
              </w:rPr>
              <w:t>天的规律性透析治疗或实施了肾脏移植手术。</w:t>
            </w:r>
          </w:p>
        </w:tc>
      </w:tr>
      <w:tr>
        <w:trPr>
          <w:trHeight w:val="616" w:hRule="atLeast"/>
        </w:trPr>
        <w:tc>
          <w:tcPr>
            <w:tcW w:w="489" w:type="dxa"/>
          </w:tcPr>
          <w:p>
            <w:pPr>
              <w:pStyle w:val="TableParagraph"/>
              <w:spacing w:before="30"/>
              <w:ind w:left="180" w:right="111"/>
              <w:jc w:val="center"/>
              <w:rPr>
                <w:rFonts w:ascii="Times New Roman"/>
                <w:sz w:val="21"/>
              </w:rPr>
            </w:pPr>
            <w:r>
              <w:rPr>
                <w:rFonts w:ascii="Times New Roman"/>
                <w:sz w:val="21"/>
              </w:rPr>
              <w:t>7.</w:t>
            </w:r>
          </w:p>
        </w:tc>
        <w:tc>
          <w:tcPr>
            <w:tcW w:w="3283" w:type="dxa"/>
          </w:tcPr>
          <w:p>
            <w:pPr>
              <w:pStyle w:val="TableParagraph"/>
              <w:spacing w:line="258" w:lineRule="exact"/>
              <w:ind w:left="131"/>
              <w:rPr>
                <w:sz w:val="21"/>
              </w:rPr>
            </w:pPr>
            <w:r>
              <w:rPr>
                <w:sz w:val="21"/>
              </w:rPr>
              <w:t>多个肢体缺失</w:t>
            </w:r>
          </w:p>
        </w:tc>
        <w:tc>
          <w:tcPr>
            <w:tcW w:w="6532" w:type="dxa"/>
          </w:tcPr>
          <w:p>
            <w:pPr>
              <w:pStyle w:val="TableParagraph"/>
              <w:spacing w:line="258" w:lineRule="exact"/>
              <w:rPr>
                <w:sz w:val="21"/>
              </w:rPr>
            </w:pPr>
            <w:r>
              <w:rPr>
                <w:sz w:val="21"/>
              </w:rPr>
              <w:t>指因疾病或意外伤害导致两个或两个以上肢体自腕关节或踝关节近</w:t>
            </w:r>
          </w:p>
          <w:p>
            <w:pPr>
              <w:pStyle w:val="TableParagraph"/>
              <w:spacing w:before="37"/>
              <w:rPr>
                <w:sz w:val="21"/>
              </w:rPr>
            </w:pPr>
            <w:r>
              <w:rPr>
                <w:sz w:val="21"/>
              </w:rPr>
              <w:t>端（靠近躯干端）以上完全性断离。</w:t>
            </w:r>
          </w:p>
        </w:tc>
      </w:tr>
      <w:tr>
        <w:trPr>
          <w:trHeight w:val="1218" w:hRule="atLeast"/>
        </w:trPr>
        <w:tc>
          <w:tcPr>
            <w:tcW w:w="489" w:type="dxa"/>
          </w:tcPr>
          <w:p>
            <w:pPr>
              <w:pStyle w:val="TableParagraph"/>
              <w:spacing w:before="38"/>
              <w:ind w:left="180" w:right="111"/>
              <w:jc w:val="center"/>
              <w:rPr>
                <w:rFonts w:ascii="Times New Roman"/>
                <w:sz w:val="21"/>
              </w:rPr>
            </w:pPr>
            <w:r>
              <w:rPr>
                <w:rFonts w:ascii="Times New Roman"/>
                <w:sz w:val="21"/>
              </w:rPr>
              <w:t>8.</w:t>
            </w:r>
          </w:p>
        </w:tc>
        <w:tc>
          <w:tcPr>
            <w:tcW w:w="3283" w:type="dxa"/>
          </w:tcPr>
          <w:p>
            <w:pPr>
              <w:pStyle w:val="TableParagraph"/>
              <w:spacing w:line="266" w:lineRule="exact"/>
              <w:ind w:left="131"/>
              <w:rPr>
                <w:sz w:val="21"/>
              </w:rPr>
            </w:pPr>
            <w:r>
              <w:rPr>
                <w:sz w:val="21"/>
              </w:rPr>
              <w:t>急性或亚急性重症肝炎</w:t>
            </w:r>
          </w:p>
        </w:tc>
        <w:tc>
          <w:tcPr>
            <w:tcW w:w="6532" w:type="dxa"/>
          </w:tcPr>
          <w:p>
            <w:pPr>
              <w:pStyle w:val="TableParagraph"/>
              <w:spacing w:line="273" w:lineRule="auto"/>
              <w:ind w:right="232"/>
              <w:rPr>
                <w:sz w:val="21"/>
              </w:rPr>
            </w:pPr>
            <w:r>
              <w:rPr>
                <w:sz w:val="21"/>
              </w:rPr>
              <w:t>指因肝炎病毒感染引起肝脏组织弥漫性坏死，导致急性肝功能衰竭且经血清学或病毒学检查证实，并须满足下列全部条件：</w:t>
            </w:r>
          </w:p>
          <w:p>
            <w:pPr>
              <w:pStyle w:val="TableParagraph"/>
              <w:spacing w:before="17"/>
              <w:rPr>
                <w:sz w:val="21"/>
              </w:rPr>
            </w:pPr>
            <w:r>
              <w:rPr>
                <w:sz w:val="21"/>
              </w:rPr>
              <w:t>（</w:t>
            </w:r>
            <w:r>
              <w:rPr>
                <w:rFonts w:ascii="Times New Roman" w:eastAsia="Times New Roman"/>
                <w:sz w:val="21"/>
              </w:rPr>
              <w:t>1</w:t>
            </w:r>
            <w:r>
              <w:rPr>
                <w:sz w:val="21"/>
              </w:rPr>
              <w:t>）重度黄疸或黄疸迅速加重；</w:t>
            </w:r>
          </w:p>
          <w:p>
            <w:pPr>
              <w:pStyle w:val="TableParagraph"/>
              <w:spacing w:line="271" w:lineRule="exact" w:before="21"/>
              <w:rPr>
                <w:sz w:val="21"/>
              </w:rPr>
            </w:pPr>
            <w:r>
              <w:rPr>
                <w:sz w:val="21"/>
              </w:rPr>
              <w:t>（</w:t>
            </w:r>
            <w:r>
              <w:rPr>
                <w:rFonts w:ascii="Times New Roman" w:eastAsia="Times New Roman"/>
                <w:sz w:val="21"/>
              </w:rPr>
              <w:t>2</w:t>
            </w:r>
            <w:r>
              <w:rPr>
                <w:sz w:val="21"/>
              </w:rPr>
              <w:t>）肝性脑病；</w:t>
            </w:r>
          </w:p>
        </w:tc>
      </w:tr>
    </w:tbl>
    <w:p>
      <w:pPr>
        <w:pStyle w:val="BodyText"/>
        <w:spacing w:before="5"/>
        <w:ind w:left="0"/>
        <w:rPr>
          <w:sz w:val="16"/>
        </w:rPr>
      </w:pPr>
      <w:r>
        <w:rPr/>
        <w:pict>
          <v:line style="position:absolute;mso-position-horizontal-relative:page;mso-position-vertical-relative:paragraph;z-index:1264;mso-wrap-distance-left:0;mso-wrap-distance-right:0" from="53.880001pt,12.945605pt" to="197.930001pt,12.945605pt" stroked="true" strokeweight=".48004pt" strokecolor="#000000">
            <v:stroke dashstyle="solid"/>
            <w10:wrap type="topAndBottom"/>
          </v:line>
        </w:pict>
      </w:r>
    </w:p>
    <w:p>
      <w:pPr>
        <w:spacing w:line="320" w:lineRule="exact" w:before="0"/>
        <w:ind w:left="317" w:right="0" w:firstLine="0"/>
        <w:jc w:val="left"/>
        <w:rPr>
          <w:sz w:val="21"/>
        </w:rPr>
      </w:pPr>
      <w:r>
        <w:rPr>
          <w:rFonts w:ascii="Times New Roman" w:eastAsia="Times New Roman"/>
          <w:position w:val="10"/>
          <w:sz w:val="14"/>
        </w:rPr>
        <w:t>30</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17"/>
      </w:pPr>
      <w:r>
        <w:rPr/>
        <w:t>个上肢或包括髋关节的整个下肢。</w:t>
      </w:r>
    </w:p>
    <w:p>
      <w:pPr>
        <w:spacing w:line="318" w:lineRule="exact" w:before="0"/>
        <w:ind w:left="317" w:right="0" w:firstLine="0"/>
        <w:jc w:val="left"/>
        <w:rPr>
          <w:sz w:val="21"/>
        </w:rPr>
      </w:pPr>
      <w:r>
        <w:rPr>
          <w:rFonts w:ascii="Times New Roman" w:eastAsia="Times New Roman"/>
          <w:position w:val="10"/>
          <w:sz w:val="14"/>
        </w:rPr>
        <w:t>31</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317" w:right="32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97" w:lineRule="exact" w:before="11"/>
        <w:ind w:left="317" w:right="0" w:firstLine="0"/>
        <w:jc w:val="left"/>
        <w:rPr>
          <w:sz w:val="21"/>
        </w:rPr>
      </w:pPr>
      <w:r>
        <w:rPr>
          <w:rFonts w:ascii="Times New Roman" w:eastAsia="Times New Roman"/>
          <w:position w:val="10"/>
          <w:sz w:val="14"/>
        </w:rPr>
        <w:t>32</w:t>
      </w:r>
      <w:r>
        <w:rPr>
          <w:rFonts w:ascii="Microsoft JhengHei" w:eastAsia="Microsoft JhengHei" w:hint="eastAsia"/>
          <w:b/>
          <w:sz w:val="21"/>
        </w:rPr>
        <w:t>六项基本日常生活活动：</w:t>
      </w:r>
      <w:r>
        <w:rPr>
          <w:sz w:val="21"/>
        </w:rPr>
        <w:t>指食物摄取、大小便始末、穿脱衣服、起居、步行、入浴。</w:t>
      </w:r>
    </w:p>
    <w:p>
      <w:pPr>
        <w:spacing w:after="0" w:line="297" w:lineRule="exact"/>
        <w:jc w:val="left"/>
        <w:rPr>
          <w:sz w:val="21"/>
        </w:rPr>
        <w:sectPr>
          <w:pgSz w:w="11910" w:h="16160"/>
          <w:pgMar w:header="0" w:footer="993" w:top="1420" w:bottom="124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20"/>
        <w:gridCol w:w="6745"/>
      </w:tblGrid>
      <w:tr>
        <w:trPr>
          <w:trHeight w:val="584" w:hRule="atLeast"/>
        </w:trPr>
        <w:tc>
          <w:tcPr>
            <w:tcW w:w="542" w:type="dxa"/>
          </w:tcPr>
          <w:p>
            <w:pPr>
              <w:pStyle w:val="TableParagraph"/>
              <w:ind w:left="0"/>
              <w:rPr>
                <w:rFonts w:ascii="Times New Roman"/>
                <w:sz w:val="20"/>
              </w:rPr>
            </w:pPr>
          </w:p>
        </w:tc>
        <w:tc>
          <w:tcPr>
            <w:tcW w:w="3020" w:type="dxa"/>
          </w:tcPr>
          <w:p>
            <w:pPr>
              <w:pStyle w:val="TableParagraph"/>
              <w:ind w:left="0"/>
              <w:rPr>
                <w:rFonts w:ascii="Times New Roman"/>
                <w:sz w:val="20"/>
              </w:rPr>
            </w:pPr>
          </w:p>
        </w:tc>
        <w:tc>
          <w:tcPr>
            <w:tcW w:w="6745" w:type="dxa"/>
          </w:tcPr>
          <w:p>
            <w:pPr>
              <w:pStyle w:val="TableParagraph"/>
              <w:spacing w:line="234" w:lineRule="exact"/>
              <w:ind w:left="41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418"/>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42" w:type="dxa"/>
          </w:tcPr>
          <w:p>
            <w:pPr>
              <w:pStyle w:val="TableParagraph"/>
              <w:spacing w:before="30"/>
              <w:ind w:left="200"/>
              <w:rPr>
                <w:rFonts w:ascii="Times New Roman"/>
                <w:sz w:val="21"/>
              </w:rPr>
            </w:pPr>
            <w:r>
              <w:rPr>
                <w:rFonts w:ascii="Times New Roman"/>
                <w:sz w:val="21"/>
              </w:rPr>
              <w:t>9.</w:t>
            </w:r>
          </w:p>
        </w:tc>
        <w:tc>
          <w:tcPr>
            <w:tcW w:w="3020" w:type="dxa"/>
          </w:tcPr>
          <w:p>
            <w:pPr>
              <w:pStyle w:val="TableParagraph"/>
              <w:spacing w:line="258" w:lineRule="exact"/>
              <w:ind w:left="78"/>
              <w:rPr>
                <w:sz w:val="21"/>
              </w:rPr>
            </w:pPr>
            <w:r>
              <w:rPr>
                <w:sz w:val="21"/>
              </w:rPr>
              <w:t>良性脑肿瘤</w:t>
            </w:r>
          </w:p>
        </w:tc>
        <w:tc>
          <w:tcPr>
            <w:tcW w:w="6745" w:type="dxa"/>
          </w:tcPr>
          <w:p>
            <w:pPr>
              <w:pStyle w:val="TableParagraph"/>
              <w:spacing w:line="258" w:lineRule="exact"/>
              <w:ind w:left="418"/>
              <w:rPr>
                <w:sz w:val="21"/>
              </w:rPr>
            </w:pPr>
            <w:r>
              <w:rPr>
                <w:sz w:val="21"/>
              </w:rPr>
              <w:t>指脑的良性肿瘤，已经引起颅内压增高，临床表现为视神经乳头水</w:t>
            </w:r>
          </w:p>
          <w:p>
            <w:pPr>
              <w:pStyle w:val="TableParagraph"/>
              <w:spacing w:line="264" w:lineRule="auto" w:before="37"/>
              <w:ind w:left="418" w:right="203"/>
              <w:rPr>
                <w:sz w:val="21"/>
              </w:rPr>
            </w:pPr>
            <w:r>
              <w:rPr>
                <w:spacing w:val="-2"/>
                <w:sz w:val="21"/>
              </w:rPr>
              <w:t>肿、精神症状、癫痫及运动感觉障碍等，并危及生命。须由头颅断</w:t>
            </w:r>
            <w:r>
              <w:rPr>
                <w:spacing w:val="-14"/>
                <w:w w:val="100"/>
                <w:sz w:val="21"/>
              </w:rPr>
              <w:t>层扫描</w:t>
            </w:r>
            <w:r>
              <w:rPr>
                <w:spacing w:val="-3"/>
                <w:w w:val="100"/>
                <w:sz w:val="21"/>
              </w:rPr>
              <w:t>（</w:t>
            </w:r>
            <w:r>
              <w:rPr>
                <w:rFonts w:ascii="Times New Roman" w:eastAsia="Times New Roman"/>
                <w:w w:val="100"/>
                <w:sz w:val="21"/>
              </w:rPr>
              <w:t>CT</w:t>
            </w:r>
            <w:r>
              <w:rPr>
                <w:spacing w:val="-108"/>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w w:val="100"/>
                <w:sz w:val="21"/>
              </w:rPr>
              <w:t>T</w:t>
            </w:r>
            <w:r>
              <w:rPr>
                <w:spacing w:val="-3"/>
                <w:sz w:val="21"/>
              </w:rPr>
              <w:t>等影像学检查证实，并须满足下列至少一项条件：</w:t>
            </w:r>
          </w:p>
          <w:p>
            <w:pPr>
              <w:pStyle w:val="TableParagraph"/>
              <w:spacing w:before="16"/>
              <w:ind w:left="418"/>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418"/>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418"/>
              <w:rPr>
                <w:b/>
                <w:sz w:val="21"/>
              </w:rPr>
            </w:pPr>
            <w:r>
              <w:rPr>
                <w:b/>
                <w:sz w:val="21"/>
              </w:rPr>
              <w:t>脑垂体瘤、脑囊肿、脑血管性疾病不在保障范围内。</w:t>
            </w:r>
          </w:p>
        </w:tc>
      </w:tr>
      <w:tr>
        <w:trPr>
          <w:trHeight w:val="1872" w:hRule="atLeast"/>
        </w:trPr>
        <w:tc>
          <w:tcPr>
            <w:tcW w:w="542" w:type="dxa"/>
          </w:tcPr>
          <w:p>
            <w:pPr>
              <w:pStyle w:val="TableParagraph"/>
              <w:spacing w:before="38"/>
              <w:ind w:left="200"/>
              <w:rPr>
                <w:rFonts w:ascii="Times New Roman"/>
                <w:sz w:val="21"/>
              </w:rPr>
            </w:pPr>
            <w:r>
              <w:rPr>
                <w:rFonts w:ascii="Times New Roman"/>
                <w:sz w:val="21"/>
              </w:rPr>
              <w:t>10.</w:t>
            </w:r>
          </w:p>
        </w:tc>
        <w:tc>
          <w:tcPr>
            <w:tcW w:w="3020" w:type="dxa"/>
          </w:tcPr>
          <w:p>
            <w:pPr>
              <w:pStyle w:val="TableParagraph"/>
              <w:spacing w:line="266" w:lineRule="exact"/>
              <w:ind w:left="78"/>
              <w:rPr>
                <w:sz w:val="21"/>
              </w:rPr>
            </w:pPr>
            <w:r>
              <w:rPr>
                <w:sz w:val="21"/>
              </w:rPr>
              <w:t>慢性肝功能衰竭失代偿期</w:t>
            </w:r>
          </w:p>
        </w:tc>
        <w:tc>
          <w:tcPr>
            <w:tcW w:w="6745" w:type="dxa"/>
          </w:tcPr>
          <w:p>
            <w:pPr>
              <w:pStyle w:val="TableParagraph"/>
              <w:spacing w:line="266" w:lineRule="exact"/>
              <w:ind w:left="418"/>
              <w:rPr>
                <w:sz w:val="21"/>
              </w:rPr>
            </w:pPr>
            <w:r>
              <w:rPr>
                <w:sz w:val="21"/>
              </w:rPr>
              <w:t>指因慢性肝脏疾病导致肝功能衰竭。须满足下列全部条件：</w:t>
            </w:r>
          </w:p>
          <w:p>
            <w:pPr>
              <w:pStyle w:val="TableParagraph"/>
              <w:spacing w:before="37"/>
              <w:ind w:left="418"/>
              <w:rPr>
                <w:sz w:val="21"/>
              </w:rPr>
            </w:pPr>
            <w:r>
              <w:rPr>
                <w:sz w:val="21"/>
              </w:rPr>
              <w:t>（</w:t>
            </w:r>
            <w:r>
              <w:rPr>
                <w:rFonts w:ascii="Times New Roman" w:eastAsia="Times New Roman"/>
                <w:sz w:val="21"/>
              </w:rPr>
              <w:t>1</w:t>
            </w:r>
            <w:r>
              <w:rPr>
                <w:sz w:val="21"/>
              </w:rPr>
              <w:t>）持续性黄疸；</w:t>
            </w:r>
          </w:p>
          <w:p>
            <w:pPr>
              <w:pStyle w:val="TableParagraph"/>
              <w:spacing w:before="21"/>
              <w:ind w:left="418"/>
              <w:rPr>
                <w:sz w:val="21"/>
              </w:rPr>
            </w:pPr>
            <w:r>
              <w:rPr>
                <w:sz w:val="21"/>
              </w:rPr>
              <w:t>（</w:t>
            </w:r>
            <w:r>
              <w:rPr>
                <w:rFonts w:ascii="Times New Roman" w:eastAsia="Times New Roman"/>
                <w:sz w:val="21"/>
              </w:rPr>
              <w:t>2</w:t>
            </w:r>
            <w:r>
              <w:rPr>
                <w:sz w:val="21"/>
              </w:rPr>
              <w:t>）腹水；</w:t>
            </w:r>
          </w:p>
          <w:p>
            <w:pPr>
              <w:pStyle w:val="TableParagraph"/>
              <w:spacing w:before="21"/>
              <w:ind w:left="418"/>
              <w:rPr>
                <w:sz w:val="21"/>
              </w:rPr>
            </w:pPr>
            <w:r>
              <w:rPr>
                <w:sz w:val="21"/>
              </w:rPr>
              <w:t>（</w:t>
            </w:r>
            <w:r>
              <w:rPr>
                <w:rFonts w:ascii="Times New Roman" w:eastAsia="Times New Roman"/>
                <w:sz w:val="21"/>
              </w:rPr>
              <w:t>3</w:t>
            </w:r>
            <w:r>
              <w:rPr>
                <w:sz w:val="21"/>
              </w:rPr>
              <w:t>）肝性脑病；</w:t>
            </w:r>
          </w:p>
          <w:p>
            <w:pPr>
              <w:pStyle w:val="TableParagraph"/>
              <w:spacing w:line="256" w:lineRule="auto" w:before="20"/>
              <w:ind w:left="418" w:right="1175"/>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542" w:type="dxa"/>
          </w:tcPr>
          <w:p>
            <w:pPr>
              <w:pStyle w:val="TableParagraph"/>
              <w:spacing w:before="38"/>
              <w:ind w:left="200"/>
              <w:rPr>
                <w:rFonts w:ascii="Times New Roman"/>
                <w:sz w:val="21"/>
              </w:rPr>
            </w:pPr>
            <w:r>
              <w:rPr>
                <w:rFonts w:ascii="Times New Roman"/>
                <w:sz w:val="21"/>
              </w:rPr>
              <w:t>11.</w:t>
            </w:r>
          </w:p>
        </w:tc>
        <w:tc>
          <w:tcPr>
            <w:tcW w:w="3020" w:type="dxa"/>
          </w:tcPr>
          <w:p>
            <w:pPr>
              <w:pStyle w:val="TableParagraph"/>
              <w:spacing w:line="266" w:lineRule="exact"/>
              <w:ind w:left="78"/>
              <w:rPr>
                <w:sz w:val="21"/>
              </w:rPr>
            </w:pPr>
            <w:r>
              <w:rPr>
                <w:sz w:val="21"/>
              </w:rPr>
              <w:t>脑炎后遗症或脑膜炎后遗症</w:t>
            </w:r>
          </w:p>
        </w:tc>
        <w:tc>
          <w:tcPr>
            <w:tcW w:w="6745" w:type="dxa"/>
          </w:tcPr>
          <w:p>
            <w:pPr>
              <w:pStyle w:val="TableParagraph"/>
              <w:spacing w:line="264" w:lineRule="auto"/>
              <w:ind w:left="418" w:right="198"/>
              <w:jc w:val="both"/>
              <w:rPr>
                <w:sz w:val="21"/>
              </w:rPr>
            </w:pPr>
            <w:r>
              <w:rPr>
                <w:spacing w:val="-2"/>
                <w:sz w:val="21"/>
              </w:rPr>
              <w:t>指因患脑炎或脑膜炎导致的神经系统永久性的功能障碍。神经系统</w:t>
            </w:r>
            <w:r>
              <w:rPr>
                <w:spacing w:val="-5"/>
                <w:sz w:val="21"/>
              </w:rPr>
              <w:t>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25"/>
              <w:ind w:left="41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18"/>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418" w:right="198"/>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w:t>
            </w:r>
            <w:r>
              <w:rPr>
                <w:spacing w:val="-5"/>
                <w:sz w:val="21"/>
              </w:rPr>
              <w:t>中的三项或三项以上。</w:t>
            </w:r>
          </w:p>
        </w:tc>
      </w:tr>
      <w:tr>
        <w:trPr>
          <w:trHeight w:val="1543" w:hRule="atLeast"/>
        </w:trPr>
        <w:tc>
          <w:tcPr>
            <w:tcW w:w="542" w:type="dxa"/>
          </w:tcPr>
          <w:p>
            <w:pPr>
              <w:pStyle w:val="TableParagraph"/>
              <w:spacing w:before="38"/>
              <w:ind w:left="200"/>
              <w:rPr>
                <w:rFonts w:ascii="Times New Roman"/>
                <w:sz w:val="21"/>
              </w:rPr>
            </w:pPr>
            <w:r>
              <w:rPr>
                <w:rFonts w:ascii="Times New Roman"/>
                <w:sz w:val="21"/>
              </w:rPr>
              <w:t>12.</w:t>
            </w:r>
          </w:p>
        </w:tc>
        <w:tc>
          <w:tcPr>
            <w:tcW w:w="3020" w:type="dxa"/>
          </w:tcPr>
          <w:p>
            <w:pPr>
              <w:pStyle w:val="TableParagraph"/>
              <w:spacing w:line="266" w:lineRule="exact"/>
              <w:ind w:left="78"/>
              <w:rPr>
                <w:sz w:val="21"/>
              </w:rPr>
            </w:pPr>
            <w:r>
              <w:rPr>
                <w:sz w:val="21"/>
              </w:rPr>
              <w:t>深度昏迷</w:t>
            </w:r>
          </w:p>
        </w:tc>
        <w:tc>
          <w:tcPr>
            <w:tcW w:w="6745" w:type="dxa"/>
          </w:tcPr>
          <w:p>
            <w:pPr>
              <w:pStyle w:val="TableParagraph"/>
              <w:spacing w:line="256" w:lineRule="auto"/>
              <w:ind w:left="418" w:right="198"/>
              <w:jc w:val="both"/>
              <w:rPr>
                <w:sz w:val="21"/>
              </w:rPr>
            </w:pPr>
            <w:r>
              <w:rPr>
                <w:spacing w:val="2"/>
                <w:sz w:val="21"/>
              </w:rPr>
              <w:t>指因疾病或意外伤害导致意识丧失</w:t>
            </w:r>
            <w:r>
              <w:rPr>
                <w:rFonts w:ascii="Times New Roman" w:eastAsia="Times New Roman"/>
                <w:spacing w:val="2"/>
                <w:sz w:val="21"/>
              </w:rPr>
              <w:t>,</w:t>
            </w:r>
            <w:r>
              <w:rPr>
                <w:spacing w:val="1"/>
                <w:sz w:val="21"/>
              </w:rPr>
              <w:t>对外界刺激和体内需求均无反应</w:t>
            </w:r>
            <w:r>
              <w:rPr>
                <w:rFonts w:ascii="Times New Roman" w:eastAsia="Times New Roman"/>
                <w:spacing w:val="1"/>
                <w:sz w:val="21"/>
              </w:rPr>
              <w:t>,</w:t>
            </w:r>
            <w:r>
              <w:rPr>
                <w:spacing w:val="-4"/>
                <w:sz w:val="21"/>
              </w:rPr>
              <w:t>昏迷程度按照格拉斯哥昏迷分级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pacing w:val="-15"/>
                <w:sz w:val="21"/>
              </w:rPr>
              <w:t>分或 </w:t>
            </w:r>
            <w:r>
              <w:rPr>
                <w:rFonts w:ascii="Times New Roman" w:eastAsia="Times New Roman"/>
                <w:sz w:val="21"/>
              </w:rPr>
              <w:t>5 </w:t>
            </w:r>
            <w:r>
              <w:rPr>
                <w:spacing w:val="-12"/>
                <w:sz w:val="21"/>
              </w:rPr>
              <w:t>分以下，且已经持续使用呼吸机及其他生命维持系统 </w:t>
            </w:r>
            <w:r>
              <w:rPr>
                <w:rFonts w:ascii="Times New Roman" w:eastAsia="Times New Roman"/>
                <w:sz w:val="21"/>
              </w:rPr>
              <w:t>96 </w:t>
            </w:r>
            <w:r>
              <w:rPr>
                <w:sz w:val="21"/>
              </w:rPr>
              <w:t>小时以上。</w:t>
            </w:r>
          </w:p>
          <w:p>
            <w:pPr>
              <w:pStyle w:val="TableParagraph"/>
              <w:spacing w:before="31"/>
              <w:ind w:left="418"/>
              <w:jc w:val="both"/>
              <w:rPr>
                <w:b/>
                <w:sz w:val="21"/>
              </w:rPr>
            </w:pPr>
            <w:r>
              <w:rPr>
                <w:b/>
                <w:sz w:val="21"/>
              </w:rPr>
              <w:t>因酗酒或药物滥用导致的深度昏迷不在保障范围内。</w:t>
            </w:r>
          </w:p>
        </w:tc>
      </w:tr>
      <w:tr>
        <w:trPr>
          <w:trHeight w:val="1577" w:hRule="atLeast"/>
        </w:trPr>
        <w:tc>
          <w:tcPr>
            <w:tcW w:w="542" w:type="dxa"/>
          </w:tcPr>
          <w:p>
            <w:pPr>
              <w:pStyle w:val="TableParagraph"/>
              <w:spacing w:before="55"/>
              <w:ind w:left="200"/>
              <w:rPr>
                <w:rFonts w:ascii="Times New Roman"/>
                <w:sz w:val="21"/>
              </w:rPr>
            </w:pPr>
            <w:r>
              <w:rPr>
                <w:rFonts w:ascii="Times New Roman"/>
                <w:sz w:val="21"/>
              </w:rPr>
              <w:t>13.</w:t>
            </w:r>
          </w:p>
        </w:tc>
        <w:tc>
          <w:tcPr>
            <w:tcW w:w="3020" w:type="dxa"/>
          </w:tcPr>
          <w:p>
            <w:pPr>
              <w:pStyle w:val="TableParagraph"/>
              <w:spacing w:before="8"/>
              <w:ind w:left="78"/>
              <w:rPr>
                <w:b/>
                <w:sz w:val="21"/>
              </w:rPr>
            </w:pPr>
            <w:r>
              <w:rPr>
                <w:sz w:val="21"/>
              </w:rPr>
              <w:t>双耳失聪 </w:t>
            </w:r>
            <w:r>
              <w:rPr>
                <w:rFonts w:ascii="Times New Roman" w:eastAsia="Times New Roman"/>
                <w:sz w:val="21"/>
              </w:rPr>
              <w:t>-  </w:t>
            </w:r>
            <w:r>
              <w:rPr>
                <w:b/>
                <w:sz w:val="21"/>
              </w:rPr>
              <w:t>三岁始理赔</w:t>
            </w:r>
          </w:p>
        </w:tc>
        <w:tc>
          <w:tcPr>
            <w:tcW w:w="6745" w:type="dxa"/>
          </w:tcPr>
          <w:p>
            <w:pPr>
              <w:pStyle w:val="TableParagraph"/>
              <w:spacing w:before="8"/>
              <w:ind w:left="418"/>
              <w:rPr>
                <w:sz w:val="21"/>
              </w:rPr>
            </w:pPr>
            <w:r>
              <w:rPr>
                <w:sz w:val="21"/>
              </w:rPr>
              <w:t>指因疾病或意外伤害导致双耳听力</w:t>
            </w:r>
            <w:r>
              <w:rPr>
                <w:b/>
                <w:sz w:val="21"/>
              </w:rPr>
              <w:t>永久不可逆</w:t>
            </w:r>
            <w:r>
              <w:rPr>
                <w:rFonts w:ascii="Times New Roman" w:eastAsia="Times New Roman"/>
                <w:b/>
                <w:sz w:val="21"/>
                <w:vertAlign w:val="superscript"/>
              </w:rPr>
              <w:t>33</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w:t>
            </w:r>
          </w:p>
          <w:p>
            <w:pPr>
              <w:pStyle w:val="TableParagraph"/>
              <w:spacing w:line="256" w:lineRule="auto" w:before="21"/>
              <w:ind w:left="418" w:right="200"/>
              <w:rPr>
                <w:sz w:val="21"/>
              </w:rPr>
            </w:pPr>
            <w:r>
              <w:rPr>
                <w:spacing w:val="-4"/>
                <w:sz w:val="21"/>
              </w:rPr>
              <w:t>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w:t>
            </w:r>
            <w:r>
              <w:rPr>
                <w:spacing w:val="-3"/>
                <w:sz w:val="21"/>
              </w:rPr>
              <w:t>经纯音听力测试、声导抗检测或听觉诱发电位检测等证实。</w:t>
            </w:r>
          </w:p>
          <w:p>
            <w:pPr>
              <w:pStyle w:val="TableParagraph"/>
              <w:spacing w:line="312" w:lineRule="exact" w:before="18"/>
              <w:ind w:left="418" w:right="203"/>
              <w:rPr>
                <w:sz w:val="21"/>
              </w:rPr>
            </w:pPr>
            <w:r>
              <w:rPr>
                <w:sz w:val="21"/>
              </w:rPr>
              <w:t>被保险人申请理赔时年龄必须在三周岁以上，并且提供理赔当时的听力丧失诊断及检查证据。</w:t>
            </w:r>
          </w:p>
        </w:tc>
      </w:tr>
      <w:tr>
        <w:trPr>
          <w:trHeight w:val="2450" w:hRule="atLeast"/>
        </w:trPr>
        <w:tc>
          <w:tcPr>
            <w:tcW w:w="542" w:type="dxa"/>
          </w:tcPr>
          <w:p>
            <w:pPr>
              <w:pStyle w:val="TableParagraph"/>
              <w:spacing w:before="38"/>
              <w:ind w:left="200"/>
              <w:rPr>
                <w:rFonts w:ascii="Times New Roman"/>
                <w:sz w:val="21"/>
              </w:rPr>
            </w:pPr>
            <w:r>
              <w:rPr>
                <w:rFonts w:ascii="Times New Roman"/>
                <w:sz w:val="21"/>
              </w:rPr>
              <w:t>14.</w:t>
            </w:r>
          </w:p>
        </w:tc>
        <w:tc>
          <w:tcPr>
            <w:tcW w:w="3020" w:type="dxa"/>
          </w:tcPr>
          <w:p>
            <w:pPr>
              <w:pStyle w:val="TableParagraph"/>
              <w:spacing w:line="282" w:lineRule="exact"/>
              <w:ind w:left="78"/>
              <w:rPr>
                <w:b/>
                <w:sz w:val="21"/>
              </w:rPr>
            </w:pPr>
            <w:r>
              <w:rPr>
                <w:sz w:val="21"/>
              </w:rPr>
              <w:t>双目失明 </w:t>
            </w:r>
            <w:r>
              <w:rPr>
                <w:rFonts w:ascii="Times New Roman" w:eastAsia="Times New Roman"/>
                <w:sz w:val="21"/>
              </w:rPr>
              <w:t>-  </w:t>
            </w:r>
            <w:r>
              <w:rPr>
                <w:b/>
                <w:sz w:val="21"/>
              </w:rPr>
              <w:t>三岁始理赔</w:t>
            </w:r>
          </w:p>
        </w:tc>
        <w:tc>
          <w:tcPr>
            <w:tcW w:w="6745" w:type="dxa"/>
          </w:tcPr>
          <w:p>
            <w:pPr>
              <w:pStyle w:val="TableParagraph"/>
              <w:spacing w:line="273" w:lineRule="auto"/>
              <w:ind w:left="418" w:right="203"/>
              <w:rPr>
                <w:sz w:val="21"/>
              </w:rPr>
            </w:pPr>
            <w:r>
              <w:rPr>
                <w:sz w:val="21"/>
              </w:rPr>
              <w:t>指因疾病或意外伤害导致双眼视力永久不可逆性丧失，双眼中较好眼须满足下列至少一项条件：</w:t>
            </w:r>
          </w:p>
          <w:p>
            <w:pPr>
              <w:pStyle w:val="TableParagraph"/>
              <w:spacing w:before="17"/>
              <w:ind w:left="418"/>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418" w:right="200"/>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22"/>
              <w:ind w:left="41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418" w:right="203"/>
              <w:rPr>
                <w:sz w:val="21"/>
              </w:rPr>
            </w:pPr>
            <w:r>
              <w:rPr>
                <w:sz w:val="21"/>
              </w:rPr>
              <w:t>被保险人申请理赔时年龄必须在三周岁以上，并且提供理赔当时的视力丧失诊断及检查证据。</w:t>
            </w:r>
          </w:p>
        </w:tc>
      </w:tr>
    </w:tbl>
    <w:p>
      <w:pPr>
        <w:pStyle w:val="BodyText"/>
        <w:spacing w:before="5"/>
        <w:ind w:left="0"/>
        <w:rPr>
          <w:sz w:val="26"/>
        </w:rPr>
      </w:pPr>
      <w:r>
        <w:rPr/>
        <w:pict>
          <v:line style="position:absolute;mso-position-horizontal-relative:page;mso-position-vertical-relative:paragraph;z-index:1288;mso-wrap-distance-left:0;mso-wrap-distance-right:0" from="53.880001pt,19.500854pt" to="197.930001pt,19.500854pt" stroked="true" strokeweight=".47998pt" strokecolor="#000000">
            <v:stroke dashstyle="solid"/>
            <w10:wrap type="topAndBottom"/>
          </v:line>
        </w:pict>
      </w:r>
    </w:p>
    <w:p>
      <w:pPr>
        <w:pStyle w:val="BodyText"/>
        <w:spacing w:line="220" w:lineRule="auto"/>
        <w:ind w:left="317" w:right="343"/>
      </w:pPr>
      <w:r>
        <w:rPr>
          <w:rFonts w:ascii="Times New Roman" w:eastAsia="Times New Roman"/>
          <w:position w:val="10"/>
          <w:sz w:val="14"/>
        </w:rPr>
        <w:t>33</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20" w:lineRule="auto"/>
        <w:sectPr>
          <w:pgSz w:w="11910" w:h="16160"/>
          <w:pgMar w:header="0" w:footer="993" w:top="1420" w:bottom="124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55"/>
        <w:gridCol w:w="6708"/>
      </w:tblGrid>
      <w:tr>
        <w:trPr>
          <w:trHeight w:val="1202" w:hRule="atLeast"/>
        </w:trPr>
        <w:tc>
          <w:tcPr>
            <w:tcW w:w="542" w:type="dxa"/>
          </w:tcPr>
          <w:p>
            <w:pPr>
              <w:pStyle w:val="TableParagraph"/>
              <w:spacing w:line="234" w:lineRule="exact"/>
              <w:ind w:left="0" w:right="77"/>
              <w:jc w:val="right"/>
              <w:rPr>
                <w:rFonts w:ascii="Times New Roman"/>
                <w:sz w:val="21"/>
              </w:rPr>
            </w:pPr>
            <w:r>
              <w:rPr>
                <w:rFonts w:ascii="Times New Roman"/>
                <w:sz w:val="21"/>
              </w:rPr>
              <w:t>15.</w:t>
            </w:r>
          </w:p>
        </w:tc>
        <w:tc>
          <w:tcPr>
            <w:tcW w:w="3055" w:type="dxa"/>
          </w:tcPr>
          <w:p>
            <w:pPr>
              <w:pStyle w:val="TableParagraph"/>
              <w:spacing w:line="220" w:lineRule="exact"/>
              <w:ind w:left="78"/>
              <w:rPr>
                <w:sz w:val="21"/>
              </w:rPr>
            </w:pPr>
            <w:r>
              <w:rPr>
                <w:sz w:val="21"/>
              </w:rPr>
              <w:t>瘫痪</w:t>
            </w:r>
          </w:p>
        </w:tc>
        <w:tc>
          <w:tcPr>
            <w:tcW w:w="6708" w:type="dxa"/>
          </w:tcPr>
          <w:p>
            <w:pPr>
              <w:pStyle w:val="TableParagraph"/>
              <w:spacing w:line="220" w:lineRule="exact"/>
              <w:ind w:left="383"/>
              <w:rPr>
                <w:sz w:val="21"/>
              </w:rPr>
            </w:pPr>
            <w:r>
              <w:rPr>
                <w:sz w:val="21"/>
              </w:rPr>
              <w:t>指因疾病或意外伤害导致两肢或两肢以上肢体机能永久完全丧失。</w:t>
            </w:r>
          </w:p>
          <w:p>
            <w:pPr>
              <w:pStyle w:val="TableParagraph"/>
              <w:spacing w:line="264" w:lineRule="auto" w:before="37"/>
              <w:ind w:left="383" w:right="198"/>
              <w:jc w:val="both"/>
              <w:rPr>
                <w:sz w:val="21"/>
              </w:rPr>
            </w:pPr>
            <w:r>
              <w:rPr>
                <w:spacing w:val="-4"/>
                <w:sz w:val="21"/>
              </w:rPr>
              <w:t>肢体机能永久完全丧失，指疾病确诊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2"/>
                <w:sz w:val="21"/>
              </w:rPr>
              <w:t>天后，每肢三大关节中的两大关节仍然完全僵硬，或不能随意识活动。</w:t>
            </w:r>
          </w:p>
        </w:tc>
      </w:tr>
      <w:tr>
        <w:trPr>
          <w:trHeight w:val="623" w:hRule="atLeast"/>
        </w:trPr>
        <w:tc>
          <w:tcPr>
            <w:tcW w:w="542" w:type="dxa"/>
          </w:tcPr>
          <w:p>
            <w:pPr>
              <w:pStyle w:val="TableParagraph"/>
              <w:spacing w:before="38"/>
              <w:ind w:left="0" w:right="77"/>
              <w:jc w:val="right"/>
              <w:rPr>
                <w:rFonts w:ascii="Times New Roman"/>
                <w:sz w:val="21"/>
              </w:rPr>
            </w:pPr>
            <w:r>
              <w:rPr>
                <w:rFonts w:ascii="Times New Roman"/>
                <w:sz w:val="21"/>
              </w:rPr>
              <w:t>16.</w:t>
            </w:r>
          </w:p>
        </w:tc>
        <w:tc>
          <w:tcPr>
            <w:tcW w:w="3055" w:type="dxa"/>
          </w:tcPr>
          <w:p>
            <w:pPr>
              <w:pStyle w:val="TableParagraph"/>
              <w:spacing w:line="266" w:lineRule="exact"/>
              <w:ind w:left="78"/>
              <w:rPr>
                <w:sz w:val="21"/>
              </w:rPr>
            </w:pPr>
            <w:r>
              <w:rPr>
                <w:sz w:val="21"/>
              </w:rPr>
              <w:t>心脏瓣膜手术</w:t>
            </w:r>
          </w:p>
        </w:tc>
        <w:tc>
          <w:tcPr>
            <w:tcW w:w="6708" w:type="dxa"/>
          </w:tcPr>
          <w:p>
            <w:pPr>
              <w:pStyle w:val="TableParagraph"/>
              <w:spacing w:line="266" w:lineRule="exact"/>
              <w:ind w:left="383"/>
              <w:rPr>
                <w:sz w:val="21"/>
              </w:rPr>
            </w:pPr>
            <w:r>
              <w:rPr>
                <w:sz w:val="21"/>
              </w:rPr>
              <w:t>指为治疗心脏瓣膜疾病，实际实施了开胸进行的心脏瓣膜置换或修</w:t>
            </w:r>
          </w:p>
          <w:p>
            <w:pPr>
              <w:pStyle w:val="TableParagraph"/>
              <w:spacing w:before="37"/>
              <w:ind w:left="383"/>
              <w:rPr>
                <w:sz w:val="21"/>
              </w:rPr>
            </w:pPr>
            <w:r>
              <w:rPr>
                <w:sz w:val="21"/>
              </w:rPr>
              <w:t>复的手术。</w:t>
            </w:r>
          </w:p>
        </w:tc>
      </w:tr>
      <w:tr>
        <w:trPr>
          <w:trHeight w:val="2184" w:hRule="atLeast"/>
        </w:trPr>
        <w:tc>
          <w:tcPr>
            <w:tcW w:w="542" w:type="dxa"/>
          </w:tcPr>
          <w:p>
            <w:pPr>
              <w:pStyle w:val="TableParagraph"/>
              <w:spacing w:before="38"/>
              <w:ind w:left="0" w:right="77"/>
              <w:jc w:val="right"/>
              <w:rPr>
                <w:rFonts w:ascii="Times New Roman"/>
                <w:sz w:val="21"/>
              </w:rPr>
            </w:pPr>
            <w:r>
              <w:rPr>
                <w:rFonts w:ascii="Times New Roman"/>
                <w:sz w:val="21"/>
              </w:rPr>
              <w:t>17.</w:t>
            </w:r>
          </w:p>
        </w:tc>
        <w:tc>
          <w:tcPr>
            <w:tcW w:w="3055" w:type="dxa"/>
          </w:tcPr>
          <w:p>
            <w:pPr>
              <w:pStyle w:val="TableParagraph"/>
              <w:spacing w:line="266" w:lineRule="exact"/>
              <w:ind w:left="78"/>
              <w:rPr>
                <w:sz w:val="21"/>
              </w:rPr>
            </w:pPr>
            <w:r>
              <w:rPr>
                <w:sz w:val="21"/>
              </w:rPr>
              <w:t>严重阿尔茨海默病</w:t>
            </w:r>
          </w:p>
        </w:tc>
        <w:tc>
          <w:tcPr>
            <w:tcW w:w="6708" w:type="dxa"/>
          </w:tcPr>
          <w:p>
            <w:pPr>
              <w:pStyle w:val="TableParagraph"/>
              <w:spacing w:line="273" w:lineRule="auto"/>
              <w:ind w:left="383" w:right="199"/>
              <w:jc w:val="both"/>
              <w:rPr>
                <w:sz w:val="21"/>
              </w:rPr>
            </w:pPr>
            <w:r>
              <w:rPr>
                <w:spacing w:val="-2"/>
                <w:sz w:val="21"/>
              </w:rPr>
              <w:t>指因大脑进行性、不可逆性改变导致智能严重衰退或丧失，临床表</w:t>
            </w:r>
            <w:r>
              <w:rPr>
                <w:spacing w:val="-3"/>
                <w:sz w:val="21"/>
              </w:rPr>
              <w:t>现为明显的认知能力障碍、行为异常和社交能力减退，其日常生活</w:t>
            </w:r>
            <w:r>
              <w:rPr>
                <w:w w:val="100"/>
                <w:sz w:val="21"/>
              </w:rPr>
              <w:t>必须持续受到他人监护。须由头颅断层扫描</w:t>
            </w:r>
            <w:r>
              <w:rPr>
                <w:spacing w:val="3"/>
                <w:w w:val="100"/>
                <w:sz w:val="21"/>
              </w:rPr>
              <w:t>（</w:t>
            </w:r>
            <w:r>
              <w:rPr>
                <w:rFonts w:ascii="Times New Roman" w:eastAsia="Times New Roman"/>
                <w:w w:val="100"/>
                <w:sz w:val="21"/>
              </w:rPr>
              <w:t>C</w:t>
            </w:r>
            <w:r>
              <w:rPr>
                <w:rFonts w:ascii="Times New Roman" w:eastAsia="Times New Roman"/>
                <w:spacing w:val="1"/>
                <w:w w:val="100"/>
                <w:sz w:val="21"/>
              </w:rPr>
              <w:t>T</w:t>
            </w:r>
            <w:r>
              <w:rPr>
                <w:spacing w:val="-106"/>
                <w:w w:val="100"/>
                <w:sz w:val="21"/>
              </w:rPr>
              <w:t>）</w:t>
            </w:r>
            <w:r>
              <w:rPr>
                <w:w w:val="100"/>
                <w:sz w:val="21"/>
              </w:rPr>
              <w:t>、核磁共振检查</w:t>
            </w:r>
          </w:p>
          <w:p>
            <w:pPr>
              <w:pStyle w:val="TableParagraph"/>
              <w:spacing w:line="264" w:lineRule="auto"/>
              <w:ind w:left="383" w:right="197"/>
              <w:jc w:val="both"/>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19"/>
              <w:ind w:left="383"/>
              <w:jc w:val="both"/>
              <w:rPr>
                <w:b/>
                <w:sz w:val="21"/>
              </w:rPr>
            </w:pPr>
            <w:r>
              <w:rPr>
                <w:b/>
                <w:sz w:val="21"/>
              </w:rPr>
              <w:t>神经官能症和精神疾病不在保障范围内。</w:t>
            </w:r>
          </w:p>
        </w:tc>
      </w:tr>
      <w:tr>
        <w:trPr>
          <w:trHeight w:val="2808" w:hRule="atLeast"/>
        </w:trPr>
        <w:tc>
          <w:tcPr>
            <w:tcW w:w="542" w:type="dxa"/>
          </w:tcPr>
          <w:p>
            <w:pPr>
              <w:pStyle w:val="TableParagraph"/>
              <w:spacing w:before="38"/>
              <w:ind w:left="0" w:right="77"/>
              <w:jc w:val="right"/>
              <w:rPr>
                <w:rFonts w:ascii="Times New Roman"/>
                <w:sz w:val="21"/>
              </w:rPr>
            </w:pPr>
            <w:r>
              <w:rPr>
                <w:rFonts w:ascii="Times New Roman"/>
                <w:sz w:val="21"/>
              </w:rPr>
              <w:t>18.</w:t>
            </w:r>
          </w:p>
        </w:tc>
        <w:tc>
          <w:tcPr>
            <w:tcW w:w="3055" w:type="dxa"/>
          </w:tcPr>
          <w:p>
            <w:pPr>
              <w:pStyle w:val="TableParagraph"/>
              <w:spacing w:line="266" w:lineRule="exact"/>
              <w:ind w:left="78"/>
              <w:rPr>
                <w:sz w:val="21"/>
              </w:rPr>
            </w:pPr>
            <w:r>
              <w:rPr>
                <w:sz w:val="21"/>
              </w:rPr>
              <w:t>严重脑损伤</w:t>
            </w:r>
          </w:p>
        </w:tc>
        <w:tc>
          <w:tcPr>
            <w:tcW w:w="6708" w:type="dxa"/>
          </w:tcPr>
          <w:p>
            <w:pPr>
              <w:pStyle w:val="TableParagraph"/>
              <w:spacing w:line="261" w:lineRule="auto"/>
              <w:ind w:left="383" w:right="196"/>
              <w:rPr>
                <w:sz w:val="21"/>
              </w:rPr>
            </w:pPr>
            <w:r>
              <w:rPr>
                <w:spacing w:val="-2"/>
                <w:sz w:val="21"/>
              </w:rPr>
              <w:t>指因头部遭受机械性外力，引起脑重要部位损伤，导致神经系统永</w:t>
            </w:r>
            <w:r>
              <w:rPr>
                <w:spacing w:val="-4"/>
                <w:w w:val="100"/>
                <w:sz w:val="21"/>
              </w:rPr>
              <w:t>久性的功能障碍。须由头颅断层扫描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RI</w:t>
            </w:r>
            <w:r>
              <w:rPr>
                <w:sz w:val="21"/>
              </w:rPr>
              <w:t>或正电子发射断层扫描（</w:t>
            </w:r>
            <w:r>
              <w:rPr>
                <w:rFonts w:ascii="Times New Roman" w:eastAsia="Times New Roman"/>
                <w:sz w:val="21"/>
              </w:rPr>
              <w:t>PET</w:t>
            </w:r>
            <w:r>
              <w:rPr>
                <w:sz w:val="21"/>
              </w:rPr>
              <w:t>）等影像学检查证实。神经系统永久</w:t>
            </w:r>
            <w:r>
              <w:rPr>
                <w:spacing w:val="-5"/>
                <w:sz w:val="21"/>
              </w:rPr>
              <w:t>性的功能障碍，指脑损伤 </w:t>
            </w:r>
            <w:r>
              <w:rPr>
                <w:rFonts w:ascii="Times New Roman" w:eastAsia="Times New Roman"/>
                <w:sz w:val="21"/>
              </w:rPr>
              <w:t>180 </w:t>
            </w:r>
            <w:r>
              <w:rPr>
                <w:spacing w:val="-3"/>
                <w:sz w:val="21"/>
              </w:rPr>
              <w:t>天后，仍遗留下列一种或一种以上障碍：</w:t>
            </w:r>
          </w:p>
          <w:p>
            <w:pPr>
              <w:pStyle w:val="TableParagraph"/>
              <w:spacing w:before="27"/>
              <w:ind w:left="383"/>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383"/>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383" w:right="196"/>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w:t>
            </w:r>
            <w:r>
              <w:rPr>
                <w:spacing w:val="-5"/>
                <w:sz w:val="21"/>
              </w:rPr>
              <w:t>中的三项或三项以上。</w:t>
            </w:r>
          </w:p>
        </w:tc>
      </w:tr>
      <w:tr>
        <w:trPr>
          <w:trHeight w:val="1872" w:hRule="atLeast"/>
        </w:trPr>
        <w:tc>
          <w:tcPr>
            <w:tcW w:w="542" w:type="dxa"/>
          </w:tcPr>
          <w:p>
            <w:pPr>
              <w:pStyle w:val="TableParagraph"/>
              <w:spacing w:before="38"/>
              <w:ind w:left="0" w:right="77"/>
              <w:jc w:val="right"/>
              <w:rPr>
                <w:rFonts w:ascii="Times New Roman"/>
                <w:sz w:val="21"/>
              </w:rPr>
            </w:pPr>
            <w:r>
              <w:rPr>
                <w:rFonts w:ascii="Times New Roman"/>
                <w:sz w:val="21"/>
              </w:rPr>
              <w:t>19.</w:t>
            </w:r>
          </w:p>
        </w:tc>
        <w:tc>
          <w:tcPr>
            <w:tcW w:w="3055" w:type="dxa"/>
          </w:tcPr>
          <w:p>
            <w:pPr>
              <w:pStyle w:val="TableParagraph"/>
              <w:spacing w:line="266" w:lineRule="exact"/>
              <w:ind w:left="78"/>
              <w:rPr>
                <w:sz w:val="21"/>
              </w:rPr>
            </w:pPr>
            <w:r>
              <w:rPr>
                <w:sz w:val="21"/>
              </w:rPr>
              <w:t>严重帕金森病</w:t>
            </w:r>
          </w:p>
        </w:tc>
        <w:tc>
          <w:tcPr>
            <w:tcW w:w="6708" w:type="dxa"/>
          </w:tcPr>
          <w:p>
            <w:pPr>
              <w:pStyle w:val="TableParagraph"/>
              <w:spacing w:line="273" w:lineRule="auto"/>
              <w:ind w:left="383" w:right="201"/>
              <w:rPr>
                <w:sz w:val="21"/>
              </w:rPr>
            </w:pPr>
            <w:r>
              <w:rPr>
                <w:sz w:val="21"/>
              </w:rPr>
              <w:t>是一种中枢神经系统的退行性疾病，临床表现为震颤麻痹、共济失调等。须满足下列全部条件：</w:t>
            </w:r>
          </w:p>
          <w:p>
            <w:pPr>
              <w:pStyle w:val="TableParagraph"/>
              <w:spacing w:before="16"/>
              <w:ind w:left="383"/>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383" w:right="196"/>
              <w:rPr>
                <w:sz w:val="21"/>
              </w:rPr>
            </w:pPr>
            <w:r>
              <w:rPr>
                <w:spacing w:val="-13"/>
                <w:sz w:val="21"/>
              </w:rPr>
              <w:t>（</w:t>
            </w:r>
            <w:r>
              <w:rPr>
                <w:rFonts w:ascii="Times New Roman" w:eastAsia="Times New Roman"/>
                <w:spacing w:val="-13"/>
                <w:sz w:val="21"/>
              </w:rPr>
              <w:t>2</w:t>
            </w:r>
            <w:r>
              <w:rPr>
                <w:spacing w:val="-13"/>
                <w:sz w:val="21"/>
              </w:rPr>
              <w:t>）</w:t>
            </w:r>
            <w:r>
              <w:rPr>
                <w:spacing w:val="-7"/>
                <w:sz w:val="21"/>
              </w:rPr>
              <w:t>自主生活能力完全丧失，无法独立完成六项基本日常生活活动</w:t>
            </w:r>
            <w:r>
              <w:rPr>
                <w:spacing w:val="-5"/>
                <w:sz w:val="21"/>
              </w:rPr>
              <w:t>中的三项或三项以上。</w:t>
            </w:r>
          </w:p>
          <w:p>
            <w:pPr>
              <w:pStyle w:val="TableParagraph"/>
              <w:spacing w:before="22"/>
              <w:ind w:left="383"/>
              <w:rPr>
                <w:b/>
                <w:sz w:val="21"/>
              </w:rPr>
            </w:pPr>
            <w:r>
              <w:rPr>
                <w:b/>
                <w:sz w:val="21"/>
              </w:rPr>
              <w:t>继发性帕金森综合征不在保障范围内。</w:t>
            </w:r>
          </w:p>
        </w:tc>
      </w:tr>
      <w:tr>
        <w:trPr>
          <w:trHeight w:val="631" w:hRule="atLeast"/>
        </w:trPr>
        <w:tc>
          <w:tcPr>
            <w:tcW w:w="542" w:type="dxa"/>
          </w:tcPr>
          <w:p>
            <w:pPr>
              <w:pStyle w:val="TableParagraph"/>
              <w:spacing w:before="38"/>
              <w:ind w:left="0" w:right="77"/>
              <w:jc w:val="right"/>
              <w:rPr>
                <w:rFonts w:ascii="Times New Roman"/>
                <w:sz w:val="21"/>
              </w:rPr>
            </w:pPr>
            <w:r>
              <w:rPr>
                <w:rFonts w:ascii="Times New Roman"/>
                <w:sz w:val="21"/>
              </w:rPr>
              <w:t>20.</w:t>
            </w:r>
          </w:p>
        </w:tc>
        <w:tc>
          <w:tcPr>
            <w:tcW w:w="3055" w:type="dxa"/>
          </w:tcPr>
          <w:p>
            <w:pPr>
              <w:pStyle w:val="TableParagraph"/>
              <w:spacing w:line="266" w:lineRule="exact"/>
              <w:ind w:left="78"/>
              <w:rPr>
                <w:sz w:val="21"/>
              </w:rPr>
            </w:pPr>
            <w:r>
              <w:rPr>
                <w:sz w:val="21"/>
              </w:rPr>
              <w:t>严重Ⅲ度烧伤</w:t>
            </w:r>
          </w:p>
        </w:tc>
        <w:tc>
          <w:tcPr>
            <w:tcW w:w="6708" w:type="dxa"/>
          </w:tcPr>
          <w:p>
            <w:pPr>
              <w:pStyle w:val="TableParagraph"/>
              <w:spacing w:line="282" w:lineRule="exact"/>
              <w:ind w:left="383"/>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ind w:left="383"/>
              <w:rPr>
                <w:sz w:val="21"/>
              </w:rPr>
            </w:pPr>
            <w:r>
              <w:rPr>
                <w:rFonts w:ascii="Times New Roman" w:eastAsia="Times New Roman"/>
                <w:sz w:val="21"/>
              </w:rPr>
              <w:t>20</w:t>
            </w:r>
            <w:r>
              <w:rPr>
                <w:sz w:val="21"/>
              </w:rPr>
              <w:t>％以上。体表面积根据《中国新九分法》计算。</w:t>
            </w:r>
          </w:p>
        </w:tc>
      </w:tr>
      <w:tr>
        <w:trPr>
          <w:trHeight w:val="1248" w:hRule="atLeast"/>
        </w:trPr>
        <w:tc>
          <w:tcPr>
            <w:tcW w:w="542" w:type="dxa"/>
          </w:tcPr>
          <w:p>
            <w:pPr>
              <w:pStyle w:val="TableParagraph"/>
              <w:spacing w:before="30"/>
              <w:ind w:left="0" w:right="77"/>
              <w:jc w:val="right"/>
              <w:rPr>
                <w:rFonts w:ascii="Times New Roman"/>
                <w:sz w:val="21"/>
              </w:rPr>
            </w:pPr>
            <w:r>
              <w:rPr>
                <w:rFonts w:ascii="Times New Roman"/>
                <w:sz w:val="21"/>
              </w:rPr>
              <w:t>21.</w:t>
            </w:r>
          </w:p>
        </w:tc>
        <w:tc>
          <w:tcPr>
            <w:tcW w:w="3055" w:type="dxa"/>
          </w:tcPr>
          <w:p>
            <w:pPr>
              <w:pStyle w:val="TableParagraph"/>
              <w:spacing w:line="258" w:lineRule="exact"/>
              <w:ind w:left="78"/>
              <w:rPr>
                <w:sz w:val="21"/>
              </w:rPr>
            </w:pPr>
            <w:r>
              <w:rPr>
                <w:sz w:val="21"/>
              </w:rPr>
              <w:t>严重原发性肺动脉高压</w:t>
            </w:r>
          </w:p>
        </w:tc>
        <w:tc>
          <w:tcPr>
            <w:tcW w:w="6708" w:type="dxa"/>
          </w:tcPr>
          <w:p>
            <w:pPr>
              <w:pStyle w:val="TableParagraph"/>
              <w:spacing w:line="258" w:lineRule="exact"/>
              <w:ind w:left="383"/>
              <w:rPr>
                <w:sz w:val="21"/>
              </w:rPr>
            </w:pPr>
            <w:r>
              <w:rPr>
                <w:sz w:val="21"/>
              </w:rPr>
              <w:t>指不明原因的肺动脉压力持续性增高，进行性发展而导致的慢性疾</w:t>
            </w:r>
          </w:p>
          <w:p>
            <w:pPr>
              <w:pStyle w:val="TableParagraph"/>
              <w:spacing w:line="273" w:lineRule="auto" w:before="37"/>
              <w:ind w:left="383" w:right="201"/>
              <w:rPr>
                <w:sz w:val="21"/>
              </w:rPr>
            </w:pPr>
            <w:r>
              <w:rPr>
                <w:sz w:val="21"/>
              </w:rPr>
              <w:t>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w:t>
            </w:r>
          </w:p>
          <w:p>
            <w:pPr>
              <w:pStyle w:val="TableParagraph"/>
              <w:spacing w:line="279" w:lineRule="exact"/>
              <w:ind w:left="383"/>
              <w:rPr>
                <w:sz w:val="21"/>
              </w:rPr>
            </w:pPr>
            <w:r>
              <w:rPr>
                <w:rFonts w:ascii="Times New Roman" w:eastAsia="Times New Roman"/>
                <w:sz w:val="21"/>
              </w:rPr>
              <w:t>30mmHg</w:t>
            </w:r>
            <w:r>
              <w:rPr>
                <w:sz w:val="21"/>
              </w:rPr>
              <w:t>。</w:t>
            </w:r>
          </w:p>
        </w:tc>
      </w:tr>
      <w:tr>
        <w:trPr>
          <w:trHeight w:val="1240" w:hRule="atLeast"/>
        </w:trPr>
        <w:tc>
          <w:tcPr>
            <w:tcW w:w="542" w:type="dxa"/>
          </w:tcPr>
          <w:p>
            <w:pPr>
              <w:pStyle w:val="TableParagraph"/>
              <w:spacing w:before="30"/>
              <w:ind w:left="0" w:right="77"/>
              <w:jc w:val="right"/>
              <w:rPr>
                <w:rFonts w:ascii="Times New Roman"/>
                <w:sz w:val="21"/>
              </w:rPr>
            </w:pPr>
            <w:r>
              <w:rPr>
                <w:rFonts w:ascii="Times New Roman"/>
                <w:sz w:val="21"/>
              </w:rPr>
              <w:t>22.</w:t>
            </w:r>
          </w:p>
        </w:tc>
        <w:tc>
          <w:tcPr>
            <w:tcW w:w="3055" w:type="dxa"/>
          </w:tcPr>
          <w:p>
            <w:pPr>
              <w:pStyle w:val="TableParagraph"/>
              <w:spacing w:line="258" w:lineRule="exact"/>
              <w:ind w:left="78"/>
              <w:rPr>
                <w:sz w:val="21"/>
              </w:rPr>
            </w:pPr>
            <w:r>
              <w:rPr>
                <w:sz w:val="21"/>
              </w:rPr>
              <w:t>严重运动神经元病</w:t>
            </w:r>
          </w:p>
        </w:tc>
        <w:tc>
          <w:tcPr>
            <w:tcW w:w="6708" w:type="dxa"/>
          </w:tcPr>
          <w:p>
            <w:pPr>
              <w:pStyle w:val="TableParagraph"/>
              <w:spacing w:line="258" w:lineRule="exact"/>
              <w:ind w:left="383"/>
              <w:rPr>
                <w:sz w:val="21"/>
              </w:rPr>
            </w:pPr>
            <w:r>
              <w:rPr>
                <w:sz w:val="21"/>
              </w:rPr>
              <w:t>是一组中枢神经系统运动神经元的进行性变性疾病，包括进行性脊</w:t>
            </w:r>
          </w:p>
          <w:p>
            <w:pPr>
              <w:pStyle w:val="TableParagraph"/>
              <w:spacing w:line="310" w:lineRule="atLeast" w:before="2"/>
              <w:ind w:left="383" w:right="201"/>
              <w:jc w:val="both"/>
              <w:rPr>
                <w:sz w:val="21"/>
              </w:rPr>
            </w:pPr>
            <w:r>
              <w:rPr>
                <w:sz w:val="21"/>
              </w:rPr>
              <w:t>肌萎缩症、进行性延髓麻痹症、原发性侧索硬化症、肌萎缩性侧索硬化症。须满足自主生活能力完全丧失，无法独立完成六项基本日常生活活动中的三项或三项以上的条件。</w:t>
            </w:r>
          </w:p>
        </w:tc>
      </w:tr>
      <w:tr>
        <w:trPr>
          <w:trHeight w:val="1514" w:hRule="atLeast"/>
        </w:trPr>
        <w:tc>
          <w:tcPr>
            <w:tcW w:w="542" w:type="dxa"/>
          </w:tcPr>
          <w:p>
            <w:pPr>
              <w:pStyle w:val="TableParagraph"/>
              <w:spacing w:before="38"/>
              <w:ind w:left="0" w:right="77"/>
              <w:jc w:val="right"/>
              <w:rPr>
                <w:rFonts w:ascii="Times New Roman"/>
                <w:sz w:val="21"/>
              </w:rPr>
            </w:pPr>
            <w:r>
              <w:rPr>
                <w:rFonts w:ascii="Times New Roman"/>
                <w:sz w:val="21"/>
              </w:rPr>
              <w:t>23.</w:t>
            </w:r>
          </w:p>
        </w:tc>
        <w:tc>
          <w:tcPr>
            <w:tcW w:w="3055" w:type="dxa"/>
          </w:tcPr>
          <w:p>
            <w:pPr>
              <w:pStyle w:val="TableParagraph"/>
              <w:spacing w:line="282" w:lineRule="exact"/>
              <w:ind w:left="78"/>
              <w:rPr>
                <w:b/>
                <w:sz w:val="21"/>
              </w:rPr>
            </w:pPr>
            <w:r>
              <w:rPr>
                <w:sz w:val="21"/>
              </w:rPr>
              <w:t>语言能力丧失 </w:t>
            </w:r>
            <w:r>
              <w:rPr>
                <w:rFonts w:ascii="Times New Roman" w:eastAsia="Times New Roman"/>
                <w:sz w:val="21"/>
              </w:rPr>
              <w:t>-  </w:t>
            </w:r>
            <w:r>
              <w:rPr>
                <w:b/>
                <w:sz w:val="21"/>
              </w:rPr>
              <w:t>三岁始理赔</w:t>
            </w:r>
          </w:p>
        </w:tc>
        <w:tc>
          <w:tcPr>
            <w:tcW w:w="6708" w:type="dxa"/>
          </w:tcPr>
          <w:p>
            <w:pPr>
              <w:pStyle w:val="TableParagraph"/>
              <w:spacing w:line="264" w:lineRule="auto"/>
              <w:ind w:left="383" w:right="196"/>
              <w:jc w:val="both"/>
              <w:rPr>
                <w:sz w:val="21"/>
              </w:rPr>
            </w:pPr>
            <w:r>
              <w:rPr>
                <w:spacing w:val="-5"/>
                <w:sz w:val="21"/>
              </w:rPr>
              <w:t>指因疾病或意外伤害导致完全丧失语言能力，经过积极治疗至少 </w:t>
            </w:r>
            <w:r>
              <w:rPr>
                <w:rFonts w:ascii="Times New Roman" w:eastAsia="Times New Roman"/>
                <w:spacing w:val="-3"/>
                <w:sz w:val="21"/>
              </w:rPr>
              <w:t>12 </w:t>
            </w:r>
            <w:r>
              <w:rPr>
                <w:spacing w:val="-20"/>
                <w:sz w:val="21"/>
              </w:rPr>
              <w:t>个月</w:t>
            </w:r>
            <w:r>
              <w:rPr>
                <w:spacing w:val="-3"/>
                <w:sz w:val="21"/>
              </w:rPr>
              <w:t>（声带完全切除不受此时间限制</w:t>
            </w:r>
            <w:r>
              <w:rPr>
                <w:spacing w:val="-73"/>
                <w:sz w:val="21"/>
              </w:rPr>
              <w:t>）</w:t>
            </w:r>
            <w:r>
              <w:rPr>
                <w:spacing w:val="-10"/>
                <w:sz w:val="21"/>
              </w:rPr>
              <w:t>，仍无法通过现有医疗手段恢复。</w:t>
            </w:r>
          </w:p>
          <w:p>
            <w:pPr>
              <w:pStyle w:val="TableParagraph"/>
              <w:spacing w:before="25"/>
              <w:ind w:left="383"/>
              <w:jc w:val="both"/>
              <w:rPr>
                <w:b/>
                <w:sz w:val="21"/>
              </w:rPr>
            </w:pPr>
            <w:r>
              <w:rPr>
                <w:b/>
                <w:sz w:val="21"/>
              </w:rPr>
              <w:t>精神心理因素所致的语言能力丧失不在保障范围内。</w:t>
            </w:r>
          </w:p>
          <w:p>
            <w:pPr>
              <w:pStyle w:val="TableParagraph"/>
              <w:spacing w:line="255" w:lineRule="exact" w:before="37"/>
              <w:ind w:left="383"/>
              <w:jc w:val="both"/>
              <w:rPr>
                <w:sz w:val="21"/>
              </w:rPr>
            </w:pPr>
            <w:r>
              <w:rPr>
                <w:sz w:val="21"/>
              </w:rPr>
              <w:t>被保险人申请理赔时年龄必须在三周岁以上，并且提供理赔当时的</w:t>
            </w:r>
          </w:p>
        </w:tc>
      </w:tr>
    </w:tbl>
    <w:p>
      <w:pPr>
        <w:spacing w:after="0" w:line="255" w:lineRule="exact"/>
        <w:jc w:val="both"/>
        <w:rPr>
          <w:sz w:val="21"/>
        </w:rPr>
        <w:sectPr>
          <w:pgSz w:w="11910" w:h="16160"/>
          <w:pgMar w:header="0" w:footer="993" w:top="1420" w:bottom="1180" w:left="760" w:right="620"/>
        </w:sectPr>
      </w:pPr>
    </w:p>
    <w:p>
      <w:pPr>
        <w:pStyle w:val="BodyText"/>
        <w:spacing w:before="7"/>
        <w:ind w:left="3898"/>
        <w:jc w:val="both"/>
      </w:pPr>
      <w:r>
        <w:rPr/>
        <w:t>语言能力丧失诊断及检查证据。</w:t>
      </w:r>
    </w:p>
    <w:p>
      <w:pPr>
        <w:pStyle w:val="ListParagraph"/>
        <w:numPr>
          <w:ilvl w:val="0"/>
          <w:numId w:val="12"/>
        </w:numPr>
        <w:tabs>
          <w:tab w:pos="539" w:val="left" w:leader="none"/>
          <w:tab w:pos="3898" w:val="left" w:leader="none"/>
        </w:tabs>
        <w:spacing w:line="240" w:lineRule="auto" w:before="56" w:after="0"/>
        <w:ind w:left="3898" w:right="0" w:hanging="3781"/>
        <w:jc w:val="left"/>
        <w:rPr>
          <w:sz w:val="21"/>
        </w:rPr>
      </w:pPr>
      <w:r>
        <w:rPr>
          <w:sz w:val="21"/>
        </w:rPr>
        <w:t>重型</w:t>
      </w:r>
      <w:r>
        <w:rPr>
          <w:spacing w:val="-3"/>
          <w:sz w:val="21"/>
        </w:rPr>
        <w:t>再</w:t>
      </w:r>
      <w:r>
        <w:rPr>
          <w:sz w:val="21"/>
        </w:rPr>
        <w:t>生</w:t>
      </w:r>
      <w:r>
        <w:rPr>
          <w:spacing w:val="-3"/>
          <w:sz w:val="21"/>
        </w:rPr>
        <w:t>障</w:t>
      </w:r>
      <w:r>
        <w:rPr>
          <w:sz w:val="21"/>
        </w:rPr>
        <w:t>碍</w:t>
      </w:r>
      <w:r>
        <w:rPr>
          <w:spacing w:val="-3"/>
          <w:sz w:val="21"/>
        </w:rPr>
        <w:t>性</w:t>
      </w:r>
      <w:r>
        <w:rPr>
          <w:sz w:val="21"/>
        </w:rPr>
        <w:t>贫血</w:t>
        <w:tab/>
        <w:t>指因骨髓造血功能慢性</w:t>
      </w:r>
      <w:r>
        <w:rPr>
          <w:spacing w:val="-3"/>
          <w:sz w:val="21"/>
        </w:rPr>
        <w:t>持</w:t>
      </w:r>
      <w:r>
        <w:rPr>
          <w:sz w:val="21"/>
        </w:rPr>
        <w:t>续性衰竭导致的贫血、</w:t>
      </w:r>
      <w:r>
        <w:rPr>
          <w:spacing w:val="-3"/>
          <w:sz w:val="21"/>
        </w:rPr>
        <w:t>中</w:t>
      </w:r>
      <w:r>
        <w:rPr>
          <w:sz w:val="21"/>
        </w:rPr>
        <w:t>性粒细胞减少及</w:t>
      </w:r>
    </w:p>
    <w:p>
      <w:pPr>
        <w:pStyle w:val="BodyText"/>
        <w:spacing w:before="21"/>
        <w:ind w:left="3898"/>
        <w:jc w:val="both"/>
      </w:pPr>
      <w:r>
        <w:rPr/>
        <w:t>血小板减少。须满足下列全部条件：</w:t>
      </w:r>
    </w:p>
    <w:p>
      <w:pPr>
        <w:pStyle w:val="BodyText"/>
        <w:spacing w:before="37"/>
        <w:ind w:left="3898"/>
        <w:jc w:val="both"/>
      </w:pPr>
      <w:r>
        <w:rPr/>
        <w:t>（</w:t>
      </w:r>
      <w:r>
        <w:rPr>
          <w:rFonts w:ascii="Times New Roman" w:eastAsia="Times New Roman"/>
        </w:rPr>
        <w:t>1</w:t>
      </w:r>
      <w:r>
        <w:rPr/>
        <w:t>）骨髓穿刺检查或骨髓活检结果支持诊断；</w:t>
      </w:r>
    </w:p>
    <w:p>
      <w:pPr>
        <w:pStyle w:val="BodyText"/>
        <w:spacing w:before="21"/>
        <w:ind w:left="3898"/>
        <w:jc w:val="both"/>
      </w:pPr>
      <w:r>
        <w:rPr/>
        <w:t>（</w:t>
      </w:r>
      <w:r>
        <w:rPr>
          <w:rFonts w:ascii="Times New Roman" w:eastAsia="Times New Roman"/>
        </w:rPr>
        <w:t>2</w:t>
      </w:r>
      <w:r>
        <w:rPr/>
        <w:t>）外周血象须具备以下三项条件：</w:t>
      </w:r>
    </w:p>
    <w:p>
      <w:pPr>
        <w:pStyle w:val="BodyText"/>
        <w:spacing w:before="21"/>
        <w:ind w:left="4424"/>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788"/>
        <w:jc w:val="center"/>
      </w:pPr>
      <w:r>
        <w:rPr/>
        <w:t>② 网织红细胞＜</w:t>
      </w:r>
      <w:r>
        <w:rPr>
          <w:rFonts w:ascii="Times New Roman" w:hAnsi="Times New Roman" w:eastAsia="Times New Roman"/>
        </w:rPr>
        <w:t>1%</w:t>
      </w:r>
      <w:r>
        <w:rPr/>
        <w:t>；</w:t>
      </w:r>
    </w:p>
    <w:p>
      <w:pPr>
        <w:pStyle w:val="BodyText"/>
        <w:spacing w:before="21"/>
        <w:ind w:left="4424"/>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12"/>
        </w:numPr>
        <w:tabs>
          <w:tab w:pos="539" w:val="left" w:leader="none"/>
          <w:tab w:pos="3898" w:val="left" w:leader="none"/>
        </w:tabs>
        <w:spacing w:line="264" w:lineRule="auto" w:before="21" w:after="0"/>
        <w:ind w:left="3898" w:right="105" w:hanging="3781"/>
        <w:jc w:val="both"/>
        <w:rPr>
          <w:sz w:val="21"/>
        </w:rPr>
      </w:pPr>
      <w:r>
        <w:rPr>
          <w:sz w:val="21"/>
        </w:rPr>
        <w:t>主动</w:t>
      </w:r>
      <w:r>
        <w:rPr>
          <w:spacing w:val="-3"/>
          <w:sz w:val="21"/>
        </w:rPr>
        <w:t>脉</w:t>
      </w:r>
      <w:r>
        <w:rPr>
          <w:sz w:val="21"/>
        </w:rPr>
        <w:t>手术</w:t>
        <w:tab/>
        <w:t>指为治疗主动脉疾病，</w:t>
      </w:r>
      <w:r>
        <w:rPr>
          <w:spacing w:val="-3"/>
          <w:sz w:val="21"/>
        </w:rPr>
        <w:t>实</w:t>
      </w:r>
      <w:r>
        <w:rPr>
          <w:sz w:val="21"/>
        </w:rPr>
        <w:t>际实施了开胸或开腹进</w:t>
      </w:r>
      <w:r>
        <w:rPr>
          <w:spacing w:val="-3"/>
          <w:sz w:val="21"/>
        </w:rPr>
        <w:t>行</w:t>
      </w:r>
      <w:r>
        <w:rPr>
          <w:sz w:val="21"/>
        </w:rPr>
        <w:t>的切除、置换、 修补病损主动脉血管的</w:t>
      </w:r>
      <w:r>
        <w:rPr>
          <w:spacing w:val="-3"/>
          <w:sz w:val="21"/>
        </w:rPr>
        <w:t>手</w:t>
      </w:r>
      <w:r>
        <w:rPr>
          <w:sz w:val="21"/>
        </w:rPr>
        <w:t>术。主动脉指胸主动脉</w:t>
      </w:r>
      <w:r>
        <w:rPr>
          <w:spacing w:val="-3"/>
          <w:sz w:val="21"/>
        </w:rPr>
        <w:t>和</w:t>
      </w:r>
      <w:r>
        <w:rPr>
          <w:sz w:val="21"/>
        </w:rPr>
        <w:t>腹主动脉，不包括胸</w:t>
      </w:r>
      <w:r>
        <w:rPr>
          <w:spacing w:val="-3"/>
          <w:sz w:val="21"/>
        </w:rPr>
        <w:t>主</w:t>
      </w:r>
      <w:r>
        <w:rPr>
          <w:sz w:val="21"/>
        </w:rPr>
        <w:t>动</w:t>
      </w:r>
      <w:r>
        <w:rPr>
          <w:spacing w:val="-3"/>
          <w:sz w:val="21"/>
        </w:rPr>
        <w:t>脉</w:t>
      </w:r>
      <w:r>
        <w:rPr>
          <w:sz w:val="21"/>
        </w:rPr>
        <w:t>和</w:t>
      </w:r>
      <w:r>
        <w:rPr>
          <w:spacing w:val="-3"/>
          <w:sz w:val="21"/>
        </w:rPr>
        <w:t>腹</w:t>
      </w:r>
      <w:r>
        <w:rPr>
          <w:sz w:val="21"/>
        </w:rPr>
        <w:t>主</w:t>
      </w:r>
      <w:r>
        <w:rPr>
          <w:spacing w:val="-3"/>
          <w:sz w:val="21"/>
        </w:rPr>
        <w:t>动</w:t>
      </w:r>
      <w:r>
        <w:rPr>
          <w:sz w:val="21"/>
        </w:rPr>
        <w:t>脉</w:t>
      </w:r>
      <w:r>
        <w:rPr>
          <w:spacing w:val="-3"/>
          <w:sz w:val="21"/>
        </w:rPr>
        <w:t>的</w:t>
      </w:r>
      <w:r>
        <w:rPr>
          <w:sz w:val="21"/>
        </w:rPr>
        <w:t>分支</w:t>
      </w:r>
      <w:r>
        <w:rPr>
          <w:spacing w:val="-3"/>
          <w:sz w:val="21"/>
        </w:rPr>
        <w:t>血</w:t>
      </w:r>
      <w:r>
        <w:rPr>
          <w:sz w:val="21"/>
        </w:rPr>
        <w:t>管。</w:t>
      </w:r>
    </w:p>
    <w:p>
      <w:pPr>
        <w:spacing w:before="16"/>
        <w:ind w:left="3898" w:right="0" w:firstLine="0"/>
        <w:jc w:val="left"/>
        <w:rPr>
          <w:b/>
          <w:sz w:val="21"/>
        </w:rPr>
      </w:pPr>
      <w:r>
        <w:rPr>
          <w:b/>
          <w:sz w:val="21"/>
        </w:rPr>
        <w:t>动脉内血管成形术不在保障范围内。</w:t>
      </w:r>
    </w:p>
    <w:p>
      <w:pPr>
        <w:pStyle w:val="ListParagraph"/>
        <w:numPr>
          <w:ilvl w:val="0"/>
          <w:numId w:val="12"/>
        </w:numPr>
        <w:tabs>
          <w:tab w:pos="539" w:val="left" w:leader="none"/>
          <w:tab w:pos="3898" w:val="left" w:leader="none"/>
        </w:tabs>
        <w:spacing w:line="240" w:lineRule="auto" w:before="37" w:after="0"/>
        <w:ind w:left="3898" w:right="0" w:hanging="3781"/>
        <w:jc w:val="left"/>
        <w:rPr>
          <w:sz w:val="21"/>
        </w:rPr>
      </w:pPr>
      <w:r>
        <w:rPr>
          <w:sz w:val="21"/>
        </w:rPr>
        <w:t>严重</w:t>
      </w:r>
      <w:r>
        <w:rPr>
          <w:spacing w:val="-3"/>
          <w:sz w:val="21"/>
        </w:rPr>
        <w:t>多</w:t>
      </w:r>
      <w:r>
        <w:rPr>
          <w:sz w:val="21"/>
        </w:rPr>
        <w:t>发</w:t>
      </w:r>
      <w:r>
        <w:rPr>
          <w:spacing w:val="-3"/>
          <w:sz w:val="21"/>
        </w:rPr>
        <w:t>性</w:t>
      </w:r>
      <w:r>
        <w:rPr>
          <w:sz w:val="21"/>
        </w:rPr>
        <w:t>硬化</w:t>
        <w:tab/>
      </w:r>
      <w:r>
        <w:rPr>
          <w:spacing w:val="-1"/>
          <w:sz w:val="21"/>
        </w:rPr>
        <w:t>多发</w:t>
      </w:r>
      <w:r>
        <w:rPr>
          <w:sz w:val="21"/>
        </w:rPr>
        <w:t>性硬化为中枢神经</w:t>
      </w:r>
      <w:r>
        <w:rPr>
          <w:spacing w:val="-3"/>
          <w:sz w:val="21"/>
        </w:rPr>
        <w:t>系</w:t>
      </w:r>
      <w:r>
        <w:rPr>
          <w:sz w:val="21"/>
        </w:rPr>
        <w:t>统白质多灶性脱髓鞘病变，病变有时累及</w:t>
      </w:r>
    </w:p>
    <w:p>
      <w:pPr>
        <w:pStyle w:val="BodyText"/>
        <w:spacing w:line="261" w:lineRule="auto" w:before="20"/>
        <w:ind w:left="3898" w:right="100"/>
        <w:jc w:val="both"/>
      </w:pPr>
      <w:r>
        <w:rPr/>
        <w:t>灰质。多发性硬化须由核磁共振（</w:t>
      </w:r>
      <w:r>
        <w:rPr>
          <w:rFonts w:ascii="Times New Roman" w:eastAsia="Times New Roman"/>
        </w:rPr>
        <w:t>MRI</w:t>
      </w:r>
      <w:r>
        <w:rPr/>
        <w:t>）等影像学检查证实，经三级医院神经科专科医生明确诊断，并且已经造成永久不可逆的神经系统功能损害。永久不可逆神经系统功能损害指被保险人持续 </w:t>
      </w:r>
      <w:r>
        <w:rPr>
          <w:rFonts w:ascii="Times New Roman" w:eastAsia="Times New Roman"/>
        </w:rPr>
        <w:t>180 </w:t>
      </w:r>
      <w:r>
        <w:rPr/>
        <w:t>天无法独立完成下列基本日常生活活动：</w:t>
      </w:r>
    </w:p>
    <w:p>
      <w:pPr>
        <w:pStyle w:val="BodyText"/>
        <w:spacing w:before="17"/>
        <w:ind w:left="3901"/>
      </w:pPr>
      <w:r>
        <w:rPr/>
        <w:t>（</w:t>
      </w:r>
      <w:r>
        <w:rPr>
          <w:rFonts w:ascii="Times New Roman" w:eastAsia="Times New Roman"/>
        </w:rPr>
        <w:t>1</w:t>
      </w:r>
      <w:r>
        <w:rPr/>
        <w:t>）移动：自己从一个房间移动到另一个房间；或者</w:t>
      </w:r>
    </w:p>
    <w:p>
      <w:pPr>
        <w:pStyle w:val="BodyText"/>
        <w:spacing w:before="20"/>
        <w:ind w:left="3901"/>
      </w:pPr>
      <w:r>
        <w:rPr/>
        <w:t>（</w:t>
      </w:r>
      <w:r>
        <w:rPr>
          <w:rFonts w:ascii="Times New Roman" w:eastAsia="Times New Roman"/>
        </w:rPr>
        <w:t>2</w:t>
      </w:r>
      <w:r>
        <w:rPr/>
        <w:t>）进食：自己从已准备好的碗或碟中取食物放入口中。</w:t>
      </w:r>
    </w:p>
    <w:p>
      <w:pPr>
        <w:pStyle w:val="ListParagraph"/>
        <w:numPr>
          <w:ilvl w:val="0"/>
          <w:numId w:val="12"/>
        </w:numPr>
        <w:tabs>
          <w:tab w:pos="539" w:val="left" w:leader="none"/>
          <w:tab w:pos="3898" w:val="left" w:leader="none"/>
        </w:tabs>
        <w:spacing w:line="240" w:lineRule="auto" w:before="20" w:after="0"/>
        <w:ind w:left="3898" w:right="0" w:hanging="3781"/>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被保险人在其常规职业</w:t>
      </w:r>
      <w:r>
        <w:rPr>
          <w:spacing w:val="-3"/>
          <w:sz w:val="21"/>
        </w:rPr>
        <w:t>工</w:t>
      </w:r>
      <w:r>
        <w:rPr>
          <w:sz w:val="21"/>
        </w:rPr>
        <w:t>作过程中遭遇外伤，或</w:t>
      </w:r>
      <w:r>
        <w:rPr>
          <w:spacing w:val="-3"/>
          <w:sz w:val="21"/>
        </w:rPr>
        <w:t>者</w:t>
      </w:r>
      <w:r>
        <w:rPr>
          <w:sz w:val="21"/>
        </w:rPr>
        <w:t>职业需要处理血</w:t>
      </w:r>
    </w:p>
    <w:p>
      <w:pPr>
        <w:pStyle w:val="BodyText"/>
        <w:spacing w:line="256" w:lineRule="auto" w:before="20"/>
        <w:ind w:left="3898" w:right="1441"/>
      </w:pPr>
      <w:r>
        <w:rPr>
          <w:spacing w:val="-3"/>
          <w:w w:val="100"/>
        </w:rPr>
        <w:t>液或者其他体液时感染上人类免疫缺陷病毒（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rPr>
        <w:t>理赔必须符合下列所有条件：</w:t>
      </w:r>
    </w:p>
    <w:p>
      <w:pPr>
        <w:pStyle w:val="BodyText"/>
        <w:spacing w:line="256" w:lineRule="auto" w:before="22"/>
        <w:ind w:left="3898" w:right="28"/>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898" w:right="99"/>
        <w:jc w:val="both"/>
      </w:pPr>
      <w:r>
        <w:rPr>
          <w:spacing w:val="-26"/>
        </w:rPr>
        <w:t>（</w:t>
      </w:r>
      <w:r>
        <w:rPr>
          <w:rFonts w:ascii="Times New Roman" w:eastAsia="Times New Roman"/>
          <w:spacing w:val="-26"/>
        </w:rPr>
        <w:t>2</w:t>
      </w:r>
      <w:r>
        <w:rPr>
          <w:spacing w:val="-26"/>
        </w:rPr>
        <w:t>）</w:t>
      </w:r>
      <w:r>
        <w:rPr>
          <w:spacing w:val="-5"/>
        </w:rPr>
        <w:t>必须提供被保险人在所报事故发生后的 </w:t>
      </w:r>
      <w:r>
        <w:rPr>
          <w:rFonts w:ascii="Times New Roman" w:eastAsia="Times New Roman"/>
        </w:rPr>
        <w:t>5 </w:t>
      </w:r>
      <w:r>
        <w:rPr>
          <w:spacing w:val="-3"/>
        </w:rPr>
        <w:t>天以内进行的检查报</w:t>
      </w:r>
      <w:r>
        <w:rPr>
          <w:spacing w:val="-5"/>
        </w:rPr>
        <w:t>告，该报告必须显示被保险人血液 </w:t>
      </w:r>
      <w:r>
        <w:rPr>
          <w:rFonts w:ascii="Times New Roman" w:eastAsia="Times New Roman"/>
        </w:rPr>
        <w:t>HIV </w:t>
      </w:r>
      <w:r>
        <w:rPr>
          <w:spacing w:val="-3"/>
        </w:rPr>
        <w:t>病毒阴性和</w:t>
      </w:r>
      <w:r>
        <w:rPr>
          <w:rFonts w:ascii="Times New Roman" w:eastAsia="Times New Roman"/>
        </w:rPr>
        <w:t>/</w:t>
      </w:r>
      <w:r>
        <w:rPr>
          <w:spacing w:val="-16"/>
        </w:rPr>
        <w:t>或 </w:t>
      </w:r>
      <w:r>
        <w:rPr>
          <w:rFonts w:ascii="Times New Roman" w:eastAsia="Times New Roman"/>
        </w:rPr>
        <w:t>HIV </w:t>
      </w:r>
      <w:r>
        <w:rPr>
          <w:spacing w:val="-2"/>
        </w:rPr>
        <w:t>抗体阴性。</w:t>
      </w:r>
    </w:p>
    <w:p>
      <w:pPr>
        <w:pStyle w:val="BodyText"/>
        <w:spacing w:line="256" w:lineRule="auto" w:before="22"/>
        <w:ind w:left="3898" w:right="51"/>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 </w:t>
      </w: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before="5" w:after="34"/>
        <w:ind w:left="3898"/>
        <w:jc w:val="both"/>
        <w:rPr>
          <w:rFonts w:ascii="Times New Roman" w:eastAsia="Times New Roman"/>
        </w:rPr>
      </w:pPr>
      <w:r>
        <w:rPr/>
        <w:t>职业限制如下所示</w:t>
      </w:r>
      <w:r>
        <w:rPr>
          <w:rFonts w:ascii="Times New Roman" w:eastAsia="Times New Roman"/>
        </w:rPr>
        <w:t>:</w:t>
      </w:r>
    </w:p>
    <w:tbl>
      <w:tblPr>
        <w:tblW w:w="0" w:type="auto"/>
        <w:jc w:val="left"/>
        <w:tblInd w:w="3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8"/>
        <w:gridCol w:w="2929"/>
      </w:tblGrid>
      <w:tr>
        <w:trPr>
          <w:trHeight w:val="328" w:hRule="atLeast"/>
        </w:trPr>
        <w:tc>
          <w:tcPr>
            <w:tcW w:w="2828"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929"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28" w:hRule="atLeast"/>
        </w:trPr>
        <w:tc>
          <w:tcPr>
            <w:tcW w:w="2828"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2929"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医院护工</w:t>
            </w:r>
          </w:p>
        </w:tc>
      </w:tr>
      <w:tr>
        <w:trPr>
          <w:trHeight w:val="313" w:hRule="atLeast"/>
        </w:trPr>
        <w:tc>
          <w:tcPr>
            <w:tcW w:w="2828"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医生助理和牙医助理</w:t>
            </w:r>
          </w:p>
        </w:tc>
        <w:tc>
          <w:tcPr>
            <w:tcW w:w="2929"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救护车工作人员</w:t>
            </w:r>
          </w:p>
        </w:tc>
      </w:tr>
      <w:tr>
        <w:trPr>
          <w:trHeight w:val="328" w:hRule="atLeast"/>
        </w:trPr>
        <w:tc>
          <w:tcPr>
            <w:tcW w:w="2828" w:type="dxa"/>
            <w:tcBorders>
              <w:top w:val="single" w:sz="6" w:space="0" w:color="000000"/>
              <w:bottom w:val="single" w:sz="6" w:space="0" w:color="000000"/>
              <w:right w:val="single" w:sz="6" w:space="0" w:color="000000"/>
            </w:tcBorders>
          </w:tcPr>
          <w:p>
            <w:pPr>
              <w:pStyle w:val="TableParagraph"/>
              <w:spacing w:line="263" w:lineRule="exact"/>
              <w:ind w:left="69"/>
              <w:rPr>
                <w:sz w:val="21"/>
              </w:rPr>
            </w:pPr>
            <w:r>
              <w:rPr>
                <w:sz w:val="21"/>
              </w:rPr>
              <w:t>助产士</w:t>
            </w:r>
          </w:p>
        </w:tc>
        <w:tc>
          <w:tcPr>
            <w:tcW w:w="2929" w:type="dxa"/>
            <w:tcBorders>
              <w:top w:val="single" w:sz="6" w:space="0" w:color="000000"/>
              <w:left w:val="single" w:sz="6" w:space="0" w:color="000000"/>
              <w:bottom w:val="single" w:sz="6" w:space="0" w:color="000000"/>
            </w:tcBorders>
          </w:tcPr>
          <w:p>
            <w:pPr>
              <w:pStyle w:val="TableParagraph"/>
              <w:spacing w:line="263" w:lineRule="exact"/>
              <w:ind w:left="66"/>
              <w:rPr>
                <w:sz w:val="21"/>
              </w:rPr>
            </w:pPr>
            <w:r>
              <w:rPr>
                <w:sz w:val="21"/>
              </w:rPr>
              <w:t>消防队员</w:t>
            </w:r>
          </w:p>
        </w:tc>
      </w:tr>
      <w:tr>
        <w:trPr>
          <w:trHeight w:val="313" w:hRule="atLeast"/>
        </w:trPr>
        <w:tc>
          <w:tcPr>
            <w:tcW w:w="2828" w:type="dxa"/>
            <w:tcBorders>
              <w:top w:val="single" w:sz="6" w:space="0" w:color="000000"/>
              <w:right w:val="single" w:sz="6" w:space="0" w:color="000000"/>
            </w:tcBorders>
          </w:tcPr>
          <w:p>
            <w:pPr>
              <w:pStyle w:val="TableParagraph"/>
              <w:spacing w:line="264" w:lineRule="exact"/>
              <w:ind w:left="69"/>
              <w:rPr>
                <w:sz w:val="21"/>
              </w:rPr>
            </w:pPr>
            <w:r>
              <w:rPr>
                <w:sz w:val="21"/>
              </w:rPr>
              <w:t>警察</w:t>
            </w:r>
          </w:p>
        </w:tc>
        <w:tc>
          <w:tcPr>
            <w:tcW w:w="2929" w:type="dxa"/>
            <w:tcBorders>
              <w:top w:val="single" w:sz="6" w:space="0" w:color="000000"/>
              <w:left w:val="single" w:sz="6" w:space="0" w:color="000000"/>
            </w:tcBorders>
          </w:tcPr>
          <w:p>
            <w:pPr>
              <w:pStyle w:val="TableParagraph"/>
              <w:spacing w:line="264" w:lineRule="exact"/>
              <w:ind w:left="66"/>
              <w:rPr>
                <w:sz w:val="21"/>
              </w:rPr>
            </w:pPr>
            <w:r>
              <w:rPr>
                <w:sz w:val="21"/>
              </w:rPr>
              <w:t>狱警</w:t>
            </w:r>
          </w:p>
        </w:tc>
      </w:tr>
    </w:tbl>
    <w:p>
      <w:pPr>
        <w:pStyle w:val="ListParagraph"/>
        <w:numPr>
          <w:ilvl w:val="0"/>
          <w:numId w:val="12"/>
        </w:numPr>
        <w:tabs>
          <w:tab w:pos="539" w:val="left" w:leader="none"/>
          <w:tab w:pos="3898" w:val="left" w:leader="none"/>
        </w:tabs>
        <w:spacing w:line="240" w:lineRule="auto" w:before="0" w:after="0"/>
        <w:ind w:left="3898" w:right="0" w:hanging="3781"/>
        <w:jc w:val="left"/>
        <w:rPr>
          <w:sz w:val="21"/>
        </w:rPr>
      </w:pPr>
      <w:r>
        <w:rPr>
          <w:sz w:val="21"/>
        </w:rPr>
        <w:t>特发</w:t>
      </w:r>
      <w:r>
        <w:rPr>
          <w:spacing w:val="-3"/>
          <w:sz w:val="21"/>
        </w:rPr>
        <w:t>性</w:t>
      </w:r>
      <w:r>
        <w:rPr>
          <w:sz w:val="21"/>
        </w:rPr>
        <w:t>慢</w:t>
      </w:r>
      <w:r>
        <w:rPr>
          <w:spacing w:val="-3"/>
          <w:sz w:val="21"/>
        </w:rPr>
        <w:t>性</w:t>
      </w:r>
      <w:r>
        <w:rPr>
          <w:sz w:val="21"/>
        </w:rPr>
        <w:t>肾</w:t>
      </w:r>
      <w:r>
        <w:rPr>
          <w:spacing w:val="-3"/>
          <w:sz w:val="21"/>
        </w:rPr>
        <w:t>上</w:t>
      </w:r>
      <w:r>
        <w:rPr>
          <w:sz w:val="21"/>
        </w:rPr>
        <w:t>腺</w:t>
      </w:r>
      <w:r>
        <w:rPr>
          <w:spacing w:val="-3"/>
          <w:sz w:val="21"/>
        </w:rPr>
        <w:t>皮</w:t>
      </w:r>
      <w:r>
        <w:rPr>
          <w:sz w:val="21"/>
        </w:rPr>
        <w:t>质</w:t>
      </w:r>
      <w:r>
        <w:rPr>
          <w:spacing w:val="-3"/>
          <w:sz w:val="21"/>
        </w:rPr>
        <w:t>功</w:t>
      </w:r>
      <w:r>
        <w:rPr>
          <w:sz w:val="21"/>
        </w:rPr>
        <w:t>能</w:t>
      </w:r>
      <w:r>
        <w:rPr>
          <w:spacing w:val="-3"/>
          <w:sz w:val="21"/>
        </w:rPr>
        <w:t>减</w:t>
      </w:r>
      <w:r>
        <w:rPr>
          <w:sz w:val="21"/>
        </w:rPr>
        <w:t>退</w:t>
        <w:tab/>
        <w:t>指自身免疫性肾上腺炎</w:t>
      </w:r>
      <w:r>
        <w:rPr>
          <w:spacing w:val="-3"/>
          <w:sz w:val="21"/>
        </w:rPr>
        <w:t>（</w:t>
      </w:r>
      <w:r>
        <w:rPr>
          <w:sz w:val="21"/>
        </w:rPr>
        <w:t>既往称：特发性肾上腺</w:t>
      </w:r>
      <w:r>
        <w:rPr>
          <w:spacing w:val="-3"/>
          <w:sz w:val="21"/>
        </w:rPr>
        <w:t>皮</w:t>
      </w:r>
      <w:r>
        <w:rPr>
          <w:sz w:val="21"/>
        </w:rPr>
        <w:t>质萎缩）导致肾</w:t>
      </w:r>
    </w:p>
    <w:p>
      <w:pPr>
        <w:pStyle w:val="BodyText"/>
        <w:spacing w:before="21"/>
        <w:ind w:left="3898"/>
        <w:jc w:val="both"/>
      </w:pPr>
      <w:r>
        <w:rPr/>
        <w:t>上腺萎缩和慢性肾上腺皮质功能减退。必须满足所有以下条件：</w:t>
      </w:r>
    </w:p>
    <w:p>
      <w:pPr>
        <w:pStyle w:val="BodyText"/>
        <w:spacing w:before="37"/>
        <w:ind w:left="3898"/>
        <w:jc w:val="both"/>
      </w:pPr>
      <w:r>
        <w:rPr/>
        <w:t>（</w:t>
      </w:r>
      <w:r>
        <w:rPr>
          <w:rFonts w:ascii="Times New Roman" w:eastAsia="Times New Roman"/>
        </w:rPr>
        <w:t>1</w:t>
      </w:r>
      <w:r>
        <w:rPr/>
        <w:t>）明确诊断，符合所有以下诊断标准：</w:t>
      </w:r>
    </w:p>
    <w:p>
      <w:pPr>
        <w:pStyle w:val="BodyText"/>
        <w:spacing w:before="21"/>
        <w:ind w:left="4424"/>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21"/>
        <w:ind w:left="3898" w:right="102" w:firstLine="525"/>
        <w:jc w:val="both"/>
      </w:pPr>
      <w:r>
        <w:rPr>
          <w:spacing w:val="-5"/>
        </w:rPr>
        <w:t>② 血浆和尿游离皮质醇及尿 </w:t>
      </w:r>
      <w:r>
        <w:rPr/>
        <w:t>17</w:t>
      </w:r>
      <w:r>
        <w:rPr>
          <w:spacing w:val="-5"/>
        </w:rPr>
        <w:t> 羟皮质类固醇、</w:t>
      </w:r>
      <w:r>
        <w:rPr/>
        <w:t>17</w:t>
      </w:r>
      <w:r>
        <w:rPr>
          <w:spacing w:val="-6"/>
        </w:rPr>
        <w:t> 酮皮质类</w:t>
      </w:r>
      <w:r>
        <w:rPr>
          <w:spacing w:val="-7"/>
        </w:rPr>
        <w:t>固醇测定、血浆肾素活性、血管紧张素 </w:t>
      </w:r>
      <w:r>
        <w:rPr>
          <w:rFonts w:ascii="Times New Roman" w:hAnsi="Times New Roman" w:eastAsia="Times New Roman"/>
        </w:rPr>
        <w:t>II </w:t>
      </w:r>
      <w:r>
        <w:rPr>
          <w:spacing w:val="-2"/>
        </w:rPr>
        <w:t>和醛固酮测定，显示为原</w:t>
      </w:r>
      <w:r>
        <w:rPr>
          <w:spacing w:val="-3"/>
        </w:rPr>
        <w:t>发性肾上腺皮质功能减退症；</w:t>
      </w:r>
    </w:p>
    <w:p>
      <w:pPr>
        <w:spacing w:after="0" w:line="264" w:lineRule="auto"/>
        <w:jc w:val="both"/>
        <w:sectPr>
          <w:pgSz w:w="11910" w:h="16160"/>
          <w:pgMar w:header="0" w:footer="993" w:top="1360" w:bottom="118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30"/>
        <w:gridCol w:w="6535"/>
      </w:tblGrid>
      <w:tr>
        <w:trPr>
          <w:trHeight w:val="1512" w:hRule="atLeast"/>
        </w:trPr>
        <w:tc>
          <w:tcPr>
            <w:tcW w:w="542" w:type="dxa"/>
          </w:tcPr>
          <w:p>
            <w:pPr>
              <w:pStyle w:val="TableParagraph"/>
              <w:ind w:left="0"/>
              <w:rPr>
                <w:rFonts w:ascii="Times New Roman"/>
                <w:sz w:val="20"/>
              </w:rPr>
            </w:pPr>
          </w:p>
        </w:tc>
        <w:tc>
          <w:tcPr>
            <w:tcW w:w="3230" w:type="dxa"/>
          </w:tcPr>
          <w:p>
            <w:pPr>
              <w:pStyle w:val="TableParagraph"/>
              <w:ind w:left="0"/>
              <w:rPr>
                <w:rFonts w:ascii="Times New Roman"/>
                <w:sz w:val="20"/>
              </w:rPr>
            </w:pPr>
          </w:p>
        </w:tc>
        <w:tc>
          <w:tcPr>
            <w:tcW w:w="6535" w:type="dxa"/>
          </w:tcPr>
          <w:p>
            <w:pPr>
              <w:pStyle w:val="TableParagraph"/>
              <w:spacing w:line="234" w:lineRule="exact"/>
              <w:ind w:left="734"/>
              <w:rPr>
                <w:sz w:val="21"/>
              </w:rPr>
            </w:pPr>
            <w:r>
              <w:rPr>
                <w:sz w:val="21"/>
              </w:rPr>
              <w:t>③ 促肾上腺皮质激素</w:t>
            </w:r>
            <w:r>
              <w:rPr>
                <w:rFonts w:ascii="Times New Roman" w:hAnsi="Times New Roman" w:eastAsia="Times New Roman"/>
                <w:sz w:val="21"/>
              </w:rPr>
              <w:t>(ACTH)</w:t>
            </w:r>
            <w:r>
              <w:rPr>
                <w:sz w:val="21"/>
              </w:rPr>
              <w:t>刺激试验显示为原发性肾上腺</w:t>
            </w:r>
          </w:p>
          <w:p>
            <w:pPr>
              <w:pStyle w:val="TableParagraph"/>
              <w:spacing w:before="21"/>
              <w:rPr>
                <w:sz w:val="21"/>
              </w:rPr>
            </w:pPr>
            <w:r>
              <w:rPr>
                <w:sz w:val="21"/>
              </w:rPr>
              <w:t>皮质功能减退症。</w:t>
            </w:r>
          </w:p>
          <w:p>
            <w:pPr>
              <w:pStyle w:val="TableParagraph"/>
              <w:spacing w:before="36"/>
              <w:ind w:left="261"/>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1"/>
              <w:ind w:right="153"/>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tc>
      </w:tr>
      <w:tr>
        <w:trPr>
          <w:trHeight w:val="2496" w:hRule="atLeast"/>
        </w:trPr>
        <w:tc>
          <w:tcPr>
            <w:tcW w:w="542" w:type="dxa"/>
          </w:tcPr>
          <w:p>
            <w:pPr>
              <w:pStyle w:val="TableParagraph"/>
              <w:spacing w:before="38"/>
              <w:ind w:left="0" w:right="77"/>
              <w:jc w:val="right"/>
              <w:rPr>
                <w:rFonts w:ascii="Times New Roman"/>
                <w:sz w:val="21"/>
              </w:rPr>
            </w:pPr>
            <w:r>
              <w:rPr>
                <w:rFonts w:ascii="Times New Roman"/>
                <w:sz w:val="21"/>
              </w:rPr>
              <w:t>29.</w:t>
            </w:r>
          </w:p>
        </w:tc>
        <w:tc>
          <w:tcPr>
            <w:tcW w:w="3230" w:type="dxa"/>
          </w:tcPr>
          <w:p>
            <w:pPr>
              <w:pStyle w:val="TableParagraph"/>
              <w:spacing w:line="266" w:lineRule="exact"/>
              <w:ind w:left="78"/>
              <w:rPr>
                <w:sz w:val="21"/>
              </w:rPr>
            </w:pPr>
            <w:r>
              <w:rPr>
                <w:sz w:val="21"/>
              </w:rPr>
              <w:t>严重冠状动脉粥样硬化性心脏病</w:t>
            </w:r>
          </w:p>
        </w:tc>
        <w:tc>
          <w:tcPr>
            <w:tcW w:w="6535" w:type="dxa"/>
          </w:tcPr>
          <w:p>
            <w:pPr>
              <w:pStyle w:val="TableParagraph"/>
              <w:spacing w:line="273" w:lineRule="auto"/>
              <w:ind w:right="203"/>
              <w:rPr>
                <w:sz w:val="21"/>
              </w:rPr>
            </w:pPr>
            <w:r>
              <w:rPr>
                <w:sz w:val="21"/>
              </w:rPr>
              <w:t>指经心脏科专科医师根据冠状动脉造影检查结果确诊为主要血管严重狭窄性病变，须满足下列至少一项条件：</w:t>
            </w:r>
          </w:p>
          <w:p>
            <w:pPr>
              <w:pStyle w:val="TableParagraph"/>
              <w:spacing w:line="256" w:lineRule="auto" w:before="16"/>
              <w:ind w:right="200"/>
              <w:rPr>
                <w:sz w:val="21"/>
              </w:rPr>
            </w:pPr>
            <w:r>
              <w:rPr>
                <w:sz w:val="21"/>
              </w:rPr>
              <w:t>（</w:t>
            </w:r>
            <w:r>
              <w:rPr>
                <w:rFonts w:ascii="Times New Roman" w:eastAsia="Times New Roman"/>
                <w:sz w:val="21"/>
              </w:rPr>
              <w:t>1</w:t>
            </w:r>
            <w:r>
              <w:rPr>
                <w:sz w:val="21"/>
              </w:rPr>
              <w:t>）左冠状动脉主干和右冠状动脉中，一支血管管腔堵塞 </w:t>
            </w:r>
            <w:r>
              <w:rPr>
                <w:rFonts w:ascii="Times New Roman" w:eastAsia="Times New Roman"/>
                <w:sz w:val="21"/>
              </w:rPr>
              <w:t>75</w:t>
            </w:r>
            <w:r>
              <w:rPr>
                <w:sz w:val="21"/>
              </w:rPr>
              <w:t>％以上，另一支血管管腔堵塞 </w:t>
            </w:r>
            <w:r>
              <w:rPr>
                <w:rFonts w:ascii="Times New Roman" w:eastAsia="Times New Roman"/>
                <w:sz w:val="21"/>
              </w:rPr>
              <w:t>60</w:t>
            </w:r>
            <w:r>
              <w:rPr>
                <w:sz w:val="21"/>
              </w:rPr>
              <w:t>％以上；</w:t>
            </w:r>
          </w:p>
          <w:p>
            <w:pPr>
              <w:pStyle w:val="TableParagraph"/>
              <w:spacing w:before="4"/>
              <w:rPr>
                <w:rFonts w:ascii="Times New Roman" w:eastAsia="Times New Roman"/>
                <w:sz w:val="21"/>
              </w:rPr>
            </w:pPr>
            <w:r>
              <w:rPr>
                <w:sz w:val="21"/>
              </w:rPr>
              <w:t>（</w:t>
            </w:r>
            <w:r>
              <w:rPr>
                <w:rFonts w:ascii="Times New Roman" w:eastAsia="Times New Roman"/>
                <w:sz w:val="21"/>
              </w:rPr>
              <w:t>2</w:t>
            </w:r>
            <w:r>
              <w:rPr>
                <w:sz w:val="21"/>
              </w:rPr>
              <w:t>）前降支、回旋支和右冠状动脉中，至少一支血管管腔堵塞 </w:t>
            </w:r>
            <w:r>
              <w:rPr>
                <w:rFonts w:ascii="Times New Roman" w:eastAsia="Times New Roman"/>
                <w:sz w:val="21"/>
              </w:rPr>
              <w:t>75%</w:t>
            </w:r>
          </w:p>
          <w:p>
            <w:pPr>
              <w:pStyle w:val="TableParagraph"/>
              <w:spacing w:before="21"/>
              <w:rPr>
                <w:sz w:val="21"/>
              </w:rPr>
            </w:pPr>
            <w:r>
              <w:rPr>
                <w:sz w:val="21"/>
              </w:rPr>
              <w:t>以上，其他两支血管管腔堵塞 </w:t>
            </w:r>
            <w:r>
              <w:rPr>
                <w:rFonts w:ascii="Times New Roman" w:eastAsia="Times New Roman"/>
                <w:sz w:val="21"/>
              </w:rPr>
              <w:t>60%</w:t>
            </w:r>
            <w:r>
              <w:rPr>
                <w:sz w:val="21"/>
              </w:rPr>
              <w:t>以上。</w:t>
            </w:r>
          </w:p>
          <w:p>
            <w:pPr>
              <w:pStyle w:val="TableParagraph"/>
              <w:spacing w:line="312" w:lineRule="exact" w:before="17"/>
              <w:ind w:right="203"/>
              <w:rPr>
                <w:sz w:val="21"/>
              </w:rPr>
            </w:pPr>
            <w:r>
              <w:rPr>
                <w:sz w:val="21"/>
              </w:rPr>
              <w:t>前降支的分支血管、左旋支的分支血管及右冠状动脉的分支血管的狭窄不作为本保障的衡量指标。</w:t>
            </w:r>
          </w:p>
        </w:tc>
      </w:tr>
      <w:tr>
        <w:trPr>
          <w:trHeight w:val="1872" w:hRule="atLeast"/>
        </w:trPr>
        <w:tc>
          <w:tcPr>
            <w:tcW w:w="542" w:type="dxa"/>
          </w:tcPr>
          <w:p>
            <w:pPr>
              <w:pStyle w:val="TableParagraph"/>
              <w:spacing w:before="38"/>
              <w:ind w:left="0" w:right="77"/>
              <w:jc w:val="right"/>
              <w:rPr>
                <w:rFonts w:ascii="Times New Roman"/>
                <w:sz w:val="21"/>
              </w:rPr>
            </w:pPr>
            <w:r>
              <w:rPr>
                <w:rFonts w:ascii="Times New Roman"/>
                <w:sz w:val="21"/>
              </w:rPr>
              <w:t>30.</w:t>
            </w:r>
          </w:p>
        </w:tc>
        <w:tc>
          <w:tcPr>
            <w:tcW w:w="3230" w:type="dxa"/>
          </w:tcPr>
          <w:p>
            <w:pPr>
              <w:pStyle w:val="TableParagraph"/>
              <w:spacing w:line="266" w:lineRule="exact"/>
              <w:ind w:left="78"/>
              <w:rPr>
                <w:sz w:val="21"/>
              </w:rPr>
            </w:pPr>
            <w:r>
              <w:rPr>
                <w:sz w:val="21"/>
              </w:rPr>
              <w:t>脊髓灰质炎</w:t>
            </w:r>
          </w:p>
        </w:tc>
        <w:tc>
          <w:tcPr>
            <w:tcW w:w="6535" w:type="dxa"/>
          </w:tcPr>
          <w:p>
            <w:pPr>
              <w:pStyle w:val="TableParagraph"/>
              <w:spacing w:line="268" w:lineRule="auto"/>
              <w:ind w:right="204"/>
              <w:rPr>
                <w:sz w:val="21"/>
              </w:rPr>
            </w:pPr>
            <w:r>
              <w:rPr>
                <w:spacing w:val="-2"/>
                <w:sz w:val="21"/>
              </w:rPr>
              <w:t>脊髓灰质炎是由于脊髓灰质炎病毒感染所致的瘫痪性疾病，临床表</w:t>
            </w:r>
            <w:r>
              <w:rPr>
                <w:spacing w:val="-3"/>
                <w:sz w:val="21"/>
              </w:rPr>
              <w:t>现为运动功能损害或呼吸无力。脊髓灰质炎必须明确诊断。本合同仅对脊髓灰质炎造成的神经系统功能损害导致被保险人一肢或一肢以上肢体机能永久完全丧失的情况予以理赔。肢体机能永久完全丧</w:t>
            </w:r>
            <w:r>
              <w:rPr>
                <w:spacing w:val="-16"/>
                <w:sz w:val="21"/>
              </w:rPr>
              <w:t>失，指疾病确诊</w:t>
            </w:r>
            <w:r>
              <w:rPr>
                <w:rFonts w:ascii="Times New Roman" w:eastAsia="Times New Roman"/>
                <w:sz w:val="21"/>
              </w:rPr>
              <w:t>180</w:t>
            </w:r>
            <w:r>
              <w:rPr>
                <w:spacing w:val="-11"/>
                <w:sz w:val="21"/>
              </w:rPr>
              <w:t>天后，每肢三大关节中的两大关节仍然完全僵硬</w:t>
            </w:r>
            <w:r>
              <w:rPr>
                <w:spacing w:val="-6"/>
                <w:sz w:val="21"/>
              </w:rPr>
              <w:t>或不能随意识活动。</w:t>
            </w:r>
          </w:p>
        </w:tc>
      </w:tr>
      <w:tr>
        <w:trPr>
          <w:trHeight w:val="4368" w:hRule="atLeast"/>
        </w:trPr>
        <w:tc>
          <w:tcPr>
            <w:tcW w:w="542" w:type="dxa"/>
          </w:tcPr>
          <w:p>
            <w:pPr>
              <w:pStyle w:val="TableParagraph"/>
              <w:spacing w:before="38"/>
              <w:ind w:left="0" w:right="77"/>
              <w:jc w:val="right"/>
              <w:rPr>
                <w:rFonts w:ascii="Times New Roman"/>
                <w:sz w:val="21"/>
              </w:rPr>
            </w:pPr>
            <w:r>
              <w:rPr>
                <w:rFonts w:ascii="Times New Roman"/>
                <w:sz w:val="21"/>
              </w:rPr>
              <w:t>31.</w:t>
            </w:r>
          </w:p>
        </w:tc>
        <w:tc>
          <w:tcPr>
            <w:tcW w:w="3230" w:type="dxa"/>
          </w:tcPr>
          <w:p>
            <w:pPr>
              <w:pStyle w:val="TableParagraph"/>
              <w:spacing w:line="266" w:lineRule="exact"/>
              <w:ind w:left="78"/>
              <w:rPr>
                <w:sz w:val="21"/>
              </w:rPr>
            </w:pPr>
            <w:r>
              <w:rPr>
                <w:sz w:val="21"/>
              </w:rPr>
              <w:t>全身性（型）重症肌无力</w:t>
            </w:r>
          </w:p>
        </w:tc>
        <w:tc>
          <w:tcPr>
            <w:tcW w:w="6535" w:type="dxa"/>
          </w:tcPr>
          <w:p>
            <w:pPr>
              <w:pStyle w:val="TableParagraph"/>
              <w:spacing w:line="273" w:lineRule="auto"/>
              <w:ind w:right="204"/>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spacing w:line="256" w:lineRule="auto" w:before="17"/>
              <w:ind w:right="200"/>
              <w:jc w:val="both"/>
              <w:rPr>
                <w:sz w:val="21"/>
              </w:rPr>
            </w:pPr>
            <w:r>
              <w:rPr>
                <w:spacing w:val="-10"/>
                <w:sz w:val="21"/>
              </w:rPr>
              <w:t>（</w:t>
            </w:r>
            <w:r>
              <w:rPr>
                <w:rFonts w:ascii="Times New Roman" w:eastAsia="Times New Roman"/>
                <w:spacing w:val="-10"/>
                <w:sz w:val="21"/>
              </w:rPr>
              <w:t>1</w:t>
            </w:r>
            <w:r>
              <w:rPr>
                <w:spacing w:val="-10"/>
                <w:sz w:val="21"/>
              </w:rPr>
              <w:t>）</w:t>
            </w:r>
            <w:r>
              <w:rPr>
                <w:spacing w:val="-8"/>
                <w:sz w:val="21"/>
              </w:rPr>
              <w:t>经药物、胸腺手术治疗一年以上无法控制病情，丧失正常工作</w:t>
            </w:r>
            <w:r>
              <w:rPr>
                <w:spacing w:val="-8"/>
                <w:w w:val="100"/>
                <w:sz w:val="21"/>
              </w:rPr>
              <w:t>能力</w:t>
            </w:r>
            <w:r>
              <w:rPr>
                <w:spacing w:val="-3"/>
                <w:w w:val="100"/>
                <w:sz w:val="21"/>
              </w:rPr>
              <w:t>（为维持生命必要的日常生活活动，全需他人扶助</w:t>
            </w:r>
            <w:r>
              <w:rPr>
                <w:spacing w:val="-108"/>
                <w:w w:val="100"/>
                <w:sz w:val="21"/>
              </w:rPr>
              <w:t>）</w:t>
            </w:r>
            <w:r>
              <w:rPr>
                <w:w w:val="100"/>
                <w:sz w:val="21"/>
              </w:rPr>
              <w:t>（注</w:t>
            </w:r>
            <w:r>
              <w:rPr>
                <w:spacing w:val="-108"/>
                <w:w w:val="100"/>
                <w:sz w:val="21"/>
              </w:rPr>
              <w:t>）</w:t>
            </w:r>
            <w:r>
              <w:rPr>
                <w:w w:val="100"/>
                <w:sz w:val="21"/>
              </w:rPr>
              <w:t>；</w:t>
            </w:r>
          </w:p>
          <w:p>
            <w:pPr>
              <w:pStyle w:val="TableParagraph"/>
              <w:spacing w:line="264" w:lineRule="auto" w:before="22"/>
              <w:ind w:right="200"/>
              <w:jc w:val="both"/>
              <w:rPr>
                <w:sz w:val="21"/>
              </w:rPr>
            </w:pPr>
            <w:r>
              <w:rPr>
                <w:spacing w:val="-10"/>
                <w:sz w:val="21"/>
              </w:rPr>
              <w:t>（</w:t>
            </w:r>
            <w:r>
              <w:rPr>
                <w:rFonts w:ascii="Times New Roman" w:eastAsia="Times New Roman"/>
                <w:spacing w:val="-10"/>
                <w:sz w:val="21"/>
              </w:rPr>
              <w:t>2</w:t>
            </w:r>
            <w:r>
              <w:rPr>
                <w:spacing w:val="-10"/>
                <w:sz w:val="21"/>
              </w:rPr>
              <w:t>）</w:t>
            </w:r>
            <w:r>
              <w:rPr>
                <w:spacing w:val="-6"/>
                <w:sz w:val="21"/>
              </w:rPr>
              <w:t>出现因延髓肌受累引起的构音困难、进食呛咳；或由于肌无力累及延髓肌、呼吸肌而致机体呼吸功能不正常的危急状态即肌无力危象；</w:t>
            </w:r>
          </w:p>
          <w:p>
            <w:pPr>
              <w:pStyle w:val="TableParagraph"/>
              <w:spacing w:line="256" w:lineRule="auto" w:before="15"/>
              <w:ind w:right="200"/>
              <w:jc w:val="both"/>
              <w:rPr>
                <w:sz w:val="21"/>
              </w:rPr>
            </w:pPr>
            <w:r>
              <w:rPr>
                <w:spacing w:val="-10"/>
                <w:sz w:val="21"/>
              </w:rPr>
              <w:t>（</w:t>
            </w:r>
            <w:r>
              <w:rPr>
                <w:rFonts w:ascii="Times New Roman" w:eastAsia="Times New Roman"/>
                <w:spacing w:val="-10"/>
                <w:sz w:val="21"/>
              </w:rPr>
              <w:t>3</w:t>
            </w:r>
            <w:r>
              <w:rPr>
                <w:spacing w:val="-10"/>
                <w:sz w:val="21"/>
              </w:rPr>
              <w:t>）</w:t>
            </w:r>
            <w:r>
              <w:rPr>
                <w:spacing w:val="-9"/>
                <w:sz w:val="21"/>
              </w:rPr>
              <w:t>症状缓解、复发及恶化交替出现，临床接受新斯的明等抗胆碱</w:t>
            </w:r>
            <w:r>
              <w:rPr>
                <w:spacing w:val="-5"/>
                <w:sz w:val="21"/>
              </w:rPr>
              <w:t>酯酶药物治疗的病史。</w:t>
            </w:r>
          </w:p>
          <w:p>
            <w:pPr>
              <w:pStyle w:val="TableParagraph"/>
              <w:spacing w:line="312" w:lineRule="exact" w:before="17"/>
              <w:ind w:right="203"/>
              <w:rPr>
                <w:sz w:val="21"/>
              </w:rPr>
            </w:pPr>
            <w:r>
              <w:rPr>
                <w:spacing w:val="-10"/>
                <w:sz w:val="21"/>
              </w:rPr>
              <w:t>注：为维持生命必要的日常生活活动，全需他人扶助系指食物摄取大小便始末、穿脱衣服、起居、步行、入浴等，皆不能自己为之， </w:t>
            </w:r>
            <w:r>
              <w:rPr>
                <w:spacing w:val="-5"/>
                <w:sz w:val="21"/>
              </w:rPr>
              <w:t>需要他人帮助。</w:t>
            </w:r>
          </w:p>
        </w:tc>
      </w:tr>
      <w:tr>
        <w:trPr>
          <w:trHeight w:val="1248" w:hRule="atLeast"/>
        </w:trPr>
        <w:tc>
          <w:tcPr>
            <w:tcW w:w="542" w:type="dxa"/>
          </w:tcPr>
          <w:p>
            <w:pPr>
              <w:pStyle w:val="TableParagraph"/>
              <w:spacing w:before="38"/>
              <w:ind w:left="0" w:right="77"/>
              <w:jc w:val="right"/>
              <w:rPr>
                <w:rFonts w:ascii="Times New Roman"/>
                <w:sz w:val="21"/>
              </w:rPr>
            </w:pPr>
            <w:r>
              <w:rPr>
                <w:rFonts w:ascii="Times New Roman"/>
                <w:sz w:val="21"/>
              </w:rPr>
              <w:t>32.</w:t>
            </w:r>
          </w:p>
        </w:tc>
        <w:tc>
          <w:tcPr>
            <w:tcW w:w="3230" w:type="dxa"/>
          </w:tcPr>
          <w:p>
            <w:pPr>
              <w:pStyle w:val="TableParagraph"/>
              <w:spacing w:line="266" w:lineRule="exact"/>
              <w:ind w:left="78"/>
              <w:rPr>
                <w:sz w:val="21"/>
              </w:rPr>
            </w:pPr>
            <w:r>
              <w:rPr>
                <w:sz w:val="21"/>
              </w:rPr>
              <w:t>严重心肌病</w:t>
            </w:r>
          </w:p>
        </w:tc>
        <w:tc>
          <w:tcPr>
            <w:tcW w:w="6535" w:type="dxa"/>
          </w:tcPr>
          <w:p>
            <w:pPr>
              <w:pStyle w:val="TableParagraph"/>
              <w:spacing w:line="266" w:lineRule="auto"/>
              <w:ind w:right="198"/>
              <w:jc w:val="both"/>
              <w:rPr>
                <w:sz w:val="21"/>
              </w:rPr>
            </w:pPr>
            <w:r>
              <w:rPr>
                <w:spacing w:val="-2"/>
                <w:sz w:val="21"/>
              </w:rPr>
              <w:t>指被保人因心肌病导致慢性心功能损害造成永久不可逆性的心功能</w:t>
            </w:r>
            <w:r>
              <w:rPr>
                <w:spacing w:val="-3"/>
                <w:sz w:val="21"/>
              </w:rPr>
              <w:t>衰竭。心功能衰竭程度达到纽约心脏病学会的心功能分级标准之心</w:t>
            </w:r>
            <w:r>
              <w:rPr>
                <w:spacing w:val="-16"/>
                <w:sz w:val="21"/>
              </w:rPr>
              <w:t>功能 </w:t>
            </w:r>
            <w:r>
              <w:rPr>
                <w:rFonts w:ascii="Times New Roman" w:eastAsia="Times New Roman"/>
                <w:sz w:val="21"/>
              </w:rPr>
              <w:t>IV </w:t>
            </w:r>
            <w:r>
              <w:rPr>
                <w:spacing w:val="-10"/>
                <w:sz w:val="21"/>
              </w:rPr>
              <w:t>级。被保险人永久不可逆性的体力活动能力受限，不能从事</w:t>
            </w:r>
            <w:r>
              <w:rPr>
                <w:spacing w:val="-5"/>
                <w:sz w:val="21"/>
              </w:rPr>
              <w:t>任何体力活动。</w:t>
            </w:r>
          </w:p>
        </w:tc>
      </w:tr>
      <w:tr>
        <w:trPr>
          <w:trHeight w:val="936" w:hRule="atLeast"/>
        </w:trPr>
        <w:tc>
          <w:tcPr>
            <w:tcW w:w="542" w:type="dxa"/>
          </w:tcPr>
          <w:p>
            <w:pPr>
              <w:pStyle w:val="TableParagraph"/>
              <w:spacing w:before="38"/>
              <w:ind w:left="0" w:right="77"/>
              <w:jc w:val="right"/>
              <w:rPr>
                <w:rFonts w:ascii="Times New Roman"/>
                <w:sz w:val="21"/>
              </w:rPr>
            </w:pPr>
            <w:r>
              <w:rPr>
                <w:rFonts w:ascii="Times New Roman"/>
                <w:sz w:val="21"/>
              </w:rPr>
              <w:t>33.</w:t>
            </w:r>
          </w:p>
        </w:tc>
        <w:tc>
          <w:tcPr>
            <w:tcW w:w="3230" w:type="dxa"/>
          </w:tcPr>
          <w:p>
            <w:pPr>
              <w:pStyle w:val="TableParagraph"/>
              <w:spacing w:line="282" w:lineRule="exact"/>
              <w:ind w:left="78"/>
              <w:rPr>
                <w:sz w:val="21"/>
              </w:rPr>
            </w:pPr>
            <w:r>
              <w:rPr>
                <w:sz w:val="21"/>
              </w:rPr>
              <w:t>严重克罗恩病（</w:t>
            </w:r>
            <w:r>
              <w:rPr>
                <w:rFonts w:ascii="Times New Roman" w:hAnsi="Times New Roman" w:eastAsia="Times New Roman"/>
                <w:sz w:val="21"/>
              </w:rPr>
              <w:t>Crohn’s </w:t>
            </w:r>
            <w:r>
              <w:rPr>
                <w:sz w:val="21"/>
              </w:rPr>
              <w:t>病）</w:t>
            </w:r>
          </w:p>
        </w:tc>
        <w:tc>
          <w:tcPr>
            <w:tcW w:w="6535" w:type="dxa"/>
          </w:tcPr>
          <w:p>
            <w:pPr>
              <w:pStyle w:val="TableParagraph"/>
              <w:spacing w:line="273" w:lineRule="auto"/>
              <w:ind w:right="203"/>
              <w:rPr>
                <w:sz w:val="21"/>
              </w:rPr>
            </w:pPr>
            <w:r>
              <w:rPr>
                <w:sz w:val="21"/>
              </w:rPr>
              <w:t>克罗恩病是一种慢性肉芽肿性肠炎，具有特征性的克罗恩病病理组织学变化。诊断必须由病理检查结果证实。被保险人所患的克罗恩</w:t>
            </w:r>
          </w:p>
          <w:p>
            <w:pPr>
              <w:pStyle w:val="TableParagraph"/>
              <w:spacing w:before="16"/>
              <w:rPr>
                <w:sz w:val="21"/>
              </w:rPr>
            </w:pPr>
            <w:r>
              <w:rPr>
                <w:sz w:val="21"/>
              </w:rPr>
              <w:t>病必须已经造成瘘管形成并伴有肠梗阻或肠穿孔。</w:t>
            </w:r>
          </w:p>
        </w:tc>
      </w:tr>
      <w:tr>
        <w:trPr>
          <w:trHeight w:val="890" w:hRule="atLeast"/>
        </w:trPr>
        <w:tc>
          <w:tcPr>
            <w:tcW w:w="542" w:type="dxa"/>
          </w:tcPr>
          <w:p>
            <w:pPr>
              <w:pStyle w:val="TableParagraph"/>
              <w:spacing w:before="38"/>
              <w:ind w:left="0" w:right="77"/>
              <w:jc w:val="right"/>
              <w:rPr>
                <w:rFonts w:ascii="Times New Roman"/>
                <w:sz w:val="21"/>
              </w:rPr>
            </w:pPr>
            <w:r>
              <w:rPr>
                <w:rFonts w:ascii="Times New Roman"/>
                <w:sz w:val="21"/>
              </w:rPr>
              <w:t>34.</w:t>
            </w:r>
          </w:p>
        </w:tc>
        <w:tc>
          <w:tcPr>
            <w:tcW w:w="3230" w:type="dxa"/>
          </w:tcPr>
          <w:p>
            <w:pPr>
              <w:pStyle w:val="TableParagraph"/>
              <w:spacing w:line="266" w:lineRule="exact"/>
              <w:ind w:left="78"/>
              <w:rPr>
                <w:sz w:val="21"/>
              </w:rPr>
            </w:pPr>
            <w:r>
              <w:rPr>
                <w:sz w:val="21"/>
              </w:rPr>
              <w:t>严重溃疡性结肠炎</w:t>
            </w:r>
          </w:p>
        </w:tc>
        <w:tc>
          <w:tcPr>
            <w:tcW w:w="6535" w:type="dxa"/>
          </w:tcPr>
          <w:p>
            <w:pPr>
              <w:pStyle w:val="TableParagraph"/>
              <w:spacing w:line="273" w:lineRule="auto"/>
              <w:ind w:right="203"/>
              <w:rPr>
                <w:sz w:val="21"/>
              </w:rPr>
            </w:pPr>
            <w:r>
              <w:rPr>
                <w:sz w:val="21"/>
              </w:rPr>
              <w:t>本合同所保障的溃疡性结肠炎是指伴有致命性电解质紊乱的急性暴发性溃疡性结肠炎，病变累及全结肠，表现为严重的血便和系统性</w:t>
            </w:r>
          </w:p>
          <w:p>
            <w:pPr>
              <w:pStyle w:val="TableParagraph"/>
              <w:spacing w:line="255" w:lineRule="exact" w:before="16"/>
              <w:rPr>
                <w:sz w:val="21"/>
              </w:rPr>
            </w:pPr>
            <w:r>
              <w:rPr>
                <w:sz w:val="21"/>
              </w:rPr>
              <w:t>症状体征。溃疡性结肠炎必须根据组织病理学特点诊断，并且被保</w:t>
            </w:r>
          </w:p>
        </w:tc>
      </w:tr>
    </w:tbl>
    <w:p>
      <w:pPr>
        <w:spacing w:after="0" w:line="255" w:lineRule="exact"/>
        <w:rPr>
          <w:sz w:val="21"/>
        </w:rPr>
        <w:sectPr>
          <w:pgSz w:w="11910" w:h="16160"/>
          <w:pgMar w:header="0" w:footer="993" w:top="1420" w:bottom="1180" w:left="760" w:right="620"/>
        </w:sectPr>
      </w:pPr>
    </w:p>
    <w:p>
      <w:pPr>
        <w:pStyle w:val="BodyText"/>
        <w:spacing w:before="27"/>
        <w:ind w:left="3898"/>
      </w:pPr>
      <w:r>
        <w:rPr/>
        <w:t>险人已经接受了结肠切除和</w:t>
      </w:r>
      <w:r>
        <w:rPr>
          <w:rFonts w:ascii="Times New Roman" w:eastAsia="Times New Roman"/>
        </w:rPr>
        <w:t>/</w:t>
      </w:r>
      <w:r>
        <w:rPr/>
        <w:t>或回肠造瘘术。</w:t>
      </w:r>
    </w:p>
    <w:p>
      <w:pPr>
        <w:pStyle w:val="ListParagraph"/>
        <w:numPr>
          <w:ilvl w:val="0"/>
          <w:numId w:val="13"/>
        </w:numPr>
        <w:tabs>
          <w:tab w:pos="539" w:val="left" w:leader="none"/>
          <w:tab w:pos="3898" w:val="left" w:leader="none"/>
        </w:tabs>
        <w:spacing w:line="264" w:lineRule="auto" w:before="33" w:after="0"/>
        <w:ind w:left="3898" w:right="100" w:hanging="3781"/>
        <w:jc w:val="both"/>
        <w:rPr>
          <w:sz w:val="21"/>
        </w:rPr>
      </w:pPr>
      <w:r>
        <w:rPr>
          <w:sz w:val="21"/>
        </w:rPr>
        <w:t>植物</w:t>
      </w:r>
      <w:r>
        <w:rPr>
          <w:spacing w:val="-3"/>
          <w:sz w:val="21"/>
        </w:rPr>
        <w:t>人</w:t>
      </w:r>
      <w:r>
        <w:rPr>
          <w:sz w:val="21"/>
        </w:rPr>
        <w:t>状态</w:t>
        <w:tab/>
      </w:r>
      <w:r>
        <w:rPr>
          <w:spacing w:val="2"/>
          <w:sz w:val="21"/>
        </w:rPr>
        <w:t>植</w:t>
      </w:r>
      <w:r>
        <w:rPr>
          <w:spacing w:val="5"/>
          <w:sz w:val="21"/>
        </w:rPr>
        <w:t>物</w:t>
      </w:r>
      <w:r>
        <w:rPr>
          <w:spacing w:val="2"/>
          <w:sz w:val="21"/>
        </w:rPr>
        <w:t>人状态系</w:t>
      </w:r>
      <w:r>
        <w:rPr>
          <w:spacing w:val="5"/>
          <w:sz w:val="21"/>
        </w:rPr>
        <w:t>指</w:t>
      </w:r>
      <w:r>
        <w:rPr>
          <w:spacing w:val="2"/>
          <w:sz w:val="21"/>
        </w:rPr>
        <w:t>由于严重颅</w:t>
      </w:r>
      <w:r>
        <w:rPr>
          <w:spacing w:val="5"/>
          <w:sz w:val="21"/>
        </w:rPr>
        <w:t>脑</w:t>
      </w:r>
      <w:r>
        <w:rPr>
          <w:spacing w:val="2"/>
          <w:sz w:val="21"/>
        </w:rPr>
        <w:t>外伤造成</w:t>
      </w:r>
      <w:r>
        <w:rPr>
          <w:spacing w:val="5"/>
          <w:sz w:val="21"/>
        </w:rPr>
        <w:t>大</w:t>
      </w:r>
      <w:r>
        <w:rPr>
          <w:spacing w:val="2"/>
          <w:sz w:val="21"/>
        </w:rPr>
        <w:t>脑</w:t>
      </w:r>
      <w:r>
        <w:rPr>
          <w:spacing w:val="10"/>
          <w:sz w:val="21"/>
        </w:rPr>
        <w:t>和</w:t>
      </w:r>
      <w:r>
        <w:rPr>
          <w:rFonts w:ascii="Times New Roman" w:eastAsia="Times New Roman"/>
          <w:sz w:val="21"/>
        </w:rPr>
        <w:t>/</w:t>
      </w:r>
      <w:r>
        <w:rPr>
          <w:spacing w:val="2"/>
          <w:sz w:val="21"/>
        </w:rPr>
        <w:t>或脑干</w:t>
      </w:r>
      <w:r>
        <w:rPr>
          <w:spacing w:val="5"/>
          <w:sz w:val="21"/>
        </w:rPr>
        <w:t>严</w:t>
      </w:r>
      <w:r>
        <w:rPr>
          <w:spacing w:val="2"/>
          <w:sz w:val="21"/>
        </w:rPr>
        <w:t>重损</w:t>
      </w:r>
      <w:r>
        <w:rPr>
          <w:spacing w:val="5"/>
          <w:sz w:val="21"/>
        </w:rPr>
        <w:t>害</w:t>
      </w:r>
      <w:r>
        <w:rPr>
          <w:sz w:val="21"/>
        </w:rPr>
        <w:t>导 </w:t>
      </w:r>
      <w:r>
        <w:rPr>
          <w:spacing w:val="5"/>
          <w:sz w:val="21"/>
        </w:rPr>
        <w:t>致</w:t>
      </w:r>
      <w:r>
        <w:rPr>
          <w:spacing w:val="7"/>
          <w:sz w:val="21"/>
        </w:rPr>
        <w:t>完</w:t>
      </w:r>
      <w:r>
        <w:rPr>
          <w:spacing w:val="5"/>
          <w:sz w:val="21"/>
        </w:rPr>
        <w:t>全永久性</w:t>
      </w:r>
      <w:r>
        <w:rPr>
          <w:spacing w:val="7"/>
          <w:sz w:val="21"/>
        </w:rPr>
        <w:t>的</w:t>
      </w:r>
      <w:r>
        <w:rPr>
          <w:spacing w:val="5"/>
          <w:sz w:val="21"/>
        </w:rPr>
        <w:t>对自身和环</w:t>
      </w:r>
      <w:r>
        <w:rPr>
          <w:spacing w:val="7"/>
          <w:sz w:val="21"/>
        </w:rPr>
        <w:t>境</w:t>
      </w:r>
      <w:r>
        <w:rPr>
          <w:spacing w:val="5"/>
          <w:sz w:val="21"/>
        </w:rPr>
        <w:t>的意识丧</w:t>
      </w:r>
      <w:r>
        <w:rPr>
          <w:spacing w:val="7"/>
          <w:sz w:val="21"/>
        </w:rPr>
        <w:t>失</w:t>
      </w:r>
      <w:r>
        <w:rPr>
          <w:spacing w:val="5"/>
          <w:sz w:val="21"/>
        </w:rPr>
        <w:t>和中枢神经</w:t>
      </w:r>
      <w:r>
        <w:rPr>
          <w:spacing w:val="7"/>
          <w:sz w:val="21"/>
        </w:rPr>
        <w:t>系</w:t>
      </w:r>
      <w:r>
        <w:rPr>
          <w:spacing w:val="5"/>
          <w:sz w:val="21"/>
        </w:rPr>
        <w:t>统功</w:t>
      </w:r>
      <w:r>
        <w:rPr>
          <w:spacing w:val="7"/>
          <w:sz w:val="21"/>
        </w:rPr>
        <w:t>能</w:t>
      </w:r>
      <w:r>
        <w:rPr>
          <w:sz w:val="21"/>
        </w:rPr>
        <w:t>丧失，仅残存植物神经功</w:t>
      </w:r>
      <w:r>
        <w:rPr>
          <w:spacing w:val="-3"/>
          <w:sz w:val="21"/>
        </w:rPr>
        <w:t>能</w:t>
      </w:r>
      <w:r>
        <w:rPr>
          <w:sz w:val="21"/>
        </w:rPr>
        <w:t>的疾病状态。对自身和</w:t>
      </w:r>
      <w:r>
        <w:rPr>
          <w:spacing w:val="-3"/>
          <w:sz w:val="21"/>
        </w:rPr>
        <w:t>环</w:t>
      </w:r>
      <w:r>
        <w:rPr>
          <w:sz w:val="21"/>
        </w:rPr>
        <w:t>境的意识丧失的完全永久性指严重颅脑外伤后对自身和环境的意识丧失持续</w:t>
      </w:r>
      <w:r>
        <w:rPr>
          <w:spacing w:val="16"/>
          <w:sz w:val="21"/>
        </w:rPr>
        <w:t> </w:t>
      </w:r>
      <w:r>
        <w:rPr>
          <w:rFonts w:ascii="Times New Roman" w:eastAsia="Times New Roman"/>
          <w:sz w:val="21"/>
        </w:rPr>
        <w:t>12</w:t>
      </w:r>
      <w:r>
        <w:rPr>
          <w:rFonts w:ascii="Times New Roman" w:eastAsia="Times New Roman"/>
          <w:spacing w:val="15"/>
          <w:sz w:val="21"/>
        </w:rPr>
        <w:t> </w:t>
      </w:r>
      <w:r>
        <w:rPr>
          <w:sz w:val="21"/>
        </w:rPr>
        <w:t>个</w:t>
      </w:r>
      <w:r>
        <w:rPr>
          <w:spacing w:val="-1"/>
          <w:sz w:val="21"/>
        </w:rPr>
        <w:t>月</w:t>
      </w:r>
      <w:r>
        <w:rPr>
          <w:sz w:val="21"/>
        </w:rPr>
        <w:t>以</w:t>
      </w:r>
      <w:r>
        <w:rPr>
          <w:spacing w:val="-3"/>
          <w:sz w:val="21"/>
        </w:rPr>
        <w:t>上</w:t>
      </w:r>
      <w:r>
        <w:rPr>
          <w:sz w:val="21"/>
        </w:rPr>
        <w:t>。</w:t>
      </w:r>
      <w:r>
        <w:rPr>
          <w:spacing w:val="-3"/>
          <w:sz w:val="21"/>
        </w:rPr>
        <w:t>诊</w:t>
      </w:r>
      <w:r>
        <w:rPr>
          <w:sz w:val="21"/>
        </w:rPr>
        <w:t>断</w:t>
      </w:r>
      <w:r>
        <w:rPr>
          <w:spacing w:val="-3"/>
          <w:sz w:val="21"/>
        </w:rPr>
        <w:t>必</w:t>
      </w:r>
      <w:r>
        <w:rPr>
          <w:sz w:val="21"/>
        </w:rPr>
        <w:t>须</w:t>
      </w:r>
      <w:r>
        <w:rPr>
          <w:spacing w:val="-3"/>
          <w:sz w:val="21"/>
        </w:rPr>
        <w:t>明</w:t>
      </w:r>
      <w:r>
        <w:rPr>
          <w:sz w:val="21"/>
        </w:rPr>
        <w:t>确</w:t>
      </w:r>
      <w:r>
        <w:rPr>
          <w:spacing w:val="-3"/>
          <w:sz w:val="21"/>
        </w:rPr>
        <w:t>并</w:t>
      </w:r>
      <w:r>
        <w:rPr>
          <w:sz w:val="21"/>
        </w:rPr>
        <w:t>且具</w:t>
      </w:r>
      <w:r>
        <w:rPr>
          <w:spacing w:val="-3"/>
          <w:sz w:val="21"/>
        </w:rPr>
        <w:t>有</w:t>
      </w:r>
      <w:r>
        <w:rPr>
          <w:sz w:val="21"/>
        </w:rPr>
        <w:t>严</w:t>
      </w:r>
      <w:r>
        <w:rPr>
          <w:spacing w:val="-3"/>
          <w:sz w:val="21"/>
        </w:rPr>
        <w:t>重</w:t>
      </w:r>
      <w:r>
        <w:rPr>
          <w:sz w:val="21"/>
        </w:rPr>
        <w:t>颅</w:t>
      </w:r>
      <w:r>
        <w:rPr>
          <w:spacing w:val="-3"/>
          <w:sz w:val="21"/>
        </w:rPr>
        <w:t>脑</w:t>
      </w:r>
      <w:r>
        <w:rPr>
          <w:sz w:val="21"/>
        </w:rPr>
        <w:t>外</w:t>
      </w:r>
      <w:r>
        <w:rPr>
          <w:spacing w:val="-3"/>
          <w:sz w:val="21"/>
        </w:rPr>
        <w:t>伤</w:t>
      </w:r>
      <w:r>
        <w:rPr>
          <w:sz w:val="21"/>
        </w:rPr>
        <w:t>和</w:t>
      </w:r>
      <w:r>
        <w:rPr>
          <w:spacing w:val="-3"/>
          <w:sz w:val="21"/>
        </w:rPr>
        <w:t>脑</w:t>
      </w:r>
      <w:r>
        <w:rPr>
          <w:sz w:val="21"/>
        </w:rPr>
        <w:t>损害</w:t>
      </w:r>
      <w:r>
        <w:rPr>
          <w:spacing w:val="-3"/>
          <w:sz w:val="21"/>
        </w:rPr>
        <w:t>的</w:t>
      </w:r>
      <w:r>
        <w:rPr>
          <w:sz w:val="21"/>
        </w:rPr>
        <w:t>证</w:t>
      </w:r>
      <w:r>
        <w:rPr>
          <w:spacing w:val="-3"/>
          <w:sz w:val="21"/>
        </w:rPr>
        <w:t>据</w:t>
      </w:r>
      <w:r>
        <w:rPr>
          <w:sz w:val="21"/>
        </w:rPr>
        <w:t>。</w:t>
      </w:r>
    </w:p>
    <w:p>
      <w:pPr>
        <w:pStyle w:val="ListParagraph"/>
        <w:numPr>
          <w:ilvl w:val="0"/>
          <w:numId w:val="13"/>
        </w:numPr>
        <w:tabs>
          <w:tab w:pos="539" w:val="left" w:leader="none"/>
          <w:tab w:pos="3898" w:val="left" w:leader="none"/>
        </w:tabs>
        <w:spacing w:line="240" w:lineRule="auto" w:before="16" w:after="0"/>
        <w:ind w:left="3898" w:right="0" w:hanging="3781"/>
        <w:jc w:val="left"/>
        <w:rPr>
          <w:sz w:val="21"/>
        </w:rPr>
      </w:pPr>
      <w:r>
        <w:rPr>
          <w:sz w:val="21"/>
        </w:rPr>
        <w:t>严重</w:t>
      </w:r>
      <w:r>
        <w:rPr>
          <w:spacing w:val="-50"/>
          <w:sz w:val="21"/>
        </w:rPr>
        <w:t> </w:t>
      </w:r>
      <w:r>
        <w:rPr>
          <w:rFonts w:ascii="Times New Roman" w:eastAsia="Times New Roman"/>
          <w:sz w:val="21"/>
        </w:rPr>
        <w:t>1 </w:t>
      </w:r>
      <w:r>
        <w:rPr>
          <w:sz w:val="21"/>
        </w:rPr>
        <w:t>型</w:t>
      </w:r>
      <w:r>
        <w:rPr>
          <w:spacing w:val="-3"/>
          <w:sz w:val="21"/>
        </w:rPr>
        <w:t>糖</w:t>
      </w:r>
      <w:r>
        <w:rPr>
          <w:sz w:val="21"/>
        </w:rPr>
        <w:t>尿病</w:t>
        <w:tab/>
        <w:t>指由于胰岛素分泌绝对</w:t>
      </w:r>
      <w:r>
        <w:rPr>
          <w:spacing w:val="-3"/>
          <w:sz w:val="21"/>
        </w:rPr>
        <w:t>不</w:t>
      </w:r>
      <w:r>
        <w:rPr>
          <w:sz w:val="21"/>
        </w:rPr>
        <w:t>足引起的慢性血糖升高</w:t>
      </w:r>
      <w:r>
        <w:rPr>
          <w:spacing w:val="-3"/>
          <w:sz w:val="21"/>
        </w:rPr>
        <w:t>，</w:t>
      </w:r>
      <w:r>
        <w:rPr>
          <w:sz w:val="21"/>
        </w:rPr>
        <w:t>且已经持续性地</w:t>
      </w:r>
    </w:p>
    <w:p>
      <w:pPr>
        <w:pStyle w:val="BodyText"/>
        <w:spacing w:line="261" w:lineRule="auto" w:before="21"/>
        <w:ind w:left="3898" w:right="102"/>
        <w:jc w:val="both"/>
      </w:pPr>
      <w:r>
        <w:rPr>
          <w:spacing w:val="-7"/>
        </w:rPr>
        <w:t>依赖外源性胰岛素维持 </w:t>
      </w:r>
      <w:r>
        <w:rPr>
          <w:rFonts w:ascii="Times New Roman" w:eastAsia="Times New Roman"/>
        </w:rPr>
        <w:t>180 </w:t>
      </w:r>
      <w:r>
        <w:rPr>
          <w:spacing w:val="-7"/>
        </w:rPr>
        <w:t>天以上。须经血胰岛素测定、血 </w:t>
      </w:r>
      <w:r>
        <w:rPr>
          <w:rFonts w:ascii="Times New Roman" w:eastAsia="Times New Roman"/>
        </w:rPr>
        <w:t>C </w:t>
      </w:r>
      <w:r>
        <w:rPr>
          <w:spacing w:val="-3"/>
        </w:rPr>
        <w:t>肽测</w:t>
      </w:r>
      <w:r>
        <w:rPr>
          <w:spacing w:val="-11"/>
        </w:rPr>
        <w:t>定或尿 </w:t>
      </w:r>
      <w:r>
        <w:rPr>
          <w:rFonts w:ascii="Times New Roman" w:eastAsia="Times New Roman"/>
        </w:rPr>
        <w:t>C </w:t>
      </w:r>
      <w:r>
        <w:rPr>
          <w:spacing w:val="-3"/>
        </w:rPr>
        <w:t>肽测定，结果异常，并由内分泌科专科医生明确诊断。并须在本合同有效期内，因需要已经接受下列治疗：因严重心律失常已经植入了心脏起搏器，或因坏疽需切除至少一个脚趾。</w:t>
      </w:r>
    </w:p>
    <w:p>
      <w:pPr>
        <w:spacing w:after="0" w:line="261" w:lineRule="auto"/>
        <w:jc w:val="both"/>
        <w:sectPr>
          <w:pgSz w:w="11910" w:h="16160"/>
          <w:pgMar w:header="0" w:footer="993" w:top="1340" w:bottom="1180" w:left="960" w:right="820"/>
        </w:sectPr>
      </w:pPr>
    </w:p>
    <w:p>
      <w:pPr>
        <w:pStyle w:val="ListParagraph"/>
        <w:numPr>
          <w:ilvl w:val="0"/>
          <w:numId w:val="13"/>
        </w:numPr>
        <w:tabs>
          <w:tab w:pos="539" w:val="left" w:leader="none"/>
        </w:tabs>
        <w:spacing w:line="259" w:lineRule="auto" w:before="18" w:after="0"/>
        <w:ind w:left="538" w:right="0" w:hanging="421"/>
        <w:jc w:val="left"/>
        <w:rPr>
          <w:b/>
          <w:sz w:val="21"/>
        </w:rPr>
      </w:pPr>
      <w:r>
        <w:rPr>
          <w:spacing w:val="5"/>
          <w:sz w:val="21"/>
        </w:rPr>
        <w:t>系统性红斑狼疮 －</w:t>
      </w:r>
      <w:r>
        <w:rPr>
          <w:sz w:val="21"/>
        </w:rPr>
        <w:t>（</w:t>
      </w:r>
      <w:r>
        <w:rPr>
          <w:spacing w:val="0"/>
          <w:sz w:val="21"/>
        </w:rPr>
        <w:t>并发</w:t>
      </w:r>
      <w:r>
        <w:rPr>
          <w:sz w:val="21"/>
        </w:rPr>
        <w:t>）</w:t>
      </w:r>
      <w:r>
        <w:rPr>
          <w:rFonts w:ascii="Times New Roman" w:eastAsia="Times New Roman"/>
          <w:b/>
          <w:sz w:val="21"/>
        </w:rPr>
        <w:t>III </w:t>
      </w:r>
      <w:r>
        <w:rPr>
          <w:b/>
          <w:sz w:val="21"/>
        </w:rPr>
        <w:t>型或以上狼疮性肾炎</w:t>
      </w:r>
    </w:p>
    <w:p>
      <w:pPr>
        <w:pStyle w:val="BodyText"/>
        <w:spacing w:line="273" w:lineRule="auto" w:before="18"/>
        <w:ind w:right="205"/>
      </w:pPr>
      <w:r>
        <w:rPr/>
        <w:br w:type="column"/>
      </w:r>
      <w:r>
        <w:rPr>
          <w:spacing w:val="-8"/>
        </w:rPr>
        <w:t>系统性红斑狼疮是由多种因素引起，累及多系统的自身免疫性疾病</w:t>
      </w:r>
      <w:r>
        <w:rPr>
          <w:spacing w:val="-5"/>
        </w:rPr>
        <w:t>其特点是生成自身抗体对抗多种自身抗原。多见于育龄妇女。</w:t>
      </w:r>
    </w:p>
    <w:p>
      <w:pPr>
        <w:spacing w:line="266" w:lineRule="auto" w:before="7"/>
        <w:ind w:left="117" w:right="102" w:firstLine="0"/>
        <w:jc w:val="left"/>
        <w:rPr>
          <w:b/>
          <w:sz w:val="21"/>
        </w:rPr>
      </w:pPr>
      <w:r>
        <w:rPr>
          <w:spacing w:val="-7"/>
          <w:sz w:val="21"/>
        </w:rPr>
        <w:t>本合同所指的系统性红斑狼疮仅限于累及肾脏</w:t>
      </w:r>
      <w:r>
        <w:rPr>
          <w:spacing w:val="-3"/>
          <w:sz w:val="21"/>
        </w:rPr>
        <w:t>（经肾脏活检确认的</w:t>
      </w:r>
      <w:r>
        <w:rPr>
          <w:spacing w:val="-16"/>
          <w:sz w:val="21"/>
        </w:rPr>
        <w:t>符合 </w:t>
      </w:r>
      <w:r>
        <w:rPr>
          <w:rFonts w:ascii="Times New Roman" w:eastAsia="Times New Roman"/>
          <w:sz w:val="21"/>
        </w:rPr>
        <w:t>WHO </w:t>
      </w:r>
      <w:r>
        <w:rPr>
          <w:spacing w:val="-9"/>
          <w:sz w:val="21"/>
        </w:rPr>
        <w:t>诊断标准定义 </w:t>
      </w:r>
      <w:r>
        <w:rPr>
          <w:rFonts w:ascii="Times New Roman" w:eastAsia="Times New Roman"/>
          <w:sz w:val="21"/>
        </w:rPr>
        <w:t>III </w:t>
      </w:r>
      <w:r>
        <w:rPr>
          <w:spacing w:val="-14"/>
          <w:sz w:val="21"/>
        </w:rPr>
        <w:t>型或 </w:t>
      </w:r>
      <w:r>
        <w:rPr>
          <w:rFonts w:ascii="Times New Roman" w:eastAsia="Times New Roman"/>
          <w:sz w:val="21"/>
        </w:rPr>
        <w:t>III </w:t>
      </w:r>
      <w:r>
        <w:rPr>
          <w:spacing w:val="-3"/>
          <w:sz w:val="21"/>
        </w:rPr>
        <w:t>型以上狼疮性肾炎</w:t>
      </w:r>
      <w:r>
        <w:rPr>
          <w:sz w:val="21"/>
        </w:rPr>
        <w:t>）</w:t>
      </w:r>
      <w:r>
        <w:rPr>
          <w:spacing w:val="-3"/>
          <w:sz w:val="21"/>
        </w:rPr>
        <w:t>的系统性红斑狼疮。</w:t>
      </w:r>
      <w:r>
        <w:rPr>
          <w:b/>
          <w:sz w:val="21"/>
        </w:rPr>
        <w:t>其他类型的红斑性狼疮，如盘状狼疮、仅累及血液及关</w:t>
      </w:r>
      <w:r>
        <w:rPr>
          <w:b/>
          <w:spacing w:val="-2"/>
          <w:sz w:val="21"/>
        </w:rPr>
        <w:t>节的狼疮不在保障范围內。</w:t>
      </w:r>
    </w:p>
    <w:p>
      <w:pPr>
        <w:pStyle w:val="BodyText"/>
        <w:spacing w:before="13"/>
      </w:pPr>
      <w:r>
        <w:rPr/>
        <w:t>世界卫生组织（</w:t>
      </w:r>
      <w:r>
        <w:rPr>
          <w:rFonts w:ascii="Times New Roman" w:eastAsia="Times New Roman"/>
        </w:rPr>
        <w:t>WHO</w:t>
      </w:r>
      <w:r>
        <w:rPr/>
        <w:t>）狼疮性肾炎分型：</w:t>
      </w:r>
    </w:p>
    <w:p>
      <w:pPr>
        <w:spacing w:after="0"/>
        <w:sectPr>
          <w:type w:val="continuous"/>
          <w:pgSz w:w="11910" w:h="16160"/>
          <w:pgMar w:top="560" w:bottom="280" w:left="960" w:right="820"/>
          <w:cols w:num="2" w:equalWidth="0">
            <w:col w:w="3479" w:space="302"/>
            <w:col w:w="6349"/>
          </w:cols>
        </w:sectPr>
      </w:pPr>
    </w:p>
    <w:p>
      <w:pPr>
        <w:pStyle w:val="BodyText"/>
        <w:spacing w:before="7"/>
        <w:ind w:left="0"/>
        <w:rPr>
          <w:sz w:val="2"/>
        </w:rPr>
      </w:pPr>
    </w:p>
    <w:tbl>
      <w:tblPr>
        <w:tblW w:w="0" w:type="auto"/>
        <w:jc w:val="left"/>
        <w:tblInd w:w="3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51" w:hRule="atLeast"/>
        </w:trPr>
        <w:tc>
          <w:tcPr>
            <w:tcW w:w="2088" w:type="dxa"/>
            <w:tcBorders>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 </w:t>
            </w:r>
            <w:r>
              <w:rPr>
                <w:sz w:val="21"/>
              </w:rPr>
              <w:t>型</w:t>
            </w:r>
          </w:p>
        </w:tc>
        <w:tc>
          <w:tcPr>
            <w:tcW w:w="2088" w:type="dxa"/>
            <w:tcBorders>
              <w:left w:val="single" w:sz="4" w:space="0" w:color="000000"/>
              <w:bottom w:val="single" w:sz="12" w:space="0" w:color="000000"/>
              <w:right w:val="single" w:sz="4" w:space="0" w:color="000000"/>
            </w:tcBorders>
          </w:tcPr>
          <w:p>
            <w:pPr>
              <w:pStyle w:val="TableParagraph"/>
              <w:spacing w:before="8"/>
              <w:ind w:left="108"/>
              <w:rPr>
                <w:sz w:val="21"/>
              </w:rPr>
            </w:pPr>
            <w:r>
              <w:rPr>
                <w:sz w:val="21"/>
              </w:rPr>
              <w:t>微小病变型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系膜病变型</w:t>
            </w:r>
          </w:p>
        </w:tc>
      </w:tr>
      <w:tr>
        <w:trPr>
          <w:trHeight w:val="345" w:hRule="atLeast"/>
        </w:trPr>
        <w:tc>
          <w:tcPr>
            <w:tcW w:w="2088" w:type="dxa"/>
            <w:tcBorders>
              <w:top w:val="single" w:sz="12" w:space="0" w:color="000000"/>
              <w:left w:val="single" w:sz="4" w:space="0" w:color="000000"/>
              <w:bottom w:val="single" w:sz="18" w:space="0" w:color="000000"/>
              <w:right w:val="single" w:sz="4" w:space="0" w:color="000000"/>
            </w:tcBorders>
          </w:tcPr>
          <w:p>
            <w:pPr>
              <w:pStyle w:val="TableParagraph"/>
              <w:spacing w:before="8"/>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8" w:space="0" w:color="000000"/>
              <w:right w:val="single" w:sz="4" w:space="0" w:color="000000"/>
            </w:tcBorders>
          </w:tcPr>
          <w:p>
            <w:pPr>
              <w:pStyle w:val="TableParagraph"/>
              <w:spacing w:before="8"/>
              <w:ind w:left="108"/>
              <w:rPr>
                <w:sz w:val="21"/>
              </w:rPr>
            </w:pPr>
            <w:r>
              <w:rPr>
                <w:sz w:val="21"/>
              </w:rPr>
              <w:t>局灶及节段增生型</w:t>
            </w:r>
          </w:p>
        </w:tc>
      </w:tr>
      <w:tr>
        <w:trPr>
          <w:trHeight w:val="345" w:hRule="atLeast"/>
        </w:trPr>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2"/>
              <w:ind w:left="107"/>
              <w:rPr>
                <w:sz w:val="21"/>
              </w:rPr>
            </w:pPr>
            <w:r>
              <w:rPr>
                <w:rFonts w:ascii="Times New Roman" w:eastAsia="Times New Roman"/>
                <w:sz w:val="21"/>
              </w:rPr>
              <w:t>IV </w:t>
            </w:r>
            <w:r>
              <w:rPr>
                <w:sz w:val="21"/>
              </w:rPr>
              <w:t>型</w:t>
            </w:r>
          </w:p>
        </w:tc>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2"/>
              <w:ind w:left="108"/>
              <w:rPr>
                <w:sz w:val="21"/>
              </w:rPr>
            </w:pPr>
            <w:r>
              <w:rPr>
                <w:sz w:val="21"/>
              </w:rPr>
              <w:t>弥漫增生型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ind w:left="108"/>
              <w:rPr>
                <w:sz w:val="21"/>
              </w:rPr>
            </w:pPr>
            <w:r>
              <w:rPr>
                <w:sz w:val="21"/>
              </w:rPr>
              <w:t>肾小球硬化型</w:t>
            </w:r>
          </w:p>
        </w:tc>
      </w:tr>
    </w:tbl>
    <w:p>
      <w:pPr>
        <w:pStyle w:val="ListParagraph"/>
        <w:numPr>
          <w:ilvl w:val="0"/>
          <w:numId w:val="13"/>
        </w:numPr>
        <w:tabs>
          <w:tab w:pos="539" w:val="left" w:leader="none"/>
          <w:tab w:pos="3898" w:val="left" w:leader="none"/>
        </w:tabs>
        <w:spacing w:line="279" w:lineRule="exact" w:before="0" w:after="0"/>
        <w:ind w:left="3898" w:right="0" w:hanging="3781"/>
        <w:jc w:val="left"/>
        <w:rPr>
          <w:sz w:val="21"/>
        </w:rPr>
      </w:pPr>
      <w:r>
        <w:rPr>
          <w:sz w:val="21"/>
        </w:rPr>
        <w:t>非阿</w:t>
      </w:r>
      <w:r>
        <w:rPr>
          <w:spacing w:val="-3"/>
          <w:sz w:val="21"/>
        </w:rPr>
        <w:t>尔</w:t>
      </w:r>
      <w:r>
        <w:rPr>
          <w:sz w:val="21"/>
        </w:rPr>
        <w:t>茨</w:t>
      </w:r>
      <w:r>
        <w:rPr>
          <w:spacing w:val="-3"/>
          <w:sz w:val="21"/>
        </w:rPr>
        <w:t>海</w:t>
      </w:r>
      <w:r>
        <w:rPr>
          <w:sz w:val="21"/>
        </w:rPr>
        <w:t>默</w:t>
      </w:r>
      <w:r>
        <w:rPr>
          <w:spacing w:val="-3"/>
          <w:sz w:val="21"/>
        </w:rPr>
        <w:t>病</w:t>
      </w:r>
      <w:r>
        <w:rPr>
          <w:sz w:val="21"/>
        </w:rPr>
        <w:t>所</w:t>
      </w:r>
      <w:r>
        <w:rPr>
          <w:spacing w:val="-3"/>
          <w:sz w:val="21"/>
        </w:rPr>
        <w:t>致</w:t>
      </w:r>
      <w:r>
        <w:rPr>
          <w:sz w:val="21"/>
        </w:rPr>
        <w:t>严</w:t>
      </w:r>
      <w:r>
        <w:rPr>
          <w:spacing w:val="-3"/>
          <w:sz w:val="21"/>
        </w:rPr>
        <w:t>重</w:t>
      </w:r>
      <w:r>
        <w:rPr>
          <w:sz w:val="21"/>
        </w:rPr>
        <w:t>痴呆</w:t>
        <w:tab/>
        <w:t>指因</w:t>
      </w:r>
      <w:r>
        <w:rPr>
          <w:spacing w:val="-3"/>
          <w:sz w:val="21"/>
        </w:rPr>
        <w:t>阿</w:t>
      </w:r>
      <w:r>
        <w:rPr>
          <w:sz w:val="21"/>
        </w:rPr>
        <w:t>尔</w:t>
      </w:r>
      <w:r>
        <w:rPr>
          <w:spacing w:val="-3"/>
          <w:sz w:val="21"/>
        </w:rPr>
        <w:t>茨</w:t>
      </w:r>
      <w:r>
        <w:rPr>
          <w:sz w:val="21"/>
        </w:rPr>
        <w:t>海</w:t>
      </w:r>
      <w:r>
        <w:rPr>
          <w:spacing w:val="-3"/>
          <w:sz w:val="21"/>
        </w:rPr>
        <w:t>默</w:t>
      </w:r>
      <w:r>
        <w:rPr>
          <w:sz w:val="21"/>
        </w:rPr>
        <w:t>病</w:t>
      </w:r>
      <w:r>
        <w:rPr>
          <w:spacing w:val="-3"/>
          <w:sz w:val="21"/>
        </w:rPr>
        <w:t>以</w:t>
      </w:r>
      <w:r>
        <w:rPr>
          <w:sz w:val="21"/>
        </w:rPr>
        <w:t>外</w:t>
      </w:r>
      <w:r>
        <w:rPr>
          <w:spacing w:val="-3"/>
          <w:sz w:val="21"/>
        </w:rPr>
        <w:t>的</w:t>
      </w:r>
      <w:r>
        <w:rPr>
          <w:sz w:val="21"/>
        </w:rPr>
        <w:t>脑的</w:t>
      </w:r>
      <w:r>
        <w:rPr>
          <w:spacing w:val="-3"/>
          <w:sz w:val="21"/>
        </w:rPr>
        <w:t>器</w:t>
      </w:r>
      <w:r>
        <w:rPr>
          <w:sz w:val="21"/>
        </w:rPr>
        <w:t>质</w:t>
      </w:r>
      <w:r>
        <w:rPr>
          <w:spacing w:val="-3"/>
          <w:sz w:val="21"/>
        </w:rPr>
        <w:t>性</w:t>
      </w:r>
      <w:r>
        <w:rPr>
          <w:sz w:val="21"/>
        </w:rPr>
        <w:t>疾</w:t>
      </w:r>
      <w:r>
        <w:rPr>
          <w:spacing w:val="-3"/>
          <w:sz w:val="21"/>
        </w:rPr>
        <w:t>病</w:t>
      </w:r>
      <w:r>
        <w:rPr>
          <w:sz w:val="21"/>
        </w:rPr>
        <w:t>造</w:t>
      </w:r>
      <w:r>
        <w:rPr>
          <w:spacing w:val="-3"/>
          <w:sz w:val="21"/>
        </w:rPr>
        <w:t>成</w:t>
      </w:r>
      <w:r>
        <w:rPr>
          <w:sz w:val="21"/>
        </w:rPr>
        <w:t>脑</w:t>
      </w:r>
      <w:r>
        <w:rPr>
          <w:spacing w:val="-3"/>
          <w:sz w:val="21"/>
        </w:rPr>
        <w:t>功</w:t>
      </w:r>
      <w:r>
        <w:rPr>
          <w:sz w:val="21"/>
        </w:rPr>
        <w:t>能衰</w:t>
      </w:r>
      <w:r>
        <w:rPr>
          <w:spacing w:val="-3"/>
          <w:sz w:val="21"/>
        </w:rPr>
        <w:t>竭</w:t>
      </w:r>
      <w:r>
        <w:rPr>
          <w:sz w:val="21"/>
        </w:rPr>
        <w:t>导</w:t>
      </w:r>
      <w:r>
        <w:rPr>
          <w:spacing w:val="-3"/>
          <w:sz w:val="21"/>
        </w:rPr>
        <w:t>致</w:t>
      </w:r>
      <w:r>
        <w:rPr>
          <w:sz w:val="21"/>
        </w:rPr>
        <w:t>永久</w:t>
      </w:r>
    </w:p>
    <w:p>
      <w:pPr>
        <w:pStyle w:val="BodyText"/>
        <w:spacing w:line="273" w:lineRule="auto" w:before="21"/>
        <w:ind w:left="3898" w:right="128"/>
        <w:jc w:val="both"/>
      </w:pPr>
      <w:r>
        <w:rPr/>
        <w:t>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before="7"/>
        <w:ind w:left="3898" w:right="0" w:firstLine="0"/>
        <w:jc w:val="left"/>
        <w:rPr>
          <w:b/>
          <w:sz w:val="21"/>
        </w:rPr>
      </w:pPr>
      <w:r>
        <w:rPr>
          <w:b/>
          <w:sz w:val="21"/>
        </w:rPr>
        <w:t>神经官能症,精神疾病及酒精中毒所致脑损害不在保障范围内。</w:t>
      </w:r>
    </w:p>
    <w:p>
      <w:pPr>
        <w:pStyle w:val="ListParagraph"/>
        <w:numPr>
          <w:ilvl w:val="0"/>
          <w:numId w:val="13"/>
        </w:numPr>
        <w:tabs>
          <w:tab w:pos="539" w:val="left" w:leader="none"/>
          <w:tab w:pos="3898" w:val="left" w:leader="none"/>
        </w:tabs>
        <w:spacing w:line="240" w:lineRule="auto" w:before="36" w:after="0"/>
        <w:ind w:left="3898" w:right="0" w:hanging="3781"/>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指广泛分布的慢性进行</w:t>
      </w:r>
      <w:r>
        <w:rPr>
          <w:spacing w:val="-3"/>
          <w:sz w:val="21"/>
        </w:rPr>
        <w:t>性</w:t>
      </w:r>
      <w:r>
        <w:rPr>
          <w:sz w:val="21"/>
        </w:rPr>
        <w:t>多关节病变，表现为关</w:t>
      </w:r>
      <w:r>
        <w:rPr>
          <w:spacing w:val="-3"/>
          <w:sz w:val="21"/>
        </w:rPr>
        <w:t>节</w:t>
      </w:r>
      <w:r>
        <w:rPr>
          <w:sz w:val="21"/>
        </w:rPr>
        <w:t>严重变形，侵犯</w:t>
      </w:r>
    </w:p>
    <w:p>
      <w:pPr>
        <w:pStyle w:val="BodyText"/>
        <w:spacing w:line="268" w:lineRule="auto" w:before="21"/>
        <w:ind w:left="3898" w:right="100"/>
        <w:jc w:val="both"/>
      </w:pPr>
      <w:r>
        <w:rPr/>
        <w:t>至少三个主要关节（</w:t>
      </w:r>
      <w:r>
        <w:rPr>
          <w:spacing w:val="-3"/>
        </w:rPr>
        <w:t>腕关节、肘关节、肩关节、踝关节、膝关节、髋关节）或关节组（如手的多个指间、掌指关节，足的多个足趾、跖趾关节等</w:t>
      </w:r>
      <w:r>
        <w:rPr>
          <w:spacing w:val="-106"/>
        </w:rPr>
        <w:t>）</w:t>
      </w:r>
      <w:r>
        <w:rPr>
          <w:spacing w:val="-10"/>
        </w:rPr>
        <w:t>。类风湿性关节炎须明确诊断，并已达到类风湿性关节</w:t>
      </w:r>
      <w:r>
        <w:rPr>
          <w:spacing w:val="-7"/>
        </w:rPr>
        <w:t>炎功能活动分级</w:t>
      </w:r>
      <w:r>
        <w:rPr/>
        <w:t>（注</w:t>
      </w:r>
      <w:r>
        <w:rPr>
          <w:spacing w:val="-6"/>
        </w:rPr>
        <w:t>）</w:t>
      </w:r>
      <w:r>
        <w:rPr>
          <w:rFonts w:ascii="Times New Roman" w:eastAsia="Times New Roman"/>
          <w:spacing w:val="-6"/>
        </w:rPr>
        <w:t>IV </w:t>
      </w:r>
      <w:r>
        <w:rPr>
          <w:spacing w:val="-4"/>
        </w:rPr>
        <w:t>级的永久不可逆性关节功能障碍，且须满</w:t>
      </w:r>
      <w:r>
        <w:rPr>
          <w:spacing w:val="-3"/>
        </w:rPr>
        <w:t>足下列全部条件：</w:t>
      </w:r>
    </w:p>
    <w:p>
      <w:pPr>
        <w:pStyle w:val="BodyText"/>
        <w:spacing w:before="11"/>
        <w:ind w:left="572" w:right="1742"/>
        <w:jc w:val="center"/>
      </w:pPr>
      <w:r>
        <w:rPr/>
        <w:t>（</w:t>
      </w:r>
      <w:r>
        <w:rPr>
          <w:rFonts w:ascii="Times New Roman" w:eastAsia="Times New Roman"/>
        </w:rPr>
        <w:t>1</w:t>
      </w:r>
      <w:r>
        <w:rPr/>
        <w:t>）晨僵；</w:t>
      </w:r>
    </w:p>
    <w:p>
      <w:pPr>
        <w:pStyle w:val="BodyText"/>
        <w:spacing w:before="20"/>
        <w:ind w:left="572" w:right="902"/>
        <w:jc w:val="center"/>
      </w:pPr>
      <w:r>
        <w:rPr/>
        <w:t>（</w:t>
      </w:r>
      <w:r>
        <w:rPr>
          <w:rFonts w:ascii="Times New Roman" w:eastAsia="Times New Roman"/>
        </w:rPr>
        <w:t>2</w:t>
      </w:r>
      <w:r>
        <w:rPr/>
        <w:t>）对称性关节炎；</w:t>
      </w:r>
    </w:p>
    <w:p>
      <w:pPr>
        <w:pStyle w:val="BodyText"/>
        <w:spacing w:before="20"/>
        <w:ind w:left="87"/>
        <w:jc w:val="center"/>
      </w:pPr>
      <w:r>
        <w:rPr/>
        <w:t>（</w:t>
      </w:r>
      <w:r>
        <w:rPr>
          <w:rFonts w:ascii="Times New Roman" w:eastAsia="Times New Roman"/>
        </w:rPr>
        <w:t>3</w:t>
      </w:r>
      <w:r>
        <w:rPr/>
        <w:t>）类风湿性皮下结节；</w:t>
      </w:r>
    </w:p>
    <w:p>
      <w:pPr>
        <w:pStyle w:val="BodyText"/>
        <w:spacing w:before="20"/>
        <w:ind w:left="296"/>
        <w:jc w:val="center"/>
      </w:pPr>
      <w:r>
        <w:rPr/>
        <w:t>（</w:t>
      </w:r>
      <w:r>
        <w:rPr>
          <w:rFonts w:ascii="Times New Roman" w:eastAsia="Times New Roman"/>
        </w:rPr>
        <w:t>4</w:t>
      </w:r>
      <w:r>
        <w:rPr/>
        <w:t>）类风湿因子滴度升高；</w:t>
      </w:r>
    </w:p>
    <w:p>
      <w:pPr>
        <w:spacing w:after="0"/>
        <w:jc w:val="center"/>
        <w:sectPr>
          <w:type w:val="continuous"/>
          <w:pgSz w:w="11910" w:h="16160"/>
          <w:pgMar w:top="560" w:bottom="28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125"/>
        <w:gridCol w:w="6711"/>
      </w:tblGrid>
      <w:tr>
        <w:trPr>
          <w:trHeight w:val="1824" w:hRule="atLeast"/>
        </w:trPr>
        <w:tc>
          <w:tcPr>
            <w:tcW w:w="542" w:type="dxa"/>
          </w:tcPr>
          <w:p>
            <w:pPr>
              <w:pStyle w:val="TableParagraph"/>
              <w:ind w:left="0"/>
              <w:rPr>
                <w:rFonts w:ascii="Times New Roman"/>
                <w:sz w:val="20"/>
              </w:rPr>
            </w:pPr>
          </w:p>
        </w:tc>
        <w:tc>
          <w:tcPr>
            <w:tcW w:w="3125" w:type="dxa"/>
          </w:tcPr>
          <w:p>
            <w:pPr>
              <w:pStyle w:val="TableParagraph"/>
              <w:ind w:left="0"/>
              <w:rPr>
                <w:rFonts w:ascii="Times New Roman"/>
                <w:sz w:val="20"/>
              </w:rPr>
            </w:pPr>
          </w:p>
        </w:tc>
        <w:tc>
          <w:tcPr>
            <w:tcW w:w="6711" w:type="dxa"/>
          </w:tcPr>
          <w:p>
            <w:pPr>
              <w:pStyle w:val="TableParagraph"/>
              <w:spacing w:line="234" w:lineRule="exact"/>
              <w:ind w:left="313"/>
              <w:rPr>
                <w:sz w:val="21"/>
              </w:rPr>
            </w:pPr>
            <w:r>
              <w:rPr>
                <w:sz w:val="21"/>
              </w:rPr>
              <w:t>（</w:t>
            </w:r>
            <w:r>
              <w:rPr>
                <w:rFonts w:ascii="Times New Roman" w:eastAsia="Times New Roman"/>
                <w:sz w:val="21"/>
              </w:rPr>
              <w:t>5</w:t>
            </w:r>
            <w:r>
              <w:rPr>
                <w:sz w:val="21"/>
              </w:rPr>
              <w:t>）</w:t>
            </w:r>
            <w:r>
              <w:rPr>
                <w:rFonts w:ascii="Times New Roman" w:eastAsia="Times New Roman"/>
                <w:sz w:val="21"/>
              </w:rPr>
              <w:t>X </w:t>
            </w:r>
            <w:r>
              <w:rPr>
                <w:sz w:val="21"/>
              </w:rPr>
              <w:t>线显示严重的关节（软骨和骨）破坏和关节畸形。</w:t>
            </w:r>
          </w:p>
          <w:p>
            <w:pPr>
              <w:pStyle w:val="TableParagraph"/>
              <w:spacing w:before="21"/>
              <w:ind w:left="313"/>
              <w:rPr>
                <w:sz w:val="21"/>
              </w:rPr>
            </w:pPr>
            <w:r>
              <w:rPr>
                <w:sz w:val="21"/>
              </w:rPr>
              <w:t>注：类风湿性关节炎功能活动分级：</w:t>
            </w:r>
          </w:p>
          <w:p>
            <w:pPr>
              <w:pStyle w:val="TableParagraph"/>
              <w:spacing w:before="36"/>
              <w:ind w:left="719"/>
              <w:rPr>
                <w:sz w:val="21"/>
              </w:rPr>
            </w:pPr>
            <w:r>
              <w:rPr>
                <w:sz w:val="21"/>
              </w:rPr>
              <w:t>Ⅰ级：关节功能完整，一般活动无障碍；</w:t>
            </w:r>
          </w:p>
          <w:p>
            <w:pPr>
              <w:pStyle w:val="TableParagraph"/>
              <w:spacing w:before="36"/>
              <w:ind w:left="719"/>
              <w:rPr>
                <w:sz w:val="21"/>
              </w:rPr>
            </w:pPr>
            <w:r>
              <w:rPr>
                <w:sz w:val="21"/>
              </w:rPr>
              <w:t>Ⅱ级：有关节不适或障碍，但尚能完成一半活动；</w:t>
            </w:r>
          </w:p>
          <w:p>
            <w:pPr>
              <w:pStyle w:val="TableParagraph"/>
              <w:spacing w:before="36"/>
              <w:ind w:left="719"/>
              <w:rPr>
                <w:sz w:val="21"/>
              </w:rPr>
            </w:pPr>
            <w:r>
              <w:rPr>
                <w:sz w:val="21"/>
              </w:rPr>
              <w:t>Ⅲ级：功能活动明显受限，但大部分生活可自理；</w:t>
            </w:r>
          </w:p>
          <w:p>
            <w:pPr>
              <w:pStyle w:val="TableParagraph"/>
              <w:spacing w:before="36"/>
              <w:ind w:left="719"/>
              <w:rPr>
                <w:sz w:val="21"/>
              </w:rPr>
            </w:pPr>
            <w:r>
              <w:rPr>
                <w:sz w:val="21"/>
              </w:rPr>
              <w:t>Ⅳ级：生活不能自理或卧床。</w:t>
            </w:r>
          </w:p>
        </w:tc>
      </w:tr>
      <w:tr>
        <w:trPr>
          <w:trHeight w:val="2184" w:hRule="atLeast"/>
        </w:trPr>
        <w:tc>
          <w:tcPr>
            <w:tcW w:w="542" w:type="dxa"/>
          </w:tcPr>
          <w:p>
            <w:pPr>
              <w:pStyle w:val="TableParagraph"/>
              <w:spacing w:before="38"/>
              <w:ind w:left="0" w:right="75"/>
              <w:jc w:val="right"/>
              <w:rPr>
                <w:rFonts w:ascii="Times New Roman"/>
                <w:sz w:val="21"/>
              </w:rPr>
            </w:pPr>
            <w:r>
              <w:rPr>
                <w:rFonts w:ascii="Times New Roman"/>
                <w:sz w:val="21"/>
              </w:rPr>
              <w:t>40.</w:t>
            </w:r>
          </w:p>
        </w:tc>
        <w:tc>
          <w:tcPr>
            <w:tcW w:w="3125" w:type="dxa"/>
          </w:tcPr>
          <w:p>
            <w:pPr>
              <w:pStyle w:val="TableParagraph"/>
              <w:spacing w:line="282" w:lineRule="exact"/>
              <w:ind w:left="78"/>
              <w:rPr>
                <w:b/>
                <w:sz w:val="21"/>
              </w:rPr>
            </w:pPr>
            <w:r>
              <w:rPr>
                <w:sz w:val="21"/>
              </w:rPr>
              <w:t>严重哮喘 </w:t>
            </w:r>
            <w:r>
              <w:rPr>
                <w:rFonts w:ascii="Times New Roman" w:hAnsi="Times New Roman" w:eastAsia="Times New Roman"/>
                <w:sz w:val="21"/>
              </w:rPr>
              <w:t>– </w:t>
            </w:r>
            <w:r>
              <w:rPr>
                <w:b/>
                <w:sz w:val="21"/>
              </w:rPr>
              <w:t>二十五岁前理赔</w:t>
            </w:r>
          </w:p>
        </w:tc>
        <w:tc>
          <w:tcPr>
            <w:tcW w:w="6711" w:type="dxa"/>
          </w:tcPr>
          <w:p>
            <w:pPr>
              <w:pStyle w:val="TableParagraph"/>
              <w:spacing w:line="273" w:lineRule="auto"/>
              <w:ind w:left="313" w:right="274"/>
              <w:rPr>
                <w:sz w:val="21"/>
              </w:rPr>
            </w:pPr>
            <w:r>
              <w:rPr>
                <w:sz w:val="21"/>
              </w:rPr>
              <w:t>是指一种反复发作的严重支气管阻塞性疾病，经我们认可的专科医生确诊，且必须同时符合下列标准：</w:t>
            </w:r>
          </w:p>
          <w:p>
            <w:pPr>
              <w:pStyle w:val="TableParagraph"/>
              <w:spacing w:before="16"/>
              <w:ind w:left="313"/>
              <w:rPr>
                <w:sz w:val="21"/>
              </w:rPr>
            </w:pPr>
            <w:r>
              <w:rPr>
                <w:w w:val="100"/>
                <w:sz w:val="21"/>
              </w:rPr>
              <w:t>（</w:t>
            </w:r>
            <w:r>
              <w:rPr>
                <w:rFonts w:ascii="Times New Roman" w:eastAsia="Times New Roman"/>
                <w:w w:val="100"/>
                <w:sz w:val="21"/>
              </w:rPr>
              <w:t>1</w:t>
            </w:r>
            <w:r>
              <w:rPr>
                <w:spacing w:val="-92"/>
                <w:w w:val="100"/>
                <w:sz w:val="21"/>
              </w:rPr>
              <w:t>）</w:t>
            </w:r>
            <w:r>
              <w:rPr>
                <w:spacing w:val="-8"/>
                <w:w w:val="100"/>
                <w:sz w:val="21"/>
              </w:rPr>
              <w:t>过去两年中曾因哮喘持续状态住院治疗，并提供完整住院记录</w:t>
            </w:r>
          </w:p>
          <w:p>
            <w:pPr>
              <w:pStyle w:val="TableParagraph"/>
              <w:spacing w:before="20"/>
              <w:ind w:left="313"/>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313"/>
              <w:rPr>
                <w:sz w:val="21"/>
              </w:rPr>
            </w:pPr>
            <w:r>
              <w:rPr>
                <w:sz w:val="21"/>
              </w:rPr>
              <w:t>（</w:t>
            </w:r>
            <w:r>
              <w:rPr>
                <w:rFonts w:ascii="Times New Roman" w:eastAsia="Times New Roman"/>
                <w:sz w:val="21"/>
              </w:rPr>
              <w:t>3</w:t>
            </w:r>
            <w:r>
              <w:rPr>
                <w:sz w:val="21"/>
              </w:rPr>
              <w:t>）在家中需要医生处方的氧气治疗法；</w:t>
            </w:r>
          </w:p>
          <w:p>
            <w:pPr>
              <w:pStyle w:val="TableParagraph"/>
              <w:spacing w:line="259" w:lineRule="auto" w:before="20"/>
              <w:ind w:left="313" w:right="1034"/>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255" w:hRule="atLeast"/>
        </w:trPr>
        <w:tc>
          <w:tcPr>
            <w:tcW w:w="542" w:type="dxa"/>
          </w:tcPr>
          <w:p>
            <w:pPr>
              <w:pStyle w:val="TableParagraph"/>
              <w:spacing w:before="38"/>
              <w:ind w:left="0" w:right="75"/>
              <w:jc w:val="right"/>
              <w:rPr>
                <w:rFonts w:ascii="Times New Roman"/>
                <w:sz w:val="21"/>
              </w:rPr>
            </w:pPr>
            <w:r>
              <w:rPr>
                <w:rFonts w:ascii="Times New Roman"/>
                <w:sz w:val="21"/>
              </w:rPr>
              <w:t>41.</w:t>
            </w:r>
          </w:p>
        </w:tc>
        <w:tc>
          <w:tcPr>
            <w:tcW w:w="3125" w:type="dxa"/>
          </w:tcPr>
          <w:p>
            <w:pPr>
              <w:pStyle w:val="TableParagraph"/>
              <w:spacing w:line="266" w:lineRule="exact"/>
              <w:ind w:left="78"/>
              <w:rPr>
                <w:sz w:val="21"/>
              </w:rPr>
            </w:pPr>
            <w:r>
              <w:rPr>
                <w:sz w:val="21"/>
              </w:rPr>
              <w:t>肾髓质囊性病</w:t>
            </w:r>
          </w:p>
        </w:tc>
        <w:tc>
          <w:tcPr>
            <w:tcW w:w="6711" w:type="dxa"/>
          </w:tcPr>
          <w:p>
            <w:pPr>
              <w:pStyle w:val="TableParagraph"/>
              <w:spacing w:line="266" w:lineRule="exact"/>
              <w:ind w:left="313"/>
              <w:rPr>
                <w:sz w:val="21"/>
              </w:rPr>
            </w:pPr>
            <w:r>
              <w:rPr>
                <w:sz w:val="21"/>
              </w:rPr>
              <w:t>肾髓质囊性病的诊断须同时符合下列要求：</w:t>
            </w:r>
          </w:p>
          <w:p>
            <w:pPr>
              <w:pStyle w:val="TableParagraph"/>
              <w:spacing w:before="37"/>
              <w:ind w:left="313"/>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313"/>
              <w:rPr>
                <w:sz w:val="21"/>
              </w:rPr>
            </w:pPr>
            <w:r>
              <w:rPr>
                <w:sz w:val="21"/>
              </w:rPr>
              <w:t>（</w:t>
            </w:r>
            <w:r>
              <w:rPr>
                <w:rFonts w:ascii="Times New Roman" w:eastAsia="Times New Roman"/>
                <w:sz w:val="21"/>
              </w:rPr>
              <w:t>2</w:t>
            </w:r>
            <w:r>
              <w:rPr>
                <w:sz w:val="21"/>
              </w:rPr>
              <w:t>）肾功能衰竭；</w:t>
            </w:r>
          </w:p>
          <w:p>
            <w:pPr>
              <w:pStyle w:val="TableParagraph"/>
              <w:spacing w:before="21"/>
              <w:ind w:left="313"/>
              <w:rPr>
                <w:sz w:val="21"/>
              </w:rPr>
            </w:pPr>
            <w:r>
              <w:rPr>
                <w:sz w:val="21"/>
              </w:rPr>
              <w:t>（</w:t>
            </w:r>
            <w:r>
              <w:rPr>
                <w:rFonts w:ascii="Times New Roman" w:eastAsia="Times New Roman"/>
                <w:sz w:val="21"/>
              </w:rPr>
              <w:t>3</w:t>
            </w:r>
            <w:r>
              <w:rPr>
                <w:sz w:val="21"/>
              </w:rPr>
              <w:t>）诊断须由肾组织活检确定。</w:t>
            </w:r>
          </w:p>
        </w:tc>
      </w:tr>
      <w:tr>
        <w:trPr>
          <w:trHeight w:val="1872" w:hRule="atLeast"/>
        </w:trPr>
        <w:tc>
          <w:tcPr>
            <w:tcW w:w="542" w:type="dxa"/>
          </w:tcPr>
          <w:p>
            <w:pPr>
              <w:pStyle w:val="TableParagraph"/>
              <w:spacing w:before="30"/>
              <w:ind w:left="0" w:right="75"/>
              <w:jc w:val="right"/>
              <w:rPr>
                <w:rFonts w:ascii="Times New Roman"/>
                <w:sz w:val="21"/>
              </w:rPr>
            </w:pPr>
            <w:r>
              <w:rPr>
                <w:rFonts w:ascii="Times New Roman"/>
                <w:sz w:val="21"/>
              </w:rPr>
              <w:t>42.</w:t>
            </w:r>
          </w:p>
        </w:tc>
        <w:tc>
          <w:tcPr>
            <w:tcW w:w="3125" w:type="dxa"/>
          </w:tcPr>
          <w:p>
            <w:pPr>
              <w:pStyle w:val="TableParagraph"/>
              <w:spacing w:line="258" w:lineRule="exact"/>
              <w:ind w:left="78"/>
              <w:rPr>
                <w:sz w:val="21"/>
              </w:rPr>
            </w:pPr>
            <w:r>
              <w:rPr>
                <w:sz w:val="21"/>
              </w:rPr>
              <w:t>重症急性坏死性筋膜炎</w:t>
            </w:r>
          </w:p>
        </w:tc>
        <w:tc>
          <w:tcPr>
            <w:tcW w:w="6711" w:type="dxa"/>
          </w:tcPr>
          <w:p>
            <w:pPr>
              <w:pStyle w:val="TableParagraph"/>
              <w:spacing w:line="258" w:lineRule="exact"/>
              <w:ind w:left="313"/>
              <w:rPr>
                <w:sz w:val="21"/>
              </w:rPr>
            </w:pPr>
            <w:r>
              <w:rPr>
                <w:sz w:val="21"/>
              </w:rPr>
              <w:t>是一种由细菌侵入皮下组织和筋膜引起的急性坏死性软组织感染，</w:t>
            </w:r>
          </w:p>
          <w:p>
            <w:pPr>
              <w:pStyle w:val="TableParagraph"/>
              <w:spacing w:line="273" w:lineRule="auto" w:before="37"/>
              <w:ind w:left="313" w:right="274"/>
              <w:rPr>
                <w:sz w:val="21"/>
              </w:rPr>
            </w:pPr>
            <w:r>
              <w:rPr>
                <w:sz w:val="21"/>
              </w:rPr>
              <w:t>可伴有毒血症、败血症、中毒性休克、弥漫性血管内凝血及多器官衰竭。必须满足以下所有条件：</w:t>
            </w:r>
          </w:p>
          <w:p>
            <w:pPr>
              <w:pStyle w:val="TableParagraph"/>
              <w:spacing w:before="7"/>
              <w:ind w:left="313"/>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313"/>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313"/>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42" w:type="dxa"/>
          </w:tcPr>
          <w:p>
            <w:pPr>
              <w:pStyle w:val="TableParagraph"/>
              <w:spacing w:before="30"/>
              <w:ind w:left="0" w:right="75"/>
              <w:jc w:val="right"/>
              <w:rPr>
                <w:rFonts w:ascii="Times New Roman"/>
                <w:sz w:val="21"/>
              </w:rPr>
            </w:pPr>
            <w:r>
              <w:rPr>
                <w:rFonts w:ascii="Times New Roman"/>
                <w:sz w:val="21"/>
              </w:rPr>
              <w:t>43.</w:t>
            </w:r>
          </w:p>
        </w:tc>
        <w:tc>
          <w:tcPr>
            <w:tcW w:w="3125" w:type="dxa"/>
          </w:tcPr>
          <w:p>
            <w:pPr>
              <w:pStyle w:val="TableParagraph"/>
              <w:spacing w:line="258" w:lineRule="exact"/>
              <w:ind w:left="78"/>
              <w:rPr>
                <w:sz w:val="21"/>
              </w:rPr>
            </w:pPr>
            <w:r>
              <w:rPr>
                <w:sz w:val="21"/>
              </w:rPr>
              <w:t>慢性呼吸功能衰竭终末期肺病</w:t>
            </w:r>
          </w:p>
        </w:tc>
        <w:tc>
          <w:tcPr>
            <w:tcW w:w="6711" w:type="dxa"/>
          </w:tcPr>
          <w:p>
            <w:pPr>
              <w:pStyle w:val="TableParagraph"/>
              <w:spacing w:line="258" w:lineRule="exact"/>
              <w:ind w:left="313"/>
              <w:rPr>
                <w:sz w:val="21"/>
              </w:rPr>
            </w:pPr>
            <w:r>
              <w:rPr>
                <w:sz w:val="21"/>
              </w:rPr>
              <w:t>慢性肺部疾病导致永久不可逆性的慢性呼吸功能衰竭，必须由呼吸</w:t>
            </w:r>
          </w:p>
          <w:p>
            <w:pPr>
              <w:pStyle w:val="TableParagraph"/>
              <w:spacing w:before="37"/>
              <w:ind w:left="313"/>
              <w:rPr>
                <w:sz w:val="21"/>
              </w:rPr>
            </w:pPr>
            <w:r>
              <w:rPr>
                <w:sz w:val="21"/>
              </w:rPr>
              <w:t>专科医师确认并符合下列所有条件：</w:t>
            </w:r>
          </w:p>
          <w:p>
            <w:pPr>
              <w:pStyle w:val="TableParagraph"/>
              <w:spacing w:before="37"/>
              <w:ind w:left="313"/>
              <w:rPr>
                <w:sz w:val="21"/>
              </w:rPr>
            </w:pPr>
            <w:r>
              <w:rPr>
                <w:sz w:val="21"/>
              </w:rPr>
              <w:t>（</w:t>
            </w:r>
            <w:r>
              <w:rPr>
                <w:rFonts w:ascii="Times New Roman" w:eastAsia="Times New Roman"/>
                <w:sz w:val="21"/>
              </w:rPr>
              <w:t>1</w:t>
            </w:r>
            <w:r>
              <w:rPr>
                <w:sz w:val="21"/>
              </w:rPr>
              <w:t>）休息时出现呼吸困难；</w:t>
            </w:r>
          </w:p>
          <w:p>
            <w:pPr>
              <w:pStyle w:val="TableParagraph"/>
              <w:spacing w:before="21"/>
              <w:ind w:left="313"/>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21"/>
              <w:ind w:left="313"/>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before="21"/>
              <w:ind w:left="313"/>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42" w:type="dxa"/>
          </w:tcPr>
          <w:p>
            <w:pPr>
              <w:pStyle w:val="TableParagraph"/>
              <w:spacing w:before="30"/>
              <w:ind w:left="0" w:right="75"/>
              <w:jc w:val="right"/>
              <w:rPr>
                <w:rFonts w:ascii="Times New Roman"/>
                <w:sz w:val="21"/>
              </w:rPr>
            </w:pPr>
            <w:r>
              <w:rPr>
                <w:rFonts w:ascii="Times New Roman"/>
                <w:sz w:val="21"/>
              </w:rPr>
              <w:t>44.</w:t>
            </w:r>
          </w:p>
        </w:tc>
        <w:tc>
          <w:tcPr>
            <w:tcW w:w="3125" w:type="dxa"/>
          </w:tcPr>
          <w:p>
            <w:pPr>
              <w:pStyle w:val="TableParagraph"/>
              <w:spacing w:line="258" w:lineRule="exact"/>
              <w:ind w:left="78"/>
              <w:rPr>
                <w:sz w:val="21"/>
              </w:rPr>
            </w:pPr>
            <w:r>
              <w:rPr>
                <w:sz w:val="21"/>
              </w:rPr>
              <w:t>胰腺移植</w:t>
            </w:r>
          </w:p>
        </w:tc>
        <w:tc>
          <w:tcPr>
            <w:tcW w:w="6711" w:type="dxa"/>
          </w:tcPr>
          <w:p>
            <w:pPr>
              <w:pStyle w:val="TableParagraph"/>
              <w:spacing w:line="258" w:lineRule="exact"/>
              <w:ind w:left="313"/>
              <w:rPr>
                <w:sz w:val="21"/>
              </w:rPr>
            </w:pPr>
            <w:r>
              <w:rPr>
                <w:sz w:val="21"/>
              </w:rPr>
              <w:t>指因胰腺功能衰竭，已经实施了在全身麻醉下进行的胰腺的异体器</w:t>
            </w:r>
          </w:p>
          <w:p>
            <w:pPr>
              <w:pStyle w:val="TableParagraph"/>
              <w:spacing w:before="37"/>
              <w:ind w:left="313"/>
              <w:rPr>
                <w:sz w:val="21"/>
              </w:rPr>
            </w:pPr>
            <w:r>
              <w:rPr>
                <w:spacing w:val="-2"/>
                <w:sz w:val="21"/>
              </w:rPr>
              <w:t>官移植手术</w:t>
            </w:r>
            <w:r>
              <w:rPr>
                <w:sz w:val="21"/>
              </w:rPr>
              <w:t>（</w:t>
            </w:r>
            <w:r>
              <w:rPr>
                <w:spacing w:val="-3"/>
                <w:sz w:val="21"/>
              </w:rPr>
              <w:t>供体必须是人体器官</w:t>
            </w:r>
            <w:r>
              <w:rPr>
                <w:spacing w:val="-108"/>
                <w:sz w:val="21"/>
              </w:rPr>
              <w:t>）</w:t>
            </w:r>
            <w:r>
              <w:rPr>
                <w:sz w:val="21"/>
              </w:rPr>
              <w:t>。</w:t>
            </w:r>
          </w:p>
          <w:p>
            <w:pPr>
              <w:pStyle w:val="TableParagraph"/>
              <w:spacing w:before="37"/>
              <w:ind w:left="313"/>
              <w:rPr>
                <w:b/>
                <w:sz w:val="21"/>
              </w:rPr>
            </w:pPr>
            <w:r>
              <w:rPr>
                <w:b/>
                <w:sz w:val="21"/>
              </w:rPr>
              <w:t>单纯胰岛移植、部分胰腺组织或细胞的移植不在保障范围内。</w:t>
            </w:r>
          </w:p>
        </w:tc>
      </w:tr>
      <w:tr>
        <w:trPr>
          <w:trHeight w:val="906" w:hRule="atLeast"/>
        </w:trPr>
        <w:tc>
          <w:tcPr>
            <w:tcW w:w="542" w:type="dxa"/>
          </w:tcPr>
          <w:p>
            <w:pPr>
              <w:pStyle w:val="TableParagraph"/>
              <w:spacing w:before="38"/>
              <w:ind w:left="0" w:right="77"/>
              <w:jc w:val="right"/>
              <w:rPr>
                <w:rFonts w:ascii="Times New Roman"/>
                <w:sz w:val="21"/>
              </w:rPr>
            </w:pPr>
            <w:r>
              <w:rPr>
                <w:rFonts w:ascii="Times New Roman"/>
                <w:sz w:val="21"/>
              </w:rPr>
              <w:t>45.</w:t>
            </w:r>
          </w:p>
        </w:tc>
        <w:tc>
          <w:tcPr>
            <w:tcW w:w="3125" w:type="dxa"/>
          </w:tcPr>
          <w:p>
            <w:pPr>
              <w:pStyle w:val="TableParagraph"/>
              <w:spacing w:line="266" w:lineRule="exact"/>
              <w:ind w:left="78"/>
              <w:rPr>
                <w:sz w:val="21"/>
              </w:rPr>
            </w:pPr>
            <w:r>
              <w:rPr>
                <w:sz w:val="21"/>
              </w:rPr>
              <w:t>埃博拉病毒感染</w:t>
            </w:r>
          </w:p>
        </w:tc>
        <w:tc>
          <w:tcPr>
            <w:tcW w:w="6711" w:type="dxa"/>
          </w:tcPr>
          <w:p>
            <w:pPr>
              <w:pStyle w:val="TableParagraph"/>
              <w:spacing w:line="273" w:lineRule="auto"/>
              <w:ind w:left="313" w:right="274"/>
              <w:rPr>
                <w:sz w:val="21"/>
              </w:rPr>
            </w:pPr>
            <w:r>
              <w:rPr>
                <w:sz w:val="21"/>
              </w:rPr>
              <w:t>受埃博拉病毒感染导致出血性发热。埃博拉病必须经国家机关认可的有合法资质的传染病专家确诊，并且埃博拉病毒的存在必须经过</w:t>
            </w:r>
          </w:p>
          <w:p>
            <w:pPr>
              <w:pStyle w:val="TableParagraph"/>
              <w:spacing w:line="271" w:lineRule="exact" w:before="17"/>
              <w:ind w:left="313"/>
              <w:rPr>
                <w:sz w:val="21"/>
              </w:rPr>
            </w:pPr>
            <w:r>
              <w:rPr>
                <w:sz w:val="21"/>
              </w:rPr>
              <w:t>实验室检查证实。该病必须从症状开始后 </w:t>
            </w:r>
            <w:r>
              <w:rPr>
                <w:rFonts w:ascii="Times New Roman" w:eastAsia="Times New Roman"/>
                <w:sz w:val="21"/>
              </w:rPr>
              <w:t>30 </w:t>
            </w:r>
            <w:r>
              <w:rPr>
                <w:sz w:val="21"/>
              </w:rPr>
              <w:t>天后持续出现并发症。</w:t>
            </w:r>
          </w:p>
        </w:tc>
      </w:tr>
    </w:tbl>
    <w:p>
      <w:pPr>
        <w:pStyle w:val="BodyText"/>
        <w:spacing w:before="9"/>
        <w:ind w:left="0"/>
      </w:pPr>
    </w:p>
    <w:p>
      <w:pPr>
        <w:pStyle w:val="Heading2"/>
        <w:tabs>
          <w:tab w:pos="1577" w:val="left" w:leader="none"/>
        </w:tabs>
        <w:spacing w:before="37"/>
        <w:ind w:left="317"/>
      </w:pPr>
      <w:bookmarkStart w:name="_bookmark39" w:id="40"/>
      <w:bookmarkEnd w:id="40"/>
      <w:r>
        <w:rPr>
          <w:b w:val="0"/>
        </w:rPr>
      </w:r>
      <w:r>
        <w:rPr/>
        <w:t>第三十四条</w:t>
        <w:tab/>
        <w:t>特定疾病的种类及</w:t>
      </w:r>
      <w:r>
        <w:rPr>
          <w:spacing w:val="-3"/>
        </w:rPr>
        <w:t>定</w:t>
      </w:r>
      <w:r>
        <w:rPr/>
        <w:t>义</w:t>
      </w:r>
    </w:p>
    <w:p>
      <w:pPr>
        <w:pStyle w:val="BodyText"/>
        <w:spacing w:line="273" w:lineRule="auto" w:before="13"/>
        <w:ind w:left="317" w:right="379" w:firstLine="420"/>
      </w:pPr>
      <w:r>
        <w:rPr/>
        <w:t>本合同所保障的特定疾病，是指被保险人经专科医生明确诊断初次发生下列疾病或初次达到下列疾病状态或在医院初次接受下列手术。</w:t>
      </w:r>
    </w:p>
    <w:p>
      <w:pPr>
        <w:pStyle w:val="BodyText"/>
        <w:spacing w:before="7"/>
        <w:ind w:left="738"/>
      </w:pPr>
      <w:r>
        <w:rPr/>
        <w:t>本合同所保障的特定疾病共 </w:t>
      </w:r>
      <w:r>
        <w:rPr>
          <w:rFonts w:ascii="Times New Roman" w:eastAsia="Times New Roman"/>
        </w:rPr>
        <w:t>10 </w:t>
      </w:r>
      <w:r>
        <w:rPr/>
        <w:t>种。</w:t>
      </w:r>
    </w:p>
    <w:p>
      <w:pPr>
        <w:pStyle w:val="BodyText"/>
        <w:spacing w:before="9"/>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652"/>
        <w:gridCol w:w="7164"/>
      </w:tblGrid>
      <w:tr>
        <w:trPr>
          <w:trHeight w:val="860" w:hRule="atLeast"/>
        </w:trPr>
        <w:tc>
          <w:tcPr>
            <w:tcW w:w="489" w:type="dxa"/>
          </w:tcPr>
          <w:p>
            <w:pPr>
              <w:pStyle w:val="TableParagraph"/>
              <w:spacing w:line="234" w:lineRule="exact"/>
              <w:ind w:left="200"/>
              <w:rPr>
                <w:rFonts w:ascii="Times New Roman"/>
                <w:sz w:val="21"/>
              </w:rPr>
            </w:pPr>
            <w:r>
              <w:rPr>
                <w:rFonts w:ascii="Times New Roman"/>
                <w:sz w:val="21"/>
              </w:rPr>
              <w:t>1.</w:t>
            </w:r>
          </w:p>
        </w:tc>
        <w:tc>
          <w:tcPr>
            <w:tcW w:w="2652" w:type="dxa"/>
          </w:tcPr>
          <w:p>
            <w:pPr>
              <w:pStyle w:val="TableParagraph"/>
              <w:spacing w:line="220" w:lineRule="exact"/>
              <w:ind w:left="131"/>
              <w:rPr>
                <w:sz w:val="21"/>
              </w:rPr>
            </w:pPr>
            <w:r>
              <w:rPr>
                <w:sz w:val="21"/>
              </w:rPr>
              <w:t>糖尿病及其并发症</w:t>
            </w:r>
          </w:p>
        </w:tc>
        <w:tc>
          <w:tcPr>
            <w:tcW w:w="7164" w:type="dxa"/>
          </w:tcPr>
          <w:p>
            <w:pPr>
              <w:pStyle w:val="TableParagraph"/>
              <w:spacing w:line="220" w:lineRule="exact"/>
              <w:ind w:left="840"/>
              <w:rPr>
                <w:sz w:val="21"/>
              </w:rPr>
            </w:pPr>
            <w:r>
              <w:rPr>
                <w:sz w:val="21"/>
              </w:rPr>
              <w:t>指被保险人被确诊为糖尿病，并且出现以下任意一项并发症：</w:t>
            </w:r>
          </w:p>
          <w:p>
            <w:pPr>
              <w:pStyle w:val="TableParagraph"/>
              <w:spacing w:before="37"/>
              <w:ind w:left="840"/>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line="271" w:lineRule="exact" w:before="21"/>
              <w:ind w:left="840"/>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tc>
      </w:tr>
    </w:tbl>
    <w:p>
      <w:pPr>
        <w:spacing w:after="0" w:line="271" w:lineRule="exact"/>
        <w:rPr>
          <w:sz w:val="21"/>
        </w:rPr>
        <w:sectPr>
          <w:pgSz w:w="11910" w:h="16160"/>
          <w:pgMar w:header="0" w:footer="993" w:top="1420" w:bottom="126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3283"/>
        <w:gridCol w:w="6533"/>
      </w:tblGrid>
      <w:tr>
        <w:trPr>
          <w:trHeight w:val="584" w:hRule="atLeast"/>
        </w:trPr>
        <w:tc>
          <w:tcPr>
            <w:tcW w:w="489" w:type="dxa"/>
          </w:tcPr>
          <w:p>
            <w:pPr>
              <w:pStyle w:val="TableParagraph"/>
              <w:ind w:left="0"/>
              <w:rPr>
                <w:rFonts w:ascii="Times New Roman"/>
                <w:sz w:val="20"/>
              </w:rPr>
            </w:pPr>
          </w:p>
        </w:tc>
        <w:tc>
          <w:tcPr>
            <w:tcW w:w="3283" w:type="dxa"/>
          </w:tcPr>
          <w:p>
            <w:pPr>
              <w:pStyle w:val="TableParagraph"/>
              <w:ind w:left="0"/>
              <w:rPr>
                <w:rFonts w:ascii="Times New Roman"/>
                <w:sz w:val="20"/>
              </w:rPr>
            </w:pPr>
          </w:p>
        </w:tc>
        <w:tc>
          <w:tcPr>
            <w:tcW w:w="6533" w:type="dxa"/>
          </w:tcPr>
          <w:p>
            <w:pPr>
              <w:pStyle w:val="TableParagraph"/>
              <w:spacing w:line="234" w:lineRule="exact"/>
              <w:rPr>
                <w:rFonts w:ascii="Times New Roman" w:hAnsi="Times New Roman" w:eastAsia="Times New Roman"/>
                <w:sz w:val="21"/>
              </w:rPr>
            </w:pPr>
            <w:r>
              <w:rPr>
                <w:rFonts w:ascii="Times New Roman" w:hAnsi="Times New Roman" w:eastAsia="Times New Roman"/>
                <w:sz w:val="21"/>
              </w:rPr>
              <w:t>178</w:t>
            </w:r>
            <w:r>
              <w:rPr>
                <w:sz w:val="21"/>
              </w:rPr>
              <w:t>μ</w:t>
            </w:r>
            <w:r>
              <w:rPr>
                <w:rFonts w:ascii="Times New Roman" w:hAnsi="Times New Roman" w:eastAsia="Times New Roman"/>
                <w:sz w:val="21"/>
              </w:rPr>
              <w:t>mol/L </w:t>
            </w:r>
            <w:r>
              <w:rPr>
                <w:sz w:val="21"/>
              </w:rPr>
              <w:t>或肌酐清除率小于 </w:t>
            </w:r>
            <w:r>
              <w:rPr>
                <w:rFonts w:ascii="Times New Roman" w:hAnsi="Times New Roman" w:eastAsia="Times New Roman"/>
                <w:sz w:val="21"/>
              </w:rPr>
              <w:t>25ml/min </w:t>
            </w:r>
            <w:r>
              <w:rPr>
                <w:sz w:val="21"/>
              </w:rPr>
              <w:t>或肾小球滤过率（</w:t>
            </w:r>
            <w:r>
              <w:rPr>
                <w:rFonts w:ascii="Times New Roman" w:hAnsi="Times New Roman" w:eastAsia="Times New Roman"/>
                <w:sz w:val="21"/>
              </w:rPr>
              <w:t>GFR</w:t>
            </w:r>
            <w:r>
              <w:rPr>
                <w:sz w:val="21"/>
              </w:rPr>
              <w:t>）</w:t>
            </w:r>
            <w:r>
              <w:rPr>
                <w:rFonts w:ascii="Times New Roman" w:hAnsi="Times New Roman" w:eastAsia="Times New Roman"/>
                <w:sz w:val="21"/>
              </w:rPr>
              <w:t>&lt;</w:t>
            </w:r>
          </w:p>
          <w:p>
            <w:pPr>
              <w:pStyle w:val="TableParagraph"/>
              <w:spacing w:before="21"/>
              <w:rPr>
                <w:sz w:val="21"/>
              </w:rPr>
            </w:pPr>
            <w:r>
              <w:rPr>
                <w:rFonts w:ascii="Times New Roman" w:eastAsia="Times New Roman"/>
                <w:sz w:val="21"/>
              </w:rPr>
              <w:t>25ml/min</w:t>
            </w:r>
            <w:r>
              <w:rPr>
                <w:sz w:val="21"/>
              </w:rPr>
              <w:t>。</w:t>
            </w:r>
          </w:p>
        </w:tc>
      </w:tr>
      <w:tr>
        <w:trPr>
          <w:trHeight w:val="2488"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3283" w:type="dxa"/>
          </w:tcPr>
          <w:p>
            <w:pPr>
              <w:pStyle w:val="TableParagraph"/>
              <w:spacing w:line="258" w:lineRule="exact"/>
              <w:ind w:left="131"/>
              <w:rPr>
                <w:sz w:val="21"/>
              </w:rPr>
            </w:pPr>
            <w:r>
              <w:rPr>
                <w:sz w:val="21"/>
              </w:rPr>
              <w:t>非危及生命的（极早期的）恶性</w:t>
            </w:r>
          </w:p>
          <w:p>
            <w:pPr>
              <w:pStyle w:val="TableParagraph"/>
              <w:spacing w:before="37"/>
              <w:ind w:left="131"/>
              <w:rPr>
                <w:sz w:val="21"/>
              </w:rPr>
            </w:pPr>
            <w:r>
              <w:rPr>
                <w:sz w:val="21"/>
              </w:rPr>
              <w:t>病变</w:t>
            </w:r>
          </w:p>
        </w:tc>
        <w:tc>
          <w:tcPr>
            <w:tcW w:w="6533" w:type="dxa"/>
          </w:tcPr>
          <w:p>
            <w:pPr>
              <w:pStyle w:val="TableParagraph"/>
              <w:spacing w:line="258" w:lineRule="exact"/>
              <w:rPr>
                <w:sz w:val="21"/>
              </w:rPr>
            </w:pPr>
            <w:r>
              <w:rPr>
                <w:sz w:val="21"/>
              </w:rPr>
              <w:t>指被保险人经组织病理学检查被明确诊断为下列恶性病变，并且接</w:t>
            </w:r>
          </w:p>
          <w:p>
            <w:pPr>
              <w:pStyle w:val="TableParagraph"/>
              <w:spacing w:before="37"/>
              <w:rPr>
                <w:sz w:val="21"/>
              </w:rPr>
            </w:pPr>
            <w:r>
              <w:rPr>
                <w:sz w:val="21"/>
              </w:rPr>
              <w:t>受了相应的治疗。</w:t>
            </w:r>
          </w:p>
          <w:p>
            <w:pPr>
              <w:pStyle w:val="TableParagraph"/>
              <w:spacing w:before="37"/>
              <w:rPr>
                <w:sz w:val="21"/>
              </w:rPr>
            </w:pPr>
            <w:r>
              <w:rPr>
                <w:sz w:val="21"/>
              </w:rPr>
              <w:t>（</w:t>
            </w:r>
            <w:r>
              <w:rPr>
                <w:rFonts w:ascii="Times New Roman" w:eastAsia="Times New Roman"/>
                <w:sz w:val="21"/>
              </w:rPr>
              <w:t>1</w:t>
            </w:r>
            <w:r>
              <w:rPr>
                <w:sz w:val="21"/>
              </w:rPr>
              <w:t>）原位癌；</w:t>
            </w:r>
          </w:p>
          <w:p>
            <w:pPr>
              <w:pStyle w:val="TableParagraph"/>
              <w:spacing w:before="21"/>
              <w:rPr>
                <w:sz w:val="21"/>
              </w:rPr>
            </w:pPr>
            <w:r>
              <w:rPr>
                <w:sz w:val="21"/>
              </w:rPr>
              <w:t>（</w:t>
            </w:r>
            <w:r>
              <w:rPr>
                <w:rFonts w:ascii="Times New Roman" w:eastAsia="Times New Roman"/>
                <w:sz w:val="21"/>
              </w:rPr>
              <w:t>2</w:t>
            </w:r>
            <w:r>
              <w:rPr>
                <w:sz w:val="21"/>
              </w:rPr>
              <w:t>）</w:t>
            </w:r>
            <w:r>
              <w:rPr>
                <w:spacing w:val="-14"/>
                <w:sz w:val="21"/>
              </w:rPr>
              <w:t>相当于 </w:t>
            </w:r>
            <w:r>
              <w:rPr>
                <w:rFonts w:ascii="Times New Roman" w:eastAsia="Times New Roman"/>
                <w:sz w:val="21"/>
              </w:rPr>
              <w:t>Binet </w:t>
            </w:r>
            <w:r>
              <w:rPr>
                <w:spacing w:val="-13"/>
                <w:sz w:val="21"/>
              </w:rPr>
              <w:t>分期方案 </w:t>
            </w:r>
            <w:r>
              <w:rPr>
                <w:rFonts w:ascii="Times New Roman" w:eastAsia="Times New Roman"/>
                <w:sz w:val="21"/>
              </w:rPr>
              <w:t>A </w:t>
            </w:r>
            <w:r>
              <w:rPr>
                <w:spacing w:val="-3"/>
                <w:sz w:val="21"/>
              </w:rPr>
              <w:t>期程度的慢性淋巴细胞白血病；</w:t>
            </w:r>
          </w:p>
          <w:p>
            <w:pPr>
              <w:pStyle w:val="TableParagraph"/>
              <w:spacing w:before="2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6" w:lineRule="auto" w:before="21"/>
              <w:ind w:right="1051"/>
              <w:rPr>
                <w:b/>
                <w:sz w:val="21"/>
              </w:rPr>
            </w:pPr>
            <w:r>
              <w:rPr>
                <w:sz w:val="21"/>
              </w:rPr>
              <w:t>（</w:t>
            </w:r>
            <w:r>
              <w:rPr>
                <w:rFonts w:ascii="Times New Roman" w:eastAsia="Times New Roman"/>
                <w:sz w:val="21"/>
              </w:rPr>
              <w:t>5</w:t>
            </w:r>
            <w:r>
              <w:rPr>
                <w:sz w:val="21"/>
              </w:rPr>
              <w:t>）</w:t>
            </w:r>
            <w:r>
              <w:rPr>
                <w:rFonts w:ascii="Times New Roman" w:eastAsia="Times New Roman"/>
                <w:sz w:val="21"/>
              </w:rPr>
              <w:t>TNM</w:t>
            </w:r>
            <w:r>
              <w:rPr>
                <w:rFonts w:ascii="Times New Roman" w:eastAsia="Times New Roman"/>
                <w:spacing w:val="43"/>
                <w:sz w:val="21"/>
              </w:rPr>
              <w:t> </w:t>
            </w:r>
            <w:r>
              <w:rPr>
                <w:spacing w:val="-4"/>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pacing w:val="22"/>
                <w:sz w:val="21"/>
                <w:vertAlign w:val="baseline"/>
              </w:rPr>
              <w:t> </w:t>
            </w:r>
            <w:r>
              <w:rPr>
                <w:spacing w:val="-3"/>
                <w:sz w:val="21"/>
                <w:vertAlign w:val="baseline"/>
              </w:rPr>
              <w:t>期或更轻分期的前列腺癌。 </w:t>
            </w:r>
            <w:r>
              <w:rPr>
                <w:b/>
                <w:spacing w:val="-3"/>
                <w:sz w:val="21"/>
                <w:vertAlign w:val="baseline"/>
              </w:rPr>
              <w:t>任何在诊断时已经超越以上阶段的癌症不在保障范围内。</w:t>
            </w:r>
          </w:p>
        </w:tc>
      </w:tr>
      <w:tr>
        <w:trPr>
          <w:trHeight w:val="936" w:hRule="atLeast"/>
        </w:trPr>
        <w:tc>
          <w:tcPr>
            <w:tcW w:w="489" w:type="dxa"/>
          </w:tcPr>
          <w:p>
            <w:pPr>
              <w:pStyle w:val="TableParagraph"/>
              <w:spacing w:before="38"/>
              <w:ind w:left="180" w:right="111"/>
              <w:jc w:val="center"/>
              <w:rPr>
                <w:rFonts w:ascii="Times New Roman"/>
                <w:sz w:val="21"/>
              </w:rPr>
            </w:pPr>
            <w:r>
              <w:rPr>
                <w:rFonts w:ascii="Times New Roman"/>
                <w:sz w:val="21"/>
              </w:rPr>
              <w:t>3.</w:t>
            </w:r>
          </w:p>
        </w:tc>
        <w:tc>
          <w:tcPr>
            <w:tcW w:w="3283" w:type="dxa"/>
          </w:tcPr>
          <w:p>
            <w:pPr>
              <w:pStyle w:val="TableParagraph"/>
              <w:spacing w:line="266" w:lineRule="exact"/>
              <w:ind w:left="131"/>
              <w:rPr>
                <w:sz w:val="21"/>
              </w:rPr>
            </w:pPr>
            <w:r>
              <w:rPr>
                <w:sz w:val="21"/>
              </w:rPr>
              <w:t>冠状动脉介入手术（非开胸手术</w:t>
            </w:r>
          </w:p>
        </w:tc>
        <w:tc>
          <w:tcPr>
            <w:tcW w:w="6533" w:type="dxa"/>
          </w:tcPr>
          <w:p>
            <w:pPr>
              <w:pStyle w:val="TableParagraph"/>
              <w:spacing w:line="273" w:lineRule="auto"/>
              <w:ind w:right="201"/>
              <w:rPr>
                <w:sz w:val="21"/>
              </w:rPr>
            </w:pPr>
            <w:r>
              <w:rPr>
                <w:sz w:val="21"/>
              </w:rPr>
              <w:t>冠状动脉介入手术是指为了治疗明显的冠状动脉狭窄性疾病，首次实际实施了冠状动脉球囊扩张成形术、冠状动脉支架植入术或激光</w:t>
            </w:r>
          </w:p>
          <w:p>
            <w:pPr>
              <w:pStyle w:val="TableParagraph"/>
              <w:spacing w:before="17"/>
              <w:rPr>
                <w:sz w:val="21"/>
              </w:rPr>
            </w:pPr>
            <w:r>
              <w:rPr>
                <w:sz w:val="21"/>
              </w:rPr>
              <w:t>冠状动脉成形术。</w:t>
            </w:r>
          </w:p>
        </w:tc>
      </w:tr>
      <w:tr>
        <w:trPr>
          <w:trHeight w:val="2808" w:hRule="atLeast"/>
        </w:trPr>
        <w:tc>
          <w:tcPr>
            <w:tcW w:w="489" w:type="dxa"/>
          </w:tcPr>
          <w:p>
            <w:pPr>
              <w:pStyle w:val="TableParagraph"/>
              <w:spacing w:before="38"/>
              <w:ind w:left="180" w:right="111"/>
              <w:jc w:val="center"/>
              <w:rPr>
                <w:rFonts w:ascii="Times New Roman"/>
                <w:sz w:val="21"/>
              </w:rPr>
            </w:pPr>
            <w:r>
              <w:rPr>
                <w:rFonts w:ascii="Times New Roman"/>
                <w:sz w:val="21"/>
              </w:rPr>
              <w:t>4.</w:t>
            </w:r>
          </w:p>
        </w:tc>
        <w:tc>
          <w:tcPr>
            <w:tcW w:w="3283" w:type="dxa"/>
          </w:tcPr>
          <w:p>
            <w:pPr>
              <w:pStyle w:val="TableParagraph"/>
              <w:spacing w:line="266" w:lineRule="exact"/>
              <w:ind w:left="131"/>
              <w:rPr>
                <w:sz w:val="21"/>
              </w:rPr>
            </w:pPr>
            <w:r>
              <w:rPr>
                <w:sz w:val="21"/>
              </w:rPr>
              <w:t>轻微脑中风</w:t>
            </w:r>
          </w:p>
        </w:tc>
        <w:tc>
          <w:tcPr>
            <w:tcW w:w="6533" w:type="dxa"/>
          </w:tcPr>
          <w:p>
            <w:pPr>
              <w:pStyle w:val="TableParagraph"/>
              <w:spacing w:line="266" w:lineRule="auto"/>
              <w:ind w:right="196"/>
              <w:jc w:val="both"/>
              <w:rPr>
                <w:sz w:val="21"/>
              </w:rPr>
            </w:pPr>
            <w:r>
              <w:rPr>
                <w:spacing w:val="-2"/>
                <w:sz w:val="21"/>
              </w:rPr>
              <w:t>指被保险人实际发生了脑血管的突发病变出现神经系统功能障碍表</w:t>
            </w:r>
            <w:r>
              <w:rPr>
                <w:spacing w:val="1"/>
                <w:w w:val="100"/>
                <w:sz w:val="21"/>
              </w:rPr>
              <w:t>现，头颅断层扫描</w:t>
            </w:r>
            <w:r>
              <w:rPr>
                <w:spacing w:val="5"/>
                <w:w w:val="100"/>
                <w:sz w:val="21"/>
              </w:rPr>
              <w:t>（</w:t>
            </w:r>
            <w:r>
              <w:rPr>
                <w:rFonts w:ascii="Times New Roman" w:hAnsi="Times New Roman" w:eastAsia="Times New Roman"/>
                <w:spacing w:val="-2"/>
                <w:w w:val="100"/>
                <w:sz w:val="21"/>
              </w:rPr>
              <w:t>C</w:t>
            </w:r>
            <w:r>
              <w:rPr>
                <w:rFonts w:ascii="Times New Roman" w:hAnsi="Times New Roman" w:eastAsia="Times New Roman"/>
                <w:spacing w:val="1"/>
                <w:w w:val="100"/>
                <w:sz w:val="21"/>
              </w:rPr>
              <w:t>T</w:t>
            </w:r>
            <w:r>
              <w:rPr>
                <w:spacing w:val="-104"/>
                <w:w w:val="100"/>
                <w:sz w:val="21"/>
              </w:rPr>
              <w:t>）</w:t>
            </w:r>
            <w:r>
              <w:rPr>
                <w:w w:val="100"/>
                <w:sz w:val="21"/>
              </w:rPr>
              <w:t>、核磁共振</w:t>
            </w:r>
            <w:r>
              <w:rPr>
                <w:spacing w:val="5"/>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1"/>
                <w:w w:val="100"/>
                <w:sz w:val="21"/>
              </w:rPr>
              <w:t>I</w:t>
            </w:r>
            <w:r>
              <w:rPr>
                <w:spacing w:val="1"/>
                <w:w w:val="100"/>
                <w:sz w:val="21"/>
              </w:rPr>
              <w:t>）</w:t>
            </w:r>
            <w:r>
              <w:rPr>
                <w:w w:val="100"/>
                <w:sz w:val="21"/>
              </w:rPr>
              <w:t>等影像学检查证实存</w:t>
            </w:r>
            <w:r>
              <w:rPr>
                <w:spacing w:val="-4"/>
                <w:sz w:val="21"/>
              </w:rPr>
              <w:t>在对应病灶，确诊为脑出血、脑栓塞或脑梗塞，在确诊 </w:t>
            </w:r>
            <w:r>
              <w:rPr>
                <w:rFonts w:ascii="Times New Roman" w:hAnsi="Times New Roman" w:eastAsia="Times New Roman"/>
                <w:sz w:val="21"/>
              </w:rPr>
              <w:t>180 </w:t>
            </w:r>
            <w:r>
              <w:rPr>
                <w:spacing w:val="-2"/>
                <w:sz w:val="21"/>
              </w:rPr>
              <w:t>天后遗</w:t>
            </w:r>
            <w:r>
              <w:rPr>
                <w:spacing w:val="-3"/>
                <w:sz w:val="21"/>
              </w:rPr>
              <w:t>留神经系统功能障碍。后遗的神经系统功能障碍程度虽未达到重大疾病“脑中风后遗症”的给付标准，但仍遗留下列一种或一种以上障碍：</w:t>
            </w:r>
          </w:p>
          <w:p>
            <w:pPr>
              <w:pStyle w:val="TableParagraph"/>
              <w:spacing w:before="23"/>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2 </w:t>
            </w:r>
            <w:r>
              <w:rPr>
                <w:sz w:val="21"/>
              </w:rPr>
              <w:t>级或 </w:t>
            </w:r>
            <w:r>
              <w:rPr>
                <w:rFonts w:ascii="Times New Roman" w:eastAsia="Times New Roman"/>
                <w:sz w:val="21"/>
              </w:rPr>
              <w:t>2 </w:t>
            </w:r>
            <w:r>
              <w:rPr>
                <w:sz w:val="21"/>
              </w:rPr>
              <w:t>级以下；</w:t>
            </w:r>
          </w:p>
          <w:p>
            <w:pPr>
              <w:pStyle w:val="TableParagraph"/>
              <w:spacing w:line="256" w:lineRule="auto" w:before="21"/>
              <w:ind w:right="196"/>
              <w:jc w:val="both"/>
              <w:rPr>
                <w:sz w:val="21"/>
              </w:rPr>
            </w:pPr>
            <w:r>
              <w:rPr>
                <w:spacing w:val="-13"/>
                <w:sz w:val="21"/>
              </w:rPr>
              <w:t>（</w:t>
            </w:r>
            <w:r>
              <w:rPr>
                <w:rFonts w:ascii="Times New Roman" w:eastAsia="Times New Roman"/>
                <w:spacing w:val="-13"/>
                <w:sz w:val="21"/>
              </w:rPr>
              <w:t>2</w:t>
            </w:r>
            <w:r>
              <w:rPr>
                <w:spacing w:val="-13"/>
                <w:sz w:val="21"/>
              </w:rPr>
              <w:t>）</w:t>
            </w:r>
            <w:r>
              <w:rPr>
                <w:spacing w:val="-7"/>
                <w:sz w:val="21"/>
              </w:rPr>
              <w:t>自主生活能力部分丧失，无法独立完成六项基本日常生活活动</w:t>
            </w:r>
            <w:r>
              <w:rPr>
                <w:spacing w:val="-5"/>
                <w:sz w:val="21"/>
              </w:rPr>
              <w:t>中的两项或两项以上。</w:t>
            </w:r>
          </w:p>
        </w:tc>
      </w:tr>
      <w:tr>
        <w:trPr>
          <w:trHeight w:val="624" w:hRule="atLeast"/>
        </w:trPr>
        <w:tc>
          <w:tcPr>
            <w:tcW w:w="489" w:type="dxa"/>
          </w:tcPr>
          <w:p>
            <w:pPr>
              <w:pStyle w:val="TableParagraph"/>
              <w:spacing w:before="38"/>
              <w:ind w:left="180" w:right="111"/>
              <w:jc w:val="center"/>
              <w:rPr>
                <w:rFonts w:ascii="Times New Roman"/>
                <w:sz w:val="21"/>
              </w:rPr>
            </w:pPr>
            <w:r>
              <w:rPr>
                <w:rFonts w:ascii="Times New Roman"/>
                <w:sz w:val="21"/>
              </w:rPr>
              <w:t>5.</w:t>
            </w:r>
          </w:p>
        </w:tc>
        <w:tc>
          <w:tcPr>
            <w:tcW w:w="3283" w:type="dxa"/>
          </w:tcPr>
          <w:p>
            <w:pPr>
              <w:pStyle w:val="TableParagraph"/>
              <w:spacing w:line="266" w:lineRule="exact"/>
              <w:ind w:left="131"/>
              <w:rPr>
                <w:sz w:val="21"/>
              </w:rPr>
            </w:pPr>
            <w:r>
              <w:rPr>
                <w:sz w:val="21"/>
              </w:rPr>
              <w:t>心脏瓣膜介入手术（非开胸手术</w:t>
            </w:r>
          </w:p>
        </w:tc>
        <w:tc>
          <w:tcPr>
            <w:tcW w:w="6533" w:type="dxa"/>
          </w:tcPr>
          <w:p>
            <w:pPr>
              <w:pStyle w:val="TableParagraph"/>
              <w:spacing w:line="266" w:lineRule="exact"/>
              <w:rPr>
                <w:sz w:val="21"/>
              </w:rPr>
            </w:pPr>
            <w:r>
              <w:rPr>
                <w:sz w:val="21"/>
              </w:rPr>
              <w:t>为了治疗心脏瓣膜疾病，被保险人实际接受了非开胸的经胸壁打孔</w:t>
            </w:r>
          </w:p>
          <w:p>
            <w:pPr>
              <w:pStyle w:val="TableParagraph"/>
              <w:spacing w:before="37"/>
              <w:rPr>
                <w:sz w:val="21"/>
              </w:rPr>
            </w:pPr>
            <w:r>
              <w:rPr>
                <w:sz w:val="21"/>
              </w:rPr>
              <w:t>内镜手术或经皮经导管介入手术进行的心脏瓣膜置换或修复手术。</w:t>
            </w:r>
          </w:p>
        </w:tc>
      </w:tr>
      <w:tr>
        <w:trPr>
          <w:trHeight w:val="1567" w:hRule="atLeast"/>
        </w:trPr>
        <w:tc>
          <w:tcPr>
            <w:tcW w:w="489" w:type="dxa"/>
          </w:tcPr>
          <w:p>
            <w:pPr>
              <w:pStyle w:val="TableParagraph"/>
              <w:spacing w:before="38"/>
              <w:ind w:left="180" w:right="111"/>
              <w:jc w:val="center"/>
              <w:rPr>
                <w:rFonts w:ascii="Times New Roman"/>
                <w:sz w:val="21"/>
              </w:rPr>
            </w:pPr>
            <w:r>
              <w:rPr>
                <w:rFonts w:ascii="Times New Roman"/>
                <w:sz w:val="21"/>
              </w:rPr>
              <w:t>6.</w:t>
            </w:r>
          </w:p>
        </w:tc>
        <w:tc>
          <w:tcPr>
            <w:tcW w:w="3283" w:type="dxa"/>
          </w:tcPr>
          <w:p>
            <w:pPr>
              <w:pStyle w:val="TableParagraph"/>
              <w:spacing w:line="273" w:lineRule="auto"/>
              <w:ind w:left="131" w:right="204"/>
              <w:rPr>
                <w:sz w:val="21"/>
              </w:rPr>
            </w:pPr>
            <w:r>
              <w:rPr>
                <w:sz w:val="21"/>
              </w:rPr>
              <w:t>脑垂体瘤、脑囊肿、脑动脉瘤、脑血管瘤</w:t>
            </w:r>
          </w:p>
        </w:tc>
        <w:tc>
          <w:tcPr>
            <w:tcW w:w="6533" w:type="dxa"/>
          </w:tcPr>
          <w:p>
            <w:pPr>
              <w:pStyle w:val="TableParagraph"/>
              <w:spacing w:line="256" w:lineRule="auto"/>
              <w:ind w:right="199"/>
              <w:rPr>
                <w:sz w:val="21"/>
              </w:rPr>
            </w:pPr>
            <w:r>
              <w:rPr>
                <w:w w:val="100"/>
                <w:sz w:val="21"/>
              </w:rPr>
              <w:t>指被保险人经头颅断层扫描</w:t>
            </w:r>
            <w:r>
              <w:rPr>
                <w:spacing w:val="2"/>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4"/>
                <w:w w:val="100"/>
                <w:sz w:val="21"/>
              </w:rPr>
              <w:t>）</w:t>
            </w:r>
            <w:r>
              <w:rPr>
                <w:w w:val="100"/>
                <w:sz w:val="21"/>
              </w:rPr>
              <w:t>、核磁共振</w:t>
            </w:r>
            <w:r>
              <w:rPr>
                <w:spacing w:val="5"/>
                <w:w w:val="100"/>
                <w:sz w:val="21"/>
              </w:rPr>
              <w:t>（</w:t>
            </w:r>
            <w:r>
              <w:rPr>
                <w:rFonts w:ascii="Times New Roman" w:eastAsia="Times New Roman"/>
                <w:spacing w:val="-3"/>
                <w:w w:val="100"/>
                <w:sz w:val="21"/>
              </w:rPr>
              <w:t>M</w:t>
            </w:r>
            <w:r>
              <w:rPr>
                <w:rFonts w:ascii="Times New Roman" w:eastAsia="Times New Roman"/>
                <w:spacing w:val="-2"/>
                <w:w w:val="100"/>
                <w:sz w:val="21"/>
              </w:rPr>
              <w:t>R</w:t>
            </w:r>
            <w:r>
              <w:rPr>
                <w:rFonts w:ascii="Times New Roman" w:eastAsia="Times New Roman"/>
                <w:spacing w:val="0"/>
                <w:w w:val="100"/>
                <w:sz w:val="21"/>
              </w:rPr>
              <w:t>I</w:t>
            </w:r>
            <w:r>
              <w:rPr>
                <w:spacing w:val="3"/>
                <w:w w:val="100"/>
                <w:sz w:val="21"/>
              </w:rPr>
              <w:t>）</w:t>
            </w:r>
            <w:r>
              <w:rPr>
                <w:w w:val="100"/>
                <w:sz w:val="21"/>
              </w:rPr>
              <w:t>或其他影像</w:t>
            </w:r>
            <w:r>
              <w:rPr>
                <w:spacing w:val="-3"/>
                <w:sz w:val="21"/>
              </w:rPr>
              <w:t>学检查被确诊为下列病变，并实际接受了手术或放射治疗。</w:t>
            </w:r>
          </w:p>
          <w:p>
            <w:pPr>
              <w:pStyle w:val="TableParagraph"/>
              <w:spacing w:before="31"/>
              <w:rPr>
                <w:sz w:val="21"/>
              </w:rPr>
            </w:pPr>
            <w:r>
              <w:rPr>
                <w:sz w:val="21"/>
              </w:rPr>
              <w:t>（</w:t>
            </w:r>
            <w:r>
              <w:rPr>
                <w:rFonts w:ascii="Times New Roman" w:eastAsia="Times New Roman"/>
                <w:sz w:val="21"/>
              </w:rPr>
              <w:t>1</w:t>
            </w:r>
            <w:r>
              <w:rPr>
                <w:sz w:val="21"/>
              </w:rPr>
              <w:t>）脑垂体瘤；</w:t>
            </w:r>
          </w:p>
          <w:p>
            <w:pPr>
              <w:pStyle w:val="TableParagraph"/>
              <w:spacing w:before="21"/>
              <w:rPr>
                <w:sz w:val="21"/>
              </w:rPr>
            </w:pPr>
            <w:r>
              <w:rPr>
                <w:sz w:val="21"/>
              </w:rPr>
              <w:t>（</w:t>
            </w:r>
            <w:r>
              <w:rPr>
                <w:rFonts w:ascii="Times New Roman" w:eastAsia="Times New Roman"/>
                <w:sz w:val="21"/>
              </w:rPr>
              <w:t>2</w:t>
            </w:r>
            <w:r>
              <w:rPr>
                <w:sz w:val="21"/>
              </w:rPr>
              <w:t>）脑囊肿；</w:t>
            </w:r>
          </w:p>
          <w:p>
            <w:pPr>
              <w:pStyle w:val="TableParagraph"/>
              <w:spacing w:before="21"/>
              <w:rPr>
                <w:sz w:val="21"/>
              </w:rPr>
            </w:pPr>
            <w:r>
              <w:rPr>
                <w:sz w:val="21"/>
              </w:rPr>
              <w:t>（</w:t>
            </w:r>
            <w:r>
              <w:rPr>
                <w:rFonts w:ascii="Times New Roman" w:eastAsia="Times New Roman"/>
                <w:sz w:val="21"/>
              </w:rPr>
              <w:t>3</w:t>
            </w:r>
            <w:r>
              <w:rPr>
                <w:sz w:val="21"/>
              </w:rPr>
              <w:t>）脑动脉瘤、脑血管瘤。</w:t>
            </w:r>
          </w:p>
        </w:tc>
      </w:tr>
      <w:tr>
        <w:trPr>
          <w:trHeight w:val="2800" w:hRule="atLeast"/>
        </w:trPr>
        <w:tc>
          <w:tcPr>
            <w:tcW w:w="489" w:type="dxa"/>
          </w:tcPr>
          <w:p>
            <w:pPr>
              <w:pStyle w:val="TableParagraph"/>
              <w:spacing w:before="30"/>
              <w:ind w:left="180" w:right="111"/>
              <w:jc w:val="center"/>
              <w:rPr>
                <w:rFonts w:ascii="Times New Roman"/>
                <w:sz w:val="21"/>
              </w:rPr>
            </w:pPr>
            <w:r>
              <w:rPr>
                <w:rFonts w:ascii="Times New Roman"/>
                <w:sz w:val="21"/>
              </w:rPr>
              <w:t>7.</w:t>
            </w:r>
          </w:p>
        </w:tc>
        <w:tc>
          <w:tcPr>
            <w:tcW w:w="3283" w:type="dxa"/>
          </w:tcPr>
          <w:p>
            <w:pPr>
              <w:pStyle w:val="TableParagraph"/>
              <w:spacing w:line="258" w:lineRule="exact"/>
              <w:ind w:left="131"/>
              <w:rPr>
                <w:sz w:val="21"/>
              </w:rPr>
            </w:pPr>
            <w:r>
              <w:rPr>
                <w:sz w:val="21"/>
              </w:rPr>
              <w:t>重症头部外伤</w:t>
            </w:r>
          </w:p>
        </w:tc>
        <w:tc>
          <w:tcPr>
            <w:tcW w:w="6533" w:type="dxa"/>
          </w:tcPr>
          <w:p>
            <w:pPr>
              <w:pStyle w:val="TableParagraph"/>
              <w:spacing w:line="258" w:lineRule="exact"/>
              <w:rPr>
                <w:sz w:val="21"/>
              </w:rPr>
            </w:pPr>
            <w:r>
              <w:rPr>
                <w:sz w:val="21"/>
              </w:rPr>
              <w:t>指因头部遭受机械性外力伤害，引起脑重要部位损伤，并且由头颅</w:t>
            </w:r>
          </w:p>
          <w:p>
            <w:pPr>
              <w:pStyle w:val="TableParagraph"/>
              <w:spacing w:before="37"/>
              <w:rPr>
                <w:sz w:val="21"/>
              </w:rPr>
            </w:pPr>
            <w:r>
              <w:rPr>
                <w:w w:val="100"/>
                <w:sz w:val="21"/>
              </w:rPr>
              <w:t>X</w:t>
            </w:r>
            <w:r>
              <w:rPr>
                <w:spacing w:val="-53"/>
                <w:sz w:val="21"/>
              </w:rPr>
              <w:t> </w:t>
            </w:r>
            <w:r>
              <w:rPr>
                <w:spacing w:val="-3"/>
                <w:w w:val="100"/>
                <w:sz w:val="21"/>
              </w:rPr>
              <w:t>线断层扫描（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p>
          <w:p>
            <w:pPr>
              <w:pStyle w:val="TableParagraph"/>
              <w:spacing w:line="273" w:lineRule="auto" w:before="37"/>
              <w:ind w:right="198"/>
              <w:jc w:val="both"/>
              <w:rPr>
                <w:sz w:val="21"/>
              </w:rPr>
            </w:pPr>
            <w:r>
              <w:rPr>
                <w:spacing w:val="-6"/>
                <w:sz w:val="21"/>
              </w:rPr>
              <w:t>（PET）</w:t>
            </w:r>
            <w:r>
              <w:rPr>
                <w:spacing w:val="-7"/>
                <w:sz w:val="21"/>
              </w:rPr>
              <w:t>等影像学检查证实。头部外伤导致神经系统功能障碍，虽然</w:t>
            </w:r>
            <w:r>
              <w:rPr>
                <w:spacing w:val="-5"/>
                <w:sz w:val="21"/>
              </w:rPr>
              <w:t>未达到重大疾病“严重脑损伤”的给付标准，但是符合以下条件之一：</w:t>
            </w:r>
          </w:p>
          <w:p>
            <w:pPr>
              <w:pStyle w:val="TableParagraph"/>
              <w:spacing w:line="256" w:lineRule="auto" w:before="8"/>
              <w:ind w:right="196"/>
              <w:jc w:val="both"/>
              <w:rPr>
                <w:sz w:val="21"/>
              </w:rPr>
            </w:pPr>
            <w:r>
              <w:rPr>
                <w:spacing w:val="-13"/>
                <w:sz w:val="21"/>
              </w:rPr>
              <w:t>（</w:t>
            </w:r>
            <w:r>
              <w:rPr>
                <w:rFonts w:ascii="Times New Roman" w:eastAsia="Times New Roman"/>
                <w:spacing w:val="-13"/>
                <w:sz w:val="21"/>
              </w:rPr>
              <w:t>1</w:t>
            </w:r>
            <w:r>
              <w:rPr>
                <w:spacing w:val="-13"/>
                <w:sz w:val="21"/>
              </w:rPr>
              <w:t>）</w:t>
            </w:r>
            <w:r>
              <w:rPr>
                <w:spacing w:val="-5"/>
                <w:sz w:val="21"/>
              </w:rPr>
              <w:t>被保险人接受了全麻下颅骨切开颅内血肿清除术</w:t>
            </w:r>
            <w:r>
              <w:rPr>
                <w:sz w:val="21"/>
              </w:rPr>
              <w:t>（</w:t>
            </w:r>
            <w:r>
              <w:rPr>
                <w:spacing w:val="-3"/>
                <w:sz w:val="21"/>
              </w:rPr>
              <w:t>颅骨钻孔术</w:t>
            </w:r>
            <w:r>
              <w:rPr>
                <w:spacing w:val="-3"/>
                <w:w w:val="100"/>
                <w:sz w:val="21"/>
              </w:rPr>
              <w:t>除外</w:t>
            </w:r>
            <w:r>
              <w:rPr>
                <w:spacing w:val="-108"/>
                <w:w w:val="100"/>
                <w:sz w:val="21"/>
              </w:rPr>
              <w:t>）</w:t>
            </w:r>
            <w:r>
              <w:rPr>
                <w:w w:val="100"/>
                <w:sz w:val="21"/>
              </w:rPr>
              <w:t>；</w:t>
            </w:r>
          </w:p>
          <w:p>
            <w:pPr>
              <w:pStyle w:val="TableParagraph"/>
              <w:spacing w:before="22"/>
              <w:jc w:val="both"/>
              <w:rPr>
                <w:rFonts w:ascii="Times New Roman" w:eastAsia="Times New Roman"/>
                <w:sz w:val="21"/>
              </w:rPr>
            </w:pPr>
            <w:r>
              <w:rPr>
                <w:sz w:val="21"/>
              </w:rPr>
              <w:t>（</w:t>
            </w:r>
            <w:r>
              <w:rPr>
                <w:rFonts w:ascii="Times New Roman" w:eastAsia="Times New Roman"/>
                <w:sz w:val="21"/>
              </w:rPr>
              <w:t>2</w:t>
            </w:r>
            <w:r>
              <w:rPr>
                <w:sz w:val="21"/>
              </w:rPr>
              <w:t>）在外伤 </w:t>
            </w:r>
            <w:r>
              <w:rPr>
                <w:rFonts w:ascii="Times New Roman" w:eastAsia="Times New Roman"/>
                <w:sz w:val="21"/>
              </w:rPr>
              <w:t>180 </w:t>
            </w:r>
            <w:r>
              <w:rPr>
                <w:sz w:val="21"/>
              </w:rPr>
              <w:t>天后仍然遗留一肢或一肢以上肢体肌力 </w:t>
            </w:r>
            <w:r>
              <w:rPr>
                <w:rFonts w:ascii="Times New Roman" w:eastAsia="Times New Roman"/>
                <w:sz w:val="21"/>
              </w:rPr>
              <w:t>II </w:t>
            </w:r>
            <w:r>
              <w:rPr>
                <w:sz w:val="21"/>
              </w:rPr>
              <w:t>级或 </w:t>
            </w:r>
            <w:r>
              <w:rPr>
                <w:rFonts w:ascii="Times New Roman" w:eastAsia="Times New Roman"/>
                <w:sz w:val="21"/>
              </w:rPr>
              <w:t>II</w:t>
            </w:r>
          </w:p>
          <w:p>
            <w:pPr>
              <w:pStyle w:val="TableParagraph"/>
              <w:spacing w:before="21"/>
              <w:jc w:val="both"/>
              <w:rPr>
                <w:sz w:val="21"/>
              </w:rPr>
            </w:pPr>
            <w:r>
              <w:rPr>
                <w:sz w:val="21"/>
              </w:rPr>
              <w:t>级以下的运动功能障碍。</w:t>
            </w:r>
          </w:p>
        </w:tc>
      </w:tr>
      <w:tr>
        <w:trPr>
          <w:trHeight w:val="631" w:hRule="atLeast"/>
        </w:trPr>
        <w:tc>
          <w:tcPr>
            <w:tcW w:w="489" w:type="dxa"/>
          </w:tcPr>
          <w:p>
            <w:pPr>
              <w:pStyle w:val="TableParagraph"/>
              <w:spacing w:before="38"/>
              <w:ind w:left="180" w:right="111"/>
              <w:jc w:val="center"/>
              <w:rPr>
                <w:rFonts w:ascii="Times New Roman"/>
                <w:sz w:val="21"/>
              </w:rPr>
            </w:pPr>
            <w:r>
              <w:rPr>
                <w:rFonts w:ascii="Times New Roman"/>
                <w:sz w:val="21"/>
              </w:rPr>
              <w:t>8.</w:t>
            </w:r>
          </w:p>
        </w:tc>
        <w:tc>
          <w:tcPr>
            <w:tcW w:w="3283" w:type="dxa"/>
          </w:tcPr>
          <w:p>
            <w:pPr>
              <w:pStyle w:val="TableParagraph"/>
              <w:spacing w:line="266" w:lineRule="exact"/>
              <w:ind w:left="131"/>
              <w:rPr>
                <w:sz w:val="21"/>
              </w:rPr>
            </w:pPr>
            <w:r>
              <w:rPr>
                <w:sz w:val="21"/>
              </w:rPr>
              <w:t>特定面积Ⅲ度烧伤</w:t>
            </w:r>
          </w:p>
        </w:tc>
        <w:tc>
          <w:tcPr>
            <w:tcW w:w="6533" w:type="dxa"/>
          </w:tcPr>
          <w:p>
            <w:pPr>
              <w:pStyle w:val="TableParagraph"/>
              <w:spacing w:line="282" w:lineRule="exact"/>
              <w:rPr>
                <w:rFonts w:ascii="Times New Roman" w:hAnsi="Times New Roman" w:eastAsia="Times New Roman"/>
                <w:sz w:val="21"/>
              </w:rPr>
            </w:pPr>
            <w:r>
              <w:rPr>
                <w:sz w:val="21"/>
              </w:rPr>
              <w:t>指烧伤程度为Ⅲ度，且Ⅲ度烧伤面积为全身体表面积的 </w:t>
            </w:r>
            <w:r>
              <w:rPr>
                <w:rFonts w:ascii="Times New Roman" w:hAnsi="Times New Roman" w:eastAsia="Times New Roman"/>
                <w:sz w:val="21"/>
              </w:rPr>
              <w:t>10</w:t>
            </w:r>
            <w:r>
              <w:rPr>
                <w:sz w:val="21"/>
              </w:rPr>
              <w:t>％或 </w:t>
            </w:r>
            <w:r>
              <w:rPr>
                <w:rFonts w:ascii="Times New Roman" w:hAnsi="Times New Roman" w:eastAsia="Times New Roman"/>
                <w:sz w:val="21"/>
              </w:rPr>
              <w:t>10%</w:t>
            </w:r>
          </w:p>
          <w:p>
            <w:pPr>
              <w:pStyle w:val="TableParagraph"/>
              <w:spacing w:before="21"/>
              <w:rPr>
                <w:sz w:val="21"/>
              </w:rPr>
            </w:pPr>
            <w:r>
              <w:rPr>
                <w:sz w:val="21"/>
              </w:rPr>
              <w:t>以上，但尚未达到 </w:t>
            </w:r>
            <w:r>
              <w:rPr>
                <w:rFonts w:ascii="Times New Roman" w:eastAsia="Times New Roman"/>
                <w:sz w:val="21"/>
              </w:rPr>
              <w:t>20%</w:t>
            </w:r>
            <w:r>
              <w:rPr>
                <w:sz w:val="21"/>
              </w:rPr>
              <w:t>。体表面积根据《中国新九分法》计算。</w:t>
            </w:r>
          </w:p>
        </w:tc>
      </w:tr>
      <w:tr>
        <w:trPr>
          <w:trHeight w:val="882" w:hRule="atLeast"/>
        </w:trPr>
        <w:tc>
          <w:tcPr>
            <w:tcW w:w="489" w:type="dxa"/>
          </w:tcPr>
          <w:p>
            <w:pPr>
              <w:pStyle w:val="TableParagraph"/>
              <w:spacing w:before="30"/>
              <w:ind w:left="180" w:right="111"/>
              <w:jc w:val="center"/>
              <w:rPr>
                <w:rFonts w:ascii="Times New Roman"/>
                <w:sz w:val="21"/>
              </w:rPr>
            </w:pPr>
            <w:r>
              <w:rPr>
                <w:rFonts w:ascii="Times New Roman"/>
                <w:sz w:val="21"/>
              </w:rPr>
              <w:t>9.</w:t>
            </w:r>
          </w:p>
        </w:tc>
        <w:tc>
          <w:tcPr>
            <w:tcW w:w="3283" w:type="dxa"/>
          </w:tcPr>
          <w:p>
            <w:pPr>
              <w:pStyle w:val="TableParagraph"/>
              <w:spacing w:line="258" w:lineRule="exact"/>
              <w:ind w:left="131"/>
              <w:rPr>
                <w:sz w:val="21"/>
              </w:rPr>
            </w:pPr>
            <w:r>
              <w:rPr>
                <w:sz w:val="21"/>
              </w:rPr>
              <w:t>主动脉介入手术</w:t>
            </w:r>
          </w:p>
        </w:tc>
        <w:tc>
          <w:tcPr>
            <w:tcW w:w="6533" w:type="dxa"/>
          </w:tcPr>
          <w:p>
            <w:pPr>
              <w:pStyle w:val="TableParagraph"/>
              <w:spacing w:line="258" w:lineRule="exact"/>
              <w:rPr>
                <w:sz w:val="21"/>
              </w:rPr>
            </w:pPr>
            <w:r>
              <w:rPr>
                <w:sz w:val="21"/>
              </w:rPr>
              <w:t>指为治疗主动脉疾病实际实施了经皮经导管进行的动脉内手术。主</w:t>
            </w:r>
          </w:p>
          <w:p>
            <w:pPr>
              <w:pStyle w:val="TableParagraph"/>
              <w:spacing w:line="310" w:lineRule="atLeast" w:before="2"/>
              <w:ind w:right="201"/>
              <w:rPr>
                <w:b/>
                <w:sz w:val="21"/>
              </w:rPr>
            </w:pPr>
            <w:r>
              <w:rPr>
                <w:sz w:val="21"/>
              </w:rPr>
              <w:t>动脉指胸主动脉和腹主动脉，但</w:t>
            </w:r>
            <w:r>
              <w:rPr>
                <w:b/>
                <w:sz w:val="21"/>
              </w:rPr>
              <w:t>不包括胸主动脉和腹主动脉的分支血管。</w:t>
            </w:r>
          </w:p>
        </w:tc>
      </w:tr>
    </w:tbl>
    <w:p>
      <w:pPr>
        <w:spacing w:after="0" w:line="310" w:lineRule="atLeast"/>
        <w:rPr>
          <w:sz w:val="21"/>
        </w:rPr>
        <w:sectPr>
          <w:pgSz w:w="11910" w:h="16160"/>
          <w:pgMar w:header="0" w:footer="993" w:top="1420" w:bottom="11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847"/>
        <w:gridCol w:w="6915"/>
      </w:tblGrid>
      <w:tr>
        <w:trPr>
          <w:trHeight w:val="2404" w:hRule="atLeast"/>
        </w:trPr>
        <w:tc>
          <w:tcPr>
            <w:tcW w:w="542" w:type="dxa"/>
          </w:tcPr>
          <w:p>
            <w:pPr>
              <w:pStyle w:val="TableParagraph"/>
              <w:spacing w:line="234" w:lineRule="exact"/>
              <w:ind w:left="200"/>
              <w:rPr>
                <w:rFonts w:ascii="Times New Roman"/>
                <w:sz w:val="21"/>
              </w:rPr>
            </w:pPr>
            <w:r>
              <w:rPr>
                <w:rFonts w:ascii="Times New Roman"/>
                <w:sz w:val="21"/>
              </w:rPr>
              <w:t>10.</w:t>
            </w:r>
          </w:p>
        </w:tc>
        <w:tc>
          <w:tcPr>
            <w:tcW w:w="2847" w:type="dxa"/>
          </w:tcPr>
          <w:p>
            <w:pPr>
              <w:pStyle w:val="TableParagraph"/>
              <w:spacing w:line="236" w:lineRule="exact"/>
              <w:ind w:left="78"/>
              <w:rPr>
                <w:b/>
                <w:sz w:val="21"/>
              </w:rPr>
            </w:pPr>
            <w:r>
              <w:rPr>
                <w:sz w:val="21"/>
              </w:rPr>
              <w:t>视力受损 </w:t>
            </w:r>
            <w:r>
              <w:rPr>
                <w:rFonts w:ascii="Times New Roman" w:eastAsia="Times New Roman"/>
                <w:sz w:val="21"/>
              </w:rPr>
              <w:t>-  </w:t>
            </w:r>
            <w:r>
              <w:rPr>
                <w:b/>
                <w:sz w:val="21"/>
              </w:rPr>
              <w:t>三岁始理赔</w:t>
            </w:r>
          </w:p>
        </w:tc>
        <w:tc>
          <w:tcPr>
            <w:tcW w:w="6915" w:type="dxa"/>
          </w:tcPr>
          <w:p>
            <w:pPr>
              <w:pStyle w:val="TableParagraph"/>
              <w:spacing w:line="220" w:lineRule="exact"/>
              <w:ind w:left="592"/>
              <w:rPr>
                <w:sz w:val="21"/>
              </w:rPr>
            </w:pPr>
            <w:r>
              <w:rPr>
                <w:sz w:val="21"/>
              </w:rPr>
              <w:t>是指因疾病或意外伤害导致双眼视力永久不可逆性丧失，虽然未达</w:t>
            </w:r>
          </w:p>
          <w:p>
            <w:pPr>
              <w:pStyle w:val="TableParagraph"/>
              <w:spacing w:line="273" w:lineRule="auto" w:before="37"/>
              <w:ind w:left="592" w:right="200"/>
              <w:rPr>
                <w:sz w:val="21"/>
              </w:rPr>
            </w:pPr>
            <w:r>
              <w:rPr>
                <w:sz w:val="21"/>
              </w:rPr>
              <w:t>到本合同所指重大疾病“双目失明”的给付标准，但须满足下列全部条件：</w:t>
            </w:r>
          </w:p>
          <w:p>
            <w:pPr>
              <w:pStyle w:val="TableParagraph"/>
              <w:spacing w:line="256" w:lineRule="auto" w:before="7"/>
              <w:ind w:left="592" w:right="197"/>
              <w:rPr>
                <w:sz w:val="21"/>
              </w:rPr>
            </w:pPr>
            <w:r>
              <w:rPr>
                <w:sz w:val="21"/>
              </w:rPr>
              <w:t>（</w:t>
            </w:r>
            <w:r>
              <w:rPr>
                <w:rFonts w:ascii="Times New Roman" w:eastAsia="Times New Roman"/>
                <w:sz w:val="21"/>
              </w:rPr>
              <w:t>1</w:t>
            </w:r>
            <w:r>
              <w:rPr>
                <w:sz w:val="21"/>
              </w:rPr>
              <w:t>）</w:t>
            </w:r>
            <w:r>
              <w:rPr>
                <w:spacing w:val="-3"/>
                <w:sz w:val="21"/>
              </w:rPr>
              <w:t>双眼中较好眼矫正视力低于 </w:t>
            </w:r>
            <w:r>
              <w:rPr>
                <w:rFonts w:ascii="Times New Roman" w:eastAsia="Times New Roman"/>
                <w:sz w:val="21"/>
              </w:rPr>
              <w:t>0.1</w:t>
            </w:r>
            <w:r>
              <w:rPr>
                <w:sz w:val="21"/>
              </w:rPr>
              <w:t>（</w:t>
            </w:r>
            <w:r>
              <w:rPr>
                <w:spacing w:val="-3"/>
                <w:sz w:val="21"/>
              </w:rPr>
              <w:t>采用国际标准视力表，如果</w:t>
            </w:r>
            <w:r>
              <w:rPr>
                <w:spacing w:val="-3"/>
                <w:w w:val="100"/>
                <w:sz w:val="21"/>
              </w:rPr>
              <w:t>使用其他视力表应进行换算</w:t>
            </w:r>
            <w:r>
              <w:rPr>
                <w:spacing w:val="-106"/>
                <w:w w:val="100"/>
                <w:sz w:val="21"/>
              </w:rPr>
              <w:t>）</w:t>
            </w:r>
            <w:r>
              <w:rPr>
                <w:w w:val="100"/>
                <w:sz w:val="21"/>
              </w:rPr>
              <w:t>；</w:t>
            </w:r>
          </w:p>
          <w:p>
            <w:pPr>
              <w:pStyle w:val="TableParagraph"/>
              <w:spacing w:before="22"/>
              <w:ind w:left="592"/>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6"/>
              <w:ind w:left="592" w:right="200"/>
              <w:rPr>
                <w:sz w:val="21"/>
              </w:rPr>
            </w:pPr>
            <w:r>
              <w:rPr>
                <w:sz w:val="21"/>
              </w:rPr>
              <w:t>被保险人申请理赔时年龄必须在三周岁以上，并且提供理赔当时的视力丧失诊断及检查证据。</w:t>
            </w:r>
          </w:p>
        </w:tc>
      </w:tr>
    </w:tbl>
    <w:p>
      <w:pPr>
        <w:pStyle w:val="BodyText"/>
        <w:spacing w:before="10"/>
        <w:ind w:left="0"/>
        <w:rPr>
          <w:sz w:val="22"/>
        </w:rPr>
      </w:pPr>
    </w:p>
    <w:p>
      <w:pPr>
        <w:tabs>
          <w:tab w:pos="1577" w:val="left" w:leader="none"/>
        </w:tabs>
        <w:spacing w:line="252" w:lineRule="auto" w:before="36"/>
        <w:ind w:left="752" w:right="6826" w:hanging="435"/>
        <w:jc w:val="left"/>
        <w:rPr>
          <w:sz w:val="21"/>
        </w:rPr>
      </w:pPr>
      <w:bookmarkStart w:name="_bookmark40" w:id="41"/>
      <w:bookmarkEnd w:id="41"/>
      <w:r>
        <w:rPr/>
      </w:r>
      <w:r>
        <w:rPr>
          <w:b/>
          <w:sz w:val="21"/>
        </w:rPr>
        <w:t>第三十五条</w:t>
        <w:tab/>
        <w:t>身体高度残疾的定义 </w:t>
      </w:r>
      <w:r>
        <w:rPr>
          <w:sz w:val="21"/>
        </w:rPr>
        <w:t>身体</w:t>
      </w:r>
      <w:r>
        <w:rPr>
          <w:spacing w:val="-3"/>
          <w:sz w:val="21"/>
        </w:rPr>
        <w:t>高</w:t>
      </w:r>
      <w:r>
        <w:rPr>
          <w:sz w:val="21"/>
        </w:rPr>
        <w:t>度</w:t>
      </w:r>
      <w:r>
        <w:rPr>
          <w:spacing w:val="-3"/>
          <w:sz w:val="21"/>
        </w:rPr>
        <w:t>残</w:t>
      </w:r>
      <w:r>
        <w:rPr>
          <w:sz w:val="21"/>
        </w:rPr>
        <w:t>疾</w:t>
      </w:r>
      <w:r>
        <w:rPr>
          <w:spacing w:val="-3"/>
          <w:sz w:val="21"/>
        </w:rPr>
        <w:t>指</w:t>
      </w:r>
      <w:r>
        <w:rPr>
          <w:sz w:val="21"/>
        </w:rPr>
        <w:t>下</w:t>
      </w:r>
      <w:r>
        <w:rPr>
          <w:spacing w:val="-3"/>
          <w:sz w:val="21"/>
        </w:rPr>
        <w:t>列</w:t>
      </w:r>
      <w:r>
        <w:rPr>
          <w:sz w:val="21"/>
        </w:rPr>
        <w:t>情</w:t>
      </w:r>
      <w:r>
        <w:rPr>
          <w:spacing w:val="-3"/>
          <w:sz w:val="21"/>
        </w:rPr>
        <w:t>形</w:t>
      </w:r>
      <w:r>
        <w:rPr>
          <w:sz w:val="21"/>
        </w:rPr>
        <w:t>之一：</w:t>
      </w:r>
    </w:p>
    <w:p>
      <w:pPr>
        <w:pStyle w:val="BodyText"/>
        <w:spacing w:before="33"/>
        <w:ind w:left="735"/>
      </w:pPr>
      <w:r>
        <w:rPr/>
        <w:t>一、双目永久完全失明的（注 </w:t>
      </w:r>
      <w:r>
        <w:rPr>
          <w:rFonts w:ascii="Times New Roman" w:eastAsia="Times New Roman"/>
        </w:rPr>
        <w:t>1</w:t>
      </w:r>
      <w:r>
        <w:rPr/>
        <w:t>）</w:t>
      </w:r>
    </w:p>
    <w:p>
      <w:pPr>
        <w:pStyle w:val="BodyText"/>
        <w:spacing w:line="259" w:lineRule="auto" w:before="9"/>
        <w:ind w:left="735" w:right="5160"/>
      </w:pPr>
      <w:r>
        <w:rPr>
          <w:spacing w:val="-3"/>
        </w:rPr>
        <w:t>二、两上肢腕关节以上或两下肢踝关节以上缺失的三、一上肢腕关节以上及一下肢踝关节以上缺失的四、一目永久完全失明及一上肢腕关节以上缺失的五、一目永久完全失明及一下肢踝关节以上缺失的六、所有四肢关节机能永久完全丧失的（</w:t>
      </w:r>
      <w:r>
        <w:rPr>
          <w:spacing w:val="17"/>
        </w:rPr>
        <w:t>注 </w:t>
      </w:r>
      <w:r>
        <w:rPr>
          <w:rFonts w:ascii="Times New Roman" w:eastAsia="Times New Roman"/>
        </w:rPr>
        <w:t>2</w:t>
      </w:r>
      <w:r>
        <w:rPr/>
        <w:t>） </w:t>
      </w:r>
      <w:r>
        <w:rPr>
          <w:spacing w:val="-3"/>
        </w:rPr>
        <w:t>七、咀嚼、吞咽机能永久完全丧失的（</w:t>
      </w:r>
      <w:r>
        <w:rPr>
          <w:spacing w:val="-15"/>
        </w:rPr>
        <w:t>注 </w:t>
      </w:r>
      <w:r>
        <w:rPr>
          <w:rFonts w:ascii="Times New Roman" w:eastAsia="Times New Roman"/>
        </w:rPr>
        <w:t>3</w:t>
      </w:r>
      <w:r>
        <w:rPr/>
        <w:t>）</w:t>
      </w:r>
    </w:p>
    <w:p>
      <w:pPr>
        <w:pStyle w:val="BodyText"/>
        <w:spacing w:line="261" w:lineRule="auto"/>
        <w:ind w:left="317" w:right="296" w:firstLine="418"/>
      </w:pPr>
      <w:r>
        <w:rPr/>
        <w:t>八、中枢神经系统机能或胸、腹部脏器机能极度障碍，终身不能从事任何工作，为维持生命必要的日常生活活动，全需他人扶助的。（注 </w:t>
      </w:r>
      <w:r>
        <w:rPr>
          <w:rFonts w:ascii="Times New Roman" w:eastAsia="Times New Roman"/>
        </w:rPr>
        <w:t>4</w:t>
      </w:r>
      <w:r>
        <w:rPr/>
        <w:t>）</w:t>
      </w:r>
    </w:p>
    <w:p>
      <w:pPr>
        <w:pStyle w:val="BodyText"/>
        <w:spacing w:line="263" w:lineRule="exact" w:before="10"/>
        <w:ind w:left="738"/>
      </w:pPr>
      <w:r>
        <w:rPr/>
        <w:t>注释：</w:t>
      </w:r>
    </w:p>
    <w:p>
      <w:pPr>
        <w:pStyle w:val="BodyText"/>
        <w:spacing w:line="247" w:lineRule="auto" w:before="25"/>
        <w:ind w:left="317" w:right="292" w:firstLine="420"/>
        <w:jc w:val="both"/>
      </w:pPr>
      <w:r>
        <w:rPr/>
        <w:t>（</w:t>
      </w:r>
      <w:r>
        <w:rPr>
          <w:rFonts w:ascii="Times New Roman" w:eastAsia="Times New Roman"/>
        </w:rPr>
        <w:t>1</w:t>
      </w:r>
      <w:r>
        <w:rPr/>
        <w:t>）失明包括眼球缺失或摘除、或不能辨别明暗、或仅能辨别眼前手动者</w:t>
      </w:r>
      <w:r>
        <w:rPr>
          <w:rFonts w:ascii="Times New Roman" w:eastAsia="Times New Roman"/>
        </w:rPr>
        <w:t>,</w:t>
      </w:r>
      <w:r>
        <w:rPr/>
        <w:t>最佳矫正视力低于国际标准</w:t>
      </w:r>
      <w:r>
        <w:rPr>
          <w:spacing w:val="-8"/>
        </w:rPr>
        <w:t>视力表 </w:t>
      </w:r>
      <w:r>
        <w:rPr>
          <w:rFonts w:ascii="Times New Roman" w:eastAsia="Times New Roman"/>
        </w:rPr>
        <w:t>0.02</w:t>
      </w:r>
      <w:r>
        <w:rPr>
          <w:spacing w:val="-6"/>
        </w:rPr>
        <w:t>，或视野半径小于 </w:t>
      </w:r>
      <w:r>
        <w:rPr>
          <w:rFonts w:ascii="Times New Roman" w:eastAsia="Times New Roman"/>
        </w:rPr>
        <w:t>5 </w:t>
      </w:r>
      <w:r>
        <w:rPr>
          <w:spacing w:val="-3"/>
        </w:rPr>
        <w:t>度，并由我们指定的有资格的眼科医生出具医疗诊断证明。永久完全是指自</w:t>
      </w:r>
      <w:r>
        <w:rPr>
          <w:spacing w:val="-4"/>
        </w:rPr>
        <w:t>上述残疾发生之日起经过 </w:t>
      </w:r>
      <w:r>
        <w:rPr>
          <w:rFonts w:ascii="Times New Roman" w:eastAsia="Times New Roman"/>
        </w:rPr>
        <w:t>180 </w:t>
      </w:r>
      <w:r>
        <w:rPr>
          <w:spacing w:val="-3"/>
        </w:rPr>
        <w:t>日的所有可能恢复机能的治疗，机能仍然完全丧失。但眼球摘除等明显无法复原之情况，不在此限。</w:t>
      </w:r>
    </w:p>
    <w:p>
      <w:pPr>
        <w:pStyle w:val="BodyText"/>
        <w:spacing w:before="18"/>
        <w:ind w:left="738"/>
      </w:pPr>
      <w:r>
        <w:rPr/>
        <w:t>（</w:t>
      </w:r>
      <w:r>
        <w:rPr>
          <w:rFonts w:ascii="Times New Roman" w:eastAsia="Times New Roman"/>
        </w:rPr>
        <w:t>2</w:t>
      </w:r>
      <w:r>
        <w:rPr/>
        <w:t>）关节机能的丧失是指关节永久完全僵硬、或麻痹、或关节不能随意识活动。</w:t>
      </w:r>
    </w:p>
    <w:p>
      <w:pPr>
        <w:pStyle w:val="BodyText"/>
        <w:spacing w:line="247" w:lineRule="auto" w:before="8"/>
        <w:ind w:left="317" w:right="295" w:firstLine="420"/>
      </w:pPr>
      <w:r>
        <w:rPr>
          <w:spacing w:val="-7"/>
        </w:rPr>
        <w:t>（</w:t>
      </w:r>
      <w:r>
        <w:rPr>
          <w:rFonts w:ascii="Times New Roman" w:eastAsia="Times New Roman"/>
          <w:spacing w:val="-7"/>
        </w:rPr>
        <w:t>3</w:t>
      </w:r>
      <w:r>
        <w:rPr>
          <w:spacing w:val="-7"/>
        </w:rPr>
        <w:t>）咀嚼、吞咽机能的丧失是指由于牙齿以外的原因引起器质障碍或机能障碍，以致不能作咀嚼、吞咽</w:t>
      </w:r>
      <w:r>
        <w:rPr>
          <w:spacing w:val="-5"/>
        </w:rPr>
        <w:t>运动，除流质食物外不能摄取或吞咽的状态。</w:t>
      </w:r>
    </w:p>
    <w:p>
      <w:pPr>
        <w:pStyle w:val="BodyText"/>
        <w:spacing w:line="247" w:lineRule="auto" w:before="18"/>
        <w:ind w:left="317" w:right="295" w:firstLine="420"/>
      </w:pPr>
      <w:r>
        <w:rPr>
          <w:spacing w:val="-5"/>
        </w:rPr>
        <w:t>（</w:t>
      </w:r>
      <w:r>
        <w:rPr>
          <w:rFonts w:ascii="Times New Roman" w:eastAsia="Times New Roman"/>
          <w:spacing w:val="-5"/>
        </w:rPr>
        <w:t>4</w:t>
      </w:r>
      <w:r>
        <w:rPr>
          <w:spacing w:val="-5"/>
        </w:rPr>
        <w:t>）</w:t>
      </w:r>
      <w:r>
        <w:rPr>
          <w:spacing w:val="-8"/>
        </w:rPr>
        <w:t>为维持生命必要的日常生活活动，全需他人扶助系指食物摄取、大小便始末、穿脱衣服、起居、步</w:t>
      </w:r>
      <w:r>
        <w:rPr>
          <w:spacing w:val="-5"/>
        </w:rPr>
        <w:t>行、入浴等，皆不能自己为之，需要他人帮助。</w:t>
      </w:r>
    </w:p>
    <w:p>
      <w:pPr>
        <w:pStyle w:val="BodyText"/>
        <w:spacing w:before="1"/>
        <w:ind w:left="0"/>
        <w:rPr>
          <w:sz w:val="20"/>
        </w:rPr>
      </w:pPr>
    </w:p>
    <w:p>
      <w:pPr>
        <w:pStyle w:val="Heading2"/>
        <w:spacing w:before="1"/>
        <w:ind w:left="0" w:right="715"/>
        <w:jc w:val="right"/>
      </w:pPr>
      <w:r>
        <w:rPr/>
        <w:t>〈本页内容结束〉</w:t>
      </w:r>
    </w:p>
    <w:sectPr>
      <w:pgSz w:w="11910" w:h="16160"/>
      <w:pgMar w:header="0" w:footer="993" w:top="1420" w:bottom="1180" w:left="7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Courier New">
    <w:altName w:val="Courier New"/>
    <w:charset w:val="0"/>
    <w:family w:val="modern"/>
    <w:pitch w:val="fixed"/>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76.259995pt;margin-top:743.285889pt;width:250.7pt;height:13.7pt;mso-position-horizontal-relative:page;mso-position-vertical-relative:page;z-index:-33064" type="#_x0000_t202" filled="false" stroked="false">
          <v:textbox inset="0,0,0,0">
            <w:txbxContent>
              <w:p>
                <w:pPr>
                  <w:pStyle w:val="BodyText"/>
                  <w:spacing w:line="254" w:lineRule="exact"/>
                  <w:ind w:left="20"/>
                </w:pPr>
                <w:r>
                  <w:rPr/>
                  <w:t>太平康颐金生</w:t>
                </w:r>
                <w:r>
                  <w:rPr>
                    <w:rFonts w:ascii="Times New Roman" w:eastAsia="Times New Roman"/>
                  </w:rPr>
                  <w:t>C</w:t>
                </w:r>
                <w:r>
                  <w:rPr/>
                  <w:t>款终身重大疾病保险，第</w:t>
                </w:r>
                <w:r>
                  <w:rPr/>
                  <w:fldChar w:fldCharType="begin"/>
                </w:r>
                <w:r>
                  <w:rPr>
                    <w:rFonts w:ascii="Times New Roman" w:eastAsia="Times New Roman"/>
                  </w:rPr>
                  <w:instrText> PAGE </w:instrText>
                </w:r>
                <w:r>
                  <w:rPr/>
                  <w:fldChar w:fldCharType="separate"/>
                </w:r>
                <w:r>
                  <w:rPr/>
                  <w:t>14</w:t>
                </w:r>
                <w:r>
                  <w:rPr/>
                  <w:fldChar w:fldCharType="end"/>
                </w:r>
                <w:r>
                  <w:rPr/>
                  <w:t>页，共</w:t>
                </w:r>
                <w:r>
                  <w:rPr>
                    <w:rFonts w:ascii="Times New Roman" w:eastAsia="Times New Roman"/>
                  </w:rPr>
                  <w:t>20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35"/>
      <w:numFmt w:val="decimal"/>
      <w:lvlText w:val="%1."/>
      <w:lvlJc w:val="left"/>
      <w:pPr>
        <w:ind w:left="389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4522" w:hanging="421"/>
      </w:pPr>
      <w:rPr>
        <w:rFonts w:hint="default"/>
      </w:rPr>
    </w:lvl>
    <w:lvl w:ilvl="2">
      <w:start w:val="0"/>
      <w:numFmt w:val="bullet"/>
      <w:lvlText w:val="•"/>
      <w:lvlJc w:val="left"/>
      <w:pPr>
        <w:ind w:left="5145" w:hanging="421"/>
      </w:pPr>
      <w:rPr>
        <w:rFonts w:hint="default"/>
      </w:rPr>
    </w:lvl>
    <w:lvl w:ilvl="3">
      <w:start w:val="0"/>
      <w:numFmt w:val="bullet"/>
      <w:lvlText w:val="•"/>
      <w:lvlJc w:val="left"/>
      <w:pPr>
        <w:ind w:left="5767" w:hanging="421"/>
      </w:pPr>
      <w:rPr>
        <w:rFonts w:hint="default"/>
      </w:rPr>
    </w:lvl>
    <w:lvl w:ilvl="4">
      <w:start w:val="0"/>
      <w:numFmt w:val="bullet"/>
      <w:lvlText w:val="•"/>
      <w:lvlJc w:val="left"/>
      <w:pPr>
        <w:ind w:left="6390" w:hanging="421"/>
      </w:pPr>
      <w:rPr>
        <w:rFonts w:hint="default"/>
      </w:rPr>
    </w:lvl>
    <w:lvl w:ilvl="5">
      <w:start w:val="0"/>
      <w:numFmt w:val="bullet"/>
      <w:lvlText w:val="•"/>
      <w:lvlJc w:val="left"/>
      <w:pPr>
        <w:ind w:left="7013" w:hanging="421"/>
      </w:pPr>
      <w:rPr>
        <w:rFonts w:hint="default"/>
      </w:rPr>
    </w:lvl>
    <w:lvl w:ilvl="6">
      <w:start w:val="0"/>
      <w:numFmt w:val="bullet"/>
      <w:lvlText w:val="•"/>
      <w:lvlJc w:val="left"/>
      <w:pPr>
        <w:ind w:left="7635" w:hanging="421"/>
      </w:pPr>
      <w:rPr>
        <w:rFonts w:hint="default"/>
      </w:rPr>
    </w:lvl>
    <w:lvl w:ilvl="7">
      <w:start w:val="0"/>
      <w:numFmt w:val="bullet"/>
      <w:lvlText w:val="•"/>
      <w:lvlJc w:val="left"/>
      <w:pPr>
        <w:ind w:left="8258" w:hanging="421"/>
      </w:pPr>
      <w:rPr>
        <w:rFonts w:hint="default"/>
      </w:rPr>
    </w:lvl>
    <w:lvl w:ilvl="8">
      <w:start w:val="0"/>
      <w:numFmt w:val="bullet"/>
      <w:lvlText w:val="•"/>
      <w:lvlJc w:val="left"/>
      <w:pPr>
        <w:ind w:left="8881" w:hanging="421"/>
      </w:pPr>
      <w:rPr>
        <w:rFonts w:hint="default"/>
      </w:rPr>
    </w:lvl>
  </w:abstractNum>
  <w:abstractNum w:abstractNumId="11">
    <w:multiLevelType w:val="hybridMultilevel"/>
    <w:lvl w:ilvl="0">
      <w:start w:val="24"/>
      <w:numFmt w:val="decimal"/>
      <w:lvlText w:val="%1."/>
      <w:lvlJc w:val="left"/>
      <w:pPr>
        <w:ind w:left="389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4522" w:hanging="421"/>
      </w:pPr>
      <w:rPr>
        <w:rFonts w:hint="default"/>
      </w:rPr>
    </w:lvl>
    <w:lvl w:ilvl="2">
      <w:start w:val="0"/>
      <w:numFmt w:val="bullet"/>
      <w:lvlText w:val="•"/>
      <w:lvlJc w:val="left"/>
      <w:pPr>
        <w:ind w:left="5145" w:hanging="421"/>
      </w:pPr>
      <w:rPr>
        <w:rFonts w:hint="default"/>
      </w:rPr>
    </w:lvl>
    <w:lvl w:ilvl="3">
      <w:start w:val="0"/>
      <w:numFmt w:val="bullet"/>
      <w:lvlText w:val="•"/>
      <w:lvlJc w:val="left"/>
      <w:pPr>
        <w:ind w:left="5767" w:hanging="421"/>
      </w:pPr>
      <w:rPr>
        <w:rFonts w:hint="default"/>
      </w:rPr>
    </w:lvl>
    <w:lvl w:ilvl="4">
      <w:start w:val="0"/>
      <w:numFmt w:val="bullet"/>
      <w:lvlText w:val="•"/>
      <w:lvlJc w:val="left"/>
      <w:pPr>
        <w:ind w:left="6390" w:hanging="421"/>
      </w:pPr>
      <w:rPr>
        <w:rFonts w:hint="default"/>
      </w:rPr>
    </w:lvl>
    <w:lvl w:ilvl="5">
      <w:start w:val="0"/>
      <w:numFmt w:val="bullet"/>
      <w:lvlText w:val="•"/>
      <w:lvlJc w:val="left"/>
      <w:pPr>
        <w:ind w:left="7013" w:hanging="421"/>
      </w:pPr>
      <w:rPr>
        <w:rFonts w:hint="default"/>
      </w:rPr>
    </w:lvl>
    <w:lvl w:ilvl="6">
      <w:start w:val="0"/>
      <w:numFmt w:val="bullet"/>
      <w:lvlText w:val="•"/>
      <w:lvlJc w:val="left"/>
      <w:pPr>
        <w:ind w:left="7635" w:hanging="421"/>
      </w:pPr>
      <w:rPr>
        <w:rFonts w:hint="default"/>
      </w:rPr>
    </w:lvl>
    <w:lvl w:ilvl="7">
      <w:start w:val="0"/>
      <w:numFmt w:val="bullet"/>
      <w:lvlText w:val="•"/>
      <w:lvlJc w:val="left"/>
      <w:pPr>
        <w:ind w:left="8258" w:hanging="421"/>
      </w:pPr>
      <w:rPr>
        <w:rFonts w:hint="default"/>
      </w:rPr>
    </w:lvl>
    <w:lvl w:ilvl="8">
      <w:start w:val="0"/>
      <w:numFmt w:val="bullet"/>
      <w:lvlText w:val="•"/>
      <w:lvlJc w:val="left"/>
      <w:pPr>
        <w:ind w:left="8881" w:hanging="421"/>
      </w:pPr>
      <w:rPr>
        <w:rFonts w:hint="default"/>
      </w:rPr>
    </w:lvl>
  </w:abstractNum>
  <w:abstractNum w:abstractNumId="10">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9">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8">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7">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6">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5">
    <w:multiLevelType w:val="hybridMultilevel"/>
    <w:lvl w:ilvl="0">
      <w:start w:val="1"/>
      <w:numFmt w:val="decimal"/>
      <w:lvlText w:val="（%1）"/>
      <w:lvlJc w:val="left"/>
      <w:pPr>
        <w:ind w:left="117" w:hanging="636"/>
        <w:jc w:val="left"/>
      </w:pPr>
      <w:rPr>
        <w:rFonts w:hint="default" w:ascii="宋体" w:hAnsi="宋体" w:eastAsia="宋体" w:cs="宋体"/>
        <w:w w:val="100"/>
        <w:sz w:val="21"/>
        <w:szCs w:val="21"/>
      </w:rPr>
    </w:lvl>
    <w:lvl w:ilvl="1">
      <w:start w:val="0"/>
      <w:numFmt w:val="bullet"/>
      <w:lvlText w:val="•"/>
      <w:lvlJc w:val="left"/>
      <w:pPr>
        <w:ind w:left="1132" w:hanging="636"/>
      </w:pPr>
      <w:rPr>
        <w:rFonts w:hint="default"/>
      </w:rPr>
    </w:lvl>
    <w:lvl w:ilvl="2">
      <w:start w:val="0"/>
      <w:numFmt w:val="bullet"/>
      <w:lvlText w:val="•"/>
      <w:lvlJc w:val="left"/>
      <w:pPr>
        <w:ind w:left="2145" w:hanging="636"/>
      </w:pPr>
      <w:rPr>
        <w:rFonts w:hint="default"/>
      </w:rPr>
    </w:lvl>
    <w:lvl w:ilvl="3">
      <w:start w:val="0"/>
      <w:numFmt w:val="bullet"/>
      <w:lvlText w:val="•"/>
      <w:lvlJc w:val="left"/>
      <w:pPr>
        <w:ind w:left="3157" w:hanging="636"/>
      </w:pPr>
      <w:rPr>
        <w:rFonts w:hint="default"/>
      </w:rPr>
    </w:lvl>
    <w:lvl w:ilvl="4">
      <w:start w:val="0"/>
      <w:numFmt w:val="bullet"/>
      <w:lvlText w:val="•"/>
      <w:lvlJc w:val="left"/>
      <w:pPr>
        <w:ind w:left="4170" w:hanging="636"/>
      </w:pPr>
      <w:rPr>
        <w:rFonts w:hint="default"/>
      </w:rPr>
    </w:lvl>
    <w:lvl w:ilvl="5">
      <w:start w:val="0"/>
      <w:numFmt w:val="bullet"/>
      <w:lvlText w:val="•"/>
      <w:lvlJc w:val="left"/>
      <w:pPr>
        <w:ind w:left="5183" w:hanging="636"/>
      </w:pPr>
      <w:rPr>
        <w:rFonts w:hint="default"/>
      </w:rPr>
    </w:lvl>
    <w:lvl w:ilvl="6">
      <w:start w:val="0"/>
      <w:numFmt w:val="bullet"/>
      <w:lvlText w:val="•"/>
      <w:lvlJc w:val="left"/>
      <w:pPr>
        <w:ind w:left="6195" w:hanging="636"/>
      </w:pPr>
      <w:rPr>
        <w:rFonts w:hint="default"/>
      </w:rPr>
    </w:lvl>
    <w:lvl w:ilvl="7">
      <w:start w:val="0"/>
      <w:numFmt w:val="bullet"/>
      <w:lvlText w:val="•"/>
      <w:lvlJc w:val="left"/>
      <w:pPr>
        <w:ind w:left="7208" w:hanging="636"/>
      </w:pPr>
      <w:rPr>
        <w:rFonts w:hint="default"/>
      </w:rPr>
    </w:lvl>
    <w:lvl w:ilvl="8">
      <w:start w:val="0"/>
      <w:numFmt w:val="bullet"/>
      <w:lvlText w:val="•"/>
      <w:lvlJc w:val="left"/>
      <w:pPr>
        <w:ind w:left="8221" w:hanging="636"/>
      </w:pPr>
      <w:rPr>
        <w:rFonts w:hint="default"/>
      </w:rPr>
    </w:lvl>
  </w:abstractNum>
  <w:abstractNum w:abstractNumId="4">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3">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5" w:hanging="267"/>
      </w:pPr>
      <w:rPr>
        <w:rFonts w:hint="default"/>
      </w:rPr>
    </w:lvl>
    <w:lvl w:ilvl="3">
      <w:start w:val="0"/>
      <w:numFmt w:val="bullet"/>
      <w:lvlText w:val="•"/>
      <w:lvlJc w:val="left"/>
      <w:pPr>
        <w:ind w:left="3157" w:hanging="267"/>
      </w:pPr>
      <w:rPr>
        <w:rFonts w:hint="default"/>
      </w:rPr>
    </w:lvl>
    <w:lvl w:ilvl="4">
      <w:start w:val="0"/>
      <w:numFmt w:val="bullet"/>
      <w:lvlText w:val="•"/>
      <w:lvlJc w:val="left"/>
      <w:pPr>
        <w:ind w:left="4170"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195" w:hanging="267"/>
      </w:pPr>
      <w:rPr>
        <w:rFonts w:hint="default"/>
      </w:rPr>
    </w:lvl>
    <w:lvl w:ilvl="7">
      <w:start w:val="0"/>
      <w:numFmt w:val="bullet"/>
      <w:lvlText w:val="•"/>
      <w:lvlJc w:val="left"/>
      <w:pPr>
        <w:ind w:left="7208" w:hanging="267"/>
      </w:pPr>
      <w:rPr>
        <w:rFonts w:hint="default"/>
      </w:rPr>
    </w:lvl>
    <w:lvl w:ilvl="8">
      <w:start w:val="0"/>
      <w:numFmt w:val="bullet"/>
      <w:lvlText w:val="•"/>
      <w:lvlJc w:val="left"/>
      <w:pPr>
        <w:ind w:left="8221" w:hanging="267"/>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9"/>
      </w:pPr>
      <w:rPr>
        <w:rFonts w:hint="default"/>
      </w:rPr>
    </w:lvl>
    <w:lvl w:ilvl="2">
      <w:start w:val="0"/>
      <w:numFmt w:val="bullet"/>
      <w:lvlText w:val="•"/>
      <w:lvlJc w:val="left"/>
      <w:pPr>
        <w:ind w:left="214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170" w:hanging="269"/>
      </w:pPr>
      <w:rPr>
        <w:rFonts w:hint="default"/>
      </w:rPr>
    </w:lvl>
    <w:lvl w:ilvl="5">
      <w:start w:val="0"/>
      <w:numFmt w:val="bullet"/>
      <w:lvlText w:val="•"/>
      <w:lvlJc w:val="left"/>
      <w:pPr>
        <w:ind w:left="5183" w:hanging="269"/>
      </w:pPr>
      <w:rPr>
        <w:rFonts w:hint="default"/>
      </w:rPr>
    </w:lvl>
    <w:lvl w:ilvl="6">
      <w:start w:val="0"/>
      <w:numFmt w:val="bullet"/>
      <w:lvlText w:val="•"/>
      <w:lvlJc w:val="left"/>
      <w:pPr>
        <w:ind w:left="6195" w:hanging="269"/>
      </w:pPr>
      <w:rPr>
        <w:rFonts w:hint="default"/>
      </w:rPr>
    </w:lvl>
    <w:lvl w:ilvl="7">
      <w:start w:val="0"/>
      <w:numFmt w:val="bullet"/>
      <w:lvlText w:val="•"/>
      <w:lvlJc w:val="left"/>
      <w:pPr>
        <w:ind w:left="7208" w:hanging="269"/>
      </w:pPr>
      <w:rPr>
        <w:rFonts w:hint="default"/>
      </w:rPr>
    </w:lvl>
    <w:lvl w:ilvl="8">
      <w:start w:val="0"/>
      <w:numFmt w:val="bullet"/>
      <w:lvlText w:val="•"/>
      <w:lvlJc w:val="left"/>
      <w:pPr>
        <w:ind w:left="8221"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8" w:hanging="420"/>
      </w:pPr>
      <w:rPr>
        <w:rFonts w:hint="default"/>
      </w:rPr>
    </w:lvl>
    <w:lvl w:ilvl="2">
      <w:start w:val="0"/>
      <w:numFmt w:val="bullet"/>
      <w:lvlText w:val="•"/>
      <w:lvlJc w:val="left"/>
      <w:pPr>
        <w:ind w:left="3737" w:hanging="420"/>
      </w:pPr>
      <w:rPr>
        <w:rFonts w:hint="default"/>
      </w:rPr>
    </w:lvl>
    <w:lvl w:ilvl="3">
      <w:start w:val="0"/>
      <w:numFmt w:val="bullet"/>
      <w:lvlText w:val="•"/>
      <w:lvlJc w:val="left"/>
      <w:pPr>
        <w:ind w:left="4655" w:hanging="420"/>
      </w:pPr>
      <w:rPr>
        <w:rFonts w:hint="default"/>
      </w:rPr>
    </w:lvl>
    <w:lvl w:ilvl="4">
      <w:start w:val="0"/>
      <w:numFmt w:val="bullet"/>
      <w:lvlText w:val="•"/>
      <w:lvlJc w:val="left"/>
      <w:pPr>
        <w:ind w:left="5574" w:hanging="420"/>
      </w:pPr>
      <w:rPr>
        <w:rFonts w:hint="default"/>
      </w:rPr>
    </w:lvl>
    <w:lvl w:ilvl="5">
      <w:start w:val="0"/>
      <w:numFmt w:val="bullet"/>
      <w:lvlText w:val="•"/>
      <w:lvlJc w:val="left"/>
      <w:pPr>
        <w:ind w:left="6493" w:hanging="420"/>
      </w:pPr>
      <w:rPr>
        <w:rFonts w:hint="default"/>
      </w:rPr>
    </w:lvl>
    <w:lvl w:ilvl="6">
      <w:start w:val="0"/>
      <w:numFmt w:val="bullet"/>
      <w:lvlText w:val="•"/>
      <w:lvlJc w:val="left"/>
      <w:pPr>
        <w:ind w:left="7411" w:hanging="420"/>
      </w:pPr>
      <w:rPr>
        <w:rFonts w:hint="default"/>
      </w:rPr>
    </w:lvl>
    <w:lvl w:ilvl="7">
      <w:start w:val="0"/>
      <w:numFmt w:val="bullet"/>
      <w:lvlText w:val="•"/>
      <w:lvlJc w:val="left"/>
      <w:pPr>
        <w:ind w:left="8330" w:hanging="420"/>
      </w:pPr>
      <w:rPr>
        <w:rFonts w:hint="default"/>
      </w:rPr>
    </w:lvl>
    <w:lvl w:ilvl="8">
      <w:start w:val="0"/>
      <w:numFmt w:val="bullet"/>
      <w:lvlText w:val="•"/>
      <w:lvlJc w:val="left"/>
      <w:pPr>
        <w:ind w:left="9249"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17" w:firstLine="421"/>
    </w:pPr>
    <w:rPr>
      <w:rFonts w:ascii="宋体" w:hAnsi="宋体" w:eastAsia="宋体" w:cs="宋体"/>
    </w:rPr>
  </w:style>
  <w:style w:styleId="TableParagraph" w:type="paragraph">
    <w:name w:val="Table Paragraph"/>
    <w:basedOn w:val="Normal"/>
    <w:uiPriority w:val="1"/>
    <w:qFormat/>
    <w:pPr>
      <w:ind w:left="2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limx</dc:creator>
  <dcterms:created xsi:type="dcterms:W3CDTF">2018-10-19T22:20:12Z</dcterms:created>
  <dcterms:modified xsi:type="dcterms:W3CDTF">2018-10-19T22:20:12Z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Microsoft® Word 2010</vt:lpwstr>
  </property>
  <property fmtid="{D5CDD505-2E9C-101B-9397-08002B2CF9AE}" pid="4" name="LastSaved">
    <vt:filetime>2018-10-19T00:00:00Z</vt:filetime>
  </property>
</Properties>
</file>