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0" w:right="114"/>
        <w:jc w:val="right"/>
      </w:pPr>
      <w:r>
        <w:rPr/>
        <w:t>北大方正人寿[2012]疾病保险 060 号</w:t>
      </w: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3"/>
        </w:rPr>
      </w:pPr>
    </w:p>
    <w:p>
      <w:pPr>
        <w:spacing w:after="0"/>
        <w:rPr>
          <w:sz w:val="23"/>
        </w:rPr>
        <w:sectPr>
          <w:footerReference w:type="default" r:id="rId5"/>
          <w:type w:val="continuous"/>
          <w:pgSz w:w="11960" w:h="16850"/>
          <w:pgMar w:footer="1001" w:top="280" w:bottom="1200" w:left="1560" w:right="760"/>
          <w:pgNumType w:start="1"/>
        </w:sectPr>
      </w:pPr>
    </w:p>
    <w:p>
      <w:pPr>
        <w:spacing w:line="237" w:lineRule="auto" w:before="29"/>
        <w:ind w:left="2944" w:right="0" w:firstLine="0"/>
        <w:jc w:val="center"/>
        <w:rPr>
          <w:b/>
          <w:sz w:val="24"/>
        </w:rPr>
      </w:pPr>
      <w:r>
        <w:rPr/>
        <w:pict>
          <v:group style="position:absolute;margin-left:83.633759pt;margin-top:-49.729134pt;width:428.4pt;height:57pt;mso-position-horizontal-relative:page;mso-position-vertical-relative:paragraph;z-index:-10912" coordorigin="1673,-995" coordsize="8568,1140">
            <v:line style="position:absolute" from="1673,-553" to="10233,-553" stroked="true" strokeweight=".479983pt" strokecolor="#dddddd">
              <v:stroke dashstyle="solid"/>
            </v:line>
            <v:shape style="position:absolute;left:9100;top:-995;width:1140;height:1140" type="#_x0000_t75" stroked="false">
              <v:imagedata r:id="rId6" o:title=""/>
            </v:shape>
            <w10:wrap type="none"/>
          </v:group>
        </w:pict>
      </w:r>
      <w:r>
        <w:rPr>
          <w:b/>
          <w:w w:val="95"/>
          <w:sz w:val="24"/>
        </w:rPr>
        <w:t>北大方正人寿保险有限公司附加团体重大疾病保险条款</w:t>
      </w:r>
    </w:p>
    <w:p>
      <w:pPr>
        <w:spacing w:line="330" w:lineRule="exact" w:before="0"/>
        <w:ind w:left="2945" w:right="0" w:firstLine="0"/>
        <w:jc w:val="center"/>
        <w:rPr>
          <w:b/>
          <w:sz w:val="24"/>
        </w:rPr>
      </w:pPr>
      <w:r>
        <w:rPr>
          <w:b/>
          <w:sz w:val="24"/>
        </w:rPr>
        <w:t>（</w:t>
      </w:r>
      <w:r>
        <w:rPr>
          <w:rFonts w:ascii="Times New Roman" w:eastAsia="Times New Roman"/>
          <w:b/>
          <w:sz w:val="24"/>
        </w:rPr>
        <w:t>2012 </w:t>
      </w:r>
      <w:r>
        <w:rPr>
          <w:b/>
          <w:sz w:val="24"/>
        </w:rPr>
        <w:t>年 </w:t>
      </w:r>
      <w:r>
        <w:rPr>
          <w:rFonts w:ascii="Times New Roman" w:eastAsia="Times New Roman"/>
          <w:b/>
          <w:sz w:val="24"/>
        </w:rPr>
        <w:t>3 </w:t>
      </w:r>
      <w:r>
        <w:rPr>
          <w:b/>
          <w:sz w:val="24"/>
        </w:rPr>
        <w:t>月）</w:t>
      </w:r>
    </w:p>
    <w:p>
      <w:pPr>
        <w:pStyle w:val="BodyText"/>
        <w:spacing w:before="3"/>
        <w:ind w:left="0"/>
        <w:rPr>
          <w:b/>
          <w:sz w:val="13"/>
        </w:rPr>
      </w:pPr>
      <w:r>
        <w:rPr/>
        <w:br w:type="column"/>
      </w:r>
      <w:r>
        <w:rPr>
          <w:b/>
          <w:sz w:val="13"/>
        </w:rPr>
      </w:r>
    </w:p>
    <w:p>
      <w:pPr>
        <w:pStyle w:val="BodyText"/>
        <w:ind w:left="1300"/>
      </w:pPr>
      <w:r>
        <w:rPr/>
        <w:t>请扫描以查询验证条款</w:t>
      </w:r>
    </w:p>
    <w:p>
      <w:pPr>
        <w:spacing w:after="0"/>
        <w:sectPr>
          <w:type w:val="continuous"/>
          <w:pgSz w:w="11960" w:h="16850"/>
          <w:pgMar w:top="280" w:bottom="1200" w:left="1560" w:right="760"/>
          <w:cols w:num="2" w:equalWidth="0">
            <w:col w:w="5836" w:space="40"/>
            <w:col w:w="3764"/>
          </w:cols>
        </w:sectPr>
      </w:pPr>
    </w:p>
    <w:p>
      <w:pPr>
        <w:pStyle w:val="BodyText"/>
        <w:ind w:left="0"/>
        <w:rPr>
          <w:sz w:val="20"/>
        </w:rPr>
      </w:pPr>
    </w:p>
    <w:p>
      <w:pPr>
        <w:pStyle w:val="BodyText"/>
        <w:spacing w:before="7"/>
        <w:ind w:left="0"/>
        <w:rPr>
          <w:sz w:val="25"/>
        </w:rPr>
      </w:pPr>
    </w:p>
    <w:p>
      <w:pPr>
        <w:spacing w:before="36"/>
        <w:ind w:left="4167" w:right="5013" w:firstLine="0"/>
        <w:jc w:val="center"/>
        <w:rPr>
          <w:sz w:val="21"/>
        </w:rPr>
      </w:pPr>
      <w:r>
        <w:rPr>
          <w:sz w:val="21"/>
        </w:rPr>
        <w:t>目录</w:t>
      </w:r>
    </w:p>
    <w:sdt>
      <w:sdtPr>
        <w:docPartObj>
          <w:docPartGallery w:val="Table of Contents"/>
          <w:docPartUnique/>
        </w:docPartObj>
      </w:sdtPr>
      <w:sdtEndPr/>
      <w:sdtContent>
        <w:p>
          <w:pPr>
            <w:pStyle w:val="TOC1"/>
            <w:tabs>
              <w:tab w:pos="1559" w:val="left" w:leader="none"/>
              <w:tab w:pos="8634" w:val="right" w:leader="dot"/>
            </w:tabs>
            <w:spacing w:before="67"/>
            <w:rPr>
              <w:rFonts w:ascii="Times New Roman" w:eastAsia="Times New Roman"/>
              <w:sz w:val="21"/>
            </w:rPr>
          </w:pPr>
          <w:hyperlink w:history="true" w:anchor="_TOC_250015">
            <w:r>
              <w:rPr/>
              <w:t>第一条</w:t>
              <w:tab/>
              <w:t>保险合同的构成</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r>
            <w:rPr/>
            <w:t>第二条</w:t>
            <w:tab/>
            <w:t>投保范围</w:t>
            <w:tab/>
          </w:r>
          <w:r>
            <w:rPr>
              <w:rFonts w:ascii="Times New Roman" w:eastAsia="Times New Roman"/>
              <w:sz w:val="21"/>
            </w:rPr>
            <w:t>2</w:t>
          </w:r>
        </w:p>
        <w:p>
          <w:pPr>
            <w:pStyle w:val="TOC1"/>
            <w:tabs>
              <w:tab w:pos="1559" w:val="left" w:leader="none"/>
              <w:tab w:pos="8634" w:val="right" w:leader="dot"/>
            </w:tabs>
            <w:rPr>
              <w:rFonts w:ascii="Times New Roman" w:eastAsia="Times New Roman"/>
              <w:sz w:val="21"/>
            </w:rPr>
          </w:pPr>
          <w:hyperlink w:history="true" w:anchor="_TOC_250014">
            <w:r>
              <w:rPr/>
              <w:t>第三条</w:t>
              <w:tab/>
              <w:t>明确说明与如实告知</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hyperlink w:history="true" w:anchor="_TOC_250013">
            <w:r>
              <w:rPr/>
              <w:t>第四条</w:t>
              <w:tab/>
              <w:t>本公司合同解除权的限制</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hyperlink w:history="true" w:anchor="_TOC_250012">
            <w:r>
              <w:rPr/>
              <w:t>第五条</w:t>
              <w:tab/>
              <w:t>保险责任</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hyperlink w:history="true" w:anchor="_TOC_250011">
            <w:r>
              <w:rPr/>
              <w:t>第六条</w:t>
              <w:tab/>
              <w:t>责任免除</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r>
            <w:rPr/>
            <w:t>第七条</w:t>
            <w:tab/>
            <w:t>保险期间</w:t>
            <w:tab/>
          </w:r>
          <w:r>
            <w:rPr>
              <w:rFonts w:ascii="Times New Roman" w:eastAsia="Times New Roman"/>
              <w:sz w:val="21"/>
            </w:rPr>
            <w:t>3</w:t>
          </w:r>
        </w:p>
        <w:p>
          <w:pPr>
            <w:pStyle w:val="TOC1"/>
            <w:tabs>
              <w:tab w:pos="1559" w:val="left" w:leader="none"/>
              <w:tab w:pos="8634" w:val="right" w:leader="dot"/>
            </w:tabs>
            <w:rPr>
              <w:rFonts w:ascii="Times New Roman" w:eastAsia="Times New Roman"/>
              <w:sz w:val="21"/>
            </w:rPr>
          </w:pPr>
          <w:hyperlink w:history="true" w:anchor="_TOC_250010">
            <w:r>
              <w:rPr/>
              <w:t>第八条</w:t>
              <w:tab/>
              <w:t>保险金额和保险费</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9">
            <w:r>
              <w:rPr/>
              <w:t>第九条</w:t>
              <w:tab/>
              <w:t>被保险人的变动</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8">
            <w:r>
              <w:rPr/>
              <w:t>第十条</w:t>
              <w:tab/>
              <w:t>危险变更的通知义务</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7">
            <w:r>
              <w:rPr/>
              <w:t>第十一条</w:t>
              <w:tab/>
              <w:t>保险合同内容的变更</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6">
            <w:r>
              <w:rPr/>
              <w:t>第十二条</w:t>
              <w:tab/>
              <w:t>通讯地址的变更</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hyperlink w:history="true" w:anchor="_TOC_250005">
            <w:r>
              <w:rPr/>
              <w:t>第十三条</w:t>
              <w:tab/>
              <w:t>年龄或性别的错误处理</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hyperlink w:history="true" w:anchor="_TOC_250004">
            <w:r>
              <w:rPr/>
              <w:t>第十四条</w:t>
              <w:tab/>
              <w:t>资料的保存与提供</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hyperlink w:history="true" w:anchor="_TOC_250003">
            <w:r>
              <w:rPr/>
              <w:t>第十五条</w:t>
              <w:tab/>
              <w:t>受益人的指定和变更</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r>
            <w:rPr/>
            <w:t>第十六条</w:t>
            <w:tab/>
            <w:t>保险事故的通知</w:t>
            <w:tab/>
          </w:r>
          <w:r>
            <w:rPr>
              <w:rFonts w:ascii="Times New Roman" w:eastAsia="Times New Roman"/>
              <w:sz w:val="21"/>
            </w:rPr>
            <w:t>4</w:t>
          </w:r>
        </w:p>
        <w:p>
          <w:pPr>
            <w:pStyle w:val="TOC1"/>
            <w:tabs>
              <w:tab w:pos="1559" w:val="left" w:leader="none"/>
              <w:tab w:pos="8634" w:val="right" w:leader="dot"/>
            </w:tabs>
            <w:rPr>
              <w:rFonts w:ascii="Times New Roman" w:eastAsia="Times New Roman"/>
              <w:sz w:val="21"/>
            </w:rPr>
          </w:pPr>
          <w:r>
            <w:rPr/>
            <w:t>第十七条</w:t>
            <w:tab/>
            <w:t>申请资料</w:t>
            <w:tab/>
          </w:r>
          <w:r>
            <w:rPr>
              <w:rFonts w:ascii="Times New Roman" w:eastAsia="Times New Roman"/>
              <w:sz w:val="21"/>
            </w:rPr>
            <w:t>4</w:t>
          </w:r>
        </w:p>
        <w:p>
          <w:pPr>
            <w:pStyle w:val="TOC1"/>
            <w:tabs>
              <w:tab w:pos="1559" w:val="left" w:leader="none"/>
              <w:tab w:pos="8634" w:val="right" w:leader="dot"/>
            </w:tabs>
            <w:rPr>
              <w:rFonts w:ascii="Times New Roman" w:eastAsia="Times New Roman"/>
              <w:sz w:val="21"/>
            </w:rPr>
          </w:pPr>
          <w:hyperlink w:history="true" w:anchor="_TOC_250002">
            <w:r>
              <w:rPr/>
              <w:t>第十八条</w:t>
              <w:tab/>
              <w:t>诉讼时效</w:t>
              <w:tab/>
            </w:r>
            <w:r>
              <w:rPr>
                <w:rFonts w:ascii="Times New Roman" w:eastAsia="Times New Roman"/>
                <w:sz w:val="21"/>
              </w:rPr>
              <w:t>5</w:t>
            </w:r>
          </w:hyperlink>
        </w:p>
        <w:p>
          <w:pPr>
            <w:pStyle w:val="TOC1"/>
            <w:tabs>
              <w:tab w:pos="1559" w:val="left" w:leader="none"/>
              <w:tab w:pos="8634" w:val="right" w:leader="dot"/>
            </w:tabs>
            <w:rPr>
              <w:rFonts w:ascii="Times New Roman" w:eastAsia="Times New Roman"/>
              <w:sz w:val="21"/>
            </w:rPr>
          </w:pPr>
          <w:hyperlink w:history="true" w:anchor="_TOC_250001">
            <w:r>
              <w:rPr/>
              <w:t>第十九条</w:t>
              <w:tab/>
              <w:t>投保人解除保险合同的处理</w:t>
              <w:tab/>
            </w:r>
            <w:r>
              <w:rPr>
                <w:rFonts w:ascii="Times New Roman" w:eastAsia="Times New Roman"/>
                <w:sz w:val="21"/>
              </w:rPr>
              <w:t>5</w:t>
            </w:r>
          </w:hyperlink>
        </w:p>
        <w:p>
          <w:pPr>
            <w:pStyle w:val="TOC1"/>
            <w:tabs>
              <w:tab w:pos="1559" w:val="left" w:leader="none"/>
              <w:tab w:pos="8634" w:val="right" w:leader="dot"/>
            </w:tabs>
            <w:rPr>
              <w:rFonts w:ascii="Times New Roman" w:eastAsia="Times New Roman"/>
              <w:sz w:val="21"/>
            </w:rPr>
          </w:pPr>
          <w:hyperlink w:history="true" w:anchor="_TOC_250000">
            <w:r>
              <w:rPr/>
              <w:t>第二十条</w:t>
              <w:tab/>
              <w:t>附加保险合同的中止和终止</w:t>
              <w:tab/>
            </w:r>
            <w:r>
              <w:rPr>
                <w:rFonts w:ascii="Times New Roman" w:eastAsia="Times New Roman"/>
                <w:sz w:val="21"/>
              </w:rPr>
              <w:t>5</w:t>
            </w:r>
          </w:hyperlink>
        </w:p>
        <w:p>
          <w:pPr>
            <w:pStyle w:val="TOC1"/>
            <w:tabs>
              <w:tab w:pos="1559" w:val="left" w:leader="none"/>
              <w:tab w:pos="8634" w:val="right" w:leader="dot"/>
            </w:tabs>
            <w:rPr>
              <w:rFonts w:ascii="Times New Roman" w:eastAsia="Times New Roman"/>
              <w:sz w:val="21"/>
            </w:rPr>
          </w:pPr>
          <w:r>
            <w:rPr/>
            <w:t>第二十一条</w:t>
            <w:tab/>
            <w:t>争议处理</w:t>
            <w:tab/>
          </w:r>
          <w:r>
            <w:rPr>
              <w:rFonts w:ascii="Times New Roman" w:eastAsia="Times New Roman"/>
              <w:sz w:val="21"/>
            </w:rPr>
            <w:t>5</w:t>
          </w:r>
        </w:p>
        <w:p>
          <w:pPr>
            <w:pStyle w:val="TOC1"/>
            <w:tabs>
              <w:tab w:pos="1559" w:val="left" w:leader="none"/>
              <w:tab w:pos="8634" w:val="right" w:leader="dot"/>
            </w:tabs>
            <w:rPr>
              <w:rFonts w:ascii="Times New Roman" w:eastAsia="Times New Roman"/>
              <w:sz w:val="21"/>
            </w:rPr>
          </w:pPr>
          <w:r>
            <w:rPr/>
            <w:t>第二十二条</w:t>
            <w:tab/>
            <w:t>释义</w:t>
            <w:tab/>
          </w:r>
          <w:r>
            <w:rPr>
              <w:rFonts w:ascii="Times New Roman" w:eastAsia="Times New Roman"/>
              <w:sz w:val="21"/>
            </w:rPr>
            <w:t>5</w:t>
          </w:r>
        </w:p>
      </w:sdtContent>
    </w:sdt>
    <w:p>
      <w:pPr>
        <w:spacing w:after="0"/>
        <w:rPr>
          <w:rFonts w:ascii="Times New Roman" w:eastAsia="Times New Roman"/>
          <w:sz w:val="21"/>
        </w:rPr>
        <w:sectPr>
          <w:type w:val="continuous"/>
          <w:pgSz w:w="11960" w:h="16850"/>
          <w:pgMar w:top="280" w:bottom="1200" w:left="1560" w:right="760"/>
        </w:sect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Heading1"/>
        <w:tabs>
          <w:tab w:pos="1235" w:val="left" w:leader="none"/>
        </w:tabs>
        <w:spacing w:before="121"/>
      </w:pPr>
      <w:bookmarkStart w:name="_TOC_250015" w:id="1"/>
      <w:r>
        <w:rPr/>
        <w:t>第一条</w:t>
        <w:tab/>
      </w:r>
      <w:bookmarkEnd w:id="1"/>
      <w:r>
        <w:rPr>
          <w:w w:val="95"/>
        </w:rPr>
        <w:t>保险合同的构成</w:t>
      </w:r>
    </w:p>
    <w:p>
      <w:pPr>
        <w:pStyle w:val="BodyText"/>
        <w:spacing w:before="10"/>
        <w:ind w:left="0"/>
        <w:rPr>
          <w:b/>
          <w:sz w:val="12"/>
        </w:rPr>
      </w:pPr>
    </w:p>
    <w:p>
      <w:pPr>
        <w:spacing w:line="103" w:lineRule="exact" w:before="0"/>
        <w:ind w:left="4516" w:right="0" w:firstLine="0"/>
        <w:jc w:val="left"/>
        <w:rPr>
          <w:b/>
          <w:sz w:val="12"/>
        </w:rPr>
      </w:pPr>
      <w:r>
        <w:rPr>
          <w:b/>
          <w:sz w:val="12"/>
        </w:rPr>
        <w:t>释义 1</w:t>
      </w:r>
    </w:p>
    <w:p>
      <w:pPr>
        <w:pStyle w:val="BodyText"/>
        <w:tabs>
          <w:tab w:pos="4878" w:val="left" w:leader="none"/>
        </w:tabs>
        <w:spacing w:line="182" w:lineRule="exact"/>
      </w:pPr>
      <w:r>
        <w:rPr>
          <w:w w:val="100"/>
        </w:rPr>
        <w:t>本附加保</w:t>
      </w:r>
      <w:r>
        <w:rPr>
          <w:spacing w:val="-1"/>
          <w:w w:val="100"/>
        </w:rPr>
        <w:t>险</w:t>
      </w:r>
      <w:r>
        <w:rPr>
          <w:w w:val="100"/>
        </w:rPr>
        <w:t>合</w:t>
      </w:r>
      <w:r>
        <w:rPr>
          <w:spacing w:val="-13"/>
          <w:w w:val="100"/>
        </w:rPr>
        <w:t>同</w:t>
      </w:r>
      <w:r>
        <w:rPr>
          <w:spacing w:val="-1"/>
          <w:w w:val="100"/>
        </w:rPr>
        <w:t>（</w:t>
      </w:r>
      <w:r>
        <w:rPr>
          <w:w w:val="100"/>
        </w:rPr>
        <w:t>以下简</w:t>
      </w:r>
      <w:r>
        <w:rPr>
          <w:spacing w:val="-13"/>
          <w:w w:val="100"/>
        </w:rPr>
        <w:t>称</w:t>
      </w:r>
      <w:r>
        <w:rPr>
          <w:spacing w:val="-1"/>
          <w:w w:val="100"/>
        </w:rPr>
        <w:t>“</w:t>
      </w:r>
      <w:r>
        <w:rPr>
          <w:w w:val="100"/>
        </w:rPr>
        <w:t>本附加合</w:t>
      </w:r>
      <w:r>
        <w:rPr>
          <w:spacing w:val="-1"/>
          <w:w w:val="100"/>
        </w:rPr>
        <w:t>同</w:t>
      </w:r>
      <w:r>
        <w:rPr>
          <w:spacing w:val="-92"/>
          <w:w w:val="100"/>
        </w:rPr>
        <w:t>”</w:t>
      </w:r>
      <w:r>
        <w:rPr>
          <w:spacing w:val="-13"/>
          <w:w w:val="100"/>
        </w:rPr>
        <w:t>）</w:t>
      </w:r>
      <w:r>
        <w:rPr>
          <w:w w:val="100"/>
        </w:rPr>
        <w:t>须</w:t>
      </w:r>
      <w:r>
        <w:rPr>
          <w:spacing w:val="-1"/>
          <w:w w:val="100"/>
        </w:rPr>
        <w:t>经</w:t>
      </w:r>
      <w:r>
        <w:rPr>
          <w:b/>
          <w:spacing w:val="1"/>
          <w:w w:val="99"/>
        </w:rPr>
        <w:t>本</w:t>
      </w:r>
      <w:r>
        <w:rPr>
          <w:b/>
          <w:w w:val="99"/>
        </w:rPr>
        <w:t>公司</w:t>
      </w:r>
      <w:r>
        <w:rPr>
          <w:b/>
        </w:rPr>
        <w:tab/>
      </w:r>
      <w:r>
        <w:rPr/>
        <w:t>在主合同保险单或批注中注明始为有</w:t>
      </w:r>
      <w:r>
        <w:rPr>
          <w:spacing w:val="-1"/>
        </w:rPr>
        <w:t>效</w:t>
      </w:r>
      <w:r>
        <w:rPr>
          <w:spacing w:val="-13"/>
        </w:rPr>
        <w:t>。</w:t>
      </w:r>
      <w:r>
        <w:rPr/>
        <w:t>本附加</w:t>
      </w:r>
    </w:p>
    <w:p>
      <w:pPr>
        <w:pStyle w:val="BodyText"/>
        <w:spacing w:line="316" w:lineRule="auto" w:before="55"/>
        <w:ind w:right="148"/>
      </w:pPr>
      <w:r>
        <w:rPr/>
        <w:t>合同附属于主合同，但不构成主合同之一部分。主合同的构成中与本附加合同相关的部分均为本附加合同的构成部分，但若主合同与本附加合同互有抵触，则以本附加合同为准。</w:t>
      </w:r>
    </w:p>
    <w:p>
      <w:pPr>
        <w:tabs>
          <w:tab w:pos="1235" w:val="left" w:leader="none"/>
        </w:tabs>
        <w:spacing w:line="415" w:lineRule="auto" w:before="18"/>
        <w:ind w:left="141" w:right="6054" w:firstLine="0"/>
        <w:jc w:val="left"/>
        <w:rPr>
          <w:b/>
          <w:sz w:val="18"/>
        </w:rPr>
      </w:pPr>
      <w:r>
        <w:rPr>
          <w:sz w:val="18"/>
        </w:rPr>
        <w:t>本附加合同的英文简称为</w:t>
      </w:r>
      <w:r>
        <w:rPr>
          <w:spacing w:val="-48"/>
          <w:sz w:val="18"/>
        </w:rPr>
        <w:t> </w:t>
      </w:r>
      <w:r>
        <w:rPr>
          <w:rFonts w:ascii="Times New Roman" w:eastAsia="Times New Roman"/>
          <w:sz w:val="18"/>
        </w:rPr>
        <w:t>GDD</w:t>
      </w:r>
      <w:r>
        <w:rPr>
          <w:sz w:val="18"/>
        </w:rPr>
        <w:t>。</w:t>
      </w:r>
      <w:r>
        <w:rPr>
          <w:b/>
          <w:sz w:val="18"/>
        </w:rPr>
        <w:t>第二条</w:t>
        <w:tab/>
      </w:r>
      <w:r>
        <w:rPr>
          <w:b/>
          <w:w w:val="95"/>
          <w:sz w:val="18"/>
        </w:rPr>
        <w:t>投保范围</w:t>
      </w:r>
    </w:p>
    <w:p>
      <w:pPr>
        <w:spacing w:line="103" w:lineRule="exact" w:before="36"/>
        <w:ind w:left="4103" w:right="0" w:firstLine="0"/>
        <w:jc w:val="left"/>
        <w:rPr>
          <w:b/>
          <w:sz w:val="12"/>
        </w:rPr>
      </w:pPr>
      <w:r>
        <w:rPr>
          <w:b/>
          <w:sz w:val="12"/>
        </w:rPr>
        <w:t>释义 2</w:t>
      </w:r>
    </w:p>
    <w:p>
      <w:pPr>
        <w:pStyle w:val="BodyText"/>
        <w:tabs>
          <w:tab w:pos="4465" w:val="left" w:leader="none"/>
        </w:tabs>
        <w:spacing w:line="182" w:lineRule="exact"/>
      </w:pPr>
      <w:r>
        <w:rPr/>
        <w:t>经投保人与本公司共同协商决定的合法可投保</w:t>
      </w:r>
      <w:r>
        <w:rPr>
          <w:b/>
        </w:rPr>
        <w:t>团体</w:t>
        <w:tab/>
      </w:r>
      <w:r>
        <w:rPr>
          <w:spacing w:val="-1"/>
        </w:rPr>
        <w:t>的</w:t>
      </w:r>
      <w:r>
        <w:rPr>
          <w:spacing w:val="-3"/>
        </w:rPr>
        <w:t>成</w:t>
      </w:r>
      <w:r>
        <w:rPr>
          <w:spacing w:val="-1"/>
        </w:rPr>
        <w:t>员，</w:t>
      </w:r>
      <w:r>
        <w:rPr/>
        <w:t>可作为被保险人参加本保险。</w:t>
      </w:r>
    </w:p>
    <w:p>
      <w:pPr>
        <w:pStyle w:val="BodyText"/>
        <w:spacing w:line="300" w:lineRule="auto" w:before="55"/>
        <w:ind w:right="101"/>
      </w:pPr>
      <w:r>
        <w:rPr/>
        <w:t>经被保险人同意，被保险人所在团体可作为投保人。团体投保时，其在职人员必须 </w:t>
      </w:r>
      <w:r>
        <w:rPr>
          <w:rFonts w:ascii="Times New Roman" w:eastAsia="Times New Roman"/>
        </w:rPr>
        <w:t>75%</w:t>
      </w:r>
      <w:r>
        <w:rPr/>
        <w:t>以上投保，且符合投保条件的人数不低于 </w:t>
      </w:r>
      <w:r>
        <w:rPr>
          <w:rFonts w:ascii="Times New Roman" w:eastAsia="Times New Roman"/>
        </w:rPr>
        <w:t>10 </w:t>
      </w:r>
      <w:r>
        <w:rPr/>
        <w:t>人。</w:t>
      </w:r>
    </w:p>
    <w:p>
      <w:pPr>
        <w:pStyle w:val="Heading1"/>
        <w:tabs>
          <w:tab w:pos="1235" w:val="left" w:leader="none"/>
        </w:tabs>
        <w:spacing w:before="133"/>
      </w:pPr>
      <w:bookmarkStart w:name="_TOC_250014" w:id="2"/>
      <w:r>
        <w:rPr/>
        <w:t>第三条</w:t>
        <w:tab/>
      </w:r>
      <w:bookmarkEnd w:id="2"/>
      <w:r>
        <w:rPr>
          <w:w w:val="95"/>
        </w:rPr>
        <w:t>明确说明与如实告知</w:t>
      </w:r>
    </w:p>
    <w:p>
      <w:pPr>
        <w:pStyle w:val="BodyText"/>
        <w:ind w:left="0"/>
        <w:rPr>
          <w:b/>
          <w:sz w:val="15"/>
        </w:rPr>
      </w:pPr>
    </w:p>
    <w:p>
      <w:pPr>
        <w:pStyle w:val="BodyText"/>
        <w:spacing w:line="316" w:lineRule="auto"/>
        <w:ind w:right="148"/>
        <w:jc w:val="both"/>
      </w:pPr>
      <w:r>
        <w:rPr/>
        <w:t>订立本附加合同时，本公司应向投保人明确说明本附加合同的条款内容。对本附加合同条款中免除本公司责任的条款，本公司在订立本附加合同时应当在投保单、保险单或者其他保险凭证上做出足以引起投保人注意的提示，并对该条款的内容以书面或者口头形式向投保人做出明确说明，未作提示或者明确说明的，该条款不产生效力。</w:t>
      </w:r>
    </w:p>
    <w:p>
      <w:pPr>
        <w:pStyle w:val="BodyText"/>
        <w:spacing w:before="18"/>
      </w:pPr>
      <w:r>
        <w:rPr/>
        <w:t>本公司可以就投保人、被保险人的有关情况向投保人提出书面询问，投保人应当如实告知。</w:t>
      </w:r>
    </w:p>
    <w:p>
      <w:pPr>
        <w:pStyle w:val="BodyText"/>
        <w:spacing w:line="316" w:lineRule="auto" w:before="76"/>
        <w:ind w:right="148"/>
      </w:pPr>
      <w:r>
        <w:rPr/>
        <w:t>投保人故意或因重大过失未履行前款规定的如实告知义务，足以影响本公司决定是否同意承保或者提高保险费率的，本公司有权解除本附加合同或该被保险人的被保险资格。</w:t>
      </w:r>
    </w:p>
    <w:p>
      <w:pPr>
        <w:pStyle w:val="BodyText"/>
        <w:spacing w:before="19"/>
      </w:pPr>
      <w:r>
        <w:rPr/>
        <w:t>投保人故意不履行如实告知义务，本公司对于本附加合同解除前或该被保险人的被保险资格被解除前发生的</w:t>
      </w:r>
    </w:p>
    <w:p>
      <w:pPr>
        <w:spacing w:line="103" w:lineRule="exact" w:before="48"/>
        <w:ind w:left="863" w:right="0" w:firstLine="0"/>
        <w:jc w:val="left"/>
        <w:rPr>
          <w:b/>
          <w:sz w:val="12"/>
        </w:rPr>
      </w:pPr>
      <w:r>
        <w:rPr>
          <w:b/>
          <w:sz w:val="12"/>
        </w:rPr>
        <w:t>释义 3</w:t>
      </w:r>
    </w:p>
    <w:p>
      <w:pPr>
        <w:pStyle w:val="BodyText"/>
        <w:tabs>
          <w:tab w:pos="1197" w:val="left" w:leader="none"/>
        </w:tabs>
        <w:spacing w:line="182" w:lineRule="exact"/>
      </w:pPr>
      <w:r>
        <w:rPr>
          <w:b/>
        </w:rPr>
        <w:t>保险事故</w:t>
        <w:tab/>
      </w:r>
      <w:r>
        <w:rPr>
          <w:spacing w:val="-1"/>
        </w:rPr>
        <w:t>，不承担</w:t>
      </w:r>
      <w:r>
        <w:rPr/>
        <w:t>给付</w:t>
      </w:r>
      <w:r>
        <w:rPr>
          <w:spacing w:val="-3"/>
        </w:rPr>
        <w:t>保</w:t>
      </w:r>
      <w:r>
        <w:rPr/>
        <w:t>险金的责任，并不退还保险费。</w:t>
      </w:r>
    </w:p>
    <w:p>
      <w:pPr>
        <w:pStyle w:val="BodyText"/>
        <w:spacing w:line="316" w:lineRule="auto" w:before="55"/>
        <w:ind w:right="148"/>
        <w:jc w:val="both"/>
      </w:pPr>
      <w:r>
        <w:rPr/>
        <w:t>投保人因重大过失没能履行如实告知义务，对保险事故的发生有严重影响的，本公司对于本附加合同解除前或该被保险人的被保险资格被解除前发生的保险事故，不承担给付保险金的责任，但会退还投保人为该被保险人已缴纳的保险费。</w:t>
      </w:r>
    </w:p>
    <w:p>
      <w:pPr>
        <w:pStyle w:val="Heading1"/>
        <w:tabs>
          <w:tab w:pos="1235" w:val="left" w:leader="none"/>
        </w:tabs>
        <w:spacing w:before="139"/>
      </w:pPr>
      <w:bookmarkStart w:name="_TOC_250013" w:id="3"/>
      <w:r>
        <w:rPr/>
        <w:t>第四条</w:t>
        <w:tab/>
      </w:r>
      <w:bookmarkEnd w:id="3"/>
      <w:r>
        <w:rPr>
          <w:w w:val="95"/>
        </w:rPr>
        <w:t>本公司合同解除权的限制</w:t>
      </w:r>
    </w:p>
    <w:p>
      <w:pPr>
        <w:pStyle w:val="BodyText"/>
        <w:ind w:left="0"/>
        <w:rPr>
          <w:b/>
          <w:sz w:val="15"/>
        </w:rPr>
      </w:pPr>
    </w:p>
    <w:p>
      <w:pPr>
        <w:pStyle w:val="BodyText"/>
      </w:pPr>
      <w:r>
        <w:rPr/>
        <w:t>前条规定的合同解除权，自本公司知道有解除事由之日起，超过 </w:t>
      </w:r>
      <w:r>
        <w:rPr>
          <w:rFonts w:ascii="Times New Roman" w:eastAsia="Times New Roman"/>
        </w:rPr>
        <w:t>30 </w:t>
      </w:r>
      <w:r>
        <w:rPr/>
        <w:t>日不行使而消灭。</w:t>
      </w:r>
    </w:p>
    <w:p>
      <w:pPr>
        <w:pStyle w:val="BodyText"/>
        <w:spacing w:line="316" w:lineRule="auto" w:before="62"/>
        <w:ind w:right="148"/>
      </w:pPr>
      <w:r>
        <w:rPr/>
        <w:t>本公司在合同订立时已经知道投保人未如实告知的情况的，本公司不得解除合同；发生保险事故的，本公司承担给付保险金的责任。</w:t>
      </w:r>
    </w:p>
    <w:p>
      <w:pPr>
        <w:pStyle w:val="Heading1"/>
        <w:tabs>
          <w:tab w:pos="1235" w:val="left" w:leader="none"/>
        </w:tabs>
      </w:pPr>
      <w:bookmarkStart w:name="_TOC_250012" w:id="4"/>
      <w:r>
        <w:rPr/>
        <w:t>第五条</w:t>
        <w:tab/>
      </w:r>
      <w:bookmarkEnd w:id="4"/>
      <w:r>
        <w:rPr>
          <w:w w:val="95"/>
        </w:rPr>
        <w:t>保险责任</w:t>
      </w:r>
    </w:p>
    <w:p>
      <w:pPr>
        <w:pStyle w:val="BodyText"/>
        <w:spacing w:before="12"/>
        <w:ind w:left="0"/>
        <w:rPr>
          <w:b/>
          <w:sz w:val="14"/>
        </w:rPr>
      </w:pPr>
    </w:p>
    <w:p>
      <w:pPr>
        <w:pStyle w:val="BodyText"/>
        <w:spacing w:before="1"/>
      </w:pPr>
      <w:r>
        <w:rPr/>
        <w:t>在本附加合同的有效保险期间内，本公司承担以下保险责任：</w:t>
      </w:r>
    </w:p>
    <w:p>
      <w:pPr>
        <w:spacing w:line="103" w:lineRule="exact" w:before="48"/>
        <w:ind w:left="0" w:right="1991" w:firstLine="0"/>
        <w:jc w:val="right"/>
        <w:rPr>
          <w:b/>
          <w:sz w:val="12"/>
        </w:rPr>
      </w:pPr>
      <w:r>
        <w:rPr>
          <w:b/>
          <w:sz w:val="12"/>
        </w:rPr>
        <w:t>释义 4</w:t>
      </w:r>
    </w:p>
    <w:p>
      <w:pPr>
        <w:tabs>
          <w:tab w:pos="6848" w:val="left" w:leader="none"/>
        </w:tabs>
        <w:spacing w:line="182" w:lineRule="exact" w:before="0"/>
        <w:ind w:left="141" w:right="0" w:firstLine="0"/>
        <w:jc w:val="left"/>
        <w:rPr>
          <w:sz w:val="18"/>
        </w:rPr>
      </w:pPr>
      <w:r>
        <w:rPr>
          <w:sz w:val="18"/>
        </w:rPr>
        <w:t>自本附加合同生效之日起三十日后或自续保之日起，经</w:t>
      </w:r>
      <w:r>
        <w:rPr>
          <w:b/>
          <w:sz w:val="18"/>
        </w:rPr>
        <w:t>本公司指定或认可的医院</w:t>
        <w:tab/>
      </w:r>
      <w:r>
        <w:rPr>
          <w:sz w:val="18"/>
        </w:rPr>
        <w:t>确</w:t>
      </w:r>
      <w:r>
        <w:rPr>
          <w:spacing w:val="-3"/>
          <w:sz w:val="18"/>
        </w:rPr>
        <w:t>诊</w:t>
      </w:r>
      <w:r>
        <w:rPr>
          <w:sz w:val="18"/>
        </w:rPr>
        <w:t>初次罹患本附加合</w:t>
      </w:r>
    </w:p>
    <w:p>
      <w:pPr>
        <w:pStyle w:val="BodyText"/>
        <w:spacing w:line="316" w:lineRule="auto" w:before="55"/>
        <w:ind w:right="148"/>
      </w:pPr>
      <w:r>
        <w:rPr/>
        <w:t>同所指重大疾病，本公司按本附加合同约定的保险金额给付重大疾病保险金，同时对该被保险人的保险责任终止。</w:t>
      </w:r>
    </w:p>
    <w:p>
      <w:pPr>
        <w:pStyle w:val="Heading1"/>
        <w:tabs>
          <w:tab w:pos="1235" w:val="left" w:leader="none"/>
        </w:tabs>
        <w:spacing w:before="139"/>
      </w:pPr>
      <w:bookmarkStart w:name="_TOC_250011" w:id="5"/>
      <w:r>
        <w:rPr/>
        <w:t>第六条</w:t>
        <w:tab/>
      </w:r>
      <w:bookmarkEnd w:id="5"/>
      <w:r>
        <w:rPr>
          <w:w w:val="95"/>
        </w:rPr>
        <w:t>责任免除</w:t>
      </w:r>
    </w:p>
    <w:p>
      <w:pPr>
        <w:pStyle w:val="BodyText"/>
        <w:ind w:left="0"/>
        <w:rPr>
          <w:b/>
          <w:sz w:val="15"/>
        </w:rPr>
      </w:pPr>
    </w:p>
    <w:p>
      <w:pPr>
        <w:spacing w:line="316" w:lineRule="auto" w:before="0"/>
        <w:ind w:left="141" w:right="145" w:firstLine="0"/>
        <w:jc w:val="left"/>
        <w:rPr>
          <w:b/>
          <w:sz w:val="18"/>
        </w:rPr>
      </w:pPr>
      <w:r>
        <w:rPr>
          <w:b/>
          <w:sz w:val="18"/>
        </w:rPr>
        <w:t>因下列原因之一种或数种直接或者间接导致被保险人初次罹患本附加合同所指重大疾病的，本公司不承担保</w:t>
      </w:r>
      <w:r>
        <w:rPr>
          <w:b/>
          <w:w w:val="95"/>
          <w:sz w:val="18"/>
        </w:rPr>
        <w:t>险金给付责任。</w:t>
      </w:r>
    </w:p>
    <w:p>
      <w:pPr>
        <w:spacing w:before="18"/>
        <w:ind w:left="141" w:right="0" w:firstLine="0"/>
        <w:jc w:val="left"/>
        <w:rPr>
          <w:b/>
          <w:sz w:val="18"/>
        </w:rPr>
      </w:pPr>
      <w:r>
        <w:rPr>
          <w:b/>
          <w:sz w:val="18"/>
        </w:rPr>
        <w:t>一、 投保人故意造成被保险人死亡、伤残或疾病；</w:t>
      </w:r>
    </w:p>
    <w:p>
      <w:pPr>
        <w:spacing w:line="288" w:lineRule="auto" w:before="76"/>
        <w:ind w:left="141" w:right="3858" w:firstLine="0"/>
        <w:jc w:val="left"/>
        <w:rPr>
          <w:b/>
          <w:sz w:val="18"/>
        </w:rPr>
      </w:pPr>
      <w:r>
        <w:rPr>
          <w:b/>
          <w:sz w:val="18"/>
        </w:rPr>
        <w:t>二、 被保险人故意犯罪或抗拒依法采取的刑事强制措施的； 三、 被保险人主动服用、吸食或注射毒品</w:t>
      </w:r>
      <w:r>
        <w:rPr>
          <w:b/>
          <w:position w:val="12"/>
          <w:sz w:val="12"/>
        </w:rPr>
        <w:t>释义 6</w:t>
      </w:r>
      <w:r>
        <w:rPr>
          <w:b/>
          <w:sz w:val="18"/>
        </w:rPr>
        <w:t>；</w:t>
      </w:r>
    </w:p>
    <w:p>
      <w:pPr>
        <w:spacing w:after="0" w:line="288" w:lineRule="auto"/>
        <w:jc w:val="left"/>
        <w:rPr>
          <w:sz w:val="18"/>
        </w:rPr>
        <w:sectPr>
          <w:headerReference w:type="default" r:id="rId7"/>
          <w:pgSz w:w="11960" w:h="16850"/>
          <w:pgMar w:header="897" w:footer="1001" w:top="1080" w:bottom="1200" w:left="1560" w:right="1600"/>
        </w:sectPr>
      </w:pPr>
    </w:p>
    <w:p>
      <w:pPr>
        <w:pStyle w:val="BodyText"/>
        <w:ind w:left="0"/>
        <w:rPr>
          <w:b/>
          <w:sz w:val="20"/>
        </w:rPr>
      </w:pPr>
    </w:p>
    <w:p>
      <w:pPr>
        <w:pStyle w:val="BodyText"/>
        <w:spacing w:before="2"/>
        <w:ind w:left="0"/>
        <w:rPr>
          <w:b/>
          <w:sz w:val="24"/>
        </w:rPr>
      </w:pPr>
    </w:p>
    <w:p>
      <w:pPr>
        <w:spacing w:line="316" w:lineRule="auto" w:before="44"/>
        <w:ind w:left="141" w:right="4280" w:firstLine="0"/>
        <w:jc w:val="left"/>
        <w:rPr>
          <w:b/>
          <w:sz w:val="18"/>
        </w:rPr>
      </w:pPr>
      <w:r>
        <w:rPr>
          <w:b/>
          <w:sz w:val="18"/>
        </w:rPr>
        <w:t>四、 战争、军事行动、暴乱、武装叛乱或恐怖袭击； </w:t>
      </w:r>
      <w:r>
        <w:rPr>
          <w:b/>
          <w:spacing w:val="-2"/>
          <w:sz w:val="18"/>
        </w:rPr>
        <w:t>五、 被保险人未遵医嘱，私自服用、涂用、注射药物； </w:t>
      </w:r>
      <w:r>
        <w:rPr>
          <w:b/>
          <w:spacing w:val="-3"/>
          <w:sz w:val="18"/>
        </w:rPr>
        <w:t>六、 核爆炸、核辐射或核污染；</w:t>
      </w:r>
    </w:p>
    <w:p>
      <w:pPr>
        <w:spacing w:line="94" w:lineRule="exact" w:before="0"/>
        <w:ind w:left="571" w:right="3196" w:firstLine="0"/>
        <w:jc w:val="center"/>
        <w:rPr>
          <w:b/>
          <w:sz w:val="12"/>
        </w:rPr>
      </w:pPr>
      <w:r>
        <w:rPr>
          <w:b/>
          <w:sz w:val="12"/>
        </w:rPr>
        <w:t>释义 7</w:t>
      </w:r>
    </w:p>
    <w:p>
      <w:pPr>
        <w:spacing w:line="182" w:lineRule="exact" w:before="0"/>
        <w:ind w:left="141" w:right="0" w:firstLine="0"/>
        <w:jc w:val="both"/>
        <w:rPr>
          <w:b/>
          <w:sz w:val="18"/>
        </w:rPr>
      </w:pPr>
      <w:r>
        <w:rPr>
          <w:b/>
          <w:w w:val="99"/>
          <w:sz w:val="18"/>
        </w:rPr>
        <w:t>七、</w:t>
      </w:r>
      <w:r>
        <w:rPr>
          <w:b/>
          <w:sz w:val="18"/>
        </w:rPr>
        <w:t> </w:t>
      </w:r>
      <w:r>
        <w:rPr>
          <w:b/>
          <w:w w:val="99"/>
          <w:sz w:val="18"/>
        </w:rPr>
        <w:t>被保险人在本附加合同生效日</w:t>
      </w:r>
      <w:r>
        <w:rPr>
          <w:b/>
          <w:spacing w:val="1"/>
          <w:sz w:val="18"/>
        </w:rPr>
        <w:t>    </w:t>
      </w:r>
      <w:r>
        <w:rPr>
          <w:b/>
          <w:w w:val="99"/>
          <w:sz w:val="18"/>
        </w:rPr>
        <w:t>或最后复效日前</w:t>
      </w:r>
      <w:r>
        <w:rPr>
          <w:b/>
          <w:spacing w:val="-1"/>
          <w:w w:val="99"/>
          <w:sz w:val="18"/>
        </w:rPr>
        <w:t>（</w:t>
      </w:r>
      <w:r>
        <w:rPr>
          <w:b/>
          <w:w w:val="99"/>
          <w:sz w:val="18"/>
        </w:rPr>
        <w:t>以较迟者为准</w:t>
      </w:r>
      <w:r>
        <w:rPr>
          <w:b/>
          <w:spacing w:val="-92"/>
          <w:w w:val="99"/>
          <w:sz w:val="18"/>
        </w:rPr>
        <w:t>）</w:t>
      </w:r>
      <w:r>
        <w:rPr>
          <w:b/>
          <w:spacing w:val="-1"/>
          <w:w w:val="99"/>
          <w:sz w:val="18"/>
        </w:rPr>
        <w:t>，曾患有、或被告知患有、或接受</w:t>
      </w:r>
    </w:p>
    <w:p>
      <w:pPr>
        <w:spacing w:before="54"/>
        <w:ind w:left="141" w:right="0" w:firstLine="0"/>
        <w:jc w:val="both"/>
        <w:rPr>
          <w:b/>
          <w:sz w:val="18"/>
        </w:rPr>
      </w:pPr>
      <w:r>
        <w:rPr>
          <w:b/>
          <w:w w:val="95"/>
          <w:sz w:val="18"/>
        </w:rPr>
        <w:t>治疗本附加合同中所定义的重大疾病；</w:t>
      </w:r>
    </w:p>
    <w:p>
      <w:pPr>
        <w:spacing w:line="103" w:lineRule="exact" w:before="48"/>
        <w:ind w:left="2916" w:right="850" w:firstLine="0"/>
        <w:jc w:val="center"/>
        <w:rPr>
          <w:b/>
          <w:sz w:val="12"/>
        </w:rPr>
      </w:pPr>
      <w:r>
        <w:rPr>
          <w:b/>
          <w:sz w:val="12"/>
        </w:rPr>
        <w:t>释义 8</w:t>
      </w:r>
    </w:p>
    <w:p>
      <w:pPr>
        <w:spacing w:line="182" w:lineRule="exact" w:before="0"/>
        <w:ind w:left="141" w:right="0" w:firstLine="0"/>
        <w:jc w:val="both"/>
        <w:rPr>
          <w:b/>
          <w:sz w:val="18"/>
        </w:rPr>
      </w:pPr>
      <w:r>
        <w:rPr>
          <w:b/>
          <w:sz w:val="18"/>
        </w:rPr>
        <w:t>八、 任何职业病、先天性疾病、先天性畸形、变形或染色体异常   ；</w:t>
      </w:r>
    </w:p>
    <w:p>
      <w:pPr>
        <w:tabs>
          <w:tab w:pos="4607" w:val="left" w:leader="none"/>
        </w:tabs>
        <w:spacing w:line="103" w:lineRule="exact" w:before="26"/>
        <w:ind w:left="2039" w:right="0" w:firstLine="0"/>
        <w:jc w:val="left"/>
        <w:rPr>
          <w:b/>
          <w:sz w:val="12"/>
        </w:rPr>
      </w:pPr>
      <w:r>
        <w:rPr>
          <w:b/>
          <w:sz w:val="12"/>
        </w:rPr>
        <w:t>释义</w:t>
      </w:r>
      <w:r>
        <w:rPr>
          <w:b/>
          <w:spacing w:val="-31"/>
          <w:sz w:val="12"/>
        </w:rPr>
        <w:t> </w:t>
      </w:r>
      <w:r>
        <w:rPr>
          <w:b/>
          <w:sz w:val="12"/>
        </w:rPr>
        <w:t>9</w:t>
        <w:tab/>
        <w:t>释义</w:t>
      </w:r>
      <w:r>
        <w:rPr>
          <w:b/>
          <w:spacing w:val="-32"/>
          <w:sz w:val="12"/>
        </w:rPr>
        <w:t> </w:t>
      </w:r>
      <w:r>
        <w:rPr>
          <w:b/>
          <w:sz w:val="12"/>
        </w:rPr>
        <w:t>10</w:t>
      </w:r>
    </w:p>
    <w:p>
      <w:pPr>
        <w:spacing w:line="196" w:lineRule="exact" w:before="0"/>
        <w:ind w:left="141" w:right="0" w:firstLine="0"/>
        <w:jc w:val="both"/>
        <w:rPr>
          <w:b/>
          <w:sz w:val="18"/>
        </w:rPr>
      </w:pPr>
      <w:r>
        <w:rPr>
          <w:b/>
          <w:spacing w:val="2"/>
          <w:sz w:val="18"/>
        </w:rPr>
        <w:t>九、 被保险人患艾滋病   </w:t>
      </w:r>
      <w:r>
        <w:rPr>
          <w:b/>
          <w:sz w:val="18"/>
        </w:rPr>
        <w:t>（</w:t>
      </w:r>
      <w:r>
        <w:rPr>
          <w:rFonts w:ascii="Times New Roman" w:eastAsia="Times New Roman"/>
          <w:b/>
          <w:sz w:val="18"/>
        </w:rPr>
        <w:t>AIDS</w:t>
      </w:r>
      <w:r>
        <w:rPr>
          <w:b/>
          <w:sz w:val="18"/>
        </w:rPr>
        <w:t>）</w:t>
      </w:r>
      <w:r>
        <w:rPr>
          <w:b/>
          <w:spacing w:val="1"/>
          <w:sz w:val="18"/>
        </w:rPr>
        <w:t>或感染艾滋病病毒    </w:t>
      </w:r>
      <w:r>
        <w:rPr>
          <w:b/>
          <w:sz w:val="18"/>
        </w:rPr>
        <w:t>（</w:t>
      </w:r>
      <w:r>
        <w:rPr>
          <w:rFonts w:ascii="Times New Roman" w:eastAsia="Times New Roman"/>
          <w:b/>
          <w:sz w:val="18"/>
        </w:rPr>
        <w:t>HIV </w:t>
      </w:r>
      <w:r>
        <w:rPr>
          <w:b/>
          <w:sz w:val="18"/>
        </w:rPr>
        <w:t>呈阳性</w:t>
      </w:r>
      <w:r>
        <w:rPr>
          <w:b/>
          <w:spacing w:val="-89"/>
          <w:sz w:val="18"/>
        </w:rPr>
        <w:t>）</w:t>
      </w:r>
      <w:r>
        <w:rPr>
          <w:b/>
          <w:sz w:val="18"/>
        </w:rPr>
        <w:t>。</w:t>
      </w:r>
    </w:p>
    <w:p>
      <w:pPr>
        <w:spacing w:line="103" w:lineRule="exact" w:before="13"/>
        <w:ind w:left="0" w:right="1125" w:firstLine="0"/>
        <w:jc w:val="right"/>
        <w:rPr>
          <w:b/>
          <w:sz w:val="12"/>
        </w:rPr>
      </w:pPr>
      <w:r>
        <w:rPr>
          <w:b/>
          <w:sz w:val="12"/>
        </w:rPr>
        <w:t>释义 11</w:t>
      </w:r>
    </w:p>
    <w:p>
      <w:pPr>
        <w:spacing w:line="182" w:lineRule="exact" w:before="0"/>
        <w:ind w:left="141" w:right="0" w:firstLine="0"/>
        <w:jc w:val="both"/>
        <w:rPr>
          <w:sz w:val="18"/>
        </w:rPr>
      </w:pPr>
      <w:r>
        <w:rPr>
          <w:sz w:val="18"/>
        </w:rPr>
        <w:t>若发生上述情况而罹患本附加合同所指重大疾病的，本公司在退还该被保险人</w:t>
      </w:r>
      <w:r>
        <w:rPr>
          <w:b/>
          <w:sz w:val="18"/>
        </w:rPr>
        <w:t>未满期保险费    </w:t>
      </w:r>
      <w:r>
        <w:rPr>
          <w:sz w:val="18"/>
        </w:rPr>
        <w:t>后，对该被</w:t>
      </w:r>
    </w:p>
    <w:p>
      <w:pPr>
        <w:tabs>
          <w:tab w:pos="1235" w:val="left" w:leader="none"/>
        </w:tabs>
        <w:spacing w:line="439" w:lineRule="auto" w:before="55"/>
        <w:ind w:left="141" w:right="6728" w:firstLine="0"/>
        <w:jc w:val="left"/>
        <w:rPr>
          <w:b/>
          <w:sz w:val="18"/>
        </w:rPr>
      </w:pPr>
      <w:r>
        <w:rPr>
          <w:sz w:val="18"/>
        </w:rPr>
        <w:t>保险人的保险责任终止。</w:t>
      </w:r>
      <w:r>
        <w:rPr>
          <w:b/>
          <w:sz w:val="18"/>
        </w:rPr>
        <w:t>第七条</w:t>
        <w:tab/>
      </w:r>
      <w:r>
        <w:rPr>
          <w:b/>
          <w:w w:val="95"/>
          <w:sz w:val="18"/>
        </w:rPr>
        <w:t>保险期间</w:t>
      </w:r>
    </w:p>
    <w:p>
      <w:pPr>
        <w:pStyle w:val="BodyText"/>
        <w:spacing w:before="46"/>
        <w:jc w:val="both"/>
      </w:pPr>
      <w:r>
        <w:rPr/>
        <w:t>本附加合同的保险期间由投保人与本公司共同约定，并在本附加合同中载明。</w:t>
      </w:r>
    </w:p>
    <w:p>
      <w:pPr>
        <w:pStyle w:val="BodyText"/>
        <w:spacing w:before="75"/>
        <w:jc w:val="both"/>
        <w:rPr>
          <w:b/>
        </w:rPr>
      </w:pPr>
      <w:r>
        <w:rPr/>
        <w:t>本公司在投保人交付保险费且本公司同意承保后，自本附加合同生效日零时起至本附加合同约定的合同</w:t>
      </w:r>
      <w:r>
        <w:rPr>
          <w:b/>
        </w:rPr>
        <w:t>满期</w:t>
      </w:r>
    </w:p>
    <w:p>
      <w:pPr>
        <w:spacing w:line="103" w:lineRule="exact" w:before="47"/>
        <w:ind w:left="321" w:right="0" w:firstLine="0"/>
        <w:jc w:val="left"/>
        <w:rPr>
          <w:b/>
          <w:sz w:val="12"/>
        </w:rPr>
      </w:pPr>
      <w:r>
        <w:rPr>
          <w:b/>
          <w:sz w:val="12"/>
        </w:rPr>
        <w:t>释义 12</w:t>
      </w:r>
    </w:p>
    <w:p>
      <w:pPr>
        <w:spacing w:line="182" w:lineRule="exact" w:before="0"/>
        <w:ind w:left="141" w:right="0" w:firstLine="0"/>
        <w:jc w:val="both"/>
        <w:rPr>
          <w:sz w:val="18"/>
        </w:rPr>
      </w:pPr>
      <w:r>
        <w:rPr>
          <w:b/>
          <w:sz w:val="18"/>
        </w:rPr>
        <w:t>日    </w:t>
      </w:r>
      <w:r>
        <w:rPr>
          <w:sz w:val="18"/>
        </w:rPr>
        <w:t>零时止，承担本附加合同约定的保险责任。</w:t>
      </w:r>
    </w:p>
    <w:p>
      <w:pPr>
        <w:pStyle w:val="BodyText"/>
        <w:spacing w:before="5"/>
        <w:ind w:left="0"/>
        <w:rPr>
          <w:sz w:val="13"/>
        </w:rPr>
      </w:pPr>
    </w:p>
    <w:p>
      <w:pPr>
        <w:pStyle w:val="Heading1"/>
        <w:spacing w:before="0"/>
        <w:jc w:val="both"/>
      </w:pPr>
      <w:bookmarkStart w:name="_TOC_250010" w:id="6"/>
      <w:bookmarkEnd w:id="6"/>
      <w:r>
        <w:rPr/>
        <w:t>第八条      保险金额和保险费</w:t>
      </w:r>
    </w:p>
    <w:p>
      <w:pPr>
        <w:pStyle w:val="BodyText"/>
        <w:ind w:left="0"/>
        <w:rPr>
          <w:b/>
          <w:sz w:val="15"/>
        </w:rPr>
      </w:pPr>
    </w:p>
    <w:p>
      <w:pPr>
        <w:pStyle w:val="BodyText"/>
        <w:spacing w:line="316" w:lineRule="auto"/>
        <w:ind w:right="2408"/>
      </w:pPr>
      <w:r>
        <w:rPr/>
        <w:t>投保人必须按本附加合同约定的金额和期限向本公司支付本附加合同的保险费。本附加合同的保险金额由投保人和本公司约定并载明于本附加合同中。</w:t>
      </w:r>
    </w:p>
    <w:p>
      <w:pPr>
        <w:pStyle w:val="Heading1"/>
        <w:tabs>
          <w:tab w:pos="1235" w:val="left" w:leader="none"/>
        </w:tabs>
        <w:spacing w:before="139"/>
      </w:pPr>
      <w:bookmarkStart w:name="_TOC_250009" w:id="7"/>
      <w:r>
        <w:rPr/>
        <w:t>第九条</w:t>
        <w:tab/>
      </w:r>
      <w:bookmarkEnd w:id="7"/>
      <w:r>
        <w:rPr>
          <w:w w:val="95"/>
        </w:rPr>
        <w:t>被保险人的变动</w:t>
      </w:r>
    </w:p>
    <w:p>
      <w:pPr>
        <w:pStyle w:val="BodyText"/>
        <w:ind w:left="0"/>
        <w:rPr>
          <w:b/>
          <w:sz w:val="15"/>
        </w:rPr>
      </w:pPr>
    </w:p>
    <w:p>
      <w:pPr>
        <w:pStyle w:val="BodyText"/>
        <w:spacing w:line="316" w:lineRule="auto"/>
        <w:ind w:right="205"/>
      </w:pPr>
      <w:r>
        <w:rPr>
          <w:spacing w:val="-6"/>
        </w:rPr>
        <w:t>一、 投保人因在职人员变动需要增加本附加合同被保险人的，应以书面形式或本公司认可的其它形式通知本</w:t>
      </w:r>
      <w:r>
        <w:rPr>
          <w:spacing w:val="-1"/>
        </w:rPr>
        <w:t>公司，本公司于审核同意且收取保险费之日零时起，对该被保险人承担本附加合同约定的保险责任。</w:t>
      </w:r>
    </w:p>
    <w:p>
      <w:pPr>
        <w:pStyle w:val="BodyText"/>
        <w:spacing w:line="307" w:lineRule="auto" w:before="18"/>
        <w:ind w:right="201"/>
        <w:jc w:val="both"/>
      </w:pPr>
      <w:r>
        <w:rPr/>
        <w:t>二、 因被保险人离职减少被保险人的，本附加合同对该被保险人所承担的保险责任，自离职之日</w:t>
      </w:r>
      <w:r>
        <w:rPr>
          <w:rFonts w:ascii="Times New Roman" w:eastAsia="Times New Roman"/>
        </w:rPr>
        <w:t>(</w:t>
      </w:r>
      <w:r>
        <w:rPr/>
        <w:t>以退工单或其他书面文件标明的日期为准</w:t>
      </w:r>
      <w:r>
        <w:rPr>
          <w:rFonts w:ascii="Times New Roman" w:eastAsia="Times New Roman"/>
        </w:rPr>
        <w:t>)</w:t>
      </w:r>
      <w:r>
        <w:rPr>
          <w:spacing w:val="-3"/>
        </w:rPr>
        <w:t>次日零时起终止。投保人应在该被保险人离职之日起三十天内以书面形式通知本公司，本公司将按照本附加合同约定，退还该被保险人的未满期保险费，否则本公司有权不退还该被保</w:t>
      </w:r>
      <w:r>
        <w:rPr>
          <w:spacing w:val="-1"/>
        </w:rPr>
        <w:t>险人的未满期保险费。</w:t>
      </w:r>
    </w:p>
    <w:p>
      <w:pPr>
        <w:pStyle w:val="BodyText"/>
        <w:spacing w:line="300" w:lineRule="auto" w:before="25"/>
        <w:ind w:right="203"/>
        <w:jc w:val="both"/>
      </w:pPr>
      <w:r>
        <w:rPr>
          <w:spacing w:val="-1"/>
        </w:rPr>
        <w:t>三、 因被保险人变动导致本附加合同被保险人人数少于 </w:t>
      </w:r>
      <w:r>
        <w:rPr>
          <w:rFonts w:ascii="Times New Roman" w:eastAsia="Times New Roman"/>
        </w:rPr>
        <w:t>10 </w:t>
      </w:r>
      <w:r>
        <w:rPr/>
        <w:t>人或减少到符合参加本保险条件的在职人员总数</w:t>
      </w:r>
      <w:r>
        <w:rPr>
          <w:spacing w:val="-10"/>
        </w:rPr>
        <w:t>的 </w:t>
      </w:r>
      <w:r>
        <w:rPr>
          <w:rFonts w:ascii="Times New Roman" w:eastAsia="Times New Roman"/>
        </w:rPr>
        <w:t>75%</w:t>
      </w:r>
      <w:r>
        <w:rPr>
          <w:spacing w:val="-1"/>
        </w:rPr>
        <w:t>以下时，投保人必须立即书面通知本公司。本公司有权自发生该情形的次日零时起解除本附加合同， 并退还未满期保险费。</w:t>
      </w:r>
    </w:p>
    <w:p>
      <w:pPr>
        <w:pStyle w:val="Heading1"/>
        <w:tabs>
          <w:tab w:pos="1235" w:val="left" w:leader="none"/>
        </w:tabs>
        <w:spacing w:before="151"/>
      </w:pPr>
      <w:bookmarkStart w:name="_TOC_250008" w:id="8"/>
      <w:r>
        <w:rPr/>
        <w:t>第十条</w:t>
        <w:tab/>
      </w:r>
      <w:bookmarkEnd w:id="8"/>
      <w:r>
        <w:rPr>
          <w:w w:val="95"/>
        </w:rPr>
        <w:t>危险变更的通知义务</w:t>
      </w:r>
    </w:p>
    <w:p>
      <w:pPr>
        <w:pStyle w:val="BodyText"/>
        <w:ind w:left="0"/>
        <w:rPr>
          <w:b/>
          <w:sz w:val="15"/>
        </w:rPr>
      </w:pPr>
    </w:p>
    <w:p>
      <w:pPr>
        <w:pStyle w:val="BodyText"/>
      </w:pPr>
      <w:r>
        <w:rPr/>
        <w:t>被保险人变更其职业或者工种时，投保人或者被保险人应于十个工作日内以书面形式通知本公司。</w:t>
      </w:r>
    </w:p>
    <w:p>
      <w:pPr>
        <w:pStyle w:val="BodyText"/>
        <w:spacing w:line="316" w:lineRule="auto" w:before="76"/>
        <w:ind w:right="208"/>
        <w:jc w:val="both"/>
      </w:pPr>
      <w:r>
        <w:rPr/>
        <w:t>被保险人所变更的职业或者工种，依照本公司职业分类其危险程度降低时，本公司自接到通知之日起按其差额退还本附加合同的未满期保险费；其危险程度增加时，本公司于接到通知后，自其职业变更之日起，按其差额增收保险费。但被保险人所变更的职业或者工种依照本公司职业分类在拒保范围内的，本公司依本附加合同对该被保险人所负保险责任自其职业或者工种变更之日起终止，并退还未满期保险费。</w:t>
      </w:r>
    </w:p>
    <w:p>
      <w:pPr>
        <w:pStyle w:val="BodyText"/>
        <w:spacing w:line="316" w:lineRule="auto" w:before="18"/>
        <w:ind w:right="208"/>
        <w:jc w:val="both"/>
      </w:pPr>
      <w:r>
        <w:rPr/>
        <w:t>被保险人所变更的职业或者工种，依照本公司职业分类其危险程度增加但未依前项约定通知而发生保险事故的，本公司按其原交保险费与应交保险费的比例计算并给付本附加合同的保险金。但被保险人所变更的职业或者工种依照本公司职业分类在拒保范围内的，本公司不承担保险金给付责任。</w:t>
      </w:r>
    </w:p>
    <w:p>
      <w:pPr>
        <w:pStyle w:val="Heading1"/>
        <w:tabs>
          <w:tab w:pos="1235" w:val="left" w:leader="none"/>
        </w:tabs>
      </w:pPr>
      <w:bookmarkStart w:name="_TOC_250007" w:id="9"/>
      <w:r>
        <w:rPr/>
        <w:t>第十一条</w:t>
        <w:tab/>
      </w:r>
      <w:bookmarkEnd w:id="9"/>
      <w:r>
        <w:rPr>
          <w:w w:val="95"/>
        </w:rPr>
        <w:t>保险合同内容的变更</w:t>
      </w:r>
    </w:p>
    <w:p>
      <w:pPr>
        <w:pStyle w:val="BodyText"/>
        <w:spacing w:before="13"/>
        <w:ind w:left="0"/>
        <w:rPr>
          <w:b/>
          <w:sz w:val="14"/>
        </w:rPr>
      </w:pPr>
    </w:p>
    <w:p>
      <w:pPr>
        <w:pStyle w:val="BodyText"/>
        <w:spacing w:line="316" w:lineRule="auto"/>
        <w:ind w:right="114"/>
      </w:pPr>
      <w:r>
        <w:rPr/>
        <w:t>在本附加合同有效期内，经投保人和本公司协商，可以变更本附加合同的有关内容。变更本附加合同的，应</w:t>
      </w:r>
      <w:r>
        <w:rPr>
          <w:spacing w:val="-3"/>
        </w:rPr>
        <w:t>当由本公司在原保险单或其他保险凭证上加以批注或附贴批单，或由投保人和本公司订立变更的书面协议后，</w:t>
      </w:r>
    </w:p>
    <w:p>
      <w:pPr>
        <w:spacing w:after="0" w:line="316" w:lineRule="auto"/>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BodyText"/>
        <w:spacing w:before="44"/>
      </w:pPr>
      <w:r>
        <w:rPr/>
        <w:t>始得生效。</w:t>
      </w:r>
    </w:p>
    <w:p>
      <w:pPr>
        <w:pStyle w:val="BodyText"/>
        <w:spacing w:before="12"/>
        <w:ind w:left="0"/>
        <w:rPr>
          <w:sz w:val="14"/>
        </w:rPr>
      </w:pPr>
    </w:p>
    <w:p>
      <w:pPr>
        <w:pStyle w:val="Heading1"/>
        <w:tabs>
          <w:tab w:pos="1235" w:val="left" w:leader="none"/>
        </w:tabs>
        <w:spacing w:before="0"/>
      </w:pPr>
      <w:bookmarkStart w:name="_TOC_250006" w:id="10"/>
      <w:r>
        <w:rPr/>
        <w:t>第十二条</w:t>
        <w:tab/>
      </w:r>
      <w:bookmarkEnd w:id="10"/>
      <w:r>
        <w:rPr>
          <w:w w:val="95"/>
        </w:rPr>
        <w:t>通讯地址的变更</w:t>
      </w:r>
    </w:p>
    <w:p>
      <w:pPr>
        <w:pStyle w:val="BodyText"/>
        <w:spacing w:before="12"/>
        <w:ind w:left="0"/>
        <w:rPr>
          <w:b/>
          <w:sz w:val="14"/>
        </w:rPr>
      </w:pPr>
    </w:p>
    <w:p>
      <w:pPr>
        <w:pStyle w:val="BodyText"/>
        <w:spacing w:line="316" w:lineRule="auto"/>
        <w:ind w:right="148"/>
      </w:pPr>
      <w:r>
        <w:rPr/>
        <w:t>投保人地址变更时，应及时以书面形式通知本公司。投保人不作前述通知的，本公司按本附加合同上所载的最后地址发送通知，视为已送达投保人。</w:t>
      </w:r>
    </w:p>
    <w:p>
      <w:pPr>
        <w:pStyle w:val="Heading1"/>
        <w:tabs>
          <w:tab w:pos="1235" w:val="left" w:leader="none"/>
        </w:tabs>
      </w:pPr>
      <w:bookmarkStart w:name="_TOC_250005" w:id="11"/>
      <w:r>
        <w:rPr/>
        <w:t>第十三条</w:t>
        <w:tab/>
      </w:r>
      <w:bookmarkEnd w:id="11"/>
      <w:r>
        <w:rPr>
          <w:w w:val="95"/>
        </w:rPr>
        <w:t>年龄或性别的错误处理</w:t>
      </w:r>
    </w:p>
    <w:p>
      <w:pPr>
        <w:pStyle w:val="BodyText"/>
        <w:spacing w:before="11"/>
        <w:ind w:left="0"/>
        <w:rPr>
          <w:b/>
          <w:sz w:val="12"/>
        </w:rPr>
      </w:pPr>
    </w:p>
    <w:p>
      <w:pPr>
        <w:spacing w:line="103" w:lineRule="exact" w:before="0"/>
        <w:ind w:left="2303" w:right="0" w:firstLine="0"/>
        <w:jc w:val="left"/>
        <w:rPr>
          <w:b/>
          <w:sz w:val="12"/>
        </w:rPr>
      </w:pPr>
      <w:r>
        <w:rPr>
          <w:b/>
          <w:sz w:val="12"/>
        </w:rPr>
        <w:t>释义 13</w:t>
      </w:r>
    </w:p>
    <w:p>
      <w:pPr>
        <w:pStyle w:val="BodyText"/>
        <w:tabs>
          <w:tab w:pos="2728" w:val="left" w:leader="none"/>
        </w:tabs>
        <w:spacing w:line="182" w:lineRule="exact"/>
      </w:pPr>
      <w:r>
        <w:rPr/>
        <w:t>被保险人的投保年龄以</w:t>
      </w:r>
      <w:r>
        <w:rPr>
          <w:b/>
        </w:rPr>
        <w:t>周岁</w:t>
        <w:tab/>
      </w:r>
      <w:r>
        <w:rPr>
          <w:spacing w:val="-1"/>
        </w:rPr>
        <w:t>计</w:t>
      </w:r>
      <w:r>
        <w:rPr/>
        <w:t>算</w:t>
      </w:r>
      <w:r>
        <w:rPr>
          <w:spacing w:val="-10"/>
        </w:rPr>
        <w:t>。</w:t>
      </w:r>
      <w:r>
        <w:rPr/>
        <w:t>投保人在申请投保</w:t>
      </w:r>
      <w:r>
        <w:rPr>
          <w:spacing w:val="-3"/>
        </w:rPr>
        <w:t>时</w:t>
      </w:r>
      <w:r>
        <w:rPr>
          <w:spacing w:val="-10"/>
        </w:rPr>
        <w:t>，</w:t>
      </w:r>
      <w:r>
        <w:rPr/>
        <w:t>应将被保险人的真实年龄及性别在被保险人名</w:t>
      </w:r>
    </w:p>
    <w:p>
      <w:pPr>
        <w:pStyle w:val="BodyText"/>
        <w:spacing w:before="55"/>
      </w:pPr>
      <w:r>
        <w:rPr/>
        <w:t>册上填明，如果发生错误应按照下列规定办理：</w:t>
      </w:r>
    </w:p>
    <w:p>
      <w:pPr>
        <w:pStyle w:val="BodyText"/>
        <w:spacing w:line="316" w:lineRule="auto" w:before="76"/>
        <w:ind w:right="143"/>
      </w:pPr>
      <w:r>
        <w:rPr>
          <w:spacing w:val="-6"/>
        </w:rPr>
        <w:t>一、 投保人申报的被保险人年龄或性别不真实，并且其真实年龄不符合本附加合同约定的年龄限制，在保险事故发生之前我们有权解除本附加合同。我们将退还该被保险人的未满期保险费。我们行使合同解除权适用</w:t>
      </w:r>
    </w:p>
    <w:p>
      <w:pPr>
        <w:pStyle w:val="BodyText"/>
        <w:spacing w:before="18"/>
      </w:pPr>
      <w:r>
        <w:rPr/>
        <w:t>“本公司合同解除权的限制”的规定。</w:t>
      </w:r>
    </w:p>
    <w:p>
      <w:pPr>
        <w:pStyle w:val="BodyText"/>
        <w:spacing w:line="316" w:lineRule="auto" w:before="76"/>
        <w:ind w:right="143"/>
        <w:jc w:val="both"/>
      </w:pPr>
      <w:r>
        <w:rPr>
          <w:spacing w:val="-6"/>
        </w:rPr>
        <w:t>二、 投保人申报的被保险人年龄或性别不真实，致使投保人实交的保险费少于应交的保险费，本公司有权更正并要求投保人补交保险费。若已发生保险事故，本公司将按实交保险费和应交保险费的比例给付保险金。</w:t>
      </w:r>
      <w:r>
        <w:rPr>
          <w:spacing w:val="-8"/>
        </w:rPr>
        <w:t>三、 投保人申报的被保险人年龄或性别不真实，致使投保人实交的保险费多于应交的保险费，本公司将无息</w:t>
      </w:r>
      <w:r>
        <w:rPr>
          <w:spacing w:val="-1"/>
        </w:rPr>
        <w:t>退还多收的保险费。</w:t>
      </w:r>
    </w:p>
    <w:p>
      <w:pPr>
        <w:pStyle w:val="Heading1"/>
        <w:tabs>
          <w:tab w:pos="1235" w:val="left" w:leader="none"/>
        </w:tabs>
      </w:pPr>
      <w:bookmarkStart w:name="_TOC_250004" w:id="12"/>
      <w:r>
        <w:rPr/>
        <w:t>第十四条</w:t>
        <w:tab/>
      </w:r>
      <w:bookmarkEnd w:id="12"/>
      <w:r>
        <w:rPr>
          <w:w w:val="95"/>
        </w:rPr>
        <w:t>资料的保存与提供</w:t>
      </w:r>
    </w:p>
    <w:p>
      <w:pPr>
        <w:pStyle w:val="BodyText"/>
        <w:spacing w:before="12"/>
        <w:ind w:left="0"/>
        <w:rPr>
          <w:b/>
          <w:sz w:val="14"/>
        </w:rPr>
      </w:pPr>
    </w:p>
    <w:p>
      <w:pPr>
        <w:pStyle w:val="BodyText"/>
        <w:spacing w:line="316" w:lineRule="auto"/>
        <w:ind w:right="148"/>
      </w:pPr>
      <w:r>
        <w:rPr/>
        <w:t>投保人应保存每一被保险人的个人资料，详细记录其姓名、性别、年龄、出生日期、保险金额、缴费金额以及其它与本附加合同有关的一切资料，必要时投保人应按本公司的要求提供上述资料。</w:t>
      </w:r>
    </w:p>
    <w:p>
      <w:pPr>
        <w:pStyle w:val="Heading1"/>
        <w:tabs>
          <w:tab w:pos="1235" w:val="left" w:leader="none"/>
        </w:tabs>
      </w:pPr>
      <w:bookmarkStart w:name="_TOC_250003" w:id="13"/>
      <w:r>
        <w:rPr/>
        <w:t>第十五条</w:t>
        <w:tab/>
      </w:r>
      <w:bookmarkEnd w:id="13"/>
      <w:r>
        <w:rPr>
          <w:w w:val="95"/>
        </w:rPr>
        <w:t>受益人的指定和变更</w:t>
      </w:r>
    </w:p>
    <w:p>
      <w:pPr>
        <w:pStyle w:val="BodyText"/>
        <w:spacing w:before="12"/>
        <w:ind w:left="0"/>
        <w:rPr>
          <w:b/>
          <w:sz w:val="14"/>
        </w:rPr>
      </w:pPr>
    </w:p>
    <w:p>
      <w:pPr>
        <w:tabs>
          <w:tab w:pos="1235" w:val="left" w:leader="none"/>
        </w:tabs>
        <w:spacing w:line="439" w:lineRule="auto" w:before="1"/>
        <w:ind w:left="141" w:right="5228" w:firstLine="0"/>
        <w:jc w:val="left"/>
        <w:rPr>
          <w:b/>
          <w:sz w:val="18"/>
        </w:rPr>
      </w:pPr>
      <w:r>
        <w:rPr>
          <w:sz w:val="18"/>
        </w:rPr>
        <w:t>重大疾病保险金的受益人为被保险人本人。</w:t>
      </w:r>
      <w:r>
        <w:rPr>
          <w:b/>
          <w:sz w:val="18"/>
        </w:rPr>
        <w:t>第十六条</w:t>
        <w:tab/>
      </w:r>
      <w:r>
        <w:rPr>
          <w:b/>
          <w:w w:val="95"/>
          <w:sz w:val="18"/>
        </w:rPr>
        <w:t>保险事故的通知</w:t>
      </w:r>
    </w:p>
    <w:p>
      <w:pPr>
        <w:pStyle w:val="BodyText"/>
        <w:spacing w:before="47"/>
      </w:pPr>
      <w:r>
        <w:rPr/>
        <w:t>投保人、被保险人或受益人应当在知道保险事故发生之日起十日内通知本公司。</w:t>
      </w:r>
    </w:p>
    <w:p>
      <w:pPr>
        <w:pStyle w:val="BodyText"/>
        <w:spacing w:line="316" w:lineRule="auto" w:before="76"/>
        <w:ind w:right="148"/>
        <w:jc w:val="both"/>
      </w:pPr>
      <w:r>
        <w:rPr/>
        <w:t>如果投保人、被保险人或者受益人故意或者因重大过失未及时通知，致使保险事故的性质、原因、损失程度等难以确定的，本公司对无法确定的部分，不承担赔偿或者给付保险金的责任，但本公司通过其他途径已经及时知道或者应当及时知道保险事故发生或者虽未及时通知但不影响本公司确定保险事故的性质、原因、损失程度的除外。</w:t>
      </w:r>
    </w:p>
    <w:p>
      <w:pPr>
        <w:tabs>
          <w:tab w:pos="1235" w:val="left" w:leader="none"/>
        </w:tabs>
        <w:spacing w:line="439" w:lineRule="auto" w:before="138"/>
        <w:ind w:left="141" w:right="6831" w:firstLine="0"/>
        <w:jc w:val="left"/>
        <w:rPr>
          <w:sz w:val="18"/>
        </w:rPr>
      </w:pPr>
      <w:r>
        <w:rPr>
          <w:b/>
          <w:sz w:val="18"/>
        </w:rPr>
        <w:t>第十七条</w:t>
        <w:tab/>
      </w:r>
      <w:r>
        <w:rPr>
          <w:b/>
          <w:w w:val="95"/>
          <w:sz w:val="18"/>
        </w:rPr>
        <w:t>申请资料 </w:t>
      </w:r>
      <w:r>
        <w:rPr>
          <w:sz w:val="18"/>
        </w:rPr>
        <w:t>重大疾病保险金的申请</w:t>
      </w:r>
    </w:p>
    <w:p>
      <w:pPr>
        <w:pStyle w:val="BodyText"/>
        <w:spacing w:line="163" w:lineRule="exact"/>
      </w:pPr>
      <w:r>
        <w:rPr/>
        <w:t>在本附加合同有效期内，被保险人初次罹患重大疾病的，由被保险人作为申请人填写保险金给付申请书，并</w:t>
      </w:r>
    </w:p>
    <w:p>
      <w:pPr>
        <w:pStyle w:val="BodyText"/>
        <w:spacing w:before="77"/>
      </w:pPr>
      <w:r>
        <w:rPr/>
        <w:t>凭下列证明、资料向本公司申请给付保险金：</w:t>
      </w:r>
    </w:p>
    <w:p>
      <w:pPr>
        <w:pStyle w:val="BodyText"/>
        <w:spacing w:before="76"/>
      </w:pPr>
      <w:r>
        <w:rPr>
          <w:rFonts w:ascii="Times New Roman" w:eastAsia="Times New Roman"/>
        </w:rPr>
        <w:t>1</w:t>
      </w:r>
      <w:r>
        <w:rPr/>
        <w:t>、申请书；</w:t>
      </w:r>
    </w:p>
    <w:p>
      <w:pPr>
        <w:pStyle w:val="BodyText"/>
        <w:spacing w:before="62"/>
      </w:pPr>
      <w:r>
        <w:rPr>
          <w:rFonts w:ascii="Times New Roman" w:eastAsia="Times New Roman"/>
        </w:rPr>
        <w:t>2</w:t>
      </w:r>
      <w:r>
        <w:rPr/>
        <w:t>、保险合同或保险凭证；</w:t>
      </w:r>
    </w:p>
    <w:p>
      <w:pPr>
        <w:pStyle w:val="BodyText"/>
        <w:spacing w:before="62"/>
      </w:pPr>
      <w:r>
        <w:rPr>
          <w:rFonts w:ascii="Times New Roman" w:eastAsia="Times New Roman"/>
        </w:rPr>
        <w:t>3</w:t>
      </w:r>
      <w:r>
        <w:rPr/>
        <w:t>、被保险人户籍证明及身份证明；</w:t>
      </w:r>
    </w:p>
    <w:p>
      <w:pPr>
        <w:pStyle w:val="BodyText"/>
        <w:spacing w:line="300" w:lineRule="auto" w:before="62"/>
        <w:ind w:right="143"/>
      </w:pPr>
      <w:r>
        <w:rPr>
          <w:rFonts w:ascii="Times New Roman" w:eastAsia="Times New Roman"/>
        </w:rPr>
        <w:t>4</w:t>
      </w:r>
      <w:r>
        <w:rPr>
          <w:spacing w:val="-6"/>
        </w:rPr>
        <w:t>、本公司指定或认可的医院出具的附有被保险人完整病历、病理、血液及其它科学方法检验报告的诊断证明</w:t>
      </w:r>
      <w:r>
        <w:rPr>
          <w:spacing w:val="-1"/>
        </w:rPr>
        <w:t>文件；</w:t>
      </w:r>
    </w:p>
    <w:p>
      <w:pPr>
        <w:pStyle w:val="BodyText"/>
        <w:spacing w:before="31"/>
      </w:pPr>
      <w:r>
        <w:rPr>
          <w:rFonts w:ascii="Times New Roman" w:eastAsia="Times New Roman"/>
        </w:rPr>
        <w:t>5</w:t>
      </w:r>
      <w:r>
        <w:rPr/>
        <w:t>、所能提供的与确认保险事故的性质、原因等有关的其他证明和资料。</w:t>
      </w:r>
    </w:p>
    <w:p>
      <w:pPr>
        <w:pStyle w:val="BodyText"/>
        <w:spacing w:before="62"/>
      </w:pPr>
      <w:r>
        <w:rPr/>
        <w:t>以上证明和资料不完整的，本公司将及时一次性以书面形式向申请人告知需要补充的有关材料。</w:t>
      </w:r>
    </w:p>
    <w:p>
      <w:pPr>
        <w:spacing w:after="0"/>
        <w:sectPr>
          <w:pgSz w:w="11960" w:h="16850"/>
          <w:pgMar w:header="897" w:footer="1001" w:top="1080" w:bottom="1200" w:left="1560" w:right="1600"/>
        </w:sectPr>
      </w:pPr>
    </w:p>
    <w:p>
      <w:pPr>
        <w:pStyle w:val="BodyText"/>
        <w:ind w:left="0"/>
        <w:rPr>
          <w:sz w:val="20"/>
        </w:rPr>
      </w:pPr>
    </w:p>
    <w:p>
      <w:pPr>
        <w:pStyle w:val="BodyText"/>
        <w:spacing w:before="2"/>
        <w:ind w:left="0"/>
        <w:rPr>
          <w:sz w:val="24"/>
        </w:rPr>
      </w:pPr>
    </w:p>
    <w:p>
      <w:pPr>
        <w:pStyle w:val="Heading1"/>
        <w:tabs>
          <w:tab w:pos="1235" w:val="left" w:leader="none"/>
        </w:tabs>
        <w:spacing w:before="44"/>
      </w:pPr>
      <w:bookmarkStart w:name="_TOC_250002" w:id="14"/>
      <w:r>
        <w:rPr/>
        <w:t>第十八条</w:t>
        <w:tab/>
      </w:r>
      <w:bookmarkEnd w:id="14"/>
      <w:r>
        <w:rPr>
          <w:w w:val="95"/>
        </w:rPr>
        <w:t>诉讼时效</w:t>
      </w:r>
    </w:p>
    <w:p>
      <w:pPr>
        <w:pStyle w:val="BodyText"/>
        <w:spacing w:before="12"/>
        <w:ind w:left="0"/>
        <w:rPr>
          <w:b/>
          <w:sz w:val="14"/>
        </w:rPr>
      </w:pPr>
    </w:p>
    <w:p>
      <w:pPr>
        <w:pStyle w:val="BodyText"/>
        <w:spacing w:line="316" w:lineRule="auto"/>
        <w:ind w:right="148"/>
      </w:pPr>
      <w:r>
        <w:rPr/>
        <w:t>被保险人或受益人向本公司请求给付保险金的诉讼时效期间为二年，自其知道或者应当知道保险事故发生之日起计算。</w:t>
      </w:r>
    </w:p>
    <w:p>
      <w:pPr>
        <w:pStyle w:val="Heading1"/>
        <w:tabs>
          <w:tab w:pos="1235" w:val="left" w:leader="none"/>
        </w:tabs>
      </w:pPr>
      <w:bookmarkStart w:name="_TOC_250001" w:id="15"/>
      <w:r>
        <w:rPr/>
        <w:t>第十九条</w:t>
        <w:tab/>
      </w:r>
      <w:bookmarkEnd w:id="15"/>
      <w:r>
        <w:rPr>
          <w:w w:val="95"/>
        </w:rPr>
        <w:t>投保人解除保险合同的处理</w:t>
      </w:r>
    </w:p>
    <w:p>
      <w:pPr>
        <w:pStyle w:val="BodyText"/>
        <w:spacing w:before="12"/>
        <w:ind w:left="0"/>
        <w:rPr>
          <w:b/>
          <w:sz w:val="14"/>
        </w:rPr>
      </w:pPr>
    </w:p>
    <w:p>
      <w:pPr>
        <w:pStyle w:val="BodyText"/>
        <w:spacing w:line="316" w:lineRule="auto" w:before="1"/>
        <w:ind w:right="549"/>
      </w:pPr>
      <w:r>
        <w:rPr/>
        <w:t>本附加合同生效后，投保人可以书面形式通知本公司要求解除本附加合同，并应提供下列证明和资料： 一、 解除合同申请书；</w:t>
      </w:r>
    </w:p>
    <w:p>
      <w:pPr>
        <w:pStyle w:val="BodyText"/>
        <w:spacing w:before="19"/>
      </w:pPr>
      <w:r>
        <w:rPr/>
        <w:t>二、 保险合同；</w:t>
      </w:r>
    </w:p>
    <w:p>
      <w:pPr>
        <w:pStyle w:val="BodyText"/>
        <w:spacing w:line="316" w:lineRule="auto" w:before="76"/>
        <w:ind w:right="6037"/>
      </w:pPr>
      <w:r>
        <w:rPr/>
        <w:t>三、 最近一期保险费交费收据； 四、 投保人证明文件；</w:t>
      </w:r>
    </w:p>
    <w:p>
      <w:pPr>
        <w:pStyle w:val="BodyText"/>
        <w:spacing w:before="18"/>
      </w:pPr>
      <w:r>
        <w:rPr/>
        <w:t>五、 本公司需要的其它有关文件和资料。</w:t>
      </w:r>
    </w:p>
    <w:p>
      <w:pPr>
        <w:pStyle w:val="BodyText"/>
        <w:spacing w:line="316" w:lineRule="auto" w:before="76"/>
        <w:ind w:right="150"/>
      </w:pPr>
      <w:r>
        <w:rPr/>
        <w:t>本附加合同的保险责任自本公司收到解除本附加合同所须的证明和资料之后次日零时起终止。本公司将退还未满期保险费。</w:t>
      </w:r>
    </w:p>
    <w:p>
      <w:pPr>
        <w:pStyle w:val="BodyText"/>
        <w:spacing w:line="316" w:lineRule="auto" w:before="18"/>
        <w:ind w:right="4688"/>
      </w:pPr>
      <w:r>
        <w:rPr/>
        <w:t>若已领取过保险金的，不得要求解除本附加合同。投保人解除合同会遭受一定损失。</w:t>
      </w:r>
    </w:p>
    <w:p>
      <w:pPr>
        <w:pStyle w:val="Heading1"/>
        <w:tabs>
          <w:tab w:pos="1235" w:val="left" w:leader="none"/>
        </w:tabs>
      </w:pPr>
      <w:bookmarkStart w:name="_TOC_250000" w:id="16"/>
      <w:r>
        <w:rPr/>
        <w:t>第二十条</w:t>
        <w:tab/>
      </w:r>
      <w:bookmarkEnd w:id="16"/>
      <w:r>
        <w:rPr>
          <w:w w:val="95"/>
        </w:rPr>
        <w:t>附加保险合同的中止和终止</w:t>
      </w:r>
    </w:p>
    <w:p>
      <w:pPr>
        <w:pStyle w:val="BodyText"/>
        <w:ind w:left="0"/>
        <w:rPr>
          <w:b/>
          <w:sz w:val="15"/>
        </w:rPr>
      </w:pPr>
    </w:p>
    <w:p>
      <w:pPr>
        <w:pStyle w:val="BodyText"/>
        <w:spacing w:line="316" w:lineRule="auto"/>
        <w:ind w:right="3877"/>
      </w:pPr>
      <w:r>
        <w:rPr/>
        <w:t>一、 若主合同的效力中止，本附加合同的效力将自动中止。二、 发生下列情况之一时，本附加合同的效力将自动终止：</w:t>
      </w:r>
    </w:p>
    <w:p>
      <w:pPr>
        <w:pStyle w:val="BodyText"/>
        <w:spacing w:before="18"/>
      </w:pPr>
      <w:r>
        <w:rPr>
          <w:rFonts w:ascii="Times New Roman" w:eastAsia="Times New Roman"/>
        </w:rPr>
        <w:t>1</w:t>
      </w:r>
      <w:r>
        <w:rPr/>
        <w:t>、 本附加合同保险期间届满；</w:t>
      </w:r>
    </w:p>
    <w:p>
      <w:pPr>
        <w:spacing w:line="415" w:lineRule="auto" w:before="62"/>
        <w:ind w:left="141" w:right="6128" w:firstLine="0"/>
        <w:jc w:val="left"/>
        <w:rPr>
          <w:b/>
          <w:sz w:val="18"/>
        </w:rPr>
      </w:pPr>
      <w:r>
        <w:rPr>
          <w:rFonts w:ascii="Times New Roman" w:eastAsia="Times New Roman"/>
          <w:sz w:val="18"/>
        </w:rPr>
        <w:t>2</w:t>
      </w:r>
      <w:r>
        <w:rPr>
          <w:sz w:val="18"/>
        </w:rPr>
        <w:t>、 主合同撤销、解除、终止。</w:t>
      </w:r>
      <w:r>
        <w:rPr>
          <w:b/>
          <w:sz w:val="18"/>
        </w:rPr>
        <w:t>第二十一条  争议处理</w:t>
      </w:r>
    </w:p>
    <w:p>
      <w:pPr>
        <w:pStyle w:val="BodyText"/>
        <w:spacing w:before="65"/>
      </w:pPr>
      <w:r>
        <w:rPr/>
        <w:t>合同争议解决方式由当事人在合同约定时从下列两种方式中选择一种：</w:t>
      </w:r>
    </w:p>
    <w:p>
      <w:pPr>
        <w:pStyle w:val="BodyText"/>
        <w:spacing w:before="76"/>
      </w:pPr>
      <w:r>
        <w:rPr/>
        <w:t>（一） 因履行本附加合同发生的争议，由当事人协商解决，协商不成的，提交仲裁委员会仲裁；</w:t>
      </w:r>
    </w:p>
    <w:p>
      <w:pPr>
        <w:pStyle w:val="BodyText"/>
        <w:spacing w:line="439" w:lineRule="auto" w:before="76"/>
        <w:ind w:right="997"/>
        <w:rPr>
          <w:b/>
        </w:rPr>
      </w:pPr>
      <w:r>
        <w:rPr/>
        <w:t>（二） 因履行本附加合同发生的争议，由当事人协商解决，协商不成的，依法向人民法院起诉。</w:t>
      </w:r>
      <w:r>
        <w:rPr>
          <w:b/>
        </w:rPr>
        <w:t>第二十二条  释义</w:t>
      </w:r>
    </w:p>
    <w:p>
      <w:pPr>
        <w:pStyle w:val="BodyText"/>
        <w:tabs>
          <w:tab w:pos="2380" w:val="left" w:leader="none"/>
        </w:tabs>
        <w:spacing w:line="245" w:lineRule="exact" w:before="8"/>
      </w:pPr>
      <w:r>
        <w:rPr/>
        <w:t>释义</w:t>
      </w:r>
      <w:r>
        <w:rPr>
          <w:spacing w:val="-45"/>
        </w:rPr>
        <w:t> </w:t>
      </w:r>
      <w:r>
        <w:rPr>
          <w:rFonts w:ascii="Times New Roman" w:eastAsia="Times New Roman"/>
        </w:rPr>
        <w:t>1</w:t>
      </w:r>
      <w:r>
        <w:rPr/>
        <w:t>、本公司</w:t>
        <w:tab/>
      </w:r>
      <w:r>
        <w:rPr>
          <w:rFonts w:ascii="Times New Roman" w:eastAsia="Times New Roman"/>
          <w:position w:val="2"/>
        </w:rPr>
        <w:t>:  </w:t>
      </w:r>
      <w:r>
        <w:rPr>
          <w:rFonts w:ascii="Times New Roman" w:eastAsia="Times New Roman"/>
          <w:spacing w:val="15"/>
          <w:position w:val="2"/>
        </w:rPr>
        <w:t> </w:t>
      </w:r>
      <w:r>
        <w:rPr/>
        <w:t>是指北大方正人寿保险有限公司。</w:t>
      </w:r>
    </w:p>
    <w:p>
      <w:pPr>
        <w:pStyle w:val="BodyText"/>
        <w:tabs>
          <w:tab w:pos="2380" w:val="left" w:leader="none"/>
        </w:tabs>
        <w:spacing w:line="223" w:lineRule="auto" w:before="12"/>
        <w:ind w:left="2582" w:right="129" w:hanging="2441"/>
      </w:pPr>
      <w:r>
        <w:rPr/>
        <w:t>释义</w:t>
      </w:r>
      <w:r>
        <w:rPr>
          <w:spacing w:val="-45"/>
        </w:rPr>
        <w:t> </w:t>
      </w:r>
      <w:r>
        <w:rPr>
          <w:rFonts w:ascii="Times New Roman" w:eastAsia="Times New Roman"/>
        </w:rPr>
        <w:t>2</w:t>
      </w:r>
      <w:r>
        <w:rPr/>
        <w:t>、团体</w:t>
        <w:tab/>
      </w:r>
      <w:r>
        <w:rPr>
          <w:rFonts w:ascii="Times New Roman" w:eastAsia="Times New Roman"/>
          <w:position w:val="2"/>
        </w:rPr>
        <w:t>:  </w:t>
      </w:r>
      <w:r>
        <w:rPr>
          <w:rFonts w:ascii="Times New Roman" w:eastAsia="Times New Roman"/>
          <w:spacing w:val="15"/>
          <w:position w:val="2"/>
        </w:rPr>
        <w:t> </w:t>
      </w:r>
      <w:r>
        <w:rPr/>
        <w:t>指中国境内非因购买保险而组织的合法团体</w:t>
      </w:r>
      <w:r>
        <w:rPr>
          <w:spacing w:val="-15"/>
        </w:rPr>
        <w:t>。</w:t>
      </w:r>
      <w:r>
        <w:rPr/>
        <w:t>包括国家机关</w:t>
      </w:r>
      <w:r>
        <w:rPr>
          <w:spacing w:val="-15"/>
        </w:rPr>
        <w:t>、</w:t>
      </w:r>
      <w:r>
        <w:rPr/>
        <w:t>院校</w:t>
      </w:r>
      <w:r>
        <w:rPr>
          <w:spacing w:val="-15"/>
        </w:rPr>
        <w:t>、</w:t>
      </w:r>
      <w:r>
        <w:rPr/>
        <w:t>企事业单</w:t>
      </w:r>
      <w:r>
        <w:rPr>
          <w:spacing w:val="-1"/>
        </w:rPr>
        <w:t>位、行业组</w:t>
      </w:r>
      <w:r>
        <w:rPr/>
        <w:t>织、职业工会等。</w:t>
      </w:r>
    </w:p>
    <w:p>
      <w:pPr>
        <w:pStyle w:val="BodyText"/>
        <w:tabs>
          <w:tab w:pos="2380" w:val="left" w:leader="none"/>
        </w:tabs>
        <w:spacing w:line="242" w:lineRule="exact"/>
      </w:pPr>
      <w:r>
        <w:rPr/>
        <w:t>释义</w:t>
      </w:r>
      <w:r>
        <w:rPr>
          <w:spacing w:val="-45"/>
        </w:rPr>
        <w:t> </w:t>
      </w:r>
      <w:r>
        <w:rPr>
          <w:rFonts w:ascii="Times New Roman" w:eastAsia="Times New Roman"/>
        </w:rPr>
        <w:t>3</w:t>
      </w:r>
      <w:r>
        <w:rPr/>
        <w:t>、保险事故</w:t>
        <w:tab/>
      </w:r>
      <w:r>
        <w:rPr>
          <w:rFonts w:ascii="Times New Roman" w:eastAsia="Times New Roman"/>
          <w:position w:val="2"/>
        </w:rPr>
        <w:t>:  </w:t>
      </w:r>
      <w:r>
        <w:rPr>
          <w:rFonts w:ascii="Times New Roman" w:eastAsia="Times New Roman"/>
          <w:spacing w:val="15"/>
          <w:position w:val="2"/>
        </w:rPr>
        <w:t> </w:t>
      </w:r>
      <w:r>
        <w:rPr/>
        <w:t>是指本附加合同约定的保险责任范围内的事故。</w:t>
      </w:r>
    </w:p>
    <w:p>
      <w:pPr>
        <w:pStyle w:val="BodyText"/>
        <w:spacing w:line="245" w:lineRule="exact"/>
      </w:pPr>
      <w:r>
        <w:rPr/>
        <w:t>释义 </w:t>
      </w:r>
      <w:r>
        <w:rPr>
          <w:rFonts w:ascii="Times New Roman" w:eastAsia="Times New Roman"/>
        </w:rPr>
        <w:t>4</w:t>
      </w:r>
      <w:r>
        <w:rPr/>
        <w:t>、本公司指定或认可的</w:t>
      </w:r>
      <w:r>
        <w:rPr>
          <w:rFonts w:ascii="Times New Roman" w:eastAsia="Times New Roman"/>
          <w:position w:val="2"/>
        </w:rPr>
        <w:t>:   </w:t>
      </w:r>
      <w:r>
        <w:rPr>
          <w:rFonts w:ascii="Times New Roman" w:eastAsia="Times New Roman"/>
        </w:rPr>
        <w:t>1</w:t>
      </w:r>
      <w:r>
        <w:rPr/>
        <w:t>、本公司将在批注中列明指定的医院名单，并保留对上述医院名单做出调整</w:t>
      </w:r>
    </w:p>
    <w:p>
      <w:pPr>
        <w:pStyle w:val="BodyText"/>
        <w:tabs>
          <w:tab w:pos="2581" w:val="left" w:leader="none"/>
        </w:tabs>
        <w:spacing w:line="232" w:lineRule="exact" w:before="10"/>
        <w:ind w:left="2582" w:right="126" w:hanging="2441"/>
      </w:pPr>
      <w:r>
        <w:rPr/>
        <w:t>医院</w:t>
        <w:tab/>
      </w:r>
      <w:r>
        <w:rPr>
          <w:spacing w:val="-1"/>
        </w:rPr>
        <w:t>的权利</w:t>
      </w:r>
      <w:r>
        <w:rPr>
          <w:spacing w:val="-20"/>
        </w:rPr>
        <w:t>。</w:t>
      </w:r>
      <w:r>
        <w:rPr/>
        <w:t>本公司指定的医院范围将以最新调整的医院名单范围为准</w:t>
      </w:r>
      <w:r>
        <w:rPr>
          <w:spacing w:val="-20"/>
        </w:rPr>
        <w:t>，</w:t>
      </w:r>
      <w:r>
        <w:rPr/>
        <w:t>该名单可</w:t>
      </w:r>
      <w:r>
        <w:rPr>
          <w:spacing w:val="-1"/>
        </w:rPr>
        <w:t>通</w:t>
      </w:r>
      <w:r>
        <w:rPr/>
        <w:t>过本公司网站和客户服务电话查询。</w:t>
      </w:r>
    </w:p>
    <w:p>
      <w:pPr>
        <w:pStyle w:val="BodyText"/>
        <w:spacing w:line="223" w:lineRule="auto"/>
        <w:ind w:left="2582" w:right="71"/>
      </w:pPr>
      <w:r>
        <w:rPr>
          <w:rFonts w:ascii="Times New Roman" w:eastAsia="Times New Roman"/>
        </w:rPr>
        <w:t>2</w:t>
      </w:r>
      <w:r>
        <w:rPr/>
        <w:t>、本公司指定的医院均指医院本院，不包括所属的指导或教学医院分院、社区医疗服务点、外设门诊部、合作医院，也不包括设在医院内的观察室、联合</w:t>
      </w:r>
    </w:p>
    <w:p>
      <w:pPr>
        <w:pStyle w:val="BodyText"/>
        <w:spacing w:line="234" w:lineRule="exact" w:before="7"/>
        <w:ind w:left="2582"/>
      </w:pPr>
      <w:r>
        <w:rPr/>
        <w:t>病房和康复病房。</w:t>
      </w:r>
    </w:p>
    <w:p>
      <w:pPr>
        <w:pStyle w:val="BodyText"/>
        <w:spacing w:line="223" w:lineRule="auto" w:before="16"/>
        <w:ind w:left="2582" w:right="129"/>
      </w:pPr>
      <w:r>
        <w:rPr>
          <w:rFonts w:ascii="Times New Roman" w:eastAsia="Times New Roman"/>
        </w:rPr>
        <w:t>3</w:t>
      </w:r>
      <w:r>
        <w:rPr/>
        <w:t>、如果被保险人因紧急情况需要就近抢救，首诊可不受本公司指定医院的限制，但病情稳定后应转入本公司指定的医院。</w:t>
      </w:r>
    </w:p>
    <w:p>
      <w:pPr>
        <w:pStyle w:val="BodyText"/>
        <w:spacing w:line="225" w:lineRule="auto" w:before="12"/>
        <w:ind w:left="2582" w:right="126"/>
      </w:pPr>
      <w:r>
        <w:rPr>
          <w:rFonts w:ascii="Times New Roman" w:hAnsi="Times New Roman" w:eastAsia="Times New Roman"/>
        </w:rPr>
        <w:t>4</w:t>
      </w:r>
      <w:r>
        <w:rPr/>
        <w:t>、如果被保险人在批注中列明医院所在地以外的地区就诊，须选择本公司认可的医院。其标准须符合下文中对“医院”的释义。</w:t>
      </w:r>
    </w:p>
    <w:p>
      <w:pPr>
        <w:pStyle w:val="BodyText"/>
        <w:tabs>
          <w:tab w:pos="2380" w:val="left" w:leader="none"/>
        </w:tabs>
        <w:spacing w:line="238" w:lineRule="exact"/>
      </w:pPr>
      <w:r>
        <w:rPr/>
        <w:t>释义</w:t>
      </w:r>
      <w:r>
        <w:rPr>
          <w:spacing w:val="-45"/>
        </w:rPr>
        <w:t> </w:t>
      </w:r>
      <w:r>
        <w:rPr>
          <w:rFonts w:ascii="Times New Roman" w:eastAsia="Times New Roman"/>
        </w:rPr>
        <w:t>5</w:t>
      </w:r>
      <w:r>
        <w:rPr/>
        <w:t>、医院</w:t>
        <w:tab/>
      </w:r>
      <w:r>
        <w:rPr>
          <w:rFonts w:ascii="Times New Roman" w:eastAsia="Times New Roman"/>
          <w:position w:val="2"/>
        </w:rPr>
        <w:t>:  </w:t>
      </w:r>
      <w:r>
        <w:rPr>
          <w:rFonts w:ascii="Times New Roman" w:eastAsia="Times New Roman"/>
          <w:spacing w:val="15"/>
          <w:position w:val="2"/>
        </w:rPr>
        <w:t> </w:t>
      </w:r>
      <w:r>
        <w:rPr/>
        <w:t>是指符合以下所有条件的机构：</w:t>
      </w:r>
    </w:p>
    <w:p>
      <w:pPr>
        <w:pStyle w:val="BodyText"/>
        <w:spacing w:line="233" w:lineRule="exact"/>
        <w:ind w:left="2582"/>
      </w:pPr>
      <w:r>
        <w:rPr>
          <w:rFonts w:ascii="Times New Roman" w:eastAsia="Times New Roman"/>
        </w:rPr>
        <w:t>1</w:t>
      </w:r>
      <w:r>
        <w:rPr/>
        <w:t>、拥有合法经营执照；</w:t>
      </w:r>
    </w:p>
    <w:p>
      <w:pPr>
        <w:pStyle w:val="BodyText"/>
        <w:spacing w:line="234" w:lineRule="exact"/>
        <w:ind w:left="2582"/>
      </w:pPr>
      <w:r>
        <w:rPr>
          <w:rFonts w:ascii="Times New Roman" w:eastAsia="Times New Roman"/>
        </w:rPr>
        <w:t>2</w:t>
      </w:r>
      <w:r>
        <w:rPr/>
        <w:t>、设立的主要目的是为受伤者和患病者提供住院治疗和护理；</w:t>
      </w:r>
    </w:p>
    <w:p>
      <w:pPr>
        <w:pStyle w:val="BodyText"/>
        <w:spacing w:line="234" w:lineRule="exact"/>
        <w:ind w:left="2582"/>
      </w:pPr>
      <w:r>
        <w:rPr>
          <w:rFonts w:ascii="Times New Roman" w:eastAsia="Times New Roman"/>
        </w:rPr>
        <w:t>3</w:t>
      </w:r>
      <w:r>
        <w:rPr/>
        <w:t>、有合法职称的专业医生和护士提供全日二十四小时的医疗和护理服务；</w:t>
      </w:r>
    </w:p>
    <w:p>
      <w:pPr>
        <w:pStyle w:val="BodyText"/>
        <w:spacing w:line="241" w:lineRule="exact"/>
        <w:ind w:left="2582"/>
      </w:pPr>
      <w:r>
        <w:rPr>
          <w:rFonts w:ascii="Times New Roman" w:eastAsia="Times New Roman"/>
        </w:rPr>
        <w:t>4</w:t>
      </w:r>
      <w:r>
        <w:rPr/>
        <w:t>、具有系统性诊疗等程序或手术设备的二级或以上综合性医院和专科医院，</w:t>
      </w:r>
    </w:p>
    <w:p>
      <w:pPr>
        <w:spacing w:after="0" w:line="241" w:lineRule="exact"/>
        <w:sectPr>
          <w:pgSz w:w="11960" w:h="16850"/>
          <w:pgMar w:header="897" w:footer="1001" w:top="1080" w:bottom="1200" w:left="1560" w:right="1600"/>
        </w:sectPr>
      </w:pPr>
    </w:p>
    <w:p>
      <w:pPr>
        <w:pStyle w:val="BodyText"/>
        <w:ind w:left="0"/>
        <w:rPr>
          <w:sz w:val="20"/>
        </w:rPr>
      </w:pPr>
    </w:p>
    <w:p>
      <w:pPr>
        <w:pStyle w:val="BodyText"/>
        <w:spacing w:before="3"/>
        <w:ind w:left="0"/>
        <w:rPr>
          <w:sz w:val="21"/>
        </w:rPr>
      </w:pPr>
    </w:p>
    <w:p>
      <w:pPr>
        <w:pStyle w:val="BodyText"/>
        <w:spacing w:line="237" w:lineRule="auto" w:before="47"/>
        <w:ind w:left="2582" w:right="217"/>
      </w:pPr>
      <w:r>
        <w:rPr>
          <w:spacing w:val="-9"/>
        </w:rPr>
        <w:t>但不包括观察室、联合病房、康复病房、康复医院、养老院、疗养所、戒酒所</w:t>
      </w:r>
      <w:r>
        <w:rPr>
          <w:spacing w:val="-1"/>
        </w:rPr>
        <w:t>戒毒所或类似的医疗机构。</w:t>
      </w:r>
    </w:p>
    <w:p>
      <w:pPr>
        <w:pStyle w:val="BodyText"/>
        <w:tabs>
          <w:tab w:pos="2380" w:val="left" w:leader="none"/>
        </w:tabs>
        <w:spacing w:line="232" w:lineRule="auto" w:before="4"/>
        <w:ind w:left="2582" w:right="126" w:hanging="2441"/>
        <w:jc w:val="both"/>
      </w:pPr>
      <w:r>
        <w:rPr/>
        <w:t>释义</w:t>
      </w:r>
      <w:r>
        <w:rPr>
          <w:spacing w:val="-45"/>
        </w:rPr>
        <w:t> </w:t>
      </w:r>
      <w:r>
        <w:rPr>
          <w:rFonts w:ascii="Times New Roman" w:eastAsia="Times New Roman"/>
        </w:rPr>
        <w:t>6</w:t>
      </w:r>
      <w:r>
        <w:rPr/>
        <w:t>、毒品</w:t>
        <w:tab/>
      </w:r>
      <w:r>
        <w:rPr>
          <w:rFonts w:ascii="Times New Roman" w:eastAsia="Times New Roman"/>
          <w:position w:val="2"/>
        </w:rPr>
        <w:t>:   </w:t>
      </w:r>
      <w:r>
        <w:rPr>
          <w:rFonts w:ascii="Times New Roman" w:eastAsia="Times New Roman"/>
          <w:spacing w:val="11"/>
          <w:position w:val="2"/>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25" w:lineRule="auto" w:before="11"/>
        <w:ind w:left="2582" w:right="126" w:hanging="2441"/>
        <w:jc w:val="both"/>
      </w:pPr>
      <w:r>
        <w:rPr/>
        <w:t>释义 </w:t>
      </w:r>
      <w:r>
        <w:rPr>
          <w:rFonts w:ascii="Times New Roman" w:eastAsia="Times New Roman"/>
        </w:rPr>
        <w:t>7</w:t>
      </w:r>
      <w:r>
        <w:rPr/>
        <w:t>、本附加合同生效日 </w:t>
      </w:r>
      <w:r>
        <w:rPr>
          <w:rFonts w:ascii="Times New Roman" w:eastAsia="Times New Roman"/>
          <w:position w:val="2"/>
        </w:rPr>
        <w:t>: </w:t>
      </w:r>
      <w:r>
        <w:rPr/>
        <w:t>是指本公司根据核保规定，同意接受投保人的投保申请的日期。此日期载明于主合同保险单或批注上。</w:t>
      </w:r>
    </w:p>
    <w:p>
      <w:pPr>
        <w:pStyle w:val="BodyText"/>
        <w:spacing w:line="246" w:lineRule="exact"/>
      </w:pPr>
      <w:r>
        <w:rPr/>
        <w:t>释义 </w:t>
      </w:r>
      <w:r>
        <w:rPr>
          <w:rFonts w:ascii="Times New Roman" w:eastAsia="Times New Roman"/>
        </w:rPr>
        <w:t>8</w:t>
      </w:r>
      <w:r>
        <w:rPr/>
        <w:t>、先天性畸形、变形或</w:t>
      </w:r>
      <w:r>
        <w:rPr>
          <w:rFonts w:ascii="Times New Roman" w:eastAsia="Times New Roman"/>
          <w:position w:val="2"/>
        </w:rPr>
        <w:t>:   </w:t>
      </w:r>
      <w:r>
        <w:rPr/>
        <w:t>指被保险人出生时就具有的畸形、变形或染色体异常。先天性畸形、变形和染</w:t>
      </w:r>
    </w:p>
    <w:p>
      <w:pPr>
        <w:spacing w:after="0" w:line="246" w:lineRule="exact"/>
        <w:sectPr>
          <w:pgSz w:w="11960" w:h="16850"/>
          <w:pgMar w:header="897" w:footer="1001" w:top="1080" w:bottom="1200" w:left="1560" w:right="1600"/>
        </w:sectPr>
      </w:pPr>
    </w:p>
    <w:p>
      <w:pPr>
        <w:pStyle w:val="BodyText"/>
        <w:spacing w:line="220" w:lineRule="exact"/>
      </w:pPr>
      <w:r>
        <w:rPr/>
        <w:t>染色体异常</w:t>
      </w:r>
    </w:p>
    <w:p>
      <w:pPr>
        <w:pStyle w:val="BodyText"/>
        <w:spacing w:line="223" w:lineRule="auto" w:before="1"/>
        <w:ind w:right="216"/>
      </w:pPr>
      <w:r>
        <w:rPr/>
        <w:br w:type="column"/>
      </w:r>
      <w:r>
        <w:rPr>
          <w:spacing w:val="-3"/>
        </w:rPr>
        <w:t>色体异常依照世界卫生组织《疾病和有关健康问题的国际统计分类</w:t>
      </w:r>
      <w:r>
        <w:rPr>
          <w:spacing w:val="-116"/>
        </w:rPr>
        <w:t>》</w:t>
      </w:r>
      <w:r>
        <w:rPr/>
        <w:t>（</w:t>
      </w:r>
      <w:r>
        <w:rPr>
          <w:rFonts w:ascii="Times New Roman" w:eastAsia="Times New Roman"/>
        </w:rPr>
        <w:t>ICD-10 </w:t>
      </w:r>
      <w:r>
        <w:rPr>
          <w:spacing w:val="-1"/>
        </w:rPr>
        <w:t>确定。</w:t>
      </w:r>
    </w:p>
    <w:p>
      <w:pPr>
        <w:spacing w:after="0" w:line="223" w:lineRule="auto"/>
        <w:sectPr>
          <w:type w:val="continuous"/>
          <w:pgSz w:w="11960" w:h="16850"/>
          <w:pgMar w:top="280" w:bottom="1200" w:left="1560" w:right="1600"/>
          <w:cols w:num="2" w:equalWidth="0">
            <w:col w:w="1042" w:space="1399"/>
            <w:col w:w="6359"/>
          </w:cols>
        </w:sectPr>
      </w:pPr>
    </w:p>
    <w:p>
      <w:pPr>
        <w:pStyle w:val="BodyText"/>
        <w:tabs>
          <w:tab w:pos="2380" w:val="left" w:leader="none"/>
        </w:tabs>
        <w:spacing w:line="230" w:lineRule="auto" w:before="9"/>
        <w:ind w:right="165"/>
      </w:pPr>
      <w:r>
        <w:rPr/>
        <w:t>释义</w:t>
      </w:r>
      <w:r>
        <w:rPr>
          <w:spacing w:val="-45"/>
        </w:rPr>
        <w:t> </w:t>
      </w:r>
      <w:r>
        <w:rPr>
          <w:rFonts w:ascii="Times New Roman" w:eastAsia="Times New Roman"/>
        </w:rPr>
        <w:t>9</w:t>
      </w:r>
      <w:r>
        <w:rPr/>
        <w:t>、艾滋病</w:t>
        <w:tab/>
      </w:r>
      <w:r>
        <w:rPr>
          <w:rFonts w:ascii="Times New Roman" w:eastAsia="Times New Roman"/>
          <w:position w:val="2"/>
        </w:rPr>
        <w:t>:  </w:t>
      </w:r>
      <w:r>
        <w:rPr>
          <w:rFonts w:ascii="Times New Roman" w:eastAsia="Times New Roman"/>
          <w:spacing w:val="10"/>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rPr>
        <w:t>10</w:t>
      </w:r>
      <w:r>
        <w:rPr/>
        <w:t>、艾滋病病毒</w:t>
        <w:tab/>
      </w:r>
      <w:r>
        <w:rPr>
          <w:rFonts w:ascii="Times New Roman" w:eastAsia="Times New Roman"/>
          <w:position w:val="2"/>
        </w:rPr>
        <w:t>:  </w:t>
      </w:r>
      <w:r>
        <w:rPr>
          <w:rFonts w:ascii="Times New Roman" w:eastAsia="Times New Roman"/>
          <w:spacing w:val="15"/>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pStyle w:val="BodyText"/>
        <w:tabs>
          <w:tab w:pos="2380" w:val="left" w:leader="none"/>
        </w:tabs>
        <w:spacing w:line="223" w:lineRule="auto" w:before="8"/>
        <w:ind w:left="2582" w:right="267" w:hanging="2441"/>
      </w:pPr>
      <w:r>
        <w:rPr/>
        <w:t>释义</w:t>
      </w:r>
      <w:r>
        <w:rPr>
          <w:spacing w:val="-45"/>
        </w:rPr>
        <w:t> </w:t>
      </w:r>
      <w:r>
        <w:rPr>
          <w:rFonts w:ascii="Times New Roman" w:eastAsia="Times New Roman"/>
          <w:spacing w:val="-3"/>
        </w:rPr>
        <w:t>11</w:t>
      </w:r>
      <w:r>
        <w:rPr/>
        <w:t>、未满期保险费</w:t>
        <w:tab/>
      </w:r>
      <w:r>
        <w:rPr>
          <w:rFonts w:ascii="Times New Roman" w:eastAsia="Times New Roman"/>
          <w:position w:val="2"/>
        </w:rPr>
        <w:t>:  </w:t>
      </w:r>
      <w:r>
        <w:rPr>
          <w:rFonts w:ascii="Times New Roman" w:eastAsia="Times New Roman"/>
          <w:spacing w:val="15"/>
          <w:position w:val="2"/>
        </w:rPr>
        <w:t> </w:t>
      </w:r>
      <w:r>
        <w:rPr/>
        <w:t>按当期保险费扣除手续费后乘以当期保险费未经过月数除以当期保险费承保</w:t>
      </w:r>
      <w:r>
        <w:rPr>
          <w:spacing w:val="-1"/>
        </w:rPr>
        <w:t>月数计</w:t>
      </w:r>
      <w:r>
        <w:rPr/>
        <w:t>算所得的保险费。已经过月数不足一月的按一个月计算。</w:t>
      </w:r>
    </w:p>
    <w:p>
      <w:pPr>
        <w:pStyle w:val="BodyText"/>
        <w:spacing w:before="8"/>
        <w:ind w:left="0"/>
        <w:rPr>
          <w:sz w:val="13"/>
        </w:rPr>
      </w:pPr>
    </w:p>
    <w:p>
      <w:pPr>
        <w:spacing w:after="0"/>
        <w:rPr>
          <w:sz w:val="13"/>
        </w:rPr>
        <w:sectPr>
          <w:type w:val="continuous"/>
          <w:pgSz w:w="11960" w:h="16850"/>
          <w:pgMar w:top="280" w:bottom="1200" w:left="1560" w:right="1600"/>
        </w:sectPr>
      </w:pPr>
    </w:p>
    <w:p>
      <w:pPr>
        <w:spacing w:before="150"/>
        <w:ind w:left="2603" w:right="0" w:firstLine="0"/>
        <w:jc w:val="left"/>
        <w:rPr>
          <w:sz w:val="19"/>
        </w:rPr>
      </w:pPr>
      <w:r>
        <w:rPr>
          <w:sz w:val="19"/>
        </w:rPr>
        <w:t>未满期保险费 =</w:t>
      </w:r>
    </w:p>
    <w:p>
      <w:pPr>
        <w:spacing w:line="213" w:lineRule="auto" w:before="66"/>
        <w:ind w:left="1354" w:right="344" w:hanging="1224"/>
        <w:jc w:val="left"/>
        <w:rPr>
          <w:sz w:val="19"/>
        </w:rPr>
      </w:pPr>
      <w:r>
        <w:rPr/>
        <w:br w:type="column"/>
      </w:r>
      <w:r>
        <w:rPr>
          <w:spacing w:val="10"/>
          <w:sz w:val="19"/>
          <w:u w:val="double"/>
        </w:rPr>
        <w:t>当期保险费 </w:t>
      </w:r>
      <w:r>
        <w:rPr>
          <w:sz w:val="19"/>
          <w:u w:val="double"/>
        </w:rPr>
        <w:t>x</w:t>
      </w:r>
      <w:r>
        <w:rPr>
          <w:spacing w:val="62"/>
          <w:sz w:val="19"/>
          <w:u w:val="double"/>
        </w:rPr>
        <w:t> </w:t>
      </w:r>
      <w:r>
        <w:rPr>
          <w:sz w:val="19"/>
          <w:u w:val="double"/>
        </w:rPr>
        <w:t>（1-</w:t>
      </w:r>
      <w:r>
        <w:rPr>
          <w:spacing w:val="-2"/>
          <w:sz w:val="19"/>
          <w:u w:val="double"/>
        </w:rPr>
        <w:t>手续费用率</w:t>
      </w:r>
      <w:r>
        <w:rPr>
          <w:sz w:val="19"/>
          <w:u w:val="double"/>
        </w:rPr>
        <w:t>）x</w:t>
      </w:r>
      <w:r>
        <w:rPr>
          <w:spacing w:val="8"/>
          <w:sz w:val="19"/>
          <w:u w:val="double"/>
        </w:rPr>
        <w:t> 未经过月数</w:t>
      </w:r>
      <w:r>
        <w:rPr>
          <w:spacing w:val="8"/>
          <w:sz w:val="19"/>
        </w:rPr>
        <w:t> </w:t>
      </w:r>
      <w:r>
        <w:rPr>
          <w:spacing w:val="-2"/>
          <w:w w:val="95"/>
          <w:sz w:val="19"/>
        </w:rPr>
        <w:t>当期保险费承保月数</w:t>
      </w:r>
    </w:p>
    <w:p>
      <w:pPr>
        <w:spacing w:after="0" w:line="213" w:lineRule="auto"/>
        <w:jc w:val="left"/>
        <w:rPr>
          <w:sz w:val="19"/>
        </w:rPr>
        <w:sectPr>
          <w:type w:val="continuous"/>
          <w:pgSz w:w="11960" w:h="16850"/>
          <w:pgMar w:top="280" w:bottom="1200" w:left="1560" w:right="1600"/>
          <w:cols w:num="2" w:equalWidth="0">
            <w:col w:w="4031" w:space="40"/>
            <w:col w:w="4729"/>
          </w:cols>
        </w:sectPr>
      </w:pPr>
    </w:p>
    <w:p>
      <w:pPr>
        <w:pStyle w:val="BodyText"/>
        <w:spacing w:line="241" w:lineRule="exact" w:before="2"/>
        <w:ind w:left="2582"/>
      </w:pPr>
      <w:r>
        <w:rPr/>
        <w:t>当期保险费承保月数分别为：年交 </w:t>
      </w:r>
      <w:r>
        <w:rPr>
          <w:rFonts w:ascii="Times New Roman" w:eastAsia="Times New Roman"/>
        </w:rPr>
        <w:t>12 </w:t>
      </w:r>
      <w:r>
        <w:rPr/>
        <w:t>个月，半年交 </w:t>
      </w:r>
      <w:r>
        <w:rPr>
          <w:rFonts w:ascii="Times New Roman" w:eastAsia="Times New Roman"/>
        </w:rPr>
        <w:t>6 </w:t>
      </w:r>
      <w:r>
        <w:rPr/>
        <w:t>个月；季交 </w:t>
      </w:r>
      <w:r>
        <w:rPr>
          <w:rFonts w:ascii="Times New Roman" w:eastAsia="Times New Roman"/>
        </w:rPr>
        <w:t>3 </w:t>
      </w:r>
      <w:r>
        <w:rPr/>
        <w:t>个月；月</w:t>
      </w:r>
    </w:p>
    <w:p>
      <w:pPr>
        <w:pStyle w:val="BodyText"/>
        <w:spacing w:line="233" w:lineRule="exact"/>
        <w:ind w:left="2582"/>
      </w:pPr>
      <w:r>
        <w:rPr/>
        <w:t>交 </w:t>
      </w:r>
      <w:r>
        <w:rPr>
          <w:rFonts w:ascii="Times New Roman" w:eastAsia="Times New Roman"/>
        </w:rPr>
        <w:t>1 </w:t>
      </w:r>
      <w:r>
        <w:rPr/>
        <w:t>个月</w:t>
      </w:r>
    </w:p>
    <w:p>
      <w:pPr>
        <w:pStyle w:val="BodyText"/>
        <w:tabs>
          <w:tab w:pos="2380" w:val="left" w:leader="none"/>
        </w:tabs>
        <w:spacing w:line="236" w:lineRule="exact"/>
      </w:pPr>
      <w:r>
        <w:rPr/>
        <w:t>释义</w:t>
      </w:r>
      <w:r>
        <w:rPr>
          <w:spacing w:val="-45"/>
        </w:rPr>
        <w:t> </w:t>
      </w:r>
      <w:r>
        <w:rPr>
          <w:rFonts w:ascii="Times New Roman" w:eastAsia="Times New Roman"/>
        </w:rPr>
        <w:t>12</w:t>
      </w:r>
      <w:r>
        <w:rPr/>
        <w:t>、满期日</w:t>
        <w:tab/>
      </w:r>
      <w:r>
        <w:rPr>
          <w:rFonts w:ascii="Times New Roman" w:eastAsia="Times New Roman"/>
          <w:position w:val="2"/>
        </w:rPr>
        <w:t>:  </w:t>
      </w:r>
      <w:r>
        <w:rPr>
          <w:rFonts w:ascii="Times New Roman" w:eastAsia="Times New Roman"/>
          <w:spacing w:val="15"/>
          <w:position w:val="2"/>
        </w:rPr>
        <w:t> </w:t>
      </w:r>
      <w:r>
        <w:rPr/>
        <w:t>指本附加合同订立时约定的保险期间届满之日。</w:t>
      </w:r>
    </w:p>
    <w:p>
      <w:pPr>
        <w:pStyle w:val="BodyText"/>
        <w:tabs>
          <w:tab w:pos="2380" w:val="left" w:leader="none"/>
        </w:tabs>
        <w:spacing w:line="245" w:lineRule="exact"/>
      </w:pPr>
      <w:r>
        <w:rPr/>
        <w:t>释义</w:t>
      </w:r>
      <w:r>
        <w:rPr>
          <w:spacing w:val="-45"/>
        </w:rPr>
        <w:t> </w:t>
      </w:r>
      <w:r>
        <w:rPr>
          <w:rFonts w:ascii="Times New Roman" w:eastAsia="Times New Roman"/>
        </w:rPr>
        <w:t>13</w:t>
      </w:r>
      <w:r>
        <w:rPr/>
        <w:t>、周岁</w:t>
        <w:tab/>
      </w:r>
      <w:r>
        <w:rPr>
          <w:rFonts w:ascii="Times New Roman" w:eastAsia="Times New Roman"/>
          <w:position w:val="2"/>
        </w:rPr>
        <w:t>:  </w:t>
      </w:r>
      <w:r>
        <w:rPr>
          <w:rFonts w:ascii="Times New Roman" w:eastAsia="Times New Roman"/>
          <w:spacing w:val="15"/>
          <w:position w:val="2"/>
        </w:rPr>
        <w:t> </w:t>
      </w:r>
      <w:r>
        <w:rPr/>
        <w:t>以法定身份证明文件中记载的出生日期为计算基础计算的年龄。</w:t>
      </w:r>
    </w:p>
    <w:p>
      <w:pPr>
        <w:pStyle w:val="BodyText"/>
        <w:spacing w:before="4"/>
        <w:ind w:left="0"/>
        <w:rPr>
          <w:sz w:val="23"/>
        </w:rPr>
      </w:pPr>
    </w:p>
    <w:p>
      <w:pPr>
        <w:pStyle w:val="BodyText"/>
        <w:spacing w:line="237" w:lineRule="auto" w:before="1"/>
        <w:ind w:right="343"/>
      </w:pPr>
      <w:r>
        <w:rPr/>
        <w:t>本附加合同所指的重大疾病是指下列任何一种疾病，被保险人发生符合以下疾病定义所述条件的疾病，应当由专科医生明确诊断。</w:t>
      </w:r>
    </w:p>
    <w:p>
      <w:pPr>
        <w:pStyle w:val="BodyText"/>
        <w:tabs>
          <w:tab w:pos="2375" w:val="left" w:leader="none"/>
          <w:tab w:pos="2658" w:val="left" w:leader="none"/>
        </w:tabs>
        <w:spacing w:line="241" w:lineRule="exact" w:before="12"/>
      </w:pPr>
      <w:r>
        <w:rPr>
          <w:rFonts w:ascii="Times New Roman" w:eastAsia="Times New Roman"/>
        </w:rPr>
        <w:t>1</w:t>
      </w:r>
      <w:r>
        <w:rPr/>
        <w:t>）</w:t>
      </w:r>
      <w:r>
        <w:rPr>
          <w:spacing w:val="0"/>
        </w:rPr>
        <w:t> </w:t>
      </w:r>
      <w:r>
        <w:rPr/>
        <w:t>恶性肿瘤</w:t>
        <w:tab/>
      </w:r>
      <w:r>
        <w:rPr>
          <w:rFonts w:ascii="Times New Roman" w:eastAsia="Times New Roman"/>
          <w:position w:val="2"/>
        </w:rPr>
        <w:t>:</w:t>
        <w:tab/>
      </w:r>
      <w:r>
        <w:rPr>
          <w:spacing w:val="-1"/>
        </w:rPr>
        <w:t>指恶</w:t>
      </w:r>
      <w:r>
        <w:rPr/>
        <w:t>性细胞不受控制的进行性增长和扩散</w:t>
      </w:r>
      <w:r>
        <w:rPr>
          <w:spacing w:val="-10"/>
        </w:rPr>
        <w:t>，</w:t>
      </w:r>
      <w:r>
        <w:rPr/>
        <w:t>浸润和破坏周围正常组织</w:t>
      </w:r>
      <w:r>
        <w:rPr>
          <w:spacing w:val="-10"/>
        </w:rPr>
        <w:t>，</w:t>
      </w:r>
      <w:r>
        <w:rPr/>
        <w:t>可</w:t>
      </w:r>
    </w:p>
    <w:p>
      <w:pPr>
        <w:pStyle w:val="BodyText"/>
        <w:spacing w:line="237" w:lineRule="auto"/>
        <w:ind w:left="2658" w:right="390"/>
        <w:jc w:val="both"/>
      </w:pPr>
      <w:r>
        <w:rPr>
          <w:spacing w:val="-3"/>
        </w:rPr>
        <w:t>以经血管、淋巴管和体腔扩散转移到身体其它部位的疾病。经病理学检查</w:t>
      </w:r>
      <w:r>
        <w:rPr>
          <w:spacing w:val="-5"/>
        </w:rPr>
        <w:t>结果明确诊断，临床诊断属于世界卫生组织《疾病和有关健康问题的国际</w:t>
      </w:r>
      <w:r>
        <w:rPr>
          <w:spacing w:val="-1"/>
        </w:rPr>
        <w:t>统计分类》</w:t>
      </w:r>
      <w:r>
        <w:rPr/>
        <w:t>（ICD-10）</w:t>
      </w:r>
      <w:r>
        <w:rPr>
          <w:spacing w:val="-1"/>
        </w:rPr>
        <w:t>的恶性肿瘤范畴。</w:t>
      </w:r>
    </w:p>
    <w:p>
      <w:pPr>
        <w:pStyle w:val="BodyText"/>
        <w:spacing w:line="231" w:lineRule="exact" w:before="5"/>
        <w:ind w:left="2658"/>
      </w:pPr>
      <w:r>
        <w:rPr/>
        <w:t>下列疾病不在保障范围内：</w:t>
      </w:r>
    </w:p>
    <w:p>
      <w:pPr>
        <w:pStyle w:val="BodyText"/>
        <w:spacing w:line="234" w:lineRule="exact"/>
        <w:ind w:left="2658"/>
      </w:pPr>
      <w:r>
        <w:rPr/>
        <w:t>（1）原位癌；</w:t>
      </w:r>
    </w:p>
    <w:p>
      <w:pPr>
        <w:pStyle w:val="BodyText"/>
        <w:spacing w:line="234" w:lineRule="exact"/>
        <w:ind w:left="2658"/>
      </w:pPr>
      <w:r>
        <w:rPr/>
        <w:t>（2）相当于 Binet 分期方案 A 期程度的慢性淋巴细胞白血病；</w:t>
      </w:r>
    </w:p>
    <w:p>
      <w:pPr>
        <w:pStyle w:val="BodyText"/>
        <w:spacing w:line="233" w:lineRule="exact"/>
        <w:ind w:left="2658"/>
      </w:pPr>
      <w:r>
        <w:rPr/>
        <w:t>（3）相当于 Ann Arbor 分期方案 I 期程度的何杰金氏病；</w:t>
      </w:r>
    </w:p>
    <w:p>
      <w:pPr>
        <w:pStyle w:val="BodyText"/>
        <w:spacing w:line="233" w:lineRule="exact"/>
        <w:ind w:left="2658"/>
      </w:pPr>
      <w:r>
        <w:rPr/>
        <w:t>（4）皮肤癌（不包括恶性黑色素瘤及已发生转移的皮肤癌）；</w:t>
      </w:r>
    </w:p>
    <w:p>
      <w:pPr>
        <w:pStyle w:val="BodyText"/>
        <w:spacing w:line="234" w:lineRule="exact"/>
        <w:ind w:left="2658"/>
      </w:pPr>
      <w:r>
        <w:rPr/>
        <w:t>（5）TNM 分期为 T1N0M0 期或更轻分期的前列腺癌（注）；</w:t>
      </w:r>
    </w:p>
    <w:p>
      <w:pPr>
        <w:pStyle w:val="BodyText"/>
        <w:spacing w:line="234" w:lineRule="exact"/>
        <w:ind w:left="2658"/>
      </w:pPr>
      <w:r>
        <w:rPr/>
        <w:t>（6）感染艾滋病病毒或患艾滋病期间所患恶性肿瘤。</w:t>
      </w:r>
    </w:p>
    <w:p>
      <w:pPr>
        <w:pStyle w:val="BodyText"/>
        <w:tabs>
          <w:tab w:pos="2375" w:val="left" w:leader="none"/>
          <w:tab w:pos="2658" w:val="left" w:leader="none"/>
        </w:tabs>
        <w:spacing w:line="240" w:lineRule="exact"/>
      </w:pPr>
      <w:r>
        <w:rPr>
          <w:rFonts w:ascii="Times New Roman" w:eastAsia="Times New Roman"/>
        </w:rPr>
        <w:t>2</w:t>
      </w:r>
      <w:r>
        <w:rPr/>
        <w:t>）急性心肌梗塞</w:t>
        <w:tab/>
      </w:r>
      <w:r>
        <w:rPr>
          <w:rFonts w:ascii="Times New Roman" w:eastAsia="Times New Roman"/>
          <w:position w:val="2"/>
        </w:rPr>
        <w:t>:</w:t>
        <w:tab/>
      </w:r>
      <w:r>
        <w:rPr>
          <w:spacing w:val="-1"/>
        </w:rPr>
        <w:t>指</w:t>
      </w:r>
      <w:r>
        <w:rPr/>
        <w:t>因冠状动脉阻塞导致的相应区域供血不足造成部分心肌坏死</w:t>
      </w:r>
      <w:r>
        <w:rPr>
          <w:spacing w:val="-20"/>
        </w:rPr>
        <w:t>。</w:t>
      </w:r>
      <w:r>
        <w:rPr/>
        <w:t>须满足下</w:t>
      </w:r>
    </w:p>
    <w:p>
      <w:pPr>
        <w:pStyle w:val="BodyText"/>
        <w:spacing w:line="227" w:lineRule="exact"/>
        <w:ind w:left="2658"/>
      </w:pPr>
      <w:r>
        <w:rPr/>
        <w:t>列至少三项条件：</w:t>
      </w:r>
    </w:p>
    <w:p>
      <w:pPr>
        <w:pStyle w:val="BodyText"/>
        <w:spacing w:line="234" w:lineRule="exact"/>
        <w:ind w:left="2658"/>
      </w:pPr>
      <w:r>
        <w:rPr/>
        <w:t>（1）典型临床表现，例如急性胸痛等；</w:t>
      </w:r>
    </w:p>
    <w:p>
      <w:pPr>
        <w:pStyle w:val="BodyText"/>
        <w:spacing w:line="233" w:lineRule="exact"/>
        <w:ind w:left="2658"/>
      </w:pPr>
      <w:r>
        <w:rPr/>
        <w:t>（2）新近的心电图改变提示急性心肌梗塞；</w:t>
      </w:r>
    </w:p>
    <w:p>
      <w:pPr>
        <w:pStyle w:val="BodyText"/>
        <w:spacing w:line="237" w:lineRule="auto"/>
        <w:ind w:left="2658" w:right="460"/>
      </w:pPr>
      <w:r>
        <w:rPr/>
        <w:t>（3）心肌酶或肌钙蛋白有诊断意义的升高，或呈符合急性心肌梗塞的动态性变化；</w:t>
      </w:r>
    </w:p>
    <w:p>
      <w:pPr>
        <w:pStyle w:val="BodyText"/>
        <w:spacing w:line="234" w:lineRule="exact"/>
        <w:ind w:left="2658"/>
      </w:pPr>
      <w:r>
        <w:rPr/>
        <w:t>（4）发病 90 天后，经检查证实左心室功能降低，如左心室射血分数低于</w:t>
      </w:r>
    </w:p>
    <w:p>
      <w:pPr>
        <w:pStyle w:val="BodyText"/>
        <w:spacing w:line="233" w:lineRule="exact"/>
        <w:ind w:left="2658"/>
      </w:pPr>
      <w:r>
        <w:rPr/>
        <w:t>50%。</w:t>
      </w:r>
    </w:p>
    <w:p>
      <w:pPr>
        <w:pStyle w:val="BodyText"/>
        <w:tabs>
          <w:tab w:pos="2375" w:val="left" w:leader="none"/>
          <w:tab w:pos="2658" w:val="left" w:leader="none"/>
        </w:tabs>
        <w:spacing w:line="241" w:lineRule="exact"/>
      </w:pPr>
      <w:r>
        <w:rPr>
          <w:rFonts w:ascii="Times New Roman" w:eastAsia="Times New Roman"/>
        </w:rPr>
        <w:t>3</w:t>
      </w:r>
      <w:r>
        <w:rPr/>
        <w:t>）</w:t>
      </w:r>
      <w:r>
        <w:rPr>
          <w:spacing w:val="0"/>
        </w:rPr>
        <w:t> </w:t>
      </w:r>
      <w:r>
        <w:rPr/>
        <w:t>脑中风后遗症</w:t>
        <w:tab/>
      </w:r>
      <w:r>
        <w:rPr>
          <w:rFonts w:ascii="Times New Roman" w:eastAsia="Times New Roman"/>
          <w:position w:val="2"/>
        </w:rPr>
        <w:t>:</w:t>
        <w:tab/>
      </w:r>
      <w:r>
        <w:rPr>
          <w:spacing w:val="-1"/>
        </w:rPr>
        <w:t>指因</w:t>
      </w:r>
      <w:r>
        <w:rPr/>
        <w:t>脑血管的突发病变引起脑血管出血</w:t>
      </w:r>
      <w:r>
        <w:rPr>
          <w:spacing w:val="-10"/>
        </w:rPr>
        <w:t>、</w:t>
      </w:r>
      <w:r>
        <w:rPr/>
        <w:t>栓塞或梗塞</w:t>
      </w:r>
      <w:r>
        <w:rPr>
          <w:spacing w:val="-10"/>
        </w:rPr>
        <w:t>，</w:t>
      </w:r>
      <w:r>
        <w:rPr/>
        <w:t>并导致神经系统永</w:t>
      </w:r>
    </w:p>
    <w:p>
      <w:pPr>
        <w:pStyle w:val="BodyText"/>
        <w:spacing w:line="237" w:lineRule="auto"/>
        <w:ind w:left="2658" w:right="390"/>
      </w:pPr>
      <w:r>
        <w:rPr>
          <w:spacing w:val="-4"/>
        </w:rPr>
        <w:t>久性的功能障碍。神经系统永久性的功能障碍，指疾病确诊 </w:t>
      </w:r>
      <w:r>
        <w:rPr/>
        <w:t>180</w:t>
      </w:r>
      <w:r>
        <w:rPr>
          <w:spacing w:val="-12"/>
        </w:rPr>
        <w:t> 天后，仍</w:t>
      </w:r>
      <w:r>
        <w:rPr>
          <w:spacing w:val="-1"/>
        </w:rPr>
        <w:t>遗留下列一种或一种以上障碍：</w:t>
      </w:r>
    </w:p>
    <w:p>
      <w:pPr>
        <w:pStyle w:val="BodyText"/>
        <w:spacing w:line="231" w:lineRule="exact" w:before="4"/>
        <w:ind w:left="2658"/>
      </w:pPr>
      <w:r>
        <w:rPr/>
        <w:t>（1）一肢或一肢以上肢体机能完全丧失；</w:t>
      </w:r>
    </w:p>
    <w:p>
      <w:pPr>
        <w:pStyle w:val="BodyText"/>
        <w:spacing w:line="234" w:lineRule="exact"/>
        <w:ind w:left="2658"/>
      </w:pPr>
      <w:r>
        <w:rPr/>
        <w:t>（2）语言能力或咀嚼吞咽能力完全丧失；</w:t>
      </w:r>
    </w:p>
    <w:p>
      <w:pPr>
        <w:pStyle w:val="BodyText"/>
        <w:spacing w:line="237" w:lineRule="auto" w:before="2"/>
        <w:ind w:left="2658" w:right="391"/>
      </w:pPr>
      <w:r>
        <w:rPr/>
        <w:t>（3）自主生活能力完全丧失，无法独立完成六项基本日常生活活动中的三项或三项以上。</w:t>
      </w:r>
    </w:p>
    <w:p>
      <w:pPr>
        <w:spacing w:after="0" w:line="237" w:lineRule="auto"/>
        <w:sectPr>
          <w:type w:val="continuous"/>
          <w:pgSz w:w="11960" w:h="16850"/>
          <w:pgMar w:top="280" w:bottom="1200" w:left="1560" w:right="1600"/>
        </w:sectPr>
      </w:pPr>
    </w:p>
    <w:p>
      <w:pPr>
        <w:pStyle w:val="BodyText"/>
        <w:ind w:left="0"/>
        <w:rPr>
          <w:sz w:val="20"/>
        </w:rPr>
      </w:pPr>
    </w:p>
    <w:p>
      <w:pPr>
        <w:pStyle w:val="BodyText"/>
        <w:spacing w:before="6"/>
        <w:ind w:left="0"/>
        <w:rPr>
          <w:sz w:val="19"/>
        </w:rPr>
      </w:pPr>
    </w:p>
    <w:p>
      <w:pPr>
        <w:spacing w:after="0"/>
        <w:rPr>
          <w:sz w:val="19"/>
        </w:rPr>
        <w:sectPr>
          <w:pgSz w:w="11960" w:h="16850"/>
          <w:pgMar w:header="897" w:footer="1001" w:top="1080" w:bottom="1200" w:left="1560" w:right="1600"/>
        </w:sectPr>
      </w:pPr>
    </w:p>
    <w:p>
      <w:pPr>
        <w:pStyle w:val="BodyText"/>
        <w:spacing w:line="223" w:lineRule="auto" w:before="85"/>
      </w:pPr>
      <w:r>
        <w:rPr>
          <w:rFonts w:ascii="Times New Roman" w:eastAsia="Times New Roman"/>
          <w:spacing w:val="-26"/>
        </w:rPr>
        <w:t>4</w:t>
      </w:r>
      <w:r>
        <w:rPr>
          <w:spacing w:val="-26"/>
        </w:rPr>
        <w:t>）</w:t>
      </w:r>
      <w:r>
        <w:rPr/>
        <w:t>重大器官移植术或造血干细胞移植术</w:t>
      </w:r>
    </w:p>
    <w:p>
      <w:pPr>
        <w:pStyle w:val="BodyText"/>
        <w:ind w:left="0"/>
      </w:pPr>
    </w:p>
    <w:p>
      <w:pPr>
        <w:pStyle w:val="BodyText"/>
        <w:ind w:left="0"/>
      </w:pPr>
    </w:p>
    <w:p>
      <w:pPr>
        <w:pStyle w:val="BodyText"/>
        <w:ind w:left="0"/>
        <w:rPr>
          <w:sz w:val="25"/>
        </w:rPr>
      </w:pPr>
    </w:p>
    <w:p>
      <w:pPr>
        <w:pStyle w:val="ListParagraph"/>
        <w:numPr>
          <w:ilvl w:val="0"/>
          <w:numId w:val="1"/>
        </w:numPr>
        <w:tabs>
          <w:tab w:pos="384" w:val="left" w:leader="none"/>
        </w:tabs>
        <w:spacing w:line="223" w:lineRule="auto" w:before="1" w:after="0"/>
        <w:ind w:left="141" w:right="0" w:firstLine="0"/>
        <w:jc w:val="left"/>
        <w:rPr>
          <w:sz w:val="18"/>
        </w:rPr>
      </w:pPr>
      <w:r>
        <w:rPr>
          <w:spacing w:val="-4"/>
          <w:sz w:val="18"/>
        </w:rPr>
        <w:t>冠状动脉搭桥术</w:t>
      </w:r>
      <w:r>
        <w:rPr>
          <w:sz w:val="18"/>
        </w:rPr>
        <w:t>（或称</w:t>
      </w:r>
      <w:r>
        <w:rPr>
          <w:spacing w:val="-1"/>
          <w:sz w:val="18"/>
        </w:rPr>
        <w:t>冠状动脉旁路移植术</w:t>
      </w:r>
      <w:r>
        <w:rPr>
          <w:sz w:val="18"/>
        </w:rPr>
        <w:t>）</w:t>
      </w:r>
    </w:p>
    <w:p>
      <w:pPr>
        <w:pStyle w:val="BodyText"/>
        <w:ind w:left="0"/>
      </w:pPr>
    </w:p>
    <w:p>
      <w:pPr>
        <w:pStyle w:val="BodyText"/>
        <w:spacing w:before="3"/>
        <w:ind w:left="0"/>
        <w:rPr>
          <w:sz w:val="23"/>
        </w:rPr>
      </w:pPr>
    </w:p>
    <w:p>
      <w:pPr>
        <w:pStyle w:val="ListParagraph"/>
        <w:numPr>
          <w:ilvl w:val="0"/>
          <w:numId w:val="1"/>
        </w:numPr>
        <w:tabs>
          <w:tab w:pos="384" w:val="left" w:leader="none"/>
        </w:tabs>
        <w:spacing w:line="223" w:lineRule="auto" w:before="0" w:after="0"/>
        <w:ind w:left="141" w:right="0" w:firstLine="0"/>
        <w:jc w:val="left"/>
        <w:rPr>
          <w:sz w:val="18"/>
        </w:rPr>
      </w:pPr>
      <w:r>
        <w:rPr>
          <w:spacing w:val="-5"/>
          <w:sz w:val="18"/>
        </w:rPr>
        <w:t>终末期肾病</w:t>
      </w:r>
      <w:r>
        <w:rPr>
          <w:sz w:val="18"/>
        </w:rPr>
        <w:t>（或称慢性</w:t>
      </w:r>
      <w:r>
        <w:rPr>
          <w:spacing w:val="-1"/>
          <w:sz w:val="18"/>
        </w:rPr>
        <w:t>肾功能衰竭尿毒症期</w:t>
      </w:r>
      <w:r>
        <w:rPr>
          <w:sz w:val="18"/>
        </w:rPr>
        <w:t>）</w:t>
      </w:r>
    </w:p>
    <w:p>
      <w:pPr>
        <w:pStyle w:val="BodyText"/>
        <w:tabs>
          <w:tab w:pos="424" w:val="left" w:leader="none"/>
        </w:tabs>
        <w:spacing w:line="237" w:lineRule="auto" w:before="70"/>
        <w:ind w:left="424" w:right="390" w:hanging="284"/>
      </w:pPr>
      <w:r>
        <w:rPr/>
        <w:br w:type="column"/>
      </w:r>
      <w:r>
        <w:rPr>
          <w:rFonts w:ascii="Times New Roman" w:eastAsia="Times New Roman"/>
          <w:position w:val="2"/>
        </w:rPr>
        <w:t>:</w:t>
        <w:tab/>
      </w:r>
      <w:r>
        <w:rPr>
          <w:spacing w:val="-5"/>
        </w:rPr>
        <w:t>重大器官移植术，指因相应器官功能衰竭，已经实施了肾脏、肝脏、心脏</w:t>
      </w:r>
      <w:r>
        <w:rPr>
          <w:spacing w:val="-1"/>
        </w:rPr>
        <w:t>或肺脏的异体移植手术。</w:t>
      </w:r>
    </w:p>
    <w:p>
      <w:pPr>
        <w:pStyle w:val="BodyText"/>
        <w:spacing w:line="237" w:lineRule="auto"/>
        <w:ind w:left="424" w:right="301"/>
      </w:pPr>
      <w:r>
        <w:rPr>
          <w:spacing w:val="-3"/>
        </w:rPr>
        <w:t>造血干细胞移植术，指因造血功能损害或造血系统恶性肿瘤，已经实施了</w:t>
      </w:r>
      <w:r>
        <w:rPr>
          <w:spacing w:val="-14"/>
        </w:rPr>
        <w:t>造血干细胞</w:t>
      </w:r>
      <w:r>
        <w:rPr/>
        <w:t>（</w:t>
      </w:r>
      <w:r>
        <w:rPr>
          <w:spacing w:val="-6"/>
        </w:rPr>
        <w:t>包括骨髓造血干细胞、外周血造血干细胞和脐血造血干细胞</w:t>
      </w:r>
      <w:r>
        <w:rPr/>
        <w:t>） </w:t>
      </w:r>
      <w:r>
        <w:rPr>
          <w:spacing w:val="-1"/>
        </w:rPr>
        <w:t>的异体移植手术。</w:t>
      </w:r>
    </w:p>
    <w:p>
      <w:pPr>
        <w:pStyle w:val="BodyText"/>
        <w:tabs>
          <w:tab w:pos="424" w:val="left" w:leader="none"/>
        </w:tabs>
        <w:spacing w:line="237" w:lineRule="auto" w:before="84"/>
        <w:ind w:left="424" w:right="390" w:hanging="284"/>
      </w:pPr>
      <w:r>
        <w:rPr>
          <w:rFonts w:ascii="Times New Roman" w:eastAsia="Times New Roman"/>
          <w:position w:val="2"/>
        </w:rPr>
        <w:t>:</w:t>
        <w:tab/>
      </w:r>
      <w:r>
        <w:rPr>
          <w:spacing w:val="-3"/>
        </w:rPr>
        <w:t>指为治疗严重的冠心病，实际实施了开胸进行的冠状动脉血管旁路移植的</w:t>
      </w:r>
      <w:r>
        <w:rPr>
          <w:spacing w:val="-1"/>
        </w:rPr>
        <w:t>手术。</w:t>
      </w:r>
    </w:p>
    <w:p>
      <w:pPr>
        <w:pStyle w:val="BodyText"/>
        <w:spacing w:line="237" w:lineRule="auto"/>
        <w:ind w:left="424" w:right="345"/>
      </w:pPr>
      <w:r>
        <w:rPr/>
        <w:t>冠状动脉支架植入术、心导管球囊扩张术、激光射频技术及其它非开胸的介入手术、腔镜手术不在保障范围内。</w:t>
      </w:r>
    </w:p>
    <w:p>
      <w:pPr>
        <w:pStyle w:val="BodyText"/>
        <w:tabs>
          <w:tab w:pos="424" w:val="left" w:leader="none"/>
        </w:tabs>
        <w:spacing w:line="234" w:lineRule="exact" w:before="58"/>
      </w:pPr>
      <w:r>
        <w:rPr>
          <w:rFonts w:ascii="Times New Roman" w:eastAsia="Times New Roman"/>
          <w:position w:val="2"/>
        </w:rPr>
        <w:t>:</w:t>
        <w:tab/>
      </w:r>
      <w:r>
        <w:rPr>
          <w:spacing w:val="-3"/>
        </w:rPr>
        <w:t>指双肾功能慢性不可逆性衰竭，达到尿毒症期，经诊断后已经进行了至少</w:t>
      </w:r>
    </w:p>
    <w:p>
      <w:pPr>
        <w:pStyle w:val="BodyText"/>
        <w:spacing w:line="234" w:lineRule="exact"/>
        <w:ind w:left="424"/>
      </w:pPr>
      <w:r>
        <w:rPr/>
        <w:t>90 天的规律性透析治疗或实施了肾脏移植手术。</w:t>
      </w:r>
    </w:p>
    <w:p>
      <w:pPr>
        <w:spacing w:after="0" w:line="234" w:lineRule="exact"/>
        <w:sectPr>
          <w:type w:val="continuous"/>
          <w:pgSz w:w="11960" w:h="16850"/>
          <w:pgMar w:top="280" w:bottom="1200" w:left="1560" w:right="1600"/>
          <w:cols w:num="2" w:equalWidth="0">
            <w:col w:w="2163" w:space="71"/>
            <w:col w:w="6566"/>
          </w:cols>
        </w:sectPr>
      </w:pPr>
    </w:p>
    <w:p>
      <w:pPr>
        <w:pStyle w:val="BodyText"/>
        <w:tabs>
          <w:tab w:pos="2375" w:val="left" w:leader="none"/>
          <w:tab w:pos="2658" w:val="left" w:leader="none"/>
        </w:tabs>
        <w:spacing w:line="242" w:lineRule="exact" w:before="95"/>
      </w:pPr>
      <w:r>
        <w:rPr>
          <w:rFonts w:ascii="Times New Roman" w:eastAsia="Times New Roman"/>
          <w:spacing w:val="-26"/>
        </w:rPr>
        <w:t>7</w:t>
      </w:r>
      <w:r>
        <w:rPr>
          <w:spacing w:val="-26"/>
        </w:rPr>
        <w:t>）</w:t>
      </w:r>
      <w:r>
        <w:rPr/>
        <w:t>急性或亚急性重症肝炎</w:t>
        <w:tab/>
      </w:r>
      <w:r>
        <w:rPr>
          <w:rFonts w:ascii="Times New Roman" w:eastAsia="Times New Roman"/>
          <w:position w:val="2"/>
        </w:rPr>
        <w:t>:</w:t>
        <w:tab/>
      </w:r>
      <w:r>
        <w:rPr>
          <w:spacing w:val="-1"/>
        </w:rPr>
        <w:t>指因肝</w:t>
      </w:r>
      <w:r>
        <w:rPr/>
        <w:t>炎病毒感染引起肝脏组织弥漫性坏死</w:t>
      </w:r>
      <w:r>
        <w:rPr>
          <w:spacing w:val="-10"/>
        </w:rPr>
        <w:t>，</w:t>
      </w:r>
      <w:r>
        <w:rPr/>
        <w:t>导致急性肝功能衰竭</w:t>
      </w:r>
      <w:r>
        <w:rPr>
          <w:spacing w:val="-10"/>
        </w:rPr>
        <w:t>，</w:t>
      </w:r>
      <w:r>
        <w:rPr/>
        <w:t>且经</w:t>
      </w:r>
    </w:p>
    <w:p>
      <w:pPr>
        <w:pStyle w:val="BodyText"/>
        <w:spacing w:line="227" w:lineRule="exact"/>
        <w:ind w:left="2658"/>
      </w:pPr>
      <w:r>
        <w:rPr/>
        <w:t>血清学或病毒学检查证实，并须满足下列全部条件：</w:t>
      </w:r>
    </w:p>
    <w:p>
      <w:pPr>
        <w:pStyle w:val="BodyText"/>
        <w:spacing w:line="233" w:lineRule="exact"/>
        <w:ind w:left="2658"/>
      </w:pPr>
      <w:r>
        <w:rPr/>
        <w:t>（1）重度黄疸或黄疸迅速加重；</w:t>
      </w:r>
    </w:p>
    <w:p>
      <w:pPr>
        <w:pStyle w:val="BodyText"/>
        <w:spacing w:line="233" w:lineRule="exact"/>
        <w:ind w:left="2658"/>
      </w:pPr>
      <w:r>
        <w:rPr/>
        <w:t>（2）肝性脑病；</w:t>
      </w:r>
    </w:p>
    <w:p>
      <w:pPr>
        <w:pStyle w:val="BodyText"/>
        <w:spacing w:line="234" w:lineRule="exact"/>
        <w:ind w:left="2658"/>
      </w:pPr>
      <w:r>
        <w:rPr/>
        <w:t>（3）B 超或其它影像学检查显示肝脏体积急速萎缩；</w:t>
      </w:r>
    </w:p>
    <w:p>
      <w:pPr>
        <w:pStyle w:val="BodyText"/>
        <w:ind w:left="2658"/>
      </w:pPr>
      <w:r>
        <w:rPr/>
        <w:t>（4）肝功能指标进行性恶化。</w:t>
      </w:r>
    </w:p>
    <w:p>
      <w:pPr>
        <w:spacing w:after="0"/>
        <w:sectPr>
          <w:type w:val="continuous"/>
          <w:pgSz w:w="11960" w:h="16850"/>
          <w:pgMar w:top="280" w:bottom="1200" w:left="1560" w:right="1600"/>
        </w:sectPr>
      </w:pPr>
    </w:p>
    <w:p>
      <w:pPr>
        <w:pStyle w:val="BodyText"/>
        <w:spacing w:line="223" w:lineRule="auto" w:before="24"/>
      </w:pPr>
      <w:r>
        <w:rPr>
          <w:rFonts w:ascii="Times New Roman" w:eastAsia="Times New Roman"/>
          <w:spacing w:val="-26"/>
        </w:rPr>
        <w:t>8</w:t>
      </w:r>
      <w:r>
        <w:rPr>
          <w:spacing w:val="-26"/>
        </w:rPr>
        <w:t>）</w:t>
      </w:r>
      <w:r>
        <w:rPr/>
        <w:t>慢性肝功能衰竭失代偿期</w:t>
      </w:r>
    </w:p>
    <w:p>
      <w:pPr>
        <w:pStyle w:val="BodyText"/>
        <w:tabs>
          <w:tab w:pos="283" w:val="left" w:leader="none"/>
        </w:tabs>
        <w:spacing w:line="234" w:lineRule="exact" w:before="7"/>
        <w:ind w:left="0" w:right="1309"/>
        <w:jc w:val="center"/>
      </w:pPr>
      <w:r>
        <w:rPr/>
        <w:br w:type="column"/>
      </w:r>
      <w:r>
        <w:rPr>
          <w:rFonts w:ascii="Times New Roman" w:eastAsia="Times New Roman"/>
          <w:position w:val="2"/>
        </w:rPr>
        <w:t>:</w:t>
        <w:tab/>
      </w:r>
      <w:r>
        <w:rPr>
          <w:spacing w:val="-1"/>
        </w:rPr>
        <w:t>指因慢性肝脏疾病导致肝功能衰竭。须满足下列全部条件：</w:t>
      </w:r>
    </w:p>
    <w:p>
      <w:pPr>
        <w:pStyle w:val="BodyText"/>
        <w:spacing w:line="233" w:lineRule="exact"/>
        <w:ind w:left="424"/>
      </w:pPr>
      <w:r>
        <w:rPr/>
        <w:t>（1）持续性黄疸；</w:t>
      </w:r>
    </w:p>
    <w:p>
      <w:pPr>
        <w:pStyle w:val="BodyText"/>
        <w:spacing w:line="234" w:lineRule="exact"/>
        <w:ind w:left="424"/>
      </w:pPr>
      <w:r>
        <w:rPr/>
        <w:t>（2）腹水；</w:t>
      </w:r>
    </w:p>
    <w:p>
      <w:pPr>
        <w:pStyle w:val="BodyText"/>
        <w:spacing w:line="234" w:lineRule="exact"/>
        <w:ind w:left="424"/>
      </w:pPr>
      <w:r>
        <w:rPr/>
        <w:t>（3）肝性脑病；</w:t>
      </w:r>
    </w:p>
    <w:p>
      <w:pPr>
        <w:pStyle w:val="BodyText"/>
        <w:spacing w:line="237" w:lineRule="auto" w:before="1"/>
        <w:ind w:left="424" w:right="1720"/>
      </w:pPr>
      <w:r>
        <w:rPr/>
        <w:t>（4）充血性脾肿大伴脾功能亢进或食管胃底静脉曲张。因酗酒或药物滥用导致的肝功能衰竭不在保障范围内。</w:t>
      </w:r>
    </w:p>
    <w:p>
      <w:pPr>
        <w:spacing w:after="0" w:line="237" w:lineRule="auto"/>
        <w:sectPr>
          <w:type w:val="continuous"/>
          <w:pgSz w:w="11960" w:h="16850"/>
          <w:pgMar w:top="280" w:bottom="1200" w:left="1560" w:right="1600"/>
          <w:cols w:num="2" w:equalWidth="0">
            <w:col w:w="2163" w:space="71"/>
            <w:col w:w="6566"/>
          </w:cols>
        </w:sectPr>
      </w:pPr>
    </w:p>
    <w:p>
      <w:pPr>
        <w:pStyle w:val="BodyText"/>
        <w:tabs>
          <w:tab w:pos="2375" w:val="left" w:leader="none"/>
          <w:tab w:pos="2658" w:val="left" w:leader="none"/>
        </w:tabs>
        <w:spacing w:line="241" w:lineRule="exact"/>
      </w:pPr>
      <w:r>
        <w:rPr>
          <w:rFonts w:ascii="Times New Roman" w:eastAsia="Times New Roman"/>
        </w:rPr>
        <w:t>9</w:t>
      </w:r>
      <w:r>
        <w:rPr/>
        <w:t>）双目失明</w:t>
        <w:tab/>
      </w:r>
      <w:r>
        <w:rPr>
          <w:rFonts w:ascii="Times New Roman" w:eastAsia="Times New Roman"/>
          <w:position w:val="2"/>
        </w:rPr>
        <w:t>:</w:t>
        <w:tab/>
      </w:r>
      <w:r>
        <w:rPr>
          <w:spacing w:val="-1"/>
        </w:rPr>
        <w:t>指因</w:t>
      </w:r>
      <w:r>
        <w:rPr/>
        <w:t>疾病或意外伤害导致双眼视力永久不可逆性丧失</w:t>
      </w:r>
      <w:r>
        <w:rPr>
          <w:spacing w:val="-20"/>
        </w:rPr>
        <w:t>，</w:t>
      </w:r>
      <w:r>
        <w:rPr/>
        <w:t>双眼中较好眼须满</w:t>
      </w:r>
    </w:p>
    <w:p>
      <w:pPr>
        <w:pStyle w:val="BodyText"/>
        <w:spacing w:line="226" w:lineRule="exact"/>
        <w:ind w:left="2658"/>
      </w:pPr>
      <w:r>
        <w:rPr/>
        <w:t>足下列至少一项条件：</w:t>
      </w:r>
    </w:p>
    <w:p>
      <w:pPr>
        <w:pStyle w:val="BodyText"/>
        <w:spacing w:line="233" w:lineRule="exact"/>
        <w:ind w:left="2658"/>
      </w:pPr>
      <w:r>
        <w:rPr/>
        <w:t>（1）眼球缺失或摘除；</w:t>
      </w:r>
    </w:p>
    <w:p>
      <w:pPr>
        <w:pStyle w:val="BodyText"/>
        <w:ind w:left="2658" w:right="345"/>
      </w:pPr>
      <w:r>
        <w:rPr/>
        <w:t>（2）矫正视力低于 0.02（采用国际标准视力表，如果使用其它视力表应进行换算）；</w:t>
      </w:r>
    </w:p>
    <w:p>
      <w:pPr>
        <w:pStyle w:val="BodyText"/>
        <w:spacing w:line="233" w:lineRule="exact" w:before="1"/>
        <w:ind w:left="2658"/>
      </w:pPr>
      <w:r>
        <w:rPr/>
        <w:t>（3）视野半径小于 5 度。</w:t>
      </w:r>
    </w:p>
    <w:p>
      <w:pPr>
        <w:pStyle w:val="BodyText"/>
        <w:tabs>
          <w:tab w:pos="2375" w:val="left" w:leader="none"/>
          <w:tab w:pos="2658" w:val="left" w:leader="none"/>
        </w:tabs>
        <w:spacing w:line="241" w:lineRule="exact" w:before="18"/>
      </w:pPr>
      <w:r>
        <w:rPr>
          <w:rFonts w:ascii="Times New Roman" w:eastAsia="Times New Roman"/>
        </w:rPr>
        <w:t>10</w:t>
      </w:r>
      <w:r>
        <w:rPr/>
        <w:t>）瘫痪</w:t>
        <w:tab/>
      </w:r>
      <w:r>
        <w:rPr>
          <w:rFonts w:ascii="Times New Roman" w:eastAsia="Times New Roman"/>
          <w:position w:val="2"/>
        </w:rPr>
        <w:t>:</w:t>
        <w:tab/>
      </w:r>
      <w:r>
        <w:rPr>
          <w:spacing w:val="-1"/>
        </w:rPr>
        <w:t>指</w:t>
      </w:r>
      <w:r>
        <w:rPr/>
        <w:t>因疾病或意外伤害导致两肢或两肢以上肢体机能永久完全丧失</w:t>
      </w:r>
      <w:r>
        <w:rPr>
          <w:spacing w:val="-20"/>
        </w:rPr>
        <w:t>。</w:t>
      </w:r>
      <w:r>
        <w:rPr/>
        <w:t>肢体机</w:t>
      </w:r>
    </w:p>
    <w:p>
      <w:pPr>
        <w:pStyle w:val="BodyText"/>
        <w:spacing w:line="237" w:lineRule="auto"/>
        <w:ind w:left="2658" w:right="390"/>
      </w:pPr>
      <w:r>
        <w:rPr>
          <w:spacing w:val="-6"/>
        </w:rPr>
        <w:t>能永久完全丧失，指疾病确诊 </w:t>
      </w:r>
      <w:r>
        <w:rPr/>
        <w:t>180</w:t>
      </w:r>
      <w:r>
        <w:rPr>
          <w:spacing w:val="-11"/>
        </w:rPr>
        <w:t> 天后或意外伤害发生 </w:t>
      </w:r>
      <w:r>
        <w:rPr/>
        <w:t>180</w:t>
      </w:r>
      <w:r>
        <w:rPr>
          <w:spacing w:val="-9"/>
        </w:rPr>
        <w:t> 天后，每肢三</w:t>
      </w:r>
      <w:r>
        <w:rPr>
          <w:spacing w:val="-1"/>
        </w:rPr>
        <w:t>大关节中的两大关节仍然完全僵硬，或不能随意识活动。</w:t>
      </w:r>
    </w:p>
    <w:p>
      <w:pPr>
        <w:pStyle w:val="BodyText"/>
        <w:tabs>
          <w:tab w:pos="2375" w:val="left" w:leader="none"/>
          <w:tab w:pos="2658" w:val="left" w:leader="none"/>
        </w:tabs>
        <w:spacing w:line="241" w:lineRule="exact" w:before="138"/>
      </w:pPr>
      <w:r>
        <w:rPr>
          <w:rFonts w:ascii="Times New Roman" w:eastAsia="Times New Roman"/>
        </w:rPr>
        <w:t>11</w:t>
      </w:r>
      <w:r>
        <w:rPr/>
        <w:t>）心脏瓣膜手术</w:t>
        <w:tab/>
      </w:r>
      <w:r>
        <w:rPr>
          <w:rFonts w:ascii="Times New Roman" w:eastAsia="Times New Roman"/>
          <w:position w:val="2"/>
        </w:rPr>
        <w:t>:</w:t>
        <w:tab/>
      </w:r>
      <w:r>
        <w:rPr>
          <w:spacing w:val="-1"/>
        </w:rPr>
        <w:t>指</w:t>
      </w:r>
      <w:r>
        <w:rPr/>
        <w:t>为治疗心脏瓣膜疾病</w:t>
      </w:r>
      <w:r>
        <w:rPr>
          <w:spacing w:val="-20"/>
        </w:rPr>
        <w:t>，</w:t>
      </w:r>
      <w:r>
        <w:rPr/>
        <w:t>实际实施了开胸进行的心脏瓣膜置换或修复的手</w:t>
      </w:r>
    </w:p>
    <w:p>
      <w:pPr>
        <w:pStyle w:val="BodyText"/>
        <w:spacing w:line="227" w:lineRule="exact"/>
        <w:ind w:left="2658"/>
      </w:pPr>
      <w:r>
        <w:rPr/>
        <w:t>术。</w:t>
      </w:r>
    </w:p>
    <w:p>
      <w:pPr>
        <w:pStyle w:val="BodyText"/>
        <w:tabs>
          <w:tab w:pos="2375" w:val="left" w:leader="none"/>
          <w:tab w:pos="2658" w:val="left" w:leader="none"/>
        </w:tabs>
        <w:spacing w:line="241" w:lineRule="exact" w:before="78"/>
      </w:pPr>
      <w:r>
        <w:rPr>
          <w:rFonts w:ascii="Times New Roman" w:eastAsia="Times New Roman"/>
        </w:rPr>
        <w:t>12</w:t>
      </w:r>
      <w:r>
        <w:rPr/>
        <w:t>）严重阿尔茨海默病</w:t>
        <w:tab/>
      </w:r>
      <w:r>
        <w:rPr>
          <w:rFonts w:ascii="Times New Roman" w:eastAsia="Times New Roman"/>
          <w:position w:val="2"/>
        </w:rPr>
        <w:t>:</w:t>
        <w:tab/>
      </w:r>
      <w:r>
        <w:rPr>
          <w:spacing w:val="-1"/>
        </w:rPr>
        <w:t>指因</w:t>
      </w:r>
      <w:r>
        <w:rPr/>
        <w:t>大脑进行性</w:t>
      </w:r>
      <w:r>
        <w:rPr>
          <w:spacing w:val="-10"/>
        </w:rPr>
        <w:t>、</w:t>
      </w:r>
      <w:r>
        <w:rPr/>
        <w:t>不可逆性改变导致智能严重衰退或丧失</w:t>
      </w:r>
      <w:r>
        <w:rPr>
          <w:spacing w:val="-10"/>
        </w:rPr>
        <w:t>，</w:t>
      </w:r>
      <w:r>
        <w:rPr/>
        <w:t>临床表现为明</w:t>
      </w:r>
    </w:p>
    <w:p>
      <w:pPr>
        <w:pStyle w:val="BodyText"/>
        <w:spacing w:line="237" w:lineRule="auto"/>
        <w:ind w:left="2658" w:right="390"/>
        <w:jc w:val="both"/>
      </w:pPr>
      <w:r>
        <w:rPr>
          <w:spacing w:val="-3"/>
        </w:rPr>
        <w:t>显的认知能力障碍、行为异常和社交能力减退，其日常生活必须持续受到他人监护。须由头颅断层扫描</w:t>
      </w:r>
      <w:r>
        <w:rPr/>
        <w:t>（CT）、核磁共振检查（MRI）或正电子发</w:t>
      </w:r>
      <w:r>
        <w:rPr>
          <w:spacing w:val="0"/>
        </w:rPr>
        <w:t>射断层扫描</w:t>
      </w:r>
      <w:r>
        <w:rPr/>
        <w:t>（PET）等影像学检查证实，且自主生活能力完全丧失，无法</w:t>
      </w:r>
      <w:r>
        <w:rPr>
          <w:spacing w:val="-1"/>
        </w:rPr>
        <w:t>独立完成六项基本日常生活活动中的三项或三项以上。</w:t>
      </w:r>
    </w:p>
    <w:p>
      <w:pPr>
        <w:pStyle w:val="BodyText"/>
        <w:spacing w:line="233" w:lineRule="exact" w:before="6"/>
        <w:ind w:left="2658"/>
        <w:jc w:val="both"/>
      </w:pPr>
      <w:r>
        <w:rPr/>
        <w:t>神经官能症和精神疾病不在保障范围内。</w:t>
      </w:r>
    </w:p>
    <w:p>
      <w:pPr>
        <w:pStyle w:val="BodyText"/>
        <w:tabs>
          <w:tab w:pos="2375" w:val="left" w:leader="none"/>
          <w:tab w:pos="2658" w:val="left" w:leader="none"/>
        </w:tabs>
        <w:spacing w:line="241" w:lineRule="exact" w:before="145"/>
      </w:pPr>
      <w:r>
        <w:rPr>
          <w:rFonts w:ascii="Times New Roman" w:eastAsia="Times New Roman"/>
        </w:rPr>
        <w:t>13</w:t>
      </w:r>
      <w:r>
        <w:rPr/>
        <w:t>）严重帕金森病</w:t>
        <w:tab/>
      </w:r>
      <w:r>
        <w:rPr>
          <w:rFonts w:ascii="Times New Roman" w:eastAsia="Times New Roman"/>
          <w:position w:val="2"/>
        </w:rPr>
        <w:t>:</w:t>
        <w:tab/>
      </w:r>
      <w:r>
        <w:rPr>
          <w:spacing w:val="-1"/>
        </w:rPr>
        <w:t>是一种中枢</w:t>
      </w:r>
      <w:r>
        <w:rPr/>
        <w:t>神经系统的退行性疾病，临床表现为震颤麻痹、共济失调等。</w:t>
      </w:r>
    </w:p>
    <w:p>
      <w:pPr>
        <w:pStyle w:val="BodyText"/>
        <w:spacing w:line="226" w:lineRule="exact"/>
        <w:ind w:left="2658"/>
        <w:jc w:val="both"/>
      </w:pPr>
      <w:r>
        <w:rPr/>
        <w:t>须满足下列全部条件：</w:t>
      </w:r>
    </w:p>
    <w:p>
      <w:pPr>
        <w:pStyle w:val="BodyText"/>
        <w:spacing w:line="233" w:lineRule="exact"/>
        <w:ind w:left="2658"/>
        <w:jc w:val="both"/>
      </w:pPr>
      <w:r>
        <w:rPr/>
        <w:t>（1）药物治疗无法控制病情；</w:t>
      </w:r>
    </w:p>
    <w:p>
      <w:pPr>
        <w:pStyle w:val="BodyText"/>
        <w:ind w:left="2658" w:right="391"/>
      </w:pPr>
      <w:r>
        <w:rPr/>
        <w:t>（2）自主生活能力完全丧失，无法独立完成六项基本日常生活活动中的三项或三项以上。</w:t>
      </w:r>
    </w:p>
    <w:p>
      <w:pPr>
        <w:pStyle w:val="BodyText"/>
        <w:spacing w:line="233" w:lineRule="exact" w:before="2"/>
        <w:ind w:left="2658"/>
        <w:jc w:val="both"/>
      </w:pPr>
      <w:r>
        <w:rPr/>
        <w:t>继发性帕金森综合征不在保障范围内。</w:t>
      </w:r>
    </w:p>
    <w:p>
      <w:pPr>
        <w:pStyle w:val="BodyText"/>
        <w:tabs>
          <w:tab w:pos="2375" w:val="left" w:leader="none"/>
          <w:tab w:pos="2658" w:val="left" w:leader="none"/>
        </w:tabs>
        <w:spacing w:line="242" w:lineRule="exact" w:before="9"/>
      </w:pPr>
      <w:r>
        <w:rPr>
          <w:rFonts w:ascii="Times New Roman" w:hAnsi="Times New Roman" w:eastAsia="Times New Roman"/>
        </w:rPr>
        <w:t>14</w:t>
      </w:r>
      <w:r>
        <w:rPr/>
        <w:t>）严重Ⅲ度烧伤</w:t>
        <w:tab/>
      </w:r>
      <w:r>
        <w:rPr>
          <w:rFonts w:ascii="Times New Roman" w:hAnsi="Times New Roman" w:eastAsia="Times New Roman"/>
          <w:position w:val="2"/>
        </w:rPr>
        <w:t>:</w:t>
        <w:tab/>
      </w:r>
      <w:r>
        <w:rPr/>
        <w:t>指烧伤程度为Ⅲ度，且Ⅲ度烧伤的面积达到全身体表面积的</w:t>
      </w:r>
      <w:r>
        <w:rPr>
          <w:spacing w:val="-11"/>
        </w:rPr>
        <w:t> </w:t>
      </w:r>
      <w:r>
        <w:rPr/>
        <w:t>20％或</w:t>
      </w:r>
      <w:r>
        <w:rPr>
          <w:spacing w:val="-13"/>
        </w:rPr>
        <w:t> </w:t>
      </w:r>
      <w:r>
        <w:rPr/>
        <w:t>20％</w:t>
      </w:r>
    </w:p>
    <w:p>
      <w:pPr>
        <w:pStyle w:val="BodyText"/>
        <w:spacing w:line="229" w:lineRule="exact"/>
        <w:ind w:left="2658"/>
        <w:jc w:val="both"/>
      </w:pPr>
      <w:r>
        <w:rPr/>
        <w:t>以上。体表面积根据《中国新九分法》计算。</w:t>
      </w:r>
    </w:p>
    <w:p>
      <w:pPr>
        <w:pStyle w:val="BodyText"/>
        <w:tabs>
          <w:tab w:pos="2375" w:val="left" w:leader="none"/>
          <w:tab w:pos="2658" w:val="left" w:leader="none"/>
        </w:tabs>
        <w:spacing w:line="242" w:lineRule="exact" w:before="108"/>
      </w:pPr>
      <w:r>
        <w:rPr>
          <w:rFonts w:ascii="Times New Roman" w:eastAsia="Times New Roman"/>
        </w:rPr>
        <w:t>15</w:t>
      </w:r>
      <w:r>
        <w:rPr/>
        <w:t>）严重运动神经元病</w:t>
        <w:tab/>
      </w:r>
      <w:r>
        <w:rPr>
          <w:rFonts w:ascii="Times New Roman" w:eastAsia="Times New Roman"/>
          <w:position w:val="2"/>
        </w:rPr>
        <w:t>:</w:t>
        <w:tab/>
      </w:r>
      <w:r>
        <w:rPr>
          <w:spacing w:val="-1"/>
        </w:rPr>
        <w:t>是</w:t>
      </w:r>
      <w:r>
        <w:rPr/>
        <w:t>一组中枢神经系统运动神经元的进行性变性疾病</w:t>
      </w:r>
      <w:r>
        <w:rPr>
          <w:spacing w:val="-20"/>
        </w:rPr>
        <w:t>，</w:t>
      </w:r>
      <w:r>
        <w:rPr/>
        <w:t>包括进行性脊肌萎缩</w:t>
      </w:r>
    </w:p>
    <w:p>
      <w:pPr>
        <w:pStyle w:val="BodyText"/>
        <w:spacing w:line="237" w:lineRule="auto"/>
        <w:ind w:left="2658" w:right="390"/>
        <w:jc w:val="both"/>
      </w:pPr>
      <w:r>
        <w:rPr>
          <w:spacing w:val="-5"/>
        </w:rPr>
        <w:t>症、进行性延髓麻痹症、原发性侧索硬化症、肌萎缩性侧索硬化症。须满</w:t>
      </w:r>
      <w:r>
        <w:rPr>
          <w:spacing w:val="-7"/>
        </w:rPr>
        <w:t>足自主生活能力完全丧失，无法独立完成六项基本日常生活活动中的三项</w:t>
      </w:r>
      <w:r>
        <w:rPr>
          <w:spacing w:val="-1"/>
        </w:rPr>
        <w:t>或三项以上的条件。</w:t>
      </w:r>
    </w:p>
    <w:p>
      <w:pPr>
        <w:spacing w:after="0" w:line="237" w:lineRule="auto"/>
        <w:jc w:val="both"/>
        <w:sectPr>
          <w:type w:val="continuous"/>
          <w:pgSz w:w="11960" w:h="16850"/>
          <w:pgMar w:top="280" w:bottom="1200" w:left="1560" w:right="1600"/>
        </w:sectPr>
      </w:pPr>
    </w:p>
    <w:p>
      <w:pPr>
        <w:pStyle w:val="BodyText"/>
        <w:ind w:left="0"/>
        <w:rPr>
          <w:sz w:val="20"/>
        </w:rPr>
      </w:pPr>
    </w:p>
    <w:p>
      <w:pPr>
        <w:pStyle w:val="BodyText"/>
        <w:spacing w:before="6"/>
        <w:ind w:left="0"/>
        <w:rPr>
          <w:sz w:val="19"/>
        </w:rPr>
      </w:pPr>
    </w:p>
    <w:p>
      <w:pPr>
        <w:pStyle w:val="BodyText"/>
        <w:tabs>
          <w:tab w:pos="2375" w:val="left" w:leader="none"/>
          <w:tab w:pos="2658" w:val="left" w:leader="none"/>
        </w:tabs>
        <w:spacing w:line="241" w:lineRule="exact" w:before="67"/>
      </w:pPr>
      <w:r>
        <w:rPr>
          <w:rFonts w:ascii="Times New Roman" w:eastAsia="Times New Roman"/>
        </w:rPr>
        <w:t>16</w:t>
      </w:r>
      <w:r>
        <w:rPr/>
        <w:t>）重型再生障碍性贫血</w:t>
        <w:tab/>
      </w:r>
      <w:r>
        <w:rPr>
          <w:rFonts w:ascii="Times New Roman" w:eastAsia="Times New Roman"/>
          <w:position w:val="2"/>
        </w:rPr>
        <w:t>:</w:t>
        <w:tab/>
      </w:r>
      <w:r>
        <w:rPr>
          <w:spacing w:val="-1"/>
        </w:rPr>
        <w:t>指因</w:t>
      </w:r>
      <w:r>
        <w:rPr/>
        <w:t>骨髓造血功能慢性持续性衰竭导致的贫血</w:t>
      </w:r>
      <w:r>
        <w:rPr>
          <w:spacing w:val="-20"/>
        </w:rPr>
        <w:t>、</w:t>
      </w:r>
      <w:r>
        <w:rPr/>
        <w:t>中性粒细胞减少及血小板</w:t>
      </w:r>
    </w:p>
    <w:p>
      <w:pPr>
        <w:pStyle w:val="BodyText"/>
        <w:spacing w:line="226" w:lineRule="exact"/>
        <w:ind w:left="2658"/>
        <w:jc w:val="both"/>
      </w:pPr>
      <w:r>
        <w:rPr/>
        <w:t>减少。须满足下列全部条件：</w:t>
      </w:r>
    </w:p>
    <w:p>
      <w:pPr>
        <w:pStyle w:val="BodyText"/>
        <w:spacing w:line="234" w:lineRule="exact"/>
        <w:ind w:left="2658"/>
        <w:jc w:val="both"/>
      </w:pPr>
      <w:r>
        <w:rPr/>
        <w:t>（1）骨髓穿刺检查或骨髓活检结果支持诊断；</w:t>
      </w:r>
    </w:p>
    <w:p>
      <w:pPr>
        <w:pStyle w:val="BodyText"/>
        <w:spacing w:line="234" w:lineRule="exact"/>
        <w:ind w:left="2658"/>
        <w:jc w:val="both"/>
      </w:pPr>
      <w:r>
        <w:rPr/>
        <w:t>（2）外周血象须具备以下三项条件：</w:t>
      </w:r>
    </w:p>
    <w:p>
      <w:pPr>
        <w:pStyle w:val="BodyText"/>
        <w:spacing w:line="233" w:lineRule="exact"/>
        <w:ind w:left="2658"/>
        <w:jc w:val="both"/>
      </w:pPr>
      <w:r>
        <w:rPr/>
        <w:t>① 中性粒细胞绝对值≤0.5×10</w:t>
      </w:r>
      <w:r>
        <w:rPr>
          <w:position w:val="9"/>
          <w:sz w:val="9"/>
        </w:rPr>
        <w:t>9</w:t>
      </w:r>
      <w:r>
        <w:rPr/>
        <w:t>/L ；</w:t>
      </w:r>
    </w:p>
    <w:p>
      <w:pPr>
        <w:pStyle w:val="BodyText"/>
        <w:spacing w:line="233" w:lineRule="exact"/>
        <w:ind w:left="2658"/>
        <w:jc w:val="both"/>
      </w:pPr>
      <w:r>
        <w:rPr/>
        <w:t>② 网织红细胞＜1%；</w:t>
      </w:r>
    </w:p>
    <w:p>
      <w:pPr>
        <w:pStyle w:val="BodyText"/>
        <w:spacing w:line="234" w:lineRule="exact"/>
        <w:ind w:left="2658"/>
        <w:jc w:val="both"/>
      </w:pPr>
      <w:r>
        <w:rPr/>
        <w:t>③ 血小板绝对值≤20×10</w:t>
      </w:r>
      <w:r>
        <w:rPr>
          <w:position w:val="9"/>
          <w:sz w:val="9"/>
        </w:rPr>
        <w:t>9</w:t>
      </w:r>
      <w:r>
        <w:rPr/>
        <w:t>/L。</w:t>
      </w:r>
    </w:p>
    <w:p>
      <w:pPr>
        <w:pStyle w:val="BodyText"/>
        <w:tabs>
          <w:tab w:pos="2375" w:val="left" w:leader="none"/>
          <w:tab w:pos="2658" w:val="left" w:leader="none"/>
        </w:tabs>
        <w:spacing w:line="241" w:lineRule="exact" w:before="18"/>
      </w:pPr>
      <w:r>
        <w:rPr>
          <w:rFonts w:ascii="Times New Roman" w:eastAsia="Times New Roman"/>
        </w:rPr>
        <w:t>17</w:t>
      </w:r>
      <w:r>
        <w:rPr/>
        <w:t>）主动脉手术</w:t>
        <w:tab/>
      </w:r>
      <w:r>
        <w:rPr>
          <w:rFonts w:ascii="Times New Roman" w:eastAsia="Times New Roman"/>
          <w:position w:val="2"/>
        </w:rPr>
        <w:t>:</w:t>
        <w:tab/>
      </w:r>
      <w:r>
        <w:rPr>
          <w:spacing w:val="-1"/>
        </w:rPr>
        <w:t>指为治</w:t>
      </w:r>
      <w:r>
        <w:rPr/>
        <w:t>疗主动脉疾病</w:t>
      </w:r>
      <w:r>
        <w:rPr>
          <w:spacing w:val="-8"/>
        </w:rPr>
        <w:t>，</w:t>
      </w:r>
      <w:r>
        <w:rPr/>
        <w:t>实际实施了开胸或开腹进行的切除</w:t>
      </w:r>
      <w:r>
        <w:rPr>
          <w:spacing w:val="-8"/>
        </w:rPr>
        <w:t>、</w:t>
      </w:r>
      <w:r>
        <w:rPr/>
        <w:t>置换</w:t>
      </w:r>
      <w:r>
        <w:rPr>
          <w:spacing w:val="-8"/>
        </w:rPr>
        <w:t>、</w:t>
      </w:r>
      <w:r>
        <w:rPr/>
        <w:t>修补病</w:t>
      </w:r>
    </w:p>
    <w:p>
      <w:pPr>
        <w:pStyle w:val="BodyText"/>
        <w:spacing w:line="237" w:lineRule="auto"/>
        <w:ind w:left="2658" w:right="345"/>
      </w:pPr>
      <w:r>
        <w:rPr/>
        <w:t>损主动脉血管的手术。主动脉指胸主动脉和腹主动脉，不包括胸主动脉和腹主动脉的分支血管。</w:t>
      </w:r>
    </w:p>
    <w:p>
      <w:pPr>
        <w:pStyle w:val="BodyText"/>
        <w:spacing w:line="235" w:lineRule="exact" w:before="6"/>
        <w:ind w:left="2658"/>
      </w:pPr>
      <w:r>
        <w:rPr/>
        <w:t>动脉内血管成形术不在保障范围内。</w:t>
      </w:r>
    </w:p>
    <w:p>
      <w:pPr>
        <w:pStyle w:val="BodyText"/>
        <w:spacing w:line="316" w:lineRule="auto" w:before="112"/>
        <w:ind w:right="148"/>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ListParagraph"/>
        <w:numPr>
          <w:ilvl w:val="0"/>
          <w:numId w:val="2"/>
        </w:numPr>
        <w:tabs>
          <w:tab w:pos="473" w:val="left" w:leader="none"/>
          <w:tab w:pos="2375" w:val="left" w:leader="none"/>
          <w:tab w:pos="2658" w:val="left" w:leader="none"/>
        </w:tabs>
        <w:spacing w:line="221" w:lineRule="exact" w:before="0" w:after="0"/>
        <w:ind w:left="472" w:right="0" w:hanging="331"/>
        <w:jc w:val="left"/>
        <w:rPr>
          <w:sz w:val="18"/>
        </w:rPr>
      </w:pPr>
      <w:r>
        <w:rPr>
          <w:sz w:val="18"/>
        </w:rPr>
        <w:t>多发性硬化症</w:t>
        <w:tab/>
      </w:r>
      <w:r>
        <w:rPr>
          <w:rFonts w:ascii="Times New Roman" w:eastAsia="Times New Roman"/>
          <w:position w:val="2"/>
          <w:sz w:val="18"/>
        </w:rPr>
        <w:t>:</w:t>
        <w:tab/>
      </w:r>
      <w:r>
        <w:rPr>
          <w:sz w:val="18"/>
        </w:rPr>
        <w:t>经神经专科医师诊断，电脑断层扫</w:t>
      </w:r>
      <w:r>
        <w:rPr>
          <w:spacing w:val="2"/>
          <w:sz w:val="18"/>
        </w:rPr>
        <w:t>描</w:t>
      </w:r>
      <w:r>
        <w:rPr>
          <w:sz w:val="18"/>
        </w:rPr>
        <w:t>（CT）或核磁共振（MRI）等检查证</w:t>
      </w:r>
    </w:p>
    <w:p>
      <w:pPr>
        <w:pStyle w:val="BodyText"/>
        <w:spacing w:line="237" w:lineRule="auto"/>
        <w:ind w:left="2658" w:right="379"/>
      </w:pPr>
      <w:r>
        <w:rPr/>
        <w:t>实中枢神经系统有典型脱髓鞘病变,并有持续中枢神经损伤 180 天以上。其它原因而引起的中枢神经系统疾病除外。</w:t>
      </w:r>
    </w:p>
    <w:p>
      <w:pPr>
        <w:pStyle w:val="ListParagraph"/>
        <w:numPr>
          <w:ilvl w:val="0"/>
          <w:numId w:val="2"/>
        </w:numPr>
        <w:tabs>
          <w:tab w:pos="473" w:val="left" w:leader="none"/>
          <w:tab w:pos="2375" w:val="left" w:leader="none"/>
          <w:tab w:pos="2658" w:val="left" w:leader="none"/>
        </w:tabs>
        <w:spacing w:line="242" w:lineRule="exact" w:before="38" w:after="0"/>
        <w:ind w:left="472" w:right="0" w:hanging="331"/>
        <w:jc w:val="left"/>
        <w:rPr>
          <w:sz w:val="18"/>
        </w:rPr>
      </w:pPr>
      <w:r>
        <w:rPr>
          <w:sz w:val="18"/>
        </w:rPr>
        <w:t>急性脊髓灰质炎</w:t>
        <w:tab/>
      </w:r>
      <w:r>
        <w:rPr>
          <w:rFonts w:ascii="Times New Roman" w:eastAsia="Times New Roman"/>
          <w:position w:val="2"/>
          <w:sz w:val="18"/>
        </w:rPr>
        <w:t>:</w:t>
        <w:tab/>
      </w:r>
      <w:r>
        <w:rPr>
          <w:spacing w:val="2"/>
          <w:sz w:val="18"/>
        </w:rPr>
        <w:t>是指由于急</w:t>
      </w:r>
      <w:r>
        <w:rPr>
          <w:spacing w:val="5"/>
          <w:sz w:val="18"/>
        </w:rPr>
        <w:t>性</w:t>
      </w:r>
      <w:r>
        <w:rPr>
          <w:sz w:val="18"/>
        </w:rPr>
        <w:t>脊</w:t>
      </w:r>
      <w:r>
        <w:rPr>
          <w:spacing w:val="2"/>
          <w:sz w:val="18"/>
        </w:rPr>
        <w:t>髓灰</w:t>
      </w:r>
      <w:r>
        <w:rPr>
          <w:sz w:val="18"/>
        </w:rPr>
        <w:t>质</w:t>
      </w:r>
      <w:r>
        <w:rPr>
          <w:spacing w:val="2"/>
          <w:sz w:val="18"/>
        </w:rPr>
        <w:t>炎病</w:t>
      </w:r>
      <w:r>
        <w:rPr>
          <w:spacing w:val="5"/>
          <w:sz w:val="18"/>
        </w:rPr>
        <w:t>毒</w:t>
      </w:r>
      <w:r>
        <w:rPr>
          <w:spacing w:val="2"/>
          <w:sz w:val="18"/>
        </w:rPr>
        <w:t>感染所导致</w:t>
      </w:r>
      <w:r>
        <w:rPr>
          <w:spacing w:val="5"/>
          <w:sz w:val="18"/>
        </w:rPr>
        <w:t>的</w:t>
      </w:r>
      <w:r>
        <w:rPr>
          <w:spacing w:val="2"/>
          <w:sz w:val="18"/>
        </w:rPr>
        <w:t>运动功</w:t>
      </w:r>
      <w:r>
        <w:rPr>
          <w:spacing w:val="5"/>
          <w:sz w:val="18"/>
        </w:rPr>
        <w:t>能</w:t>
      </w:r>
      <w:r>
        <w:rPr>
          <w:spacing w:val="2"/>
          <w:sz w:val="18"/>
        </w:rPr>
        <w:t>障碍</w:t>
      </w:r>
      <w:r>
        <w:rPr>
          <w:spacing w:val="5"/>
          <w:sz w:val="18"/>
        </w:rPr>
        <w:t>或</w:t>
      </w:r>
      <w:r>
        <w:rPr>
          <w:spacing w:val="2"/>
          <w:sz w:val="18"/>
        </w:rPr>
        <w:t>呼吸功能</w:t>
      </w:r>
      <w:r>
        <w:rPr>
          <w:sz w:val="18"/>
        </w:rPr>
        <w:t>减</w:t>
      </w:r>
    </w:p>
    <w:p>
      <w:pPr>
        <w:pStyle w:val="BodyText"/>
        <w:spacing w:line="237" w:lineRule="auto"/>
        <w:ind w:left="2658" w:right="388"/>
        <w:jc w:val="both"/>
      </w:pPr>
      <w:r>
        <w:rPr>
          <w:spacing w:val="-3"/>
        </w:rPr>
        <w:t>弱的瘫痪性疾病。诊断必须由本公司认可的神经科专科医生确诊并提供相</w:t>
      </w:r>
      <w:r>
        <w:rPr>
          <w:spacing w:val="-4"/>
        </w:rPr>
        <w:t>关的脊髓灰质炎病毒感染的证据</w:t>
      </w:r>
      <w:r>
        <w:rPr/>
        <w:t>（</w:t>
      </w:r>
      <w:r>
        <w:rPr>
          <w:spacing w:val="-3"/>
        </w:rPr>
        <w:t>例如：脑脊液检查或血清学抗体检查报告</w:t>
      </w:r>
      <w:r>
        <w:rPr>
          <w:spacing w:val="-36"/>
        </w:rPr>
        <w:t>）</w:t>
      </w:r>
      <w:r>
        <w:rPr>
          <w:spacing w:val="-8"/>
        </w:rPr>
        <w:t>。未导致肢体瘫痪及其它病因所致的瘫痪，例如格林一巴利综合症(急</w:t>
      </w:r>
      <w:r>
        <w:rPr>
          <w:spacing w:val="-1"/>
        </w:rPr>
        <w:t>性感染性多神经炎)则不在此保障范围以内。</w:t>
      </w:r>
    </w:p>
    <w:p>
      <w:pPr>
        <w:spacing w:after="0" w:line="237" w:lineRule="auto"/>
        <w:jc w:val="both"/>
        <w:sectPr>
          <w:pgSz w:w="11960" w:h="16850"/>
          <w:pgMar w:header="897" w:footer="1001" w:top="1080" w:bottom="1200" w:left="1560" w:right="1600"/>
        </w:sectPr>
      </w:pPr>
    </w:p>
    <w:p>
      <w:pPr>
        <w:pStyle w:val="ListParagraph"/>
        <w:numPr>
          <w:ilvl w:val="0"/>
          <w:numId w:val="2"/>
        </w:numPr>
        <w:tabs>
          <w:tab w:pos="473" w:val="left" w:leader="none"/>
          <w:tab w:pos="2375" w:val="left" w:leader="none"/>
        </w:tabs>
        <w:spacing w:line="240" w:lineRule="auto" w:before="96" w:after="0"/>
        <w:ind w:left="472" w:right="0" w:hanging="331"/>
        <w:jc w:val="left"/>
        <w:rPr>
          <w:rFonts w:ascii="Times New Roman" w:eastAsia="Times New Roman"/>
          <w:sz w:val="18"/>
        </w:rPr>
      </w:pPr>
      <w:r>
        <w:rPr>
          <w:sz w:val="18"/>
        </w:rPr>
        <w:t>慢性呼吸功能衰竭</w:t>
        <w:tab/>
      </w:r>
      <w:r>
        <w:rPr>
          <w:rFonts w:ascii="Times New Roman" w:eastAsia="Times New Roman"/>
          <w:position w:val="2"/>
          <w:sz w:val="18"/>
        </w:rPr>
        <w:t>:</w:t>
      </w:r>
    </w:p>
    <w:p>
      <w:pPr>
        <w:pStyle w:val="BodyText"/>
        <w:ind w:left="0"/>
        <w:rPr>
          <w:rFonts w:ascii="Times New Roman"/>
          <w:sz w:val="22"/>
        </w:rPr>
      </w:pPr>
    </w:p>
    <w:p>
      <w:pPr>
        <w:pStyle w:val="BodyText"/>
        <w:ind w:left="0"/>
        <w:rPr>
          <w:rFonts w:ascii="Times New Roman"/>
          <w:sz w:val="22"/>
        </w:rPr>
      </w:pPr>
    </w:p>
    <w:p>
      <w:pPr>
        <w:pStyle w:val="BodyText"/>
        <w:ind w:left="0"/>
        <w:rPr>
          <w:rFonts w:ascii="Times New Roman"/>
          <w:sz w:val="22"/>
        </w:rPr>
      </w:pPr>
    </w:p>
    <w:p>
      <w:pPr>
        <w:pStyle w:val="BodyText"/>
        <w:ind w:left="0"/>
        <w:rPr>
          <w:rFonts w:ascii="Times New Roman"/>
          <w:sz w:val="22"/>
        </w:rPr>
      </w:pPr>
    </w:p>
    <w:p>
      <w:pPr>
        <w:spacing w:before="150"/>
        <w:ind w:left="141" w:right="0" w:firstLine="0"/>
        <w:jc w:val="left"/>
        <w:rPr>
          <w:sz w:val="20"/>
        </w:rPr>
      </w:pPr>
      <w:r>
        <w:rPr>
          <w:w w:val="95"/>
          <w:sz w:val="20"/>
        </w:rPr>
        <w:t>重大疾病定义的释义：</w:t>
      </w:r>
    </w:p>
    <w:p>
      <w:pPr>
        <w:pStyle w:val="BodyText"/>
        <w:tabs>
          <w:tab w:pos="2375" w:val="left" w:leader="none"/>
        </w:tabs>
        <w:spacing w:before="27"/>
        <w:rPr>
          <w:rFonts w:ascii="Times New Roman" w:eastAsia="Times New Roman"/>
        </w:rPr>
      </w:pPr>
      <w:r>
        <w:rPr/>
        <w:t>六项基本日常生活活动</w:t>
        <w:tab/>
      </w:r>
      <w:r>
        <w:rPr>
          <w:rFonts w:ascii="Times New Roman" w:eastAsia="Times New Roman"/>
          <w:position w:val="2"/>
        </w:rPr>
        <w:t>:</w:t>
      </w:r>
    </w:p>
    <w:p>
      <w:pPr>
        <w:pStyle w:val="BodyText"/>
        <w:spacing w:line="237" w:lineRule="auto" w:before="98"/>
        <w:ind w:right="396"/>
      </w:pPr>
      <w:r>
        <w:rPr/>
        <w:br w:type="column"/>
      </w:r>
      <w:r>
        <w:rPr/>
        <w:t>被保险人必须经本公司认可的医院的呼吸科专科医师确诊患有终末期肺病而出现慢性呼吸功能衰竭，其诊断标准包括以下各项</w:t>
      </w:r>
    </w:p>
    <w:p>
      <w:pPr>
        <w:pStyle w:val="BodyText"/>
        <w:spacing w:before="64"/>
      </w:pPr>
      <w:r>
        <w:rPr>
          <w:rFonts w:ascii="Times New Roman" w:eastAsia="Times New Roman"/>
        </w:rPr>
        <w:t>a.</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before="36"/>
      </w:pPr>
      <w:r>
        <w:rPr>
          <w:rFonts w:ascii="Times New Roman" w:eastAsia="Times New Roman"/>
        </w:rPr>
        <w:t>b.</w:t>
      </w:r>
      <w:r>
        <w:rPr/>
        <w:t>病人血氧不足必须持续地进行输氧治疗。</w:t>
      </w:r>
    </w:p>
    <w:p>
      <w:pPr>
        <w:pStyle w:val="BodyText"/>
        <w:spacing w:before="36"/>
      </w:pPr>
      <w:r>
        <w:rPr>
          <w:rFonts w:ascii="Times New Roman" w:eastAsia="Times New Roman"/>
        </w:rPr>
        <w:t>c.</w:t>
      </w:r>
      <w:r>
        <w:rPr/>
        <w:t>动脉血气分析氧分压等于或低于 </w:t>
      </w:r>
      <w:r>
        <w:rPr>
          <w:rFonts w:ascii="Times New Roman" w:eastAsia="Times New Roman"/>
        </w:rPr>
        <w:t>55mmHg</w:t>
      </w:r>
      <w:r>
        <w:rPr/>
        <w:t>。</w:t>
      </w:r>
    </w:p>
    <w:p>
      <w:pPr>
        <w:pStyle w:val="BodyText"/>
        <w:spacing w:before="8"/>
        <w:ind w:left="0"/>
        <w:rPr>
          <w:sz w:val="26"/>
        </w:rPr>
      </w:pPr>
    </w:p>
    <w:p>
      <w:pPr>
        <w:pStyle w:val="BodyText"/>
      </w:pPr>
      <w:r>
        <w:rPr/>
        <w:t>包括以下六项：</w:t>
      </w:r>
    </w:p>
    <w:p>
      <w:pPr>
        <w:pStyle w:val="ListParagraph"/>
        <w:numPr>
          <w:ilvl w:val="0"/>
          <w:numId w:val="3"/>
        </w:numPr>
        <w:tabs>
          <w:tab w:pos="384" w:val="left" w:leader="none"/>
        </w:tabs>
        <w:spacing w:line="240" w:lineRule="auto" w:before="38" w:after="0"/>
        <w:ind w:left="383" w:right="0" w:hanging="242"/>
        <w:jc w:val="left"/>
        <w:rPr>
          <w:sz w:val="18"/>
        </w:rPr>
      </w:pPr>
      <w:r>
        <w:rPr>
          <w:spacing w:val="-2"/>
          <w:sz w:val="18"/>
        </w:rPr>
        <w:t>穿衣：自己能够穿衣及脱衣；</w:t>
      </w:r>
    </w:p>
    <w:p>
      <w:pPr>
        <w:pStyle w:val="ListParagraph"/>
        <w:numPr>
          <w:ilvl w:val="0"/>
          <w:numId w:val="3"/>
        </w:numPr>
        <w:tabs>
          <w:tab w:pos="384" w:val="left" w:leader="none"/>
        </w:tabs>
        <w:spacing w:line="240" w:lineRule="auto" w:before="24" w:after="0"/>
        <w:ind w:left="383" w:right="0" w:hanging="242"/>
        <w:jc w:val="left"/>
        <w:rPr>
          <w:sz w:val="18"/>
        </w:rPr>
      </w:pPr>
      <w:r>
        <w:rPr>
          <w:spacing w:val="-2"/>
          <w:sz w:val="18"/>
        </w:rPr>
        <w:t>移动：自己从一个房间到另一个房间；</w:t>
      </w:r>
    </w:p>
    <w:p>
      <w:pPr>
        <w:pStyle w:val="ListParagraph"/>
        <w:numPr>
          <w:ilvl w:val="0"/>
          <w:numId w:val="3"/>
        </w:numPr>
        <w:tabs>
          <w:tab w:pos="384" w:val="left" w:leader="none"/>
        </w:tabs>
        <w:spacing w:line="240" w:lineRule="auto" w:before="24" w:after="0"/>
        <w:ind w:left="383" w:right="0" w:hanging="242"/>
        <w:jc w:val="left"/>
        <w:rPr>
          <w:sz w:val="18"/>
        </w:rPr>
      </w:pPr>
      <w:r>
        <w:rPr>
          <w:spacing w:val="-2"/>
          <w:sz w:val="18"/>
        </w:rPr>
        <w:t>行动：自己上下床或上下轮椅；</w:t>
      </w:r>
    </w:p>
    <w:p>
      <w:pPr>
        <w:pStyle w:val="ListParagraph"/>
        <w:numPr>
          <w:ilvl w:val="0"/>
          <w:numId w:val="3"/>
        </w:numPr>
        <w:tabs>
          <w:tab w:pos="384" w:val="left" w:leader="none"/>
        </w:tabs>
        <w:spacing w:line="240" w:lineRule="auto" w:before="24" w:after="0"/>
        <w:ind w:left="383" w:right="0" w:hanging="242"/>
        <w:jc w:val="left"/>
        <w:rPr>
          <w:sz w:val="18"/>
        </w:rPr>
      </w:pPr>
      <w:r>
        <w:rPr>
          <w:spacing w:val="-2"/>
          <w:sz w:val="18"/>
        </w:rPr>
        <w:t>卫生：自己控制進行大小便；</w:t>
      </w:r>
    </w:p>
    <w:p>
      <w:pPr>
        <w:pStyle w:val="ListParagraph"/>
        <w:numPr>
          <w:ilvl w:val="0"/>
          <w:numId w:val="3"/>
        </w:numPr>
        <w:tabs>
          <w:tab w:pos="384" w:val="left" w:leader="none"/>
        </w:tabs>
        <w:spacing w:line="240" w:lineRule="auto" w:before="21" w:after="0"/>
        <w:ind w:left="383" w:right="0" w:hanging="242"/>
        <w:jc w:val="left"/>
        <w:rPr>
          <w:sz w:val="18"/>
        </w:rPr>
      </w:pPr>
      <w:r>
        <w:rPr>
          <w:spacing w:val="-1"/>
          <w:sz w:val="18"/>
        </w:rPr>
        <w:t>进食：自己从已准备好的碗</w:t>
      </w:r>
      <w:r>
        <w:rPr>
          <w:rFonts w:ascii="Times New Roman" w:eastAsia="Times New Roman"/>
          <w:spacing w:val="-3"/>
          <w:sz w:val="18"/>
        </w:rPr>
        <w:t>/</w:t>
      </w:r>
      <w:r>
        <w:rPr>
          <w:sz w:val="18"/>
        </w:rPr>
        <w:t>碟中摄取食物放入口中；</w:t>
      </w:r>
    </w:p>
    <w:p>
      <w:pPr>
        <w:pStyle w:val="ListParagraph"/>
        <w:numPr>
          <w:ilvl w:val="0"/>
          <w:numId w:val="3"/>
        </w:numPr>
        <w:tabs>
          <w:tab w:pos="384" w:val="left" w:leader="none"/>
        </w:tabs>
        <w:spacing w:line="240" w:lineRule="auto" w:before="24" w:after="0"/>
        <w:ind w:left="383" w:right="0" w:hanging="242"/>
        <w:jc w:val="left"/>
        <w:rPr>
          <w:sz w:val="18"/>
        </w:rPr>
      </w:pPr>
      <w:r>
        <w:rPr>
          <w:spacing w:val="-2"/>
          <w:sz w:val="18"/>
        </w:rPr>
        <w:t>洗澡：自己进行淋浴或盆浴。</w:t>
      </w:r>
    </w:p>
    <w:sectPr>
      <w:type w:val="continuous"/>
      <w:pgSz w:w="11960" w:h="16850"/>
      <w:pgMar w:top="280" w:bottom="1200" w:left="1560" w:right="1600"/>
      <w:cols w:num="2" w:equalWidth="0">
        <w:col w:w="2426" w:space="91"/>
        <w:col w:w="628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2.740295pt;margin-top:781.347778pt;width:69.7pt;height:11pt;mso-position-horizontal-relative:page;mso-position-vertical-relative:page;z-index:-1091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8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0888" from="83.633759pt,54.628334pt" to="511.641859pt,54.628334pt" stroked="true" strokeweight=".479983pt" strokecolor="#dddddd">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83" w:hanging="243"/>
        <w:jc w:val="left"/>
      </w:pPr>
      <w:rPr>
        <w:rFonts w:hint="default" w:ascii="Times New Roman" w:hAnsi="Times New Roman" w:eastAsia="Times New Roman" w:cs="Times New Roman"/>
        <w:spacing w:val="-3"/>
        <w:w w:val="100"/>
        <w:sz w:val="18"/>
        <w:szCs w:val="18"/>
      </w:rPr>
    </w:lvl>
    <w:lvl w:ilvl="1">
      <w:start w:val="0"/>
      <w:numFmt w:val="bullet"/>
      <w:lvlText w:val="•"/>
      <w:lvlJc w:val="left"/>
      <w:pPr>
        <w:ind w:left="969" w:hanging="243"/>
      </w:pPr>
      <w:rPr>
        <w:rFonts w:hint="default"/>
      </w:rPr>
    </w:lvl>
    <w:lvl w:ilvl="2">
      <w:start w:val="0"/>
      <w:numFmt w:val="bullet"/>
      <w:lvlText w:val="•"/>
      <w:lvlJc w:val="left"/>
      <w:pPr>
        <w:ind w:left="1558" w:hanging="243"/>
      </w:pPr>
      <w:rPr>
        <w:rFonts w:hint="default"/>
      </w:rPr>
    </w:lvl>
    <w:lvl w:ilvl="3">
      <w:start w:val="0"/>
      <w:numFmt w:val="bullet"/>
      <w:lvlText w:val="•"/>
      <w:lvlJc w:val="left"/>
      <w:pPr>
        <w:ind w:left="2148" w:hanging="243"/>
      </w:pPr>
      <w:rPr>
        <w:rFonts w:hint="default"/>
      </w:rPr>
    </w:lvl>
    <w:lvl w:ilvl="4">
      <w:start w:val="0"/>
      <w:numFmt w:val="bullet"/>
      <w:lvlText w:val="•"/>
      <w:lvlJc w:val="left"/>
      <w:pPr>
        <w:ind w:left="2737" w:hanging="243"/>
      </w:pPr>
      <w:rPr>
        <w:rFonts w:hint="default"/>
      </w:rPr>
    </w:lvl>
    <w:lvl w:ilvl="5">
      <w:start w:val="0"/>
      <w:numFmt w:val="bullet"/>
      <w:lvlText w:val="•"/>
      <w:lvlJc w:val="left"/>
      <w:pPr>
        <w:ind w:left="3327" w:hanging="243"/>
      </w:pPr>
      <w:rPr>
        <w:rFonts w:hint="default"/>
      </w:rPr>
    </w:lvl>
    <w:lvl w:ilvl="6">
      <w:start w:val="0"/>
      <w:numFmt w:val="bullet"/>
      <w:lvlText w:val="•"/>
      <w:lvlJc w:val="left"/>
      <w:pPr>
        <w:ind w:left="3916" w:hanging="243"/>
      </w:pPr>
      <w:rPr>
        <w:rFonts w:hint="default"/>
      </w:rPr>
    </w:lvl>
    <w:lvl w:ilvl="7">
      <w:start w:val="0"/>
      <w:numFmt w:val="bullet"/>
      <w:lvlText w:val="•"/>
      <w:lvlJc w:val="left"/>
      <w:pPr>
        <w:ind w:left="4506" w:hanging="243"/>
      </w:pPr>
      <w:rPr>
        <w:rFonts w:hint="default"/>
      </w:rPr>
    </w:lvl>
    <w:lvl w:ilvl="8">
      <w:start w:val="0"/>
      <w:numFmt w:val="bullet"/>
      <w:lvlText w:val="•"/>
      <w:lvlJc w:val="left"/>
      <w:pPr>
        <w:ind w:left="5095" w:hanging="243"/>
      </w:pPr>
      <w:rPr>
        <w:rFonts w:hint="default"/>
      </w:rPr>
    </w:lvl>
  </w:abstractNum>
  <w:abstractNum w:abstractNumId="1">
    <w:multiLevelType w:val="hybridMultilevel"/>
    <w:lvl w:ilvl="0">
      <w:start w:val="18"/>
      <w:numFmt w:val="decimal"/>
      <w:lvlText w:val="%1)"/>
      <w:lvlJc w:val="left"/>
      <w:pPr>
        <w:ind w:left="472" w:hanging="332"/>
        <w:jc w:val="left"/>
      </w:pPr>
      <w:rPr>
        <w:rFonts w:hint="default" w:ascii="Times New Roman" w:hAnsi="Times New Roman" w:eastAsia="Times New Roman" w:cs="Times New Roman"/>
        <w:spacing w:val="-2"/>
        <w:w w:val="100"/>
        <w:sz w:val="18"/>
        <w:szCs w:val="18"/>
      </w:rPr>
    </w:lvl>
    <w:lvl w:ilvl="1">
      <w:start w:val="0"/>
      <w:numFmt w:val="bullet"/>
      <w:lvlText w:val="•"/>
      <w:lvlJc w:val="left"/>
      <w:pPr>
        <w:ind w:left="1311" w:hanging="332"/>
      </w:pPr>
      <w:rPr>
        <w:rFonts w:hint="default"/>
      </w:rPr>
    </w:lvl>
    <w:lvl w:ilvl="2">
      <w:start w:val="0"/>
      <w:numFmt w:val="bullet"/>
      <w:lvlText w:val="•"/>
      <w:lvlJc w:val="left"/>
      <w:pPr>
        <w:ind w:left="2142" w:hanging="332"/>
      </w:pPr>
      <w:rPr>
        <w:rFonts w:hint="default"/>
      </w:rPr>
    </w:lvl>
    <w:lvl w:ilvl="3">
      <w:start w:val="0"/>
      <w:numFmt w:val="bullet"/>
      <w:lvlText w:val="•"/>
      <w:lvlJc w:val="left"/>
      <w:pPr>
        <w:ind w:left="2973" w:hanging="332"/>
      </w:pPr>
      <w:rPr>
        <w:rFonts w:hint="default"/>
      </w:rPr>
    </w:lvl>
    <w:lvl w:ilvl="4">
      <w:start w:val="0"/>
      <w:numFmt w:val="bullet"/>
      <w:lvlText w:val="•"/>
      <w:lvlJc w:val="left"/>
      <w:pPr>
        <w:ind w:left="3804" w:hanging="332"/>
      </w:pPr>
      <w:rPr>
        <w:rFonts w:hint="default"/>
      </w:rPr>
    </w:lvl>
    <w:lvl w:ilvl="5">
      <w:start w:val="0"/>
      <w:numFmt w:val="bullet"/>
      <w:lvlText w:val="•"/>
      <w:lvlJc w:val="left"/>
      <w:pPr>
        <w:ind w:left="4636" w:hanging="332"/>
      </w:pPr>
      <w:rPr>
        <w:rFonts w:hint="default"/>
      </w:rPr>
    </w:lvl>
    <w:lvl w:ilvl="6">
      <w:start w:val="0"/>
      <w:numFmt w:val="bullet"/>
      <w:lvlText w:val="•"/>
      <w:lvlJc w:val="left"/>
      <w:pPr>
        <w:ind w:left="5467" w:hanging="332"/>
      </w:pPr>
      <w:rPr>
        <w:rFonts w:hint="default"/>
      </w:rPr>
    </w:lvl>
    <w:lvl w:ilvl="7">
      <w:start w:val="0"/>
      <w:numFmt w:val="bullet"/>
      <w:lvlText w:val="•"/>
      <w:lvlJc w:val="left"/>
      <w:pPr>
        <w:ind w:left="6298" w:hanging="332"/>
      </w:pPr>
      <w:rPr>
        <w:rFonts w:hint="default"/>
      </w:rPr>
    </w:lvl>
    <w:lvl w:ilvl="8">
      <w:start w:val="0"/>
      <w:numFmt w:val="bullet"/>
      <w:lvlText w:val="•"/>
      <w:lvlJc w:val="left"/>
      <w:pPr>
        <w:ind w:left="7129" w:hanging="332"/>
      </w:pPr>
      <w:rPr>
        <w:rFonts w:hint="default"/>
      </w:rPr>
    </w:lvl>
  </w:abstractNum>
  <w:abstractNum w:abstractNumId="0">
    <w:multiLevelType w:val="hybridMultilevel"/>
    <w:lvl w:ilvl="0">
      <w:start w:val="5"/>
      <w:numFmt w:val="decimal"/>
      <w:lvlText w:val="%1)"/>
      <w:lvlJc w:val="left"/>
      <w:pPr>
        <w:ind w:left="141" w:hanging="243"/>
        <w:jc w:val="left"/>
      </w:pPr>
      <w:rPr>
        <w:rFonts w:hint="default" w:ascii="Times New Roman" w:hAnsi="Times New Roman" w:eastAsia="Times New Roman" w:cs="Times New Roman"/>
        <w:spacing w:val="-22"/>
        <w:w w:val="100"/>
        <w:sz w:val="18"/>
        <w:szCs w:val="18"/>
      </w:rPr>
    </w:lvl>
    <w:lvl w:ilvl="1">
      <w:start w:val="0"/>
      <w:numFmt w:val="bullet"/>
      <w:lvlText w:val="•"/>
      <w:lvlJc w:val="left"/>
      <w:pPr>
        <w:ind w:left="660" w:hanging="243"/>
      </w:pPr>
      <w:rPr>
        <w:rFonts w:hint="default"/>
      </w:rPr>
    </w:lvl>
    <w:lvl w:ilvl="2">
      <w:start w:val="0"/>
      <w:numFmt w:val="bullet"/>
      <w:lvlText w:val="•"/>
      <w:lvlJc w:val="left"/>
      <w:pPr>
        <w:ind w:left="578" w:hanging="243"/>
      </w:pPr>
      <w:rPr>
        <w:rFonts w:hint="default"/>
      </w:rPr>
    </w:lvl>
    <w:lvl w:ilvl="3">
      <w:start w:val="0"/>
      <w:numFmt w:val="bullet"/>
      <w:lvlText w:val="•"/>
      <w:lvlJc w:val="left"/>
      <w:pPr>
        <w:ind w:left="497" w:hanging="243"/>
      </w:pPr>
      <w:rPr>
        <w:rFonts w:hint="default"/>
      </w:rPr>
    </w:lvl>
    <w:lvl w:ilvl="4">
      <w:start w:val="0"/>
      <w:numFmt w:val="bullet"/>
      <w:lvlText w:val="•"/>
      <w:lvlJc w:val="left"/>
      <w:pPr>
        <w:ind w:left="416" w:hanging="243"/>
      </w:pPr>
      <w:rPr>
        <w:rFonts w:hint="default"/>
      </w:rPr>
    </w:lvl>
    <w:lvl w:ilvl="5">
      <w:start w:val="0"/>
      <w:numFmt w:val="bullet"/>
      <w:lvlText w:val="•"/>
      <w:lvlJc w:val="left"/>
      <w:pPr>
        <w:ind w:left="334" w:hanging="243"/>
      </w:pPr>
      <w:rPr>
        <w:rFonts w:hint="default"/>
      </w:rPr>
    </w:lvl>
    <w:lvl w:ilvl="6">
      <w:start w:val="0"/>
      <w:numFmt w:val="bullet"/>
      <w:lvlText w:val="•"/>
      <w:lvlJc w:val="left"/>
      <w:pPr>
        <w:ind w:left="253" w:hanging="243"/>
      </w:pPr>
      <w:rPr>
        <w:rFonts w:hint="default"/>
      </w:rPr>
    </w:lvl>
    <w:lvl w:ilvl="7">
      <w:start w:val="0"/>
      <w:numFmt w:val="bullet"/>
      <w:lvlText w:val="•"/>
      <w:lvlJc w:val="left"/>
      <w:pPr>
        <w:ind w:left="172" w:hanging="243"/>
      </w:pPr>
      <w:rPr>
        <w:rFonts w:hint="default"/>
      </w:rPr>
    </w:lvl>
    <w:lvl w:ilvl="8">
      <w:start w:val="0"/>
      <w:numFmt w:val="bullet"/>
      <w:lvlText w:val="•"/>
      <w:lvlJc w:val="left"/>
      <w:pPr>
        <w:ind w:left="90" w:hanging="24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6"/>
      <w:ind w:left="352"/>
    </w:pPr>
    <w:rPr>
      <w:rFonts w:ascii="宋体" w:hAnsi="宋体" w:eastAsia="宋体" w:cs="宋体"/>
      <w:sz w:val="18"/>
      <w:szCs w:val="18"/>
    </w:rPr>
  </w:style>
  <w:style w:styleId="BodyText" w:type="paragraph">
    <w:name w:val="Body Text"/>
    <w:basedOn w:val="Normal"/>
    <w:uiPriority w:val="1"/>
    <w:qFormat/>
    <w:pPr>
      <w:ind w:left="141"/>
    </w:pPr>
    <w:rPr>
      <w:rFonts w:ascii="宋体" w:hAnsi="宋体" w:eastAsia="宋体" w:cs="宋体"/>
      <w:sz w:val="18"/>
      <w:szCs w:val="18"/>
    </w:rPr>
  </w:style>
  <w:style w:styleId="Heading1" w:type="paragraph">
    <w:name w:val="Heading 1"/>
    <w:basedOn w:val="Normal"/>
    <w:uiPriority w:val="1"/>
    <w:qFormat/>
    <w:pPr>
      <w:spacing w:before="138"/>
      <w:ind w:left="141"/>
      <w:outlineLvl w:val="1"/>
    </w:pPr>
    <w:rPr>
      <w:rFonts w:ascii="宋体" w:hAnsi="宋体" w:eastAsia="宋体" w:cs="宋体"/>
      <w:b/>
      <w:bCs/>
      <w:sz w:val="18"/>
      <w:szCs w:val="18"/>
    </w:rPr>
  </w:style>
  <w:style w:styleId="ListParagraph" w:type="paragraph">
    <w:name w:val="List Paragraph"/>
    <w:basedOn w:val="Normal"/>
    <w:uiPriority w:val="1"/>
    <w:qFormat/>
    <w:pPr>
      <w:spacing w:before="24"/>
      <w:ind w:left="383" w:hanging="24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2018-10-19T22:21:20Z</dcterms:created>
  <dcterms:modified xsi:type="dcterms:W3CDTF">2018-10-19T22:21:20Z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