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10"/>
        <w:rPr>
          <w:rFonts w:ascii="Times New Roman"/>
          <w:sz w:val="33"/>
        </w:rPr>
      </w:pPr>
    </w:p>
    <w:p>
      <w:pPr>
        <w:spacing w:before="0"/>
        <w:ind w:left="1594" w:right="0" w:firstLine="0"/>
        <w:jc w:val="center"/>
        <w:rPr>
          <w:b/>
          <w:sz w:val="30"/>
        </w:rPr>
      </w:pPr>
      <w:r>
        <w:rPr>
          <w:b/>
          <w:w w:val="95"/>
          <w:sz w:val="30"/>
        </w:rPr>
        <w:t>华夏人寿保险股份有限公司</w:t>
      </w:r>
    </w:p>
    <w:p>
      <w:pPr>
        <w:spacing w:before="231"/>
        <w:ind w:left="1468" w:right="0" w:firstLine="0"/>
        <w:jc w:val="center"/>
        <w:rPr>
          <w:b/>
          <w:sz w:val="30"/>
        </w:rPr>
      </w:pPr>
      <w:r>
        <w:rPr>
          <w:b/>
          <w:sz w:val="30"/>
        </w:rPr>
        <w:t>华夏附加鎏金宝重大疾病保险（B</w:t>
      </w:r>
      <w:r>
        <w:rPr>
          <w:b/>
          <w:spacing w:val="-40"/>
          <w:sz w:val="30"/>
        </w:rPr>
        <w:t> 款</w:t>
      </w:r>
      <w:r>
        <w:rPr>
          <w:b/>
          <w:sz w:val="30"/>
        </w:rPr>
        <w:t>）条款</w:t>
      </w:r>
    </w:p>
    <w:p>
      <w:pPr>
        <w:pStyle w:val="Heading1"/>
        <w:spacing w:before="202"/>
      </w:pPr>
      <w:r>
        <w:rPr/>
        <w:t>（2009 年 2 月）</w:t>
      </w:r>
    </w:p>
    <w:p>
      <w:pPr>
        <w:spacing w:before="103"/>
        <w:ind w:left="341" w:right="64" w:firstLine="0"/>
        <w:jc w:val="center"/>
        <w:rPr>
          <w:sz w:val="16"/>
        </w:rPr>
      </w:pPr>
      <w:r>
        <w:rPr/>
        <w:br w:type="column"/>
      </w:r>
      <w:r>
        <w:rPr>
          <w:sz w:val="16"/>
        </w:rPr>
        <w:t>华夏人寿</w:t>
      </w:r>
      <w:r>
        <w:rPr>
          <w:rFonts w:ascii="Times New Roman" w:eastAsia="Times New Roman"/>
          <w:sz w:val="16"/>
        </w:rPr>
        <w:t>[2012]</w:t>
      </w:r>
      <w:r>
        <w:rPr>
          <w:sz w:val="16"/>
        </w:rPr>
        <w:t>疾病保险 </w:t>
      </w:r>
      <w:r>
        <w:rPr>
          <w:rFonts w:ascii="Times New Roman" w:eastAsia="Times New Roman"/>
          <w:sz w:val="16"/>
        </w:rPr>
        <w:t>015 </w:t>
      </w:r>
      <w:r>
        <w:rPr>
          <w:sz w:val="16"/>
        </w:rPr>
        <w:t>号</w:t>
      </w:r>
    </w:p>
    <w:p>
      <w:pPr>
        <w:pStyle w:val="BodyText"/>
        <w:spacing w:before="12"/>
        <w:rPr>
          <w:sz w:val="8"/>
        </w:rPr>
      </w:pPr>
    </w:p>
    <w:p>
      <w:pPr>
        <w:pStyle w:val="BodyText"/>
        <w:spacing w:before="0"/>
        <w:ind w:left="903"/>
        <w:rPr>
          <w:sz w:val="20"/>
        </w:rPr>
      </w:pPr>
      <w:r>
        <w:rPr>
          <w:sz w:val="20"/>
        </w:rPr>
        <w:drawing>
          <wp:inline distT="0" distB="0" distL="0" distR="0">
            <wp:extent cx="723900" cy="723900"/>
            <wp:effectExtent l="0" t="0" r="0" b="0"/>
            <wp:docPr id="1" name="image1.png" descr=""/>
            <wp:cNvGraphicFramePr>
              <a:graphicFrameLocks noChangeAspect="1"/>
            </wp:cNvGraphicFramePr>
            <a:graphic>
              <a:graphicData uri="http://schemas.openxmlformats.org/drawingml/2006/picture">
                <pic:pic>
                  <pic:nvPicPr>
                    <pic:cNvPr id="2" name="image1.png"/>
                    <pic:cNvPicPr/>
                  </pic:nvPicPr>
                  <pic:blipFill>
                    <a:blip r:embed="rId7" cstate="print"/>
                    <a:stretch>
                      <a:fillRect/>
                    </a:stretch>
                  </pic:blipFill>
                  <pic:spPr>
                    <a:xfrm>
                      <a:off x="0" y="0"/>
                      <a:ext cx="723900" cy="723900"/>
                    </a:xfrm>
                    <a:prstGeom prst="rect">
                      <a:avLst/>
                    </a:prstGeom>
                  </pic:spPr>
                </pic:pic>
              </a:graphicData>
            </a:graphic>
          </wp:inline>
        </w:drawing>
      </w:r>
      <w:r>
        <w:rPr>
          <w:sz w:val="20"/>
        </w:rPr>
      </w:r>
    </w:p>
    <w:p>
      <w:pPr>
        <w:spacing w:before="86"/>
        <w:ind w:left="340" w:right="64" w:firstLine="0"/>
        <w:jc w:val="center"/>
        <w:rPr>
          <w:sz w:val="16"/>
        </w:rPr>
      </w:pPr>
      <w:r>
        <w:rPr>
          <w:w w:val="95"/>
          <w:sz w:val="16"/>
        </w:rPr>
        <w:t>请扫描以查询验证条款</w:t>
      </w:r>
    </w:p>
    <w:p>
      <w:pPr>
        <w:spacing w:after="0"/>
        <w:jc w:val="center"/>
        <w:rPr>
          <w:sz w:val="16"/>
        </w:rPr>
        <w:sectPr>
          <w:headerReference w:type="default" r:id="rId5"/>
          <w:footerReference w:type="default" r:id="rId6"/>
          <w:type w:val="continuous"/>
          <w:pgSz w:w="11910" w:h="16840"/>
          <w:pgMar w:header="872" w:footer="998" w:top="1100" w:bottom="1180" w:left="1660" w:right="420"/>
          <w:pgNumType w:start="1"/>
          <w:cols w:num="2" w:equalWidth="0">
            <w:col w:w="7117" w:space="40"/>
            <w:col w:w="2673"/>
          </w:cols>
        </w:sectPr>
      </w:pPr>
    </w:p>
    <w:p>
      <w:pPr>
        <w:pStyle w:val="BodyText"/>
        <w:spacing w:before="0"/>
        <w:rPr>
          <w:sz w:val="20"/>
        </w:rPr>
      </w:pPr>
    </w:p>
    <w:p>
      <w:pPr>
        <w:pStyle w:val="BodyText"/>
        <w:spacing w:before="0"/>
        <w:rPr>
          <w:sz w:val="20"/>
        </w:rPr>
      </w:pPr>
    </w:p>
    <w:p>
      <w:pPr>
        <w:pStyle w:val="BodyText"/>
        <w:spacing w:before="9"/>
        <w:rPr>
          <w:sz w:val="19"/>
        </w:rPr>
      </w:pPr>
    </w:p>
    <w:p>
      <w:pPr>
        <w:spacing w:line="477" w:lineRule="auto" w:before="45"/>
        <w:ind w:left="5736" w:right="1316" w:firstLine="42"/>
        <w:jc w:val="left"/>
        <w:rPr>
          <w:b/>
          <w:sz w:val="18"/>
        </w:rPr>
      </w:pPr>
      <w:r>
        <w:rPr>
          <w:b/>
          <w:sz w:val="18"/>
        </w:rPr>
        <w:t>华夏人寿（2009）第 40 号文呈报</w:t>
      </w:r>
      <w:r>
        <w:rPr>
          <w:b/>
          <w:w w:val="95"/>
          <w:sz w:val="18"/>
        </w:rPr>
        <w:t>中国保险监督管理委员会准予备案</w:t>
      </w:r>
    </w:p>
    <w:p>
      <w:pPr>
        <w:pStyle w:val="BodyText"/>
        <w:spacing w:before="0"/>
        <w:rPr>
          <w:b/>
          <w:sz w:val="20"/>
        </w:rPr>
      </w:pPr>
    </w:p>
    <w:p>
      <w:pPr>
        <w:pStyle w:val="BodyText"/>
        <w:spacing w:before="2"/>
        <w:rPr>
          <w:b/>
          <w:sz w:val="14"/>
        </w:rPr>
      </w:pPr>
    </w:p>
    <w:p>
      <w:pPr>
        <w:pStyle w:val="Heading2"/>
        <w:spacing w:before="26"/>
        <w:ind w:left="4053"/>
        <w:jc w:val="left"/>
      </w:pPr>
      <w:r>
        <w:rPr/>
        <w:t>序言</w:t>
      </w:r>
    </w:p>
    <w:p>
      <w:pPr>
        <w:pStyle w:val="BodyText"/>
        <w:spacing w:before="0"/>
        <w:rPr>
          <w:rFonts w:ascii="黑体"/>
          <w:sz w:val="24"/>
        </w:rPr>
      </w:pPr>
    </w:p>
    <w:p>
      <w:pPr>
        <w:pStyle w:val="BodyText"/>
        <w:spacing w:before="5"/>
        <w:rPr>
          <w:rFonts w:ascii="黑体"/>
          <w:sz w:val="17"/>
        </w:rPr>
      </w:pPr>
    </w:p>
    <w:p>
      <w:pPr>
        <w:spacing w:line="357" w:lineRule="auto" w:before="0"/>
        <w:ind w:left="140" w:right="1282" w:firstLine="480"/>
        <w:jc w:val="both"/>
        <w:rPr>
          <w:rFonts w:ascii="黑体" w:hAnsi="黑体" w:eastAsia="黑体" w:hint="eastAsia"/>
          <w:sz w:val="24"/>
        </w:rPr>
      </w:pPr>
      <w:r>
        <w:rPr>
          <w:rFonts w:ascii="黑体" w:hAnsi="黑体" w:eastAsia="黑体" w:hint="eastAsia"/>
          <w:sz w:val="24"/>
        </w:rPr>
        <w:t>1．</w:t>
      </w:r>
      <w:r>
        <w:rPr>
          <w:rFonts w:ascii="黑体" w:hAnsi="黑体" w:eastAsia="黑体" w:hint="eastAsia"/>
          <w:spacing w:val="-6"/>
          <w:sz w:val="24"/>
        </w:rPr>
        <w:t>如无特别约定，本条款中的“您”指投保人，“我公司”和“保险公司”指华夏人寿保险股份有限公司。</w:t>
      </w:r>
    </w:p>
    <w:p>
      <w:pPr>
        <w:pStyle w:val="BodyText"/>
        <w:spacing w:before="0"/>
        <w:rPr>
          <w:rFonts w:ascii="黑体"/>
          <w:sz w:val="24"/>
        </w:rPr>
      </w:pPr>
    </w:p>
    <w:p>
      <w:pPr>
        <w:spacing w:line="357" w:lineRule="auto" w:before="187"/>
        <w:ind w:left="140" w:right="1369" w:firstLine="480"/>
        <w:jc w:val="both"/>
        <w:rPr>
          <w:rFonts w:ascii="黑体" w:eastAsia="黑体" w:hint="eastAsia"/>
          <w:sz w:val="24"/>
        </w:rPr>
      </w:pPr>
      <w:r>
        <w:rPr>
          <w:rFonts w:ascii="黑体" w:eastAsia="黑体" w:hint="eastAsia"/>
          <w:sz w:val="24"/>
        </w:rPr>
        <w:t>2．本条款是您与我公司签订的保险合同的重要组成部分，为了保证您的合</w:t>
      </w:r>
      <w:r>
        <w:rPr>
          <w:rFonts w:ascii="黑体" w:eastAsia="黑体" w:hint="eastAsia"/>
          <w:spacing w:val="-10"/>
          <w:sz w:val="24"/>
        </w:rPr>
        <w:t>法权益，您应当仔细阅读本条款的内容。您对本条款中不能理解的内容可以向我</w:t>
      </w:r>
      <w:r>
        <w:rPr>
          <w:rFonts w:ascii="黑体" w:eastAsia="黑体" w:hint="eastAsia"/>
          <w:spacing w:val="-13"/>
          <w:sz w:val="24"/>
        </w:rPr>
        <w:t>公司提出询问，我公司对您所询问的问题将给予清楚解答。在确认对本条款的内</w:t>
      </w:r>
      <w:r>
        <w:rPr>
          <w:rFonts w:ascii="黑体" w:eastAsia="黑体" w:hint="eastAsia"/>
          <w:spacing w:val="2"/>
          <w:sz w:val="24"/>
        </w:rPr>
        <w:t>容均明白无误且我公司已向您明确说明免责条款以及其它可能导致我公司不承</w:t>
      </w:r>
      <w:r>
        <w:rPr>
          <w:rFonts w:ascii="黑体" w:eastAsia="黑体" w:hint="eastAsia"/>
          <w:sz w:val="24"/>
        </w:rPr>
        <w:t>担保险责任的条款后，您可与我公司签订保险合同。</w:t>
      </w:r>
    </w:p>
    <w:p>
      <w:pPr>
        <w:pStyle w:val="BodyText"/>
        <w:spacing w:before="0"/>
        <w:rPr>
          <w:rFonts w:ascii="黑体"/>
          <w:sz w:val="24"/>
        </w:rPr>
      </w:pPr>
    </w:p>
    <w:p>
      <w:pPr>
        <w:spacing w:line="357" w:lineRule="auto" w:before="189"/>
        <w:ind w:left="140" w:right="1373" w:firstLine="480"/>
        <w:jc w:val="both"/>
        <w:rPr>
          <w:rFonts w:ascii="黑体" w:eastAsia="黑体" w:hint="eastAsia"/>
          <w:sz w:val="24"/>
        </w:rPr>
      </w:pPr>
      <w:r>
        <w:rPr>
          <w:rFonts w:ascii="黑体" w:eastAsia="黑体" w:hint="eastAsia"/>
          <w:sz w:val="24"/>
        </w:rPr>
        <w:t>3．为了我公司正确评估是否接受您的投保请求和确定合理的保险费收取标</w:t>
      </w:r>
      <w:r>
        <w:rPr>
          <w:rFonts w:ascii="黑体" w:eastAsia="黑体" w:hint="eastAsia"/>
          <w:spacing w:val="-9"/>
          <w:sz w:val="24"/>
        </w:rPr>
        <w:t>准，您应当按照保险合同的约定向我公司如实告知您、被保险人和受益人的相关情况。</w:t>
      </w:r>
    </w:p>
    <w:p>
      <w:pPr>
        <w:pStyle w:val="BodyText"/>
        <w:spacing w:before="0"/>
        <w:rPr>
          <w:rFonts w:ascii="黑体"/>
          <w:sz w:val="24"/>
        </w:rPr>
      </w:pPr>
    </w:p>
    <w:p>
      <w:pPr>
        <w:pStyle w:val="BodyText"/>
        <w:spacing w:before="5"/>
        <w:rPr>
          <w:rFonts w:ascii="黑体"/>
          <w:sz w:val="20"/>
        </w:rPr>
      </w:pPr>
    </w:p>
    <w:p>
      <w:pPr>
        <w:spacing w:line="357" w:lineRule="auto" w:before="0"/>
        <w:ind w:left="140" w:right="1257" w:firstLine="480"/>
        <w:jc w:val="left"/>
        <w:rPr>
          <w:rFonts w:ascii="黑体" w:eastAsia="黑体" w:hint="eastAsia"/>
          <w:sz w:val="24"/>
        </w:rPr>
      </w:pPr>
      <w:r>
        <w:rPr>
          <w:rFonts w:ascii="黑体" w:eastAsia="黑体" w:hint="eastAsia"/>
          <w:sz w:val="24"/>
        </w:rPr>
        <w:t>4．本条款中所用的标题如果明确约定了具体内容，则该标题构成保险合同</w:t>
      </w:r>
      <w:r>
        <w:rPr>
          <w:rFonts w:ascii="黑体" w:eastAsia="黑体" w:hint="eastAsia"/>
          <w:spacing w:val="-17"/>
          <w:sz w:val="24"/>
        </w:rPr>
        <w:t>的组成部分，您和我公司均应遵守该内容；如果某项标题没有明确约定具体内容， 则该标题仅作为阅读指引，不构成对保险合同内容的约定和解释。</w:t>
      </w:r>
    </w:p>
    <w:p>
      <w:pPr>
        <w:spacing w:after="0" w:line="357" w:lineRule="auto"/>
        <w:jc w:val="left"/>
        <w:rPr>
          <w:rFonts w:ascii="黑体" w:eastAsia="黑体" w:hint="eastAsia"/>
          <w:sz w:val="24"/>
        </w:rPr>
        <w:sectPr>
          <w:type w:val="continuous"/>
          <w:pgSz w:w="11910" w:h="16840"/>
          <w:pgMar w:top="1100" w:bottom="1180" w:left="1660" w:right="420"/>
        </w:sectPr>
      </w:pPr>
    </w:p>
    <w:p>
      <w:pPr>
        <w:pStyle w:val="BodyText"/>
        <w:spacing w:before="7"/>
        <w:rPr>
          <w:rFonts w:ascii="黑体"/>
          <w:sz w:val="25"/>
        </w:rPr>
      </w:pPr>
    </w:p>
    <w:p>
      <w:pPr>
        <w:spacing w:before="26"/>
        <w:ind w:left="4035" w:right="4192" w:firstLine="0"/>
        <w:jc w:val="center"/>
        <w:rPr>
          <w:b/>
          <w:sz w:val="24"/>
        </w:rPr>
      </w:pPr>
      <w:r>
        <w:rPr>
          <w:b/>
          <w:sz w:val="24"/>
        </w:rPr>
        <w:t>目录</w:t>
      </w:r>
    </w:p>
    <w:sdt>
      <w:sdtPr>
        <w:docPartObj>
          <w:docPartGallery w:val="Table of Contents"/>
          <w:docPartUnique/>
        </w:docPartObj>
      </w:sdtPr>
      <w:sdtEndPr/>
      <w:sdtContent>
        <w:p>
          <w:pPr>
            <w:pStyle w:val="TOC2"/>
            <w:tabs>
              <w:tab w:pos="8639" w:val="right" w:leader="dot"/>
            </w:tabs>
            <w:rPr>
              <w:rFonts w:ascii="宋体" w:eastAsia="宋体" w:hint="eastAsia"/>
            </w:rPr>
          </w:pPr>
          <w:hyperlink w:history="true" w:anchor="_TOC_250016">
            <w:r>
              <w:rPr/>
              <w:t>第一章</w:t>
            </w:r>
            <w:r>
              <w:rPr>
                <w:spacing w:val="-1"/>
              </w:rPr>
              <w:t> </w:t>
            </w:r>
            <w:r>
              <w:rPr/>
              <w:t>我公司保险责任</w:t>
              <w:tab/>
            </w:r>
            <w:r>
              <w:rPr>
                <w:rFonts w:ascii="宋体" w:eastAsia="宋体" w:hint="eastAsia"/>
              </w:rPr>
              <w:t>3</w:t>
            </w:r>
          </w:hyperlink>
        </w:p>
        <w:p>
          <w:pPr>
            <w:pStyle w:val="TOC3"/>
            <w:tabs>
              <w:tab w:pos="8639" w:val="right" w:leader="dot"/>
            </w:tabs>
          </w:pPr>
          <w:hyperlink w:history="true" w:anchor="_TOC_250015">
            <w:r>
              <w:rPr/>
              <w:t>第一条</w:t>
            </w:r>
            <w:r>
              <w:rPr>
                <w:spacing w:val="-1"/>
              </w:rPr>
              <w:t> </w:t>
            </w:r>
            <w:r>
              <w:rPr/>
              <w:t>保险责任</w:t>
              <w:tab/>
              <w:t>3</w:t>
            </w:r>
          </w:hyperlink>
        </w:p>
        <w:p>
          <w:pPr>
            <w:pStyle w:val="TOC3"/>
            <w:tabs>
              <w:tab w:pos="8639" w:val="right" w:leader="dot"/>
            </w:tabs>
          </w:pPr>
          <w:hyperlink w:history="true" w:anchor="_TOC_250014">
            <w:r>
              <w:rPr/>
              <w:t>第二条</w:t>
            </w:r>
            <w:r>
              <w:rPr>
                <w:spacing w:val="-1"/>
              </w:rPr>
              <w:t> </w:t>
            </w:r>
            <w:r>
              <w:rPr/>
              <w:t>免责条款</w:t>
              <w:tab/>
              <w:t>3</w:t>
            </w:r>
          </w:hyperlink>
        </w:p>
        <w:p>
          <w:pPr>
            <w:pStyle w:val="TOC3"/>
            <w:tabs>
              <w:tab w:pos="8639" w:val="right" w:leader="dot"/>
            </w:tabs>
          </w:pPr>
          <w:hyperlink w:history="true" w:anchor="_TOC_250013">
            <w:r>
              <w:rPr/>
              <w:t>第三条</w:t>
            </w:r>
            <w:r>
              <w:rPr>
                <w:spacing w:val="-1"/>
              </w:rPr>
              <w:t> </w:t>
            </w:r>
            <w:r>
              <w:rPr/>
              <w:t>保险金额</w:t>
              <w:tab/>
              <w:t>4</w:t>
            </w:r>
          </w:hyperlink>
        </w:p>
        <w:p>
          <w:pPr>
            <w:pStyle w:val="TOC3"/>
            <w:tabs>
              <w:tab w:pos="8639" w:val="right" w:leader="dot"/>
            </w:tabs>
          </w:pPr>
          <w:hyperlink w:history="true" w:anchor="_TOC_250012">
            <w:r>
              <w:rPr/>
              <w:t>第四条</w:t>
            </w:r>
            <w:r>
              <w:rPr>
                <w:spacing w:val="-1"/>
              </w:rPr>
              <w:t> </w:t>
            </w:r>
            <w:r>
              <w:rPr/>
              <w:t>保险期间</w:t>
              <w:tab/>
              <w:t>4</w:t>
            </w:r>
          </w:hyperlink>
        </w:p>
        <w:p>
          <w:pPr>
            <w:pStyle w:val="TOC3"/>
            <w:tabs>
              <w:tab w:pos="8639" w:val="right" w:leader="dot"/>
            </w:tabs>
          </w:pPr>
          <w:hyperlink w:history="true" w:anchor="_TOC_250011">
            <w:r>
              <w:rPr/>
              <w:t>第五条</w:t>
            </w:r>
            <w:r>
              <w:rPr>
                <w:spacing w:val="-1"/>
              </w:rPr>
              <w:t> </w:t>
            </w:r>
            <w:r>
              <w:rPr/>
              <w:t>保险金的给付</w:t>
              <w:tab/>
              <w:t>4</w:t>
            </w:r>
          </w:hyperlink>
        </w:p>
        <w:p>
          <w:pPr>
            <w:pStyle w:val="TOC3"/>
            <w:tabs>
              <w:tab w:pos="8639" w:val="right" w:leader="dot"/>
            </w:tabs>
          </w:pPr>
          <w:hyperlink w:history="true" w:anchor="_TOC_250010">
            <w:r>
              <w:rPr/>
              <w:t>第六条</w:t>
            </w:r>
            <w:r>
              <w:rPr>
                <w:spacing w:val="-1"/>
              </w:rPr>
              <w:t> </w:t>
            </w:r>
            <w:r>
              <w:rPr/>
              <w:t>说明义务</w:t>
              <w:tab/>
              <w:t>4</w:t>
            </w:r>
          </w:hyperlink>
        </w:p>
        <w:p>
          <w:pPr>
            <w:pStyle w:val="TOC1"/>
            <w:tabs>
              <w:tab w:pos="8638" w:val="right" w:leader="dot"/>
            </w:tabs>
            <w:rPr>
              <w:rFonts w:ascii="宋体" w:eastAsia="宋体" w:hint="eastAsia"/>
            </w:rPr>
          </w:pPr>
          <w:hyperlink w:history="true" w:anchor="_TOC_250009">
            <w:r>
              <w:rPr/>
              <w:t>第二章</w:t>
            </w:r>
            <w:r>
              <w:rPr>
                <w:spacing w:val="-1"/>
              </w:rPr>
              <w:t> </w:t>
            </w:r>
            <w:r>
              <w:rPr/>
              <w:t>您的权利</w:t>
              <w:tab/>
            </w:r>
            <w:r>
              <w:rPr>
                <w:rFonts w:ascii="宋体" w:eastAsia="宋体" w:hint="eastAsia"/>
              </w:rPr>
              <w:t>4</w:t>
            </w:r>
          </w:hyperlink>
        </w:p>
        <w:p>
          <w:pPr>
            <w:pStyle w:val="TOC3"/>
            <w:tabs>
              <w:tab w:pos="8639" w:val="right" w:leader="dot"/>
            </w:tabs>
          </w:pPr>
          <w:hyperlink w:history="true" w:anchor="_TOC_250008">
            <w:r>
              <w:rPr/>
              <w:t>第七条</w:t>
            </w:r>
            <w:r>
              <w:rPr>
                <w:spacing w:val="-1"/>
              </w:rPr>
              <w:t> </w:t>
            </w:r>
            <w:r>
              <w:rPr/>
              <w:t>您解除、变更合同的权利</w:t>
              <w:tab/>
              <w:t>4</w:t>
            </w:r>
          </w:hyperlink>
        </w:p>
        <w:p>
          <w:pPr>
            <w:pStyle w:val="TOC3"/>
            <w:tabs>
              <w:tab w:pos="8639" w:val="right" w:leader="dot"/>
            </w:tabs>
          </w:pPr>
          <w:hyperlink w:history="true" w:anchor="_TOC_250007">
            <w:r>
              <w:rPr/>
              <w:t>第八条</w:t>
            </w:r>
            <w:r>
              <w:rPr>
                <w:spacing w:val="-1"/>
              </w:rPr>
              <w:t> </w:t>
            </w:r>
            <w:r>
              <w:rPr/>
              <w:t>受益人的指定和变更</w:t>
              <w:tab/>
              <w:t>5</w:t>
            </w:r>
          </w:hyperlink>
        </w:p>
        <w:p>
          <w:pPr>
            <w:pStyle w:val="TOC3"/>
            <w:tabs>
              <w:tab w:pos="8639" w:val="right" w:leader="dot"/>
            </w:tabs>
          </w:pPr>
          <w:hyperlink w:history="true" w:anchor="_TOC_250006">
            <w:r>
              <w:rPr/>
              <w:t>第九条</w:t>
            </w:r>
            <w:r>
              <w:rPr>
                <w:spacing w:val="-1"/>
              </w:rPr>
              <w:t> </w:t>
            </w:r>
            <w:r>
              <w:rPr/>
              <w:t>申请给付保险金的权利</w:t>
              <w:tab/>
              <w:t>5</w:t>
            </w:r>
          </w:hyperlink>
        </w:p>
        <w:p>
          <w:pPr>
            <w:pStyle w:val="TOC1"/>
            <w:tabs>
              <w:tab w:pos="8638" w:val="right" w:leader="dot"/>
            </w:tabs>
            <w:rPr>
              <w:rFonts w:ascii="宋体" w:eastAsia="宋体" w:hint="eastAsia"/>
            </w:rPr>
          </w:pPr>
          <w:hyperlink w:history="true" w:anchor="_TOC_250005">
            <w:r>
              <w:rPr/>
              <w:t>第三章</w:t>
            </w:r>
            <w:r>
              <w:rPr>
                <w:spacing w:val="-1"/>
              </w:rPr>
              <w:t> </w:t>
            </w:r>
            <w:r>
              <w:rPr/>
              <w:t>您的义务</w:t>
              <w:tab/>
            </w:r>
            <w:r>
              <w:rPr>
                <w:rFonts w:ascii="宋体" w:eastAsia="宋体" w:hint="eastAsia"/>
              </w:rPr>
              <w:t>6</w:t>
            </w:r>
          </w:hyperlink>
        </w:p>
        <w:p>
          <w:pPr>
            <w:pStyle w:val="TOC3"/>
            <w:tabs>
              <w:tab w:pos="8639" w:val="right" w:leader="dot"/>
            </w:tabs>
          </w:pPr>
          <w:hyperlink w:history="true" w:anchor="_TOC_250004">
            <w:r>
              <w:rPr/>
              <w:t>第十条</w:t>
            </w:r>
            <w:r>
              <w:rPr>
                <w:spacing w:val="-1"/>
              </w:rPr>
              <w:t> </w:t>
            </w:r>
            <w:r>
              <w:rPr/>
              <w:t>交纳保险费的义务</w:t>
              <w:tab/>
              <w:t>6</w:t>
            </w:r>
          </w:hyperlink>
        </w:p>
        <w:p>
          <w:pPr>
            <w:pStyle w:val="TOC3"/>
            <w:tabs>
              <w:tab w:pos="8639" w:val="right" w:leader="dot"/>
            </w:tabs>
          </w:pPr>
          <w:r>
            <w:rPr/>
            <w:t>第十一条</w:t>
          </w:r>
          <w:r>
            <w:rPr>
              <w:spacing w:val="-1"/>
            </w:rPr>
            <w:t> </w:t>
          </w:r>
          <w:r>
            <w:rPr/>
            <w:t>保险费的交纳方式</w:t>
            <w:tab/>
            <w:t>6</w:t>
          </w:r>
        </w:p>
        <w:p>
          <w:pPr>
            <w:pStyle w:val="TOC3"/>
            <w:tabs>
              <w:tab w:pos="8639" w:val="right" w:leader="dot"/>
            </w:tabs>
          </w:pPr>
          <w:r>
            <w:rPr/>
            <w:t>第十二条</w:t>
          </w:r>
          <w:r>
            <w:rPr>
              <w:spacing w:val="-1"/>
            </w:rPr>
            <w:t> </w:t>
          </w:r>
          <w:r>
            <w:rPr/>
            <w:t>身体检查</w:t>
            <w:tab/>
            <w:t>6</w:t>
          </w:r>
        </w:p>
        <w:p>
          <w:pPr>
            <w:pStyle w:val="TOC1"/>
            <w:tabs>
              <w:tab w:pos="8638" w:val="right" w:leader="dot"/>
            </w:tabs>
            <w:rPr>
              <w:rFonts w:ascii="宋体" w:eastAsia="宋体" w:hint="eastAsia"/>
            </w:rPr>
          </w:pPr>
          <w:hyperlink w:history="true" w:anchor="_TOC_250003">
            <w:r>
              <w:rPr/>
              <w:t>第四章 附则</w:t>
              <w:tab/>
            </w:r>
            <w:r>
              <w:rPr>
                <w:rFonts w:ascii="宋体" w:eastAsia="宋体" w:hint="eastAsia"/>
              </w:rPr>
              <w:t>6</w:t>
            </w:r>
          </w:hyperlink>
        </w:p>
        <w:p>
          <w:pPr>
            <w:pStyle w:val="TOC3"/>
            <w:tabs>
              <w:tab w:pos="8639" w:val="right" w:leader="dot"/>
            </w:tabs>
          </w:pPr>
          <w:hyperlink w:history="true" w:anchor="_TOC_250002">
            <w:r>
              <w:rPr/>
              <w:t>第十三条</w:t>
            </w:r>
            <w:r>
              <w:rPr>
                <w:spacing w:val="-1"/>
              </w:rPr>
              <w:t> </w:t>
            </w:r>
            <w:r>
              <w:rPr/>
              <w:t>保险合同的构成</w:t>
              <w:tab/>
              <w:t>6</w:t>
            </w:r>
          </w:hyperlink>
        </w:p>
        <w:p>
          <w:pPr>
            <w:pStyle w:val="TOC3"/>
            <w:tabs>
              <w:tab w:pos="8639" w:val="right" w:leader="dot"/>
            </w:tabs>
          </w:pPr>
          <w:hyperlink w:history="true" w:anchor="_TOC_250001">
            <w:r>
              <w:rPr/>
              <w:t>第十四条</w:t>
            </w:r>
            <w:r>
              <w:rPr>
                <w:spacing w:val="-1"/>
              </w:rPr>
              <w:t> </w:t>
            </w:r>
            <w:r>
              <w:rPr/>
              <w:t>投保范围</w:t>
              <w:tab/>
              <w:t>7</w:t>
            </w:r>
          </w:hyperlink>
        </w:p>
        <w:p>
          <w:pPr>
            <w:pStyle w:val="TOC3"/>
            <w:tabs>
              <w:tab w:pos="8639" w:val="right" w:leader="dot"/>
            </w:tabs>
          </w:pPr>
          <w:r>
            <w:rPr/>
            <w:t>第十五条</w:t>
          </w:r>
          <w:r>
            <w:rPr>
              <w:spacing w:val="-1"/>
            </w:rPr>
            <w:t> </w:t>
          </w:r>
          <w:r>
            <w:rPr/>
            <w:t>合同生效</w:t>
            <w:tab/>
            <w:t>7</w:t>
          </w:r>
        </w:p>
        <w:p>
          <w:pPr>
            <w:pStyle w:val="TOC3"/>
            <w:tabs>
              <w:tab w:pos="8639" w:val="right" w:leader="dot"/>
            </w:tabs>
          </w:pPr>
          <w:r>
            <w:rPr/>
            <w:t>第十六条</w:t>
          </w:r>
          <w:r>
            <w:rPr>
              <w:spacing w:val="-1"/>
            </w:rPr>
            <w:t> </w:t>
          </w:r>
          <w:r>
            <w:rPr/>
            <w:t>合同中止和复效</w:t>
            <w:tab/>
            <w:t>7</w:t>
          </w:r>
        </w:p>
        <w:p>
          <w:pPr>
            <w:pStyle w:val="TOC3"/>
            <w:tabs>
              <w:tab w:pos="8639" w:val="right" w:leader="dot"/>
            </w:tabs>
          </w:pPr>
          <w:r>
            <w:rPr/>
            <w:t>第十七条</w:t>
          </w:r>
          <w:r>
            <w:rPr>
              <w:spacing w:val="-1"/>
            </w:rPr>
            <w:t> </w:t>
          </w:r>
          <w:r>
            <w:rPr/>
            <w:t>合同效力终止</w:t>
            <w:tab/>
            <w:t>7</w:t>
          </w:r>
        </w:p>
        <w:p>
          <w:pPr>
            <w:pStyle w:val="TOC1"/>
            <w:tabs>
              <w:tab w:pos="8638" w:val="right" w:leader="dot"/>
            </w:tabs>
            <w:rPr>
              <w:rFonts w:ascii="宋体" w:eastAsia="宋体" w:hint="eastAsia"/>
            </w:rPr>
          </w:pPr>
          <w:hyperlink w:history="true" w:anchor="_TOC_250000">
            <w:r>
              <w:rPr/>
              <w:t>第五章 释义</w:t>
              <w:tab/>
            </w:r>
            <w:r>
              <w:rPr>
                <w:rFonts w:ascii="宋体" w:eastAsia="宋体" w:hint="eastAsia"/>
              </w:rPr>
              <w:t>8</w:t>
            </w:r>
          </w:hyperlink>
        </w:p>
      </w:sdtContent>
    </w:sdt>
    <w:p>
      <w:pPr>
        <w:spacing w:after="0"/>
        <w:rPr>
          <w:rFonts w:ascii="宋体" w:eastAsia="宋体" w:hint="eastAsia"/>
        </w:rPr>
        <w:sectPr>
          <w:pgSz w:w="11910" w:h="16840"/>
          <w:pgMar w:header="872" w:footer="998" w:top="1100" w:bottom="1180" w:left="1660" w:right="1500"/>
        </w:sectPr>
      </w:pPr>
    </w:p>
    <w:p>
      <w:pPr>
        <w:pStyle w:val="Heading2"/>
        <w:spacing w:before="701"/>
      </w:pPr>
      <w:bookmarkStart w:name="_TOC_250016" w:id="1"/>
      <w:bookmarkEnd w:id="1"/>
      <w:r>
        <w:rPr/>
        <w:t>第一章 我公司保险责任</w:t>
      </w:r>
    </w:p>
    <w:p>
      <w:pPr>
        <w:pStyle w:val="BodyText"/>
        <w:spacing w:before="0"/>
        <w:rPr>
          <w:rFonts w:ascii="黑体"/>
          <w:sz w:val="20"/>
        </w:rPr>
      </w:pPr>
    </w:p>
    <w:p>
      <w:pPr>
        <w:pStyle w:val="BodyText"/>
        <w:spacing w:before="8"/>
        <w:rPr>
          <w:rFonts w:ascii="黑体"/>
          <w:sz w:val="18"/>
        </w:rPr>
      </w:pPr>
    </w:p>
    <w:p>
      <w:pPr>
        <w:pStyle w:val="Heading3"/>
      </w:pPr>
      <w:bookmarkStart w:name="_TOC_250015" w:id="2"/>
      <w:bookmarkEnd w:id="2"/>
      <w:r>
        <w:rPr/>
        <w:t>第一条 保险责任</w:t>
      </w:r>
    </w:p>
    <w:p>
      <w:pPr>
        <w:pStyle w:val="BodyText"/>
        <w:spacing w:line="620" w:lineRule="atLeast" w:before="30"/>
        <w:ind w:left="560" w:right="2142"/>
      </w:pPr>
      <w:r>
        <w:rPr/>
        <w:t>在本附加合同有效期间内，我公司按照以下约定承担保险责任： 一、首次重大疾病保险金</w:t>
      </w:r>
    </w:p>
    <w:p>
      <w:pPr>
        <w:pStyle w:val="BodyText"/>
        <w:spacing w:line="273" w:lineRule="auto" w:before="37"/>
        <w:ind w:left="560" w:right="135"/>
        <w:jc w:val="both"/>
      </w:pPr>
      <w:r>
        <w:rPr>
          <w:spacing w:val="-2"/>
        </w:rPr>
        <w:t>若被保险人于本附加合同生效</w:t>
      </w:r>
      <w:r>
        <w:rPr/>
        <w:t>（或最后一次复效</w:t>
      </w:r>
      <w:r>
        <w:rPr>
          <w:spacing w:val="-25"/>
        </w:rPr>
        <w:t>）</w:t>
      </w:r>
      <w:r>
        <w:rPr>
          <w:spacing w:val="-4"/>
        </w:rPr>
        <w:t>之日起九十日内</w:t>
      </w:r>
      <w:r>
        <w:rPr/>
        <w:t>（含第九十日</w:t>
      </w:r>
      <w:r>
        <w:rPr>
          <w:spacing w:val="-25"/>
        </w:rPr>
        <w:t>）</w:t>
      </w:r>
      <w:r>
        <w:rPr/>
        <w:t>初次</w:t>
      </w:r>
      <w:r>
        <w:rPr>
          <w:spacing w:val="-8"/>
        </w:rPr>
        <w:t>患本附加合同所列的重大疾病</w:t>
      </w:r>
      <w:r>
        <w:rPr/>
        <w:t>（因意外事故导致初次患本附加合同所列的重大疾病不受九十日的限制</w:t>
      </w:r>
      <w:r>
        <w:rPr>
          <w:spacing w:val="-105"/>
        </w:rPr>
        <w:t>）</w:t>
      </w:r>
      <w:r>
        <w:rPr/>
        <w:t>，我公司不承担保险责任，但向您无息返还所交保险费，同时本附加合同终止。</w:t>
      </w:r>
    </w:p>
    <w:p>
      <w:pPr>
        <w:pStyle w:val="BodyText"/>
        <w:spacing w:before="5"/>
        <w:rPr>
          <w:sz w:val="24"/>
        </w:rPr>
      </w:pPr>
    </w:p>
    <w:p>
      <w:pPr>
        <w:pStyle w:val="BodyText"/>
        <w:spacing w:line="273" w:lineRule="auto" w:before="0"/>
        <w:ind w:left="560" w:right="135"/>
        <w:jc w:val="both"/>
      </w:pPr>
      <w:r>
        <w:rPr>
          <w:spacing w:val="-4"/>
        </w:rPr>
        <w:t>若被保险人于本附加合同生效</w:t>
      </w:r>
      <w:r>
        <w:rPr/>
        <w:t>（或最后一次复效</w:t>
      </w:r>
      <w:r>
        <w:rPr>
          <w:spacing w:val="-47"/>
        </w:rPr>
        <w:t>）</w:t>
      </w:r>
      <w:r>
        <w:rPr/>
        <w:t>之日起九十日后初次患本附加合同所</w:t>
      </w:r>
      <w:r>
        <w:rPr>
          <w:spacing w:val="-7"/>
        </w:rPr>
        <w:t>列的重大疾病，或于本附加合同生效</w:t>
      </w:r>
      <w:r>
        <w:rPr/>
        <w:t>（或最后一次复效</w:t>
      </w:r>
      <w:r>
        <w:rPr>
          <w:spacing w:val="-32"/>
        </w:rPr>
        <w:t>）</w:t>
      </w:r>
      <w:r>
        <w:rPr/>
        <w:t>之日起因意外事故导致初次患</w:t>
      </w:r>
      <w:r>
        <w:rPr>
          <w:spacing w:val="-8"/>
        </w:rPr>
        <w:t>本附加合同所列的重大疾病，我公司将按本附加合同载明的保险金额的三倍给付首次重</w:t>
      </w:r>
      <w:r>
        <w:rPr>
          <w:spacing w:val="-12"/>
        </w:rPr>
        <w:t>大疾病保险金，本附加合同及所附主合同继续有效，所附主合同的身故和全残保险金额</w:t>
      </w:r>
      <w:r>
        <w:rPr>
          <w:spacing w:val="-17"/>
        </w:rPr>
        <w:t>按照本附加合同载明的保险金额等额减少，所附主合同以后各期的保险费按照投保年龄和等额减少后的主合同身故和全残保险金额确定，同时本附加合同的现金价值减少为</w:t>
      </w:r>
      <w:r>
        <w:rPr>
          <w:spacing w:val="-11"/>
        </w:rPr>
        <w:t>零。所附主合同的身故和全残保险金额等额减少后，主合同的身故和全残保险金给付额度变更为以下三项相比数额最大者：</w:t>
      </w:r>
    </w:p>
    <w:p>
      <w:pPr>
        <w:pStyle w:val="BodyText"/>
        <w:spacing w:before="7"/>
        <w:ind w:left="560"/>
      </w:pPr>
      <w:r>
        <w:rPr/>
        <w:t>（一）等额减少后的主合同身故和全残保险金额的三倍；</w:t>
      </w:r>
    </w:p>
    <w:p>
      <w:pPr>
        <w:pStyle w:val="BodyText"/>
        <w:spacing w:before="37"/>
        <w:ind w:left="560"/>
      </w:pPr>
      <w:r>
        <w:rPr/>
        <w:t>（二）主合同在被保险人身故时或全残鉴定之日的现金价值净额；</w:t>
      </w:r>
    </w:p>
    <w:p>
      <w:pPr>
        <w:pStyle w:val="BodyText"/>
        <w:spacing w:line="273" w:lineRule="auto" w:before="37"/>
        <w:ind w:left="560" w:right="135"/>
      </w:pPr>
      <w:r>
        <w:rPr/>
        <w:t>（三</w:t>
      </w:r>
      <w:r>
        <w:rPr>
          <w:spacing w:val="-94"/>
        </w:rPr>
        <w:t>）</w:t>
      </w:r>
      <w:r>
        <w:rPr/>
        <w:t>按照投保年龄和等额减少后的主合同身故和全残保险金额确定的主合同年交保险费乘以您在被保险人身故时或全残鉴定之日以前已交保险费次数的所得数额。</w:t>
      </w:r>
    </w:p>
    <w:p>
      <w:pPr>
        <w:pStyle w:val="BodyText"/>
        <w:spacing w:before="5"/>
        <w:rPr>
          <w:sz w:val="24"/>
        </w:rPr>
      </w:pPr>
    </w:p>
    <w:p>
      <w:pPr>
        <w:pStyle w:val="BodyText"/>
        <w:spacing w:before="0"/>
        <w:ind w:left="560"/>
      </w:pPr>
      <w:r>
        <w:rPr/>
        <w:t>二、第二次重大疾病保险金</w:t>
      </w:r>
    </w:p>
    <w:p>
      <w:pPr>
        <w:pStyle w:val="BodyText"/>
        <w:spacing w:line="273" w:lineRule="auto"/>
        <w:ind w:left="560" w:right="135"/>
        <w:jc w:val="both"/>
      </w:pPr>
      <w:r>
        <w:rPr/>
        <w:t>若同一被保险人已领取首次重大疾病保险金并且自首次重大疾病确诊之日算起满三百</w:t>
      </w:r>
      <w:r>
        <w:rPr>
          <w:spacing w:val="-3"/>
        </w:rPr>
        <w:t>六十五天后初次患首次重大疾病所属组别以外其他两组中的任何一种重大疾病，我公司将按本附加合同载明保险金额的三倍给付第二次重大疾病保险金，同时本附加合同终止。</w:t>
      </w:r>
    </w:p>
    <w:p>
      <w:pPr>
        <w:pStyle w:val="BodyText"/>
        <w:spacing w:before="5"/>
        <w:rPr>
          <w:sz w:val="24"/>
        </w:rPr>
      </w:pPr>
    </w:p>
    <w:p>
      <w:pPr>
        <w:pStyle w:val="BodyText"/>
        <w:spacing w:before="0"/>
        <w:ind w:left="560"/>
      </w:pPr>
      <w:r>
        <w:rPr/>
        <w:t>三、重大疾病保险费豁免</w:t>
      </w:r>
    </w:p>
    <w:p>
      <w:pPr>
        <w:pStyle w:val="BodyText"/>
        <w:spacing w:line="273" w:lineRule="auto" w:before="37"/>
        <w:ind w:left="560" w:right="135"/>
      </w:pPr>
      <w:r>
        <w:rPr>
          <w:spacing w:val="-6"/>
        </w:rPr>
        <w:t>若被保险人已领取首次重大疾病保险金，我公司将在给付首次重大疾病保险金后豁免本附加合同自首次重大疾病确诊之日以后的各期保险费。</w:t>
      </w:r>
    </w:p>
    <w:p>
      <w:pPr>
        <w:pStyle w:val="BodyText"/>
        <w:spacing w:before="5"/>
        <w:rPr>
          <w:sz w:val="26"/>
        </w:rPr>
      </w:pPr>
    </w:p>
    <w:p>
      <w:pPr>
        <w:pStyle w:val="Heading3"/>
        <w:spacing w:before="1"/>
      </w:pPr>
      <w:bookmarkStart w:name="_TOC_250014" w:id="3"/>
      <w:bookmarkEnd w:id="3"/>
      <w:r>
        <w:rPr/>
        <w:t>第二条 免责条款</w:t>
      </w:r>
    </w:p>
    <w:p>
      <w:pPr>
        <w:pStyle w:val="BodyText"/>
        <w:spacing w:before="7"/>
        <w:rPr>
          <w:b/>
          <w:sz w:val="28"/>
        </w:rPr>
      </w:pPr>
    </w:p>
    <w:p>
      <w:pPr>
        <w:pStyle w:val="BodyText"/>
        <w:spacing w:line="273" w:lineRule="auto" w:before="1"/>
        <w:ind w:left="560" w:right="137"/>
        <w:rPr>
          <w:rFonts w:ascii="黑体" w:eastAsia="黑体" w:hint="eastAsia"/>
        </w:rPr>
      </w:pPr>
      <w:r>
        <w:rPr>
          <w:rFonts w:ascii="黑体" w:eastAsia="黑体" w:hint="eastAsia"/>
        </w:rPr>
        <w:t>因下列情形之一或在本附加合同效力中止期间患重大疾病、达到疾病状态或进行手术的，我公司不承担保险责任：</w:t>
      </w:r>
    </w:p>
    <w:p>
      <w:pPr>
        <w:pStyle w:val="BodyText"/>
        <w:spacing w:line="273" w:lineRule="auto" w:before="8"/>
        <w:ind w:left="560" w:right="2772"/>
        <w:rPr>
          <w:rFonts w:ascii="黑体" w:eastAsia="黑体" w:hint="eastAsia"/>
        </w:rPr>
      </w:pPr>
      <w:r>
        <w:rPr>
          <w:rFonts w:ascii="黑体" w:eastAsia="黑体" w:hint="eastAsia"/>
        </w:rPr>
        <w:t>一、投保人、受益人对被保险人的故意杀害或故意伤害； 二、被保险人故意自伤、故意犯罪或拒捕；</w:t>
      </w:r>
    </w:p>
    <w:p>
      <w:pPr>
        <w:pStyle w:val="BodyText"/>
        <w:spacing w:before="8"/>
        <w:ind w:left="560"/>
        <w:jc w:val="both"/>
        <w:rPr>
          <w:rFonts w:ascii="黑体" w:eastAsia="黑体" w:hint="eastAsia"/>
        </w:rPr>
      </w:pPr>
      <w:r>
        <w:rPr>
          <w:rFonts w:ascii="黑体" w:eastAsia="黑体" w:hint="eastAsia"/>
        </w:rPr>
        <w:t>三、被保险人服用、吸食或注射毒品，酒后驾驶，无合法有效驾驶证驾驶或驾驶无有效</w:t>
      </w:r>
    </w:p>
    <w:p>
      <w:pPr>
        <w:spacing w:after="0"/>
        <w:jc w:val="both"/>
        <w:rPr>
          <w:rFonts w:ascii="黑体" w:eastAsia="黑体" w:hint="eastAsia"/>
        </w:rPr>
        <w:sectPr>
          <w:pgSz w:w="11910" w:h="16840"/>
          <w:pgMar w:header="872" w:footer="998" w:top="1100" w:bottom="1180" w:left="1660" w:right="1660"/>
        </w:sectPr>
      </w:pPr>
    </w:p>
    <w:p>
      <w:pPr>
        <w:pStyle w:val="BodyText"/>
        <w:spacing w:before="8"/>
        <w:rPr>
          <w:rFonts w:ascii="黑体"/>
          <w:sz w:val="20"/>
        </w:rPr>
      </w:pPr>
    </w:p>
    <w:p>
      <w:pPr>
        <w:pStyle w:val="BodyText"/>
        <w:ind w:left="980"/>
        <w:rPr>
          <w:rFonts w:ascii="黑体" w:eastAsia="黑体" w:hint="eastAsia"/>
        </w:rPr>
      </w:pPr>
      <w:r>
        <w:rPr>
          <w:rFonts w:ascii="黑体" w:eastAsia="黑体" w:hint="eastAsia"/>
        </w:rPr>
        <w:t>行驶证的机动车；</w:t>
      </w:r>
    </w:p>
    <w:p>
      <w:pPr>
        <w:pStyle w:val="BodyText"/>
        <w:spacing w:before="37"/>
        <w:ind w:left="560"/>
        <w:rPr>
          <w:rFonts w:ascii="黑体" w:eastAsia="黑体" w:hint="eastAsia"/>
        </w:rPr>
      </w:pPr>
      <w:r>
        <w:rPr>
          <w:rFonts w:ascii="黑体" w:eastAsia="黑体" w:hint="eastAsia"/>
        </w:rPr>
        <w:t>四、被保险人感染艾滋病病毒或患艾滋病（本附加合同第五章重大疾病释义中第 33、</w:t>
      </w:r>
    </w:p>
    <w:p>
      <w:pPr>
        <w:pStyle w:val="BodyText"/>
        <w:spacing w:before="37"/>
        <w:ind w:left="980"/>
        <w:rPr>
          <w:rFonts w:ascii="黑体" w:eastAsia="黑体" w:hint="eastAsia"/>
        </w:rPr>
      </w:pPr>
      <w:r>
        <w:rPr>
          <w:rFonts w:ascii="黑体" w:eastAsia="黑体" w:hint="eastAsia"/>
        </w:rPr>
        <w:t>34</w:t>
      </w:r>
      <w:r>
        <w:rPr>
          <w:rFonts w:ascii="黑体" w:eastAsia="黑体" w:hint="eastAsia"/>
          <w:spacing w:val="-10"/>
        </w:rPr>
        <w:t> 种疾病除外</w:t>
      </w:r>
      <w:r>
        <w:rPr>
          <w:rFonts w:ascii="黑体" w:eastAsia="黑体" w:hint="eastAsia"/>
          <w:spacing w:val="-105"/>
        </w:rPr>
        <w:t>）</w:t>
      </w:r>
      <w:r>
        <w:rPr>
          <w:rFonts w:ascii="黑体" w:eastAsia="黑体" w:hint="eastAsia"/>
        </w:rPr>
        <w:t>；</w:t>
      </w:r>
    </w:p>
    <w:p>
      <w:pPr>
        <w:pStyle w:val="BodyText"/>
        <w:spacing w:line="273" w:lineRule="auto" w:before="37"/>
        <w:ind w:left="559" w:right="4242"/>
        <w:rPr>
          <w:rFonts w:ascii="黑体" w:eastAsia="黑体" w:hint="eastAsia"/>
        </w:rPr>
      </w:pPr>
      <w:r>
        <w:rPr>
          <w:rFonts w:ascii="黑体" w:eastAsia="黑体" w:hint="eastAsia"/>
        </w:rPr>
        <w:t>五、战争、军事冲突、暴乱或武装叛乱； 六、核爆炸、核辐射或核污染；</w:t>
      </w:r>
    </w:p>
    <w:p>
      <w:pPr>
        <w:pStyle w:val="BodyText"/>
        <w:spacing w:before="7"/>
        <w:ind w:left="559"/>
        <w:rPr>
          <w:rFonts w:ascii="黑体" w:eastAsia="黑体" w:hint="eastAsia"/>
        </w:rPr>
      </w:pPr>
      <w:r>
        <w:rPr>
          <w:rFonts w:ascii="黑体" w:eastAsia="黑体" w:hint="eastAsia"/>
        </w:rPr>
        <w:t>七、遗传性疾病，先天性畸形、变形或染色体异常。</w:t>
      </w:r>
    </w:p>
    <w:p>
      <w:pPr>
        <w:pStyle w:val="BodyText"/>
        <w:spacing w:line="273" w:lineRule="auto"/>
        <w:ind w:left="559" w:right="136"/>
        <w:rPr>
          <w:rFonts w:ascii="黑体" w:eastAsia="黑体" w:hint="eastAsia"/>
        </w:rPr>
      </w:pPr>
      <w:r>
        <w:rPr>
          <w:rFonts w:ascii="黑体" w:eastAsia="黑体" w:hint="eastAsia"/>
          <w:spacing w:val="-6"/>
        </w:rPr>
        <w:t>在本附加合同有效期间内，被保险人因上述情形之一患重大疾病、达到疾病状态或进行手术的，我公司将向您退还本附加合同的现金价值净额，同时本附加合同终止。</w:t>
      </w:r>
    </w:p>
    <w:p>
      <w:pPr>
        <w:pStyle w:val="BodyText"/>
        <w:spacing w:before="5"/>
        <w:rPr>
          <w:rFonts w:ascii="黑体"/>
          <w:sz w:val="26"/>
        </w:rPr>
      </w:pPr>
    </w:p>
    <w:p>
      <w:pPr>
        <w:pStyle w:val="Heading3"/>
      </w:pPr>
      <w:bookmarkStart w:name="_TOC_250013" w:id="4"/>
      <w:bookmarkEnd w:id="4"/>
      <w:r>
        <w:rPr/>
        <w:t>第三条 保险金额</w:t>
      </w:r>
    </w:p>
    <w:p>
      <w:pPr>
        <w:pStyle w:val="BodyText"/>
        <w:spacing w:before="7"/>
        <w:rPr>
          <w:b/>
          <w:sz w:val="28"/>
        </w:rPr>
      </w:pPr>
    </w:p>
    <w:p>
      <w:pPr>
        <w:pStyle w:val="BodyText"/>
        <w:spacing w:line="273" w:lineRule="auto" w:before="1"/>
        <w:ind w:left="560" w:right="135"/>
      </w:pPr>
      <w:r>
        <w:rPr>
          <w:spacing w:val="-4"/>
        </w:rPr>
        <w:t>本附加合同的保险金额由您在投保时与我公司约定并在保险单上载明，且须符合我公司当时的投保规则。</w:t>
      </w:r>
    </w:p>
    <w:p>
      <w:pPr>
        <w:pStyle w:val="BodyText"/>
        <w:spacing w:before="6"/>
        <w:rPr>
          <w:sz w:val="26"/>
        </w:rPr>
      </w:pPr>
    </w:p>
    <w:p>
      <w:pPr>
        <w:pStyle w:val="Heading3"/>
      </w:pPr>
      <w:bookmarkStart w:name="_TOC_250012" w:id="5"/>
      <w:bookmarkEnd w:id="5"/>
      <w:r>
        <w:rPr/>
        <w:t>第四条 保险期间</w:t>
      </w:r>
    </w:p>
    <w:p>
      <w:pPr>
        <w:pStyle w:val="BodyText"/>
        <w:spacing w:before="3"/>
        <w:rPr>
          <w:b/>
          <w:sz w:val="27"/>
        </w:rPr>
      </w:pPr>
    </w:p>
    <w:p>
      <w:pPr>
        <w:pStyle w:val="BodyText"/>
        <w:spacing w:line="237" w:lineRule="auto" w:before="0"/>
        <w:ind w:left="560" w:right="135"/>
      </w:pPr>
      <w:r>
        <w:rPr>
          <w:spacing w:val="-5"/>
        </w:rPr>
        <w:t>本附加合同的保险期间自本附加合同生效日起算，至被保险人年满一百周岁的保单周年日止。</w:t>
      </w:r>
    </w:p>
    <w:p>
      <w:pPr>
        <w:pStyle w:val="BodyText"/>
        <w:spacing w:before="3"/>
        <w:rPr>
          <w:sz w:val="27"/>
        </w:rPr>
      </w:pPr>
    </w:p>
    <w:p>
      <w:pPr>
        <w:pStyle w:val="Heading3"/>
        <w:spacing w:before="1"/>
      </w:pPr>
      <w:bookmarkStart w:name="_TOC_250011" w:id="6"/>
      <w:bookmarkEnd w:id="6"/>
      <w:r>
        <w:rPr/>
        <w:t>第五条 保险金的给付</w:t>
      </w:r>
    </w:p>
    <w:p>
      <w:pPr>
        <w:pStyle w:val="BodyText"/>
        <w:spacing w:before="8"/>
        <w:rPr>
          <w:b/>
          <w:sz w:val="28"/>
        </w:rPr>
      </w:pPr>
    </w:p>
    <w:p>
      <w:pPr>
        <w:pStyle w:val="BodyText"/>
        <w:spacing w:line="273" w:lineRule="auto" w:before="0"/>
        <w:ind w:left="560" w:right="136"/>
        <w:jc w:val="both"/>
      </w:pPr>
      <w:r>
        <w:rPr>
          <w:spacing w:val="-4"/>
        </w:rPr>
        <w:t>我公司收到保险金给付申请书及第二章第九条所述证明、资料后，对确定属于保险责任</w:t>
      </w:r>
      <w:r>
        <w:rPr>
          <w:spacing w:val="-9"/>
        </w:rPr>
        <w:t>的，在与申请人达成给付保险金协议后，我公司在十日内</w:t>
      </w:r>
      <w:r>
        <w:rPr/>
        <w:t>（含第十日</w:t>
      </w:r>
      <w:r>
        <w:rPr>
          <w:spacing w:val="-23"/>
        </w:rPr>
        <w:t>）</w:t>
      </w:r>
      <w:r>
        <w:rPr/>
        <w:t>履行给付保险金义务。对不属于保险责任的，我公司按法律、法规规定和合同约定不承担保险责任。</w:t>
      </w:r>
    </w:p>
    <w:p>
      <w:pPr>
        <w:pStyle w:val="BodyText"/>
        <w:spacing w:before="13"/>
        <w:rPr>
          <w:sz w:val="22"/>
        </w:rPr>
      </w:pPr>
    </w:p>
    <w:p>
      <w:pPr>
        <w:pStyle w:val="BodyText"/>
        <w:spacing w:line="237" w:lineRule="auto" w:before="0"/>
        <w:ind w:left="560" w:right="135"/>
      </w:pPr>
      <w:r>
        <w:rPr>
          <w:spacing w:val="-5"/>
        </w:rPr>
        <w:t>若您在领取保险金时有未偿还的借款及其利息、欠交的保险费及其利息以及其他欠交款项及其利息，我公司将在支付保险金时先扣除上述款项及相关利息。</w:t>
      </w:r>
    </w:p>
    <w:p>
      <w:pPr>
        <w:pStyle w:val="BodyText"/>
        <w:spacing w:before="4"/>
        <w:rPr>
          <w:sz w:val="27"/>
        </w:rPr>
      </w:pPr>
    </w:p>
    <w:p>
      <w:pPr>
        <w:pStyle w:val="Heading3"/>
      </w:pPr>
      <w:bookmarkStart w:name="_TOC_250010" w:id="7"/>
      <w:bookmarkEnd w:id="7"/>
      <w:r>
        <w:rPr/>
        <w:t>第六条 说明义务</w:t>
      </w:r>
    </w:p>
    <w:p>
      <w:pPr>
        <w:pStyle w:val="BodyText"/>
        <w:spacing w:before="7"/>
        <w:rPr>
          <w:b/>
          <w:sz w:val="28"/>
        </w:rPr>
      </w:pPr>
    </w:p>
    <w:p>
      <w:pPr>
        <w:pStyle w:val="BodyText"/>
        <w:spacing w:before="0"/>
        <w:ind w:left="560"/>
      </w:pPr>
      <w:r>
        <w:rPr/>
        <w:t>本附加合同订立时，我公司会向您说明保险合同的条款内容。</w:t>
      </w:r>
    </w:p>
    <w:p>
      <w:pPr>
        <w:pStyle w:val="BodyText"/>
        <w:spacing w:before="8"/>
        <w:rPr>
          <w:sz w:val="26"/>
        </w:rPr>
      </w:pPr>
    </w:p>
    <w:p>
      <w:pPr>
        <w:pStyle w:val="Heading3"/>
        <w:spacing w:line="273" w:lineRule="auto"/>
        <w:ind w:left="560" w:right="137"/>
        <w:jc w:val="both"/>
        <w:rPr>
          <w:b w:val="0"/>
        </w:rPr>
      </w:pPr>
      <w:r>
        <w:rPr/>
        <w:t>特别提醒：您只有对本附加合同的所有内容完全了解后，才能最好的保护您和被保险人的合法权益。您可以在签订本附加合同之前，就所有不明白或不清楚的事项向销售</w:t>
      </w:r>
      <w:r>
        <w:rPr>
          <w:w w:val="95"/>
        </w:rPr>
        <w:t>人员了解清楚</w:t>
      </w:r>
      <w:r>
        <w:rPr>
          <w:b w:val="0"/>
          <w:w w:val="95"/>
        </w:rPr>
        <w:t>。</w:t>
      </w:r>
    </w:p>
    <w:p>
      <w:pPr>
        <w:pStyle w:val="BodyText"/>
        <w:spacing w:before="0"/>
        <w:rPr>
          <w:sz w:val="20"/>
        </w:rPr>
      </w:pPr>
    </w:p>
    <w:p>
      <w:pPr>
        <w:pStyle w:val="Heading2"/>
        <w:spacing w:before="141"/>
      </w:pPr>
      <w:bookmarkStart w:name="_TOC_250009" w:id="8"/>
      <w:bookmarkEnd w:id="8"/>
      <w:r>
        <w:rPr/>
        <w:t>第二章 您的权利</w:t>
      </w:r>
    </w:p>
    <w:p>
      <w:pPr>
        <w:pStyle w:val="BodyText"/>
        <w:spacing w:before="0"/>
        <w:rPr>
          <w:rFonts w:ascii="黑体"/>
          <w:sz w:val="24"/>
        </w:rPr>
      </w:pPr>
    </w:p>
    <w:p>
      <w:pPr>
        <w:pStyle w:val="Heading3"/>
        <w:spacing w:before="191"/>
      </w:pPr>
      <w:bookmarkStart w:name="_TOC_250008" w:id="9"/>
      <w:bookmarkEnd w:id="9"/>
      <w:r>
        <w:rPr/>
        <w:t>第七条 您解除、变更合同的权利</w:t>
      </w:r>
    </w:p>
    <w:p>
      <w:pPr>
        <w:pStyle w:val="BodyText"/>
        <w:spacing w:before="9"/>
        <w:rPr>
          <w:b/>
          <w:sz w:val="28"/>
        </w:rPr>
      </w:pPr>
    </w:p>
    <w:p>
      <w:pPr>
        <w:pStyle w:val="BodyText"/>
        <w:spacing w:line="273" w:lineRule="auto" w:before="0"/>
        <w:ind w:left="500" w:right="136"/>
      </w:pPr>
      <w:r>
        <w:rPr>
          <w:spacing w:val="-12"/>
        </w:rPr>
        <w:t>一、 本附加合同生效后，您可以书面通知要求解除本附加合同。当您要求解除时，应提供下列证明和资料：</w:t>
      </w:r>
    </w:p>
    <w:p>
      <w:pPr>
        <w:pStyle w:val="BodyText"/>
        <w:spacing w:before="7"/>
        <w:ind w:left="560"/>
        <w:jc w:val="both"/>
      </w:pPr>
      <w:r>
        <w:rPr/>
        <w:t>(一)保险合同及其他保险凭证；</w:t>
      </w:r>
    </w:p>
    <w:p>
      <w:pPr>
        <w:spacing w:after="0"/>
        <w:jc w:val="both"/>
        <w:sectPr>
          <w:pgSz w:w="11910" w:h="16840"/>
          <w:pgMar w:header="872" w:footer="998" w:top="1100" w:bottom="1180" w:left="1660" w:right="1660"/>
        </w:sectPr>
      </w:pPr>
    </w:p>
    <w:p>
      <w:pPr>
        <w:pStyle w:val="BodyText"/>
        <w:spacing w:before="8"/>
        <w:rPr>
          <w:sz w:val="20"/>
        </w:rPr>
      </w:pPr>
    </w:p>
    <w:p>
      <w:pPr>
        <w:pStyle w:val="BodyText"/>
        <w:spacing w:line="273" w:lineRule="auto"/>
        <w:ind w:left="560" w:right="3482"/>
      </w:pPr>
      <w:r>
        <w:rPr/>
        <w:t>(二)解除合同申请书；                        (三)您的户籍证明或其他身份证明原件；        (四)我公司所需的其他与本项相关的证明和材料。</w:t>
      </w:r>
    </w:p>
    <w:p>
      <w:pPr>
        <w:pStyle w:val="BodyText"/>
        <w:spacing w:before="5"/>
        <w:rPr>
          <w:sz w:val="24"/>
        </w:rPr>
      </w:pPr>
    </w:p>
    <w:p>
      <w:pPr>
        <w:pStyle w:val="BodyText"/>
        <w:spacing w:before="1"/>
        <w:ind w:left="560"/>
      </w:pPr>
      <w:r>
        <w:rPr/>
        <w:t>二、犹豫期</w:t>
      </w:r>
    </w:p>
    <w:p>
      <w:pPr>
        <w:pStyle w:val="BodyText"/>
        <w:spacing w:line="273" w:lineRule="auto" w:before="37"/>
        <w:ind w:left="560" w:right="216"/>
      </w:pPr>
      <w:r>
        <w:rPr>
          <w:spacing w:val="-2"/>
        </w:rPr>
        <w:t>您收到并书面签收本附加合同之日起十日内</w:t>
      </w:r>
      <w:r>
        <w:rPr/>
        <w:t>（含第十日</w:t>
      </w:r>
      <w:r>
        <w:rPr>
          <w:spacing w:val="-32"/>
        </w:rPr>
        <w:t>）</w:t>
      </w:r>
      <w:r>
        <w:rPr>
          <w:spacing w:val="-6"/>
        </w:rPr>
        <w:t>为犹豫期，在此期间您可以认真审视免责条款、合同解除以及如实告知等本附加合同的各项内容。</w:t>
      </w:r>
    </w:p>
    <w:p>
      <w:pPr>
        <w:pStyle w:val="BodyText"/>
        <w:spacing w:before="5"/>
        <w:rPr>
          <w:sz w:val="24"/>
        </w:rPr>
      </w:pPr>
    </w:p>
    <w:p>
      <w:pPr>
        <w:pStyle w:val="BodyText"/>
        <w:spacing w:before="0"/>
        <w:ind w:left="560"/>
      </w:pPr>
      <w:r>
        <w:rPr/>
        <w:t>三、犹豫期内退保</w:t>
      </w:r>
    </w:p>
    <w:p>
      <w:pPr>
        <w:pStyle w:val="BodyText"/>
        <w:spacing w:line="273" w:lineRule="auto"/>
        <w:ind w:left="560" w:right="216"/>
      </w:pPr>
      <w:r>
        <w:rPr>
          <w:spacing w:val="-5"/>
        </w:rPr>
        <w:t>如您在犹豫期内要求解除本附加合同，我公司将无息退还已收保险费，同时本附加合同终止，我公司自始不承担保险责任。</w:t>
      </w:r>
    </w:p>
    <w:p>
      <w:pPr>
        <w:pStyle w:val="BodyText"/>
        <w:spacing w:before="4"/>
        <w:rPr>
          <w:sz w:val="24"/>
        </w:rPr>
      </w:pPr>
    </w:p>
    <w:p>
      <w:pPr>
        <w:pStyle w:val="BodyText"/>
        <w:spacing w:before="1"/>
        <w:ind w:left="560"/>
      </w:pPr>
      <w:r>
        <w:rPr/>
        <w:t>四、犹豫期以后退保</w:t>
      </w:r>
    </w:p>
    <w:p>
      <w:pPr>
        <w:pStyle w:val="BodyText"/>
        <w:spacing w:line="273" w:lineRule="auto" w:before="37"/>
        <w:ind w:left="560" w:right="215"/>
        <w:jc w:val="both"/>
      </w:pPr>
      <w:r>
        <w:rPr>
          <w:spacing w:val="-5"/>
        </w:rPr>
        <w:t>如您在犹豫期后要求解除本附加合同，自我公司收到解除合同申请书之时起，本附加合</w:t>
      </w:r>
      <w:r>
        <w:rPr>
          <w:spacing w:val="-12"/>
        </w:rPr>
        <w:t>同效力终止。我公司于收齐所需资料后三十日内退还本附加合同终止之日的现金价值净</w:t>
      </w:r>
      <w:r>
        <w:rPr>
          <w:spacing w:val="-10"/>
        </w:rPr>
        <w:t>额，但对于选择分期交付保险费方式且未交足二年保险费的，在扣除手续费后退还已收保险费。</w:t>
      </w:r>
    </w:p>
    <w:p>
      <w:pPr>
        <w:pStyle w:val="BodyText"/>
        <w:spacing w:before="5"/>
        <w:rPr>
          <w:sz w:val="24"/>
        </w:rPr>
      </w:pPr>
    </w:p>
    <w:p>
      <w:pPr>
        <w:pStyle w:val="BodyText"/>
        <w:spacing w:before="0"/>
        <w:ind w:left="560"/>
      </w:pPr>
      <w:r>
        <w:rPr/>
        <w:t>五、保险合同内容变更</w:t>
      </w:r>
    </w:p>
    <w:p>
      <w:pPr>
        <w:pStyle w:val="BodyText"/>
        <w:spacing w:line="273" w:lineRule="auto"/>
        <w:ind w:left="560" w:right="111"/>
      </w:pPr>
      <w:r>
        <w:rPr>
          <w:spacing w:val="-14"/>
        </w:rPr>
        <w:t>本附加合同生效后，如您需变更本附加合同的内容，应当向我公司提出变更合同的申请， </w:t>
      </w:r>
      <w:r>
        <w:rPr>
          <w:spacing w:val="-16"/>
        </w:rPr>
        <w:t>在您与我公司达成一致后，可以对合同约定事项进行变更，变更可以用在保险合同上批注、附贴批单的方式进行。</w:t>
      </w:r>
    </w:p>
    <w:p>
      <w:pPr>
        <w:pStyle w:val="BodyText"/>
        <w:spacing w:before="5"/>
        <w:rPr>
          <w:sz w:val="26"/>
        </w:rPr>
      </w:pPr>
    </w:p>
    <w:p>
      <w:pPr>
        <w:pStyle w:val="Heading3"/>
      </w:pPr>
      <w:bookmarkStart w:name="_TOC_250007" w:id="10"/>
      <w:bookmarkEnd w:id="10"/>
      <w:r>
        <w:rPr/>
        <w:t>第八条 受益人的指定和变更</w:t>
      </w:r>
    </w:p>
    <w:p>
      <w:pPr>
        <w:pStyle w:val="BodyText"/>
        <w:spacing w:before="7"/>
        <w:rPr>
          <w:b/>
          <w:sz w:val="28"/>
        </w:rPr>
      </w:pPr>
    </w:p>
    <w:p>
      <w:pPr>
        <w:pStyle w:val="BodyText"/>
        <w:spacing w:line="273" w:lineRule="auto" w:before="0"/>
        <w:ind w:left="560" w:right="215"/>
      </w:pPr>
      <w:r>
        <w:rPr>
          <w:spacing w:val="-5"/>
        </w:rPr>
        <w:t>重大疾病保险金的受益人为被保险人本人，我公司不接受对重大疾病保险金受益人的任何变更或其他指定。</w:t>
      </w:r>
    </w:p>
    <w:p>
      <w:pPr>
        <w:pStyle w:val="BodyText"/>
        <w:spacing w:before="5"/>
        <w:rPr>
          <w:sz w:val="26"/>
        </w:rPr>
      </w:pPr>
    </w:p>
    <w:p>
      <w:pPr>
        <w:pStyle w:val="Heading3"/>
      </w:pPr>
      <w:bookmarkStart w:name="_TOC_250006" w:id="11"/>
      <w:bookmarkEnd w:id="11"/>
      <w:r>
        <w:rPr/>
        <w:t>第九条 申请给付保险金的权利</w:t>
      </w:r>
    </w:p>
    <w:p>
      <w:pPr>
        <w:pStyle w:val="BodyText"/>
        <w:spacing w:before="8"/>
        <w:rPr>
          <w:b/>
          <w:sz w:val="28"/>
        </w:rPr>
      </w:pPr>
    </w:p>
    <w:p>
      <w:pPr>
        <w:pStyle w:val="BodyText"/>
        <w:spacing w:line="273" w:lineRule="auto" w:before="1"/>
        <w:ind w:left="560" w:right="216"/>
      </w:pPr>
      <w:r>
        <w:rPr>
          <w:spacing w:val="-6"/>
        </w:rPr>
        <w:t>在本附加合同有效期间内，若发生符合本附加合同约定的保险金给付情形，被保险人可向我公司申请给付保险金，但应当按照下列约定的程序和条件进行：</w:t>
      </w:r>
    </w:p>
    <w:p>
      <w:pPr>
        <w:pStyle w:val="BodyText"/>
        <w:spacing w:before="5"/>
        <w:rPr>
          <w:sz w:val="24"/>
        </w:rPr>
      </w:pPr>
    </w:p>
    <w:p>
      <w:pPr>
        <w:pStyle w:val="BodyText"/>
        <w:spacing w:before="1"/>
        <w:ind w:left="560"/>
      </w:pPr>
      <w:r>
        <w:rPr/>
        <w:t>一、重大疾病保险金的申请</w:t>
      </w:r>
    </w:p>
    <w:p>
      <w:pPr>
        <w:pStyle w:val="BodyText"/>
        <w:spacing w:line="273" w:lineRule="auto" w:before="37"/>
        <w:ind w:left="560" w:right="216"/>
      </w:pPr>
      <w:r>
        <w:rPr>
          <w:spacing w:val="-7"/>
        </w:rPr>
        <w:t>申请重大疾病保险金的，由被保险人作为申请人填写保险金给付申请书，并向我公司提供下列证明和资料：</w:t>
      </w:r>
    </w:p>
    <w:p>
      <w:pPr>
        <w:pStyle w:val="BodyText"/>
        <w:spacing w:before="7"/>
        <w:ind w:left="560"/>
      </w:pPr>
      <w:r>
        <w:rPr>
          <w:rFonts w:ascii="Times New Roman" w:eastAsia="Times New Roman"/>
        </w:rPr>
        <w:t>(</w:t>
      </w:r>
      <w:r>
        <w:rPr/>
        <w:t>一</w:t>
      </w:r>
      <w:r>
        <w:rPr>
          <w:rFonts w:ascii="Times New Roman" w:eastAsia="Times New Roman"/>
        </w:rPr>
        <w:t>) </w:t>
      </w:r>
      <w:r>
        <w:rPr/>
        <w:t>保险合同及其他保险凭证；</w:t>
      </w:r>
    </w:p>
    <w:p>
      <w:pPr>
        <w:pStyle w:val="BodyText"/>
        <w:spacing w:before="21"/>
        <w:ind w:left="559"/>
      </w:pPr>
      <w:r>
        <w:rPr>
          <w:rFonts w:ascii="Times New Roman" w:eastAsia="Times New Roman"/>
        </w:rPr>
        <w:t>(</w:t>
      </w:r>
      <w:r>
        <w:rPr/>
        <w:t>二</w:t>
      </w:r>
      <w:r>
        <w:rPr>
          <w:rFonts w:ascii="Times New Roman" w:eastAsia="Times New Roman"/>
        </w:rPr>
        <w:t>) </w:t>
      </w:r>
      <w:r>
        <w:rPr/>
        <w:t>被保险人户籍证明或其他身份证明原件；</w:t>
      </w:r>
    </w:p>
    <w:p>
      <w:pPr>
        <w:pStyle w:val="BodyText"/>
        <w:spacing w:line="256" w:lineRule="auto" w:before="21"/>
        <w:ind w:left="979" w:right="216" w:hanging="420"/>
      </w:pPr>
      <w:r>
        <w:rPr>
          <w:rFonts w:ascii="Times New Roman" w:eastAsia="Times New Roman"/>
        </w:rPr>
        <w:t>(</w:t>
      </w:r>
      <w:r>
        <w:rPr/>
        <w:t>三</w:t>
      </w:r>
      <w:r>
        <w:rPr>
          <w:rFonts w:ascii="Times New Roman" w:eastAsia="Times New Roman"/>
        </w:rPr>
        <w:t>) </w:t>
      </w:r>
      <w:r>
        <w:rPr/>
        <w:t>由医疗机构出具的可证明被保险人患重大疾病的诊断证明和诊断所患重大疾病必</w:t>
      </w:r>
      <w:r>
        <w:rPr>
          <w:w w:val="95"/>
        </w:rPr>
        <w:t>需的检查报告；</w:t>
      </w:r>
    </w:p>
    <w:p>
      <w:pPr>
        <w:pStyle w:val="BodyText"/>
        <w:spacing w:line="256" w:lineRule="auto" w:before="22"/>
        <w:ind w:left="979" w:right="141" w:hanging="420"/>
      </w:pPr>
      <w:r>
        <w:rPr>
          <w:rFonts w:ascii="Times New Roman" w:eastAsia="Times New Roman"/>
        </w:rPr>
        <w:t>(</w:t>
      </w:r>
      <w:r>
        <w:rPr/>
        <w:t>四</w:t>
      </w:r>
      <w:r>
        <w:rPr>
          <w:rFonts w:ascii="Times New Roman" w:eastAsia="Times New Roman"/>
        </w:rPr>
        <w:t>) </w:t>
      </w:r>
      <w:r>
        <w:rPr/>
        <w:t>被保险人所能提供的与确认保险事故的性质、原因、损失程度等有关的其他证明和资料。</w:t>
      </w:r>
    </w:p>
    <w:p>
      <w:pPr>
        <w:pStyle w:val="BodyText"/>
        <w:spacing w:before="7"/>
        <w:rPr>
          <w:sz w:val="25"/>
        </w:rPr>
      </w:pPr>
    </w:p>
    <w:p>
      <w:pPr>
        <w:pStyle w:val="BodyText"/>
        <w:spacing w:before="0"/>
        <w:ind w:left="559"/>
      </w:pPr>
      <w:r>
        <w:rPr/>
        <w:t>二、其他</w:t>
      </w:r>
    </w:p>
    <w:p>
      <w:pPr>
        <w:spacing w:after="0"/>
        <w:sectPr>
          <w:pgSz w:w="11910" w:h="16840"/>
          <w:pgMar w:header="872" w:footer="998" w:top="1100" w:bottom="1180" w:left="1660" w:right="1580"/>
        </w:sectPr>
      </w:pPr>
    </w:p>
    <w:p>
      <w:pPr>
        <w:pStyle w:val="BodyText"/>
        <w:spacing w:before="8"/>
        <w:rPr>
          <w:sz w:val="20"/>
        </w:rPr>
      </w:pPr>
    </w:p>
    <w:p>
      <w:pPr>
        <w:pStyle w:val="BodyText"/>
        <w:spacing w:line="273" w:lineRule="auto"/>
        <w:ind w:left="560" w:right="136"/>
        <w:jc w:val="both"/>
      </w:pPr>
      <w:r>
        <w:rPr>
          <w:spacing w:val="-10"/>
        </w:rPr>
        <w:t>若被保险人、受益人委托他人申领保险金，还须提供授权委托书及受托人和委托人的身份证原件等资料。在必要时，需出具经公证的授权委托书。</w:t>
      </w:r>
    </w:p>
    <w:p>
      <w:pPr>
        <w:pStyle w:val="BodyText"/>
        <w:spacing w:before="5"/>
        <w:rPr>
          <w:sz w:val="24"/>
        </w:rPr>
      </w:pPr>
    </w:p>
    <w:p>
      <w:pPr>
        <w:pStyle w:val="BodyText"/>
        <w:spacing w:line="273" w:lineRule="auto" w:before="1"/>
        <w:ind w:left="560" w:right="135"/>
        <w:jc w:val="both"/>
      </w:pPr>
      <w:r>
        <w:rPr>
          <w:spacing w:val="-8"/>
        </w:rPr>
        <w:t>若依照本附加合同的约定，我公司认为申请给付保险金所需的上述证明或资料不符合要求或不完整，申请人应补充提供有关的证明和资料。</w:t>
      </w:r>
    </w:p>
    <w:p>
      <w:pPr>
        <w:pStyle w:val="BodyText"/>
        <w:spacing w:before="5"/>
        <w:rPr>
          <w:sz w:val="24"/>
        </w:rPr>
      </w:pPr>
    </w:p>
    <w:p>
      <w:pPr>
        <w:pStyle w:val="BodyText"/>
        <w:spacing w:line="273" w:lineRule="auto" w:before="1"/>
        <w:ind w:left="560" w:right="137"/>
        <w:jc w:val="both"/>
      </w:pPr>
      <w:r>
        <w:rPr/>
        <w:t>若因特殊原因不能提供上述证明和资料，申请人应提供法律认可的其他等效证明和资料，以提出保险金给付申请。</w:t>
      </w:r>
    </w:p>
    <w:p>
      <w:pPr>
        <w:pStyle w:val="BodyText"/>
        <w:spacing w:before="5"/>
        <w:rPr>
          <w:sz w:val="24"/>
        </w:rPr>
      </w:pPr>
    </w:p>
    <w:p>
      <w:pPr>
        <w:pStyle w:val="BodyText"/>
        <w:spacing w:line="273" w:lineRule="auto" w:before="1"/>
        <w:ind w:left="560" w:right="137"/>
        <w:jc w:val="both"/>
      </w:pPr>
      <w:r>
        <w:rPr/>
        <w:t>受益人或被保险人的继承人自其知道保险事故发生之日起二年内未向我公司请求给付保险金，则视为其已放弃请求给付保险金的权利。</w:t>
      </w:r>
    </w:p>
    <w:p>
      <w:pPr>
        <w:pStyle w:val="BodyText"/>
        <w:spacing w:before="0"/>
        <w:rPr>
          <w:sz w:val="20"/>
        </w:rPr>
      </w:pPr>
    </w:p>
    <w:p>
      <w:pPr>
        <w:pStyle w:val="BodyText"/>
        <w:spacing w:before="0"/>
        <w:rPr>
          <w:sz w:val="20"/>
        </w:rPr>
      </w:pPr>
    </w:p>
    <w:p>
      <w:pPr>
        <w:pStyle w:val="BodyText"/>
        <w:spacing w:before="9"/>
        <w:rPr>
          <w:sz w:val="14"/>
        </w:rPr>
      </w:pPr>
    </w:p>
    <w:p>
      <w:pPr>
        <w:pStyle w:val="Heading2"/>
      </w:pPr>
      <w:bookmarkStart w:name="_TOC_250005" w:id="12"/>
      <w:bookmarkEnd w:id="12"/>
      <w:r>
        <w:rPr/>
        <w:t>第三章 您的义务</w:t>
      </w:r>
    </w:p>
    <w:p>
      <w:pPr>
        <w:pStyle w:val="BodyText"/>
        <w:spacing w:before="9"/>
        <w:rPr>
          <w:rFonts w:ascii="黑体"/>
          <w:sz w:val="32"/>
        </w:rPr>
      </w:pPr>
    </w:p>
    <w:p>
      <w:pPr>
        <w:pStyle w:val="Heading3"/>
      </w:pPr>
      <w:bookmarkStart w:name="_TOC_250004" w:id="13"/>
      <w:bookmarkEnd w:id="13"/>
      <w:r>
        <w:rPr/>
        <w:t>第十条 交纳保险费的义务</w:t>
      </w:r>
    </w:p>
    <w:p>
      <w:pPr>
        <w:pStyle w:val="BodyText"/>
        <w:spacing w:before="9"/>
        <w:rPr>
          <w:b/>
          <w:sz w:val="22"/>
        </w:rPr>
      </w:pPr>
    </w:p>
    <w:p>
      <w:pPr>
        <w:spacing w:line="499" w:lineRule="auto" w:before="0"/>
        <w:ind w:left="140" w:right="2772" w:firstLine="420"/>
        <w:jc w:val="left"/>
        <w:rPr>
          <w:b/>
          <w:sz w:val="21"/>
        </w:rPr>
      </w:pPr>
      <w:r>
        <w:rPr>
          <w:sz w:val="21"/>
        </w:rPr>
        <w:t>您应按照本附加合同的约定，向我公司按期交纳保险费。</w:t>
      </w:r>
      <w:r>
        <w:rPr>
          <w:b/>
          <w:sz w:val="21"/>
        </w:rPr>
        <w:t>第十一条 保险费的交纳方式</w:t>
      </w:r>
    </w:p>
    <w:p>
      <w:pPr>
        <w:pStyle w:val="BodyText"/>
        <w:spacing w:before="69"/>
        <w:ind w:left="560"/>
      </w:pPr>
      <w:r>
        <w:rPr/>
        <w:t>本附加合同保险费的交纳方式须与主合同一致。</w:t>
      </w:r>
    </w:p>
    <w:p>
      <w:pPr>
        <w:pStyle w:val="BodyText"/>
        <w:spacing w:before="9"/>
        <w:rPr>
          <w:sz w:val="26"/>
        </w:rPr>
      </w:pPr>
    </w:p>
    <w:p>
      <w:pPr>
        <w:spacing w:line="499" w:lineRule="auto" w:before="0"/>
        <w:ind w:left="140" w:right="1932" w:firstLine="420"/>
        <w:jc w:val="left"/>
        <w:rPr>
          <w:b/>
          <w:sz w:val="21"/>
        </w:rPr>
      </w:pPr>
      <w:r>
        <w:rPr>
          <w:sz w:val="21"/>
        </w:rPr>
        <w:t>本附加合同保险费必须与主合同保险费一同支付，不能单独交纳。</w:t>
      </w:r>
      <w:r>
        <w:rPr>
          <w:b/>
          <w:sz w:val="21"/>
        </w:rPr>
        <w:t>第十二条 身体检查</w:t>
      </w:r>
    </w:p>
    <w:p>
      <w:pPr>
        <w:pStyle w:val="BodyText"/>
        <w:spacing w:line="273" w:lineRule="auto" w:before="70"/>
        <w:ind w:left="560" w:right="135"/>
        <w:jc w:val="both"/>
      </w:pPr>
      <w:r>
        <w:rPr>
          <w:spacing w:val="-9"/>
        </w:rPr>
        <w:t>申请重大疾病保险金时，我公司有权要求被保险人到我公司认可的医院进行与保险事故</w:t>
      </w:r>
      <w:r>
        <w:rPr>
          <w:spacing w:val="-14"/>
        </w:rPr>
        <w:t>发生相关的身体检查或其他必要的检验，相关费用由我公司承担。若您或被保险人拒绝</w:t>
      </w:r>
      <w:r>
        <w:rPr>
          <w:spacing w:val="-12"/>
        </w:rPr>
        <w:t>检查、检验，或者检查、检验结果不符合本附加合同关于保险事故的约定，我公司有权不给付保险金。</w:t>
      </w:r>
    </w:p>
    <w:p>
      <w:pPr>
        <w:pStyle w:val="BodyText"/>
        <w:spacing w:before="0"/>
        <w:rPr>
          <w:sz w:val="20"/>
        </w:rPr>
      </w:pPr>
    </w:p>
    <w:p>
      <w:pPr>
        <w:pStyle w:val="Heading2"/>
        <w:spacing w:before="141"/>
      </w:pPr>
      <w:bookmarkStart w:name="_TOC_250003" w:id="14"/>
      <w:bookmarkEnd w:id="14"/>
      <w:r>
        <w:rPr/>
        <w:t>第四章 附则</w:t>
      </w:r>
    </w:p>
    <w:p>
      <w:pPr>
        <w:pStyle w:val="BodyText"/>
        <w:spacing w:before="8"/>
        <w:rPr>
          <w:rFonts w:ascii="黑体"/>
          <w:sz w:val="32"/>
        </w:rPr>
      </w:pPr>
    </w:p>
    <w:p>
      <w:pPr>
        <w:pStyle w:val="Heading3"/>
        <w:spacing w:before="1"/>
      </w:pPr>
      <w:bookmarkStart w:name="_TOC_250002" w:id="15"/>
      <w:bookmarkEnd w:id="15"/>
      <w:r>
        <w:rPr/>
        <w:t>第十三条 保险合同的构成</w:t>
      </w:r>
    </w:p>
    <w:p>
      <w:pPr>
        <w:pStyle w:val="BodyText"/>
        <w:spacing w:before="9"/>
        <w:rPr>
          <w:b/>
          <w:sz w:val="22"/>
        </w:rPr>
      </w:pPr>
    </w:p>
    <w:p>
      <w:pPr>
        <w:pStyle w:val="BodyText"/>
        <w:spacing w:line="273" w:lineRule="auto" w:before="0"/>
        <w:ind w:left="560" w:right="136"/>
        <w:jc w:val="both"/>
      </w:pPr>
      <w:r>
        <w:rPr>
          <w:spacing w:val="-5"/>
        </w:rPr>
        <w:t>本附加合同由我公司签发的保险凭证及所附条款、投保单、保险单、与本附加合同有关的其它投保文件、健康告知书、声明、批注、附贴批单等文件构成。</w:t>
      </w:r>
    </w:p>
    <w:p>
      <w:pPr>
        <w:pStyle w:val="BodyText"/>
        <w:spacing w:before="4"/>
        <w:rPr>
          <w:sz w:val="24"/>
        </w:rPr>
      </w:pPr>
    </w:p>
    <w:p>
      <w:pPr>
        <w:pStyle w:val="Heading3"/>
        <w:spacing w:line="273" w:lineRule="auto" w:before="1"/>
        <w:ind w:left="560" w:right="137"/>
        <w:jc w:val="both"/>
      </w:pPr>
      <w:r>
        <w:rPr/>
        <w:t>主合同的条款也适用于本附加合同，本附加合同对相关事项没有约定的，以主合同相关条款为准。若本附加合同与主合同对同一事项的约定存在冲突，则以本附加合同为准。</w:t>
      </w:r>
    </w:p>
    <w:p>
      <w:pPr>
        <w:spacing w:after="0" w:line="273" w:lineRule="auto"/>
        <w:jc w:val="both"/>
        <w:sectPr>
          <w:pgSz w:w="11910" w:h="16840"/>
          <w:pgMar w:header="872" w:footer="998" w:top="1100" w:bottom="1180" w:left="1660" w:right="1660"/>
        </w:sectPr>
      </w:pPr>
    </w:p>
    <w:p>
      <w:pPr>
        <w:pStyle w:val="BodyText"/>
        <w:spacing w:before="8"/>
        <w:rPr>
          <w:b/>
          <w:sz w:val="20"/>
        </w:rPr>
      </w:pPr>
    </w:p>
    <w:p>
      <w:pPr>
        <w:pStyle w:val="Heading3"/>
        <w:spacing w:before="36"/>
      </w:pPr>
      <w:bookmarkStart w:name="_TOC_250001" w:id="16"/>
      <w:bookmarkEnd w:id="16"/>
      <w:r>
        <w:rPr/>
        <w:t>第十四条 投保范围</w:t>
      </w:r>
    </w:p>
    <w:p>
      <w:pPr>
        <w:pStyle w:val="BodyText"/>
        <w:spacing w:before="9"/>
        <w:rPr>
          <w:b/>
          <w:sz w:val="22"/>
        </w:rPr>
      </w:pPr>
    </w:p>
    <w:p>
      <w:pPr>
        <w:pStyle w:val="BodyText"/>
        <w:spacing w:line="544" w:lineRule="auto" w:before="1"/>
        <w:ind w:left="560" w:right="2642"/>
      </w:pPr>
      <w:r>
        <w:rPr/>
        <w:t>本附加合同由主合同的投保人申请并经我公司同意而订立。本附加合同的投保人、被保险人均与主合同一致。</w:t>
      </w:r>
    </w:p>
    <w:p>
      <w:pPr>
        <w:spacing w:line="568" w:lineRule="auto" w:before="82"/>
        <w:ind w:left="140" w:right="4742" w:firstLine="420"/>
        <w:jc w:val="left"/>
        <w:rPr>
          <w:b/>
          <w:sz w:val="21"/>
        </w:rPr>
      </w:pPr>
      <w:r>
        <w:rPr>
          <w:sz w:val="21"/>
        </w:rPr>
        <w:t>本附加合同必须与主合同同时投保。</w:t>
      </w:r>
      <w:r>
        <w:rPr>
          <w:b/>
          <w:sz w:val="21"/>
        </w:rPr>
        <w:t>第十五条 合同生效</w:t>
      </w:r>
    </w:p>
    <w:p>
      <w:pPr>
        <w:pStyle w:val="BodyText"/>
        <w:spacing w:before="86"/>
        <w:ind w:left="560"/>
      </w:pPr>
      <w:r>
        <w:rPr/>
        <w:t>本附加合同的生效日为主合同的生效日。</w:t>
      </w:r>
    </w:p>
    <w:p>
      <w:pPr>
        <w:pStyle w:val="BodyText"/>
        <w:spacing w:before="8"/>
        <w:rPr>
          <w:sz w:val="26"/>
        </w:rPr>
      </w:pPr>
    </w:p>
    <w:p>
      <w:pPr>
        <w:spacing w:line="499" w:lineRule="auto" w:before="1"/>
        <w:ind w:left="140" w:right="2012" w:firstLine="420"/>
        <w:jc w:val="left"/>
        <w:rPr>
          <w:b/>
          <w:sz w:val="21"/>
        </w:rPr>
      </w:pPr>
      <w:r>
        <w:rPr>
          <w:sz w:val="21"/>
        </w:rPr>
        <w:t>我公司自本附加合同生效日零时开始承担本附加合同的保险责任。</w:t>
      </w:r>
      <w:r>
        <w:rPr>
          <w:b/>
          <w:sz w:val="21"/>
        </w:rPr>
        <w:t>第十六条 合同中止和复效</w:t>
      </w:r>
    </w:p>
    <w:p>
      <w:pPr>
        <w:pStyle w:val="BodyText"/>
        <w:spacing w:before="69"/>
        <w:ind w:left="560"/>
      </w:pPr>
      <w:r>
        <w:rPr/>
        <w:t>一、合同中止</w:t>
      </w:r>
    </w:p>
    <w:p>
      <w:pPr>
        <w:pStyle w:val="BodyText"/>
        <w:ind w:left="560"/>
      </w:pPr>
      <w:r>
        <w:rPr>
          <w:spacing w:val="-14"/>
        </w:rPr>
        <w:t>在主合同中止时，本附加合同同时中止。本附加合同中止期间，我公司不承担保险责任。</w:t>
      </w:r>
    </w:p>
    <w:p>
      <w:pPr>
        <w:pStyle w:val="BodyText"/>
        <w:spacing w:before="8"/>
        <w:rPr>
          <w:sz w:val="26"/>
        </w:rPr>
      </w:pPr>
    </w:p>
    <w:p>
      <w:pPr>
        <w:pStyle w:val="BodyText"/>
        <w:spacing w:before="0"/>
        <w:ind w:left="559"/>
      </w:pPr>
      <w:r>
        <w:rPr/>
        <w:t>二、合同复效</w:t>
      </w:r>
    </w:p>
    <w:p>
      <w:pPr>
        <w:pStyle w:val="BodyText"/>
        <w:spacing w:line="273" w:lineRule="auto"/>
        <w:ind w:left="559" w:right="216"/>
      </w:pPr>
      <w:r>
        <w:rPr>
          <w:spacing w:val="-6"/>
        </w:rPr>
        <w:t>本附加合同中止后二年内，如您申请恢复合同效力，应填写书面申请，并按照我公司的规定提供被保险人的健康告知书及其他相关证明文件。</w:t>
      </w:r>
    </w:p>
    <w:p>
      <w:pPr>
        <w:pStyle w:val="BodyText"/>
        <w:spacing w:before="5"/>
        <w:rPr>
          <w:sz w:val="24"/>
        </w:rPr>
      </w:pPr>
    </w:p>
    <w:p>
      <w:pPr>
        <w:pStyle w:val="BodyText"/>
        <w:spacing w:line="273" w:lineRule="auto" w:before="0"/>
        <w:ind w:left="559" w:right="216"/>
      </w:pPr>
      <w:r>
        <w:rPr>
          <w:spacing w:val="-9"/>
        </w:rPr>
        <w:t>经我公司审核同意，双方达成复效协议的，自您补交复效时应交纳的本附加合同及主合同的保险费及利息的次日零时起，本附加合同恢复效力。</w:t>
      </w:r>
    </w:p>
    <w:p>
      <w:pPr>
        <w:pStyle w:val="BodyText"/>
        <w:spacing w:before="5"/>
        <w:rPr>
          <w:sz w:val="24"/>
        </w:rPr>
      </w:pPr>
    </w:p>
    <w:p>
      <w:pPr>
        <w:pStyle w:val="BodyText"/>
        <w:spacing w:line="273" w:lineRule="auto" w:before="0"/>
        <w:ind w:left="559" w:right="216"/>
        <w:jc w:val="both"/>
      </w:pPr>
      <w:r>
        <w:rPr>
          <w:spacing w:val="-6"/>
        </w:rPr>
        <w:t>自本附加合同中止之日起二年内，您与我公司未达成复效协议的，我公司有权解除本附</w:t>
      </w:r>
      <w:r>
        <w:rPr>
          <w:spacing w:val="-11"/>
        </w:rPr>
        <w:t>加合同。如您已交足二年以上保险费的，我公司退还本附加合同现金价值净额；未交足二年保险费的，我公司在扣除手续费后无息退还已收保险费。</w:t>
      </w:r>
    </w:p>
    <w:p>
      <w:pPr>
        <w:pStyle w:val="BodyText"/>
        <w:spacing w:before="5"/>
        <w:rPr>
          <w:sz w:val="24"/>
        </w:rPr>
      </w:pPr>
    </w:p>
    <w:p>
      <w:pPr>
        <w:spacing w:line="568" w:lineRule="auto" w:before="0"/>
        <w:ind w:left="139" w:right="3482" w:firstLine="420"/>
        <w:jc w:val="left"/>
        <w:rPr>
          <w:b/>
          <w:sz w:val="21"/>
        </w:rPr>
      </w:pPr>
      <w:r>
        <w:rPr>
          <w:sz w:val="21"/>
        </w:rPr>
        <w:t>主合同中止期间，本附加合同不得单独申请复效。</w:t>
      </w:r>
      <w:r>
        <w:rPr>
          <w:b/>
          <w:sz w:val="21"/>
        </w:rPr>
        <w:t>第十七条 合同终止</w:t>
      </w:r>
    </w:p>
    <w:p>
      <w:pPr>
        <w:pStyle w:val="BodyText"/>
        <w:spacing w:line="273" w:lineRule="auto" w:before="88"/>
        <w:ind w:left="559" w:right="1382"/>
      </w:pPr>
      <w:r>
        <w:rPr/>
        <w:t>在本附加合同有效期间内，发生下列情况之一者，本附加合同即时终止： 一、主合同终止；</w:t>
      </w:r>
    </w:p>
    <w:p>
      <w:pPr>
        <w:pStyle w:val="BodyText"/>
        <w:spacing w:before="8"/>
        <w:ind w:left="559"/>
      </w:pPr>
      <w:r>
        <w:rPr/>
        <w:t>二、被保险人身故或全残；</w:t>
      </w:r>
    </w:p>
    <w:p>
      <w:pPr>
        <w:pStyle w:val="BodyText"/>
        <w:spacing w:line="273" w:lineRule="auto" w:before="37"/>
        <w:ind w:left="559" w:right="3062"/>
      </w:pPr>
      <w:r>
        <w:rPr/>
        <w:t>三、您或我公司按照本附加合同约定解除本附加合同； 四、因本附加合同其他条款所列情况而终止；</w:t>
      </w:r>
    </w:p>
    <w:p>
      <w:pPr>
        <w:pStyle w:val="BodyText"/>
        <w:spacing w:before="7"/>
        <w:ind w:left="559"/>
      </w:pPr>
      <w:r>
        <w:rPr/>
        <w:t>五、法律、法规、规章规定的其他情形。</w:t>
      </w:r>
    </w:p>
    <w:p>
      <w:pPr>
        <w:spacing w:after="0"/>
        <w:sectPr>
          <w:pgSz w:w="11910" w:h="16840"/>
          <w:pgMar w:header="872" w:footer="998" w:top="1100" w:bottom="1180" w:left="1660" w:right="1580"/>
        </w:sectPr>
      </w:pPr>
    </w:p>
    <w:p>
      <w:pPr>
        <w:pStyle w:val="BodyText"/>
        <w:spacing w:before="8"/>
        <w:rPr>
          <w:sz w:val="25"/>
        </w:rPr>
      </w:pPr>
    </w:p>
    <w:p>
      <w:pPr>
        <w:pStyle w:val="Heading2"/>
        <w:spacing w:before="26"/>
      </w:pPr>
      <w:bookmarkStart w:name="_TOC_250000" w:id="17"/>
      <w:bookmarkEnd w:id="17"/>
      <w:r>
        <w:rPr/>
        <w:t>第五章 释义</w:t>
      </w:r>
    </w:p>
    <w:p>
      <w:pPr>
        <w:pStyle w:val="BodyText"/>
        <w:spacing w:before="5"/>
        <w:rPr>
          <w:rFonts w:ascii="黑体"/>
          <w:sz w:val="28"/>
        </w:rPr>
      </w:pPr>
    </w:p>
    <w:p>
      <w:pPr>
        <w:spacing w:after="0"/>
        <w:rPr>
          <w:rFonts w:ascii="黑体"/>
          <w:sz w:val="28"/>
        </w:rPr>
        <w:sectPr>
          <w:pgSz w:w="11910" w:h="16840"/>
          <w:pgMar w:header="872" w:footer="998" w:top="1100" w:bottom="1180" w:left="1660" w:right="1660"/>
        </w:sectPr>
      </w:pPr>
    </w:p>
    <w:p>
      <w:pPr>
        <w:pStyle w:val="Heading3"/>
        <w:spacing w:line="273" w:lineRule="auto" w:before="56"/>
        <w:ind w:left="608"/>
      </w:pPr>
      <w:r>
        <w:rPr/>
        <w:t>初次患本附加合同所</w:t>
      </w:r>
      <w:r>
        <w:rPr>
          <w:w w:val="95"/>
        </w:rPr>
        <w:t>列的重大疾病</w:t>
      </w:r>
    </w:p>
    <w:p>
      <w:pPr>
        <w:pStyle w:val="BodyText"/>
        <w:spacing w:line="274" w:lineRule="exact" w:before="35"/>
        <w:ind w:left="175"/>
      </w:pPr>
      <w:r>
        <w:rPr/>
        <w:br w:type="column"/>
      </w:r>
      <w:r>
        <w:rPr/>
        <w:t>指被保险人患同时符合以下条件的重大疾病：</w:t>
      </w:r>
    </w:p>
    <w:p>
      <w:pPr>
        <w:pStyle w:val="BodyText"/>
        <w:spacing w:line="272" w:lineRule="exact" w:before="0"/>
        <w:ind w:left="175"/>
      </w:pPr>
      <w:r>
        <w:rPr/>
        <w:t>（1）被保险人自出生后首次出现该重大疾病之症状体征；</w:t>
      </w:r>
    </w:p>
    <w:p>
      <w:pPr>
        <w:pStyle w:val="BodyText"/>
        <w:spacing w:line="237" w:lineRule="auto" w:before="2"/>
        <w:ind w:left="175" w:right="223"/>
      </w:pPr>
      <w:r>
        <w:rPr/>
        <w:t>（2）被保险人在本附加合同有效期间内首次出现该重大疾病之症状体征并被确诊患该重大疾病；</w:t>
      </w:r>
    </w:p>
    <w:p>
      <w:pPr>
        <w:pStyle w:val="BodyText"/>
        <w:spacing w:line="271" w:lineRule="exact" w:before="0"/>
        <w:ind w:left="175"/>
      </w:pPr>
      <w:r>
        <w:rPr/>
        <w:t>（3）该重大疾病之症状体征符合本附加合同的定义；</w:t>
      </w:r>
    </w:p>
    <w:p>
      <w:pPr>
        <w:pStyle w:val="BodyText"/>
        <w:spacing w:line="272" w:lineRule="exact" w:before="0"/>
        <w:ind w:left="175"/>
      </w:pPr>
      <w:r>
        <w:rPr/>
        <w:t>（4）该重大疾病已在本附加合同中列明。</w:t>
      </w:r>
    </w:p>
    <w:p>
      <w:pPr>
        <w:pStyle w:val="BodyText"/>
        <w:spacing w:line="237" w:lineRule="auto" w:before="1"/>
        <w:ind w:left="175" w:right="270"/>
        <w:jc w:val="both"/>
      </w:pPr>
      <w:r>
        <w:rPr/>
        <w:t>对于被保险人在本附加合同生效日前出现本附加合同所列的重大疾病之症状体征或者所患的重大疾病，我公司不承担给付保险金责任。</w:t>
      </w:r>
    </w:p>
    <w:p>
      <w:pPr>
        <w:spacing w:after="0" w:line="237" w:lineRule="auto"/>
        <w:jc w:val="both"/>
        <w:sectPr>
          <w:type w:val="continuous"/>
          <w:pgSz w:w="11910" w:h="16840"/>
          <w:pgMar w:top="1100" w:bottom="1180" w:left="1660" w:right="1660"/>
          <w:cols w:num="2" w:equalWidth="0">
            <w:col w:w="2553" w:space="40"/>
            <w:col w:w="5997"/>
          </w:cols>
        </w:sectPr>
      </w:pPr>
    </w:p>
    <w:p>
      <w:pPr>
        <w:pStyle w:val="BodyText"/>
        <w:spacing w:before="6"/>
        <w:rPr>
          <w:sz w:val="22"/>
        </w:rPr>
      </w:pPr>
    </w:p>
    <w:p>
      <w:pPr>
        <w:tabs>
          <w:tab w:pos="2767" w:val="left" w:leader="none"/>
        </w:tabs>
        <w:spacing w:before="35"/>
        <w:ind w:left="608" w:right="0" w:firstLine="0"/>
        <w:jc w:val="left"/>
        <w:rPr>
          <w:sz w:val="21"/>
        </w:rPr>
      </w:pPr>
      <w:r>
        <w:rPr>
          <w:b/>
          <w:sz w:val="21"/>
        </w:rPr>
        <w:t>专科医生</w:t>
        <w:tab/>
      </w:r>
      <w:r>
        <w:rPr>
          <w:sz w:val="21"/>
        </w:rPr>
        <w:t>专科医生应当满足以下四项资格条件：</w:t>
      </w:r>
    </w:p>
    <w:p>
      <w:pPr>
        <w:pStyle w:val="BodyText"/>
        <w:ind w:left="2767"/>
      </w:pPr>
      <w:r>
        <w:rPr/>
        <w:t>（1）具有有效的中华人民共和国《医师资格证书》；</w:t>
      </w:r>
    </w:p>
    <w:p>
      <w:pPr>
        <w:pStyle w:val="BodyText"/>
        <w:spacing w:line="273" w:lineRule="auto"/>
        <w:ind w:left="2767" w:right="227"/>
      </w:pPr>
      <w:r>
        <w:rPr/>
        <w:t>（2）具有有效的中华人民共和国《医师执业证书》，并按期到相关部门登记注册；</w:t>
      </w:r>
    </w:p>
    <w:p>
      <w:pPr>
        <w:pStyle w:val="BodyText"/>
        <w:spacing w:line="273" w:lineRule="auto" w:before="7"/>
        <w:ind w:left="2767" w:right="223"/>
      </w:pPr>
      <w:r>
        <w:rPr/>
        <w:t>（3）具有有效的中华人民共和国主治医师或主治医师以上职称的《医师职称证书》；</w:t>
      </w:r>
    </w:p>
    <w:p>
      <w:pPr>
        <w:pStyle w:val="BodyText"/>
        <w:spacing w:line="273" w:lineRule="auto" w:before="7"/>
        <w:ind w:left="2767" w:right="223"/>
      </w:pPr>
      <w:r>
        <w:rPr/>
        <w:t>（4）在二级或二级以上医院的相应科室从事临床工作三年以上。</w:t>
      </w:r>
    </w:p>
    <w:p>
      <w:pPr>
        <w:pStyle w:val="BodyText"/>
        <w:spacing w:before="9"/>
      </w:pPr>
    </w:p>
    <w:p>
      <w:pPr>
        <w:spacing w:after="0"/>
        <w:sectPr>
          <w:type w:val="continuous"/>
          <w:pgSz w:w="11910" w:h="16840"/>
          <w:pgMar w:top="1100" w:bottom="1180" w:left="1660" w:right="1660"/>
        </w:sectPr>
      </w:pPr>
    </w:p>
    <w:p>
      <w:pPr>
        <w:pStyle w:val="Heading3"/>
        <w:spacing w:line="273" w:lineRule="auto" w:before="35"/>
        <w:ind w:left="607"/>
      </w:pPr>
      <w:r>
        <w:rPr/>
        <w:t>六项基本日常生活活动</w:t>
      </w:r>
    </w:p>
    <w:p>
      <w:pPr>
        <w:pStyle w:val="BodyText"/>
        <w:spacing w:before="35"/>
        <w:ind w:left="175"/>
      </w:pPr>
      <w:r>
        <w:rPr/>
        <w:br w:type="column"/>
      </w:r>
      <w:r>
        <w:rPr/>
        <w:t>（1）穿衣：自己能够穿衣及脱衣；</w:t>
      </w:r>
    </w:p>
    <w:p>
      <w:pPr>
        <w:pStyle w:val="BodyText"/>
        <w:ind w:left="175"/>
      </w:pPr>
      <w:r>
        <w:rPr/>
        <w:t>（2）移动：自己从一个房间到另一个房间；</w:t>
      </w:r>
    </w:p>
    <w:p>
      <w:pPr>
        <w:pStyle w:val="BodyText"/>
        <w:ind w:left="175"/>
      </w:pPr>
      <w:r>
        <w:rPr/>
        <w:t>（3）行动：自己上下床或上下轮椅；</w:t>
      </w:r>
    </w:p>
    <w:p>
      <w:pPr>
        <w:pStyle w:val="BodyText"/>
        <w:ind w:left="175"/>
      </w:pPr>
      <w:r>
        <w:rPr/>
        <w:t>（4）如厕：自己控制进行大小便；</w:t>
      </w:r>
    </w:p>
    <w:p>
      <w:pPr>
        <w:pStyle w:val="BodyText"/>
        <w:ind w:left="175"/>
      </w:pPr>
      <w:r>
        <w:rPr/>
        <w:t>（5）进食：自己从已准备好的碗或碟中取食物放入口中；</w:t>
      </w:r>
    </w:p>
    <w:p>
      <w:pPr>
        <w:pStyle w:val="BodyText"/>
        <w:ind w:left="175"/>
      </w:pPr>
      <w:r>
        <w:rPr/>
        <w:t>（6）洗澡：自己进行淋浴或盆浴。</w:t>
      </w:r>
    </w:p>
    <w:p>
      <w:pPr>
        <w:spacing w:after="0"/>
        <w:sectPr>
          <w:type w:val="continuous"/>
          <w:pgSz w:w="11910" w:h="16840"/>
          <w:pgMar w:top="1100" w:bottom="1180" w:left="1660" w:right="1660"/>
          <w:cols w:num="2" w:equalWidth="0">
            <w:col w:w="2553" w:space="40"/>
            <w:col w:w="5997"/>
          </w:cols>
        </w:sectPr>
      </w:pPr>
    </w:p>
    <w:p>
      <w:pPr>
        <w:pStyle w:val="BodyText"/>
        <w:spacing w:before="12"/>
        <w:rPr>
          <w:sz w:val="23"/>
        </w:rPr>
      </w:pPr>
    </w:p>
    <w:p>
      <w:pPr>
        <w:pStyle w:val="BodyText"/>
        <w:spacing w:line="273" w:lineRule="auto" w:before="35"/>
        <w:ind w:left="2767" w:right="259" w:hanging="2160"/>
        <w:jc w:val="both"/>
      </w:pPr>
      <w:r>
        <w:rPr>
          <w:b/>
        </w:rPr>
        <w:t>肢体机能完全丧失    </w:t>
      </w:r>
      <w:r>
        <w:rPr/>
        <w:t>指肢体的三大关节中的两大关节僵硬，或不能随意识活动。肢体是指包括肩关节的整个上肢或者包括髋关节的整个下肢。</w:t>
      </w:r>
    </w:p>
    <w:p>
      <w:pPr>
        <w:pStyle w:val="BodyText"/>
        <w:spacing w:before="9"/>
      </w:pPr>
    </w:p>
    <w:p>
      <w:pPr>
        <w:spacing w:after="0"/>
        <w:sectPr>
          <w:type w:val="continuous"/>
          <w:pgSz w:w="11910" w:h="16840"/>
          <w:pgMar w:top="1100" w:bottom="1180" w:left="1660" w:right="1660"/>
        </w:sectPr>
      </w:pPr>
    </w:p>
    <w:p>
      <w:pPr>
        <w:pStyle w:val="Heading3"/>
        <w:spacing w:line="273" w:lineRule="auto" w:before="35"/>
        <w:ind w:left="607"/>
      </w:pPr>
      <w:r>
        <w:rPr/>
        <w:t>语言能力或咀嚼吞咽</w:t>
      </w:r>
      <w:r>
        <w:rPr>
          <w:w w:val="95"/>
        </w:rPr>
        <w:t>能力完全丧失</w:t>
      </w:r>
    </w:p>
    <w:p>
      <w:pPr>
        <w:pStyle w:val="BodyText"/>
        <w:spacing w:line="273" w:lineRule="auto" w:before="35"/>
        <w:ind w:left="175" w:right="270"/>
        <w:jc w:val="both"/>
      </w:pPr>
      <w:r>
        <w:rPr/>
        <w:br w:type="column"/>
      </w:r>
      <w:r>
        <w:rPr/>
        <w:t>语言能力完全丧失，指无法发出四种声音（包括口唇音、齿舌音、口盖音和喉头音）中的任何三音、或声带全部切除、或因大脑语言中枢受伤害而患失语症。</w:t>
      </w:r>
    </w:p>
    <w:p>
      <w:pPr>
        <w:pStyle w:val="BodyText"/>
        <w:spacing w:line="273" w:lineRule="auto" w:before="7"/>
        <w:ind w:left="175" w:right="270"/>
        <w:jc w:val="both"/>
      </w:pPr>
      <w:r>
        <w:rPr/>
        <w:t>咀嚼吞咽能力完全丧失，指因牙齿以外的原因导致器质障碍或机能障碍，以致不能作咀嚼吞咽运动，除流质食物外不能摄取或吞咽的状态。</w:t>
      </w:r>
    </w:p>
    <w:p>
      <w:pPr>
        <w:spacing w:after="0" w:line="273" w:lineRule="auto"/>
        <w:jc w:val="both"/>
        <w:sectPr>
          <w:type w:val="continuous"/>
          <w:pgSz w:w="11910" w:h="16840"/>
          <w:pgMar w:top="1100" w:bottom="1180" w:left="1660" w:right="1660"/>
          <w:cols w:num="2" w:equalWidth="0">
            <w:col w:w="2553" w:space="40"/>
            <w:col w:w="5997"/>
          </w:cols>
        </w:sectPr>
      </w:pPr>
    </w:p>
    <w:p>
      <w:pPr>
        <w:pStyle w:val="BodyText"/>
        <w:spacing w:before="9"/>
      </w:pPr>
    </w:p>
    <w:p>
      <w:pPr>
        <w:pStyle w:val="BodyText"/>
        <w:tabs>
          <w:tab w:pos="2767" w:val="left" w:leader="none"/>
        </w:tabs>
        <w:spacing w:line="273" w:lineRule="auto" w:before="35"/>
        <w:ind w:left="2767" w:right="270" w:hanging="2160"/>
      </w:pPr>
      <w:r>
        <w:rPr>
          <w:b/>
        </w:rPr>
        <w:t>永久不可逆</w:t>
        <w:tab/>
      </w:r>
      <w:r>
        <w:rPr/>
        <w:t>指因疾病确诊或意外发生之日起，经过积极治疗</w:t>
      </w:r>
      <w:r>
        <w:rPr>
          <w:spacing w:val="-12"/>
        </w:rPr>
        <w:t> </w:t>
      </w:r>
      <w:r>
        <w:rPr/>
        <w:t>180</w:t>
      </w:r>
      <w:r>
        <w:rPr>
          <w:spacing w:val="-11"/>
        </w:rPr>
        <w:t> </w:t>
      </w:r>
      <w:r>
        <w:rPr/>
        <w:t>天后，仍无法通过现有医疗手段恢复。</w:t>
      </w:r>
    </w:p>
    <w:p>
      <w:pPr>
        <w:pStyle w:val="BodyText"/>
        <w:spacing w:before="7"/>
      </w:pPr>
    </w:p>
    <w:p>
      <w:pPr>
        <w:spacing w:after="0"/>
        <w:sectPr>
          <w:type w:val="continuous"/>
          <w:pgSz w:w="11910" w:h="16840"/>
          <w:pgMar w:top="1100" w:bottom="1180" w:left="1660" w:right="1660"/>
        </w:sectPr>
      </w:pPr>
    </w:p>
    <w:p>
      <w:pPr>
        <w:pStyle w:val="Heading3"/>
        <w:spacing w:line="273" w:lineRule="auto" w:before="36"/>
        <w:ind w:left="607"/>
      </w:pPr>
      <w:r>
        <w:rPr/>
        <w:t>感染艾滋病病毒或患艾滋病</w:t>
      </w:r>
    </w:p>
    <w:p>
      <w:pPr>
        <w:pStyle w:val="BodyText"/>
        <w:spacing w:line="273" w:lineRule="auto"/>
        <w:ind w:left="175" w:right="270"/>
        <w:jc w:val="both"/>
      </w:pPr>
      <w:r>
        <w:rPr/>
        <w:br w:type="column"/>
      </w:r>
      <w:r>
        <w:rPr>
          <w:spacing w:val="-7"/>
        </w:rPr>
        <w:t>艾滋病病毒指人类免疫缺陷病毒，英文缩写为 </w:t>
      </w:r>
      <w:r>
        <w:rPr/>
        <w:t>HIV</w:t>
      </w:r>
      <w:r>
        <w:rPr>
          <w:spacing w:val="-8"/>
        </w:rPr>
        <w:t>。艾滋病指人类免疫缺陷病毒引起的获得性免疫缺陷综合征，英文缩写</w:t>
      </w:r>
      <w:r>
        <w:rPr>
          <w:spacing w:val="-31"/>
        </w:rPr>
        <w:t>为 </w:t>
      </w:r>
      <w:r>
        <w:rPr/>
        <w:t>AIDS。</w:t>
      </w:r>
    </w:p>
    <w:p>
      <w:pPr>
        <w:spacing w:after="0" w:line="273" w:lineRule="auto"/>
        <w:jc w:val="both"/>
        <w:sectPr>
          <w:type w:val="continuous"/>
          <w:pgSz w:w="11910" w:h="16840"/>
          <w:pgMar w:top="1100" w:bottom="1180" w:left="1660" w:right="1660"/>
          <w:cols w:num="2" w:equalWidth="0">
            <w:col w:w="2553" w:space="40"/>
            <w:col w:w="5997"/>
          </w:cols>
        </w:sectPr>
      </w:pPr>
    </w:p>
    <w:p>
      <w:pPr>
        <w:pStyle w:val="BodyText"/>
        <w:spacing w:before="8"/>
        <w:rPr>
          <w:sz w:val="20"/>
        </w:rPr>
      </w:pPr>
    </w:p>
    <w:p>
      <w:pPr>
        <w:pStyle w:val="BodyText"/>
        <w:spacing w:line="273" w:lineRule="auto"/>
        <w:ind w:left="2768" w:right="259"/>
        <w:jc w:val="both"/>
      </w:pPr>
      <w:r>
        <w:rPr/>
        <w:t>在人体血液或其他样本中检测到艾滋病病毒或其抗体呈阳性，没有出现临床症状或体征的，为感染艾滋病病毒；如果同时出现了明显临床症状或体征的，为患艾滋病。</w:t>
      </w:r>
    </w:p>
    <w:p>
      <w:pPr>
        <w:pStyle w:val="BodyText"/>
        <w:spacing w:before="5"/>
        <w:rPr>
          <w:sz w:val="24"/>
        </w:rPr>
      </w:pPr>
    </w:p>
    <w:p>
      <w:pPr>
        <w:spacing w:line="273" w:lineRule="auto" w:before="1"/>
        <w:ind w:left="2768" w:right="270" w:hanging="2160"/>
        <w:jc w:val="both"/>
        <w:rPr>
          <w:sz w:val="21"/>
        </w:rPr>
      </w:pPr>
      <w:r>
        <w:rPr>
          <w:b/>
          <w:sz w:val="21"/>
        </w:rPr>
        <w:t>遗传性疾病          </w:t>
      </w:r>
      <w:r>
        <w:rPr>
          <w:sz w:val="21"/>
        </w:rPr>
        <w:t>指生殖细胞或受精卵的遗传物质（染色体和基因）发生突变或畸变所引起的疾病，通常具有亲代传至后代的垂直传递的特征。</w:t>
      </w:r>
    </w:p>
    <w:p>
      <w:pPr>
        <w:pStyle w:val="BodyText"/>
        <w:spacing w:before="9"/>
      </w:pPr>
    </w:p>
    <w:p>
      <w:pPr>
        <w:spacing w:after="0"/>
        <w:sectPr>
          <w:pgSz w:w="11910" w:h="16840"/>
          <w:pgMar w:header="872" w:footer="998" w:top="1100" w:bottom="1180" w:left="1660" w:right="1660"/>
        </w:sectPr>
      </w:pPr>
    </w:p>
    <w:p>
      <w:pPr>
        <w:pStyle w:val="Heading3"/>
        <w:spacing w:line="273" w:lineRule="auto" w:before="36"/>
        <w:ind w:left="608"/>
      </w:pPr>
      <w:r>
        <w:rPr/>
        <w:t>先天性畸形、变形或</w:t>
      </w:r>
      <w:r>
        <w:rPr>
          <w:w w:val="95"/>
        </w:rPr>
        <w:t>染色体异常</w:t>
      </w:r>
    </w:p>
    <w:p>
      <w:pPr>
        <w:pStyle w:val="BodyText"/>
        <w:spacing w:line="273" w:lineRule="auto"/>
        <w:ind w:left="175" w:right="270"/>
        <w:jc w:val="both"/>
      </w:pPr>
      <w:r>
        <w:rPr/>
        <w:br w:type="column"/>
      </w:r>
      <w:r>
        <w:rPr/>
        <w:t>指被保险人出生时就具有的畸形、变形或染色体异常。先天性畸形、变形或染色体异常按照世界卫生组织《疾病和有关健康问题的国际统计分类》（ICD-10）确定。</w:t>
      </w:r>
    </w:p>
    <w:p>
      <w:pPr>
        <w:spacing w:after="0" w:line="273" w:lineRule="auto"/>
        <w:jc w:val="both"/>
        <w:sectPr>
          <w:type w:val="continuous"/>
          <w:pgSz w:w="11910" w:h="16840"/>
          <w:pgMar w:top="1100" w:bottom="1180" w:left="1660" w:right="1660"/>
          <w:cols w:num="2" w:equalWidth="0">
            <w:col w:w="2553" w:space="40"/>
            <w:col w:w="5997"/>
          </w:cols>
        </w:sectPr>
      </w:pPr>
    </w:p>
    <w:p>
      <w:pPr>
        <w:pStyle w:val="BodyText"/>
        <w:spacing w:before="9"/>
      </w:pPr>
    </w:p>
    <w:p>
      <w:pPr>
        <w:pStyle w:val="BodyText"/>
        <w:tabs>
          <w:tab w:pos="2767" w:val="left" w:leader="none"/>
        </w:tabs>
        <w:spacing w:line="273" w:lineRule="auto"/>
        <w:ind w:left="2768" w:right="270" w:hanging="2160"/>
        <w:jc w:val="both"/>
      </w:pPr>
      <w:r>
        <w:rPr>
          <w:b/>
        </w:rPr>
        <w:t>周岁</w:t>
        <w:tab/>
      </w:r>
      <w:r>
        <w:rPr/>
        <w:t>以户籍证明或其它法定的身份证明中记载的出生时间为标准 计算。</w:t>
      </w:r>
    </w:p>
    <w:p>
      <w:pPr>
        <w:pStyle w:val="BodyText"/>
        <w:spacing w:before="5"/>
        <w:rPr>
          <w:sz w:val="24"/>
        </w:rPr>
      </w:pPr>
    </w:p>
    <w:p>
      <w:pPr>
        <w:pStyle w:val="BodyText"/>
        <w:tabs>
          <w:tab w:pos="2767" w:val="left" w:leader="none"/>
        </w:tabs>
        <w:spacing w:line="273" w:lineRule="auto" w:before="1"/>
        <w:ind w:left="2768" w:right="270" w:hanging="2160"/>
        <w:jc w:val="both"/>
      </w:pPr>
      <w:r>
        <w:rPr>
          <w:b/>
        </w:rPr>
        <w:t>意外事故</w:t>
        <w:tab/>
      </w:r>
      <w:r>
        <w:rPr/>
        <w:t>指遭受外来的、突发的、非本意的、非疾病的使身体受到剧 烈伤害的客观事件。</w:t>
      </w:r>
    </w:p>
    <w:p>
      <w:pPr>
        <w:pStyle w:val="BodyText"/>
        <w:spacing w:before="5"/>
        <w:rPr>
          <w:sz w:val="24"/>
        </w:rPr>
      </w:pPr>
    </w:p>
    <w:p>
      <w:pPr>
        <w:pStyle w:val="BodyText"/>
        <w:tabs>
          <w:tab w:pos="2767" w:val="left" w:leader="none"/>
        </w:tabs>
        <w:spacing w:line="273" w:lineRule="auto" w:before="1"/>
        <w:ind w:left="2768" w:right="270" w:hanging="2160"/>
        <w:jc w:val="both"/>
      </w:pPr>
      <w:r>
        <w:rPr>
          <w:b/>
        </w:rPr>
        <w:t>医疗机构</w:t>
        <w:tab/>
      </w:r>
      <w:r>
        <w:rPr/>
        <w:t>经中华人民共和国卫生部门正式评定的二级或以上之公立医 院，但不包括上述医院的分院、联合病房或联合病床，精神病院，专供康复、休养、戒毒、戒酒、护理、养老等非以直接诊治病人为目的医疗机构。</w:t>
      </w:r>
    </w:p>
    <w:p>
      <w:pPr>
        <w:pStyle w:val="BodyText"/>
        <w:spacing w:before="5"/>
        <w:rPr>
          <w:sz w:val="24"/>
        </w:rPr>
      </w:pPr>
    </w:p>
    <w:p>
      <w:pPr>
        <w:tabs>
          <w:tab w:pos="2767" w:val="left" w:leader="none"/>
        </w:tabs>
        <w:spacing w:line="544" w:lineRule="auto" w:before="1"/>
        <w:ind w:left="608" w:right="1194" w:firstLine="0"/>
        <w:jc w:val="left"/>
        <w:rPr>
          <w:sz w:val="21"/>
        </w:rPr>
      </w:pPr>
      <w:r>
        <w:rPr>
          <w:b/>
          <w:sz w:val="21"/>
        </w:rPr>
        <w:t>不可抗力</w:t>
        <w:tab/>
      </w:r>
      <w:r>
        <w:rPr>
          <w:sz w:val="21"/>
        </w:rPr>
        <w:t>是指不能预见、不能避免并不能克服的客观情况。</w:t>
      </w:r>
      <w:r>
        <w:rPr>
          <w:b/>
          <w:sz w:val="21"/>
        </w:rPr>
        <w:t>保险合同现金价值</w:t>
        <w:tab/>
      </w:r>
      <w:r>
        <w:rPr>
          <w:sz w:val="21"/>
        </w:rPr>
        <w:t>以保险合同上载明的金额为准。</w:t>
      </w:r>
    </w:p>
    <w:p>
      <w:pPr>
        <w:spacing w:line="273" w:lineRule="auto" w:before="82"/>
        <w:ind w:left="2768" w:right="270" w:hanging="2160"/>
        <w:jc w:val="both"/>
        <w:rPr>
          <w:sz w:val="21"/>
        </w:rPr>
      </w:pPr>
      <w:r>
        <w:rPr>
          <w:b/>
          <w:sz w:val="21"/>
        </w:rPr>
        <w:t>现金价值净额        </w:t>
      </w:r>
      <w:r>
        <w:rPr>
          <w:sz w:val="21"/>
        </w:rPr>
        <w:t>现金价值扣除未偿还的借款及利息、欠交的保险费及利息以及其他欠交款项的余额。</w:t>
      </w:r>
    </w:p>
    <w:p>
      <w:pPr>
        <w:pStyle w:val="BodyText"/>
        <w:spacing w:before="5"/>
        <w:rPr>
          <w:sz w:val="24"/>
        </w:rPr>
      </w:pPr>
    </w:p>
    <w:p>
      <w:pPr>
        <w:pStyle w:val="BodyText"/>
        <w:tabs>
          <w:tab w:pos="2767" w:val="left" w:leader="none"/>
        </w:tabs>
        <w:spacing w:line="273" w:lineRule="auto" w:before="0"/>
        <w:ind w:left="2768" w:right="270" w:hanging="2160"/>
        <w:jc w:val="both"/>
      </w:pPr>
      <w:r>
        <w:rPr>
          <w:b/>
        </w:rPr>
        <w:t>手续费</w:t>
        <w:tab/>
      </w:r>
      <w:r>
        <w:rPr/>
        <w:t>是指本附加合同平均承担的我公司营业费用、佣金以及我公 司对所承担的保险责任所收取的费用三项之和。扣除手续费后退还已收保险费的具体金额等于保险合同现金价值。</w:t>
      </w:r>
    </w:p>
    <w:p>
      <w:pPr>
        <w:pStyle w:val="BodyText"/>
        <w:spacing w:before="5"/>
        <w:rPr>
          <w:sz w:val="24"/>
        </w:rPr>
      </w:pPr>
    </w:p>
    <w:p>
      <w:pPr>
        <w:pStyle w:val="BodyText"/>
        <w:tabs>
          <w:tab w:pos="2767" w:val="left" w:leader="none"/>
        </w:tabs>
        <w:spacing w:line="273" w:lineRule="auto" w:before="0"/>
        <w:ind w:left="2768" w:right="270" w:hanging="2160"/>
        <w:jc w:val="both"/>
      </w:pPr>
      <w:r>
        <w:rPr>
          <w:b/>
        </w:rPr>
        <w:t>利息</w:t>
        <w:tab/>
      </w:r>
      <w:r>
        <w:rPr/>
        <w:t>本保险合同保单质押借款的利息按我公司收到保单质押借款 申请书时已宣布的借款利率计算，我公司在每年的一月一日和七月一日根据监管规定和市场情况宣布两次借款利率。</w:t>
      </w:r>
    </w:p>
    <w:p>
      <w:pPr>
        <w:pStyle w:val="BodyText"/>
        <w:spacing w:before="5"/>
        <w:rPr>
          <w:sz w:val="24"/>
        </w:rPr>
      </w:pPr>
    </w:p>
    <w:p>
      <w:pPr>
        <w:pStyle w:val="BodyText"/>
        <w:spacing w:line="264" w:lineRule="auto" w:before="0"/>
        <w:ind w:left="2768" w:right="270"/>
        <w:jc w:val="both"/>
      </w:pPr>
      <w:r>
        <w:rPr/>
        <w:t>本保险合同自动垫交保险费和补交保险费的利息以</w:t>
      </w:r>
      <w:r>
        <w:rPr>
          <w:rFonts w:ascii="Times New Roman" w:hAnsi="Times New Roman" w:eastAsia="Times New Roman"/>
        </w:rPr>
        <w:t>“</w:t>
      </w:r>
      <w:r>
        <w:rPr/>
        <w:t>中国人民银行当月第一个营业日颁布的两年期居民定期储蓄存款基准利率 </w:t>
      </w:r>
      <w:r>
        <w:rPr>
          <w:rFonts w:ascii="Times New Roman" w:hAnsi="Times New Roman" w:eastAsia="Times New Roman"/>
        </w:rPr>
        <w:t>+ 2%”</w:t>
      </w:r>
      <w:r>
        <w:rPr/>
        <w:t>换算的月利率按月以单利累积计算。</w:t>
      </w:r>
    </w:p>
    <w:p>
      <w:pPr>
        <w:pStyle w:val="BodyText"/>
        <w:spacing w:before="9"/>
        <w:rPr>
          <w:sz w:val="23"/>
        </w:rPr>
      </w:pPr>
    </w:p>
    <w:p>
      <w:pPr>
        <w:pStyle w:val="BodyText"/>
        <w:spacing w:line="273" w:lineRule="auto" w:before="0"/>
        <w:ind w:left="2768" w:right="270"/>
        <w:jc w:val="both"/>
      </w:pPr>
      <w:r>
        <w:rPr/>
        <w:t>本保险合同生存保险金累积生息和红利累积生息所涉及的利息，分别按我公司每年确定的生存给付累积利率和红利累积</w:t>
      </w:r>
    </w:p>
    <w:p>
      <w:pPr>
        <w:spacing w:after="0" w:line="273" w:lineRule="auto"/>
        <w:jc w:val="both"/>
        <w:sectPr>
          <w:type w:val="continuous"/>
          <w:pgSz w:w="11910" w:h="16840"/>
          <w:pgMar w:top="1100" w:bottom="1180" w:left="1660" w:right="1660"/>
        </w:sectPr>
      </w:pPr>
    </w:p>
    <w:p>
      <w:pPr>
        <w:pStyle w:val="BodyText"/>
        <w:spacing w:before="8"/>
        <w:rPr>
          <w:sz w:val="20"/>
        </w:rPr>
      </w:pPr>
    </w:p>
    <w:p>
      <w:pPr>
        <w:pStyle w:val="BodyText"/>
        <w:spacing w:line="273" w:lineRule="auto"/>
        <w:ind w:left="2768" w:right="270"/>
      </w:pPr>
      <w:r>
        <w:rPr/>
        <w:t>利率计算，我公司每年根据监管规定和市场情况确定一次生存给付累积利率和红利累积利率。</w:t>
      </w:r>
    </w:p>
    <w:p>
      <w:pPr>
        <w:pStyle w:val="BodyText"/>
        <w:spacing w:before="5"/>
        <w:rPr>
          <w:sz w:val="24"/>
        </w:rPr>
      </w:pPr>
    </w:p>
    <w:p>
      <w:pPr>
        <w:pStyle w:val="BodyText"/>
        <w:tabs>
          <w:tab w:pos="2767" w:val="left" w:leader="none"/>
        </w:tabs>
        <w:spacing w:line="273" w:lineRule="auto" w:before="1"/>
        <w:ind w:left="2768" w:right="270" w:hanging="2160"/>
        <w:jc w:val="both"/>
      </w:pPr>
      <w:r>
        <w:rPr>
          <w:b/>
        </w:rPr>
        <w:t>酗酒</w:t>
        <w:tab/>
      </w:r>
      <w:r>
        <w:rPr/>
        <w:t>是指酒精摄入过量。长期过量饮酒导致身体脏器严重损害， 或一次大量饮酒导致急性酒精中毒或自制力丧失造成自身伤害、斗殴肇事或交通肇事。酒精过量由医疗机构或公安部门判定。</w:t>
      </w:r>
    </w:p>
    <w:p>
      <w:pPr>
        <w:pStyle w:val="BodyText"/>
        <w:spacing w:before="9"/>
      </w:pPr>
    </w:p>
    <w:p>
      <w:pPr>
        <w:spacing w:after="0"/>
        <w:sectPr>
          <w:pgSz w:w="11910" w:h="16840"/>
          <w:pgMar w:header="872" w:footer="998" w:top="1100" w:bottom="1180" w:left="1660" w:right="1660"/>
        </w:sectPr>
      </w:pPr>
    </w:p>
    <w:p>
      <w:pPr>
        <w:pStyle w:val="Heading3"/>
        <w:spacing w:line="273" w:lineRule="auto" w:before="36"/>
        <w:ind w:left="608"/>
      </w:pPr>
      <w:r>
        <w:rPr/>
        <w:t>无合法有效驾驶证驾驶</w:t>
      </w:r>
    </w:p>
    <w:p>
      <w:pPr>
        <w:pStyle w:val="BodyText"/>
        <w:ind w:left="175"/>
      </w:pPr>
      <w:r>
        <w:rPr/>
        <w:br w:type="column"/>
      </w:r>
      <w:r>
        <w:rPr/>
        <w:t>是指下列情形之一：</w:t>
      </w:r>
    </w:p>
    <w:p>
      <w:pPr>
        <w:pStyle w:val="BodyText"/>
        <w:spacing w:before="37"/>
        <w:ind w:left="175"/>
      </w:pPr>
      <w:r>
        <w:rPr/>
        <w:t>（1）没有驾驶证驾驶；</w:t>
      </w:r>
    </w:p>
    <w:p>
      <w:pPr>
        <w:pStyle w:val="BodyText"/>
        <w:spacing w:before="37"/>
        <w:ind w:left="175"/>
      </w:pPr>
      <w:r>
        <w:rPr/>
        <w:t>（2）驾驶与准驾车型不符的车辆；</w:t>
      </w:r>
    </w:p>
    <w:p>
      <w:pPr>
        <w:pStyle w:val="BodyText"/>
        <w:spacing w:before="37"/>
        <w:ind w:left="175"/>
      </w:pPr>
      <w:r>
        <w:rPr/>
        <w:t>（3）驾驶员持审验不合格的驾驶证驾驶；</w:t>
      </w:r>
    </w:p>
    <w:p>
      <w:pPr>
        <w:pStyle w:val="BodyText"/>
        <w:spacing w:before="37"/>
        <w:ind w:left="175"/>
      </w:pPr>
      <w:r>
        <w:rPr/>
        <w:t>（4）未经公安交通管理部门同意，持未审验的驾驶证驾驶；</w:t>
      </w:r>
    </w:p>
    <w:p>
      <w:pPr>
        <w:pStyle w:val="BodyText"/>
        <w:spacing w:line="273" w:lineRule="auto" w:before="37"/>
        <w:ind w:left="175" w:right="223"/>
      </w:pPr>
      <w:r>
        <w:rPr/>
        <w:t>（5）持学习驾驶证学习驾车时，无教练员随车指导，或不按指定时间、路线学习驾车；</w:t>
      </w:r>
    </w:p>
    <w:p>
      <w:pPr>
        <w:pStyle w:val="BodyText"/>
        <w:spacing w:before="7"/>
        <w:ind w:left="175"/>
      </w:pPr>
      <w:r>
        <w:rPr/>
        <w:t>（6）持学习驾驶证或实习期在高速公路上驾车；</w:t>
      </w:r>
    </w:p>
    <w:p>
      <w:pPr>
        <w:pStyle w:val="BodyText"/>
        <w:spacing w:line="273" w:lineRule="auto"/>
        <w:ind w:left="175" w:right="272"/>
      </w:pPr>
      <w:r>
        <w:rPr/>
        <w:t>（7）公安交通管理部门规定的其他无有效驾驶证驾驶的情况。</w:t>
      </w:r>
    </w:p>
    <w:p>
      <w:pPr>
        <w:spacing w:after="0" w:line="273" w:lineRule="auto"/>
        <w:sectPr>
          <w:type w:val="continuous"/>
          <w:pgSz w:w="11910" w:h="16840"/>
          <w:pgMar w:top="1100" w:bottom="1180" w:left="1660" w:right="1660"/>
          <w:cols w:num="2" w:equalWidth="0">
            <w:col w:w="2553" w:space="40"/>
            <w:col w:w="5997"/>
          </w:cols>
        </w:sectPr>
      </w:pPr>
    </w:p>
    <w:p>
      <w:pPr>
        <w:pStyle w:val="BodyText"/>
        <w:spacing w:before="9"/>
      </w:pPr>
    </w:p>
    <w:p>
      <w:pPr>
        <w:spacing w:line="273" w:lineRule="auto" w:before="35"/>
        <w:ind w:left="2768" w:right="270" w:hanging="2160"/>
        <w:jc w:val="both"/>
        <w:rPr>
          <w:sz w:val="21"/>
        </w:rPr>
      </w:pPr>
      <w:r>
        <w:rPr>
          <w:b/>
          <w:sz w:val="21"/>
        </w:rPr>
        <w:t>保单周年日          </w:t>
      </w:r>
      <w:r>
        <w:rPr>
          <w:sz w:val="21"/>
        </w:rPr>
        <w:t>是指本附加合同生效日以及本附加合同生效日在合同生效后每年的对应日，若当月没有对应的同一日，则以该月最后一日为对应日。</w:t>
      </w:r>
    </w:p>
    <w:p>
      <w:pPr>
        <w:pStyle w:val="BodyText"/>
        <w:spacing w:before="5"/>
        <w:rPr>
          <w:sz w:val="24"/>
        </w:rPr>
      </w:pPr>
    </w:p>
    <w:p>
      <w:pPr>
        <w:pStyle w:val="BodyText"/>
        <w:tabs>
          <w:tab w:pos="2767" w:val="left" w:leader="none"/>
        </w:tabs>
        <w:spacing w:line="273" w:lineRule="auto" w:before="0"/>
        <w:ind w:left="2768" w:right="268" w:hanging="2160"/>
      </w:pPr>
      <w:r>
        <w:rPr>
          <w:b/>
        </w:rPr>
        <w:t>重大疾病</w:t>
        <w:tab/>
      </w:r>
      <w:r>
        <w:rPr>
          <w:spacing w:val="6"/>
        </w:rPr>
        <w:t>指被</w:t>
      </w:r>
      <w:r>
        <w:rPr>
          <w:spacing w:val="5"/>
        </w:rPr>
        <w:t>保</w:t>
      </w:r>
      <w:r>
        <w:rPr>
          <w:spacing w:val="6"/>
        </w:rPr>
        <w:t>险</w:t>
      </w:r>
      <w:r>
        <w:rPr>
          <w:spacing w:val="5"/>
        </w:rPr>
        <w:t>人</w:t>
      </w:r>
      <w:r>
        <w:rPr>
          <w:spacing w:val="6"/>
        </w:rPr>
        <w:t>发生</w:t>
      </w:r>
      <w:r>
        <w:rPr>
          <w:spacing w:val="5"/>
        </w:rPr>
        <w:t>符</w:t>
      </w:r>
      <w:r>
        <w:rPr>
          <w:spacing w:val="6"/>
        </w:rPr>
        <w:t>合</w:t>
      </w:r>
      <w:r>
        <w:rPr>
          <w:spacing w:val="5"/>
        </w:rPr>
        <w:t>以</w:t>
      </w:r>
      <w:r>
        <w:rPr>
          <w:spacing w:val="6"/>
        </w:rPr>
        <w:t>下疾</w:t>
      </w:r>
      <w:r>
        <w:rPr>
          <w:spacing w:val="5"/>
        </w:rPr>
        <w:t>病</w:t>
      </w:r>
      <w:r>
        <w:rPr>
          <w:spacing w:val="6"/>
        </w:rPr>
        <w:t>定</w:t>
      </w:r>
      <w:r>
        <w:rPr>
          <w:spacing w:val="5"/>
        </w:rPr>
        <w:t>义</w:t>
      </w:r>
      <w:r>
        <w:rPr>
          <w:spacing w:val="6"/>
        </w:rPr>
        <w:t>所述</w:t>
      </w:r>
      <w:r>
        <w:rPr>
          <w:spacing w:val="5"/>
        </w:rPr>
        <w:t>条</w:t>
      </w:r>
      <w:r>
        <w:rPr>
          <w:spacing w:val="6"/>
        </w:rPr>
        <w:t>件</w:t>
      </w:r>
      <w:r>
        <w:rPr>
          <w:spacing w:val="5"/>
        </w:rPr>
        <w:t>的</w:t>
      </w:r>
      <w:r>
        <w:rPr>
          <w:spacing w:val="6"/>
        </w:rPr>
        <w:t>疾病（</w:t>
      </w:r>
      <w:r>
        <w:rPr/>
        <w:t>共</w:t>
      </w:r>
      <w:r>
        <w:rPr>
          <w:spacing w:val="27"/>
        </w:rPr>
        <w:t> </w:t>
      </w:r>
      <w:r>
        <w:rPr/>
        <w:t>35种</w:t>
      </w:r>
      <w:r>
        <w:rPr>
          <w:spacing w:val="-105"/>
        </w:rPr>
        <w:t>）</w:t>
      </w:r>
      <w:r>
        <w:rPr/>
        <w:t>，应当</w:t>
      </w:r>
      <w:r>
        <w:rPr>
          <w:spacing w:val="-2"/>
        </w:rPr>
        <w:t>由</w:t>
      </w:r>
      <w:r>
        <w:rPr/>
        <w:t>专科医生明确诊断。</w:t>
      </w:r>
    </w:p>
    <w:p>
      <w:pPr>
        <w:pStyle w:val="BodyText"/>
        <w:spacing w:before="7"/>
        <w:ind w:left="2768"/>
      </w:pPr>
      <w:r>
        <w:rPr/>
        <w:t>第 1 至第 24 项为中国保险行业协会与中国医师协会共同制定</w:t>
      </w:r>
    </w:p>
    <w:p>
      <w:pPr>
        <w:pStyle w:val="BodyText"/>
        <w:spacing w:line="273" w:lineRule="auto"/>
        <w:ind w:left="2768" w:right="270"/>
      </w:pPr>
      <w:r>
        <w:rPr>
          <w:spacing w:val="-3"/>
        </w:rPr>
        <w:t>的重大疾病保险的疾病定义，第 </w:t>
      </w:r>
      <w:r>
        <w:rPr/>
        <w:t>25</w:t>
      </w:r>
      <w:r>
        <w:rPr>
          <w:spacing w:val="-18"/>
        </w:rPr>
        <w:t> 至第 </w:t>
      </w:r>
      <w:r>
        <w:rPr/>
        <w:t>35</w:t>
      </w:r>
      <w:r>
        <w:rPr>
          <w:spacing w:val="-6"/>
        </w:rPr>
        <w:t> 项为我公司增加的疾病种类并自行制定的疾病定义。</w:t>
      </w:r>
    </w:p>
    <w:p>
      <w:pPr>
        <w:pStyle w:val="BodyText"/>
        <w:spacing w:before="5"/>
        <w:rPr>
          <w:sz w:val="24"/>
        </w:rPr>
      </w:pPr>
    </w:p>
    <w:p>
      <w:pPr>
        <w:pStyle w:val="BodyText"/>
        <w:tabs>
          <w:tab w:pos="2767" w:val="left" w:leader="none"/>
        </w:tabs>
        <w:spacing w:line="273" w:lineRule="auto" w:before="0"/>
        <w:ind w:left="2767" w:right="166" w:hanging="2160"/>
      </w:pPr>
      <w:r>
        <w:rPr/>
        <w:t>1、恶性肿瘤</w:t>
        <w:tab/>
        <w:t>指恶性细胞不受控制的进行性增长和扩散，浸润和破坏周围 正常组织，可以经血管、淋巴管和体腔扩散转移到身体其它部位的疾病。经病理学检查结果明确诊断，临床诊断属于世界卫生组</w:t>
      </w:r>
      <w:r>
        <w:rPr>
          <w:spacing w:val="-64"/>
        </w:rPr>
        <w:t>织</w:t>
      </w:r>
      <w:r>
        <w:rPr/>
        <w:t>《疾病和有关健康问题的国际统计分类</w:t>
      </w:r>
      <w:r>
        <w:rPr>
          <w:spacing w:val="-167"/>
        </w:rPr>
        <w:t>》</w:t>
      </w:r>
      <w:r>
        <w:rPr/>
        <w:t>（ICD-10） 的恶性肿瘤范畴。下列疾病不在保障范围内：</w:t>
      </w:r>
    </w:p>
    <w:p>
      <w:pPr>
        <w:pStyle w:val="BodyText"/>
        <w:spacing w:before="7"/>
        <w:ind w:left="2767"/>
      </w:pPr>
      <w:r>
        <w:rPr/>
        <w:t>（1）原位癌；</w:t>
      </w:r>
    </w:p>
    <w:p>
      <w:pPr>
        <w:pStyle w:val="BodyText"/>
        <w:ind w:left="2767"/>
      </w:pPr>
      <w:r>
        <w:rPr/>
        <w:t>（2</w:t>
      </w:r>
      <w:r>
        <w:rPr>
          <w:spacing w:val="-105"/>
        </w:rPr>
        <w:t>）</w:t>
      </w:r>
      <w:r>
        <w:rPr>
          <w:spacing w:val="-15"/>
        </w:rPr>
        <w:t>相当于 </w:t>
      </w:r>
      <w:r>
        <w:rPr/>
        <w:t>Binet</w:t>
      </w:r>
      <w:r>
        <w:rPr>
          <w:spacing w:val="-4"/>
        </w:rPr>
        <w:t> 分期方案</w:t>
      </w:r>
      <w:r>
        <w:rPr/>
        <w:t>A</w:t>
      </w:r>
      <w:r>
        <w:rPr>
          <w:spacing w:val="-8"/>
        </w:rPr>
        <w:t> 期程度的慢性淋巴细胞白血病；</w:t>
      </w:r>
    </w:p>
    <w:p>
      <w:pPr>
        <w:pStyle w:val="BodyText"/>
        <w:ind w:left="2767"/>
      </w:pPr>
      <w:r>
        <w:rPr/>
        <w:t>（3）相当于Ann Arbor 分期方案 I 期程度的何杰金氏病；</w:t>
      </w:r>
    </w:p>
    <w:p>
      <w:pPr>
        <w:pStyle w:val="BodyText"/>
        <w:ind w:left="2767"/>
      </w:pPr>
      <w:r>
        <w:rPr/>
        <w:t>（4</w:t>
      </w:r>
      <w:r>
        <w:rPr>
          <w:spacing w:val="-11"/>
        </w:rPr>
        <w:t>）</w:t>
      </w:r>
      <w:r>
        <w:rPr>
          <w:spacing w:val="-4"/>
        </w:rPr>
        <w:t>皮肤癌</w:t>
      </w:r>
      <w:r>
        <w:rPr/>
        <w:t>（不包括恶性黑色素瘤及已发生转移的皮肤癌</w:t>
      </w:r>
      <w:r>
        <w:rPr>
          <w:spacing w:val="-106"/>
        </w:rPr>
        <w:t>）</w:t>
      </w:r>
      <w:r>
        <w:rPr/>
        <w:t>；</w:t>
      </w:r>
    </w:p>
    <w:p>
      <w:pPr>
        <w:pStyle w:val="BodyText"/>
        <w:ind w:left="2767"/>
      </w:pPr>
      <w:r>
        <w:rPr>
          <w:position w:val="1"/>
        </w:rPr>
        <w:t>（5）TNM 分期为 T</w:t>
      </w:r>
      <w:r>
        <w:rPr>
          <w:sz w:val="11"/>
        </w:rPr>
        <w:t>1</w:t>
      </w:r>
      <w:r>
        <w:rPr>
          <w:position w:val="1"/>
        </w:rPr>
        <w:t>N</w:t>
      </w:r>
      <w:r>
        <w:rPr>
          <w:sz w:val="11"/>
        </w:rPr>
        <w:t>0</w:t>
      </w:r>
      <w:r>
        <w:rPr>
          <w:position w:val="1"/>
        </w:rPr>
        <w:t>M</w:t>
      </w:r>
      <w:r>
        <w:rPr>
          <w:sz w:val="11"/>
        </w:rPr>
        <w:t>0 </w:t>
      </w:r>
      <w:r>
        <w:rPr>
          <w:position w:val="1"/>
        </w:rPr>
        <w:t>期或更轻分期的前列腺癌；</w:t>
      </w:r>
    </w:p>
    <w:p>
      <w:pPr>
        <w:pStyle w:val="BodyText"/>
        <w:spacing w:before="37"/>
        <w:ind w:left="2768"/>
      </w:pPr>
      <w:r>
        <w:rPr/>
        <w:t>（6）感染艾滋病病毒或患艾滋病期间所患恶性肿瘤。</w:t>
      </w:r>
    </w:p>
    <w:p>
      <w:pPr>
        <w:pStyle w:val="BodyText"/>
        <w:spacing w:before="8"/>
        <w:rPr>
          <w:sz w:val="26"/>
        </w:rPr>
      </w:pPr>
    </w:p>
    <w:p>
      <w:pPr>
        <w:pStyle w:val="BodyText"/>
        <w:tabs>
          <w:tab w:pos="2767" w:val="left" w:leader="none"/>
        </w:tabs>
        <w:spacing w:line="273" w:lineRule="auto" w:before="1"/>
        <w:ind w:left="2768" w:right="270" w:hanging="2160"/>
      </w:pPr>
      <w:r>
        <w:rPr/>
        <w:t>2、急性心肌梗塞</w:t>
        <w:tab/>
        <w:t>指因冠状动脉阻塞导致的相应区域供血不足造成部分心肌坏 死。须满足下列至少三项条件：</w:t>
      </w:r>
    </w:p>
    <w:p>
      <w:pPr>
        <w:pStyle w:val="BodyText"/>
        <w:spacing w:before="8"/>
        <w:ind w:left="2768"/>
      </w:pPr>
      <w:r>
        <w:rPr/>
        <w:t>（1）典型临床表现，例如急性胸痛等；</w:t>
      </w:r>
    </w:p>
    <w:p>
      <w:pPr>
        <w:spacing w:after="0"/>
        <w:sectPr>
          <w:type w:val="continuous"/>
          <w:pgSz w:w="11910" w:h="16840"/>
          <w:pgMar w:top="1100" w:bottom="1180" w:left="1660" w:right="1660"/>
        </w:sectPr>
      </w:pPr>
    </w:p>
    <w:p>
      <w:pPr>
        <w:pStyle w:val="BodyText"/>
        <w:spacing w:before="8"/>
        <w:rPr>
          <w:sz w:val="20"/>
        </w:rPr>
      </w:pPr>
    </w:p>
    <w:p>
      <w:pPr>
        <w:pStyle w:val="BodyText"/>
        <w:ind w:left="2768"/>
      </w:pPr>
      <w:r>
        <w:rPr/>
        <w:t>（2）新近的心电图改变提示急性心肌梗塞；</w:t>
      </w:r>
    </w:p>
    <w:p>
      <w:pPr>
        <w:pStyle w:val="BodyText"/>
        <w:spacing w:line="273" w:lineRule="auto" w:before="37"/>
        <w:ind w:left="2768" w:right="223"/>
      </w:pPr>
      <w:r>
        <w:rPr/>
        <w:t>（3）心肌酶或肌钙蛋白有诊断意义的升高，或呈符合急性心肌梗塞的动态性变化；</w:t>
      </w:r>
    </w:p>
    <w:p>
      <w:pPr>
        <w:pStyle w:val="BodyText"/>
        <w:spacing w:line="273" w:lineRule="auto" w:before="7"/>
        <w:ind w:left="2768" w:right="223"/>
      </w:pPr>
      <w:r>
        <w:rPr/>
        <w:t>（4）发病 90 天后，经检查证实左心室功能降低的，如左心室射血分数低于 50%。</w:t>
      </w:r>
    </w:p>
    <w:p>
      <w:pPr>
        <w:pStyle w:val="BodyText"/>
        <w:spacing w:before="5"/>
        <w:rPr>
          <w:sz w:val="24"/>
        </w:rPr>
      </w:pPr>
    </w:p>
    <w:p>
      <w:pPr>
        <w:pStyle w:val="BodyText"/>
        <w:spacing w:line="273" w:lineRule="auto" w:before="0"/>
        <w:ind w:left="2768" w:right="270" w:hanging="2160"/>
        <w:jc w:val="both"/>
      </w:pPr>
      <w:r>
        <w:rPr/>
        <w:t>3、脑中风后遗症     指因脑血管的突发病变引起脑血管出血、栓塞或梗塞，并导致神经系统永久性功能障碍。神经系统永久性的功能障碍， 指疾病确诊 180 天后，仍遗留下列一种或一种以上障碍：</w:t>
      </w:r>
    </w:p>
    <w:p>
      <w:pPr>
        <w:pStyle w:val="BodyText"/>
        <w:spacing w:before="7"/>
        <w:ind w:left="2768"/>
      </w:pPr>
      <w:r>
        <w:rPr/>
        <w:t>（1）一肢或一肢以上肢体机能完全丧失；</w:t>
      </w:r>
    </w:p>
    <w:p>
      <w:pPr>
        <w:pStyle w:val="BodyText"/>
        <w:ind w:left="2768"/>
      </w:pPr>
      <w:r>
        <w:rPr/>
        <w:t>（2）语言能力或咀嚼吞咽能力完全丧失；</w:t>
      </w:r>
    </w:p>
    <w:p>
      <w:pPr>
        <w:pStyle w:val="BodyText"/>
        <w:spacing w:line="273" w:lineRule="auto"/>
        <w:ind w:left="2768" w:right="223"/>
      </w:pPr>
      <w:r>
        <w:rPr/>
        <w:t>（3）自主生活能力完全丧失，无法独立完成六项基本日常生活活动中的三项或三项以上。</w:t>
      </w:r>
    </w:p>
    <w:p>
      <w:pPr>
        <w:pStyle w:val="BodyText"/>
        <w:spacing w:before="9"/>
      </w:pPr>
    </w:p>
    <w:p>
      <w:pPr>
        <w:spacing w:after="0"/>
        <w:sectPr>
          <w:pgSz w:w="11910" w:h="16840"/>
          <w:pgMar w:header="872" w:footer="998" w:top="1100" w:bottom="1180" w:left="1660" w:right="1660"/>
        </w:sectPr>
      </w:pPr>
    </w:p>
    <w:p>
      <w:pPr>
        <w:pStyle w:val="BodyText"/>
        <w:spacing w:line="273" w:lineRule="auto" w:before="35"/>
        <w:ind w:left="608"/>
      </w:pPr>
      <w:r>
        <w:rPr/>
        <w:t>4</w:t>
      </w:r>
      <w:r>
        <w:rPr>
          <w:spacing w:val="-8"/>
        </w:rPr>
        <w:t>、重大器官移植术或造血干细胞移植术</w:t>
      </w:r>
    </w:p>
    <w:p>
      <w:pPr>
        <w:pStyle w:val="BodyText"/>
        <w:spacing w:line="273" w:lineRule="auto" w:before="35"/>
        <w:ind w:left="175" w:right="118"/>
      </w:pPr>
      <w:r>
        <w:rPr/>
        <w:br w:type="column"/>
      </w:r>
      <w:r>
        <w:rPr/>
        <w:t>重大器官移植术，指因相应器官功能衰竭，已经实施了肾脏、肝脏、心脏或肺脏的异体移植手术。</w:t>
      </w:r>
    </w:p>
    <w:p>
      <w:pPr>
        <w:pStyle w:val="BodyText"/>
        <w:spacing w:line="273" w:lineRule="auto" w:before="7"/>
        <w:ind w:left="175" w:right="118"/>
      </w:pPr>
      <w:r>
        <w:rPr/>
        <w:t>造血干细胞移植术，指因造血功能损害或造血系统恶性肿瘤， 已经实施了造血干细胞（包括骨髓造血干细胞、外周造血干细胞和脐血造血干细胞）的异体移植手术。</w:t>
      </w:r>
    </w:p>
    <w:p>
      <w:pPr>
        <w:spacing w:after="0" w:line="273" w:lineRule="auto"/>
        <w:sectPr>
          <w:type w:val="continuous"/>
          <w:pgSz w:w="11910" w:h="16840"/>
          <w:pgMar w:top="1100" w:bottom="1180" w:left="1660" w:right="1660"/>
          <w:cols w:num="2" w:equalWidth="0">
            <w:col w:w="2553" w:space="40"/>
            <w:col w:w="5997"/>
          </w:cols>
        </w:sectPr>
      </w:pPr>
    </w:p>
    <w:p>
      <w:pPr>
        <w:pStyle w:val="BodyText"/>
        <w:spacing w:before="9"/>
      </w:pPr>
    </w:p>
    <w:p>
      <w:pPr>
        <w:pStyle w:val="BodyText"/>
        <w:spacing w:line="273" w:lineRule="auto" w:before="35"/>
        <w:ind w:left="2768" w:right="270" w:hanging="2160"/>
        <w:jc w:val="both"/>
      </w:pPr>
      <w:r>
        <w:rPr/>
        <w:t>5、冠状动脉搭桥术   指为治疗严重的冠心病，实际实施了开胸进行的冠状动脉血管旁路移植的手术。</w:t>
      </w:r>
    </w:p>
    <w:p>
      <w:pPr>
        <w:pStyle w:val="BodyText"/>
        <w:spacing w:line="273" w:lineRule="auto" w:before="7"/>
        <w:ind w:left="2768" w:right="270"/>
      </w:pPr>
      <w:r>
        <w:rPr/>
        <w:t>冠状动脉支架植入手术、心导管球囊扩张术、激光射频技术及其他非开胸的介入手术、腔镜手术不在保障范围内。</w:t>
      </w:r>
    </w:p>
    <w:p>
      <w:pPr>
        <w:pStyle w:val="BodyText"/>
        <w:spacing w:before="5"/>
        <w:rPr>
          <w:sz w:val="24"/>
        </w:rPr>
      </w:pPr>
    </w:p>
    <w:p>
      <w:pPr>
        <w:pStyle w:val="BodyText"/>
        <w:spacing w:line="273" w:lineRule="auto" w:before="0"/>
        <w:ind w:left="2768" w:right="269" w:hanging="2160"/>
        <w:jc w:val="both"/>
      </w:pPr>
      <w:r>
        <w:rPr/>
        <w:t>6、终末期肾病       指双肾功能慢性不可逆性衰竭，达到尿毒症期，经诊断后已经进行了至少 90 天的规律性透析治疗或实施了肾脏移植手术。</w:t>
      </w:r>
    </w:p>
    <w:p>
      <w:pPr>
        <w:pStyle w:val="BodyText"/>
        <w:spacing w:before="5"/>
        <w:rPr>
          <w:sz w:val="24"/>
        </w:rPr>
      </w:pPr>
    </w:p>
    <w:p>
      <w:pPr>
        <w:pStyle w:val="BodyText"/>
        <w:spacing w:line="273" w:lineRule="auto" w:before="0"/>
        <w:ind w:left="2768" w:right="270" w:hanging="2160"/>
        <w:jc w:val="both"/>
      </w:pPr>
      <w:r>
        <w:rPr/>
        <w:t>7、多个肢体缺失     指因疾病或意外伤害导致两个或两个以上肢体自腕关节或踝关节近端（靠近躯干端）以上完全性断离。</w:t>
      </w:r>
    </w:p>
    <w:p>
      <w:pPr>
        <w:pStyle w:val="BodyText"/>
        <w:spacing w:before="9"/>
      </w:pPr>
    </w:p>
    <w:p>
      <w:pPr>
        <w:spacing w:after="0"/>
        <w:sectPr>
          <w:type w:val="continuous"/>
          <w:pgSz w:w="11910" w:h="16840"/>
          <w:pgMar w:top="1100" w:bottom="1180" w:left="1660" w:right="1660"/>
        </w:sectPr>
      </w:pPr>
    </w:p>
    <w:p>
      <w:pPr>
        <w:pStyle w:val="BodyText"/>
        <w:spacing w:line="273" w:lineRule="auto"/>
        <w:ind w:left="608"/>
      </w:pPr>
      <w:r>
        <w:rPr/>
        <w:t>8</w:t>
      </w:r>
      <w:r>
        <w:rPr>
          <w:spacing w:val="-8"/>
        </w:rPr>
        <w:t>、急性或亚急性重症肝炎</w:t>
      </w:r>
    </w:p>
    <w:p>
      <w:pPr>
        <w:pStyle w:val="BodyText"/>
        <w:spacing w:line="273" w:lineRule="auto"/>
        <w:ind w:left="175" w:right="270"/>
        <w:jc w:val="both"/>
      </w:pPr>
      <w:r>
        <w:rPr/>
        <w:br w:type="column"/>
      </w:r>
      <w:r>
        <w:rPr/>
        <w:t>指因肝炎病毒感染引起肝组织弥漫性坏死，导致急性肝功能衰竭，且经血清学或病毒学检查证实，并须满足下列全部条件：</w:t>
      </w:r>
    </w:p>
    <w:p>
      <w:pPr>
        <w:pStyle w:val="BodyText"/>
        <w:spacing w:before="8"/>
        <w:ind w:left="175"/>
        <w:jc w:val="both"/>
      </w:pPr>
      <w:r>
        <w:rPr/>
        <w:t>（1）重度黄疸或黄疸迅速加重；</w:t>
      </w:r>
    </w:p>
    <w:p>
      <w:pPr>
        <w:pStyle w:val="BodyText"/>
        <w:spacing w:before="37"/>
        <w:ind w:left="175"/>
        <w:jc w:val="both"/>
      </w:pPr>
      <w:r>
        <w:rPr/>
        <w:t>（2）肝性脑病；</w:t>
      </w:r>
    </w:p>
    <w:p>
      <w:pPr>
        <w:pStyle w:val="BodyText"/>
        <w:spacing w:before="37"/>
        <w:ind w:left="175"/>
        <w:jc w:val="both"/>
      </w:pPr>
      <w:r>
        <w:rPr/>
        <w:t>（3）B 超或其他影像学检查显示肝脏体积急速萎缩；</w:t>
      </w:r>
    </w:p>
    <w:p>
      <w:pPr>
        <w:pStyle w:val="BodyText"/>
        <w:spacing w:before="37"/>
        <w:ind w:left="175"/>
        <w:jc w:val="both"/>
      </w:pPr>
      <w:r>
        <w:rPr/>
        <w:t>（4）肝功能指标进行性恶化。</w:t>
      </w:r>
    </w:p>
    <w:p>
      <w:pPr>
        <w:spacing w:after="0"/>
        <w:jc w:val="both"/>
        <w:sectPr>
          <w:type w:val="continuous"/>
          <w:pgSz w:w="11910" w:h="16840"/>
          <w:pgMar w:top="1100" w:bottom="1180" w:left="1660" w:right="1660"/>
          <w:cols w:num="2" w:equalWidth="0">
            <w:col w:w="2553" w:space="40"/>
            <w:col w:w="5997"/>
          </w:cols>
        </w:sectPr>
      </w:pPr>
    </w:p>
    <w:p>
      <w:pPr>
        <w:pStyle w:val="BodyText"/>
        <w:spacing w:before="12"/>
        <w:rPr>
          <w:sz w:val="23"/>
        </w:rPr>
      </w:pPr>
    </w:p>
    <w:p>
      <w:pPr>
        <w:pStyle w:val="BodyText"/>
        <w:tabs>
          <w:tab w:pos="2767" w:val="left" w:leader="none"/>
        </w:tabs>
        <w:spacing w:line="273" w:lineRule="auto"/>
        <w:ind w:left="2767" w:right="166" w:hanging="2160"/>
      </w:pPr>
      <w:r>
        <w:rPr/>
        <w:t>9、良性脑肿瘤</w:t>
        <w:tab/>
        <w:t>指脑的良性肿瘤，已经引起颅内压增高，临床表现为视神经 乳头水肿</w:t>
      </w:r>
      <w:r>
        <w:rPr>
          <w:spacing w:val="-8"/>
        </w:rPr>
        <w:t>、</w:t>
      </w:r>
      <w:r>
        <w:rPr/>
        <w:t>精神症状</w:t>
      </w:r>
      <w:r>
        <w:rPr>
          <w:spacing w:val="-8"/>
        </w:rPr>
        <w:t>、</w:t>
      </w:r>
      <w:r>
        <w:rPr/>
        <w:t>癫痫及运动感觉障碍等</w:t>
      </w:r>
      <w:r>
        <w:rPr>
          <w:spacing w:val="-8"/>
        </w:rPr>
        <w:t>，</w:t>
      </w:r>
      <w:r>
        <w:rPr/>
        <w:t>并危及生命。</w:t>
      </w:r>
      <w:r>
        <w:rPr>
          <w:spacing w:val="2"/>
        </w:rPr>
        <w:t>须由头颅</w:t>
      </w:r>
      <w:r>
        <w:rPr>
          <w:spacing w:val="1"/>
        </w:rPr>
        <w:t>断</w:t>
      </w:r>
      <w:r>
        <w:rPr>
          <w:spacing w:val="2"/>
        </w:rPr>
        <w:t>层扫描（</w:t>
      </w:r>
      <w:r>
        <w:rPr>
          <w:spacing w:val="-1"/>
        </w:rPr>
        <w:t>C</w:t>
      </w:r>
      <w:r>
        <w:rPr>
          <w:spacing w:val="2"/>
        </w:rPr>
        <w:t>T</w:t>
      </w:r>
      <w:r>
        <w:rPr>
          <w:spacing w:val="-104"/>
        </w:rPr>
        <w:t>）</w:t>
      </w:r>
      <w:r>
        <w:rPr>
          <w:spacing w:val="2"/>
        </w:rPr>
        <w:t>、核磁共</w:t>
      </w:r>
      <w:r>
        <w:rPr>
          <w:spacing w:val="1"/>
        </w:rPr>
        <w:t>振</w:t>
      </w:r>
      <w:r>
        <w:rPr>
          <w:spacing w:val="2"/>
        </w:rPr>
        <w:t>检查（</w:t>
      </w:r>
      <w:r>
        <w:rPr>
          <w:spacing w:val="-1"/>
        </w:rPr>
        <w:t>M</w:t>
      </w:r>
      <w:r>
        <w:rPr/>
        <w:t>R</w:t>
      </w:r>
      <w:r>
        <w:rPr>
          <w:spacing w:val="2"/>
        </w:rPr>
        <w:t>I</w:t>
      </w:r>
      <w:r>
        <w:rPr>
          <w:spacing w:val="1"/>
        </w:rPr>
        <w:t>）</w:t>
      </w:r>
      <w:r>
        <w:rPr>
          <w:spacing w:val="2"/>
        </w:rPr>
        <w:t>或正电子发</w:t>
      </w:r>
      <w:r>
        <w:rPr>
          <w:spacing w:val="-1"/>
        </w:rPr>
        <w:t>射断层扫</w:t>
      </w:r>
      <w:r>
        <w:rPr>
          <w:spacing w:val="-8"/>
        </w:rPr>
        <w:t>描</w:t>
      </w:r>
      <w:r>
        <w:rPr>
          <w:spacing w:val="-1"/>
        </w:rPr>
        <w:t>（PET）等</w:t>
      </w:r>
      <w:r>
        <w:rPr/>
        <w:t>影像学检查证实</w:t>
      </w:r>
      <w:r>
        <w:rPr>
          <w:spacing w:val="-8"/>
        </w:rPr>
        <w:t>，</w:t>
      </w:r>
      <w:r>
        <w:rPr/>
        <w:t>并须满足下列至少一</w:t>
      </w:r>
    </w:p>
    <w:p>
      <w:pPr>
        <w:spacing w:after="0" w:line="273" w:lineRule="auto"/>
        <w:sectPr>
          <w:type w:val="continuous"/>
          <w:pgSz w:w="11910" w:h="16840"/>
          <w:pgMar w:top="1100" w:bottom="1180" w:left="1660" w:right="1660"/>
        </w:sectPr>
      </w:pPr>
    </w:p>
    <w:p>
      <w:pPr>
        <w:pStyle w:val="BodyText"/>
        <w:spacing w:before="8"/>
        <w:rPr>
          <w:sz w:val="20"/>
        </w:rPr>
      </w:pPr>
    </w:p>
    <w:p>
      <w:pPr>
        <w:pStyle w:val="BodyText"/>
        <w:ind w:left="2768"/>
      </w:pPr>
      <w:r>
        <w:rPr/>
        <w:t>项条件：</w:t>
      </w:r>
    </w:p>
    <w:p>
      <w:pPr>
        <w:pStyle w:val="BodyText"/>
        <w:spacing w:line="273" w:lineRule="auto" w:before="37"/>
        <w:ind w:left="2768" w:right="223"/>
      </w:pPr>
      <w:r>
        <w:rPr/>
        <w:t>（1）实际实施了开颅进行的脑肿瘤完全切除或部分切除的手术；</w:t>
      </w:r>
    </w:p>
    <w:p>
      <w:pPr>
        <w:pStyle w:val="BodyText"/>
        <w:spacing w:before="7"/>
        <w:ind w:left="2768"/>
      </w:pPr>
      <w:r>
        <w:rPr/>
        <w:t>（2）实际实施了对脑肿瘤进行的放射治疗。</w:t>
      </w:r>
    </w:p>
    <w:p>
      <w:pPr>
        <w:pStyle w:val="BodyText"/>
        <w:ind w:left="2768"/>
      </w:pPr>
      <w:r>
        <w:rPr/>
        <w:t>脑垂体瘤、脑囊肿、脑血管性疾病不在保障范围内。</w:t>
      </w:r>
    </w:p>
    <w:p>
      <w:pPr>
        <w:pStyle w:val="BodyText"/>
        <w:spacing w:before="12"/>
        <w:rPr>
          <w:sz w:val="23"/>
        </w:rPr>
      </w:pPr>
    </w:p>
    <w:p>
      <w:pPr>
        <w:spacing w:after="0"/>
        <w:rPr>
          <w:sz w:val="23"/>
        </w:rPr>
        <w:sectPr>
          <w:pgSz w:w="11910" w:h="16840"/>
          <w:pgMar w:header="872" w:footer="998" w:top="1100" w:bottom="1180" w:left="1660" w:right="1660"/>
        </w:sectPr>
      </w:pPr>
    </w:p>
    <w:p>
      <w:pPr>
        <w:pStyle w:val="BodyText"/>
        <w:spacing w:line="273" w:lineRule="auto" w:before="35"/>
        <w:ind w:left="608"/>
      </w:pPr>
      <w:r>
        <w:rPr/>
        <w:t>10、慢性肝功能衰竭失代偿期</w:t>
      </w:r>
    </w:p>
    <w:p>
      <w:pPr>
        <w:pStyle w:val="BodyText"/>
        <w:spacing w:before="35"/>
        <w:ind w:left="167"/>
      </w:pPr>
      <w:r>
        <w:rPr/>
        <w:br w:type="column"/>
      </w:r>
      <w:r>
        <w:rPr/>
        <w:t>指因慢性肝脏疾病导致肝功能衰竭，须满足下列全部条件：</w:t>
      </w:r>
    </w:p>
    <w:p>
      <w:pPr>
        <w:pStyle w:val="BodyText"/>
        <w:ind w:left="167"/>
      </w:pPr>
      <w:r>
        <w:rPr/>
        <w:t>（1）持续性黄疸；</w:t>
      </w:r>
    </w:p>
    <w:p>
      <w:pPr>
        <w:pStyle w:val="BodyText"/>
        <w:ind w:left="167"/>
      </w:pPr>
      <w:r>
        <w:rPr/>
        <w:t>（2）腹水；</w:t>
      </w:r>
    </w:p>
    <w:p>
      <w:pPr>
        <w:pStyle w:val="BodyText"/>
        <w:ind w:left="167"/>
      </w:pPr>
      <w:r>
        <w:rPr/>
        <w:t>（3）肝性脑病；</w:t>
      </w:r>
    </w:p>
    <w:p>
      <w:pPr>
        <w:pStyle w:val="BodyText"/>
        <w:spacing w:line="273" w:lineRule="auto"/>
        <w:ind w:left="167" w:right="670"/>
      </w:pPr>
      <w:r>
        <w:rPr/>
        <w:t>（4）充血性脾肿大伴脾功能亢进或食管胃底静脉曲张。因酗酒或药物滥用导致的肝功能衰竭不在保障范围内。</w:t>
      </w:r>
    </w:p>
    <w:p>
      <w:pPr>
        <w:spacing w:after="0" w:line="273" w:lineRule="auto"/>
        <w:sectPr>
          <w:type w:val="continuous"/>
          <w:pgSz w:w="11910" w:h="16840"/>
          <w:pgMar w:top="1100" w:bottom="1180" w:left="1660" w:right="1660"/>
          <w:cols w:num="2" w:equalWidth="0">
            <w:col w:w="2561" w:space="40"/>
            <w:col w:w="5989"/>
          </w:cols>
        </w:sectPr>
      </w:pPr>
    </w:p>
    <w:p>
      <w:pPr>
        <w:pStyle w:val="BodyText"/>
        <w:spacing w:before="9"/>
      </w:pPr>
    </w:p>
    <w:p>
      <w:pPr>
        <w:spacing w:after="0"/>
        <w:sectPr>
          <w:type w:val="continuous"/>
          <w:pgSz w:w="11910" w:h="16840"/>
          <w:pgMar w:top="1100" w:bottom="1180" w:left="1660" w:right="1660"/>
        </w:sectPr>
      </w:pPr>
    </w:p>
    <w:p>
      <w:pPr>
        <w:pStyle w:val="BodyText"/>
        <w:spacing w:line="273" w:lineRule="auto" w:before="35"/>
        <w:ind w:left="608"/>
      </w:pPr>
      <w:r>
        <w:rPr/>
        <w:t>11、脑炎后遗症或脑膜炎后遗症</w:t>
      </w:r>
    </w:p>
    <w:p>
      <w:pPr>
        <w:pStyle w:val="BodyText"/>
        <w:spacing w:line="273" w:lineRule="auto" w:before="35"/>
        <w:ind w:left="167" w:right="270"/>
        <w:jc w:val="both"/>
      </w:pPr>
      <w:r>
        <w:rPr/>
        <w:br w:type="column"/>
      </w:r>
      <w:r>
        <w:rPr/>
        <w:t>指因患脑炎或脑膜炎导致的神经系统永久性的功能障碍。神</w:t>
      </w:r>
      <w:r>
        <w:rPr>
          <w:spacing w:val="-1"/>
        </w:rPr>
        <w:t>经系统永久性的功能障碍，指疾病确诊 </w:t>
      </w:r>
      <w:r>
        <w:rPr/>
        <w:t>180</w:t>
      </w:r>
      <w:r>
        <w:rPr>
          <w:spacing w:val="-3"/>
        </w:rPr>
        <w:t> 天后，仍残留下列一种或一种以上障碍：</w:t>
      </w:r>
    </w:p>
    <w:p>
      <w:pPr>
        <w:pStyle w:val="BodyText"/>
        <w:spacing w:before="7"/>
        <w:ind w:left="167"/>
      </w:pPr>
      <w:r>
        <w:rPr/>
        <w:t>（1）一肢或一肢以上肢体机能完全丧失；</w:t>
      </w:r>
    </w:p>
    <w:p>
      <w:pPr>
        <w:pStyle w:val="BodyText"/>
        <w:spacing w:before="37"/>
        <w:ind w:left="167"/>
      </w:pPr>
      <w:r>
        <w:rPr/>
        <w:t>（2）语言能力或咀嚼吞咽能力完全丧失；</w:t>
      </w:r>
    </w:p>
    <w:p>
      <w:pPr>
        <w:pStyle w:val="BodyText"/>
        <w:spacing w:line="273" w:lineRule="auto" w:before="37"/>
        <w:ind w:left="167" w:right="223"/>
      </w:pPr>
      <w:r>
        <w:rPr/>
        <w:t>（3）自主生活能力完全丧失，无法独立完成六项基本日常生活活动中的三项或三项以上。</w:t>
      </w:r>
    </w:p>
    <w:p>
      <w:pPr>
        <w:spacing w:after="0" w:line="273" w:lineRule="auto"/>
        <w:sectPr>
          <w:type w:val="continuous"/>
          <w:pgSz w:w="11910" w:h="16840"/>
          <w:pgMar w:top="1100" w:bottom="1180" w:left="1660" w:right="1660"/>
          <w:cols w:num="2" w:equalWidth="0">
            <w:col w:w="2561" w:space="40"/>
            <w:col w:w="5989"/>
          </w:cols>
        </w:sectPr>
      </w:pPr>
    </w:p>
    <w:p>
      <w:pPr>
        <w:pStyle w:val="BodyText"/>
        <w:spacing w:before="9"/>
      </w:pPr>
    </w:p>
    <w:p>
      <w:pPr>
        <w:spacing w:after="0"/>
        <w:sectPr>
          <w:type w:val="continuous"/>
          <w:pgSz w:w="11910" w:h="16840"/>
          <w:pgMar w:top="1100" w:bottom="1180" w:left="1660" w:right="1660"/>
        </w:sectPr>
      </w:pPr>
    </w:p>
    <w:p>
      <w:pPr>
        <w:pStyle w:val="BodyText"/>
        <w:spacing w:line="273" w:lineRule="auto" w:before="35"/>
        <w:ind w:left="608"/>
      </w:pPr>
      <w:r>
        <w:rPr/>
        <w:t>12、双耳失聪－三周岁始理赔</w:t>
      </w:r>
    </w:p>
    <w:p>
      <w:pPr>
        <w:pStyle w:val="BodyText"/>
        <w:spacing w:line="273" w:lineRule="auto" w:before="35"/>
        <w:ind w:left="167" w:right="269"/>
        <w:jc w:val="both"/>
      </w:pPr>
      <w:r>
        <w:rPr/>
        <w:br w:type="column"/>
      </w:r>
      <w:r>
        <w:rPr>
          <w:spacing w:val="-6"/>
        </w:rPr>
        <w:t>指因疾病或意外伤害导致双耳听力永久不可逆性丧失，在 </w:t>
      </w:r>
      <w:r>
        <w:rPr/>
        <w:t>500 赫兹、1000</w:t>
      </w:r>
      <w:r>
        <w:rPr>
          <w:spacing w:val="-14"/>
        </w:rPr>
        <w:t> 赫兹和 </w:t>
      </w:r>
      <w:r>
        <w:rPr/>
        <w:t>2000</w:t>
      </w:r>
      <w:r>
        <w:rPr>
          <w:spacing w:val="-8"/>
        </w:rPr>
        <w:t> 赫兹语音频率下，平均听阈大于 </w:t>
      </w:r>
      <w:r>
        <w:rPr/>
        <w:t>90 分贝，且经纯音听力测试、声导抗检测或听觉诱发电位检测等证实。</w:t>
      </w:r>
    </w:p>
    <w:p>
      <w:pPr>
        <w:pStyle w:val="BodyText"/>
        <w:spacing w:line="273" w:lineRule="auto" w:before="7"/>
        <w:ind w:left="167" w:right="270"/>
        <w:jc w:val="both"/>
      </w:pPr>
      <w:r>
        <w:rPr/>
        <w:t>被保险人申请理赔时年龄必须在三周岁以上，并且提供理赔当时的听力丧失诊断及检查证据。</w:t>
      </w:r>
    </w:p>
    <w:p>
      <w:pPr>
        <w:spacing w:after="0" w:line="273" w:lineRule="auto"/>
        <w:jc w:val="both"/>
        <w:sectPr>
          <w:type w:val="continuous"/>
          <w:pgSz w:w="11910" w:h="16840"/>
          <w:pgMar w:top="1100" w:bottom="1180" w:left="1660" w:right="1660"/>
          <w:cols w:num="2" w:equalWidth="0">
            <w:col w:w="2561" w:space="40"/>
            <w:col w:w="5989"/>
          </w:cols>
        </w:sectPr>
      </w:pPr>
    </w:p>
    <w:p>
      <w:pPr>
        <w:pStyle w:val="BodyText"/>
        <w:spacing w:before="9"/>
      </w:pPr>
    </w:p>
    <w:p>
      <w:pPr>
        <w:spacing w:after="0"/>
        <w:sectPr>
          <w:type w:val="continuous"/>
          <w:pgSz w:w="11910" w:h="16840"/>
          <w:pgMar w:top="1100" w:bottom="1180" w:left="1660" w:right="1660"/>
        </w:sectPr>
      </w:pPr>
    </w:p>
    <w:p>
      <w:pPr>
        <w:pStyle w:val="BodyText"/>
        <w:spacing w:line="273" w:lineRule="auto"/>
        <w:ind w:left="608"/>
      </w:pPr>
      <w:r>
        <w:rPr/>
        <w:t>13、双目失明－三周岁始理赔</w:t>
      </w:r>
    </w:p>
    <w:p>
      <w:pPr>
        <w:pStyle w:val="BodyText"/>
        <w:spacing w:line="273" w:lineRule="auto"/>
        <w:ind w:left="167" w:right="270"/>
      </w:pPr>
      <w:r>
        <w:rPr/>
        <w:br w:type="column"/>
      </w:r>
      <w:r>
        <w:rPr/>
        <w:t>指因疾病或意外伤害导致双眼视力永久不可逆性丧失，双眼中较好眼须满足下列至少一项条件：</w:t>
      </w:r>
    </w:p>
    <w:p>
      <w:pPr>
        <w:pStyle w:val="BodyText"/>
        <w:spacing w:before="8"/>
        <w:ind w:left="167"/>
      </w:pPr>
      <w:r>
        <w:rPr/>
        <w:t>（1）眼球缺失或摘除；</w:t>
      </w:r>
    </w:p>
    <w:p>
      <w:pPr>
        <w:pStyle w:val="BodyText"/>
        <w:spacing w:line="273" w:lineRule="auto" w:before="37"/>
        <w:ind w:left="167" w:right="268"/>
      </w:pPr>
      <w:r>
        <w:rPr>
          <w:spacing w:val="-9"/>
        </w:rPr>
        <w:t>（2）</w:t>
      </w:r>
      <w:r>
        <w:rPr>
          <w:spacing w:val="-8"/>
        </w:rPr>
        <w:t>矫正视力低于 </w:t>
      </w:r>
      <w:r>
        <w:rPr>
          <w:spacing w:val="-5"/>
        </w:rPr>
        <w:t>0.02（</w:t>
      </w:r>
      <w:r>
        <w:rPr>
          <w:spacing w:val="-3"/>
        </w:rPr>
        <w:t>采用国际标准视力表，如果使用其他视力表应进行换算</w:t>
      </w:r>
      <w:r>
        <w:rPr>
          <w:spacing w:val="-105"/>
        </w:rPr>
        <w:t>）</w:t>
      </w:r>
      <w:r>
        <w:rPr/>
        <w:t>；</w:t>
      </w:r>
    </w:p>
    <w:p>
      <w:pPr>
        <w:pStyle w:val="BodyText"/>
        <w:spacing w:before="7"/>
        <w:ind w:left="167"/>
      </w:pPr>
      <w:r>
        <w:rPr/>
        <w:t>（3）视野半径小于 5 度。</w:t>
      </w:r>
    </w:p>
    <w:p>
      <w:pPr>
        <w:pStyle w:val="BodyText"/>
        <w:spacing w:line="273" w:lineRule="auto"/>
        <w:ind w:left="167" w:right="270"/>
      </w:pPr>
      <w:r>
        <w:rPr/>
        <w:t>被保险人申请理赔时年龄必须在三周岁以上，并且提供理赔当时的视力丧失诊断及检查证据。</w:t>
      </w:r>
    </w:p>
    <w:p>
      <w:pPr>
        <w:spacing w:after="0" w:line="273" w:lineRule="auto"/>
        <w:sectPr>
          <w:type w:val="continuous"/>
          <w:pgSz w:w="11910" w:h="16840"/>
          <w:pgMar w:top="1100" w:bottom="1180" w:left="1660" w:right="1660"/>
          <w:cols w:num="2" w:equalWidth="0">
            <w:col w:w="2561" w:space="40"/>
            <w:col w:w="5989"/>
          </w:cols>
        </w:sectPr>
      </w:pPr>
    </w:p>
    <w:p>
      <w:pPr>
        <w:pStyle w:val="BodyText"/>
        <w:spacing w:before="9"/>
      </w:pPr>
    </w:p>
    <w:p>
      <w:pPr>
        <w:pStyle w:val="BodyText"/>
        <w:tabs>
          <w:tab w:pos="2767" w:val="left" w:leader="none"/>
        </w:tabs>
        <w:spacing w:line="273" w:lineRule="auto" w:before="35"/>
        <w:ind w:left="2767" w:right="270" w:hanging="2160"/>
      </w:pPr>
      <w:r>
        <w:rPr/>
        <w:t>14、瘫痪</w:t>
        <w:tab/>
        <w:t>指因疾病或意外伤害导致两肢或两肢以上肢体机能永久完全 丧失。肢体机能永久完全丧失，指疾病确诊</w:t>
      </w:r>
      <w:r>
        <w:rPr>
          <w:spacing w:val="-12"/>
        </w:rPr>
        <w:t> </w:t>
      </w:r>
      <w:r>
        <w:rPr/>
        <w:t>180</w:t>
      </w:r>
      <w:r>
        <w:rPr>
          <w:spacing w:val="-11"/>
        </w:rPr>
        <w:t> </w:t>
      </w:r>
      <w:r>
        <w:rPr/>
        <w:t>天后或意外</w:t>
      </w:r>
    </w:p>
    <w:p>
      <w:pPr>
        <w:pStyle w:val="BodyText"/>
        <w:spacing w:line="273" w:lineRule="auto" w:before="7"/>
        <w:ind w:left="2767" w:right="223"/>
      </w:pPr>
      <w:r>
        <w:rPr/>
        <w:t>伤害发生 180 天后，每肢三大关节中的两大关节仍然完全僵硬，或不能随意识活动。</w:t>
      </w:r>
    </w:p>
    <w:p>
      <w:pPr>
        <w:pStyle w:val="BodyText"/>
        <w:spacing w:before="5"/>
        <w:rPr>
          <w:sz w:val="24"/>
        </w:rPr>
      </w:pPr>
    </w:p>
    <w:p>
      <w:pPr>
        <w:pStyle w:val="BodyText"/>
        <w:tabs>
          <w:tab w:pos="2767" w:val="left" w:leader="none"/>
        </w:tabs>
        <w:spacing w:line="273" w:lineRule="auto" w:before="0"/>
        <w:ind w:left="2767" w:right="270" w:hanging="2160"/>
      </w:pPr>
      <w:r>
        <w:rPr/>
        <w:t>15、心脏瓣膜手术</w:t>
        <w:tab/>
        <w:t>指为治疗心脏瓣膜疾病，实际实施了开胸进行的心脏瓣膜置 换或修复的手术。</w:t>
      </w:r>
    </w:p>
    <w:p>
      <w:pPr>
        <w:spacing w:after="0" w:line="273" w:lineRule="auto"/>
        <w:sectPr>
          <w:type w:val="continuous"/>
          <w:pgSz w:w="11910" w:h="16840"/>
          <w:pgMar w:top="1100" w:bottom="1180" w:left="1660" w:right="1660"/>
        </w:sectPr>
      </w:pPr>
    </w:p>
    <w:p>
      <w:pPr>
        <w:pStyle w:val="BodyText"/>
        <w:spacing w:before="0"/>
        <w:rPr>
          <w:sz w:val="20"/>
        </w:rPr>
      </w:pPr>
    </w:p>
    <w:p>
      <w:pPr>
        <w:pStyle w:val="BodyText"/>
        <w:spacing w:before="6"/>
        <w:rPr>
          <w:sz w:val="24"/>
        </w:rPr>
      </w:pPr>
    </w:p>
    <w:p>
      <w:pPr>
        <w:spacing w:after="0"/>
        <w:rPr>
          <w:sz w:val="24"/>
        </w:rPr>
        <w:sectPr>
          <w:pgSz w:w="11910" w:h="16840"/>
          <w:pgMar w:header="872" w:footer="998" w:top="1100" w:bottom="1180" w:left="1660" w:right="1660"/>
        </w:sectPr>
      </w:pPr>
    </w:p>
    <w:p>
      <w:pPr>
        <w:pStyle w:val="BodyText"/>
        <w:spacing w:line="273" w:lineRule="auto" w:before="35"/>
        <w:ind w:left="608"/>
      </w:pPr>
      <w:r>
        <w:rPr>
          <w:spacing w:val="1"/>
        </w:rPr>
        <w:t>16</w:t>
      </w:r>
      <w:r>
        <w:rPr>
          <w:spacing w:val="5"/>
        </w:rPr>
        <w:t>、严重阿尔茨海默</w:t>
      </w:r>
      <w:r>
        <w:rPr>
          <w:spacing w:val="7"/>
        </w:rPr>
        <w:t>病—限</w:t>
      </w:r>
      <w:r>
        <w:rPr/>
        <w:t>70</w:t>
      </w:r>
      <w:r>
        <w:rPr>
          <w:spacing w:val="-14"/>
        </w:rPr>
        <w:t> 周岁前发病</w:t>
      </w:r>
    </w:p>
    <w:p>
      <w:pPr>
        <w:pStyle w:val="BodyText"/>
        <w:spacing w:line="273" w:lineRule="auto" w:before="35"/>
        <w:ind w:left="167" w:right="166"/>
      </w:pPr>
      <w:r>
        <w:rPr/>
        <w:br w:type="column"/>
      </w:r>
      <w:r>
        <w:rPr/>
        <w:t>指因大脑进行性、不可逆性改变导致智能严重衰退或丧失， </w:t>
      </w:r>
      <w:r>
        <w:rPr>
          <w:spacing w:val="-2"/>
        </w:rPr>
        <w:t>临床表现为明显的认知能力障碍、行为异常和社交能力减退， </w:t>
      </w:r>
      <w:r>
        <w:rPr>
          <w:spacing w:val="-9"/>
        </w:rPr>
        <w:t>其日常生活必须持续受到他人监护。须由头颅断层扫描</w:t>
      </w:r>
      <w:r>
        <w:rPr/>
        <w:t>（CT</w:t>
      </w:r>
      <w:r>
        <w:rPr>
          <w:spacing w:val="-107"/>
        </w:rPr>
        <w:t>）</w:t>
      </w:r>
      <w:r>
        <w:rPr/>
        <w:t>、核磁共振检查（MRI）或正电子发射断层扫描（PET）等影像学检查证实，自主生活能力完全丧失，无法独立完成六项基本日常生活活动中的三项或三项以上。</w:t>
      </w:r>
    </w:p>
    <w:p>
      <w:pPr>
        <w:pStyle w:val="BodyText"/>
        <w:spacing w:before="7"/>
        <w:ind w:left="167"/>
      </w:pPr>
      <w:r>
        <w:rPr/>
        <w:t>神经官能症和精神疾病不在保障范围内。</w:t>
      </w:r>
    </w:p>
    <w:p>
      <w:pPr>
        <w:spacing w:after="0"/>
        <w:sectPr>
          <w:type w:val="continuous"/>
          <w:pgSz w:w="11910" w:h="16840"/>
          <w:pgMar w:top="1100" w:bottom="1180" w:left="1660" w:right="1660"/>
          <w:cols w:num="2" w:equalWidth="0">
            <w:col w:w="2561" w:space="40"/>
            <w:col w:w="5989"/>
          </w:cols>
        </w:sectPr>
      </w:pPr>
    </w:p>
    <w:p>
      <w:pPr>
        <w:pStyle w:val="BodyText"/>
        <w:spacing w:before="12"/>
        <w:rPr>
          <w:sz w:val="23"/>
        </w:rPr>
      </w:pPr>
    </w:p>
    <w:p>
      <w:pPr>
        <w:pStyle w:val="BodyText"/>
        <w:spacing w:line="273" w:lineRule="auto"/>
        <w:ind w:left="2767" w:right="265" w:hanging="2160"/>
        <w:jc w:val="both"/>
      </w:pPr>
      <w:r>
        <w:rPr/>
        <w:t>17、严重脑损伤 指因头部遭受机械性外力，引起脑重要部位损伤，导致神经系统永</w:t>
      </w:r>
      <w:r>
        <w:rPr>
          <w:spacing w:val="-2"/>
        </w:rPr>
        <w:t>久性的功能障碍。须由头颅断层扫描</w:t>
      </w:r>
      <w:r>
        <w:rPr/>
        <w:t>（CT</w:t>
      </w:r>
      <w:r>
        <w:rPr>
          <w:spacing w:val="-105"/>
        </w:rPr>
        <w:t>）</w:t>
      </w:r>
      <w:r>
        <w:rPr>
          <w:spacing w:val="-3"/>
        </w:rPr>
        <w:t>、核磁共振检查（MRI）或正电子发射断层扫描（PET）等影像学检查证实。</w:t>
      </w:r>
      <w:r>
        <w:rPr>
          <w:spacing w:val="-4"/>
        </w:rPr>
        <w:t>神经系统永久性的功能障碍，指脑损伤 </w:t>
      </w:r>
      <w:r>
        <w:rPr/>
        <w:t>180</w:t>
      </w:r>
      <w:r>
        <w:rPr>
          <w:spacing w:val="-3"/>
        </w:rPr>
        <w:t> 天后，仍遗留下列一种或一种以上障碍：</w:t>
      </w:r>
    </w:p>
    <w:p>
      <w:pPr>
        <w:pStyle w:val="BodyText"/>
        <w:spacing w:before="7"/>
        <w:ind w:left="2767"/>
      </w:pPr>
      <w:r>
        <w:rPr/>
        <w:t>（1）一肢或一肢以上肢体机能完全丧失；</w:t>
      </w:r>
    </w:p>
    <w:p>
      <w:pPr>
        <w:pStyle w:val="BodyText"/>
        <w:ind w:left="2767"/>
      </w:pPr>
      <w:r>
        <w:rPr/>
        <w:t>（2）语言能力或咀嚼吞咽能力完全丧失；</w:t>
      </w:r>
    </w:p>
    <w:p>
      <w:pPr>
        <w:pStyle w:val="BodyText"/>
        <w:spacing w:line="273" w:lineRule="auto"/>
        <w:ind w:left="2767" w:right="223"/>
      </w:pPr>
      <w:r>
        <w:rPr/>
        <w:t>（3）自主生活能力完全丧失，无法独立完成六项基本日常生活活动中的三项或三项以上。</w:t>
      </w:r>
    </w:p>
    <w:p>
      <w:pPr>
        <w:pStyle w:val="BodyText"/>
        <w:spacing w:before="5"/>
        <w:rPr>
          <w:sz w:val="24"/>
        </w:rPr>
      </w:pPr>
    </w:p>
    <w:p>
      <w:pPr>
        <w:pStyle w:val="BodyText"/>
        <w:spacing w:line="273" w:lineRule="auto" w:before="0"/>
        <w:ind w:left="2767" w:right="270" w:hanging="2160"/>
        <w:jc w:val="both"/>
      </w:pPr>
      <w:r>
        <w:rPr/>
        <w:t>18、严重帕金森病    指一种中枢神经系统的退行性疾病，临床表现为震颤麻痹、共济失调等。须满足下列全部条件：</w:t>
      </w:r>
    </w:p>
    <w:p>
      <w:pPr>
        <w:pStyle w:val="BodyText"/>
        <w:spacing w:before="7"/>
        <w:ind w:left="2767"/>
      </w:pPr>
      <w:r>
        <w:rPr/>
        <w:t>（1）药物治疗无法控制病情；</w:t>
      </w:r>
    </w:p>
    <w:p>
      <w:pPr>
        <w:pStyle w:val="BodyText"/>
        <w:spacing w:line="273" w:lineRule="auto"/>
        <w:ind w:left="2767" w:right="223"/>
      </w:pPr>
      <w:r>
        <w:rPr/>
        <w:t>（2）自主生活能力完全丧失，无法独立完成六项基本日常生活活动中的三项或三项以上。</w:t>
      </w:r>
    </w:p>
    <w:p>
      <w:pPr>
        <w:pStyle w:val="BodyText"/>
        <w:spacing w:before="7"/>
        <w:ind w:left="2767"/>
      </w:pPr>
      <w:r>
        <w:rPr/>
        <w:t>继发性帕金森综合征不在保障范围内。</w:t>
      </w:r>
    </w:p>
    <w:p>
      <w:pPr>
        <w:pStyle w:val="BodyText"/>
        <w:spacing w:before="8"/>
        <w:rPr>
          <w:sz w:val="26"/>
        </w:rPr>
      </w:pPr>
    </w:p>
    <w:p>
      <w:pPr>
        <w:pStyle w:val="BodyText"/>
        <w:tabs>
          <w:tab w:pos="2506" w:val="left" w:leader="none"/>
        </w:tabs>
        <w:spacing w:before="0"/>
        <w:ind w:left="346"/>
        <w:jc w:val="center"/>
      </w:pPr>
      <w:r>
        <w:rPr/>
        <w:t>19、严</w:t>
      </w:r>
      <w:r>
        <w:rPr>
          <w:spacing w:val="50"/>
        </w:rPr>
        <w:t>重</w:t>
      </w:r>
      <w:r>
        <w:rPr/>
        <w:t>III</w:t>
      </w:r>
      <w:r>
        <w:rPr>
          <w:spacing w:val="-52"/>
        </w:rPr>
        <w:t> </w:t>
      </w:r>
      <w:r>
        <w:rPr/>
        <w:t>度烧伤</w:t>
        <w:tab/>
      </w:r>
      <w:r>
        <w:rPr>
          <w:spacing w:val="10"/>
        </w:rPr>
        <w:t>指烧伤程</w:t>
      </w:r>
      <w:r>
        <w:rPr>
          <w:spacing w:val="11"/>
        </w:rPr>
        <w:t>度</w:t>
      </w:r>
      <w:r>
        <w:rPr>
          <w:spacing w:val="10"/>
        </w:rPr>
        <w:t>为Ⅲ度，</w:t>
      </w:r>
      <w:r>
        <w:rPr>
          <w:spacing w:val="11"/>
        </w:rPr>
        <w:t>且</w:t>
      </w:r>
      <w:r>
        <w:rPr>
          <w:spacing w:val="10"/>
        </w:rPr>
        <w:t>Ⅲ度烧伤</w:t>
      </w:r>
      <w:r>
        <w:rPr>
          <w:spacing w:val="11"/>
        </w:rPr>
        <w:t>面</w:t>
      </w:r>
      <w:r>
        <w:rPr>
          <w:spacing w:val="10"/>
        </w:rPr>
        <w:t>积达到全</w:t>
      </w:r>
      <w:r>
        <w:rPr>
          <w:spacing w:val="11"/>
        </w:rPr>
        <w:t>身</w:t>
      </w:r>
      <w:r>
        <w:rPr>
          <w:spacing w:val="10"/>
        </w:rPr>
        <w:t>体表面积的</w:t>
      </w:r>
    </w:p>
    <w:p>
      <w:pPr>
        <w:pStyle w:val="BodyText"/>
        <w:ind w:left="2767"/>
      </w:pPr>
      <w:r>
        <w:rPr/>
        <w:t>20％或 20％以上。体表面积根据《中国新九分法》计算。</w:t>
      </w:r>
    </w:p>
    <w:p>
      <w:pPr>
        <w:pStyle w:val="BodyText"/>
        <w:spacing w:before="12"/>
        <w:rPr>
          <w:sz w:val="23"/>
        </w:rPr>
      </w:pPr>
    </w:p>
    <w:p>
      <w:pPr>
        <w:spacing w:after="0"/>
        <w:rPr>
          <w:sz w:val="23"/>
        </w:rPr>
        <w:sectPr>
          <w:type w:val="continuous"/>
          <w:pgSz w:w="11910" w:h="16840"/>
          <w:pgMar w:top="1100" w:bottom="1180" w:left="1660" w:right="1660"/>
        </w:sectPr>
      </w:pPr>
    </w:p>
    <w:p>
      <w:pPr>
        <w:pStyle w:val="BodyText"/>
        <w:spacing w:line="273" w:lineRule="auto" w:before="35"/>
        <w:ind w:left="608"/>
      </w:pPr>
      <w:r>
        <w:rPr/>
        <w:t>20、严重原发性肺动脉高压</w:t>
      </w:r>
    </w:p>
    <w:p>
      <w:pPr>
        <w:pStyle w:val="BodyText"/>
        <w:spacing w:line="273" w:lineRule="auto" w:before="35"/>
        <w:ind w:left="167" w:right="270"/>
        <w:jc w:val="both"/>
      </w:pPr>
      <w:r>
        <w:rPr/>
        <w:br w:type="column"/>
      </w:r>
      <w:r>
        <w:rPr/>
        <w:t>指不明原因的肺动脉压力持续性增高，进行性发展而导致的慢性疾病，已经造成永久不可逆性的体力活动能力受限，达</w:t>
      </w:r>
      <w:r>
        <w:rPr>
          <w:spacing w:val="-4"/>
        </w:rPr>
        <w:t>到美国纽约心脏病学会心功能状态分级 </w:t>
      </w:r>
      <w:r>
        <w:rPr/>
        <w:t>IV</w:t>
      </w:r>
      <w:r>
        <w:rPr>
          <w:spacing w:val="-11"/>
        </w:rPr>
        <w:t> 级，静息状态下肺</w:t>
      </w:r>
      <w:r>
        <w:rPr>
          <w:spacing w:val="-17"/>
        </w:rPr>
        <w:t>动脉平均压超过 </w:t>
      </w:r>
      <w:r>
        <w:rPr/>
        <w:t>30mmHg。</w:t>
      </w:r>
    </w:p>
    <w:p>
      <w:pPr>
        <w:spacing w:after="0" w:line="273" w:lineRule="auto"/>
        <w:jc w:val="both"/>
        <w:sectPr>
          <w:type w:val="continuous"/>
          <w:pgSz w:w="11910" w:h="16840"/>
          <w:pgMar w:top="1100" w:bottom="1180" w:left="1660" w:right="1660"/>
          <w:cols w:num="2" w:equalWidth="0">
            <w:col w:w="2561" w:space="40"/>
            <w:col w:w="5989"/>
          </w:cols>
        </w:sectPr>
      </w:pPr>
    </w:p>
    <w:p>
      <w:pPr>
        <w:pStyle w:val="BodyText"/>
        <w:spacing w:before="9"/>
      </w:pPr>
    </w:p>
    <w:p>
      <w:pPr>
        <w:spacing w:after="0"/>
        <w:sectPr>
          <w:type w:val="continuous"/>
          <w:pgSz w:w="11910" w:h="16840"/>
          <w:pgMar w:top="1100" w:bottom="1180" w:left="1660" w:right="1660"/>
        </w:sectPr>
      </w:pPr>
    </w:p>
    <w:p>
      <w:pPr>
        <w:pStyle w:val="BodyText"/>
        <w:spacing w:line="273" w:lineRule="auto" w:before="35"/>
        <w:ind w:left="608"/>
      </w:pPr>
      <w:r>
        <w:rPr/>
        <w:t>21、严重运动神经元病</w:t>
      </w:r>
    </w:p>
    <w:p>
      <w:pPr>
        <w:pStyle w:val="BodyText"/>
        <w:spacing w:line="273" w:lineRule="auto" w:before="35"/>
        <w:ind w:left="167" w:right="270"/>
        <w:jc w:val="both"/>
      </w:pPr>
      <w:r>
        <w:rPr/>
        <w:br w:type="column"/>
      </w:r>
      <w:r>
        <w:rPr/>
        <w:t>是一组中枢神经系统运动神经元的进行性变性疾病，包括进行性脊肌萎缩症、进行性延髓麻痹症、原发性侧索硬化症、肌萎缩性侧索硬化症。须满足自主生活能力完全丧失，无法独立完成六项基本日常生活活动中的三项或三项以上。</w:t>
      </w:r>
    </w:p>
    <w:p>
      <w:pPr>
        <w:spacing w:after="0" w:line="273" w:lineRule="auto"/>
        <w:jc w:val="both"/>
        <w:sectPr>
          <w:type w:val="continuous"/>
          <w:pgSz w:w="11910" w:h="16840"/>
          <w:pgMar w:top="1100" w:bottom="1180" w:left="1660" w:right="1660"/>
          <w:cols w:num="2" w:equalWidth="0">
            <w:col w:w="2561" w:space="40"/>
            <w:col w:w="5989"/>
          </w:cols>
        </w:sectPr>
      </w:pPr>
    </w:p>
    <w:p>
      <w:pPr>
        <w:pStyle w:val="BodyText"/>
        <w:spacing w:before="9"/>
      </w:pPr>
    </w:p>
    <w:p>
      <w:pPr>
        <w:spacing w:after="0"/>
        <w:sectPr>
          <w:type w:val="continuous"/>
          <w:pgSz w:w="11910" w:h="16840"/>
          <w:pgMar w:top="1100" w:bottom="1180" w:left="1660" w:right="1660"/>
        </w:sectPr>
      </w:pPr>
    </w:p>
    <w:p>
      <w:pPr>
        <w:pStyle w:val="BodyText"/>
        <w:spacing w:line="273" w:lineRule="auto" w:before="35"/>
        <w:ind w:left="608"/>
      </w:pPr>
      <w:r>
        <w:rPr/>
        <w:t>22、语言能力丧失－ 三岁始理赔</w:t>
      </w:r>
    </w:p>
    <w:p>
      <w:pPr>
        <w:pStyle w:val="BodyText"/>
        <w:spacing w:line="273" w:lineRule="auto" w:before="35"/>
        <w:ind w:left="167" w:right="270"/>
        <w:jc w:val="both"/>
      </w:pPr>
      <w:r>
        <w:rPr/>
        <w:br w:type="column"/>
      </w:r>
      <w:r>
        <w:rPr/>
        <w:t>指因疾病或意外伤害导致完全丧失语言能力，经过积极治疗</w:t>
      </w:r>
      <w:r>
        <w:rPr>
          <w:spacing w:val="-5"/>
        </w:rPr>
        <w:t>至少 </w:t>
      </w:r>
      <w:r>
        <w:rPr>
          <w:spacing w:val="-1"/>
        </w:rPr>
        <w:t>1</w:t>
      </w:r>
      <w:r>
        <w:rPr/>
        <w:t>2</w:t>
      </w:r>
      <w:r>
        <w:rPr>
          <w:spacing w:val="-5"/>
        </w:rPr>
        <w:t> 个月</w:t>
      </w:r>
      <w:r>
        <w:rPr>
          <w:spacing w:val="-1"/>
        </w:rPr>
        <w:t>（声带完全切除不受此时间限制</w:t>
      </w:r>
      <w:r>
        <w:rPr>
          <w:spacing w:val="-106"/>
        </w:rPr>
        <w:t>）</w:t>
      </w:r>
      <w:r>
        <w:rPr/>
        <w:t>，仍无法通过现有医疗手段恢复。</w:t>
      </w:r>
    </w:p>
    <w:p>
      <w:pPr>
        <w:pStyle w:val="BodyText"/>
        <w:spacing w:before="7"/>
        <w:ind w:left="167"/>
        <w:jc w:val="both"/>
      </w:pPr>
      <w:r>
        <w:rPr/>
        <w:t>精神心理因素所致的语言能力丧失不在保障范围内。</w:t>
      </w:r>
    </w:p>
    <w:p>
      <w:pPr>
        <w:pStyle w:val="BodyText"/>
        <w:spacing w:before="37"/>
        <w:ind w:left="167"/>
        <w:jc w:val="both"/>
      </w:pPr>
      <w:r>
        <w:rPr/>
        <w:t>被保险人申请理赔时年龄必须在三周岁以上，并且提供理赔</w:t>
      </w:r>
    </w:p>
    <w:p>
      <w:pPr>
        <w:spacing w:after="0"/>
        <w:jc w:val="both"/>
        <w:sectPr>
          <w:type w:val="continuous"/>
          <w:pgSz w:w="11910" w:h="16840"/>
          <w:pgMar w:top="1100" w:bottom="1180" w:left="1660" w:right="1660"/>
          <w:cols w:num="2" w:equalWidth="0">
            <w:col w:w="2561" w:space="40"/>
            <w:col w:w="5989"/>
          </w:cols>
        </w:sectPr>
      </w:pPr>
    </w:p>
    <w:p>
      <w:pPr>
        <w:pStyle w:val="BodyText"/>
        <w:spacing w:before="8"/>
        <w:rPr>
          <w:sz w:val="20"/>
        </w:rPr>
      </w:pPr>
    </w:p>
    <w:p>
      <w:pPr>
        <w:pStyle w:val="BodyText"/>
        <w:ind w:left="2768"/>
      </w:pPr>
      <w:r>
        <w:rPr/>
        <w:t>当时的语言能力丧失诊断及检查证据。</w:t>
      </w:r>
    </w:p>
    <w:p>
      <w:pPr>
        <w:pStyle w:val="BodyText"/>
        <w:spacing w:before="0"/>
        <w:rPr>
          <w:sz w:val="24"/>
        </w:rPr>
      </w:pPr>
    </w:p>
    <w:p>
      <w:pPr>
        <w:spacing w:after="0"/>
        <w:rPr>
          <w:sz w:val="24"/>
        </w:rPr>
        <w:sectPr>
          <w:pgSz w:w="11910" w:h="16840"/>
          <w:pgMar w:header="872" w:footer="998" w:top="1100" w:bottom="1180" w:left="1660" w:right="1660"/>
        </w:sectPr>
      </w:pPr>
    </w:p>
    <w:p>
      <w:pPr>
        <w:pStyle w:val="BodyText"/>
        <w:spacing w:line="273" w:lineRule="auto" w:before="35"/>
        <w:ind w:left="608"/>
      </w:pPr>
      <w:r>
        <w:rPr/>
        <w:t>23、重型再生障碍性贫血</w:t>
      </w:r>
    </w:p>
    <w:p>
      <w:pPr>
        <w:pStyle w:val="BodyText"/>
        <w:spacing w:line="273" w:lineRule="auto" w:before="35"/>
        <w:ind w:left="167" w:right="270"/>
      </w:pPr>
      <w:r>
        <w:rPr/>
        <w:br w:type="column"/>
      </w:r>
      <w:r>
        <w:rPr/>
        <w:t>指因骨髓造血功能慢性持续性衰竭导致的贫血、中性粒细胞减少及血小板减少，须满足下列全部条件：</w:t>
      </w:r>
    </w:p>
    <w:p>
      <w:pPr>
        <w:pStyle w:val="BodyText"/>
        <w:spacing w:before="7"/>
        <w:ind w:left="167"/>
      </w:pPr>
      <w:r>
        <w:rPr/>
        <w:t>（1）骨髓穿刺检查或骨髓活检结果支持诊断；</w:t>
      </w:r>
    </w:p>
    <w:p>
      <w:pPr>
        <w:pStyle w:val="BodyText"/>
        <w:ind w:left="167"/>
      </w:pPr>
      <w:r>
        <w:rPr/>
        <w:t>（2）外周血象必须具备以下三项条件：</w:t>
      </w:r>
    </w:p>
    <w:p>
      <w:pPr>
        <w:pStyle w:val="BodyText"/>
        <w:ind w:left="587"/>
      </w:pPr>
      <w:r>
        <w:rPr/>
        <w:t>①中性粒细胞绝对值≤0.5×10</w:t>
      </w:r>
      <w:r>
        <w:rPr>
          <w:position w:val="11"/>
          <w:sz w:val="11"/>
        </w:rPr>
        <w:t>9</w:t>
      </w:r>
      <w:r>
        <w:rPr/>
        <w:t>/L；</w:t>
      </w:r>
    </w:p>
    <w:p>
      <w:pPr>
        <w:pStyle w:val="BodyText"/>
        <w:ind w:left="587"/>
      </w:pPr>
      <w:r>
        <w:rPr/>
        <w:t>②网织红细胞＜1%；</w:t>
      </w:r>
    </w:p>
    <w:p>
      <w:pPr>
        <w:pStyle w:val="BodyText"/>
        <w:ind w:left="587"/>
      </w:pPr>
      <w:r>
        <w:rPr/>
        <w:t>③血小板绝对值≤20×10</w:t>
      </w:r>
      <w:r>
        <w:rPr>
          <w:position w:val="11"/>
          <w:sz w:val="11"/>
        </w:rPr>
        <w:t>9</w:t>
      </w:r>
      <w:r>
        <w:rPr/>
        <w:t>/L。</w:t>
      </w:r>
    </w:p>
    <w:p>
      <w:pPr>
        <w:spacing w:after="0"/>
        <w:sectPr>
          <w:type w:val="continuous"/>
          <w:pgSz w:w="11910" w:h="16840"/>
          <w:pgMar w:top="1100" w:bottom="1180" w:left="1660" w:right="1660"/>
          <w:cols w:num="2" w:equalWidth="0">
            <w:col w:w="2561" w:space="40"/>
            <w:col w:w="5989"/>
          </w:cols>
        </w:sectPr>
      </w:pPr>
    </w:p>
    <w:p>
      <w:pPr>
        <w:pStyle w:val="BodyText"/>
        <w:spacing w:before="12"/>
        <w:rPr>
          <w:sz w:val="23"/>
        </w:rPr>
      </w:pPr>
    </w:p>
    <w:p>
      <w:pPr>
        <w:pStyle w:val="BodyText"/>
        <w:spacing w:line="273" w:lineRule="auto" w:before="35"/>
        <w:ind w:left="2767" w:right="270" w:hanging="2160"/>
        <w:jc w:val="both"/>
      </w:pPr>
      <w:r>
        <w:rPr/>
        <w:t>24、主动脉手术      指为治疗主动脉疾病，实际实施了开胸或开腹进行的切除、置换、修补病损主动脉血管的手术。主动脉指胸主动脉和腹主动脉，不包括胸主动脉和腹主动脉的分支血管。</w:t>
      </w:r>
    </w:p>
    <w:p>
      <w:pPr>
        <w:pStyle w:val="BodyText"/>
        <w:spacing w:before="7"/>
        <w:ind w:left="2767"/>
      </w:pPr>
      <w:r>
        <w:rPr/>
        <w:t>动脉内血管成形术不在保障范围内。</w:t>
      </w:r>
    </w:p>
    <w:p>
      <w:pPr>
        <w:pStyle w:val="BodyText"/>
        <w:spacing w:before="12"/>
        <w:rPr>
          <w:sz w:val="23"/>
        </w:rPr>
      </w:pPr>
    </w:p>
    <w:p>
      <w:pPr>
        <w:spacing w:after="0"/>
        <w:rPr>
          <w:sz w:val="23"/>
        </w:rPr>
        <w:sectPr>
          <w:type w:val="continuous"/>
          <w:pgSz w:w="11910" w:h="16840"/>
          <w:pgMar w:top="1100" w:bottom="1180" w:left="1660" w:right="1660"/>
        </w:sectPr>
      </w:pPr>
    </w:p>
    <w:p>
      <w:pPr>
        <w:pStyle w:val="BodyText"/>
        <w:spacing w:line="273" w:lineRule="auto"/>
        <w:ind w:left="607"/>
      </w:pPr>
      <w:r>
        <w:rPr/>
        <w:t>25、慢性呼吸功能衰竭</w:t>
      </w:r>
    </w:p>
    <w:p>
      <w:pPr>
        <w:pStyle w:val="BodyText"/>
        <w:spacing w:line="273" w:lineRule="auto"/>
        <w:ind w:left="167" w:right="270"/>
      </w:pPr>
      <w:r>
        <w:rPr/>
        <w:br w:type="column"/>
      </w:r>
      <w:r>
        <w:rPr/>
        <w:t>慢性肺部疾病导致永久不可逆性的慢性呼吸功能衰竭。慢性呼吸功能衰竭必须明确诊断并满足下列全部条件：</w:t>
      </w:r>
    </w:p>
    <w:p>
      <w:pPr>
        <w:pStyle w:val="BodyText"/>
        <w:spacing w:before="7"/>
        <w:ind w:left="167"/>
      </w:pPr>
      <w:r>
        <w:rPr/>
        <w:t>（1）休息时出现呼吸困难；</w:t>
      </w:r>
    </w:p>
    <w:p>
      <w:pPr>
        <w:pStyle w:val="BodyText"/>
        <w:ind w:left="167"/>
      </w:pPr>
      <w:r>
        <w:rPr/>
        <w:t>（2）动脉血氧分压（PaO2）&lt;50mmHg；</w:t>
      </w:r>
    </w:p>
    <w:p>
      <w:pPr>
        <w:pStyle w:val="BodyText"/>
        <w:ind w:left="167"/>
      </w:pPr>
      <w:r>
        <w:rPr/>
        <w:t>（3）动脉血氧饱和度（SaO2）&lt;80％；</w:t>
      </w:r>
    </w:p>
    <w:p>
      <w:pPr>
        <w:pStyle w:val="BodyText"/>
        <w:ind w:left="167"/>
      </w:pPr>
      <w:r>
        <w:rPr/>
        <w:t>（4）因缺氧必须接受持续的输氧治疗。</w:t>
      </w:r>
    </w:p>
    <w:p>
      <w:pPr>
        <w:spacing w:after="0"/>
        <w:sectPr>
          <w:type w:val="continuous"/>
          <w:pgSz w:w="11910" w:h="16840"/>
          <w:pgMar w:top="1100" w:bottom="1180" w:left="1660" w:right="1660"/>
          <w:cols w:num="2" w:equalWidth="0">
            <w:col w:w="2561" w:space="40"/>
            <w:col w:w="5989"/>
          </w:cols>
        </w:sectPr>
      </w:pPr>
    </w:p>
    <w:p>
      <w:pPr>
        <w:pStyle w:val="BodyText"/>
        <w:spacing w:before="12"/>
        <w:rPr>
          <w:sz w:val="23"/>
        </w:rPr>
      </w:pPr>
    </w:p>
    <w:p>
      <w:pPr>
        <w:pStyle w:val="BodyText"/>
        <w:spacing w:line="273" w:lineRule="auto" w:before="35"/>
        <w:ind w:left="2767" w:right="270" w:hanging="2160"/>
        <w:jc w:val="both"/>
      </w:pPr>
      <w:r>
        <w:rPr/>
        <w:t>26、严重多发性硬化  多发性硬化为中枢神经系统白质多灶性脱髓鞘病变，病变有时累及灰质。多发性硬化必须明确诊断，并且已经造成神经系统功能损害导致被保险人永久不可逆性的无法独立完成下列基本日常生活活动：</w:t>
      </w:r>
    </w:p>
    <w:p>
      <w:pPr>
        <w:pStyle w:val="BodyText"/>
        <w:spacing w:before="7"/>
        <w:ind w:left="2767"/>
      </w:pPr>
      <w:r>
        <w:rPr/>
        <w:t>（1）移动：自己从一个房间移动到另一个房间；或者</w:t>
      </w:r>
    </w:p>
    <w:p>
      <w:pPr>
        <w:pStyle w:val="BodyText"/>
        <w:spacing w:before="37"/>
        <w:ind w:left="2767"/>
      </w:pPr>
      <w:r>
        <w:rPr/>
        <w:t>（2）进食：自己从已准备好的碗或碟中取食物放入口中。</w:t>
      </w:r>
    </w:p>
    <w:p>
      <w:pPr>
        <w:pStyle w:val="BodyText"/>
        <w:spacing w:before="8"/>
        <w:rPr>
          <w:sz w:val="26"/>
        </w:rPr>
      </w:pPr>
    </w:p>
    <w:p>
      <w:pPr>
        <w:pStyle w:val="BodyText"/>
        <w:tabs>
          <w:tab w:pos="2767" w:val="left" w:leader="none"/>
        </w:tabs>
        <w:spacing w:before="1"/>
        <w:ind w:left="607"/>
      </w:pPr>
      <w:r>
        <w:rPr/>
        <w:t>27、坏死性筋膜炎</w:t>
        <w:tab/>
        <w:t>坏死性筋膜炎的诊断须同时符合下列要求：</w:t>
      </w:r>
    </w:p>
    <w:p>
      <w:pPr>
        <w:pStyle w:val="BodyText"/>
        <w:spacing w:before="37"/>
        <w:ind w:left="2767"/>
      </w:pPr>
      <w:r>
        <w:rPr/>
        <w:t>（</w:t>
      </w:r>
      <w:r>
        <w:rPr>
          <w:rFonts w:ascii="Times New Roman" w:eastAsia="Times New Roman"/>
        </w:rPr>
        <w:t>1</w:t>
      </w:r>
      <w:r>
        <w:rPr/>
        <w:t>）符合坏死性筋膜炎的一般临床表现；</w:t>
      </w:r>
    </w:p>
    <w:p>
      <w:pPr>
        <w:pStyle w:val="BodyText"/>
        <w:spacing w:before="21"/>
        <w:ind w:left="2768"/>
      </w:pPr>
      <w:r>
        <w:rPr/>
        <w:t>（</w:t>
      </w:r>
      <w:r>
        <w:rPr>
          <w:rFonts w:ascii="Times New Roman" w:eastAsia="Times New Roman"/>
        </w:rPr>
        <w:t>2</w:t>
      </w:r>
      <w:r>
        <w:rPr/>
        <w:t>）细菌培养检出致病菌；</w:t>
      </w:r>
    </w:p>
    <w:p>
      <w:pPr>
        <w:pStyle w:val="BodyText"/>
        <w:spacing w:line="264" w:lineRule="auto" w:before="21"/>
        <w:ind w:left="2768" w:right="223"/>
      </w:pPr>
      <w:r>
        <w:rPr/>
        <w:t>（</w:t>
      </w:r>
      <w:r>
        <w:rPr>
          <w:rFonts w:ascii="Times New Roman" w:eastAsia="Times New Roman"/>
        </w:rPr>
        <w:t>3</w:t>
      </w:r>
      <w:r>
        <w:rPr/>
        <w:t>）出现广泛性肌肉及软组织坏死，并导致身体受影响部位永久完全失去功能。所谓永久完全失去功能是指受影响部位的功能丧失超过六个月者。</w:t>
      </w:r>
    </w:p>
    <w:p>
      <w:pPr>
        <w:pStyle w:val="BodyText"/>
        <w:spacing w:before="4"/>
        <w:rPr>
          <w:sz w:val="22"/>
        </w:rPr>
      </w:pPr>
    </w:p>
    <w:p>
      <w:pPr>
        <w:spacing w:after="0"/>
        <w:rPr>
          <w:sz w:val="22"/>
        </w:rPr>
        <w:sectPr>
          <w:type w:val="continuous"/>
          <w:pgSz w:w="11910" w:h="16840"/>
          <w:pgMar w:top="1100" w:bottom="1180" w:left="1660" w:right="1660"/>
        </w:sectPr>
      </w:pPr>
    </w:p>
    <w:p>
      <w:pPr>
        <w:pStyle w:val="BodyText"/>
        <w:spacing w:line="273" w:lineRule="auto"/>
        <w:ind w:left="608"/>
      </w:pPr>
      <w:r>
        <w:rPr/>
        <w:t>28、急性坏死性胰腺炎</w:t>
      </w:r>
    </w:p>
    <w:p>
      <w:pPr>
        <w:pStyle w:val="BodyText"/>
        <w:spacing w:line="273" w:lineRule="auto"/>
        <w:ind w:left="167" w:right="270"/>
        <w:jc w:val="both"/>
      </w:pPr>
      <w:r>
        <w:rPr/>
        <w:br w:type="column"/>
      </w:r>
      <w:r>
        <w:rPr/>
        <w:t>是指由专科医师确诊为急性坏死性胰腺炎，需进行坏死组织清除、病灶切除或胰腺部分切除的手术治疗，但不包括因酒精中毒引起的急性坏死性胰腺炎。</w:t>
      </w:r>
    </w:p>
    <w:p>
      <w:pPr>
        <w:spacing w:after="0" w:line="273" w:lineRule="auto"/>
        <w:jc w:val="both"/>
        <w:sectPr>
          <w:type w:val="continuous"/>
          <w:pgSz w:w="11910" w:h="16840"/>
          <w:pgMar w:top="1100" w:bottom="1180" w:left="1660" w:right="1660"/>
          <w:cols w:num="2" w:equalWidth="0">
            <w:col w:w="2561" w:space="40"/>
            <w:col w:w="5989"/>
          </w:cols>
        </w:sectPr>
      </w:pPr>
    </w:p>
    <w:p>
      <w:pPr>
        <w:pStyle w:val="BodyText"/>
        <w:spacing w:before="9"/>
      </w:pPr>
    </w:p>
    <w:p>
      <w:pPr>
        <w:spacing w:after="0"/>
        <w:sectPr>
          <w:type w:val="continuous"/>
          <w:pgSz w:w="11910" w:h="16840"/>
          <w:pgMar w:top="1100" w:bottom="1180" w:left="1660" w:right="1660"/>
        </w:sectPr>
      </w:pPr>
    </w:p>
    <w:p>
      <w:pPr>
        <w:pStyle w:val="BodyText"/>
        <w:spacing w:line="273" w:lineRule="auto"/>
        <w:ind w:left="608"/>
      </w:pPr>
      <w:r>
        <w:rPr/>
        <w:t>29、全身性重症肌无力</w:t>
      </w:r>
    </w:p>
    <w:p>
      <w:pPr>
        <w:pStyle w:val="BodyText"/>
        <w:spacing w:line="273" w:lineRule="auto"/>
        <w:ind w:left="167" w:right="270"/>
        <w:jc w:val="both"/>
      </w:pPr>
      <w:r>
        <w:rPr/>
        <w:br w:type="column"/>
      </w:r>
      <w:r>
        <w:rPr/>
        <w:t>重症肌无力是一种神经肌肉接头传递障碍所致的疾病，表现为局部或全身骨骼肌（特别是眼外肌）极易疲劳。疾病可以累及呼吸肌、上肢或下肢的近端肌群或全身肌肉，必须满足下列全部条件：</w:t>
      </w:r>
    </w:p>
    <w:p>
      <w:pPr>
        <w:spacing w:after="0" w:line="273" w:lineRule="auto"/>
        <w:jc w:val="both"/>
        <w:sectPr>
          <w:type w:val="continuous"/>
          <w:pgSz w:w="11910" w:h="16840"/>
          <w:pgMar w:top="1100" w:bottom="1180" w:left="1660" w:right="1660"/>
          <w:cols w:num="2" w:equalWidth="0">
            <w:col w:w="2561" w:space="40"/>
            <w:col w:w="5989"/>
          </w:cols>
        </w:sectPr>
      </w:pPr>
    </w:p>
    <w:p>
      <w:pPr>
        <w:pStyle w:val="BodyText"/>
        <w:spacing w:before="8"/>
        <w:rPr>
          <w:sz w:val="20"/>
        </w:rPr>
      </w:pPr>
    </w:p>
    <w:p>
      <w:pPr>
        <w:pStyle w:val="BodyText"/>
        <w:ind w:left="2768"/>
      </w:pPr>
      <w:r>
        <w:rPr/>
        <w:t>（1）经药物治疗和胸腺切除治疗一年以上仍无法控制病情；</w:t>
      </w:r>
    </w:p>
    <w:p>
      <w:pPr>
        <w:pStyle w:val="BodyText"/>
        <w:spacing w:line="273" w:lineRule="auto" w:before="37"/>
        <w:ind w:left="2768" w:right="223"/>
      </w:pPr>
      <w:r>
        <w:rPr/>
        <w:t>（2）自主生活能力完全丧失，无法独立完成六项基本日常生活活动中的三项或三项以上。</w:t>
      </w:r>
    </w:p>
    <w:p>
      <w:pPr>
        <w:pStyle w:val="BodyText"/>
        <w:spacing w:before="5"/>
        <w:rPr>
          <w:sz w:val="24"/>
        </w:rPr>
      </w:pPr>
    </w:p>
    <w:p>
      <w:pPr>
        <w:pStyle w:val="BodyText"/>
        <w:spacing w:line="273" w:lineRule="auto" w:before="0"/>
        <w:ind w:left="2768" w:right="270" w:hanging="2160"/>
        <w:jc w:val="both"/>
      </w:pPr>
      <w:r>
        <w:rPr/>
        <w:t>30、严重心肌病      指被保人因心肌病导致慢性心功能损害造成永久不可逆性的心功能衰竭。心功能衰竭程度达到纽约心脏病学会的心功能</w:t>
      </w:r>
      <w:r>
        <w:rPr>
          <w:spacing w:val="-7"/>
        </w:rPr>
        <w:t>分级标准之心功能 </w:t>
      </w:r>
      <w:r>
        <w:rPr/>
        <w:t>IV</w:t>
      </w:r>
      <w:r>
        <w:rPr>
          <w:spacing w:val="-10"/>
        </w:rPr>
        <w:t> 级。被保险人永久不可逆性的体力活动能力受限，不能从事任何体力活动。</w:t>
      </w:r>
    </w:p>
    <w:p>
      <w:pPr>
        <w:pStyle w:val="BodyText"/>
        <w:spacing w:before="9"/>
      </w:pPr>
    </w:p>
    <w:p>
      <w:pPr>
        <w:spacing w:after="0"/>
        <w:sectPr>
          <w:pgSz w:w="11910" w:h="16840"/>
          <w:pgMar w:header="872" w:footer="998" w:top="1100" w:bottom="1180" w:left="1660" w:right="1660"/>
        </w:sectPr>
      </w:pPr>
    </w:p>
    <w:p>
      <w:pPr>
        <w:pStyle w:val="BodyText"/>
        <w:spacing w:line="273" w:lineRule="auto" w:before="35"/>
        <w:ind w:left="608"/>
      </w:pPr>
      <w:r>
        <w:rPr/>
        <w:t>31、严重类风湿性关节炎</w:t>
      </w:r>
    </w:p>
    <w:p>
      <w:pPr>
        <w:pStyle w:val="BodyText"/>
        <w:spacing w:line="273" w:lineRule="auto" w:before="35"/>
        <w:ind w:left="167" w:right="270"/>
        <w:jc w:val="both"/>
      </w:pPr>
      <w:r>
        <w:rPr/>
        <w:br w:type="column"/>
      </w:r>
      <w:r>
        <w:rPr/>
        <w:t>类风湿性关节炎为广泛分布的慢性进行性多关节病变，表现为关节严重变形，侵犯至少三个主要关节或关节组（如：双手（多手指）关节、双足（多足趾）关节、双腕关节、双膝关节和双髋关节</w:t>
      </w:r>
      <w:r>
        <w:rPr>
          <w:spacing w:val="-105"/>
        </w:rPr>
        <w:t>）</w:t>
      </w:r>
      <w:r>
        <w:rPr>
          <w:spacing w:val="-5"/>
        </w:rPr>
        <w:t>。类风湿性关节炎必须明确诊断并且已经达</w:t>
      </w:r>
      <w:r>
        <w:rPr>
          <w:spacing w:val="-6"/>
        </w:rPr>
        <w:t>到类风湿性关节炎功能分级 </w:t>
      </w:r>
      <w:r>
        <w:rPr/>
        <w:t>III</w:t>
      </w:r>
      <w:r>
        <w:rPr>
          <w:spacing w:val="-3"/>
        </w:rPr>
        <w:t> 级以上的功能障碍</w:t>
      </w:r>
      <w:r>
        <w:rPr/>
        <w:t>（关节活动严重限制，不能完成大部分的日常工作和活动）并且满足下列全部条件：</w:t>
      </w:r>
    </w:p>
    <w:p>
      <w:pPr>
        <w:pStyle w:val="BodyText"/>
        <w:spacing w:before="7"/>
        <w:ind w:left="167"/>
        <w:jc w:val="both"/>
      </w:pPr>
      <w:r>
        <w:rPr/>
        <w:t>（1）晨僵；</w:t>
      </w:r>
    </w:p>
    <w:p>
      <w:pPr>
        <w:pStyle w:val="BodyText"/>
        <w:spacing w:before="37"/>
        <w:ind w:left="167"/>
        <w:jc w:val="both"/>
      </w:pPr>
      <w:r>
        <w:rPr/>
        <w:t>（2）对称性关节炎；</w:t>
      </w:r>
    </w:p>
    <w:p>
      <w:pPr>
        <w:pStyle w:val="BodyText"/>
        <w:spacing w:before="37"/>
        <w:ind w:left="167"/>
        <w:jc w:val="both"/>
      </w:pPr>
      <w:r>
        <w:rPr/>
        <w:t>（3）类风湿性皮下结节；</w:t>
      </w:r>
    </w:p>
    <w:p>
      <w:pPr>
        <w:pStyle w:val="BodyText"/>
        <w:spacing w:before="37"/>
        <w:ind w:left="167"/>
        <w:jc w:val="both"/>
      </w:pPr>
      <w:r>
        <w:rPr/>
        <w:t>（4）类风湿因子滴度升高；</w:t>
      </w:r>
    </w:p>
    <w:p>
      <w:pPr>
        <w:pStyle w:val="BodyText"/>
        <w:spacing w:before="37"/>
        <w:ind w:left="167"/>
        <w:jc w:val="both"/>
      </w:pPr>
      <w:r>
        <w:rPr/>
        <w:t>（5）X 线显示严重的关节（软骨和骨）破坏和关节畸形。</w:t>
      </w:r>
    </w:p>
    <w:p>
      <w:pPr>
        <w:spacing w:after="0"/>
        <w:jc w:val="both"/>
        <w:sectPr>
          <w:type w:val="continuous"/>
          <w:pgSz w:w="11910" w:h="16840"/>
          <w:pgMar w:top="1100" w:bottom="1180" w:left="1660" w:right="1660"/>
          <w:cols w:num="2" w:equalWidth="0">
            <w:col w:w="2561" w:space="40"/>
            <w:col w:w="5989"/>
          </w:cols>
        </w:sectPr>
      </w:pPr>
    </w:p>
    <w:p>
      <w:pPr>
        <w:pStyle w:val="BodyText"/>
        <w:spacing w:before="12"/>
        <w:rPr>
          <w:sz w:val="23"/>
        </w:rPr>
      </w:pPr>
    </w:p>
    <w:p>
      <w:pPr>
        <w:spacing w:after="0"/>
        <w:rPr>
          <w:sz w:val="23"/>
        </w:rPr>
        <w:sectPr>
          <w:type w:val="continuous"/>
          <w:pgSz w:w="11910" w:h="16840"/>
          <w:pgMar w:top="1100" w:bottom="1180" w:left="1660" w:right="1660"/>
        </w:sectPr>
      </w:pPr>
    </w:p>
    <w:p>
      <w:pPr>
        <w:pStyle w:val="BodyText"/>
        <w:ind w:left="608"/>
      </w:pPr>
      <w:r>
        <w:rPr/>
        <w:t>32、系统性红斑狼疮</w:t>
      </w:r>
    </w:p>
    <w:p>
      <w:pPr>
        <w:pStyle w:val="BodyText"/>
        <w:spacing w:line="273" w:lineRule="auto" w:before="37"/>
        <w:ind w:left="608"/>
      </w:pPr>
      <w:r>
        <w:rPr/>
        <w:t>－III 型或以上狼疮性肾炎</w:t>
      </w:r>
    </w:p>
    <w:p>
      <w:pPr>
        <w:pStyle w:val="BodyText"/>
        <w:spacing w:line="273" w:lineRule="auto"/>
        <w:ind w:left="167" w:right="270"/>
        <w:jc w:val="both"/>
      </w:pPr>
      <w:r>
        <w:rPr/>
        <w:br w:type="column"/>
      </w:r>
      <w:r>
        <w:rPr/>
        <w:t>系统性红斑狼疮是由多种因素引起，累及多系统的自身免疫性疾病。其特点是生成自身抗体对抗多种自身抗原。多见于育龄妇女。</w:t>
      </w:r>
    </w:p>
    <w:p>
      <w:pPr>
        <w:pStyle w:val="BodyText"/>
        <w:spacing w:line="273" w:lineRule="auto" w:before="7"/>
        <w:ind w:left="167" w:right="270"/>
        <w:jc w:val="both"/>
      </w:pPr>
      <w:r>
        <w:rPr/>
        <w:t>本保单所指的系统性红斑狼疮仅限于累及肾脏（经肾脏活检</w:t>
      </w:r>
      <w:r>
        <w:rPr>
          <w:spacing w:val="-6"/>
        </w:rPr>
        <w:t>确认的，符合 </w:t>
      </w:r>
      <w:r>
        <w:rPr/>
        <w:t>WHO</w:t>
      </w:r>
      <w:r>
        <w:rPr>
          <w:spacing w:val="-12"/>
        </w:rPr>
        <w:t> 诊断标准定义 </w:t>
      </w:r>
      <w:r>
        <w:rPr/>
        <w:t>III</w:t>
      </w:r>
      <w:r>
        <w:rPr>
          <w:spacing w:val="-21"/>
        </w:rPr>
        <w:t> 型至 </w:t>
      </w:r>
      <w:r>
        <w:rPr/>
        <w:t>V</w:t>
      </w:r>
      <w:r>
        <w:rPr>
          <w:spacing w:val="-7"/>
        </w:rPr>
        <w:t> 型狼疮性肾炎</w:t>
      </w:r>
      <w:r>
        <w:rPr/>
        <w:t>） 的系统性红斑狼疮。其他类型的红斑性狼疮，如盘状狼疮、仅累及血液及关节的狼疮不在本保单保障范围內。</w:t>
      </w:r>
    </w:p>
    <w:p>
      <w:pPr>
        <w:pStyle w:val="BodyText"/>
        <w:spacing w:before="7"/>
        <w:ind w:left="167"/>
        <w:jc w:val="both"/>
      </w:pPr>
      <w:r>
        <w:rPr/>
        <w:t>世界卫生组织（WHO）狼疮性肾炎分型：</w:t>
      </w:r>
    </w:p>
    <w:p>
      <w:pPr>
        <w:pStyle w:val="ListParagraph"/>
        <w:numPr>
          <w:ilvl w:val="0"/>
          <w:numId w:val="1"/>
        </w:numPr>
        <w:tabs>
          <w:tab w:pos="378" w:val="left" w:leader="none"/>
        </w:tabs>
        <w:spacing w:line="240" w:lineRule="auto" w:before="37" w:after="0"/>
        <w:ind w:left="377" w:right="0" w:hanging="210"/>
        <w:jc w:val="both"/>
        <w:rPr>
          <w:sz w:val="21"/>
        </w:rPr>
      </w:pPr>
      <w:r>
        <w:rPr>
          <w:sz w:val="21"/>
        </w:rPr>
        <w:t>型（微小病变型）</w:t>
      </w:r>
      <w:r>
        <w:rPr>
          <w:spacing w:val="2"/>
          <w:sz w:val="21"/>
        </w:rPr>
        <w:t>       镜下阴性，尿液正常</w:t>
      </w:r>
    </w:p>
    <w:p>
      <w:pPr>
        <w:pStyle w:val="ListParagraph"/>
        <w:numPr>
          <w:ilvl w:val="0"/>
          <w:numId w:val="1"/>
        </w:numPr>
        <w:tabs>
          <w:tab w:pos="483" w:val="left" w:leader="none"/>
        </w:tabs>
        <w:spacing w:line="240" w:lineRule="auto" w:before="37" w:after="0"/>
        <w:ind w:left="482" w:right="0" w:hanging="315"/>
        <w:jc w:val="both"/>
        <w:rPr>
          <w:sz w:val="21"/>
        </w:rPr>
      </w:pPr>
      <w:r>
        <w:rPr>
          <w:sz w:val="21"/>
        </w:rPr>
        <w:t>型（系膜病变型）      中度蛋白尿，偶有尿沉渣改变</w:t>
      </w:r>
    </w:p>
    <w:p>
      <w:pPr>
        <w:pStyle w:val="ListParagraph"/>
        <w:numPr>
          <w:ilvl w:val="0"/>
          <w:numId w:val="1"/>
        </w:numPr>
        <w:tabs>
          <w:tab w:pos="588" w:val="left" w:leader="none"/>
        </w:tabs>
        <w:spacing w:line="240" w:lineRule="auto" w:before="37" w:after="0"/>
        <w:ind w:left="587" w:right="0" w:hanging="420"/>
        <w:jc w:val="both"/>
        <w:rPr>
          <w:sz w:val="21"/>
        </w:rPr>
      </w:pPr>
      <w:r>
        <w:rPr>
          <w:spacing w:val="-1"/>
          <w:sz w:val="21"/>
        </w:rPr>
        <w:t>型（</w:t>
      </w:r>
      <w:r>
        <w:rPr>
          <w:sz w:val="21"/>
        </w:rPr>
        <w:t>局灶及节段增生型）蛋白尿，尿沉渣改变</w:t>
      </w:r>
    </w:p>
    <w:p>
      <w:pPr>
        <w:pStyle w:val="ListParagraph"/>
        <w:numPr>
          <w:ilvl w:val="0"/>
          <w:numId w:val="1"/>
        </w:numPr>
        <w:tabs>
          <w:tab w:pos="483" w:val="left" w:leader="none"/>
        </w:tabs>
        <w:spacing w:line="240" w:lineRule="auto" w:before="37" w:after="0"/>
        <w:ind w:left="482" w:right="0" w:hanging="315"/>
        <w:jc w:val="both"/>
        <w:rPr>
          <w:sz w:val="21"/>
        </w:rPr>
      </w:pPr>
      <w:r>
        <w:rPr>
          <w:sz w:val="21"/>
        </w:rPr>
        <w:t>型（弥漫增生型）      急性肾炎伴有尿沉渣改变及</w:t>
      </w:r>
    </w:p>
    <w:p>
      <w:pPr>
        <w:pStyle w:val="BodyText"/>
        <w:spacing w:before="37"/>
        <w:ind w:left="2897"/>
      </w:pPr>
      <w:r>
        <w:rPr/>
        <w:t>／或肾病综合征</w:t>
      </w:r>
    </w:p>
    <w:p>
      <w:pPr>
        <w:pStyle w:val="ListParagraph"/>
        <w:numPr>
          <w:ilvl w:val="0"/>
          <w:numId w:val="1"/>
        </w:numPr>
        <w:tabs>
          <w:tab w:pos="378" w:val="left" w:leader="none"/>
          <w:tab w:pos="2897" w:val="left" w:leader="none"/>
        </w:tabs>
        <w:spacing w:line="240" w:lineRule="auto" w:before="37" w:after="0"/>
        <w:ind w:left="377" w:right="0" w:hanging="210"/>
        <w:jc w:val="both"/>
        <w:rPr>
          <w:sz w:val="21"/>
        </w:rPr>
      </w:pPr>
      <w:r>
        <w:rPr>
          <w:sz w:val="21"/>
        </w:rPr>
        <w:t>型（膜型）</w:t>
        <w:tab/>
      </w:r>
      <w:r>
        <w:rPr>
          <w:spacing w:val="-2"/>
          <w:sz w:val="21"/>
        </w:rPr>
        <w:t>肾</w:t>
      </w:r>
      <w:r>
        <w:rPr>
          <w:spacing w:val="-1"/>
          <w:sz w:val="21"/>
        </w:rPr>
        <w:t>病综合征或重度蛋白尿</w:t>
      </w:r>
    </w:p>
    <w:p>
      <w:pPr>
        <w:spacing w:after="0" w:line="240" w:lineRule="auto"/>
        <w:jc w:val="both"/>
        <w:rPr>
          <w:sz w:val="21"/>
        </w:rPr>
        <w:sectPr>
          <w:type w:val="continuous"/>
          <w:pgSz w:w="11910" w:h="16840"/>
          <w:pgMar w:top="1100" w:bottom="1180" w:left="1660" w:right="1660"/>
          <w:cols w:num="2" w:equalWidth="0">
            <w:col w:w="2561" w:space="40"/>
            <w:col w:w="5989"/>
          </w:cols>
        </w:sectPr>
      </w:pPr>
    </w:p>
    <w:p>
      <w:pPr>
        <w:pStyle w:val="BodyText"/>
        <w:spacing w:before="12"/>
        <w:rPr>
          <w:sz w:val="23"/>
        </w:rPr>
      </w:pPr>
    </w:p>
    <w:p>
      <w:pPr>
        <w:spacing w:after="0"/>
        <w:rPr>
          <w:sz w:val="23"/>
        </w:rPr>
        <w:sectPr>
          <w:type w:val="continuous"/>
          <w:pgSz w:w="11910" w:h="16840"/>
          <w:pgMar w:top="1100" w:bottom="1180" w:left="1660" w:right="1660"/>
        </w:sectPr>
      </w:pPr>
    </w:p>
    <w:p>
      <w:pPr>
        <w:pStyle w:val="BodyText"/>
        <w:spacing w:line="273" w:lineRule="auto"/>
        <w:ind w:left="608"/>
      </w:pPr>
      <w:r>
        <w:rPr/>
        <w:t>33、因职业关系导致的人类免疫缺陷病毒</w:t>
      </w:r>
    </w:p>
    <w:p>
      <w:pPr>
        <w:pStyle w:val="BodyText"/>
        <w:spacing w:before="7"/>
        <w:ind w:left="608"/>
      </w:pPr>
      <w:r>
        <w:rPr/>
        <w:t>（HIV）感染</w:t>
      </w:r>
    </w:p>
    <w:p>
      <w:pPr>
        <w:pStyle w:val="BodyText"/>
        <w:spacing w:line="273" w:lineRule="auto"/>
        <w:ind w:left="167" w:right="270"/>
        <w:jc w:val="both"/>
      </w:pPr>
      <w:r>
        <w:rPr/>
        <w:br w:type="column"/>
      </w:r>
      <w:r>
        <w:rPr/>
        <w:t>被保险人在其常规职业工作过程中遭遇外伤，或者职业需要处理血液或者其他体液时感染上人类免疫缺陷病毒</w:t>
      </w:r>
      <w:r>
        <w:rPr>
          <w:spacing w:val="2"/>
        </w:rPr>
        <w:t>（</w:t>
      </w:r>
      <w:r>
        <w:rPr>
          <w:spacing w:val="-1"/>
        </w:rPr>
        <w:t>H</w:t>
      </w:r>
      <w:r>
        <w:rPr/>
        <w:t>I</w:t>
      </w:r>
      <w:r>
        <w:rPr>
          <w:spacing w:val="3"/>
        </w:rPr>
        <w:t>V</w:t>
      </w:r>
      <w:r>
        <w:rPr>
          <w:spacing w:val="-104"/>
        </w:rPr>
        <w:t>）</w:t>
      </w:r>
      <w:r>
        <w:rPr/>
        <w:t>。必须满足下列全部条件：</w:t>
      </w:r>
    </w:p>
    <w:p>
      <w:pPr>
        <w:pStyle w:val="BodyText"/>
        <w:spacing w:line="273" w:lineRule="auto" w:before="7"/>
        <w:ind w:left="167" w:right="270"/>
        <w:jc w:val="both"/>
      </w:pPr>
      <w:r>
        <w:rPr>
          <w:spacing w:val="-4"/>
        </w:rPr>
        <w:t>（1）</w:t>
      </w:r>
      <w:r>
        <w:rPr>
          <w:spacing w:val="-1"/>
        </w:rPr>
        <w:t>感染必须是在被保险人正在从事其职业工作中发生，该职业必须属于以下列表内的职业；</w:t>
      </w:r>
    </w:p>
    <w:p>
      <w:pPr>
        <w:pStyle w:val="BodyText"/>
        <w:spacing w:before="7"/>
        <w:ind w:left="167"/>
        <w:jc w:val="both"/>
      </w:pPr>
      <w:r>
        <w:rPr/>
        <w:t>（2）血清转化必须出现在事故发生后的 6 个月以内；</w:t>
      </w:r>
    </w:p>
    <w:p>
      <w:pPr>
        <w:pStyle w:val="BodyText"/>
        <w:spacing w:before="37"/>
        <w:ind w:left="167"/>
        <w:jc w:val="both"/>
      </w:pPr>
      <w:r>
        <w:rPr/>
        <w:t>（3）必须提供被保险人在所报事故发生后的 5 天以内进行的</w:t>
      </w:r>
    </w:p>
    <w:p>
      <w:pPr>
        <w:spacing w:after="0"/>
        <w:jc w:val="both"/>
        <w:sectPr>
          <w:type w:val="continuous"/>
          <w:pgSz w:w="11910" w:h="16840"/>
          <w:pgMar w:top="1100" w:bottom="1180" w:left="1660" w:right="1660"/>
          <w:cols w:num="2" w:equalWidth="0">
            <w:col w:w="2561" w:space="40"/>
            <w:col w:w="5989"/>
          </w:cols>
        </w:sectPr>
      </w:pPr>
    </w:p>
    <w:p>
      <w:pPr>
        <w:pStyle w:val="BodyText"/>
        <w:spacing w:before="8"/>
        <w:rPr>
          <w:sz w:val="20"/>
        </w:rPr>
      </w:pPr>
    </w:p>
    <w:p>
      <w:pPr>
        <w:pStyle w:val="BodyText"/>
        <w:ind w:left="2768"/>
        <w:jc w:val="both"/>
      </w:pPr>
      <w:r>
        <w:rPr/>
        <w:t>检查报告，该报告必须显示被保险人血液 HIV 病毒阴性和/或</w:t>
      </w:r>
    </w:p>
    <w:p>
      <w:pPr>
        <w:pStyle w:val="BodyText"/>
        <w:spacing w:before="37"/>
        <w:ind w:left="2768"/>
        <w:jc w:val="both"/>
      </w:pPr>
      <w:r>
        <w:rPr/>
        <w:t>HIV 抗体阴性；</w:t>
      </w:r>
    </w:p>
    <w:p>
      <w:pPr>
        <w:pStyle w:val="BodyText"/>
        <w:spacing w:before="37"/>
        <w:ind w:left="2768"/>
        <w:jc w:val="both"/>
      </w:pPr>
      <w:r>
        <w:rPr/>
        <w:t>（4）必须在事故发生后的 12 个月内证实被保险人体内存在</w:t>
      </w:r>
    </w:p>
    <w:p>
      <w:pPr>
        <w:pStyle w:val="BodyText"/>
        <w:spacing w:before="37"/>
        <w:ind w:left="2768"/>
        <w:jc w:val="both"/>
      </w:pPr>
      <w:r>
        <w:rPr/>
        <w:t>HIV 病毒或者 HIV 抗体。职业限制如下所示:</w:t>
      </w:r>
    </w:p>
    <w:p>
      <w:pPr>
        <w:pStyle w:val="BodyText"/>
        <w:spacing w:line="273" w:lineRule="auto" w:before="37"/>
        <w:ind w:left="2768" w:right="1130"/>
        <w:jc w:val="both"/>
      </w:pPr>
      <w:r>
        <w:rPr/>
        <w:t>医生和牙科医生、护士、实验室工作人员、医院护工、医生助理和牙医助理、救护车工作人员、助产士、消防队员、警察、狱警。</w:t>
      </w:r>
    </w:p>
    <w:p>
      <w:pPr>
        <w:pStyle w:val="BodyText"/>
        <w:spacing w:before="9"/>
      </w:pPr>
    </w:p>
    <w:p>
      <w:pPr>
        <w:spacing w:after="0"/>
        <w:sectPr>
          <w:pgSz w:w="11910" w:h="16840"/>
          <w:pgMar w:header="872" w:footer="998" w:top="1100" w:bottom="1180" w:left="1660" w:right="800"/>
        </w:sectPr>
      </w:pPr>
    </w:p>
    <w:p>
      <w:pPr>
        <w:pStyle w:val="BodyText"/>
        <w:spacing w:line="273" w:lineRule="auto"/>
        <w:ind w:left="608"/>
      </w:pPr>
      <w:r>
        <w:rPr/>
        <w:t>34、经输血导致的人类免疫缺 陷病毒 </w:t>
      </w:r>
    </w:p>
    <w:p>
      <w:pPr>
        <w:pStyle w:val="BodyText"/>
        <w:spacing w:before="7"/>
        <w:ind w:left="608"/>
      </w:pPr>
      <w:r>
        <w:rPr/>
        <w:t>（HIV）感染</w:t>
      </w:r>
    </w:p>
    <w:p>
      <w:pPr>
        <w:pStyle w:val="BodyText"/>
        <w:spacing w:line="273" w:lineRule="auto"/>
        <w:ind w:left="96" w:right="1130"/>
        <w:jc w:val="both"/>
      </w:pPr>
      <w:r>
        <w:rPr/>
        <w:br w:type="column"/>
      </w:r>
      <w:r>
        <w:rPr>
          <w:spacing w:val="-1"/>
        </w:rPr>
        <w:t>被保险人感染上人类免疫缺陷病毒</w:t>
      </w:r>
      <w:r>
        <w:rPr>
          <w:spacing w:val="-3"/>
        </w:rPr>
        <w:t>（HIV）</w:t>
      </w:r>
      <w:r>
        <w:rPr/>
        <w:t>并且满足下列全部条件：</w:t>
      </w:r>
    </w:p>
    <w:p>
      <w:pPr>
        <w:pStyle w:val="BodyText"/>
        <w:spacing w:line="273" w:lineRule="auto" w:before="7"/>
        <w:ind w:left="96" w:right="1132"/>
        <w:jc w:val="both"/>
      </w:pPr>
      <w:r>
        <w:rPr/>
        <w:t>（1）在保障起始日或复效日之后，被保险人因输血而感染HIV；</w:t>
      </w:r>
    </w:p>
    <w:p>
      <w:pPr>
        <w:pStyle w:val="BodyText"/>
        <w:spacing w:line="273" w:lineRule="auto" w:before="7"/>
        <w:ind w:left="96" w:right="1130"/>
        <w:jc w:val="both"/>
      </w:pPr>
      <w:r>
        <w:rPr>
          <w:spacing w:val="-8"/>
        </w:rPr>
        <w:t>（2）</w:t>
      </w:r>
      <w:r>
        <w:rPr/>
        <w:t>提供输血治疗的输血中心或医院出具该项输血感染属医疗责任事故的报告，或者法院终审裁定为医疗责任并且不准上诉；</w:t>
      </w:r>
    </w:p>
    <w:p>
      <w:pPr>
        <w:pStyle w:val="BodyText"/>
        <w:spacing w:before="7"/>
        <w:ind w:left="96"/>
      </w:pPr>
      <w:r>
        <w:rPr/>
        <w:t>（3）受感染的被保险人不是血友病患者。</w:t>
      </w:r>
    </w:p>
    <w:p>
      <w:pPr>
        <w:pStyle w:val="BodyText"/>
        <w:spacing w:line="273" w:lineRule="auto"/>
        <w:ind w:left="96" w:right="1130"/>
        <w:jc w:val="both"/>
      </w:pPr>
      <w:r>
        <w:rPr/>
        <w:t>在任何治愈艾滋病（AIDS）</w:t>
      </w:r>
      <w:r>
        <w:rPr>
          <w:spacing w:val="-3"/>
        </w:rPr>
        <w:t>或阻止 </w:t>
      </w:r>
      <w:r>
        <w:rPr/>
        <w:t>HIV</w:t>
      </w:r>
      <w:r>
        <w:rPr>
          <w:spacing w:val="-3"/>
        </w:rPr>
        <w:t> 病毒作用的疗法被发</w:t>
      </w:r>
      <w:r>
        <w:rPr>
          <w:spacing w:val="-11"/>
        </w:rPr>
        <w:t>现以后，或能防止 </w:t>
      </w:r>
      <w:r>
        <w:rPr/>
        <w:t>AIDS</w:t>
      </w:r>
      <w:r>
        <w:rPr>
          <w:spacing w:val="-9"/>
        </w:rPr>
        <w:t> 发生的医疗方法被研究出来以后，本保障将不再予以赔付。</w:t>
      </w:r>
    </w:p>
    <w:p>
      <w:pPr>
        <w:pStyle w:val="BodyText"/>
        <w:spacing w:line="266" w:lineRule="auto" w:before="7"/>
        <w:ind w:left="96" w:right="1130"/>
        <w:jc w:val="both"/>
      </w:pPr>
      <w:r>
        <w:rPr/>
        <w:t>任何因其他传播方式（包括：性传播或静脉注射毒品）导致</w:t>
      </w:r>
      <w:r>
        <w:rPr>
          <w:spacing w:val="-21"/>
        </w:rPr>
        <w:t>的 </w:t>
      </w:r>
      <w:r>
        <w:rPr>
          <w:rFonts w:ascii="Times New Roman" w:eastAsia="Times New Roman"/>
        </w:rPr>
        <w:t>HIV </w:t>
      </w:r>
      <w:r>
        <w:rPr/>
        <w:t>感染不在本保单保障范围内。保险公司必须拥有获得使用被保险人的所有血液样本的权利和能够对这些样本进行独立检验的权利。</w:t>
      </w:r>
    </w:p>
    <w:p>
      <w:pPr>
        <w:spacing w:after="0" w:line="266" w:lineRule="auto"/>
        <w:jc w:val="both"/>
        <w:sectPr>
          <w:type w:val="continuous"/>
          <w:pgSz w:w="11910" w:h="16840"/>
          <w:pgMar w:top="1100" w:bottom="1180" w:left="1660" w:right="800"/>
          <w:cols w:num="2" w:equalWidth="0">
            <w:col w:w="2632" w:space="40"/>
            <w:col w:w="6778"/>
          </w:cols>
        </w:sectPr>
      </w:pPr>
    </w:p>
    <w:p>
      <w:pPr>
        <w:pStyle w:val="BodyText"/>
        <w:spacing w:before="2"/>
        <w:rPr>
          <w:sz w:val="22"/>
        </w:rPr>
      </w:pPr>
    </w:p>
    <w:p>
      <w:pPr>
        <w:pStyle w:val="BodyText"/>
        <w:spacing w:line="273" w:lineRule="auto"/>
        <w:ind w:left="2767" w:right="1130" w:hanging="2160"/>
        <w:jc w:val="both"/>
      </w:pPr>
      <w:r>
        <w:rPr/>
        <w:t>35、严重克隆病      克隆病是一种慢性肉芽肿性肠炎，具有特征性的克隆病病理组织学变化。诊断必须由病理检查结果证实。被保险人所患的克隆病必须已经造成瘘管形成并伴有肠梗阻或肠穿孔。</w:t>
      </w:r>
    </w:p>
    <w:p>
      <w:pPr>
        <w:pStyle w:val="BodyText"/>
        <w:spacing w:before="5"/>
        <w:rPr>
          <w:sz w:val="24"/>
        </w:rPr>
      </w:pPr>
    </w:p>
    <w:p>
      <w:pPr>
        <w:pStyle w:val="BodyText"/>
        <w:spacing w:line="391" w:lineRule="auto" w:before="0" w:after="56"/>
        <w:ind w:left="139" w:right="4472" w:firstLine="3520"/>
      </w:pPr>
      <w:r>
        <w:rPr>
          <w:b/>
        </w:rPr>
        <w:t>重大疾病分组</w:t>
      </w:r>
      <w:r>
        <w:rPr>
          <w:spacing w:val="-7"/>
        </w:rPr>
        <w:t>本附加合同所列的 </w:t>
      </w:r>
      <w:r>
        <w:rPr/>
        <w:t>35</w:t>
      </w:r>
      <w:r>
        <w:rPr>
          <w:spacing w:val="-12"/>
        </w:rPr>
        <w:t> 种重大疾病保障分为以下 </w:t>
      </w:r>
      <w:r>
        <w:rPr/>
        <w:t>3</w:t>
      </w:r>
      <w:r>
        <w:rPr>
          <w:spacing w:val="-20"/>
        </w:rPr>
        <w:t> 组:</w:t>
      </w:r>
    </w:p>
    <w:tbl>
      <w:tblPr>
        <w:tblW w:w="0" w:type="auto"/>
        <w:jc w:val="left"/>
        <w:tblInd w:w="1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066"/>
        <w:gridCol w:w="3065"/>
        <w:gridCol w:w="3065"/>
      </w:tblGrid>
      <w:tr>
        <w:trPr>
          <w:trHeight w:val="410" w:hRule="atLeast"/>
        </w:trPr>
        <w:tc>
          <w:tcPr>
            <w:tcW w:w="3066" w:type="dxa"/>
            <w:tcBorders>
              <w:bottom w:val="nil"/>
              <w:right w:val="single" w:sz="8" w:space="0" w:color="000000"/>
            </w:tcBorders>
          </w:tcPr>
          <w:p>
            <w:pPr>
              <w:pStyle w:val="TableParagraph"/>
              <w:spacing w:before="10"/>
              <w:ind w:left="107"/>
              <w:rPr>
                <w:b/>
                <w:sz w:val="18"/>
              </w:rPr>
            </w:pPr>
            <w:r>
              <w:rPr>
                <w:b/>
                <w:sz w:val="18"/>
              </w:rPr>
              <w:t>A 组：</w:t>
            </w:r>
          </w:p>
        </w:tc>
        <w:tc>
          <w:tcPr>
            <w:tcW w:w="3065" w:type="dxa"/>
            <w:tcBorders>
              <w:left w:val="single" w:sz="8" w:space="0" w:color="000000"/>
              <w:bottom w:val="nil"/>
              <w:right w:val="single" w:sz="8" w:space="0" w:color="000000"/>
            </w:tcBorders>
          </w:tcPr>
          <w:p>
            <w:pPr>
              <w:pStyle w:val="TableParagraph"/>
              <w:spacing w:before="10"/>
              <w:rPr>
                <w:b/>
                <w:sz w:val="18"/>
              </w:rPr>
            </w:pPr>
            <w:r>
              <w:rPr>
                <w:b/>
                <w:sz w:val="18"/>
              </w:rPr>
              <w:t>B 组：</w:t>
            </w:r>
          </w:p>
        </w:tc>
        <w:tc>
          <w:tcPr>
            <w:tcW w:w="3065" w:type="dxa"/>
            <w:tcBorders>
              <w:left w:val="single" w:sz="8" w:space="0" w:color="000000"/>
              <w:bottom w:val="nil"/>
            </w:tcBorders>
          </w:tcPr>
          <w:p>
            <w:pPr>
              <w:pStyle w:val="TableParagraph"/>
              <w:spacing w:before="10"/>
              <w:rPr>
                <w:b/>
                <w:sz w:val="18"/>
              </w:rPr>
            </w:pPr>
            <w:r>
              <w:rPr>
                <w:b/>
                <w:sz w:val="18"/>
              </w:rPr>
              <w:t>C 组：</w:t>
            </w:r>
          </w:p>
        </w:tc>
      </w:tr>
      <w:tr>
        <w:trPr>
          <w:trHeight w:val="510" w:hRule="atLeast"/>
        </w:trPr>
        <w:tc>
          <w:tcPr>
            <w:tcW w:w="3066" w:type="dxa"/>
            <w:tcBorders>
              <w:top w:val="nil"/>
              <w:bottom w:val="nil"/>
              <w:right w:val="single" w:sz="8" w:space="0" w:color="000000"/>
            </w:tcBorders>
          </w:tcPr>
          <w:p>
            <w:pPr>
              <w:pStyle w:val="TableParagraph"/>
              <w:ind w:left="107"/>
              <w:rPr>
                <w:sz w:val="18"/>
              </w:rPr>
            </w:pPr>
            <w:r>
              <w:rPr>
                <w:sz w:val="18"/>
              </w:rPr>
              <w:t>1.恶性肿瘤；</w:t>
            </w:r>
          </w:p>
        </w:tc>
        <w:tc>
          <w:tcPr>
            <w:tcW w:w="3065" w:type="dxa"/>
            <w:tcBorders>
              <w:top w:val="nil"/>
              <w:left w:val="single" w:sz="8" w:space="0" w:color="000000"/>
              <w:bottom w:val="nil"/>
              <w:right w:val="single" w:sz="8" w:space="0" w:color="000000"/>
            </w:tcBorders>
          </w:tcPr>
          <w:p>
            <w:pPr>
              <w:pStyle w:val="TableParagraph"/>
              <w:rPr>
                <w:sz w:val="18"/>
              </w:rPr>
            </w:pPr>
            <w:r>
              <w:rPr>
                <w:sz w:val="18"/>
              </w:rPr>
              <w:t>2.急性心肌梗塞；</w:t>
            </w:r>
          </w:p>
        </w:tc>
        <w:tc>
          <w:tcPr>
            <w:tcW w:w="3065" w:type="dxa"/>
            <w:tcBorders>
              <w:top w:val="nil"/>
              <w:left w:val="single" w:sz="8" w:space="0" w:color="000000"/>
              <w:bottom w:val="nil"/>
            </w:tcBorders>
          </w:tcPr>
          <w:p>
            <w:pPr>
              <w:pStyle w:val="TableParagraph"/>
              <w:rPr>
                <w:sz w:val="18"/>
              </w:rPr>
            </w:pPr>
            <w:r>
              <w:rPr>
                <w:sz w:val="18"/>
              </w:rPr>
              <w:t>3.脑中风后遗症；</w:t>
            </w:r>
          </w:p>
        </w:tc>
      </w:tr>
      <w:tr>
        <w:trPr>
          <w:trHeight w:val="410" w:hRule="atLeast"/>
        </w:trPr>
        <w:tc>
          <w:tcPr>
            <w:tcW w:w="3066" w:type="dxa"/>
            <w:tcBorders>
              <w:top w:val="nil"/>
              <w:bottom w:val="nil"/>
              <w:right w:val="single" w:sz="8" w:space="0" w:color="000000"/>
            </w:tcBorders>
          </w:tcPr>
          <w:p>
            <w:pPr>
              <w:pStyle w:val="TableParagraph"/>
              <w:ind w:left="107"/>
              <w:rPr>
                <w:sz w:val="18"/>
              </w:rPr>
            </w:pPr>
            <w:r>
              <w:rPr>
                <w:sz w:val="18"/>
              </w:rPr>
              <w:t>4.重大器官移植术或造血干细胞移</w:t>
            </w:r>
          </w:p>
        </w:tc>
        <w:tc>
          <w:tcPr>
            <w:tcW w:w="3065" w:type="dxa"/>
            <w:tcBorders>
              <w:top w:val="nil"/>
              <w:left w:val="single" w:sz="8" w:space="0" w:color="000000"/>
              <w:bottom w:val="nil"/>
              <w:right w:val="single" w:sz="8" w:space="0" w:color="000000"/>
            </w:tcBorders>
          </w:tcPr>
          <w:p>
            <w:pPr>
              <w:pStyle w:val="TableParagraph"/>
              <w:rPr>
                <w:sz w:val="18"/>
              </w:rPr>
            </w:pPr>
            <w:r>
              <w:rPr>
                <w:sz w:val="18"/>
              </w:rPr>
              <w:t>5.冠状动脉搭桥术；</w:t>
            </w:r>
          </w:p>
        </w:tc>
        <w:tc>
          <w:tcPr>
            <w:tcW w:w="3065" w:type="dxa"/>
            <w:tcBorders>
              <w:top w:val="nil"/>
              <w:left w:val="single" w:sz="8" w:space="0" w:color="000000"/>
              <w:bottom w:val="nil"/>
            </w:tcBorders>
          </w:tcPr>
          <w:p>
            <w:pPr>
              <w:pStyle w:val="TableParagraph"/>
              <w:rPr>
                <w:sz w:val="18"/>
              </w:rPr>
            </w:pPr>
            <w:r>
              <w:rPr>
                <w:sz w:val="18"/>
              </w:rPr>
              <w:t>7.多个肢体缺失；</w:t>
            </w:r>
          </w:p>
        </w:tc>
      </w:tr>
      <w:tr>
        <w:trPr>
          <w:trHeight w:val="311" w:hRule="atLeast"/>
        </w:trPr>
        <w:tc>
          <w:tcPr>
            <w:tcW w:w="3066" w:type="dxa"/>
            <w:tcBorders>
              <w:top w:val="nil"/>
              <w:bottom w:val="nil"/>
              <w:right w:val="single" w:sz="8" w:space="0" w:color="000000"/>
            </w:tcBorders>
          </w:tcPr>
          <w:p>
            <w:pPr>
              <w:pStyle w:val="TableParagraph"/>
              <w:spacing w:before="10"/>
              <w:ind w:left="287"/>
              <w:rPr>
                <w:sz w:val="18"/>
              </w:rPr>
            </w:pPr>
            <w:r>
              <w:rPr>
                <w:sz w:val="18"/>
              </w:rPr>
              <w:t>植术；</w:t>
            </w:r>
          </w:p>
        </w:tc>
        <w:tc>
          <w:tcPr>
            <w:tcW w:w="3065" w:type="dxa"/>
            <w:tcBorders>
              <w:top w:val="nil"/>
              <w:left w:val="single" w:sz="8" w:space="0" w:color="000000"/>
              <w:bottom w:val="nil"/>
              <w:right w:val="single" w:sz="8" w:space="0" w:color="000000"/>
            </w:tcBorders>
          </w:tcPr>
          <w:p>
            <w:pPr>
              <w:pStyle w:val="TableParagraph"/>
              <w:spacing w:before="0"/>
              <w:ind w:left="0"/>
              <w:rPr>
                <w:rFonts w:ascii="Times New Roman"/>
                <w:sz w:val="18"/>
              </w:rPr>
            </w:pPr>
          </w:p>
        </w:tc>
        <w:tc>
          <w:tcPr>
            <w:tcW w:w="3065" w:type="dxa"/>
            <w:tcBorders>
              <w:top w:val="nil"/>
              <w:left w:val="single" w:sz="8" w:space="0" w:color="000000"/>
              <w:bottom w:val="nil"/>
            </w:tcBorders>
          </w:tcPr>
          <w:p>
            <w:pPr>
              <w:pStyle w:val="TableParagraph"/>
              <w:spacing w:before="0"/>
              <w:ind w:left="0"/>
              <w:rPr>
                <w:rFonts w:ascii="Times New Roman"/>
                <w:sz w:val="18"/>
              </w:rPr>
            </w:pPr>
          </w:p>
        </w:tc>
      </w:tr>
      <w:tr>
        <w:trPr>
          <w:trHeight w:val="411" w:hRule="atLeast"/>
        </w:trPr>
        <w:tc>
          <w:tcPr>
            <w:tcW w:w="3066" w:type="dxa"/>
            <w:tcBorders>
              <w:top w:val="nil"/>
              <w:bottom w:val="nil"/>
              <w:right w:val="single" w:sz="8" w:space="0" w:color="000000"/>
            </w:tcBorders>
          </w:tcPr>
          <w:p>
            <w:pPr>
              <w:pStyle w:val="TableParagraph"/>
              <w:spacing w:before="10"/>
              <w:ind w:left="107"/>
              <w:rPr>
                <w:sz w:val="18"/>
              </w:rPr>
            </w:pPr>
            <w:r>
              <w:rPr>
                <w:sz w:val="18"/>
              </w:rPr>
              <w:t>6.终末期肾病；</w:t>
            </w:r>
          </w:p>
        </w:tc>
        <w:tc>
          <w:tcPr>
            <w:tcW w:w="3065" w:type="dxa"/>
            <w:tcBorders>
              <w:top w:val="nil"/>
              <w:left w:val="single" w:sz="8" w:space="0" w:color="000000"/>
              <w:bottom w:val="nil"/>
              <w:right w:val="single" w:sz="8" w:space="0" w:color="000000"/>
            </w:tcBorders>
          </w:tcPr>
          <w:p>
            <w:pPr>
              <w:pStyle w:val="TableParagraph"/>
              <w:spacing w:before="10"/>
              <w:rPr>
                <w:sz w:val="18"/>
              </w:rPr>
            </w:pPr>
            <w:r>
              <w:rPr>
                <w:sz w:val="18"/>
              </w:rPr>
              <w:t>15.心脏瓣膜手术；</w:t>
            </w:r>
          </w:p>
        </w:tc>
        <w:tc>
          <w:tcPr>
            <w:tcW w:w="3065" w:type="dxa"/>
            <w:tcBorders>
              <w:top w:val="nil"/>
              <w:left w:val="single" w:sz="8" w:space="0" w:color="000000"/>
              <w:bottom w:val="nil"/>
            </w:tcBorders>
          </w:tcPr>
          <w:p>
            <w:pPr>
              <w:pStyle w:val="TableParagraph"/>
              <w:spacing w:before="10"/>
              <w:rPr>
                <w:sz w:val="18"/>
              </w:rPr>
            </w:pPr>
            <w:r>
              <w:rPr>
                <w:sz w:val="18"/>
              </w:rPr>
              <w:t>9.良性脑肿瘤；</w:t>
            </w:r>
          </w:p>
        </w:tc>
      </w:tr>
      <w:tr>
        <w:trPr>
          <w:trHeight w:val="510" w:hRule="atLeast"/>
        </w:trPr>
        <w:tc>
          <w:tcPr>
            <w:tcW w:w="3066" w:type="dxa"/>
            <w:tcBorders>
              <w:top w:val="nil"/>
              <w:bottom w:val="nil"/>
              <w:right w:val="single" w:sz="8" w:space="0" w:color="000000"/>
            </w:tcBorders>
          </w:tcPr>
          <w:p>
            <w:pPr>
              <w:pStyle w:val="TableParagraph"/>
              <w:ind w:left="107"/>
              <w:rPr>
                <w:sz w:val="18"/>
              </w:rPr>
            </w:pPr>
            <w:r>
              <w:rPr>
                <w:sz w:val="18"/>
              </w:rPr>
              <w:t>8.急性或亚急性重症肝炎；</w:t>
            </w:r>
          </w:p>
        </w:tc>
        <w:tc>
          <w:tcPr>
            <w:tcW w:w="3065" w:type="dxa"/>
            <w:tcBorders>
              <w:top w:val="nil"/>
              <w:left w:val="single" w:sz="8" w:space="0" w:color="000000"/>
              <w:bottom w:val="nil"/>
              <w:right w:val="single" w:sz="8" w:space="0" w:color="000000"/>
            </w:tcBorders>
          </w:tcPr>
          <w:p>
            <w:pPr>
              <w:pStyle w:val="TableParagraph"/>
              <w:rPr>
                <w:sz w:val="18"/>
              </w:rPr>
            </w:pPr>
            <w:r>
              <w:rPr>
                <w:sz w:val="18"/>
              </w:rPr>
              <w:t>20.严重原发性肺动脉高压；</w:t>
            </w:r>
          </w:p>
        </w:tc>
        <w:tc>
          <w:tcPr>
            <w:tcW w:w="3065" w:type="dxa"/>
            <w:tcBorders>
              <w:top w:val="nil"/>
              <w:left w:val="single" w:sz="8" w:space="0" w:color="000000"/>
              <w:bottom w:val="nil"/>
            </w:tcBorders>
          </w:tcPr>
          <w:p>
            <w:pPr>
              <w:pStyle w:val="TableParagraph"/>
              <w:rPr>
                <w:sz w:val="18"/>
              </w:rPr>
            </w:pPr>
            <w:r>
              <w:rPr>
                <w:sz w:val="18"/>
              </w:rPr>
              <w:t>11.脑炎后遗症或脑膜炎后遗症；</w:t>
            </w:r>
          </w:p>
        </w:tc>
      </w:tr>
      <w:tr>
        <w:trPr>
          <w:trHeight w:val="510" w:hRule="atLeast"/>
        </w:trPr>
        <w:tc>
          <w:tcPr>
            <w:tcW w:w="3066" w:type="dxa"/>
            <w:tcBorders>
              <w:top w:val="nil"/>
              <w:bottom w:val="nil"/>
              <w:right w:val="single" w:sz="8" w:space="0" w:color="000000"/>
            </w:tcBorders>
          </w:tcPr>
          <w:p>
            <w:pPr>
              <w:pStyle w:val="TableParagraph"/>
              <w:ind w:left="107"/>
              <w:rPr>
                <w:sz w:val="18"/>
              </w:rPr>
            </w:pPr>
            <w:r>
              <w:rPr>
                <w:sz w:val="18"/>
              </w:rPr>
              <w:t>10.慢性肝功能衰竭失代偿期；</w:t>
            </w:r>
          </w:p>
        </w:tc>
        <w:tc>
          <w:tcPr>
            <w:tcW w:w="3065" w:type="dxa"/>
            <w:tcBorders>
              <w:top w:val="nil"/>
              <w:left w:val="single" w:sz="8" w:space="0" w:color="000000"/>
              <w:bottom w:val="nil"/>
              <w:right w:val="single" w:sz="8" w:space="0" w:color="000000"/>
            </w:tcBorders>
          </w:tcPr>
          <w:p>
            <w:pPr>
              <w:pStyle w:val="TableParagraph"/>
              <w:rPr>
                <w:sz w:val="18"/>
              </w:rPr>
            </w:pPr>
            <w:r>
              <w:rPr>
                <w:sz w:val="18"/>
              </w:rPr>
              <w:t>24.主动脉手术；</w:t>
            </w:r>
          </w:p>
        </w:tc>
        <w:tc>
          <w:tcPr>
            <w:tcW w:w="3065" w:type="dxa"/>
            <w:tcBorders>
              <w:top w:val="nil"/>
              <w:left w:val="single" w:sz="8" w:space="0" w:color="000000"/>
              <w:bottom w:val="nil"/>
            </w:tcBorders>
          </w:tcPr>
          <w:p>
            <w:pPr>
              <w:pStyle w:val="TableParagraph"/>
              <w:rPr>
                <w:sz w:val="18"/>
              </w:rPr>
            </w:pPr>
            <w:r>
              <w:rPr>
                <w:sz w:val="18"/>
              </w:rPr>
              <w:t>12.双耳失聪-三周岁始理赔；</w:t>
            </w:r>
          </w:p>
        </w:tc>
      </w:tr>
      <w:tr>
        <w:trPr>
          <w:trHeight w:val="510" w:hRule="atLeast"/>
        </w:trPr>
        <w:tc>
          <w:tcPr>
            <w:tcW w:w="3066" w:type="dxa"/>
            <w:tcBorders>
              <w:top w:val="nil"/>
              <w:bottom w:val="nil"/>
              <w:right w:val="single" w:sz="8" w:space="0" w:color="000000"/>
            </w:tcBorders>
          </w:tcPr>
          <w:p>
            <w:pPr>
              <w:pStyle w:val="TableParagraph"/>
              <w:ind w:left="107"/>
              <w:rPr>
                <w:sz w:val="18"/>
              </w:rPr>
            </w:pPr>
            <w:r>
              <w:rPr>
                <w:sz w:val="18"/>
              </w:rPr>
              <w:t>19.严重III 度烧伤；</w:t>
            </w:r>
          </w:p>
        </w:tc>
        <w:tc>
          <w:tcPr>
            <w:tcW w:w="3065" w:type="dxa"/>
            <w:tcBorders>
              <w:top w:val="nil"/>
              <w:left w:val="single" w:sz="8" w:space="0" w:color="000000"/>
              <w:bottom w:val="nil"/>
              <w:right w:val="single" w:sz="8" w:space="0" w:color="000000"/>
            </w:tcBorders>
          </w:tcPr>
          <w:p>
            <w:pPr>
              <w:pStyle w:val="TableParagraph"/>
              <w:rPr>
                <w:sz w:val="18"/>
              </w:rPr>
            </w:pPr>
            <w:r>
              <w:rPr>
                <w:sz w:val="18"/>
              </w:rPr>
              <w:t>27.坏死性筋膜炎；</w:t>
            </w:r>
          </w:p>
        </w:tc>
        <w:tc>
          <w:tcPr>
            <w:tcW w:w="3065" w:type="dxa"/>
            <w:tcBorders>
              <w:top w:val="nil"/>
              <w:left w:val="single" w:sz="8" w:space="0" w:color="000000"/>
              <w:bottom w:val="nil"/>
            </w:tcBorders>
          </w:tcPr>
          <w:p>
            <w:pPr>
              <w:pStyle w:val="TableParagraph"/>
              <w:rPr>
                <w:sz w:val="18"/>
              </w:rPr>
            </w:pPr>
            <w:r>
              <w:rPr>
                <w:sz w:val="18"/>
              </w:rPr>
              <w:t>13.双目失明-三周岁始理赔；</w:t>
            </w:r>
          </w:p>
        </w:tc>
      </w:tr>
      <w:tr>
        <w:trPr>
          <w:trHeight w:val="609" w:hRule="atLeast"/>
        </w:trPr>
        <w:tc>
          <w:tcPr>
            <w:tcW w:w="3066" w:type="dxa"/>
            <w:tcBorders>
              <w:top w:val="nil"/>
              <w:right w:val="single" w:sz="8" w:space="0" w:color="000000"/>
            </w:tcBorders>
          </w:tcPr>
          <w:p>
            <w:pPr>
              <w:pStyle w:val="TableParagraph"/>
              <w:ind w:left="107"/>
              <w:rPr>
                <w:sz w:val="18"/>
              </w:rPr>
            </w:pPr>
            <w:r>
              <w:rPr>
                <w:sz w:val="18"/>
              </w:rPr>
              <w:t>23.重型再生障碍性贫血；</w:t>
            </w:r>
          </w:p>
        </w:tc>
        <w:tc>
          <w:tcPr>
            <w:tcW w:w="3065" w:type="dxa"/>
            <w:tcBorders>
              <w:top w:val="nil"/>
              <w:left w:val="single" w:sz="8" w:space="0" w:color="000000"/>
              <w:right w:val="single" w:sz="8" w:space="0" w:color="000000"/>
            </w:tcBorders>
          </w:tcPr>
          <w:p>
            <w:pPr>
              <w:pStyle w:val="TableParagraph"/>
              <w:rPr>
                <w:sz w:val="18"/>
              </w:rPr>
            </w:pPr>
            <w:r>
              <w:rPr>
                <w:sz w:val="18"/>
              </w:rPr>
              <w:t>29.全身性重症肌无力；</w:t>
            </w:r>
          </w:p>
        </w:tc>
        <w:tc>
          <w:tcPr>
            <w:tcW w:w="3065" w:type="dxa"/>
            <w:tcBorders>
              <w:top w:val="nil"/>
              <w:left w:val="single" w:sz="8" w:space="0" w:color="000000"/>
            </w:tcBorders>
          </w:tcPr>
          <w:p>
            <w:pPr>
              <w:pStyle w:val="TableParagraph"/>
              <w:rPr>
                <w:sz w:val="18"/>
              </w:rPr>
            </w:pPr>
            <w:r>
              <w:rPr>
                <w:sz w:val="18"/>
              </w:rPr>
              <w:t>14.瘫痪；</w:t>
            </w:r>
          </w:p>
        </w:tc>
      </w:tr>
    </w:tbl>
    <w:p>
      <w:pPr>
        <w:spacing w:after="0"/>
        <w:rPr>
          <w:sz w:val="18"/>
        </w:rPr>
        <w:sectPr>
          <w:type w:val="continuous"/>
          <w:pgSz w:w="11910" w:h="16840"/>
          <w:pgMar w:top="1100" w:bottom="1180" w:left="1660" w:right="800"/>
        </w:sectPr>
      </w:pPr>
    </w:p>
    <w:p>
      <w:pPr>
        <w:pStyle w:val="BodyText"/>
        <w:spacing w:before="9" w:after="1"/>
        <w:rPr>
          <w:rFonts w:ascii="Times New Roman"/>
          <w:sz w:val="27"/>
        </w:rPr>
      </w:pPr>
    </w:p>
    <w:tbl>
      <w:tblPr>
        <w:tblW w:w="0" w:type="auto"/>
        <w:jc w:val="left"/>
        <w:tblInd w:w="1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066"/>
        <w:gridCol w:w="3065"/>
        <w:gridCol w:w="3065"/>
      </w:tblGrid>
      <w:tr>
        <w:trPr>
          <w:trHeight w:val="3516" w:hRule="atLeast"/>
        </w:trPr>
        <w:tc>
          <w:tcPr>
            <w:tcW w:w="3066" w:type="dxa"/>
            <w:tcBorders>
              <w:right w:val="single" w:sz="8" w:space="0" w:color="000000"/>
            </w:tcBorders>
          </w:tcPr>
          <w:p>
            <w:pPr>
              <w:pStyle w:val="TableParagraph"/>
              <w:spacing w:before="10"/>
              <w:ind w:left="107"/>
              <w:rPr>
                <w:sz w:val="18"/>
              </w:rPr>
            </w:pPr>
            <w:r>
              <w:rPr>
                <w:sz w:val="18"/>
              </w:rPr>
              <w:t>25.慢性呼吸功能衰竭；</w:t>
            </w:r>
          </w:p>
          <w:p>
            <w:pPr>
              <w:pStyle w:val="TableParagraph"/>
              <w:spacing w:before="0"/>
              <w:ind w:left="0"/>
              <w:rPr>
                <w:rFonts w:ascii="Times New Roman"/>
                <w:sz w:val="18"/>
              </w:rPr>
            </w:pPr>
          </w:p>
          <w:p>
            <w:pPr>
              <w:pStyle w:val="TableParagraph"/>
              <w:spacing w:before="8"/>
              <w:ind w:left="0"/>
              <w:rPr>
                <w:rFonts w:ascii="Times New Roman"/>
                <w:sz w:val="15"/>
              </w:rPr>
            </w:pPr>
          </w:p>
          <w:p>
            <w:pPr>
              <w:pStyle w:val="TableParagraph"/>
              <w:spacing w:before="0"/>
              <w:ind w:left="107"/>
              <w:rPr>
                <w:sz w:val="18"/>
              </w:rPr>
            </w:pPr>
            <w:r>
              <w:rPr>
                <w:sz w:val="18"/>
              </w:rPr>
              <w:t>28.急性坏死性胰腺炎；</w:t>
            </w:r>
          </w:p>
          <w:p>
            <w:pPr>
              <w:pStyle w:val="TableParagraph"/>
              <w:spacing w:before="9"/>
              <w:ind w:left="0"/>
              <w:rPr>
                <w:rFonts w:ascii="Times New Roman"/>
                <w:sz w:val="23"/>
              </w:rPr>
            </w:pPr>
          </w:p>
          <w:p>
            <w:pPr>
              <w:pStyle w:val="TableParagraph"/>
              <w:spacing w:line="316" w:lineRule="auto" w:before="0"/>
              <w:ind w:left="287" w:right="81" w:hanging="180"/>
              <w:rPr>
                <w:sz w:val="18"/>
              </w:rPr>
            </w:pPr>
            <w:r>
              <w:rPr>
                <w:sz w:val="18"/>
              </w:rPr>
              <w:t>32.系统性红斑狼疮-III 型或以上狼疮性肾炎；</w:t>
            </w:r>
          </w:p>
          <w:p>
            <w:pPr>
              <w:pStyle w:val="TableParagraph"/>
              <w:spacing w:line="316" w:lineRule="auto" w:before="18"/>
              <w:ind w:left="287" w:right="86" w:hanging="180"/>
              <w:rPr>
                <w:sz w:val="18"/>
              </w:rPr>
            </w:pPr>
            <w:r>
              <w:rPr>
                <w:sz w:val="18"/>
              </w:rPr>
              <w:t>33.因职业关系导致的人类免疫缺陷病毒感染（HIV）；</w:t>
            </w:r>
          </w:p>
          <w:p>
            <w:pPr>
              <w:pStyle w:val="TableParagraph"/>
              <w:spacing w:line="316" w:lineRule="auto" w:before="18"/>
              <w:ind w:left="287" w:right="86" w:hanging="180"/>
              <w:rPr>
                <w:sz w:val="18"/>
              </w:rPr>
            </w:pPr>
            <w:r>
              <w:rPr>
                <w:sz w:val="18"/>
              </w:rPr>
              <w:t>34.经输血导致的人类免疫缺陷病毒感染（HIV）；</w:t>
            </w:r>
          </w:p>
          <w:p>
            <w:pPr>
              <w:pStyle w:val="TableParagraph"/>
              <w:spacing w:before="18"/>
              <w:ind w:left="107"/>
              <w:rPr>
                <w:sz w:val="18"/>
              </w:rPr>
            </w:pPr>
            <w:r>
              <w:rPr>
                <w:sz w:val="18"/>
              </w:rPr>
              <w:t>35.严重克隆病</w:t>
            </w:r>
          </w:p>
        </w:tc>
        <w:tc>
          <w:tcPr>
            <w:tcW w:w="3065" w:type="dxa"/>
            <w:tcBorders>
              <w:left w:val="single" w:sz="8" w:space="0" w:color="000000"/>
              <w:right w:val="single" w:sz="8" w:space="0" w:color="000000"/>
            </w:tcBorders>
          </w:tcPr>
          <w:p>
            <w:pPr>
              <w:pStyle w:val="TableParagraph"/>
              <w:spacing w:before="10"/>
              <w:rPr>
                <w:sz w:val="18"/>
              </w:rPr>
            </w:pPr>
            <w:r>
              <w:rPr>
                <w:sz w:val="18"/>
              </w:rPr>
              <w:t>30.严重心肌病；</w:t>
            </w:r>
          </w:p>
          <w:p>
            <w:pPr>
              <w:pStyle w:val="TableParagraph"/>
              <w:spacing w:before="0"/>
              <w:ind w:left="0"/>
              <w:rPr>
                <w:rFonts w:ascii="Times New Roman"/>
                <w:sz w:val="18"/>
              </w:rPr>
            </w:pPr>
          </w:p>
          <w:p>
            <w:pPr>
              <w:pStyle w:val="TableParagraph"/>
              <w:spacing w:before="8"/>
              <w:ind w:left="0"/>
              <w:rPr>
                <w:rFonts w:ascii="Times New Roman"/>
                <w:sz w:val="15"/>
              </w:rPr>
            </w:pPr>
          </w:p>
          <w:p>
            <w:pPr>
              <w:pStyle w:val="TableParagraph"/>
              <w:spacing w:before="0"/>
              <w:rPr>
                <w:sz w:val="18"/>
              </w:rPr>
            </w:pPr>
            <w:r>
              <w:rPr>
                <w:sz w:val="18"/>
              </w:rPr>
              <w:t>31.严重类风湿性关节炎</w:t>
            </w:r>
          </w:p>
        </w:tc>
        <w:tc>
          <w:tcPr>
            <w:tcW w:w="3065" w:type="dxa"/>
            <w:tcBorders>
              <w:left w:val="single" w:sz="8" w:space="0" w:color="000000"/>
            </w:tcBorders>
          </w:tcPr>
          <w:p>
            <w:pPr>
              <w:pStyle w:val="TableParagraph"/>
              <w:spacing w:line="316" w:lineRule="auto" w:before="10"/>
              <w:ind w:left="282" w:right="85" w:hanging="180"/>
              <w:rPr>
                <w:sz w:val="18"/>
              </w:rPr>
            </w:pPr>
            <w:r>
              <w:rPr>
                <w:sz w:val="18"/>
              </w:rPr>
              <w:t>16.严重阿尔茨海默病-限七十周岁前发病；</w:t>
            </w:r>
          </w:p>
          <w:p>
            <w:pPr>
              <w:pStyle w:val="TableParagraph"/>
              <w:spacing w:before="18"/>
              <w:rPr>
                <w:sz w:val="18"/>
              </w:rPr>
            </w:pPr>
            <w:r>
              <w:rPr>
                <w:sz w:val="18"/>
              </w:rPr>
              <w:t>17.严重脑损伤；</w:t>
            </w:r>
          </w:p>
          <w:p>
            <w:pPr>
              <w:pStyle w:val="TableParagraph"/>
              <w:spacing w:before="9"/>
              <w:ind w:left="0"/>
              <w:rPr>
                <w:rFonts w:ascii="Times New Roman"/>
                <w:sz w:val="23"/>
              </w:rPr>
            </w:pPr>
          </w:p>
          <w:p>
            <w:pPr>
              <w:pStyle w:val="TableParagraph"/>
              <w:spacing w:before="0"/>
              <w:rPr>
                <w:sz w:val="18"/>
              </w:rPr>
            </w:pPr>
            <w:r>
              <w:rPr>
                <w:sz w:val="18"/>
              </w:rPr>
              <w:t>18.严重帕金森病；</w:t>
            </w:r>
          </w:p>
          <w:p>
            <w:pPr>
              <w:pStyle w:val="TableParagraph"/>
              <w:spacing w:before="0"/>
              <w:ind w:left="0"/>
              <w:rPr>
                <w:rFonts w:ascii="Times New Roman"/>
                <w:sz w:val="18"/>
              </w:rPr>
            </w:pPr>
          </w:p>
          <w:p>
            <w:pPr>
              <w:pStyle w:val="TableParagraph"/>
              <w:spacing w:before="8"/>
              <w:ind w:left="0"/>
              <w:rPr>
                <w:rFonts w:ascii="Times New Roman"/>
                <w:sz w:val="15"/>
              </w:rPr>
            </w:pPr>
          </w:p>
          <w:p>
            <w:pPr>
              <w:pStyle w:val="TableParagraph"/>
              <w:spacing w:before="0"/>
              <w:rPr>
                <w:sz w:val="18"/>
              </w:rPr>
            </w:pPr>
            <w:r>
              <w:rPr>
                <w:sz w:val="18"/>
              </w:rPr>
              <w:t>21.严重运动神经元病；</w:t>
            </w:r>
          </w:p>
          <w:p>
            <w:pPr>
              <w:pStyle w:val="TableParagraph"/>
              <w:spacing w:before="0"/>
              <w:ind w:left="0"/>
              <w:rPr>
                <w:rFonts w:ascii="Times New Roman"/>
                <w:sz w:val="18"/>
              </w:rPr>
            </w:pPr>
          </w:p>
          <w:p>
            <w:pPr>
              <w:pStyle w:val="TableParagraph"/>
              <w:spacing w:before="8"/>
              <w:ind w:left="0"/>
              <w:rPr>
                <w:rFonts w:ascii="Times New Roman"/>
                <w:sz w:val="15"/>
              </w:rPr>
            </w:pPr>
          </w:p>
          <w:p>
            <w:pPr>
              <w:pStyle w:val="TableParagraph"/>
              <w:spacing w:before="0"/>
              <w:rPr>
                <w:sz w:val="18"/>
              </w:rPr>
            </w:pPr>
            <w:r>
              <w:rPr>
                <w:sz w:val="18"/>
              </w:rPr>
              <w:t>22.语言能力丧失-三岁始理赔；</w:t>
            </w:r>
          </w:p>
          <w:p>
            <w:pPr>
              <w:pStyle w:val="TableParagraph"/>
              <w:spacing w:before="0"/>
              <w:ind w:left="0"/>
              <w:rPr>
                <w:rFonts w:ascii="Times New Roman"/>
                <w:sz w:val="18"/>
              </w:rPr>
            </w:pPr>
          </w:p>
          <w:p>
            <w:pPr>
              <w:pStyle w:val="TableParagraph"/>
              <w:spacing w:before="8"/>
              <w:ind w:left="0"/>
              <w:rPr>
                <w:rFonts w:ascii="Times New Roman"/>
                <w:sz w:val="15"/>
              </w:rPr>
            </w:pPr>
          </w:p>
          <w:p>
            <w:pPr>
              <w:pStyle w:val="TableParagraph"/>
              <w:spacing w:before="0"/>
              <w:rPr>
                <w:sz w:val="18"/>
              </w:rPr>
            </w:pPr>
            <w:r>
              <w:rPr>
                <w:sz w:val="18"/>
              </w:rPr>
              <w:t>26.严重多发性硬化；</w:t>
            </w:r>
          </w:p>
        </w:tc>
      </w:tr>
    </w:tbl>
    <w:sectPr>
      <w:pgSz w:w="11910" w:h="16840"/>
      <w:pgMar w:header="872" w:footer="998" w:top="1100" w:bottom="1180" w:left="1660" w:right="8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黑体">
    <w:altName w:val="黑体"/>
    <w:charset w:val="86"/>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rPr>
        <w:sz w:val="20"/>
      </w:rPr>
    </w:pPr>
    <w:r>
      <w:rPr/>
      <w:pict>
        <v:shape style="position:absolute;margin-left:291.159698pt;margin-top:781.119568pt;width:13pt;height:12pt;mso-position-horizontal-relative:page;mso-position-vertical-relative:page;z-index:-19744"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rPr>
        <w:sz w:val="20"/>
      </w:rPr>
    </w:pPr>
    <w:r>
      <w:rPr/>
      <w:pict>
        <v:line style="position:absolute;mso-position-horizontal-relative:page;mso-position-vertical-relative:page;z-index:-19816" from="88.5pt,55.619984pt" to="506.82pt,55.619984pt" stroked="true" strokeweight=".72003pt" strokecolor="#000000">
          <v:stroke dashstyle="solid"/>
          <w10:wrap type="none"/>
        </v:line>
      </w:pict>
    </w:r>
    <w:r>
      <w:rPr/>
      <w:pict>
        <v:shapetype id="_x0000_t202" o:spt="202" coordsize="21600,21600" path="m,l,21600r21600,l21600,xe">
          <v:stroke joinstyle="miter"/>
          <v:path gradientshapeok="t" o:connecttype="rect"/>
        </v:shapetype>
        <v:shape style="position:absolute;margin-left:89pt;margin-top:42.579681pt;width:169.85pt;height:12pt;mso-position-horizontal-relative:page;mso-position-vertical-relative:page;z-index:-19792" type="#_x0000_t202" filled="false" stroked="false">
          <v:textbox inset="0,0,0,0">
            <w:txbxContent>
              <w:p>
                <w:pPr>
                  <w:spacing w:line="219" w:lineRule="exact" w:before="0"/>
                  <w:ind w:left="20" w:right="0" w:firstLine="0"/>
                  <w:jc w:val="left"/>
                  <w:rPr>
                    <w:sz w:val="18"/>
                  </w:rPr>
                </w:pPr>
                <w:r>
                  <w:rPr>
                    <w:spacing w:val="-2"/>
                    <w:sz w:val="18"/>
                  </w:rPr>
                  <w:t>华夏附加鎏金宝重大疾病保险</w:t>
                </w:r>
                <w:r>
                  <w:rPr>
                    <w:sz w:val="18"/>
                  </w:rPr>
                  <w:t>（</w:t>
                </w:r>
                <w:r>
                  <w:rPr>
                    <w:rFonts w:ascii="Times New Roman" w:eastAsia="Times New Roman"/>
                    <w:sz w:val="18"/>
                  </w:rPr>
                  <w:t>B </w:t>
                </w:r>
                <w:r>
                  <w:rPr>
                    <w:sz w:val="18"/>
                  </w:rPr>
                  <w:t>款</w:t>
                </w:r>
                <w:r>
                  <w:rPr>
                    <w:spacing w:val="-24"/>
                    <w:sz w:val="18"/>
                  </w:rPr>
                  <w:t>）</w:t>
                </w:r>
                <w:r>
                  <w:rPr>
                    <w:sz w:val="18"/>
                  </w:rPr>
                  <w:t>条款</w:t>
                </w:r>
              </w:p>
            </w:txbxContent>
          </v:textbox>
          <w10:wrap type="none"/>
        </v:shape>
      </w:pict>
    </w:r>
    <w:r>
      <w:rPr/>
      <w:pict>
        <v:shape style="position:absolute;margin-left:342.320313pt;margin-top:42.865326pt;width:164pt;height:11pt;mso-position-horizontal-relative:page;mso-position-vertical-relative:page;z-index:-19768" type="#_x0000_t202" filled="false" stroked="false">
          <v:textbox inset="0,0,0,0">
            <w:txbxContent>
              <w:p>
                <w:pPr>
                  <w:spacing w:line="200" w:lineRule="exact" w:before="0"/>
                  <w:ind w:left="20" w:right="0" w:firstLine="0"/>
                  <w:jc w:val="left"/>
                  <w:rPr>
                    <w:sz w:val="18"/>
                  </w:rPr>
                </w:pPr>
                <w:r>
                  <w:rPr>
                    <w:sz w:val="18"/>
                  </w:rPr>
                  <w:t>华夏人寿保险股份有限公司产品备案材料</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upperRoman"/>
      <w:lvlText w:val="%1"/>
      <w:lvlJc w:val="left"/>
      <w:pPr>
        <w:ind w:left="377" w:hanging="211"/>
        <w:jc w:val="left"/>
      </w:pPr>
      <w:rPr>
        <w:rFonts w:hint="default" w:ascii="宋体" w:hAnsi="宋体" w:eastAsia="宋体" w:cs="宋体"/>
        <w:spacing w:val="-2"/>
        <w:w w:val="100"/>
        <w:sz w:val="21"/>
        <w:szCs w:val="21"/>
      </w:rPr>
    </w:lvl>
    <w:lvl w:ilvl="1">
      <w:start w:val="0"/>
      <w:numFmt w:val="bullet"/>
      <w:lvlText w:val="•"/>
      <w:lvlJc w:val="left"/>
      <w:pPr>
        <w:ind w:left="940" w:hanging="211"/>
      </w:pPr>
      <w:rPr>
        <w:rFonts w:hint="default"/>
      </w:rPr>
    </w:lvl>
    <w:lvl w:ilvl="2">
      <w:start w:val="0"/>
      <w:numFmt w:val="bullet"/>
      <w:lvlText w:val="•"/>
      <w:lvlJc w:val="left"/>
      <w:pPr>
        <w:ind w:left="1500" w:hanging="211"/>
      </w:pPr>
      <w:rPr>
        <w:rFonts w:hint="default"/>
      </w:rPr>
    </w:lvl>
    <w:lvl w:ilvl="3">
      <w:start w:val="0"/>
      <w:numFmt w:val="bullet"/>
      <w:lvlText w:val="•"/>
      <w:lvlJc w:val="left"/>
      <w:pPr>
        <w:ind w:left="2061" w:hanging="211"/>
      </w:pPr>
      <w:rPr>
        <w:rFonts w:hint="default"/>
      </w:rPr>
    </w:lvl>
    <w:lvl w:ilvl="4">
      <w:start w:val="0"/>
      <w:numFmt w:val="bullet"/>
      <w:lvlText w:val="•"/>
      <w:lvlJc w:val="left"/>
      <w:pPr>
        <w:ind w:left="2621" w:hanging="211"/>
      </w:pPr>
      <w:rPr>
        <w:rFonts w:hint="default"/>
      </w:rPr>
    </w:lvl>
    <w:lvl w:ilvl="5">
      <w:start w:val="0"/>
      <w:numFmt w:val="bullet"/>
      <w:lvlText w:val="•"/>
      <w:lvlJc w:val="left"/>
      <w:pPr>
        <w:ind w:left="3181" w:hanging="211"/>
      </w:pPr>
      <w:rPr>
        <w:rFonts w:hint="default"/>
      </w:rPr>
    </w:lvl>
    <w:lvl w:ilvl="6">
      <w:start w:val="0"/>
      <w:numFmt w:val="bullet"/>
      <w:lvlText w:val="•"/>
      <w:lvlJc w:val="left"/>
      <w:pPr>
        <w:ind w:left="3742" w:hanging="211"/>
      </w:pPr>
      <w:rPr>
        <w:rFonts w:hint="default"/>
      </w:rPr>
    </w:lvl>
    <w:lvl w:ilvl="7">
      <w:start w:val="0"/>
      <w:numFmt w:val="bullet"/>
      <w:lvlText w:val="•"/>
      <w:lvlJc w:val="left"/>
      <w:pPr>
        <w:ind w:left="4302" w:hanging="211"/>
      </w:pPr>
      <w:rPr>
        <w:rFonts w:hint="default"/>
      </w:rPr>
    </w:lvl>
    <w:lvl w:ilvl="8">
      <w:start w:val="0"/>
      <w:numFmt w:val="bullet"/>
      <w:lvlText w:val="•"/>
      <w:lvlJc w:val="left"/>
      <w:pPr>
        <w:ind w:left="4863" w:hanging="211"/>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TOC1" w:type="paragraph">
    <w:name w:val="TOC 1"/>
    <w:basedOn w:val="Normal"/>
    <w:uiPriority w:val="1"/>
    <w:qFormat/>
    <w:pPr>
      <w:spacing w:before="36"/>
      <w:ind w:left="139"/>
    </w:pPr>
    <w:rPr>
      <w:rFonts w:ascii="黑体" w:hAnsi="黑体" w:eastAsia="黑体" w:cs="黑体"/>
      <w:sz w:val="21"/>
      <w:szCs w:val="21"/>
    </w:rPr>
  </w:style>
  <w:style w:styleId="TOC2" w:type="paragraph">
    <w:name w:val="TOC 2"/>
    <w:basedOn w:val="Normal"/>
    <w:uiPriority w:val="1"/>
    <w:qFormat/>
    <w:pPr>
      <w:spacing w:before="98"/>
      <w:ind w:left="140"/>
    </w:pPr>
    <w:rPr>
      <w:rFonts w:ascii="黑体" w:hAnsi="黑体" w:eastAsia="黑体" w:cs="黑体"/>
      <w:sz w:val="21"/>
      <w:szCs w:val="21"/>
    </w:rPr>
  </w:style>
  <w:style w:styleId="TOC3" w:type="paragraph">
    <w:name w:val="TOC 3"/>
    <w:basedOn w:val="Normal"/>
    <w:uiPriority w:val="1"/>
    <w:qFormat/>
    <w:pPr>
      <w:spacing w:before="36"/>
      <w:ind w:left="559"/>
    </w:pPr>
    <w:rPr>
      <w:rFonts w:ascii="宋体" w:hAnsi="宋体" w:eastAsia="宋体" w:cs="宋体"/>
      <w:sz w:val="21"/>
      <w:szCs w:val="21"/>
    </w:rPr>
  </w:style>
  <w:style w:styleId="BodyText" w:type="paragraph">
    <w:name w:val="Body Text"/>
    <w:basedOn w:val="Normal"/>
    <w:uiPriority w:val="1"/>
    <w:qFormat/>
    <w:pPr>
      <w:spacing w:before="36"/>
    </w:pPr>
    <w:rPr>
      <w:rFonts w:ascii="宋体" w:hAnsi="宋体" w:eastAsia="宋体" w:cs="宋体"/>
      <w:sz w:val="21"/>
      <w:szCs w:val="21"/>
    </w:rPr>
  </w:style>
  <w:style w:styleId="Heading1" w:type="paragraph">
    <w:name w:val="Heading 1"/>
    <w:basedOn w:val="Normal"/>
    <w:uiPriority w:val="1"/>
    <w:qFormat/>
    <w:pPr>
      <w:spacing w:before="26"/>
      <w:ind w:left="1469"/>
      <w:jc w:val="center"/>
      <w:outlineLvl w:val="1"/>
    </w:pPr>
    <w:rPr>
      <w:rFonts w:ascii="宋体" w:hAnsi="宋体" w:eastAsia="宋体" w:cs="宋体"/>
      <w:b/>
      <w:bCs/>
      <w:sz w:val="24"/>
      <w:szCs w:val="24"/>
    </w:rPr>
  </w:style>
  <w:style w:styleId="Heading2" w:type="paragraph">
    <w:name w:val="Heading 2"/>
    <w:basedOn w:val="Normal"/>
    <w:uiPriority w:val="1"/>
    <w:qFormat/>
    <w:pPr>
      <w:ind w:left="2"/>
      <w:jc w:val="center"/>
      <w:outlineLvl w:val="2"/>
    </w:pPr>
    <w:rPr>
      <w:rFonts w:ascii="黑体" w:hAnsi="黑体" w:eastAsia="黑体" w:cs="黑体"/>
      <w:sz w:val="24"/>
      <w:szCs w:val="24"/>
    </w:rPr>
  </w:style>
  <w:style w:styleId="Heading3" w:type="paragraph">
    <w:name w:val="Heading 3"/>
    <w:basedOn w:val="Normal"/>
    <w:uiPriority w:val="1"/>
    <w:qFormat/>
    <w:pPr>
      <w:ind w:left="140"/>
      <w:outlineLvl w:val="3"/>
    </w:pPr>
    <w:rPr>
      <w:rFonts w:ascii="宋体" w:hAnsi="宋体" w:eastAsia="宋体" w:cs="宋体"/>
      <w:b/>
      <w:bCs/>
      <w:sz w:val="21"/>
      <w:szCs w:val="21"/>
    </w:rPr>
  </w:style>
  <w:style w:styleId="ListParagraph" w:type="paragraph">
    <w:name w:val="List Paragraph"/>
    <w:basedOn w:val="Normal"/>
    <w:uiPriority w:val="1"/>
    <w:qFormat/>
    <w:pPr>
      <w:spacing w:before="37"/>
      <w:ind w:left="377" w:hanging="315"/>
      <w:jc w:val="both"/>
    </w:pPr>
    <w:rPr>
      <w:rFonts w:ascii="宋体" w:hAnsi="宋体" w:eastAsia="宋体" w:cs="宋体"/>
    </w:rPr>
  </w:style>
  <w:style w:styleId="TableParagraph" w:type="paragraph">
    <w:name w:val="Table Paragraph"/>
    <w:basedOn w:val="Normal"/>
    <w:uiPriority w:val="1"/>
    <w:qFormat/>
    <w:pPr>
      <w:spacing w:before="109"/>
      <w:ind w:left="102"/>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1.png"/><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wangxingyi</dc:creator>
  <dc:title>&lt;4D6963726F736F667420576F7264202D20323031325F303135BBAACFC4B8BDBCD3F6CCBDF0B1A6D6D8B4F3BCB2B2A1B1A3CFD5A3A842BFEEA3A9CCF5BFEE&gt;</dc:title>
  <dcterms:created xsi:type="dcterms:W3CDTF">2018-10-19T22:22:56Z</dcterms:created>
  <dcterms:modified xsi:type="dcterms:W3CDTF">2018-10-19T22:22:56Z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2014-05-12T00:00:00Z</vt:filetime>
  </property>
  <property fmtid="{D5CDD505-2E9C-101B-9397-08002B2CF9AE}" pid="3" name="Creator">
    <vt:lpwstr>PScript5.dll Version 5.2.2</vt:lpwstr>
  </property>
  <property fmtid="{D5CDD505-2E9C-101B-9397-08002B2CF9AE}" pid="4" name="LastSaved">
    <vt:filetime>2018-10-19T00:00:00Z</vt:filetime>
  </property>
</Properties>
</file>