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529"/>
        <w:rPr>
          <w:rFonts w:ascii="Times New Roman"/>
          <w:sz w:val="20"/>
        </w:rPr>
      </w:pPr>
      <w:r>
        <w:rPr>
          <w:rFonts w:ascii="Times New Roman"/>
          <w:sz w:val="20"/>
        </w:rPr>
        <w:pict>
          <v:group style="width:173.35pt;height:99pt;mso-position-horizontal-relative:char;mso-position-vertical-relative:line" coordorigin="0,0" coordsize="3467,1980">
            <v:rect style="position:absolute;left:0;top:0;width:3467;height:1980" filled="true" fillcolor="#ffffff" stroked="false">
              <v:fill type="solid"/>
            </v:rect>
            <v:shape style="position:absolute;left:1159;top:436;width:1145;height:1144" type="#_x0000_t75" stroked="false">
              <v:imagedata r:id="rId6" o:title=""/>
            </v:shape>
            <v:shape style="position:absolute;left:157;top:121;width:3170;height:210" type="#_x0000_t202" filled="false" stroked="false">
              <v:textbox inset="0,0,0,0">
                <w:txbxContent>
                  <w:p>
                    <w:pPr>
                      <w:spacing w:line="210" w:lineRule="exact" w:before="0"/>
                      <w:ind w:left="0" w:right="0" w:firstLine="0"/>
                      <w:jc w:val="left"/>
                      <w:rPr>
                        <w:sz w:val="21"/>
                      </w:rPr>
                    </w:pPr>
                    <w:bookmarkStart w:name="100_国寿康宁定期重大疾病保险（2013版）利益条款" w:id="1"/>
                    <w:bookmarkEnd w:id="1"/>
                    <w:r>
                      <w:rPr/>
                    </w:r>
                    <w:r>
                      <w:rPr>
                        <w:sz w:val="21"/>
                      </w:rPr>
                      <w:t>中国人寿〔2013</w:t>
                    </w:r>
                    <w:r>
                      <w:rPr>
                        <w:spacing w:val="-11"/>
                        <w:sz w:val="21"/>
                      </w:rPr>
                      <w:t>〕疾病保险 </w:t>
                    </w:r>
                    <w:r>
                      <w:rPr>
                        <w:sz w:val="21"/>
                      </w:rPr>
                      <w:t>036</w:t>
                    </w:r>
                    <w:r>
                      <w:rPr>
                        <w:spacing w:val="-30"/>
                        <w:sz w:val="21"/>
                      </w:rPr>
                      <w:t> 号</w:t>
                    </w:r>
                  </w:p>
                </w:txbxContent>
              </v:textbox>
              <w10:wrap type="none"/>
            </v:shape>
            <v:shape style="position:absolute;left:681;top:1681;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v:group>
        </w:pict>
      </w:r>
      <w:r>
        <w:rPr>
          <w:rFonts w:ascii="Times New Roman"/>
          <w:sz w:val="20"/>
        </w:rPr>
      </w:r>
    </w:p>
    <w:p>
      <w:pPr>
        <w:pStyle w:val="Heading1"/>
      </w:pPr>
      <w:r>
        <w:rPr/>
        <w:t>中国人寿保险股份有限公司</w:t>
      </w:r>
    </w:p>
    <w:p>
      <w:pPr>
        <w:pStyle w:val="Heading2"/>
        <w:spacing w:line="397" w:lineRule="exact"/>
      </w:pPr>
      <w:r>
        <w:rPr/>
        <w:t>国寿康宁定期重大疾病保险（</w:t>
      </w:r>
      <w:r>
        <w:rPr>
          <w:rFonts w:ascii="Times New Roman" w:eastAsia="Times New Roman"/>
        </w:rPr>
        <w:t>2013 </w:t>
      </w:r>
      <w:r>
        <w:rPr/>
        <w:t>版）利益条款</w:t>
      </w:r>
    </w:p>
    <w:p>
      <w:pPr>
        <w:pStyle w:val="BodyText"/>
        <w:ind w:left="0"/>
        <w:rPr>
          <w:b/>
          <w:sz w:val="25"/>
        </w:rPr>
      </w:pPr>
    </w:p>
    <w:p>
      <w:pPr>
        <w:pStyle w:val="Heading3"/>
        <w:tabs>
          <w:tab w:pos="946" w:val="left" w:leader="none"/>
        </w:tabs>
      </w:pPr>
      <w:r>
        <w:rPr/>
        <w:t>第一条</w:t>
        <w:tab/>
        <w:t>保险合同构成</w:t>
      </w:r>
    </w:p>
    <w:p>
      <w:pPr>
        <w:pStyle w:val="BodyText"/>
        <w:spacing w:line="273" w:lineRule="auto" w:before="17"/>
        <w:ind w:right="1391" w:firstLine="420"/>
        <w:jc w:val="both"/>
      </w:pPr>
      <w:r>
        <w:rPr/>
        <w:t>国寿康宁定期重大疾病保险（2013版）合同（以下简称本合同）由保险单及所附国寿康宁定期重大疾病保险（2013版）利益条款（以下简称本合同利益条款）、个人保险基本条款（以下简称本合同基本条款）、现金价值表、声明、批注、批单以及与本合同有关的投保单、复效申请书、健康声明书和其他书面协议共同构成。</w:t>
      </w:r>
    </w:p>
    <w:p>
      <w:pPr>
        <w:pStyle w:val="BodyText"/>
        <w:spacing w:before="12"/>
        <w:ind w:left="0"/>
        <w:rPr>
          <w:sz w:val="24"/>
        </w:rPr>
      </w:pPr>
    </w:p>
    <w:p>
      <w:pPr>
        <w:pStyle w:val="Heading3"/>
        <w:tabs>
          <w:tab w:pos="946" w:val="left" w:leader="none"/>
        </w:tabs>
      </w:pPr>
      <w:r>
        <w:rPr/>
        <w:t>第二条</w:t>
        <w:tab/>
        <w:t>投保范围</w:t>
      </w:r>
    </w:p>
    <w:p>
      <w:pPr>
        <w:pStyle w:val="BodyText"/>
        <w:spacing w:line="273" w:lineRule="auto" w:before="17"/>
        <w:ind w:right="1391" w:firstLine="420"/>
      </w:pPr>
      <w:r>
        <w:rPr/>
        <w:t>凡十八周岁以上、五十周岁以下，身体健康者均可作为被保险人，由本人或对其具有保险利益的人作为投保人向本公司投保本保险。</w:t>
      </w:r>
    </w:p>
    <w:p>
      <w:pPr>
        <w:pStyle w:val="BodyText"/>
        <w:spacing w:before="13"/>
        <w:ind w:left="0"/>
        <w:rPr>
          <w:sz w:val="24"/>
        </w:rPr>
      </w:pPr>
    </w:p>
    <w:p>
      <w:pPr>
        <w:pStyle w:val="Heading3"/>
        <w:tabs>
          <w:tab w:pos="946" w:val="left" w:leader="none"/>
        </w:tabs>
      </w:pPr>
      <w:r>
        <w:rPr/>
        <w:t>第三条</w:t>
        <w:tab/>
        <w:t>保险期间</w:t>
      </w:r>
    </w:p>
    <w:p>
      <w:pPr>
        <w:pStyle w:val="BodyText"/>
        <w:spacing w:line="273" w:lineRule="auto" w:before="18"/>
        <w:ind w:right="1169" w:firstLine="420"/>
      </w:pPr>
      <w:r>
        <w:rPr/>
        <w:t>保险期间分为十年和二十年两种，投保人在投保时可选择其中一种作为本合同的保险期间， 但保险期间届满时被保险人的年龄不得超过六十周岁。</w:t>
      </w:r>
    </w:p>
    <w:p>
      <w:pPr>
        <w:pStyle w:val="BodyText"/>
        <w:ind w:left="0"/>
        <w:rPr>
          <w:sz w:val="25"/>
        </w:rPr>
      </w:pPr>
    </w:p>
    <w:p>
      <w:pPr>
        <w:pStyle w:val="Heading3"/>
        <w:tabs>
          <w:tab w:pos="946" w:val="left" w:leader="none"/>
        </w:tabs>
      </w:pPr>
      <w:r>
        <w:rPr/>
        <w:t>第四条</w:t>
        <w:tab/>
        <w:t>基本保险金额</w:t>
      </w:r>
    </w:p>
    <w:p>
      <w:pPr>
        <w:pStyle w:val="BodyText"/>
        <w:spacing w:line="273" w:lineRule="auto" w:before="17"/>
        <w:ind w:right="1391" w:firstLine="420"/>
      </w:pPr>
      <w:r>
        <w:rPr/>
        <w:t>本合同的基本保险金额是指保险单上载明的保险金额。本合同的基本保险金额按份计算， 每份为人民币100,000元。</w:t>
      </w:r>
    </w:p>
    <w:p>
      <w:pPr>
        <w:pStyle w:val="BodyText"/>
        <w:spacing w:before="12"/>
        <w:ind w:left="0"/>
        <w:rPr>
          <w:sz w:val="24"/>
        </w:rPr>
      </w:pPr>
    </w:p>
    <w:p>
      <w:pPr>
        <w:pStyle w:val="Heading3"/>
        <w:tabs>
          <w:tab w:pos="946" w:val="left" w:leader="none"/>
        </w:tabs>
      </w:pPr>
      <w:r>
        <w:rPr/>
        <w:t>第五条</w:t>
        <w:tab/>
        <w:t>重大疾病</w:t>
      </w:r>
    </w:p>
    <w:p>
      <w:pPr>
        <w:pStyle w:val="BodyText"/>
        <w:spacing w:line="273" w:lineRule="auto" w:before="17"/>
        <w:ind w:right="1336" w:firstLine="420"/>
        <w:jc w:val="both"/>
      </w:pPr>
      <w:r>
        <w:rPr/>
        <w:t>本合同所指重大疾病，是被保险人发生符合以下定义所述条件的疾病、疾病状态或手术， 共计四十种，其中第一种至第二十五种为中国保险行业协会制定的《重大疾病保险的疾病定义使用规范》中列明的疾病，其他为本公司增加的疾病。重大疾病的名称及定义如下：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133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5"/>
        <w:ind w:left="524" w:right="7046"/>
      </w:pPr>
      <w:r>
        <w:rPr/>
        <w:t>下列疾病不在保障范围内： </w:t>
      </w:r>
      <w:r>
        <w:rPr>
          <w:w w:val="95"/>
        </w:rPr>
        <w:t>1．原位癌；</w:t>
      </w:r>
    </w:p>
    <w:p>
      <w:pPr>
        <w:spacing w:before="6"/>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33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6"/>
        <w:ind w:left="522"/>
      </w:pPr>
      <w:r>
        <w:rPr/>
        <w:t>2．新近的心电图改变提示急性心肌梗塞；</w:t>
      </w:r>
    </w:p>
    <w:p>
      <w:pPr>
        <w:pStyle w:val="BodyText"/>
        <w:spacing w:before="36"/>
        <w:ind w:left="522"/>
      </w:pPr>
      <w:r>
        <w:rPr/>
        <w:t>3．心肌酶或肌钙蛋白有诊断意义的升高，或呈符合急性心肌梗塞的动态性变化；</w:t>
      </w:r>
    </w:p>
    <w:p>
      <w:pPr>
        <w:pStyle w:val="BodyText"/>
        <w:spacing w:before="36"/>
        <w:ind w:left="522"/>
      </w:pPr>
      <w:r>
        <w:rPr/>
        <w:t>4．发病90天后，经检查证实左心室功能降低，如左心室射血分数低于50%。</w:t>
      </w:r>
    </w:p>
    <w:p>
      <w:pPr>
        <w:spacing w:after="0"/>
        <w:sectPr>
          <w:footerReference w:type="default" r:id="rId5"/>
          <w:type w:val="continuous"/>
          <w:pgSz w:w="11910" w:h="16840"/>
          <w:pgMar w:footer="940" w:top="440" w:bottom="1120" w:left="1520" w:right="280"/>
        </w:sectPr>
      </w:pPr>
    </w:p>
    <w:p>
      <w:pPr>
        <w:pStyle w:val="BodyText"/>
        <w:spacing w:line="273" w:lineRule="auto" w:before="3"/>
        <w:ind w:right="216" w:firstLine="420"/>
        <w:jc w:val="both"/>
      </w:pPr>
      <w:r>
        <w:rPr/>
        <w:t>三、脑中风后遗症：指因脑血管的突发病变引起脑血管出血、栓塞或梗塞，并导致神经系</w:t>
      </w:r>
      <w:r>
        <w:rPr>
          <w:spacing w:val="-4"/>
        </w:rPr>
        <w:t>统永久性的功能障碍。神经系统永久性的功能障碍，指疾病确诊</w:t>
      </w:r>
      <w:r>
        <w:rPr/>
        <w:t>180</w:t>
      </w:r>
      <w:r>
        <w:rPr>
          <w:spacing w:val="-4"/>
        </w:rPr>
        <w:t>天后，仍遗留下列一种或一种以上障碍：</w:t>
      </w:r>
    </w:p>
    <w:p>
      <w:pPr>
        <w:pStyle w:val="BodyText"/>
        <w:spacing w:before="7"/>
        <w:ind w:left="522"/>
      </w:pPr>
      <w:r>
        <w:rPr/>
        <w:t>1．一肢或一肢以上肢体机能完全丧失（注1）；</w:t>
      </w:r>
    </w:p>
    <w:p>
      <w:pPr>
        <w:pStyle w:val="BodyText"/>
        <w:spacing w:before="37"/>
        <w:ind w:left="522"/>
      </w:pPr>
      <w:r>
        <w:rPr/>
        <w:t>2．语言能力或咀嚼吞咽能力完全丧失（注2）；</w:t>
      </w:r>
    </w:p>
    <w:p>
      <w:pPr>
        <w:pStyle w:val="BodyText"/>
        <w:spacing w:line="273" w:lineRule="auto" w:before="37"/>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61" w:lineRule="auto" w:before="15"/>
        <w:ind w:right="220" w:firstLine="422"/>
      </w:pPr>
      <w:r>
        <w:rPr/>
        <w:t>冠状动脉支架植入术、心导管球囊扩张术、激光射频技术及其它非开胸的介入手术、腔镜手术不在保障范围内。</w:t>
      </w:r>
    </w:p>
    <w:p>
      <w:pPr>
        <w:pStyle w:val="BodyText"/>
        <w:spacing w:line="273" w:lineRule="auto"/>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9"/>
        <w:ind w:left="522"/>
      </w:pPr>
      <w:r>
        <w:rPr/>
        <w:t>七、多个肢体缺失：指因疾病或意外伤害导致两个或两个以上肢体自腕关节或踝关节近端</w:t>
      </w:r>
    </w:p>
    <w:p>
      <w:pPr>
        <w:pStyle w:val="BodyText"/>
        <w:spacing w:before="36"/>
      </w:pPr>
      <w:r>
        <w:rPr/>
        <w:t>（靠近躯干端）以上完全性断离。</w:t>
      </w:r>
    </w:p>
    <w:p>
      <w:pPr>
        <w:pStyle w:val="BodyText"/>
        <w:spacing w:line="273" w:lineRule="auto" w:before="36"/>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spacing w:before="37"/>
        <w:ind w:left="522"/>
      </w:pPr>
      <w:r>
        <w:rPr/>
        <w:t>2．肝性脑病；</w:t>
      </w:r>
    </w:p>
    <w:p>
      <w:pPr>
        <w:pStyle w:val="BodyText"/>
        <w:spacing w:before="37"/>
        <w:ind w:left="522"/>
      </w:pPr>
      <w:r>
        <w:rPr/>
        <w:t>3．B超或其它影像学检查显示肝脏体积急速萎缩；</w:t>
      </w:r>
    </w:p>
    <w:p>
      <w:pPr>
        <w:pStyle w:val="BodyText"/>
        <w:spacing w:before="37"/>
        <w:ind w:left="522"/>
      </w:pPr>
      <w:r>
        <w:rPr/>
        <w:t>4．肝功能指标进行性恶化。</w:t>
      </w:r>
    </w:p>
    <w:p>
      <w:pPr>
        <w:pStyle w:val="BodyText"/>
        <w:spacing w:line="273" w:lineRule="auto" w:before="37"/>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40" w:lineRule="auto" w:before="36" w:after="0"/>
        <w:ind w:left="837" w:right="0" w:hanging="315"/>
        <w:jc w:val="left"/>
        <w:rPr>
          <w:sz w:val="21"/>
        </w:rPr>
      </w:pPr>
      <w:r>
        <w:rPr>
          <w:spacing w:val="-1"/>
          <w:sz w:val="21"/>
        </w:rPr>
        <w:t>实际实施了对脑肿瘤进行的放射治疗。</w:t>
      </w:r>
    </w:p>
    <w:p>
      <w:pPr>
        <w:pStyle w:val="Heading3"/>
        <w:spacing w:before="44"/>
        <w:ind w:left="524"/>
      </w:pPr>
      <w:r>
        <w:rPr/>
        <w:t>脑垂体瘤、脑囊肿、脑血管性疾病不在保障范围内。</w:t>
      </w:r>
    </w:p>
    <w:p>
      <w:pPr>
        <w:pStyle w:val="BodyText"/>
        <w:spacing w:line="273" w:lineRule="auto" w:before="17"/>
        <w:ind w:left="522" w:right="48"/>
      </w:pPr>
      <w:r>
        <w:rPr/>
        <w:t>十、慢性肝功能衰竭失代偿期：指因慢性肝脏疾病导致肝功能衰竭。须满足下列全部条件： 1．持续性黄疸；</w:t>
      </w:r>
    </w:p>
    <w:p>
      <w:pPr>
        <w:pStyle w:val="BodyText"/>
        <w:spacing w:before="7"/>
        <w:ind w:left="522"/>
      </w:pPr>
      <w:r>
        <w:rPr/>
        <w:t>2．腹水；</w:t>
      </w:r>
    </w:p>
    <w:p>
      <w:pPr>
        <w:pStyle w:val="BodyText"/>
        <w:spacing w:before="37"/>
        <w:ind w:left="522"/>
      </w:pPr>
      <w:r>
        <w:rPr/>
        <w:t>3．肝性脑病；</w:t>
      </w:r>
    </w:p>
    <w:p>
      <w:pPr>
        <w:spacing w:line="278" w:lineRule="auto" w:before="37"/>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22"/>
      </w:pPr>
      <w:r>
        <w:rPr/>
        <w:t>十一、脑炎后遗症或脑膜炎后遗症：指因患脑炎或脑膜炎导致的神经系统永久性的功能障</w:t>
      </w:r>
    </w:p>
    <w:p>
      <w:pPr>
        <w:pStyle w:val="BodyText"/>
        <w:spacing w:before="37"/>
      </w:pPr>
      <w:r>
        <w:rPr/>
        <w:t>碍。神经系统永久性的功能障碍，指疾病确诊180天后，仍遗留下列一种或一种以上障碍：</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before="8"/>
        <w:ind w:left="522"/>
      </w:pPr>
      <w:r>
        <w:rPr/>
        <w:t>十二、深度昏迷：指因疾病或意外伤害导致意识丧失,对外界刺激和体内需求均无反应,昏</w:t>
      </w:r>
    </w:p>
    <w:p>
      <w:pPr>
        <w:spacing w:after="0"/>
        <w:sectPr>
          <w:footerReference w:type="default" r:id="rId7"/>
          <w:pgSz w:w="11910" w:h="16840"/>
          <w:pgMar w:footer="940" w:header="0" w:top="1400" w:bottom="1120" w:left="1520" w:right="1400"/>
        </w:sectPr>
      </w:pPr>
    </w:p>
    <w:p>
      <w:pPr>
        <w:pStyle w:val="BodyText"/>
        <w:spacing w:line="273" w:lineRule="auto" w:before="3"/>
        <w:ind w:right="218"/>
      </w:pPr>
      <w:r>
        <w:rPr/>
        <w:t>迷程度按照格拉斯哥昏迷分级（Glasgow coma scale）结果为5分或5分以下，且已经持续使用呼吸机及其它生命维持系统96小时以上。</w:t>
      </w:r>
    </w:p>
    <w:p>
      <w:pPr>
        <w:pStyle w:val="Heading3"/>
        <w:spacing w:before="15"/>
        <w:ind w:left="524"/>
      </w:pPr>
      <w:r>
        <w:rPr/>
        <w:t>因酗酒或药物滥用导致的深度昏迷不在保障范围内。</w:t>
      </w:r>
    </w:p>
    <w:p>
      <w:pPr>
        <w:pStyle w:val="BodyText"/>
        <w:spacing w:line="264" w:lineRule="auto" w:before="18"/>
        <w:ind w:right="216" w:firstLine="420"/>
        <w:jc w:val="both"/>
      </w:pPr>
      <w:r>
        <w:rPr>
          <w:spacing w:val="-10"/>
        </w:rPr>
        <w:t>十三、</w:t>
      </w:r>
      <w:r>
        <w:rPr>
          <w:rFonts w:ascii="等线" w:eastAsia="等线" w:hint="eastAsia"/>
          <w:b/>
        </w:rPr>
        <w:t>特定年龄</w:t>
      </w:r>
      <w:r>
        <w:rPr>
          <w:spacing w:val="-5"/>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before="16"/>
        <w:ind w:left="522"/>
      </w:pPr>
      <w:r>
        <w:rPr/>
        <w:t>申请理赔时，须提供理赔当时的听力丧失诊断及检查证据。</w:t>
      </w:r>
    </w:p>
    <w:p>
      <w:pPr>
        <w:pStyle w:val="BodyText"/>
        <w:spacing w:line="254" w:lineRule="auto" w:before="37"/>
        <w:ind w:right="155"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24"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视野半径小于5度。</w:t>
      </w:r>
    </w:p>
    <w:p>
      <w:pPr>
        <w:pStyle w:val="BodyText"/>
        <w:spacing w:before="36"/>
        <w:ind w:left="522"/>
      </w:pPr>
      <w:r>
        <w:rPr/>
        <w:t>申请理赔时，须提供理赔当时的视力丧失诊断及检查证据。</w:t>
      </w:r>
    </w:p>
    <w:p>
      <w:pPr>
        <w:pStyle w:val="BodyText"/>
        <w:spacing w:line="273" w:lineRule="auto" w:before="36"/>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7"/>
        <w:ind w:right="216" w:firstLine="420"/>
      </w:pPr>
      <w:r>
        <w:rPr/>
        <w:t>十六、心脏瓣膜手术：指为治疗心脏瓣膜疾病，实际实施了开胸进行的心脏瓣膜置换或修复的手术。</w:t>
      </w:r>
    </w:p>
    <w:p>
      <w:pPr>
        <w:pStyle w:val="BodyText"/>
        <w:spacing w:line="268" w:lineRule="auto" w:before="7"/>
        <w:ind w:right="112" w:firstLine="420"/>
      </w:pPr>
      <w:r>
        <w:rPr/>
        <w:t>十七、</w:t>
      </w:r>
      <w:r>
        <w:rPr>
          <w:rFonts w:ascii="等线" w:eastAsia="等线"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before="19"/>
        <w:ind w:left="524"/>
      </w:pPr>
      <w:r>
        <w:rPr/>
        <w:t>神经官能症和精神疾病不在保障范围内。</w:t>
      </w:r>
    </w:p>
    <w:p>
      <w:pPr>
        <w:pStyle w:val="BodyText"/>
        <w:spacing w:line="266" w:lineRule="auto" w:before="18"/>
        <w:ind w:right="167" w:firstLine="420"/>
        <w:jc w:val="both"/>
      </w:pPr>
      <w:r>
        <w:rPr/>
        <w:t>十八、</w:t>
      </w:r>
      <w:r>
        <w:rPr>
          <w:rFonts w:ascii="等线" w:eastAsia="等线"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14"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54" w:lineRule="auto" w:before="7"/>
        <w:ind w:right="219"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2"/>
      </w:pPr>
      <w:r>
        <w:rPr/>
        <w:t>1．药物治疗无法控制病情；</w:t>
      </w:r>
    </w:p>
    <w:p>
      <w:pPr>
        <w:pStyle w:val="BodyText"/>
        <w:spacing w:line="273" w:lineRule="auto" w:before="37"/>
        <w:ind w:right="216" w:firstLine="420"/>
      </w:pPr>
      <w:r>
        <w:rPr/>
        <w:t>2．自主生活能力完全丧失，无法独立完成六项基本日常生活活动（注3）中的三项或三项以上。</w:t>
      </w:r>
    </w:p>
    <w:p>
      <w:pPr>
        <w:pStyle w:val="Heading3"/>
        <w:spacing w:before="15"/>
        <w:ind w:left="524"/>
      </w:pPr>
      <w:r>
        <w:rPr/>
        <w:t>继发性帕金森综合征不在保障范围内。</w:t>
      </w:r>
    </w:p>
    <w:p>
      <w:pPr>
        <w:pStyle w:val="BodyText"/>
        <w:spacing w:line="254" w:lineRule="auto" w:before="17"/>
        <w:ind w:right="219" w:firstLine="420"/>
      </w:pPr>
      <w:r>
        <w:rPr/>
        <w:t>二十、</w:t>
      </w:r>
      <w:r>
        <w:rPr>
          <w:rFonts w:ascii="等线" w:hAnsi="等线" w:eastAsia="等线" w:hint="eastAsia"/>
          <w:b/>
        </w:rPr>
        <w:t>严重</w:t>
      </w:r>
      <w:r>
        <w:rPr/>
        <w:t>Ⅲ度烧伤：指烧伤程度为Ⅲ度，且Ⅲ度烧伤的面积达到全身体表面积的20％或20％以上。体表面积根据《中国新九分法》计算。</w:t>
      </w:r>
    </w:p>
    <w:p>
      <w:pPr>
        <w:pStyle w:val="BodyText"/>
        <w:spacing w:line="264" w:lineRule="auto" w:before="24"/>
        <w:ind w:right="218" w:firstLine="419"/>
        <w:jc w:val="both"/>
      </w:pPr>
      <w:r>
        <w:rPr/>
        <w:t>二十一、</w:t>
      </w:r>
      <w:r>
        <w:rPr>
          <w:rFonts w:ascii="等线" w:eastAsia="等线"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pStyle w:val="BodyText"/>
        <w:spacing w:before="16"/>
        <w:ind w:left="522"/>
      </w:pPr>
      <w:r>
        <w:rPr/>
        <w:t>二十二、</w:t>
      </w:r>
      <w:r>
        <w:rPr>
          <w:rFonts w:ascii="等线" w:eastAsia="等线" w:hint="eastAsia"/>
          <w:b/>
        </w:rPr>
        <w:t>严重</w:t>
      </w:r>
      <w:r>
        <w:rPr/>
        <w:t>运动神经元病：是一组中枢神经系统运动神经元的进行性变性疾病，包括进</w:t>
      </w:r>
    </w:p>
    <w:p>
      <w:pPr>
        <w:spacing w:after="0"/>
        <w:sectPr>
          <w:footerReference w:type="default" r:id="rId8"/>
          <w:pgSz w:w="11910" w:h="16840"/>
          <w:pgMar w:footer="940" w:header="0" w:top="1400" w:bottom="1120" w:left="1520" w:right="1400"/>
        </w:sectPr>
      </w:pPr>
    </w:p>
    <w:p>
      <w:pPr>
        <w:pStyle w:val="BodyText"/>
        <w:spacing w:line="273" w:lineRule="auto" w:before="3"/>
        <w:ind w:right="165"/>
        <w:jc w:val="right"/>
      </w:pPr>
      <w:r>
        <w:rPr/>
        <w:t>行性脊肌萎缩症、进行性延髓麻痹症、原发性侧索硬化症、肌萎缩性侧索硬化症。须满足自主生活能力完全丧失，无法独立完成六项基本日常生活活动（注3）中的三项或三项以上的条件。二十三、语言能力丧失：指因疾病或意外伤害导致完全丧失语言能力，经过积极治疗至少</w:t>
      </w:r>
    </w:p>
    <w:p>
      <w:pPr>
        <w:spacing w:line="278" w:lineRule="auto" w:before="7"/>
        <w:ind w:left="524" w:right="2055" w:hanging="423"/>
        <w:jc w:val="left"/>
        <w:rPr>
          <w:rFonts w:ascii="等线" w:eastAsia="等线" w:hint="eastAsia"/>
          <w:b/>
          <w:sz w:val="21"/>
        </w:rPr>
      </w:pPr>
      <w:r>
        <w:rPr>
          <w:sz w:val="21"/>
        </w:rPr>
        <w:t>12个月（声带完全切除不受此时间限制</w:t>
      </w:r>
      <w:r>
        <w:rPr>
          <w:spacing w:val="-105"/>
          <w:sz w:val="21"/>
        </w:rPr>
        <w:t>）</w:t>
      </w:r>
      <w:r>
        <w:rPr>
          <w:spacing w:val="-1"/>
          <w:sz w:val="21"/>
        </w:rPr>
        <w:t>，仍无法通过现有医疗手段恢复。</w:t>
      </w:r>
      <w:r>
        <w:rPr>
          <w:rFonts w:ascii="等线" w:eastAsia="等线" w:hint="eastAsia"/>
          <w:b/>
          <w:spacing w:val="-1"/>
          <w:sz w:val="21"/>
        </w:rPr>
        <w:t>精神心理因素所致的语言能力丧失不在保障范围内。</w:t>
      </w:r>
    </w:p>
    <w:p>
      <w:pPr>
        <w:pStyle w:val="BodyText"/>
        <w:spacing w:line="258" w:lineRule="exact"/>
        <w:ind w:left="522"/>
      </w:pPr>
      <w:r>
        <w:rPr/>
        <w:t>二十四、重型再生障碍性贫血：指因骨髓造血功能慢性持续性衰竭导致的贫血、中性粒细</w:t>
      </w:r>
    </w:p>
    <w:p>
      <w:pPr>
        <w:pStyle w:val="BodyText"/>
        <w:spacing w:before="37"/>
      </w:pPr>
      <w:r>
        <w:rPr/>
        <w:t>胞减少及血小板减少。须满足下列全部条件：</w:t>
      </w:r>
    </w:p>
    <w:p>
      <w:pPr>
        <w:pStyle w:val="ListParagraph"/>
        <w:numPr>
          <w:ilvl w:val="0"/>
          <w:numId w:val="5"/>
        </w:numPr>
        <w:tabs>
          <w:tab w:pos="838" w:val="left" w:leader="none"/>
        </w:tabs>
        <w:spacing w:line="240" w:lineRule="auto" w:before="36"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6" w:after="0"/>
        <w:ind w:left="837" w:right="0" w:hanging="315"/>
        <w:jc w:val="left"/>
        <w:rPr>
          <w:sz w:val="21"/>
        </w:rPr>
      </w:pPr>
      <w:r>
        <w:rPr>
          <w:spacing w:val="-1"/>
          <w:sz w:val="21"/>
        </w:rPr>
        <w:t>外周血象须具备以下三项条件：</w:t>
      </w:r>
    </w:p>
    <w:p>
      <w:pPr>
        <w:pStyle w:val="BodyText"/>
        <w:spacing w:before="36"/>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6"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6"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6"/>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15"/>
        <w:ind w:left="524"/>
      </w:pPr>
      <w:r>
        <w:rPr/>
        <w:t>动脉内血管成形术不在保障范围内。</w:t>
      </w:r>
    </w:p>
    <w:p>
      <w:pPr>
        <w:pStyle w:val="BodyText"/>
        <w:spacing w:line="264" w:lineRule="auto" w:before="18"/>
        <w:ind w:right="217" w:firstLine="431"/>
        <w:jc w:val="both"/>
      </w:pPr>
      <w:r>
        <w:rPr/>
        <w:t>二十六、</w:t>
      </w:r>
      <w:r>
        <w:rPr>
          <w:rFonts w:ascii="等线" w:eastAsia="等线" w:hint="eastAsia"/>
          <w:b/>
        </w:rPr>
        <w:t>严重</w:t>
      </w:r>
      <w:r>
        <w:rPr/>
        <w:t>心肌病：指因心肌病导致慢性心功能损害，已经造成永久不可逆（</w:t>
      </w:r>
      <w:r>
        <w:rPr>
          <w:spacing w:val="12"/>
        </w:rPr>
        <w:t>注 </w:t>
      </w:r>
      <w:r>
        <w:rPr/>
        <w:t>4）性</w:t>
      </w:r>
      <w:r>
        <w:rPr>
          <w:spacing w:val="-3"/>
        </w:rPr>
        <w:t>心功能衰竭，达到美国纽约心脏病学会心功能状态分级 </w:t>
      </w:r>
      <w:r>
        <w:rPr/>
        <w:t>IV</w:t>
      </w:r>
      <w:r>
        <w:rPr>
          <w:spacing w:val="-9"/>
        </w:rPr>
        <w:t> 级，须满足永久不可逆</w:t>
      </w:r>
      <w:r>
        <w:rPr/>
        <w:t>（</w:t>
      </w:r>
      <w:r>
        <w:rPr>
          <w:spacing w:val="-32"/>
        </w:rPr>
        <w:t>注 </w:t>
      </w:r>
      <w:r>
        <w:rPr/>
        <w:t>4）性体力活动能力受限、无法从事任何体力活动的条件。</w:t>
      </w:r>
    </w:p>
    <w:p>
      <w:pPr>
        <w:pStyle w:val="BodyText"/>
        <w:spacing w:line="264" w:lineRule="auto" w:before="16"/>
        <w:ind w:right="219" w:firstLine="419"/>
        <w:jc w:val="both"/>
      </w:pPr>
      <w:r>
        <w:rPr/>
        <w:t>二十七、</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16"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7"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73" w:lineRule="auto" w:before="7" w:after="0"/>
        <w:ind w:left="522" w:right="165" w:firstLine="0"/>
        <w:jc w:val="left"/>
        <w:rPr>
          <w:sz w:val="21"/>
        </w:rPr>
      </w:pPr>
      <w:r>
        <w:rPr>
          <w:spacing w:val="-1"/>
          <w:sz w:val="21"/>
        </w:rPr>
        <w:t>症状缓解、复发及恶化的交替出现，临床接受新斯的明等抗胆碱酯酶药物治疗的病史。二十八、</w:t>
      </w:r>
      <w:r>
        <w:rPr>
          <w:rFonts w:ascii="等线" w:eastAsia="等线" w:hint="eastAsia"/>
          <w:b/>
          <w:spacing w:val="-1"/>
          <w:sz w:val="21"/>
        </w:rPr>
        <w:t>严重</w:t>
      </w:r>
      <w:r>
        <w:rPr>
          <w:spacing w:val="-1"/>
          <w:sz w:val="21"/>
        </w:rPr>
        <w:t>多发性硬化症：指因中枢神经系统脱髓鞘疾病，导致不可逆的运动或感觉功</w:t>
      </w:r>
    </w:p>
    <w:p>
      <w:pPr>
        <w:pStyle w:val="BodyText"/>
        <w:spacing w:line="261" w:lineRule="exact"/>
      </w:pPr>
      <w:r>
        <w:rPr/>
        <w:t>能障碍，临床表现为视力受损、截瘫、平衡失调、构音障碍、大小便机能失调等症状。不可逆</w:t>
      </w:r>
    </w:p>
    <w:p>
      <w:pPr>
        <w:pStyle w:val="BodyText"/>
        <w:spacing w:line="273" w:lineRule="auto" w:before="38"/>
        <w:ind w:right="112"/>
      </w:pP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8"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7"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40" w:lineRule="auto" w:before="37" w:after="0"/>
        <w:ind w:left="837" w:right="0" w:hanging="315"/>
        <w:jc w:val="left"/>
        <w:rPr>
          <w:sz w:val="21"/>
        </w:rPr>
      </w:pPr>
      <w:r>
        <w:rPr>
          <w:spacing w:val="-1"/>
          <w:sz w:val="21"/>
        </w:rPr>
        <w:t>上述临床症状反复发作、恶化及神经损伤的病史纪录。</w:t>
      </w:r>
    </w:p>
    <w:p>
      <w:pPr>
        <w:pStyle w:val="BodyText"/>
        <w:spacing w:line="264" w:lineRule="auto" w:before="37"/>
        <w:ind w:right="219" w:firstLine="419"/>
        <w:jc w:val="both"/>
      </w:pPr>
      <w:r>
        <w:rPr/>
        <w:t>二十九、</w:t>
      </w:r>
      <w:r>
        <w:rPr>
          <w:rFonts w:ascii="等线" w:eastAsia="等线" w:hint="eastAsia"/>
          <w:b/>
        </w:rPr>
        <w:t>严重</w:t>
      </w:r>
      <w:r>
        <w:rPr/>
        <w:t>脊髓灰质炎：指由脊髓灰质炎病毒感染所导致的运动功能障碍或呼吸功能减弱持续三个月以上，须导致一肢或一肢以上肢体机能永久完全丧失。肢体机能永久完全丧失， 指疾病确诊 180 天后，每肢三大关节中的两大关节仍然完全僵硬，或不能随意识活动。</w:t>
      </w:r>
    </w:p>
    <w:p>
      <w:pPr>
        <w:pStyle w:val="BodyText"/>
        <w:spacing w:line="268" w:lineRule="auto" w:before="16"/>
        <w:ind w:right="112" w:firstLine="420"/>
      </w:pPr>
      <w:r>
        <w:rPr>
          <w:spacing w:val="-6"/>
        </w:rPr>
        <w:t>三十、</w:t>
      </w:r>
      <w:r>
        <w:rPr>
          <w:rFonts w:ascii="等线" w:eastAsia="等线" w:hint="eastAsia"/>
          <w:b/>
        </w:rPr>
        <w:t>严重</w:t>
      </w:r>
      <w:r>
        <w:rPr>
          <w:spacing w:val="-4"/>
        </w:rPr>
        <w:t>类风湿性关节炎：指广泛分布的慢性进行性多关节病变，表现为关节严重变形， 侵犯至少三个主要关节（腕关节、肘关节、肩关节、踝关节、膝关节、髋关节）或关节组（如</w:t>
      </w:r>
      <w:r>
        <w:rPr>
          <w:spacing w:val="-7"/>
        </w:rPr>
        <w:t>手的多个指间、掌指关节，足的多个足趾、跖趾关节等</w:t>
      </w:r>
      <w:r>
        <w:rPr>
          <w:spacing w:val="-105"/>
        </w:rPr>
        <w:t>）</w:t>
      </w:r>
      <w:r>
        <w:rPr>
          <w:spacing w:val="-4"/>
        </w:rPr>
        <w:t>。类风湿性关节炎须明确诊断，并已达</w:t>
      </w:r>
      <w:r>
        <w:rPr>
          <w:spacing w:val="-9"/>
        </w:rPr>
        <w:t>到类风湿性关节炎功能分类 </w:t>
      </w:r>
      <w:r>
        <w:rPr/>
        <w:t>IV</w:t>
      </w:r>
      <w:r>
        <w:rPr>
          <w:spacing w:val="-8"/>
        </w:rPr>
        <w:t> 级的永久不可逆</w:t>
      </w:r>
      <w:r>
        <w:rPr/>
        <w:t>（</w:t>
      </w:r>
      <w:r>
        <w:rPr>
          <w:spacing w:val="-30"/>
        </w:rPr>
        <w:t>注 </w:t>
      </w:r>
      <w:r>
        <w:rPr/>
        <w:t>4）性关节功能障碍，且须满足下列全部条件：</w:t>
      </w:r>
    </w:p>
    <w:p>
      <w:pPr>
        <w:pStyle w:val="ListParagraph"/>
        <w:numPr>
          <w:ilvl w:val="0"/>
          <w:numId w:val="9"/>
        </w:numPr>
        <w:tabs>
          <w:tab w:pos="838" w:val="left" w:leader="none"/>
        </w:tabs>
        <w:spacing w:line="240" w:lineRule="auto" w:before="12" w:after="0"/>
        <w:ind w:left="837" w:right="0" w:hanging="315"/>
        <w:jc w:val="left"/>
        <w:rPr>
          <w:sz w:val="21"/>
        </w:rPr>
      </w:pPr>
      <w:r>
        <w:rPr>
          <w:spacing w:val="-1"/>
          <w:sz w:val="21"/>
        </w:rPr>
        <w:t>晨僵；</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对称性关节炎；</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类风湿性皮下结节；</w:t>
      </w:r>
    </w:p>
    <w:p>
      <w:pPr>
        <w:spacing w:after="0" w:line="240" w:lineRule="auto"/>
        <w:jc w:val="left"/>
        <w:rPr>
          <w:sz w:val="21"/>
        </w:rPr>
        <w:sectPr>
          <w:footerReference w:type="default" r:id="rId9"/>
          <w:pgSz w:w="11910" w:h="16840"/>
          <w:pgMar w:footer="940" w:header="0" w:top="1400" w:bottom="1120" w:left="1520" w:right="1400"/>
        </w:sectPr>
      </w:pPr>
    </w:p>
    <w:p>
      <w:pPr>
        <w:pStyle w:val="ListParagraph"/>
        <w:numPr>
          <w:ilvl w:val="0"/>
          <w:numId w:val="9"/>
        </w:numPr>
        <w:tabs>
          <w:tab w:pos="838" w:val="left" w:leader="none"/>
        </w:tabs>
        <w:spacing w:line="240" w:lineRule="auto" w:before="3" w:after="0"/>
        <w:ind w:left="837" w:right="0" w:hanging="315"/>
        <w:jc w:val="left"/>
        <w:rPr>
          <w:sz w:val="21"/>
        </w:rPr>
      </w:pPr>
      <w:r>
        <w:rPr>
          <w:spacing w:val="-1"/>
          <w:sz w:val="21"/>
        </w:rPr>
        <w:t>类风湿因子滴度升高；</w:t>
      </w:r>
    </w:p>
    <w:p>
      <w:pPr>
        <w:pStyle w:val="ListParagraph"/>
        <w:numPr>
          <w:ilvl w:val="0"/>
          <w:numId w:val="9"/>
        </w:numPr>
        <w:tabs>
          <w:tab w:pos="838" w:val="left" w:leader="none"/>
        </w:tabs>
        <w:spacing w:line="240" w:lineRule="auto" w:before="36" w:after="0"/>
        <w:ind w:left="837"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6"/>
        <w:ind w:right="118" w:firstLine="419"/>
        <w:jc w:val="both"/>
      </w:pPr>
      <w:r>
        <w:rPr/>
        <w:t>三十一、</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w:t>
      </w:r>
      <w:r>
        <w:rPr>
          <w:spacing w:val="-1"/>
        </w:rPr>
        <w:t>肾脏，造成肾功能损伤。须由肾脏病理学检查结果证实或经临床确诊，并符合下列 </w:t>
      </w:r>
      <w:r>
        <w:rPr/>
        <w:t>WHO</w:t>
      </w:r>
      <w:r>
        <w:rPr>
          <w:spacing w:val="-8"/>
        </w:rPr>
        <w:t> 诊断标准定义的Ⅲ型至Ⅴ型狼疮性肾炎。</w:t>
      </w:r>
    </w:p>
    <w:p>
      <w:pPr>
        <w:pStyle w:val="BodyText"/>
        <w:spacing w:before="13"/>
        <w:ind w:left="522"/>
      </w:pPr>
      <w:r>
        <w:rPr/>
        <w:t>世界卫生组织（WHO）狼疮性肾炎分型：</w:t>
      </w:r>
    </w:p>
    <w:p>
      <w:pPr>
        <w:pStyle w:val="BodyText"/>
        <w:spacing w:before="36"/>
        <w:ind w:left="522"/>
      </w:pPr>
      <w:r>
        <w:rPr/>
        <w:t>Ⅰ型（微小病变型</w:t>
      </w:r>
      <w:r>
        <w:rPr>
          <w:spacing w:val="-105"/>
        </w:rPr>
        <w:t>）</w:t>
      </w:r>
      <w:r>
        <w:rPr>
          <w:spacing w:val="-1"/>
        </w:rPr>
        <w:t>：镜下阴性，尿液正常；</w:t>
      </w:r>
    </w:p>
    <w:p>
      <w:pPr>
        <w:pStyle w:val="BodyText"/>
        <w:spacing w:line="273" w:lineRule="auto" w:before="36"/>
        <w:ind w:left="522" w:right="325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5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right="120" w:firstLine="422"/>
      </w:pPr>
      <w:r>
        <w:rPr/>
        <w:t>其它类型的红斑性狼疮，如盘状狼疮，仅累及血液及关节等其它系统的系统性红斑狼疮不在保障范围内。</w:t>
      </w:r>
    </w:p>
    <w:p>
      <w:pPr>
        <w:pStyle w:val="BodyText"/>
        <w:spacing w:line="273" w:lineRule="exact"/>
        <w:ind w:left="522"/>
      </w:pPr>
      <w:r>
        <w:rPr/>
        <w:t>三十二、终末期肺病：指慢性呼吸功能衰竭，须满足下列全部条件：</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肺功能测试其FEV1持续低于0.75升；</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病人缺氧必须广泛而持续的进行输氧治疗；</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动脉血气分析氧分压低于55mmHg。</w:t>
      </w:r>
    </w:p>
    <w:p>
      <w:pPr>
        <w:pStyle w:val="BodyText"/>
        <w:spacing w:line="254" w:lineRule="auto" w:before="36"/>
        <w:ind w:right="119" w:firstLine="419"/>
      </w:pPr>
      <w:r>
        <w:rPr/>
        <w:t>三十三、</w:t>
      </w:r>
      <w:r>
        <w:rPr>
          <w:rFonts w:ascii="等线" w:eastAsia="等线"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264" w:lineRule="auto" w:before="24"/>
        <w:ind w:right="119" w:firstLine="419"/>
        <w:jc w:val="both"/>
      </w:pPr>
      <w:r>
        <w:rPr/>
        <w:t>三十四、</w:t>
      </w:r>
      <w:r>
        <w:rPr>
          <w:rFonts w:ascii="等线" w:eastAsia="等线"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16"/>
        <w:ind w:right="116" w:firstLine="420"/>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264" w:lineRule="auto" w:before="7"/>
        <w:ind w:right="117" w:firstLine="420"/>
        <w:jc w:val="both"/>
      </w:pPr>
      <w:r>
        <w:rPr/>
        <w:t>三十六、</w:t>
      </w:r>
      <w:r>
        <w:rPr>
          <w:rFonts w:ascii="等线" w:eastAsia="等线" w:hint="eastAsia"/>
          <w:b/>
        </w:rPr>
        <w:t>严重</w:t>
      </w:r>
      <w:r>
        <w:rPr/>
        <w:t>胰岛素依赖型糖尿病: 指由于胰岛素分泌绝对不足引起的慢性血糖升高，经血胰岛素测定、血c肽测定或尿c肽测定结果证实，且已经持续性的依赖外源性胰岛素维持180 天以上；须至少满足下列一个条件：</w:t>
      </w:r>
    </w:p>
    <w:p>
      <w:pPr>
        <w:pStyle w:val="ListParagraph"/>
        <w:numPr>
          <w:ilvl w:val="0"/>
          <w:numId w:val="11"/>
        </w:numPr>
        <w:tabs>
          <w:tab w:pos="838" w:val="left" w:leader="none"/>
        </w:tabs>
        <w:spacing w:line="240" w:lineRule="auto" w:before="15" w:after="0"/>
        <w:ind w:left="837" w:right="0" w:hanging="315"/>
        <w:jc w:val="left"/>
        <w:rPr>
          <w:sz w:val="21"/>
        </w:rPr>
      </w:pPr>
      <w:r>
        <w:rPr>
          <w:spacing w:val="-1"/>
          <w:sz w:val="21"/>
        </w:rPr>
        <w:t>已出现增殖性视网膜病变；</w:t>
      </w:r>
    </w:p>
    <w:p>
      <w:pPr>
        <w:pStyle w:val="ListParagraph"/>
        <w:numPr>
          <w:ilvl w:val="0"/>
          <w:numId w:val="11"/>
        </w:numPr>
        <w:tabs>
          <w:tab w:pos="838" w:val="left" w:leader="none"/>
        </w:tabs>
        <w:spacing w:line="240" w:lineRule="auto" w:before="36" w:after="0"/>
        <w:ind w:left="837" w:right="0" w:hanging="315"/>
        <w:jc w:val="left"/>
        <w:rPr>
          <w:sz w:val="21"/>
        </w:rPr>
      </w:pPr>
      <w:r>
        <w:rPr>
          <w:spacing w:val="-1"/>
          <w:sz w:val="21"/>
        </w:rPr>
        <w:t>须植入心脏起搏器治疗心脏病；</w:t>
      </w:r>
    </w:p>
    <w:p>
      <w:pPr>
        <w:pStyle w:val="ListParagraph"/>
        <w:numPr>
          <w:ilvl w:val="0"/>
          <w:numId w:val="11"/>
        </w:numPr>
        <w:tabs>
          <w:tab w:pos="838" w:val="left" w:leader="none"/>
        </w:tabs>
        <w:spacing w:line="240" w:lineRule="auto" w:before="36" w:after="0"/>
        <w:ind w:left="837" w:right="0" w:hanging="315"/>
        <w:jc w:val="left"/>
        <w:rPr>
          <w:sz w:val="21"/>
        </w:rPr>
      </w:pPr>
      <w:r>
        <w:rPr>
          <w:spacing w:val="-1"/>
          <w:sz w:val="21"/>
        </w:rPr>
        <w:t>因坏疽需切除至少一个脚趾。</w:t>
      </w:r>
    </w:p>
    <w:p>
      <w:pPr>
        <w:pStyle w:val="BodyText"/>
        <w:spacing w:line="266" w:lineRule="auto" w:before="36"/>
        <w:ind w:right="118" w:firstLine="420"/>
        <w:jc w:val="both"/>
      </w:pPr>
      <w:r>
        <w:rPr/>
        <w:t>三十七、</w:t>
      </w:r>
      <w:r>
        <w:rPr>
          <w:rFonts w:ascii="等线" w:eastAsia="等线" w:hint="eastAsia"/>
          <w:b/>
        </w:rPr>
        <w:t>严重</w:t>
      </w:r>
      <w:r>
        <w:rPr/>
        <w:t>冠心病：指经根据冠状动脉造影检查结果明确诊断为三支主要血管严重狭窄</w:t>
      </w:r>
      <w:r>
        <w:rPr>
          <w:spacing w:val="-9"/>
        </w:rPr>
        <w:t>性病变</w:t>
      </w:r>
      <w:r>
        <w:rPr/>
        <w:t>（至少一支血管管腔直径减少75％以上和其他两支血管管腔直径减少60％以上</w:t>
      </w:r>
      <w:r>
        <w:rPr>
          <w:spacing w:val="-105"/>
        </w:rPr>
        <w:t>）</w:t>
      </w:r>
      <w:r>
        <w:rPr>
          <w:spacing w:val="-8"/>
        </w:rPr>
        <w:t>。冠状动脉的主要血管指左冠状动脉主干、前降支、回旋支及右冠状动脉，不包括前降支、左旋支及右冠状动脉的分支血管。</w:t>
      </w:r>
    </w:p>
    <w:p>
      <w:pPr>
        <w:pStyle w:val="BodyText"/>
        <w:spacing w:line="237" w:lineRule="auto"/>
        <w:ind w:right="116" w:firstLine="420"/>
      </w:pPr>
      <w:r>
        <w:rPr/>
        <w:t>三十八、急性坏死性胰腺炎开腹手术：指为治疗急性坏死性胰腺炎，实际实施了开腹进行的坏死组织清除术、病灶切除术或胰腺部分切除术。</w:t>
      </w:r>
    </w:p>
    <w:p>
      <w:pPr>
        <w:pStyle w:val="Heading3"/>
        <w:spacing w:line="276" w:lineRule="exact" w:before="8"/>
        <w:ind w:left="522"/>
      </w:pPr>
      <w:r>
        <w:rPr/>
        <w:t>为治疗因酒精中毒引起的急性坏死性胰腺炎的开腹手术不在保障范围内。</w:t>
      </w:r>
    </w:p>
    <w:p>
      <w:pPr>
        <w:pStyle w:val="BodyText"/>
        <w:spacing w:line="223" w:lineRule="auto" w:before="10"/>
        <w:ind w:right="165" w:firstLine="420"/>
      </w:pPr>
      <w:r>
        <w:rPr/>
        <w:t>三十九、</w:t>
      </w:r>
      <w:r>
        <w:rPr>
          <w:rFonts w:ascii="等线" w:eastAsia="等线" w:hint="eastAsia"/>
          <w:b/>
        </w:rPr>
        <w:t>经输血导致的</w:t>
      </w:r>
      <w:r>
        <w:rPr>
          <w:spacing w:val="-1"/>
        </w:rPr>
        <w:t>人类免疫缺陷病毒感染：被保险人感染人类免疫缺陷病毒（HIV</w:t>
      </w:r>
      <w:r>
        <w:rPr>
          <w:spacing w:val="-104"/>
        </w:rPr>
        <w:t>）</w:t>
      </w:r>
      <w:r>
        <w:rPr/>
        <w:t>，且须满足下列全部条件：</w:t>
      </w:r>
    </w:p>
    <w:p>
      <w:pPr>
        <w:pStyle w:val="ListParagraph"/>
        <w:numPr>
          <w:ilvl w:val="0"/>
          <w:numId w:val="12"/>
        </w:numPr>
        <w:tabs>
          <w:tab w:pos="838" w:val="left" w:leader="none"/>
        </w:tabs>
        <w:spacing w:line="271" w:lineRule="exact" w:before="0" w:after="0"/>
        <w:ind w:left="102" w:right="0" w:firstLine="420"/>
        <w:jc w:val="left"/>
        <w:rPr>
          <w:sz w:val="21"/>
        </w:rPr>
      </w:pPr>
      <w:r>
        <w:rPr>
          <w:spacing w:val="-1"/>
          <w:sz w:val="21"/>
        </w:rPr>
        <w:t>因输血而感染；</w:t>
      </w:r>
    </w:p>
    <w:p>
      <w:pPr>
        <w:pStyle w:val="ListParagraph"/>
        <w:numPr>
          <w:ilvl w:val="0"/>
          <w:numId w:val="12"/>
        </w:numPr>
        <w:tabs>
          <w:tab w:pos="838" w:val="left" w:leader="none"/>
        </w:tabs>
        <w:spacing w:line="237" w:lineRule="auto" w:before="1" w:after="0"/>
        <w:ind w:left="102" w:right="118" w:firstLine="420"/>
        <w:jc w:val="left"/>
        <w:rPr>
          <w:sz w:val="21"/>
        </w:rPr>
      </w:pPr>
      <w:r>
        <w:rPr>
          <w:spacing w:val="-3"/>
          <w:sz w:val="21"/>
        </w:rPr>
        <w:t>提供输血治疗的输血中心或医院出具该项输血感染属医疗责任事故的报告，或者法院终审裁定为医疗责任并且不准上诉；</w:t>
      </w:r>
    </w:p>
    <w:p>
      <w:pPr>
        <w:pStyle w:val="ListParagraph"/>
        <w:numPr>
          <w:ilvl w:val="0"/>
          <w:numId w:val="12"/>
        </w:numPr>
        <w:tabs>
          <w:tab w:pos="838" w:val="left" w:leader="none"/>
        </w:tabs>
        <w:spacing w:line="272" w:lineRule="exact" w:before="0" w:after="0"/>
        <w:ind w:left="837" w:right="0" w:hanging="315"/>
        <w:jc w:val="left"/>
        <w:rPr>
          <w:sz w:val="21"/>
        </w:rPr>
      </w:pPr>
      <w:r>
        <w:rPr>
          <w:spacing w:val="-1"/>
          <w:sz w:val="21"/>
        </w:rPr>
        <w:t>受感染的被保险人不是血友病患者。</w:t>
      </w:r>
    </w:p>
    <w:p>
      <w:pPr>
        <w:pStyle w:val="Heading3"/>
        <w:spacing w:before="5"/>
        <w:ind w:left="522"/>
      </w:pPr>
      <w:r>
        <w:rPr>
          <w:w w:val="95"/>
        </w:rPr>
        <w:t>任何因其他传播方式（包括：性传播或静脉注射毒品）导致人类免疫缺陷病毒（HIV）感染</w:t>
      </w:r>
    </w:p>
    <w:p>
      <w:pPr>
        <w:spacing w:after="0"/>
        <w:sectPr>
          <w:footerReference w:type="default" r:id="rId10"/>
          <w:pgSz w:w="11910" w:h="16840"/>
          <w:pgMar w:footer="940" w:header="0" w:top="1400" w:bottom="1120" w:left="1520" w:right="1500"/>
        </w:sectPr>
      </w:pPr>
    </w:p>
    <w:p>
      <w:pPr>
        <w:pStyle w:val="BodyText"/>
        <w:spacing w:line="223" w:lineRule="auto" w:before="23"/>
        <w:ind w:right="263"/>
      </w:pPr>
      <w:r>
        <w:rPr>
          <w:rFonts w:ascii="等线" w:eastAsia="等线" w:hint="eastAsia"/>
          <w:b/>
        </w:rPr>
        <w:t>不在保障范围内。</w:t>
      </w:r>
      <w:r>
        <w:rPr/>
        <w:t>本公司具有获得和使用被保险人的所有血液样本的权利以及能够对这些样本进行独立检验的权利。</w:t>
      </w:r>
    </w:p>
    <w:p>
      <w:pPr>
        <w:pStyle w:val="BodyText"/>
        <w:spacing w:line="273" w:lineRule="auto" w:before="17"/>
        <w:ind w:right="218" w:firstLine="420"/>
        <w:jc w:val="both"/>
      </w:pPr>
      <w:r>
        <w:rPr/>
        <w:t>四十、非阿尔茨海默病所致严重痴呆：指因阿尔茨海默病以外的脑的器质性疾病造成脑功</w:t>
      </w:r>
      <w:r>
        <w:rPr>
          <w:spacing w:val="-3"/>
        </w:rPr>
        <w:t>能衰竭导致永久不可逆</w:t>
      </w:r>
      <w:r>
        <w:rPr/>
        <w:t>（注</w:t>
      </w:r>
      <w:r>
        <w:rPr>
          <w:spacing w:val="-8"/>
        </w:rPr>
        <w:t>4）</w:t>
      </w:r>
      <w:r>
        <w:rPr>
          <w:spacing w:val="-4"/>
        </w:rPr>
        <w:t>性严重痴呆，临床表现为明显的认知能力障碍、行为异常和社交</w:t>
      </w:r>
      <w:r>
        <w:rPr>
          <w:spacing w:val="-6"/>
        </w:rPr>
        <w:t>能力减退。被保险人自主生活能力完全丧失，无法独立完成六项基本日常生活活动</w:t>
      </w:r>
      <w:r>
        <w:rPr/>
        <w:t>（注</w:t>
      </w:r>
      <w:r>
        <w:rPr>
          <w:spacing w:val="-8"/>
        </w:rPr>
        <w:t>3）</w:t>
      </w:r>
      <w:r>
        <w:rPr/>
        <w:t>中的三项或三项以上，日常生活必须持续受到他人监护。导致痴呆的疾病必须明确诊断，并且由完整的临床、实验室和影像学检查结果证实。</w:t>
      </w:r>
    </w:p>
    <w:p>
      <w:pPr>
        <w:pStyle w:val="Heading3"/>
        <w:spacing w:line="254" w:lineRule="auto" w:before="15"/>
        <w:ind w:left="522" w:right="2556" w:firstLine="2"/>
        <w:rPr>
          <w:rFonts w:ascii="宋体" w:eastAsia="宋体" w:hint="eastAsia"/>
          <w:b w:val="0"/>
        </w:rPr>
      </w:pPr>
      <w:r>
        <w:rPr/>
        <w:t>神经官能症，精神疾病及酒精中毒所致脑损害不在保障范围内。</w:t>
      </w:r>
      <w:r>
        <w:rPr>
          <w:rFonts w:ascii="宋体" w:eastAsia="宋体" w:hint="eastAsia"/>
          <w:b w:val="0"/>
        </w:rPr>
        <w:t>注：</w:t>
      </w:r>
    </w:p>
    <w:p>
      <w:pPr>
        <w:pStyle w:val="BodyText"/>
        <w:spacing w:line="273" w:lineRule="auto" w:before="24"/>
        <w:ind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73" w:lineRule="auto" w:before="7"/>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12"/>
        </w:numPr>
        <w:tabs>
          <w:tab w:pos="838" w:val="left" w:leader="none"/>
        </w:tabs>
        <w:spacing w:line="273" w:lineRule="auto" w:before="37" w:after="0"/>
        <w:ind w:left="102" w:right="270" w:firstLine="420"/>
        <w:jc w:val="left"/>
        <w:rPr>
          <w:sz w:val="21"/>
        </w:rPr>
      </w:pPr>
      <w:r>
        <w:rPr>
          <w:spacing w:val="-1"/>
          <w:sz w:val="21"/>
        </w:rPr>
        <w:t>永久不可逆：指自疾病确诊或意外伤害发生之日起，经过积极治疗</w:t>
      </w:r>
      <w:r>
        <w:rPr>
          <w:sz w:val="21"/>
        </w:rPr>
        <w:t>180天后，仍无法通过现有医疗手段恢复。</w:t>
      </w:r>
    </w:p>
    <w:p>
      <w:pPr>
        <w:pStyle w:val="BodyText"/>
        <w:ind w:left="0"/>
        <w:rPr>
          <w:sz w:val="25"/>
        </w:rPr>
      </w:pPr>
    </w:p>
    <w:p>
      <w:pPr>
        <w:pStyle w:val="Heading3"/>
        <w:tabs>
          <w:tab w:pos="946" w:val="left" w:leader="none"/>
        </w:tabs>
      </w:pPr>
      <w:r>
        <w:rPr/>
        <w:t>第六条</w:t>
        <w:tab/>
        <w:t>特定疾病</w:t>
      </w:r>
    </w:p>
    <w:p>
      <w:pPr>
        <w:pStyle w:val="BodyText"/>
        <w:spacing w:line="273" w:lineRule="auto" w:before="17"/>
        <w:ind w:right="216" w:firstLine="420"/>
      </w:pPr>
      <w:r>
        <w:rPr/>
        <w:t>本合同所指特定疾病，是被保险人发生符合以下定义所述条件的疾病、疾病状态或手术， 共计十种。特定疾病的名称及定义如下：</w:t>
      </w:r>
    </w:p>
    <w:p>
      <w:pPr>
        <w:pStyle w:val="BodyText"/>
        <w:spacing w:line="273" w:lineRule="auto" w:before="7"/>
        <w:ind w:right="216" w:firstLine="420"/>
      </w:pPr>
      <w:r>
        <w:rPr/>
        <w:t>一、特定恶性病变或恶性肿瘤：指经病理学检查被明确诊断为下列恶性病变，并且接受了相应的治疗。</w:t>
      </w:r>
    </w:p>
    <w:p>
      <w:pPr>
        <w:pStyle w:val="ListParagraph"/>
        <w:numPr>
          <w:ilvl w:val="0"/>
          <w:numId w:val="13"/>
        </w:numPr>
        <w:tabs>
          <w:tab w:pos="838" w:val="left" w:leader="none"/>
        </w:tabs>
        <w:spacing w:line="240" w:lineRule="auto" w:before="7" w:after="0"/>
        <w:ind w:left="837" w:right="0" w:hanging="315"/>
        <w:jc w:val="left"/>
        <w:rPr>
          <w:sz w:val="21"/>
        </w:rPr>
      </w:pPr>
      <w:r>
        <w:rPr>
          <w:spacing w:val="-1"/>
          <w:sz w:val="21"/>
        </w:rPr>
        <w:t>原位癌；</w:t>
      </w:r>
    </w:p>
    <w:p>
      <w:pPr>
        <w:pStyle w:val="ListParagraph"/>
        <w:numPr>
          <w:ilvl w:val="0"/>
          <w:numId w:val="13"/>
        </w:numPr>
        <w:tabs>
          <w:tab w:pos="838" w:val="left" w:leader="none"/>
        </w:tabs>
        <w:spacing w:line="240" w:lineRule="auto" w:before="36" w:after="0"/>
        <w:ind w:left="837" w:right="0" w:hanging="315"/>
        <w:jc w:val="left"/>
        <w:rPr>
          <w:sz w:val="21"/>
        </w:rPr>
      </w:pPr>
      <w:r>
        <w:rPr>
          <w:spacing w:val="-1"/>
          <w:sz w:val="21"/>
        </w:rPr>
        <w:t>相当于Binet分期方案A期程度的慢性淋巴细胞白血病；</w:t>
      </w:r>
    </w:p>
    <w:p>
      <w:pPr>
        <w:pStyle w:val="ListParagraph"/>
        <w:numPr>
          <w:ilvl w:val="0"/>
          <w:numId w:val="13"/>
        </w:numPr>
        <w:tabs>
          <w:tab w:pos="838" w:val="left" w:leader="none"/>
        </w:tabs>
        <w:spacing w:line="240" w:lineRule="auto" w:before="36" w:after="0"/>
        <w:ind w:left="837" w:right="0" w:hanging="315"/>
        <w:jc w:val="left"/>
        <w:rPr>
          <w:sz w:val="21"/>
        </w:rPr>
      </w:pPr>
      <w:r>
        <w:rPr>
          <w:sz w:val="21"/>
        </w:rPr>
        <w:t>相当于Ann</w:t>
      </w:r>
      <w:r>
        <w:rPr>
          <w:spacing w:val="-24"/>
          <w:sz w:val="21"/>
        </w:rPr>
        <w:t> </w:t>
      </w:r>
      <w:r>
        <w:rPr>
          <w:sz w:val="21"/>
        </w:rPr>
        <w:t>Arbor分期方案I期程度的何杰金氏病；</w:t>
      </w:r>
    </w:p>
    <w:p>
      <w:pPr>
        <w:pStyle w:val="ListParagraph"/>
        <w:numPr>
          <w:ilvl w:val="0"/>
          <w:numId w:val="13"/>
        </w:numPr>
        <w:tabs>
          <w:tab w:pos="838" w:val="left" w:leader="none"/>
        </w:tabs>
        <w:spacing w:line="240" w:lineRule="auto" w:before="36" w:after="0"/>
        <w:ind w:left="837" w:right="0" w:hanging="315"/>
        <w:jc w:val="left"/>
        <w:rPr>
          <w:sz w:val="21"/>
        </w:rPr>
      </w:pPr>
      <w:r>
        <w:rPr>
          <w:spacing w:val="-1"/>
          <w:sz w:val="21"/>
        </w:rPr>
        <w:t>皮肤癌（不包括恶性黑色素瘤及已发生转移的皮肤癌）；</w:t>
      </w:r>
    </w:p>
    <w:p>
      <w:pPr>
        <w:pStyle w:val="ListParagraph"/>
        <w:numPr>
          <w:ilvl w:val="0"/>
          <w:numId w:val="13"/>
        </w:numPr>
        <w:tabs>
          <w:tab w:pos="838" w:val="left" w:leader="none"/>
        </w:tabs>
        <w:spacing w:line="240" w:lineRule="auto" w:before="36" w:after="0"/>
        <w:ind w:left="837" w:right="0" w:hanging="315"/>
        <w:jc w:val="left"/>
        <w:rPr>
          <w:sz w:val="21"/>
        </w:rPr>
      </w:pPr>
      <w:r>
        <w:rPr>
          <w:position w:val="1"/>
          <w:sz w:val="21"/>
        </w:rPr>
        <w:t>TNM</w:t>
      </w:r>
      <w:r>
        <w:rPr>
          <w:spacing w:val="-3"/>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1" w:lineRule="auto" w:before="37"/>
        <w:ind w:right="216" w:firstLine="420"/>
      </w:pPr>
      <w:r>
        <w:rPr/>
        <w:t>二、不典型的急性心肌梗塞：指被临床诊断为急性心肌梗塞并接受了急性心肌梗塞治疗， 虽然未达到本合同所指重大疾病“急性心肌梗塞”的给付标准，但满足下列全部条件：</w:t>
      </w:r>
    </w:p>
    <w:p>
      <w:pPr>
        <w:pStyle w:val="ListParagraph"/>
        <w:numPr>
          <w:ilvl w:val="0"/>
          <w:numId w:val="14"/>
        </w:numPr>
        <w:tabs>
          <w:tab w:pos="838" w:val="left" w:leader="none"/>
        </w:tabs>
        <w:spacing w:line="240" w:lineRule="auto" w:before="9" w:after="0"/>
        <w:ind w:left="837" w:right="0" w:hanging="315"/>
        <w:jc w:val="left"/>
        <w:rPr>
          <w:sz w:val="21"/>
        </w:rPr>
      </w:pPr>
      <w:r>
        <w:rPr>
          <w:spacing w:val="-1"/>
          <w:sz w:val="21"/>
        </w:rPr>
        <w:t>肌钙蛋白有诊断意义的升高；</w:t>
      </w:r>
    </w:p>
    <w:p>
      <w:pPr>
        <w:pStyle w:val="ListParagraph"/>
        <w:numPr>
          <w:ilvl w:val="0"/>
          <w:numId w:val="14"/>
        </w:numPr>
        <w:tabs>
          <w:tab w:pos="838" w:val="left" w:leader="none"/>
        </w:tabs>
        <w:spacing w:line="240" w:lineRule="auto" w:before="36" w:after="0"/>
        <w:ind w:left="837" w:right="0" w:hanging="315"/>
        <w:jc w:val="left"/>
        <w:rPr>
          <w:sz w:val="21"/>
        </w:rPr>
      </w:pPr>
      <w:r>
        <w:rPr>
          <w:spacing w:val="-1"/>
          <w:sz w:val="21"/>
        </w:rPr>
        <w:t>心电图有损伤性的ST段改变但未出现病理Q波。</w:t>
      </w:r>
    </w:p>
    <w:p>
      <w:pPr>
        <w:pStyle w:val="BodyText"/>
        <w:spacing w:line="273" w:lineRule="auto" w:before="36"/>
        <w:ind w:right="216" w:firstLine="420"/>
      </w:pPr>
      <w:r>
        <w:rPr/>
        <w:t>三、冠状动脉介入手术：指为治疗明显的冠状动脉狭窄性疾病，首次实际实施了冠状动脉球囊扩张成形术、冠状动脉支架植入术或激光冠状动脉成形术。</w:t>
      </w:r>
    </w:p>
    <w:p>
      <w:pPr>
        <w:pStyle w:val="BodyText"/>
        <w:spacing w:line="273" w:lineRule="auto" w:before="7"/>
        <w:ind w:right="216" w:firstLine="420"/>
        <w:jc w:val="both"/>
      </w:pPr>
      <w:r>
        <w:rPr/>
        <w:t>四、特定脑中风后遗症：指因脑血管的突发病变引起脑血管出血、栓塞或梗塞，并导致神</w:t>
      </w:r>
      <w:r>
        <w:rPr>
          <w:spacing w:val="-4"/>
        </w:rPr>
        <w:t>经系统永久性的功能障碍。神经系统永久性的功能障碍，指疾病确诊</w:t>
      </w:r>
      <w:r>
        <w:rPr/>
        <w:t>180</w:t>
      </w:r>
      <w:r>
        <w:rPr>
          <w:spacing w:val="-4"/>
        </w:rPr>
        <w:t>天后，仍遗留下列一种</w:t>
      </w:r>
      <w:r>
        <w:rPr>
          <w:spacing w:val="-1"/>
        </w:rPr>
        <w:t>或一种以上障碍：</w:t>
      </w:r>
    </w:p>
    <w:p>
      <w:pPr>
        <w:pStyle w:val="ListParagraph"/>
        <w:numPr>
          <w:ilvl w:val="0"/>
          <w:numId w:val="15"/>
        </w:numPr>
        <w:tabs>
          <w:tab w:pos="841" w:val="left" w:leader="none"/>
        </w:tabs>
        <w:spacing w:line="273" w:lineRule="auto" w:before="7" w:after="0"/>
        <w:ind w:left="102" w:right="215" w:firstLine="420"/>
        <w:jc w:val="left"/>
        <w:rPr>
          <w:sz w:val="21"/>
        </w:rPr>
      </w:pPr>
      <w:r>
        <w:rPr>
          <w:sz w:val="21"/>
        </w:rPr>
        <w:t>一肢或一肢以上肢体机能部分丧失，其肢体肌力为Ⅲ级,或小于Ⅲ级但尚未达到脑中风</w:t>
      </w:r>
      <w:r>
        <w:rPr>
          <w:spacing w:val="-1"/>
          <w:sz w:val="21"/>
        </w:rPr>
        <w:t>后遗症的给付标准；</w:t>
      </w:r>
    </w:p>
    <w:p>
      <w:pPr>
        <w:pStyle w:val="ListParagraph"/>
        <w:numPr>
          <w:ilvl w:val="0"/>
          <w:numId w:val="15"/>
        </w:numPr>
        <w:tabs>
          <w:tab w:pos="838" w:val="left" w:leader="none"/>
        </w:tabs>
        <w:spacing w:line="273" w:lineRule="auto" w:before="7" w:after="0"/>
        <w:ind w:left="522" w:right="114" w:firstLine="0"/>
        <w:jc w:val="left"/>
        <w:rPr>
          <w:sz w:val="21"/>
        </w:rPr>
      </w:pPr>
      <w:r>
        <w:rPr>
          <w:spacing w:val="-4"/>
          <w:sz w:val="21"/>
        </w:rPr>
        <w:t>自主生活能力部分丧失，无法独立完成六项基本日常生活活动</w:t>
      </w:r>
      <w:r>
        <w:rPr>
          <w:sz w:val="21"/>
        </w:rPr>
        <w:t>（注</w:t>
      </w:r>
      <w:r>
        <w:rPr>
          <w:spacing w:val="-10"/>
          <w:sz w:val="21"/>
        </w:rPr>
        <w:t>1）</w:t>
      </w:r>
      <w:r>
        <w:rPr>
          <w:sz w:val="21"/>
        </w:rPr>
        <w:t>中的一项或两项。五、心脏瓣膜介入手术：指为治疗心脏瓣膜疾病，实际实施了非开胸的经胸壁打孔内镜手</w:t>
      </w:r>
    </w:p>
    <w:p>
      <w:pPr>
        <w:pStyle w:val="BodyText"/>
        <w:spacing w:before="7"/>
      </w:pPr>
      <w:r>
        <w:rPr/>
        <w:t>术或经皮经导管介入手术进行的心脏瓣膜置换或修复手术。</w:t>
      </w:r>
    </w:p>
    <w:p>
      <w:pPr>
        <w:spacing w:after="0"/>
        <w:sectPr>
          <w:footerReference w:type="default" r:id="rId11"/>
          <w:pgSz w:w="11910" w:h="16840"/>
          <w:pgMar w:footer="940" w:header="0" w:top="1380" w:bottom="1120" w:left="1520" w:right="1400"/>
        </w:sectPr>
      </w:pPr>
    </w:p>
    <w:p>
      <w:pPr>
        <w:pStyle w:val="BodyText"/>
        <w:spacing w:line="273" w:lineRule="auto" w:before="3"/>
        <w:ind w:right="218" w:firstLine="420"/>
      </w:pPr>
      <w:r>
        <w:rPr>
          <w:spacing w:val="-7"/>
        </w:rPr>
        <w:t>六、特定面积Ⅲ度烧伤：指烧伤程度为Ⅲ度，且Ⅲ度烧伤面积为全身体表面积的</w:t>
      </w:r>
      <w:r>
        <w:rPr/>
        <w:t>10％或10% </w:t>
      </w:r>
      <w:r>
        <w:rPr>
          <w:spacing w:val="-1"/>
        </w:rPr>
        <w:t>以上，但尚未达到20%。体表面积根据《中国新九分法》计算。</w:t>
      </w:r>
    </w:p>
    <w:p>
      <w:pPr>
        <w:pStyle w:val="BodyText"/>
        <w:spacing w:line="273" w:lineRule="auto" w:before="7"/>
        <w:ind w:right="271" w:firstLine="420"/>
      </w:pPr>
      <w:r>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7"/>
        <w:ind w:right="216" w:firstLine="420"/>
        <w:jc w:val="both"/>
      </w:pPr>
      <w:r>
        <w:rPr/>
        <w:t>八、</w:t>
      </w:r>
      <w:r>
        <w:rPr>
          <w:rFonts w:ascii="等线" w:eastAsia="等线" w:hint="eastAsia"/>
          <w:b/>
        </w:rPr>
        <w:t>严重</w:t>
      </w:r>
      <w:r>
        <w:rPr/>
        <w:t>脑垂体瘤、脑囊肿、脑动脉瘤及脑血管瘤：指经头颅断层扫描（CT）、核磁共振检查（MRI）或正电子发射断层扫描（PET）等影像学检查被确诊为下列病变，并实际接受了手术或放射治疗。</w:t>
      </w:r>
    </w:p>
    <w:p>
      <w:pPr>
        <w:pStyle w:val="ListParagraph"/>
        <w:numPr>
          <w:ilvl w:val="0"/>
          <w:numId w:val="16"/>
        </w:numPr>
        <w:tabs>
          <w:tab w:pos="838" w:val="left" w:leader="none"/>
        </w:tabs>
        <w:spacing w:line="240" w:lineRule="auto" w:before="15" w:after="0"/>
        <w:ind w:left="837" w:right="0" w:hanging="315"/>
        <w:jc w:val="left"/>
        <w:rPr>
          <w:sz w:val="21"/>
        </w:rPr>
      </w:pPr>
      <w:r>
        <w:rPr>
          <w:spacing w:val="-1"/>
          <w:sz w:val="21"/>
        </w:rPr>
        <w:t>脑垂体瘤；</w:t>
      </w:r>
    </w:p>
    <w:p>
      <w:pPr>
        <w:pStyle w:val="ListParagraph"/>
        <w:numPr>
          <w:ilvl w:val="0"/>
          <w:numId w:val="16"/>
        </w:numPr>
        <w:tabs>
          <w:tab w:pos="838" w:val="left" w:leader="none"/>
        </w:tabs>
        <w:spacing w:line="240" w:lineRule="auto" w:before="36" w:after="0"/>
        <w:ind w:left="837" w:right="0" w:hanging="315"/>
        <w:jc w:val="left"/>
        <w:rPr>
          <w:sz w:val="21"/>
        </w:rPr>
      </w:pPr>
      <w:r>
        <w:rPr>
          <w:spacing w:val="-1"/>
          <w:sz w:val="21"/>
        </w:rPr>
        <w:t>脑囊肿；</w:t>
      </w:r>
    </w:p>
    <w:p>
      <w:pPr>
        <w:pStyle w:val="ListParagraph"/>
        <w:numPr>
          <w:ilvl w:val="0"/>
          <w:numId w:val="16"/>
        </w:numPr>
        <w:tabs>
          <w:tab w:pos="838" w:val="left" w:leader="none"/>
        </w:tabs>
        <w:spacing w:line="240" w:lineRule="auto" w:before="36" w:after="0"/>
        <w:ind w:left="837" w:right="0" w:hanging="315"/>
        <w:jc w:val="left"/>
        <w:rPr>
          <w:sz w:val="21"/>
        </w:rPr>
      </w:pPr>
      <w:r>
        <w:rPr>
          <w:spacing w:val="-1"/>
          <w:sz w:val="21"/>
        </w:rPr>
        <w:t>脑动脉瘤、脑血管瘤。</w:t>
      </w:r>
    </w:p>
    <w:p>
      <w:pPr>
        <w:pStyle w:val="BodyText"/>
        <w:spacing w:line="264" w:lineRule="auto" w:before="36"/>
        <w:ind w:right="266" w:firstLine="420"/>
        <w:jc w:val="both"/>
      </w:pPr>
      <w:r>
        <w:rPr/>
        <w:t>九、</w:t>
      </w:r>
      <w:r>
        <w:rPr>
          <w:rFonts w:ascii="等线" w:hAnsi="等线" w:eastAsia="等线" w:hint="eastAsia"/>
          <w:b/>
        </w:rPr>
        <w:t>特定年龄</w:t>
      </w:r>
      <w:r>
        <w:rPr>
          <w:spacing w:val="-4"/>
        </w:rPr>
        <w:t>视力受损：指被保险人年满 </w:t>
      </w:r>
      <w:r>
        <w:rPr/>
        <w:t>3</w:t>
      </w:r>
      <w:r>
        <w:rPr>
          <w:spacing w:val="-8"/>
        </w:rPr>
        <w:t> 周岁后因疾病或意外伤害导致双目视力永久不可逆（</w:t>
      </w:r>
      <w:r>
        <w:rPr>
          <w:spacing w:val="-38"/>
        </w:rPr>
        <w:t>注 </w:t>
      </w:r>
      <w:r>
        <w:rPr/>
        <w:t>2）性丧失，虽然未达到本合同所指重大疾病“特定年龄双目失明”的给付标准，但须满足下列全部条件：</w:t>
      </w:r>
    </w:p>
    <w:p>
      <w:pPr>
        <w:pStyle w:val="ListParagraph"/>
        <w:numPr>
          <w:ilvl w:val="0"/>
          <w:numId w:val="17"/>
        </w:numPr>
        <w:tabs>
          <w:tab w:pos="838" w:val="left" w:leader="none"/>
        </w:tabs>
        <w:spacing w:line="273" w:lineRule="auto" w:before="15" w:after="0"/>
        <w:ind w:left="102" w:right="218" w:firstLine="420"/>
        <w:jc w:val="left"/>
        <w:rPr>
          <w:sz w:val="21"/>
        </w:rPr>
      </w:pPr>
      <w:r>
        <w:rPr>
          <w:spacing w:val="-6"/>
          <w:sz w:val="21"/>
        </w:rPr>
        <w:t>双眼中较好眼矫正视力低于 </w:t>
      </w:r>
      <w:r>
        <w:rPr>
          <w:sz w:val="21"/>
        </w:rPr>
        <w:t>0.1（采用国际标准视力表，如果使用其它视力表应进行换算</w:t>
      </w:r>
      <w:r>
        <w:rPr>
          <w:spacing w:val="-105"/>
          <w:sz w:val="21"/>
        </w:rPr>
        <w:t>）</w:t>
      </w:r>
      <w:r>
        <w:rPr>
          <w:sz w:val="21"/>
        </w:rPr>
        <w:t>；</w:t>
      </w:r>
    </w:p>
    <w:p>
      <w:pPr>
        <w:pStyle w:val="ListParagraph"/>
        <w:numPr>
          <w:ilvl w:val="0"/>
          <w:numId w:val="17"/>
        </w:numPr>
        <w:tabs>
          <w:tab w:pos="838" w:val="left" w:leader="none"/>
        </w:tabs>
        <w:spacing w:line="240" w:lineRule="auto" w:before="7" w:after="0"/>
        <w:ind w:left="837" w:right="0" w:hanging="315"/>
        <w:jc w:val="left"/>
        <w:rPr>
          <w:sz w:val="21"/>
        </w:rPr>
      </w:pPr>
      <w:r>
        <w:rPr>
          <w:spacing w:val="-5"/>
          <w:sz w:val="21"/>
        </w:rPr>
        <w:t>双眼中较好眼视野半径小于 </w:t>
      </w:r>
      <w:r>
        <w:rPr>
          <w:sz w:val="21"/>
        </w:rPr>
        <w:t>20</w:t>
      </w:r>
      <w:r>
        <w:rPr>
          <w:spacing w:val="-20"/>
          <w:sz w:val="21"/>
        </w:rPr>
        <w:t> 度。</w:t>
      </w:r>
    </w:p>
    <w:p>
      <w:pPr>
        <w:pStyle w:val="BodyText"/>
        <w:spacing w:before="37"/>
        <w:ind w:left="522"/>
      </w:pPr>
      <w:r>
        <w:rPr/>
        <w:t>申请理赔时，须提供理赔当时的视力丧失诊断及检查证据。</w:t>
      </w:r>
    </w:p>
    <w:p>
      <w:pPr>
        <w:pStyle w:val="BodyText"/>
        <w:spacing w:line="266" w:lineRule="auto" w:before="37"/>
        <w:ind w:right="268" w:firstLine="420"/>
        <w:jc w:val="both"/>
      </w:pPr>
      <w:r>
        <w:rPr/>
        <w:t>十、</w:t>
      </w:r>
      <w:r>
        <w:rPr>
          <w:rFonts w:ascii="等线" w:hAnsi="等线" w:eastAsia="等线" w:hint="eastAsia"/>
          <w:b/>
        </w:rPr>
        <w:t>严重</w:t>
      </w:r>
      <w:r>
        <w:rPr/>
        <w:t>头部外伤：指因头部遭受机械性外力伤害，引起脑重要部位损伤，并且由头颅断层扫描（CT）、核磁共振检查（MRI）或正电子发射断层扫描（PET）等影像学检查证实。头部外伤导致神经系统功能障碍，虽然未达到本合同所指重大疾病“严重脑损伤”的给付标准，但须满足下列条件之一：</w:t>
      </w:r>
    </w:p>
    <w:p>
      <w:pPr>
        <w:pStyle w:val="ListParagraph"/>
        <w:numPr>
          <w:ilvl w:val="0"/>
          <w:numId w:val="18"/>
        </w:numPr>
        <w:tabs>
          <w:tab w:pos="838" w:val="left" w:leader="none"/>
        </w:tabs>
        <w:spacing w:line="240" w:lineRule="auto" w:before="14" w:after="0"/>
        <w:ind w:left="102" w:right="0" w:firstLine="420"/>
        <w:jc w:val="left"/>
        <w:rPr>
          <w:sz w:val="21"/>
        </w:rPr>
      </w:pPr>
      <w:r>
        <w:rPr>
          <w:spacing w:val="-1"/>
          <w:sz w:val="21"/>
        </w:rPr>
        <w:t>已接受全麻下颅骨切开颅内血肿清除术（颅骨钻孔术除外）；</w:t>
      </w:r>
    </w:p>
    <w:p>
      <w:pPr>
        <w:pStyle w:val="ListParagraph"/>
        <w:numPr>
          <w:ilvl w:val="0"/>
          <w:numId w:val="18"/>
        </w:numPr>
        <w:tabs>
          <w:tab w:pos="838" w:val="left" w:leader="none"/>
        </w:tabs>
        <w:spacing w:line="273" w:lineRule="auto" w:before="37" w:after="0"/>
        <w:ind w:left="102" w:right="376" w:firstLine="420"/>
        <w:jc w:val="left"/>
        <w:rPr>
          <w:sz w:val="21"/>
        </w:rPr>
      </w:pPr>
      <w:r>
        <w:rPr>
          <w:spacing w:val="-1"/>
          <w:sz w:val="21"/>
        </w:rPr>
        <w:t>在遭受外伤180天后一肢或一肢以上肢体机能部分丧失，其肢体肌力为Ⅲ级,或小于Ⅲ 级。</w:t>
      </w:r>
    </w:p>
    <w:p>
      <w:pPr>
        <w:pStyle w:val="BodyText"/>
        <w:spacing w:before="7"/>
        <w:ind w:left="522"/>
      </w:pPr>
      <w:r>
        <w:rPr/>
        <w:t>注：</w:t>
      </w:r>
    </w:p>
    <w:p>
      <w:pPr>
        <w:pStyle w:val="ListParagraph"/>
        <w:numPr>
          <w:ilvl w:val="0"/>
          <w:numId w:val="19"/>
        </w:numPr>
        <w:tabs>
          <w:tab w:pos="838" w:val="left" w:leader="none"/>
        </w:tabs>
        <w:spacing w:line="273" w:lineRule="auto" w:before="36" w:after="0"/>
        <w:ind w:left="102" w:right="113" w:firstLine="420"/>
        <w:jc w:val="left"/>
        <w:rPr>
          <w:sz w:val="21"/>
        </w:rPr>
      </w:pPr>
      <w:r>
        <w:rPr>
          <w:spacing w:val="-1"/>
          <w:sz w:val="21"/>
        </w:rPr>
        <w:t>六项基本日常生活活动是指：</w:t>
      </w:r>
      <w:r>
        <w:rPr>
          <w:spacing w:val="-6"/>
          <w:sz w:val="21"/>
        </w:rPr>
        <w:t>（1）</w:t>
      </w:r>
      <w:r>
        <w:rPr>
          <w:spacing w:val="-4"/>
          <w:sz w:val="21"/>
        </w:rPr>
        <w:t>穿衣：自己能够穿衣及脱衣；</w:t>
      </w:r>
      <w:r>
        <w:rPr>
          <w:spacing w:val="-6"/>
          <w:sz w:val="21"/>
        </w:rPr>
        <w:t>（2）</w:t>
      </w:r>
      <w:r>
        <w:rPr>
          <w:spacing w:val="-3"/>
          <w:sz w:val="21"/>
        </w:rPr>
        <w:t>移动：自己从一</w:t>
      </w:r>
      <w:r>
        <w:rPr>
          <w:spacing w:val="-4"/>
          <w:sz w:val="21"/>
        </w:rPr>
        <w:t>个房间到另一个房间；</w:t>
      </w:r>
      <w:r>
        <w:rPr>
          <w:spacing w:val="-6"/>
          <w:sz w:val="21"/>
        </w:rPr>
        <w:t>（3）</w:t>
      </w:r>
      <w:r>
        <w:rPr>
          <w:spacing w:val="-4"/>
          <w:sz w:val="21"/>
        </w:rPr>
        <w:t>行动：自己上下床或上下轮椅；</w:t>
      </w:r>
      <w:r>
        <w:rPr>
          <w:spacing w:val="-6"/>
          <w:sz w:val="21"/>
        </w:rPr>
        <w:t>（4）</w:t>
      </w:r>
      <w:r>
        <w:rPr>
          <w:spacing w:val="-3"/>
          <w:sz w:val="21"/>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19"/>
        </w:numPr>
        <w:tabs>
          <w:tab w:pos="841" w:val="left" w:leader="none"/>
        </w:tabs>
        <w:spacing w:line="273" w:lineRule="auto" w:before="37" w:after="0"/>
        <w:ind w:left="102" w:right="216" w:firstLine="420"/>
        <w:jc w:val="left"/>
        <w:rPr>
          <w:sz w:val="21"/>
        </w:rPr>
      </w:pPr>
      <w:r>
        <w:rPr>
          <w:sz w:val="21"/>
        </w:rPr>
        <w:t>永久不可逆：指自疾病确诊或意外伤害发生之日起，经过积极治疗180天后，仍无法通过现有医疗手段恢复。</w:t>
      </w:r>
    </w:p>
    <w:p>
      <w:pPr>
        <w:pStyle w:val="BodyText"/>
        <w:ind w:left="0"/>
        <w:rPr>
          <w:sz w:val="25"/>
        </w:rPr>
      </w:pPr>
    </w:p>
    <w:p>
      <w:pPr>
        <w:pStyle w:val="Heading3"/>
        <w:tabs>
          <w:tab w:pos="946" w:val="left" w:leader="none"/>
        </w:tabs>
      </w:pPr>
      <w:r>
        <w:rPr/>
        <w:t>第七条</w:t>
        <w:tab/>
        <w:t>保险责任</w:t>
      </w:r>
    </w:p>
    <w:p>
      <w:pPr>
        <w:spacing w:line="278" w:lineRule="auto" w:before="17"/>
        <w:ind w:left="522" w:right="3946" w:firstLine="0"/>
        <w:jc w:val="left"/>
        <w:rPr>
          <w:rFonts w:ascii="等线" w:eastAsia="等线" w:hint="eastAsia"/>
          <w:b/>
          <w:sz w:val="21"/>
        </w:rPr>
      </w:pPr>
      <w:r>
        <w:rPr>
          <w:sz w:val="21"/>
        </w:rPr>
        <w:t>在本合同保险期间内，本公司承担以下保险责任: </w:t>
      </w:r>
      <w:r>
        <w:rPr>
          <w:rFonts w:ascii="等线" w:eastAsia="等线" w:hint="eastAsia"/>
          <w:b/>
          <w:sz w:val="21"/>
        </w:rPr>
        <w:t>一、重大疾病保险金</w:t>
      </w:r>
    </w:p>
    <w:p>
      <w:pPr>
        <w:pStyle w:val="BodyText"/>
        <w:spacing w:line="258" w:lineRule="exact"/>
        <w:ind w:left="522"/>
      </w:pPr>
      <w:r>
        <w:rPr/>
        <w:t>被保险人于本合同生效之日起一百八十日内，因首次发生并经确诊的疾病导致被保险人初</w:t>
      </w:r>
    </w:p>
    <w:p>
      <w:pPr>
        <w:pStyle w:val="BodyText"/>
        <w:spacing w:line="273" w:lineRule="auto" w:before="38"/>
        <w:ind w:right="271"/>
        <w:jc w:val="both"/>
      </w:pPr>
      <w:r>
        <w:rPr/>
        <w:t>次发生并经专科医生明确诊断患本合同所指的重大疾病（无论一种或多种），本合同终止，本公司按照本合同所交保险费（不计利息）给付重大疾病保险金；被保险人于本合同生效之日起一百八十日至本合同生效之日起一年内，因首次发生并经确诊的疾病导致被保险人初次发生并经专科医生明确诊断患本合同所指的重大疾病（无论一种或多种），本合同终止，本公司按照本合同所交保险费（不计利息）的200%给付重大疾病保险金；被保险人于本合同生效之日起一年后，因首次发生并经确诊的疾病导致被保险人初次发生并经专科医生明确诊断患本合同所指的重大疾病（无论一种或多种），本合同终止，本公司按照本合同基本保险金额的150%给付重大疾病保险金。若因意外伤害导致上述情形，不受一百八十日和一年的限制。</w:t>
      </w:r>
    </w:p>
    <w:p>
      <w:pPr>
        <w:pStyle w:val="Heading3"/>
        <w:spacing w:before="15"/>
        <w:ind w:left="522"/>
      </w:pPr>
      <w:r>
        <w:rPr/>
        <w:t>二、特定疾病保险金</w:t>
      </w:r>
    </w:p>
    <w:p>
      <w:pPr>
        <w:spacing w:after="0"/>
        <w:sectPr>
          <w:footerReference w:type="default" r:id="rId12"/>
          <w:pgSz w:w="11910" w:h="16840"/>
          <w:pgMar w:footer="940" w:header="0" w:top="1400" w:bottom="1120" w:left="1520" w:right="1400"/>
        </w:sectPr>
      </w:pPr>
    </w:p>
    <w:p>
      <w:pPr>
        <w:pStyle w:val="BodyText"/>
        <w:spacing w:line="273" w:lineRule="auto" w:before="3"/>
        <w:ind w:right="105" w:firstLine="420"/>
      </w:pPr>
      <w:r>
        <w:rPr/>
        <w:t>被保险人于本合同生效之日起一百八十日内，因首次发生并经确诊的疾病导致被保险人初次发生并经专科医生明确诊断患本合同所指的特定疾病（无论一种或多种），本合同终止，本公司按照本合同所交保险费（不计利息）给付特定疾病保险金；被保险人于本合同生效之日起一百八十日至本合同生效之日起一年内，因首次发生并经确诊的疾病导致被保险人初次发生并经专科医生明确诊断患本合同所指的特定疾病（无论一种或多种），本合同终止，本公司按照本合同所交保险费（不计利息）的200%给付特定疾病保险金；被保险人于本合同生效之日起一年后，因首次发生并经确诊的疾病导致被保险人初次发生并经专科医生明确诊断患本合同所指的特定疾病（无论一种或多种），本公司按照本合同基本保险金额的30%给付特定疾病保险金， 但给付以一次为限，本合同继续有效。若因意外伤害导致上述情形，不受一百八十日和一年的限制。</w:t>
      </w:r>
    </w:p>
    <w:p>
      <w:pPr>
        <w:pStyle w:val="Heading3"/>
        <w:spacing w:line="285" w:lineRule="exact" w:before="15"/>
        <w:ind w:left="524"/>
      </w:pPr>
      <w:r>
        <w:rPr/>
        <w:t>三、身故保险金</w:t>
      </w:r>
    </w:p>
    <w:p>
      <w:pPr>
        <w:pStyle w:val="BodyText"/>
        <w:spacing w:line="237" w:lineRule="auto" w:before="1"/>
        <w:ind w:right="156" w:firstLine="420"/>
        <w:jc w:val="both"/>
      </w:pPr>
      <w:r>
        <w:rPr/>
        <w:t>被保险人于本合同生效之日起一百八十日内因疾病身故，本合同终止，本公司按照本合同所交保险费（不计利息）给付身故保险金；被保险人于本合同生效之日起一百八十日至本合同</w:t>
      </w:r>
      <w:r>
        <w:rPr>
          <w:spacing w:val="-9"/>
        </w:rPr>
        <w:t>生效之日起一年内因疾病身故，本合同终止，本公司按照本合同所交保险费</w:t>
      </w:r>
      <w:r>
        <w:rPr/>
        <w:t>（不计利息</w:t>
      </w:r>
      <w:r>
        <w:rPr>
          <w:spacing w:val="-53"/>
        </w:rPr>
        <w:t>）</w:t>
      </w:r>
      <w:r>
        <w:rPr>
          <w:spacing w:val="-27"/>
        </w:rPr>
        <w:t>的 </w:t>
      </w:r>
      <w:r>
        <w:rPr/>
        <w:t>200% 给付身故保险金；被保险人因前述以外情形身故，本合同终止，本公司按照本合同基本保险金</w:t>
      </w:r>
      <w:r>
        <w:rPr>
          <w:spacing w:val="-1"/>
        </w:rPr>
        <w:t>额给付身故保险金。</w:t>
      </w:r>
    </w:p>
    <w:p>
      <w:pPr>
        <w:pStyle w:val="BodyText"/>
        <w:spacing w:line="272" w:lineRule="exact"/>
        <w:ind w:left="522"/>
      </w:pPr>
      <w:r>
        <w:rPr/>
        <w:t>本合同的重大疾病保险金和身故保险金本公司仅给付一项，并以一次为限。</w:t>
      </w:r>
    </w:p>
    <w:p>
      <w:pPr>
        <w:pStyle w:val="BodyText"/>
        <w:spacing w:before="11"/>
        <w:ind w:left="0"/>
        <w:rPr>
          <w:sz w:val="25"/>
        </w:rPr>
      </w:pPr>
    </w:p>
    <w:p>
      <w:pPr>
        <w:pStyle w:val="Heading3"/>
        <w:tabs>
          <w:tab w:pos="946" w:val="left" w:leader="none"/>
        </w:tabs>
      </w:pPr>
      <w:r>
        <w:rPr/>
        <w:t>第八条</w:t>
        <w:tab/>
        <w:t>责任免除</w:t>
      </w:r>
    </w:p>
    <w:p>
      <w:pPr>
        <w:spacing w:line="228" w:lineRule="auto" w:before="19"/>
        <w:ind w:left="102" w:right="180" w:firstLine="420"/>
        <w:jc w:val="left"/>
        <w:rPr>
          <w:rFonts w:ascii="等线" w:eastAsia="等线" w:hint="eastAsia"/>
          <w:b/>
          <w:sz w:val="21"/>
        </w:rPr>
      </w:pPr>
      <w:r>
        <w:rPr>
          <w:rFonts w:ascii="等线" w:eastAsia="等线" w:hint="eastAsia"/>
          <w:b/>
          <w:sz w:val="21"/>
        </w:rPr>
        <w:t>因下列任何情形之一导致被保险人发生本合同所指重大疾病、特定疾病或身故，本公司不承担给付保险金的责任：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02" w:right="15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5"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72" w:lineRule="exact" w:before="0"/>
        <w:ind w:left="522" w:right="0"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w:t>
      </w:r>
    </w:p>
    <w:p>
      <w:pPr>
        <w:spacing w:line="228" w:lineRule="auto" w:before="7"/>
        <w:ind w:left="102" w:right="157" w:firstLine="420"/>
        <w:jc w:val="left"/>
        <w:rPr>
          <w:rFonts w:ascii="等线" w:eastAsia="等线" w:hint="eastAsia"/>
          <w:b/>
          <w:sz w:val="21"/>
        </w:rPr>
      </w:pPr>
      <w:r>
        <w:rPr>
          <w:rFonts w:ascii="等线" w:eastAsia="等线" w:hint="eastAsia"/>
          <w:b/>
          <w:sz w:val="21"/>
        </w:rPr>
        <w:t>六、被保险人在本合同效力最后恢复之日起一年内，患本合同所指重大疾病、特定疾病或因疾病而身故；</w:t>
      </w:r>
    </w:p>
    <w:p>
      <w:pPr>
        <w:spacing w:line="228" w:lineRule="auto" w:before="0"/>
        <w:ind w:left="522" w:right="4605"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line="265" w:lineRule="exact" w:before="0"/>
        <w:ind w:left="522" w:right="0" w:firstLine="0"/>
        <w:jc w:val="left"/>
        <w:rPr>
          <w:rFonts w:ascii="等线" w:eastAsia="等线" w:hint="eastAsia"/>
          <w:b/>
          <w:sz w:val="21"/>
        </w:rPr>
      </w:pPr>
      <w:r>
        <w:rPr>
          <w:rFonts w:ascii="等线" w:eastAsia="等线" w:hint="eastAsia"/>
          <w:b/>
          <w:sz w:val="21"/>
        </w:rPr>
        <w:t>九、遗传性疾病，先天性畸形、变形或染色体异常。</w:t>
      </w:r>
    </w:p>
    <w:p>
      <w:pPr>
        <w:spacing w:line="228" w:lineRule="auto" w:before="7"/>
        <w:ind w:left="102" w:right="180" w:firstLine="420"/>
        <w:jc w:val="both"/>
        <w:rPr>
          <w:rFonts w:ascii="等线" w:eastAsia="等线" w:hint="eastAsia"/>
          <w:b/>
          <w:sz w:val="21"/>
        </w:rPr>
      </w:pPr>
      <w:r>
        <w:rPr>
          <w:rFonts w:ascii="等线" w:eastAsia="等线" w:hint="eastAsia"/>
          <w:b/>
          <w:sz w:val="21"/>
        </w:rPr>
        <w:t>无论上述何种情形发生，导致被保险人发生本合同所指重大疾病、特定疾病或身故的，本合同终止，本公司向投保人退还本合同的现金价值，但需要扣除本合同已经给付或应给付的特定疾病保险金。投保人对被保险人故意杀害或伤害造成被保险人身故的，本公司退还本合同的现金价值，但需要扣除本合同已经给付或应给付的特定疾病保险金，作为被保险人遗产处理， 但法律另有规定的除外；投保人对被保险人故意杀害或伤害造成被保险人发生本合同所指重大疾病或特定疾病的，本公司向被保险人退还本合同的现金价值，但需要扣除本合同已经给付或应给付的特定疾病保险金。</w:t>
      </w:r>
    </w:p>
    <w:p>
      <w:pPr>
        <w:pStyle w:val="BodyText"/>
        <w:spacing w:before="4"/>
        <w:ind w:left="0"/>
        <w:rPr>
          <w:rFonts w:ascii="等线"/>
          <w:b/>
          <w:sz w:val="23"/>
        </w:rPr>
      </w:pPr>
    </w:p>
    <w:p>
      <w:pPr>
        <w:tabs>
          <w:tab w:pos="944" w:val="left" w:leader="none"/>
        </w:tabs>
        <w:spacing w:line="285" w:lineRule="exact" w:before="0"/>
        <w:ind w:left="102" w:right="0" w:firstLine="0"/>
        <w:jc w:val="left"/>
        <w:rPr>
          <w:rFonts w:ascii="等线" w:eastAsia="等线" w:hint="eastAsia"/>
          <w:b/>
          <w:sz w:val="21"/>
        </w:rPr>
      </w:pPr>
      <w:r>
        <w:rPr>
          <w:rFonts w:ascii="等线" w:eastAsia="等线" w:hint="eastAsia"/>
          <w:b/>
          <w:sz w:val="21"/>
        </w:rPr>
        <w:t>第九条</w:t>
        <w:tab/>
        <w:t>保险费</w:t>
      </w:r>
    </w:p>
    <w:p>
      <w:pPr>
        <w:pStyle w:val="BodyText"/>
        <w:spacing w:line="274" w:lineRule="exact"/>
        <w:ind w:left="522"/>
      </w:pPr>
      <w:r>
        <w:rPr/>
        <w:t>保险费交付方式为年交，交费期间分为五年和十年两种，由投保人在投保时选择。</w:t>
      </w:r>
    </w:p>
    <w:p>
      <w:pPr>
        <w:pStyle w:val="BodyText"/>
        <w:spacing w:before="11"/>
        <w:ind w:left="0"/>
        <w:rPr>
          <w:sz w:val="25"/>
        </w:rPr>
      </w:pPr>
    </w:p>
    <w:p>
      <w:pPr>
        <w:pStyle w:val="Heading3"/>
        <w:tabs>
          <w:tab w:pos="946" w:val="left" w:leader="none"/>
        </w:tabs>
      </w:pPr>
      <w:r>
        <w:rPr/>
        <w:t>第十条</w:t>
        <w:tab/>
        <w:t>保险金申请所需证明和资料</w:t>
      </w:r>
    </w:p>
    <w:p>
      <w:pPr>
        <w:pStyle w:val="BodyText"/>
        <w:spacing w:line="273" w:lineRule="auto" w:before="18"/>
        <w:ind w:left="522" w:right="1878"/>
      </w:pPr>
      <w:r>
        <w:rPr/>
        <w:t>一、申请重大疾病保险金和特定疾病保险金时，所需的证明和资料为： 1．保险单；</w:t>
      </w:r>
    </w:p>
    <w:p>
      <w:pPr>
        <w:pStyle w:val="BodyText"/>
        <w:spacing w:before="8"/>
        <w:ind w:left="522"/>
      </w:pPr>
      <w:r>
        <w:rPr/>
        <w:t>2．申请人法定身份证明；</w:t>
      </w:r>
    </w:p>
    <w:p>
      <w:pPr>
        <w:pStyle w:val="BodyText"/>
        <w:spacing w:before="37"/>
        <w:ind w:left="522"/>
      </w:pPr>
      <w:r>
        <w:rPr/>
        <w:t>3．专科医生出具的诊断证明（含相关的诊断依据）、病历、住院及出院证明文件；</w:t>
      </w:r>
    </w:p>
    <w:p>
      <w:pPr>
        <w:spacing w:after="0"/>
        <w:sectPr>
          <w:footerReference w:type="default" r:id="rId13"/>
          <w:pgSz w:w="11910" w:h="16840"/>
          <w:pgMar w:footer="940" w:header="0" w:top="1400" w:bottom="1120" w:left="1520" w:right="1460"/>
        </w:sectPr>
      </w:pPr>
    </w:p>
    <w:p>
      <w:pPr>
        <w:pStyle w:val="ListParagraph"/>
        <w:numPr>
          <w:ilvl w:val="0"/>
          <w:numId w:val="20"/>
        </w:numPr>
        <w:tabs>
          <w:tab w:pos="838" w:val="left" w:leader="none"/>
        </w:tabs>
        <w:spacing w:line="237" w:lineRule="auto" w:before="6" w:after="0"/>
        <w:ind w:left="102" w:right="315"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22" w:right="3978"/>
      </w:pPr>
      <w:r>
        <w:rPr/>
        <w:t>二、申请身故保险金时，所需的证明和资料为： 1．保险单；</w:t>
      </w:r>
    </w:p>
    <w:p>
      <w:pPr>
        <w:pStyle w:val="BodyText"/>
        <w:spacing w:line="270"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20"/>
        </w:numPr>
        <w:tabs>
          <w:tab w:pos="838" w:val="left" w:leader="none"/>
        </w:tabs>
        <w:spacing w:line="237" w:lineRule="auto" w:before="2" w:after="0"/>
        <w:ind w:left="102" w:right="315" w:firstLine="420"/>
        <w:jc w:val="left"/>
        <w:rPr>
          <w:sz w:val="21"/>
        </w:rPr>
      </w:pPr>
      <w:r>
        <w:rPr>
          <w:spacing w:val="-1"/>
          <w:sz w:val="21"/>
        </w:rPr>
        <w:t>本公司要求的申请人所能提供的与确认保险事故的性质、原因等相关的其他证明和资料。</w:t>
      </w:r>
    </w:p>
    <w:p>
      <w:pPr>
        <w:pStyle w:val="BodyText"/>
        <w:spacing w:before="2"/>
        <w:ind w:left="0"/>
      </w:pPr>
    </w:p>
    <w:p>
      <w:pPr>
        <w:pStyle w:val="Heading3"/>
        <w:tabs>
          <w:tab w:pos="1155" w:val="left" w:leader="none"/>
        </w:tabs>
        <w:spacing w:line="276" w:lineRule="exact" w:before="1"/>
      </w:pPr>
      <w:r>
        <w:rPr/>
        <w:t>第十一条</w:t>
        <w:tab/>
        <w:t>投保人解除合同的处理</w:t>
      </w:r>
    </w:p>
    <w:p>
      <w:pPr>
        <w:pStyle w:val="BodyText"/>
        <w:spacing w:line="264" w:lineRule="exact"/>
        <w:ind w:left="522"/>
      </w:pPr>
      <w:r>
        <w:rPr/>
        <w:t>在被保险人发生本合同所指特定疾病后，投保人不得解除本合同。</w:t>
      </w:r>
    </w:p>
    <w:p>
      <w:pPr>
        <w:pStyle w:val="BodyText"/>
        <w:spacing w:before="9"/>
        <w:ind w:left="0"/>
        <w:rPr>
          <w:sz w:val="22"/>
        </w:rPr>
      </w:pPr>
    </w:p>
    <w:p>
      <w:pPr>
        <w:pStyle w:val="Heading3"/>
        <w:tabs>
          <w:tab w:pos="1155" w:val="left" w:leader="none"/>
        </w:tabs>
        <w:spacing w:line="285" w:lineRule="exact" w:before="1"/>
      </w:pPr>
      <w:r>
        <w:rPr/>
        <w:t>第十二条</w:t>
        <w:tab/>
        <w:t>附则</w:t>
      </w:r>
    </w:p>
    <w:p>
      <w:pPr>
        <w:pStyle w:val="BodyText"/>
        <w:spacing w:line="272" w:lineRule="exact"/>
        <w:ind w:left="522"/>
      </w:pPr>
      <w:r>
        <w:rPr/>
        <w:t>一、本合同基本条款中“借款”事项不适用于本合同。</w:t>
      </w:r>
    </w:p>
    <w:p>
      <w:pPr>
        <w:pStyle w:val="BodyText"/>
        <w:spacing w:line="274" w:lineRule="exact"/>
        <w:ind w:left="522"/>
      </w:pPr>
      <w:r>
        <w:rPr/>
        <w:t>二、本合同基本条款与本合同利益条款相抵触的，以本合同利益条款为准。</w:t>
      </w:r>
    </w:p>
    <w:p>
      <w:pPr>
        <w:pStyle w:val="BodyText"/>
        <w:spacing w:before="10"/>
        <w:ind w:left="0"/>
        <w:rPr>
          <w:sz w:val="25"/>
        </w:rPr>
      </w:pPr>
    </w:p>
    <w:p>
      <w:pPr>
        <w:pStyle w:val="Heading3"/>
        <w:tabs>
          <w:tab w:pos="1155" w:val="left" w:leader="none"/>
        </w:tabs>
      </w:pPr>
      <w:r>
        <w:rPr/>
        <w:t>第十三条</w:t>
        <w:tab/>
        <w:t>释义</w:t>
      </w:r>
    </w:p>
    <w:p>
      <w:pPr>
        <w:pStyle w:val="BodyText"/>
        <w:spacing w:line="273" w:lineRule="auto" w:before="17"/>
        <w:ind w:right="10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7"/>
        <w:ind w:right="210"/>
      </w:pPr>
      <w:r>
        <w:rPr/>
        <w:t>（3）具有有效的中华人民共和国主治医师或主治医师以上职称的《医师职称证书》；（4）在二级或二级以上医院的相应科室从事临床工作三年以上。</w:t>
      </w:r>
    </w:p>
    <w:p>
      <w:pPr>
        <w:pStyle w:val="BodyText"/>
        <w:spacing w:line="273" w:lineRule="auto" w:before="7"/>
        <w:ind w:right="211" w:firstLine="420"/>
      </w:pPr>
      <w:r>
        <w:rPr>
          <w:u w:val="single"/>
        </w:rPr>
        <w:t>意外伤害</w:t>
      </w:r>
      <w:r>
        <w:rPr/>
        <w:t>：指遭受外来的、突发的、非本意的、非疾病的客观事件直接致使身体受到的伤害。</w:t>
      </w:r>
    </w:p>
    <w:p>
      <w:pPr>
        <w:pStyle w:val="BodyText"/>
        <w:spacing w:line="273" w:lineRule="auto" w:before="7"/>
        <w:ind w:right="15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15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7"/>
        <w:ind w:left="522"/>
      </w:pPr>
      <w:r>
        <w:rPr>
          <w:u w:val="single"/>
        </w:rPr>
        <w:t>无合法有效驾驶证驾驶</w:t>
      </w:r>
      <w:r>
        <w:rPr/>
        <w:t>：指下列情形之一：</w:t>
      </w:r>
    </w:p>
    <w:p>
      <w:pPr>
        <w:pStyle w:val="BodyText"/>
        <w:spacing w:before="37"/>
        <w:ind w:left="534"/>
      </w:pPr>
      <w:r>
        <w:rPr/>
        <w:t>（1）没有取得驾驶资格；</w:t>
      </w:r>
    </w:p>
    <w:p>
      <w:pPr>
        <w:pStyle w:val="BodyText"/>
        <w:spacing w:before="37"/>
        <w:ind w:left="534"/>
      </w:pPr>
      <w:r>
        <w:rPr/>
        <w:t>（2）驾驶与驾驶证准驾车型不相符合的车辆；</w:t>
      </w:r>
    </w:p>
    <w:p>
      <w:pPr>
        <w:pStyle w:val="BodyText"/>
        <w:spacing w:before="37"/>
        <w:ind w:left="534"/>
      </w:pPr>
      <w:r>
        <w:rPr/>
        <w:t>（3）持审验不合格的驾驶证驾驶；</w:t>
      </w:r>
    </w:p>
    <w:p>
      <w:pPr>
        <w:pStyle w:val="BodyText"/>
        <w:spacing w:line="273" w:lineRule="auto" w:before="37"/>
        <w:ind w:left="522" w:right="315"/>
      </w:pPr>
      <w:r>
        <w:rPr/>
        <w:t>（4）持学习驾驶证学习驾车时，无教练员随车指导，或不按指定时间、路线学习驾车。</w:t>
      </w:r>
      <w:r>
        <w:rPr>
          <w:u w:val="single"/>
        </w:rPr>
        <w:t>无有效行驶证</w:t>
      </w:r>
      <w:r>
        <w:rPr/>
        <w:t>：指下列情形之一：</w:t>
      </w:r>
    </w:p>
    <w:p>
      <w:pPr>
        <w:pStyle w:val="BodyText"/>
        <w:spacing w:before="7"/>
        <w:ind w:left="522"/>
      </w:pPr>
      <w:r>
        <w:rPr/>
        <w:t>（1）机动车被依法注销登记的；</w:t>
      </w:r>
    </w:p>
    <w:p>
      <w:pPr>
        <w:pStyle w:val="BodyText"/>
        <w:spacing w:before="36"/>
        <w:ind w:left="522"/>
      </w:pPr>
      <w:r>
        <w:rPr/>
        <w:t>（2）未依法按时进行或通过机动车安全技术检验。</w:t>
      </w:r>
    </w:p>
    <w:p>
      <w:pPr>
        <w:pStyle w:val="BodyText"/>
        <w:spacing w:line="273" w:lineRule="auto" w:before="36"/>
        <w:ind w:right="211" w:firstLine="420"/>
      </w:pPr>
      <w:r>
        <w:rPr>
          <w:u w:val="single"/>
        </w:rPr>
        <w:t>机动车</w:t>
      </w:r>
      <w:r>
        <w:rPr/>
        <w:t>：指以动力装置驱动或者牵引，供人员乘用或者用于运送物品以及进行工程专项作业的轮式车辆。</w:t>
      </w:r>
    </w:p>
    <w:p>
      <w:pPr>
        <w:pStyle w:val="BodyText"/>
        <w:spacing w:line="273" w:lineRule="auto" w:before="7"/>
        <w:ind w:right="211" w:firstLine="420"/>
      </w:pPr>
      <w:r>
        <w:rPr>
          <w:u w:val="single"/>
        </w:rPr>
        <w:t>战争</w:t>
      </w:r>
      <w:r>
        <w:rPr/>
        <w:t>：指国家与国家、民族与民族、政治集团与政治集团之间为了一定的政治、经济目的而进行的武装斗争，以政府宣布为准。</w:t>
      </w:r>
    </w:p>
    <w:p>
      <w:pPr>
        <w:pStyle w:val="BodyText"/>
        <w:spacing w:line="273" w:lineRule="auto" w:before="7"/>
        <w:ind w:left="522" w:right="147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1" w:firstLine="420"/>
      </w:pPr>
      <w:r>
        <w:rPr>
          <w:u w:val="single"/>
        </w:rPr>
        <w:t>遗传性疾病</w:t>
      </w:r>
      <w:r>
        <w:rPr/>
        <w:t>：指生殖细胞或受精卵的遗传物质（染色体和基因）发生突变或畸变所引起的疾病，通常具有由亲代传至后代的垂直传递的特征。</w:t>
      </w:r>
    </w:p>
    <w:p>
      <w:pPr>
        <w:spacing w:after="0" w:line="273" w:lineRule="auto"/>
        <w:sectPr>
          <w:footerReference w:type="default" r:id="rId14"/>
          <w:pgSz w:w="11910" w:h="16840"/>
          <w:pgMar w:footer="940" w:header="0" w:top="1380" w:bottom="1120" w:left="1520" w:right="1460"/>
        </w:sectPr>
      </w:pPr>
    </w:p>
    <w:p>
      <w:pPr>
        <w:pStyle w:val="BodyText"/>
        <w:spacing w:line="273" w:lineRule="auto" w:before="3"/>
        <w:ind w:right="11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5"/>
          <w:pgSz w:w="11910" w:h="16840"/>
          <w:pgMar w:footer="940" w:header="0" w:top="1400" w:bottom="1120" w:left="1520" w:right="1560"/>
        </w:sectPr>
      </w:pPr>
    </w:p>
    <w:p>
      <w:pPr>
        <w:pStyle w:val="Heading1"/>
        <w:spacing w:line="456" w:lineRule="exact"/>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6"/>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7"/>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8"/>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72.6pt;height:8.5pt;mso-position-horizontal-relative:page;mso-position-vertical-relative:page;z-index:-13672" type="#_x0000_t202" filled="false" stroked="false">
          <v:textbox inset="0,0,0,0">
            <w:txbxContent>
              <w:p>
                <w:pPr>
                  <w:spacing w:line="145" w:lineRule="exact" w:before="0"/>
                  <w:ind w:left="20" w:right="0" w:firstLine="0"/>
                  <w:jc w:val="left"/>
                  <w:rPr>
                    <w:sz w:val="13"/>
                  </w:rPr>
                </w:pPr>
                <w:r>
                  <w:rPr>
                    <w:sz w:val="13"/>
                  </w:rPr>
                  <w:t>国寿康宁定期重大疾病保险（2013</w:t>
                </w:r>
                <w:r>
                  <w:rPr>
                    <w:spacing w:val="-17"/>
                    <w:sz w:val="13"/>
                  </w:rPr>
                  <w:t> 版</w:t>
                </w:r>
                <w:r>
                  <w:rPr>
                    <w:sz w:val="13"/>
                  </w:rPr>
                  <w:t>）</w:t>
                </w:r>
                <w:r>
                  <w:rPr>
                    <w:spacing w:val="-1"/>
                    <w:sz w:val="13"/>
                  </w:rPr>
                  <w:t>利益条款 </w:t>
                </w:r>
                <w:r>
                  <w:rPr>
                    <w:sz w:val="13"/>
                  </w:rPr>
                  <w:t>（第一页)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456" type="#_x0000_t202" filled="false" stroked="false">
          <v:textbox inset="0,0,0,0">
            <w:txbxContent>
              <w:p>
                <w:pPr>
                  <w:spacing w:line="145" w:lineRule="exact" w:before="0"/>
                  <w:ind w:left="20" w:right="0" w:firstLine="0"/>
                  <w:jc w:val="left"/>
                  <w:rPr>
                    <w:sz w:val="13"/>
                  </w:rPr>
                </w:pPr>
                <w:r>
                  <w:rPr>
                    <w:sz w:val="13"/>
                  </w:rPr>
                  <w:t>国寿康宁定期重大疾病保险（2013</w:t>
                </w:r>
                <w:r>
                  <w:rPr>
                    <w:spacing w:val="-17"/>
                    <w:sz w:val="13"/>
                  </w:rPr>
                  <w:t> 版</w:t>
                </w:r>
                <w:r>
                  <w:rPr>
                    <w:sz w:val="13"/>
                  </w:rPr>
                  <w:t>）</w:t>
                </w:r>
                <w:r>
                  <w:rPr>
                    <w:spacing w:val="-1"/>
                    <w:sz w:val="13"/>
                  </w:rPr>
                  <w:t>利益条款 </w:t>
                </w:r>
                <w:r>
                  <w:rPr>
                    <w:sz w:val="13"/>
                  </w:rPr>
                  <w:t>（第十页)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43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40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338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648" type="#_x0000_t202" filled="false" stroked="false">
          <v:textbox inset="0,0,0,0">
            <w:txbxContent>
              <w:p>
                <w:pPr>
                  <w:spacing w:line="145" w:lineRule="exact" w:before="0"/>
                  <w:ind w:left="20" w:right="0" w:firstLine="0"/>
                  <w:jc w:val="left"/>
                  <w:rPr>
                    <w:sz w:val="13"/>
                  </w:rPr>
                </w:pPr>
                <w:r>
                  <w:rPr>
                    <w:sz w:val="13"/>
                  </w:rPr>
                  <w:t>国寿康宁定期重大疾病保险（2013</w:t>
                </w:r>
                <w:r>
                  <w:rPr>
                    <w:spacing w:val="-17"/>
                    <w:sz w:val="13"/>
                  </w:rPr>
                  <w:t> 版</w:t>
                </w:r>
                <w:r>
                  <w:rPr>
                    <w:sz w:val="13"/>
                  </w:rPr>
                  <w:t>）</w:t>
                </w:r>
                <w:r>
                  <w:rPr>
                    <w:spacing w:val="-1"/>
                    <w:sz w:val="13"/>
                  </w:rPr>
                  <w:t>利益条款 </w:t>
                </w:r>
                <w:r>
                  <w:rPr>
                    <w:sz w:val="13"/>
                  </w:rPr>
                  <w:t>（第二页)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624" type="#_x0000_t202" filled="false" stroked="false">
          <v:textbox inset="0,0,0,0">
            <w:txbxContent>
              <w:p>
                <w:pPr>
                  <w:spacing w:line="145" w:lineRule="exact" w:before="0"/>
                  <w:ind w:left="20" w:right="0" w:firstLine="0"/>
                  <w:jc w:val="left"/>
                  <w:rPr>
                    <w:sz w:val="13"/>
                  </w:rPr>
                </w:pPr>
                <w:r>
                  <w:rPr>
                    <w:sz w:val="13"/>
                  </w:rPr>
                  <w:t>国寿康宁定期重大疾病保险（2013</w:t>
                </w:r>
                <w:r>
                  <w:rPr>
                    <w:spacing w:val="-17"/>
                    <w:sz w:val="13"/>
                  </w:rPr>
                  <w:t> 版</w:t>
                </w:r>
                <w:r>
                  <w:rPr>
                    <w:sz w:val="13"/>
                  </w:rPr>
                  <w:t>）</w:t>
                </w:r>
                <w:r>
                  <w:rPr>
                    <w:spacing w:val="-1"/>
                    <w:sz w:val="13"/>
                  </w:rPr>
                  <w:t>利益条款 </w:t>
                </w:r>
                <w:r>
                  <w:rPr>
                    <w:sz w:val="13"/>
                  </w:rPr>
                  <w:t>（第三页)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600" type="#_x0000_t202" filled="false" stroked="false">
          <v:textbox inset="0,0,0,0">
            <w:txbxContent>
              <w:p>
                <w:pPr>
                  <w:spacing w:line="145" w:lineRule="exact" w:before="0"/>
                  <w:ind w:left="20" w:right="0" w:firstLine="0"/>
                  <w:jc w:val="left"/>
                  <w:rPr>
                    <w:sz w:val="13"/>
                  </w:rPr>
                </w:pPr>
                <w:r>
                  <w:rPr>
                    <w:sz w:val="13"/>
                  </w:rPr>
                  <w:t>国寿康宁定期重大疾病保险（2013</w:t>
                </w:r>
                <w:r>
                  <w:rPr>
                    <w:spacing w:val="-17"/>
                    <w:sz w:val="13"/>
                  </w:rPr>
                  <w:t> 版</w:t>
                </w:r>
                <w:r>
                  <w:rPr>
                    <w:sz w:val="13"/>
                  </w:rPr>
                  <w:t>）</w:t>
                </w:r>
                <w:r>
                  <w:rPr>
                    <w:spacing w:val="-1"/>
                    <w:sz w:val="13"/>
                  </w:rPr>
                  <w:t>利益条款 </w:t>
                </w:r>
                <w:r>
                  <w:rPr>
                    <w:sz w:val="13"/>
                  </w:rPr>
                  <w:t>（第四页)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576" type="#_x0000_t202" filled="false" stroked="false">
          <v:textbox inset="0,0,0,0">
            <w:txbxContent>
              <w:p>
                <w:pPr>
                  <w:spacing w:line="145" w:lineRule="exact" w:before="0"/>
                  <w:ind w:left="20" w:right="0" w:firstLine="0"/>
                  <w:jc w:val="left"/>
                  <w:rPr>
                    <w:sz w:val="13"/>
                  </w:rPr>
                </w:pPr>
                <w:r>
                  <w:rPr>
                    <w:sz w:val="13"/>
                  </w:rPr>
                  <w:t>国寿康宁定期重大疾病保险（2013</w:t>
                </w:r>
                <w:r>
                  <w:rPr>
                    <w:spacing w:val="-17"/>
                    <w:sz w:val="13"/>
                  </w:rPr>
                  <w:t> 版</w:t>
                </w:r>
                <w:r>
                  <w:rPr>
                    <w:sz w:val="13"/>
                  </w:rPr>
                  <w:t>）</w:t>
                </w:r>
                <w:r>
                  <w:rPr>
                    <w:spacing w:val="-1"/>
                    <w:sz w:val="13"/>
                  </w:rPr>
                  <w:t>利益条款 </w:t>
                </w:r>
                <w:r>
                  <w:rPr>
                    <w:sz w:val="13"/>
                  </w:rPr>
                  <w:t>（第五页)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552" type="#_x0000_t202" filled="false" stroked="false">
          <v:textbox inset="0,0,0,0">
            <w:txbxContent>
              <w:p>
                <w:pPr>
                  <w:spacing w:line="145" w:lineRule="exact" w:before="0"/>
                  <w:ind w:left="20" w:right="0" w:firstLine="0"/>
                  <w:jc w:val="left"/>
                  <w:rPr>
                    <w:sz w:val="13"/>
                  </w:rPr>
                </w:pPr>
                <w:r>
                  <w:rPr>
                    <w:sz w:val="13"/>
                  </w:rPr>
                  <w:t>国寿康宁定期重大疾病保险（2013</w:t>
                </w:r>
                <w:r>
                  <w:rPr>
                    <w:spacing w:val="-17"/>
                    <w:sz w:val="13"/>
                  </w:rPr>
                  <w:t> 版</w:t>
                </w:r>
                <w:r>
                  <w:rPr>
                    <w:sz w:val="13"/>
                  </w:rPr>
                  <w:t>）</w:t>
                </w:r>
                <w:r>
                  <w:rPr>
                    <w:spacing w:val="-1"/>
                    <w:sz w:val="13"/>
                  </w:rPr>
                  <w:t>利益条款 </w:t>
                </w:r>
                <w:r>
                  <w:rPr>
                    <w:sz w:val="13"/>
                  </w:rPr>
                  <w:t>（第六页)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528" type="#_x0000_t202" filled="false" stroked="false">
          <v:textbox inset="0,0,0,0">
            <w:txbxContent>
              <w:p>
                <w:pPr>
                  <w:spacing w:line="145" w:lineRule="exact" w:before="0"/>
                  <w:ind w:left="20" w:right="0" w:firstLine="0"/>
                  <w:jc w:val="left"/>
                  <w:rPr>
                    <w:sz w:val="13"/>
                  </w:rPr>
                </w:pPr>
                <w:r>
                  <w:rPr>
                    <w:sz w:val="13"/>
                  </w:rPr>
                  <w:t>国寿康宁定期重大疾病保险（2013</w:t>
                </w:r>
                <w:r>
                  <w:rPr>
                    <w:spacing w:val="-17"/>
                    <w:sz w:val="13"/>
                  </w:rPr>
                  <w:t> 版</w:t>
                </w:r>
                <w:r>
                  <w:rPr>
                    <w:sz w:val="13"/>
                  </w:rPr>
                  <w:t>）</w:t>
                </w:r>
                <w:r>
                  <w:rPr>
                    <w:spacing w:val="-1"/>
                    <w:sz w:val="13"/>
                  </w:rPr>
                  <w:t>利益条款 </w:t>
                </w:r>
                <w:r>
                  <w:rPr>
                    <w:sz w:val="13"/>
                  </w:rPr>
                  <w:t>（第七页)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504" type="#_x0000_t202" filled="false" stroked="false">
          <v:textbox inset="0,0,0,0">
            <w:txbxContent>
              <w:p>
                <w:pPr>
                  <w:spacing w:line="145" w:lineRule="exact" w:before="0"/>
                  <w:ind w:left="20" w:right="0" w:firstLine="0"/>
                  <w:jc w:val="left"/>
                  <w:rPr>
                    <w:sz w:val="13"/>
                  </w:rPr>
                </w:pPr>
                <w:r>
                  <w:rPr>
                    <w:sz w:val="13"/>
                  </w:rPr>
                  <w:t>国寿康宁定期重大疾病保险（2013</w:t>
                </w:r>
                <w:r>
                  <w:rPr>
                    <w:spacing w:val="-17"/>
                    <w:sz w:val="13"/>
                  </w:rPr>
                  <w:t> 版</w:t>
                </w:r>
                <w:r>
                  <w:rPr>
                    <w:sz w:val="13"/>
                  </w:rPr>
                  <w:t>）</w:t>
                </w:r>
                <w:r>
                  <w:rPr>
                    <w:spacing w:val="-1"/>
                    <w:sz w:val="13"/>
                  </w:rPr>
                  <w:t>利益条款 </w:t>
                </w:r>
                <w:r>
                  <w:rPr>
                    <w:sz w:val="13"/>
                  </w:rPr>
                  <w:t>（第八页)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2.6pt;height:8.5pt;mso-position-horizontal-relative:page;mso-position-vertical-relative:page;z-index:-13480" type="#_x0000_t202" filled="false" stroked="false">
          <v:textbox inset="0,0,0,0">
            <w:txbxContent>
              <w:p>
                <w:pPr>
                  <w:spacing w:line="145" w:lineRule="exact" w:before="0"/>
                  <w:ind w:left="20" w:right="0" w:firstLine="0"/>
                  <w:jc w:val="left"/>
                  <w:rPr>
                    <w:sz w:val="13"/>
                  </w:rPr>
                </w:pPr>
                <w:r>
                  <w:rPr>
                    <w:sz w:val="13"/>
                  </w:rPr>
                  <w:t>国寿康宁定期重大疾病保险（2013</w:t>
                </w:r>
                <w:r>
                  <w:rPr>
                    <w:spacing w:val="-17"/>
                    <w:sz w:val="13"/>
                  </w:rPr>
                  <w:t> 版</w:t>
                </w:r>
                <w:r>
                  <w:rPr>
                    <w:sz w:val="13"/>
                  </w:rPr>
                  <w:t>）</w:t>
                </w:r>
                <w:r>
                  <w:rPr>
                    <w:spacing w:val="-1"/>
                    <w:sz w:val="13"/>
                  </w:rPr>
                  <w:t>利益条款 </w:t>
                </w:r>
                <w:r>
                  <w:rPr>
                    <w:sz w:val="13"/>
                  </w:rPr>
                  <w:t>（第九页)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4"/>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2" w:hanging="315"/>
      </w:pPr>
      <w:rPr>
        <w:rFonts w:hint="default"/>
      </w:rPr>
    </w:lvl>
    <w:lvl w:ilvl="2">
      <w:start w:val="0"/>
      <w:numFmt w:val="bullet"/>
      <w:lvlText w:val="•"/>
      <w:lvlJc w:val="left"/>
      <w:pPr>
        <w:ind w:left="1864" w:hanging="315"/>
      </w:pPr>
      <w:rPr>
        <w:rFonts w:hint="default"/>
      </w:rPr>
    </w:lvl>
    <w:lvl w:ilvl="3">
      <w:start w:val="0"/>
      <w:numFmt w:val="bullet"/>
      <w:lvlText w:val="•"/>
      <w:lvlJc w:val="left"/>
      <w:pPr>
        <w:ind w:left="2747" w:hanging="315"/>
      </w:pPr>
      <w:rPr>
        <w:rFonts w:hint="default"/>
      </w:rPr>
    </w:lvl>
    <w:lvl w:ilvl="4">
      <w:start w:val="0"/>
      <w:numFmt w:val="bullet"/>
      <w:lvlText w:val="•"/>
      <w:lvlJc w:val="left"/>
      <w:pPr>
        <w:ind w:left="3629" w:hanging="315"/>
      </w:pPr>
      <w:rPr>
        <w:rFonts w:hint="default"/>
      </w:rPr>
    </w:lvl>
    <w:lvl w:ilvl="5">
      <w:start w:val="0"/>
      <w:numFmt w:val="bullet"/>
      <w:lvlText w:val="•"/>
      <w:lvlJc w:val="left"/>
      <w:pPr>
        <w:ind w:left="4512" w:hanging="315"/>
      </w:pPr>
      <w:rPr>
        <w:rFonts w:hint="default"/>
      </w:rPr>
    </w:lvl>
    <w:lvl w:ilvl="6">
      <w:start w:val="0"/>
      <w:numFmt w:val="bullet"/>
      <w:lvlText w:val="•"/>
      <w:lvlJc w:val="left"/>
      <w:pPr>
        <w:ind w:left="5394" w:hanging="315"/>
      </w:pPr>
      <w:rPr>
        <w:rFonts w:hint="default"/>
      </w:rPr>
    </w:lvl>
    <w:lvl w:ilvl="7">
      <w:start w:val="0"/>
      <w:numFmt w:val="bullet"/>
      <w:lvlText w:val="•"/>
      <w:lvlJc w:val="left"/>
      <w:pPr>
        <w:ind w:left="6277" w:hanging="315"/>
      </w:pPr>
      <w:rPr>
        <w:rFonts w:hint="default"/>
      </w:rPr>
    </w:lvl>
    <w:lvl w:ilvl="8">
      <w:start w:val="0"/>
      <w:numFmt w:val="bullet"/>
      <w:lvlText w:val="•"/>
      <w:lvlJc w:val="left"/>
      <w:pPr>
        <w:ind w:left="7159" w:hanging="315"/>
      </w:pPr>
      <w:rPr>
        <w:rFonts w:hint="default"/>
      </w:rPr>
    </w:lvl>
  </w:abstractNum>
  <w:abstractNum w:abstractNumId="18">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7">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5">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4">
    <w:multiLevelType w:val="hybridMultilevel"/>
    <w:lvl w:ilvl="0">
      <w:start w:val="1"/>
      <w:numFmt w:val="decimal"/>
      <w:lvlText w:val="%1."/>
      <w:lvlJc w:val="left"/>
      <w:pPr>
        <w:ind w:left="102" w:hanging="319"/>
        <w:jc w:val="left"/>
      </w:pPr>
      <w:rPr>
        <w:rFonts w:hint="default" w:ascii="宋体" w:hAnsi="宋体" w:eastAsia="宋体" w:cs="宋体"/>
        <w:spacing w:val="0"/>
        <w:w w:val="100"/>
        <w:sz w:val="21"/>
        <w:szCs w:val="21"/>
      </w:rPr>
    </w:lvl>
    <w:lvl w:ilvl="1">
      <w:start w:val="0"/>
      <w:numFmt w:val="bullet"/>
      <w:lvlText w:val="•"/>
      <w:lvlJc w:val="left"/>
      <w:pPr>
        <w:ind w:left="988" w:hanging="319"/>
      </w:pPr>
      <w:rPr>
        <w:rFonts w:hint="default"/>
      </w:rPr>
    </w:lvl>
    <w:lvl w:ilvl="2">
      <w:start w:val="0"/>
      <w:numFmt w:val="bullet"/>
      <w:lvlText w:val="•"/>
      <w:lvlJc w:val="left"/>
      <w:pPr>
        <w:ind w:left="1876" w:hanging="319"/>
      </w:pPr>
      <w:rPr>
        <w:rFonts w:hint="default"/>
      </w:rPr>
    </w:lvl>
    <w:lvl w:ilvl="3">
      <w:start w:val="0"/>
      <w:numFmt w:val="bullet"/>
      <w:lvlText w:val="•"/>
      <w:lvlJc w:val="left"/>
      <w:pPr>
        <w:ind w:left="2765" w:hanging="319"/>
      </w:pPr>
      <w:rPr>
        <w:rFonts w:hint="default"/>
      </w:rPr>
    </w:lvl>
    <w:lvl w:ilvl="4">
      <w:start w:val="0"/>
      <w:numFmt w:val="bullet"/>
      <w:lvlText w:val="•"/>
      <w:lvlJc w:val="left"/>
      <w:pPr>
        <w:ind w:left="3653"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430" w:hanging="319"/>
      </w:pPr>
      <w:rPr>
        <w:rFonts w:hint="default"/>
      </w:rPr>
    </w:lvl>
    <w:lvl w:ilvl="7">
      <w:start w:val="0"/>
      <w:numFmt w:val="bullet"/>
      <w:lvlText w:val="•"/>
      <w:lvlJc w:val="left"/>
      <w:pPr>
        <w:ind w:left="6319" w:hanging="319"/>
      </w:pPr>
      <w:rPr>
        <w:rFonts w:hint="default"/>
      </w:rPr>
    </w:lvl>
    <w:lvl w:ilvl="8">
      <w:start w:val="0"/>
      <w:numFmt w:val="bullet"/>
      <w:lvlText w:val="•"/>
      <w:lvlJc w:val="left"/>
      <w:pPr>
        <w:ind w:left="7207" w:hanging="319"/>
      </w:pPr>
      <w:rPr>
        <w:rFonts w:hint="default"/>
      </w:rPr>
    </w:lvl>
  </w:abstractNum>
  <w:abstractNum w:abstractNumId="1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1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343"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233"/>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6"/>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2018-10-19T22:23:23Z</dcterms:created>
  <dcterms:modified xsi:type="dcterms:W3CDTF">2018-10-19T22:23:23Z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2014-07-12T00:00:00Z</vt:filetime>
  </property>
  <property fmtid="{D5CDD505-2E9C-101B-9397-08002B2CF9AE}" pid="3" name="Creator">
    <vt:lpwstr>PScript5.dll Version 5.2.2</vt:lpwstr>
  </property>
  <property fmtid="{D5CDD505-2E9C-101B-9397-08002B2CF9AE}" pid="4" name="LastSaved">
    <vt:filetime>2018-10-19T00:00:00Z</vt:filetime>
  </property>
</Properties>
</file>