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ind w:left="316" w:right="0" w:firstLine="0"/>
        <w:rPr>
          <w:rFonts w:ascii="Times New Roman"/>
          <w:sz w:val="20"/>
        </w:rPr>
      </w:pPr>
      <w:r>
        <w:rPr>
          <w:rFonts w:ascii="Times New Roman"/>
          <w:spacing w:val="-50"/>
          <w:sz w:val="20"/>
        </w:rPr>
        <w:t> </w:t>
      </w:r>
      <w:r>
        <w:rPr>
          <w:rFonts w:ascii="Times New Roman"/>
          <w:spacing w:val="-50"/>
          <w:sz w:val="20"/>
        </w:rPr>
        <w:pict>
          <v:group style="width:526.3pt;height:83.65pt;mso-position-horizontal-relative:char;mso-position-vertical-relative:line" coordorigin="0,0" coordsize="10526,1673">
            <v:line style="position:absolute" from="8,840" to="9368,818" stroked="true" strokeweight=".75pt" strokecolor="#000000">
              <v:stroke dashstyle="solid"/>
            </v:line>
            <v:shape style="position:absolute;left:7679;top:0;width:2847;height:353" type="#_x0000_t75" stroked="false">
              <v:imagedata r:id="rId6" o:title=""/>
            </v:shape>
            <v:shape style="position:absolute;left:8085;top:1380;width:2336;height:293" type="#_x0000_t75" stroked="false">
              <v:imagedata r:id="rId7" o:title=""/>
            </v:shape>
            <v:shape style="position:absolute;left:8603;top:267;width:1140;height:1140" type="#_x0000_t75" stroked="false">
              <v:imagedata r:id="rId8" o:title=""/>
            </v:shape>
            <v:shape style="position:absolute;left:7837;top:61;width:2553;height:180" type="#_x0000_t202" filled="false" stroked="false">
              <v:textbox inset="0,0,0,0">
                <w:txbxContent>
                  <w:p>
                    <w:pPr>
                      <w:spacing w:line="180" w:lineRule="exact" w:before="0"/>
                      <w:ind w:left="0" w:right="0" w:firstLine="0"/>
                      <w:jc w:val="left"/>
                      <w:rPr>
                        <w:b/>
                        <w:sz w:val="18"/>
                      </w:rPr>
                    </w:pPr>
                    <w:r>
                      <w:rPr>
                        <w:b/>
                        <w:sz w:val="18"/>
                      </w:rPr>
                      <w:t>天安人寿[2016]</w:t>
                    </w:r>
                    <w:r>
                      <w:rPr>
                        <w:b/>
                        <w:spacing w:val="-10"/>
                        <w:sz w:val="18"/>
                      </w:rPr>
                      <w:t>疾病保险 </w:t>
                    </w:r>
                    <w:r>
                      <w:rPr>
                        <w:b/>
                        <w:sz w:val="18"/>
                      </w:rPr>
                      <w:t>039</w:t>
                    </w:r>
                    <w:r>
                      <w:rPr>
                        <w:b/>
                        <w:spacing w:val="-24"/>
                        <w:sz w:val="18"/>
                      </w:rPr>
                      <w:t> 号</w:t>
                    </w:r>
                  </w:p>
                </w:txbxContent>
              </v:textbox>
              <w10:wrap type="none"/>
            </v:shape>
            <v:shape style="position:absolute;left:7;top:583;width:4372;height:200" type="#_x0000_t202" filled="false" stroked="false">
              <v:textbox inset="0,0,0,0">
                <w:txbxContent>
                  <w:p>
                    <w:pPr>
                      <w:spacing w:line="199" w:lineRule="exact" w:before="0"/>
                      <w:ind w:left="0" w:right="0" w:firstLine="0"/>
                      <w:jc w:val="left"/>
                      <w:rPr>
                        <w:sz w:val="18"/>
                      </w:rPr>
                    </w:pPr>
                    <w:r>
                      <w:rPr>
                        <w:spacing w:val="-3"/>
                        <w:sz w:val="18"/>
                      </w:rPr>
                      <w:t>天安人寿附加投保人豁免保险费 </w:t>
                    </w:r>
                    <w:r>
                      <w:rPr>
                        <w:rFonts w:ascii="Times New Roman" w:eastAsia="Times New Roman"/>
                        <w:sz w:val="18"/>
                      </w:rPr>
                      <w:t>B </w:t>
                    </w:r>
                    <w:r>
                      <w:rPr>
                        <w:sz w:val="18"/>
                      </w:rPr>
                      <w:t>款重大疾病保险条款</w:t>
                    </w:r>
                  </w:p>
                </w:txbxContent>
              </v:textbox>
              <w10:wrap type="none"/>
            </v:shape>
            <v:shape style="position:absolute;left:3773;top:1281;width:1787;height:320" type="#_x0000_t202" filled="false" stroked="false">
              <v:textbox inset="0,0,0,0">
                <w:txbxContent>
                  <w:p>
                    <w:pPr>
                      <w:spacing w:line="319" w:lineRule="exact" w:before="0"/>
                      <w:ind w:left="0" w:right="0" w:firstLine="0"/>
                      <w:jc w:val="left"/>
                      <w:rPr>
                        <w:b/>
                        <w:sz w:val="32"/>
                      </w:rPr>
                    </w:pPr>
                    <w:r>
                      <w:rPr>
                        <w:b/>
                        <w:sz w:val="32"/>
                      </w:rPr>
                      <w:t>阅 读 指 引</w:t>
                    </w:r>
                  </w:p>
                </w:txbxContent>
              </v:textbox>
              <w10:wrap type="none"/>
            </v:shape>
            <v:shape style="position:absolute;left:8231;top:1444;width:1827;height:180" type="#_x0000_t202" filled="false" stroked="false">
              <v:textbox inset="0,0,0,0">
                <w:txbxContent>
                  <w:p>
                    <w:pPr>
                      <w:spacing w:line="180" w:lineRule="exact" w:before="0"/>
                      <w:ind w:left="0" w:right="0" w:firstLine="0"/>
                      <w:jc w:val="left"/>
                      <w:rPr>
                        <w:b/>
                        <w:sz w:val="18"/>
                      </w:rPr>
                    </w:pPr>
                    <w:r>
                      <w:rPr>
                        <w:b/>
                        <w:w w:val="95"/>
                        <w:sz w:val="18"/>
                      </w:rPr>
                      <w:t>请扫描以查询验证条款</w:t>
                    </w:r>
                  </w:p>
                </w:txbxContent>
              </v:textbox>
              <w10:wrap type="none"/>
            </v:shape>
          </v:group>
        </w:pict>
      </w:r>
      <w:r>
        <w:rPr>
          <w:rFonts w:ascii="Times New Roman"/>
          <w:spacing w:val="-50"/>
          <w:sz w:val="20"/>
        </w:rPr>
      </w:r>
    </w:p>
    <w:p>
      <w:pPr>
        <w:spacing w:before="61"/>
        <w:ind w:left="854" w:right="1832" w:firstLine="0"/>
        <w:jc w:val="center"/>
        <w:rPr>
          <w:b/>
          <w:sz w:val="21"/>
        </w:rPr>
      </w:pPr>
      <w:r>
        <w:rPr>
          <w:b/>
          <w:spacing w:val="-149"/>
          <w:sz w:val="21"/>
        </w:rPr>
        <w:t>本</w:t>
      </w:r>
      <w:r>
        <w:rPr>
          <w:spacing w:val="-63"/>
          <w:position w:val="-7"/>
          <w:sz w:val="21"/>
        </w:rPr>
        <w:t>．</w:t>
      </w:r>
      <w:r>
        <w:rPr>
          <w:b/>
          <w:spacing w:val="-149"/>
          <w:sz w:val="21"/>
        </w:rPr>
        <w:t>阅</w:t>
      </w:r>
      <w:r>
        <w:rPr>
          <w:spacing w:val="-63"/>
          <w:position w:val="-7"/>
          <w:sz w:val="21"/>
        </w:rPr>
        <w:t>．</w:t>
      </w:r>
      <w:r>
        <w:rPr>
          <w:b/>
          <w:spacing w:val="-149"/>
          <w:sz w:val="21"/>
        </w:rPr>
        <w:t>读</w:t>
      </w:r>
      <w:r>
        <w:rPr>
          <w:spacing w:val="-63"/>
          <w:position w:val="-7"/>
          <w:sz w:val="21"/>
        </w:rPr>
        <w:t>．</w:t>
      </w:r>
      <w:r>
        <w:rPr>
          <w:b/>
          <w:spacing w:val="-149"/>
          <w:sz w:val="21"/>
        </w:rPr>
        <w:t>指</w:t>
      </w:r>
      <w:r>
        <w:rPr>
          <w:spacing w:val="-63"/>
          <w:position w:val="-7"/>
          <w:sz w:val="21"/>
        </w:rPr>
        <w:t>．</w:t>
      </w:r>
      <w:r>
        <w:rPr>
          <w:b/>
          <w:spacing w:val="-149"/>
          <w:sz w:val="21"/>
        </w:rPr>
        <w:t>引</w:t>
      </w:r>
      <w:r>
        <w:rPr>
          <w:spacing w:val="-63"/>
          <w:position w:val="-7"/>
          <w:sz w:val="21"/>
        </w:rPr>
        <w:t>．</w:t>
      </w:r>
      <w:r>
        <w:rPr>
          <w:b/>
          <w:spacing w:val="-149"/>
          <w:sz w:val="21"/>
        </w:rPr>
        <w:t>有</w:t>
      </w:r>
      <w:r>
        <w:rPr>
          <w:spacing w:val="-63"/>
          <w:position w:val="-7"/>
          <w:sz w:val="21"/>
        </w:rPr>
        <w:t>．</w:t>
      </w:r>
      <w:r>
        <w:rPr>
          <w:b/>
          <w:spacing w:val="-149"/>
          <w:sz w:val="21"/>
        </w:rPr>
        <w:t>助</w:t>
      </w:r>
      <w:r>
        <w:rPr>
          <w:spacing w:val="-63"/>
          <w:position w:val="-7"/>
          <w:sz w:val="21"/>
        </w:rPr>
        <w:t>．</w:t>
      </w:r>
      <w:r>
        <w:rPr>
          <w:b/>
          <w:spacing w:val="-149"/>
          <w:sz w:val="21"/>
        </w:rPr>
        <w:t>于</w:t>
      </w:r>
      <w:r>
        <w:rPr>
          <w:spacing w:val="-63"/>
          <w:position w:val="-7"/>
          <w:sz w:val="21"/>
        </w:rPr>
        <w:t>．</w:t>
      </w:r>
      <w:r>
        <w:rPr>
          <w:b/>
          <w:spacing w:val="-151"/>
          <w:sz w:val="21"/>
        </w:rPr>
        <w:t>您</w:t>
      </w:r>
      <w:r>
        <w:rPr>
          <w:spacing w:val="-63"/>
          <w:position w:val="-7"/>
          <w:sz w:val="21"/>
        </w:rPr>
        <w:t>．</w:t>
      </w:r>
      <w:r>
        <w:rPr>
          <w:b/>
          <w:spacing w:val="-149"/>
          <w:sz w:val="21"/>
        </w:rPr>
        <w:t>理</w:t>
      </w:r>
      <w:r>
        <w:rPr>
          <w:spacing w:val="-63"/>
          <w:position w:val="-7"/>
          <w:sz w:val="21"/>
        </w:rPr>
        <w:t>．</w:t>
      </w:r>
      <w:r>
        <w:rPr>
          <w:b/>
          <w:spacing w:val="-151"/>
          <w:sz w:val="21"/>
        </w:rPr>
        <w:t>解</w:t>
      </w:r>
      <w:r>
        <w:rPr>
          <w:spacing w:val="-63"/>
          <w:position w:val="-7"/>
          <w:sz w:val="21"/>
        </w:rPr>
        <w:t>．</w:t>
      </w:r>
      <w:r>
        <w:rPr>
          <w:b/>
          <w:spacing w:val="-149"/>
          <w:sz w:val="21"/>
        </w:rPr>
        <w:t>条</w:t>
      </w:r>
      <w:r>
        <w:rPr>
          <w:spacing w:val="-63"/>
          <w:position w:val="-7"/>
          <w:sz w:val="21"/>
        </w:rPr>
        <w:t>．</w:t>
      </w:r>
      <w:r>
        <w:rPr>
          <w:b/>
          <w:spacing w:val="-149"/>
          <w:sz w:val="21"/>
        </w:rPr>
        <w:t>款</w:t>
      </w:r>
      <w:r>
        <w:rPr>
          <w:spacing w:val="-32"/>
          <w:position w:val="-7"/>
          <w:sz w:val="21"/>
        </w:rPr>
        <w:t>．</w:t>
      </w:r>
      <w:r>
        <w:rPr>
          <w:b/>
          <w:spacing w:val="-91"/>
          <w:sz w:val="21"/>
        </w:rPr>
        <w:t>，对</w:t>
      </w:r>
      <w:r>
        <w:rPr>
          <w:spacing w:val="-63"/>
          <w:position w:val="-7"/>
          <w:sz w:val="21"/>
        </w:rPr>
        <w:t>．</w:t>
      </w:r>
      <w:r>
        <w:rPr>
          <w:b/>
          <w:spacing w:val="-149"/>
          <w:sz w:val="21"/>
        </w:rPr>
        <w:t>本</w:t>
      </w:r>
      <w:r>
        <w:rPr>
          <w:spacing w:val="-63"/>
          <w:position w:val="-7"/>
          <w:sz w:val="21"/>
        </w:rPr>
        <w:t>．</w:t>
      </w:r>
      <w:r>
        <w:rPr>
          <w:b/>
          <w:spacing w:val="-149"/>
          <w:sz w:val="21"/>
        </w:rPr>
        <w:t>合</w:t>
      </w:r>
      <w:r>
        <w:rPr>
          <w:spacing w:val="-63"/>
          <w:position w:val="-7"/>
          <w:sz w:val="21"/>
        </w:rPr>
        <w:t>．</w:t>
      </w:r>
      <w:r>
        <w:rPr>
          <w:b/>
          <w:spacing w:val="-149"/>
          <w:sz w:val="21"/>
        </w:rPr>
        <w:t>同</w:t>
      </w:r>
      <w:r>
        <w:rPr>
          <w:spacing w:val="-63"/>
          <w:position w:val="-7"/>
          <w:sz w:val="21"/>
        </w:rPr>
        <w:t>．</w:t>
      </w:r>
      <w:r>
        <w:rPr>
          <w:b/>
          <w:spacing w:val="-149"/>
          <w:sz w:val="21"/>
        </w:rPr>
        <w:t>内</w:t>
      </w:r>
      <w:r>
        <w:rPr>
          <w:spacing w:val="-63"/>
          <w:position w:val="-7"/>
          <w:sz w:val="21"/>
        </w:rPr>
        <w:t>．</w:t>
      </w:r>
      <w:r>
        <w:rPr>
          <w:b/>
          <w:spacing w:val="-151"/>
          <w:sz w:val="21"/>
        </w:rPr>
        <w:t>容</w:t>
      </w:r>
      <w:r>
        <w:rPr>
          <w:spacing w:val="-63"/>
          <w:position w:val="-7"/>
          <w:sz w:val="21"/>
        </w:rPr>
        <w:t>．</w:t>
      </w:r>
      <w:r>
        <w:rPr>
          <w:b/>
          <w:spacing w:val="-149"/>
          <w:sz w:val="21"/>
        </w:rPr>
        <w:t>的</w:t>
      </w:r>
      <w:r>
        <w:rPr>
          <w:spacing w:val="-63"/>
          <w:position w:val="-7"/>
          <w:sz w:val="21"/>
        </w:rPr>
        <w:t>．</w:t>
      </w:r>
      <w:r>
        <w:rPr>
          <w:b/>
          <w:spacing w:val="-151"/>
          <w:sz w:val="21"/>
        </w:rPr>
        <w:t>解</w:t>
      </w:r>
      <w:r>
        <w:rPr>
          <w:spacing w:val="-63"/>
          <w:position w:val="-7"/>
          <w:sz w:val="21"/>
        </w:rPr>
        <w:t>．</w:t>
      </w:r>
      <w:r>
        <w:rPr>
          <w:b/>
          <w:spacing w:val="-149"/>
          <w:sz w:val="21"/>
        </w:rPr>
        <w:t>释</w:t>
      </w:r>
      <w:r>
        <w:rPr>
          <w:spacing w:val="-63"/>
          <w:position w:val="-7"/>
          <w:sz w:val="21"/>
        </w:rPr>
        <w:t>．</w:t>
      </w:r>
      <w:r>
        <w:rPr>
          <w:b/>
          <w:spacing w:val="-149"/>
          <w:sz w:val="21"/>
        </w:rPr>
        <w:t>以</w:t>
      </w:r>
      <w:r>
        <w:rPr>
          <w:spacing w:val="-63"/>
          <w:position w:val="-7"/>
          <w:sz w:val="21"/>
        </w:rPr>
        <w:t>．</w:t>
      </w:r>
      <w:r>
        <w:rPr>
          <w:b/>
          <w:spacing w:val="-149"/>
          <w:sz w:val="21"/>
        </w:rPr>
        <w:t>条</w:t>
      </w:r>
      <w:r>
        <w:rPr>
          <w:spacing w:val="-63"/>
          <w:position w:val="-7"/>
          <w:sz w:val="21"/>
        </w:rPr>
        <w:t>．</w:t>
      </w:r>
      <w:r>
        <w:rPr>
          <w:b/>
          <w:spacing w:val="-149"/>
          <w:sz w:val="21"/>
        </w:rPr>
        <w:t>款</w:t>
      </w:r>
      <w:r>
        <w:rPr>
          <w:spacing w:val="-63"/>
          <w:position w:val="-7"/>
          <w:sz w:val="21"/>
        </w:rPr>
        <w:t>．</w:t>
      </w:r>
      <w:r>
        <w:rPr>
          <w:b/>
          <w:spacing w:val="-149"/>
          <w:sz w:val="21"/>
        </w:rPr>
        <w:t>为</w:t>
      </w:r>
      <w:r>
        <w:rPr>
          <w:spacing w:val="-63"/>
          <w:position w:val="-7"/>
          <w:sz w:val="21"/>
        </w:rPr>
        <w:t>．</w:t>
      </w:r>
      <w:r>
        <w:rPr>
          <w:b/>
          <w:spacing w:val="-149"/>
          <w:sz w:val="21"/>
        </w:rPr>
        <w:t>准</w:t>
      </w:r>
      <w:r>
        <w:rPr>
          <w:spacing w:val="-63"/>
          <w:position w:val="-7"/>
          <w:sz w:val="21"/>
        </w:rPr>
        <w:t>．</w:t>
      </w:r>
      <w:r>
        <w:rPr>
          <w:b/>
          <w:sz w:val="21"/>
        </w:rPr>
        <w:t>。</w:t>
      </w:r>
    </w:p>
    <w:p>
      <w:pPr>
        <w:spacing w:before="180"/>
        <w:ind w:left="857" w:right="1832" w:firstLine="0"/>
        <w:jc w:val="center"/>
        <w:rPr>
          <w:sz w:val="21"/>
        </w:rPr>
      </w:pPr>
      <w:r>
        <w:rPr>
          <w:sz w:val="21"/>
        </w:rPr>
        <w:t>在本条款中，“您”指投保人，“我们”、“本公司”均指</w:t>
      </w:r>
      <w:r>
        <w:rPr>
          <w:b/>
          <w:sz w:val="21"/>
        </w:rPr>
        <w:t>天安人寿保险股份有限公司</w:t>
      </w:r>
      <w:r>
        <w:rPr>
          <w:sz w:val="21"/>
        </w:rPr>
        <w:t>。</w:t>
      </w:r>
    </w:p>
    <w:p>
      <w:pPr>
        <w:pStyle w:val="Heading1"/>
        <w:tabs>
          <w:tab w:pos="1254" w:val="left" w:leader="none"/>
        </w:tabs>
        <w:spacing w:line="540" w:lineRule="exact" w:before="109"/>
        <w:ind w:left="244"/>
      </w:pPr>
      <w:r>
        <w:rPr/>
        <w:pict>
          <v:group style="position:absolute;margin-left:54.240002pt;margin-top:6.437712pt;width:480.7pt;height:617.3pt;mso-position-horizontal-relative:page;mso-position-vertical-relative:paragraph;z-index:-64912" coordorigin="1085,129" coordsize="9614,12346">
            <v:shape style="position:absolute;left:1716;top:1950;width:1042;height:521" type="#_x0000_t75" stroked="false">
              <v:imagedata r:id="rId9" o:title=""/>
            </v:shape>
            <v:shape style="position:absolute;left:1716;top:3750;width:1042;height:521" type="#_x0000_t75" stroked="false">
              <v:imagedata r:id="rId9" o:title=""/>
            </v:shape>
            <v:shape style="position:absolute;left:1716;top:4830;width:1042;height:521" type="#_x0000_t75" stroked="false">
              <v:imagedata r:id="rId9" o:title=""/>
            </v:shape>
            <v:shape style="position:absolute;left:1084;top:128;width:9614;height:12346" type="#_x0000_t75" stroked="false">
              <v:imagedata r:id="rId10" o:title=""/>
            </v:shape>
            <v:shape style="position:absolute;left:3991;top:5451;width:3704;height:5108" type="#_x0000_t75" stroked="false">
              <v:imagedata r:id="rId11" o:title=""/>
            </v:shape>
            <v:shape style="position:absolute;left:1351;top:5482;width:2883;height:5105" type="#_x0000_t75" stroked="false">
              <v:imagedata r:id="rId12" o:title=""/>
            </v:shape>
            <v:shape style="position:absolute;left:7214;top:5451;width:3269;height:4102" type="#_x0000_t75" stroked="false">
              <v:imagedata r:id="rId13" o:title=""/>
            </v:shape>
            <w10:wrap type="none"/>
          </v:group>
        </w:pict>
      </w:r>
      <w:r>
        <w:rPr>
          <w:rFonts w:ascii="Arial" w:hAnsi="Arial" w:eastAsia="Arial"/>
          <w:w w:val="105"/>
          <w:position w:val="-11"/>
          <w:sz w:val="52"/>
        </w:rPr>
        <w:t></w:t>
        <w:tab/>
      </w:r>
      <w:r>
        <w:rPr>
          <w:spacing w:val="-1"/>
        </w:rPr>
        <w:t>您拥有的重要权益</w:t>
      </w:r>
    </w:p>
    <w:p>
      <w:pPr>
        <w:pStyle w:val="ListParagraph"/>
        <w:numPr>
          <w:ilvl w:val="0"/>
          <w:numId w:val="1"/>
        </w:numPr>
        <w:tabs>
          <w:tab w:pos="1636" w:val="left" w:leader="none"/>
          <w:tab w:pos="1637" w:val="left" w:leader="none"/>
        </w:tabs>
        <w:spacing w:line="232" w:lineRule="exact" w:before="0" w:after="0"/>
        <w:ind w:left="1636" w:right="0" w:hanging="420"/>
        <w:jc w:val="left"/>
        <w:rPr>
          <w:b/>
          <w:sz w:val="21"/>
        </w:rPr>
      </w:pPr>
      <w:r>
        <w:rPr>
          <w:b/>
          <w:spacing w:val="-2"/>
          <w:sz w:val="21"/>
        </w:rPr>
        <w:t>签收本附加保险合同之日起</w:t>
      </w:r>
      <w:r>
        <w:rPr>
          <w:b/>
          <w:sz w:val="21"/>
        </w:rPr>
        <w:t>10日（即犹豫期）</w:t>
      </w:r>
      <w:r>
        <w:rPr>
          <w:b/>
          <w:spacing w:val="-3"/>
          <w:sz w:val="21"/>
        </w:rPr>
        <w:t>内您若要求退保，本公司仅扣除</w:t>
      </w:r>
    </w:p>
    <w:p>
      <w:pPr>
        <w:spacing w:before="70"/>
        <w:ind w:left="1636" w:right="0" w:firstLine="0"/>
        <w:jc w:val="left"/>
        <w:rPr>
          <w:b/>
          <w:sz w:val="21"/>
        </w:rPr>
      </w:pPr>
      <w:r>
        <w:rPr>
          <w:b/>
          <w:w w:val="100"/>
          <w:sz w:val="21"/>
        </w:rPr>
        <w:t>保单工本费</w:t>
      </w:r>
      <w:r>
        <w:rPr>
          <w:b/>
          <w:spacing w:val="-3"/>
          <w:w w:val="199"/>
          <w:sz w:val="21"/>
        </w:rPr>
        <w:t>„„„„„„„„„„„„„„„„„„„„„„„„„„„„„</w:t>
      </w:r>
      <w:r>
        <w:rPr>
          <w:b/>
          <w:w w:val="99"/>
          <w:sz w:val="21"/>
        </w:rPr>
        <w:t>1.5</w:t>
      </w:r>
    </w:p>
    <w:p>
      <w:pPr>
        <w:pStyle w:val="ListParagraph"/>
        <w:numPr>
          <w:ilvl w:val="0"/>
          <w:numId w:val="1"/>
        </w:numPr>
        <w:tabs>
          <w:tab w:pos="1636" w:val="left" w:leader="none"/>
          <w:tab w:pos="1637" w:val="left" w:leader="none"/>
        </w:tabs>
        <w:spacing w:line="240" w:lineRule="auto" w:before="84" w:after="0"/>
        <w:ind w:left="1636" w:right="0" w:hanging="420"/>
        <w:jc w:val="left"/>
        <w:rPr>
          <w:b/>
          <w:sz w:val="21"/>
        </w:rPr>
      </w:pPr>
      <w:r>
        <w:rPr>
          <w:b/>
          <w:spacing w:val="-2"/>
          <w:w w:val="100"/>
          <w:sz w:val="21"/>
        </w:rPr>
        <w:t>被保险人享受本附加保险合同提供的保障</w:t>
      </w:r>
      <w:r>
        <w:rPr>
          <w:b/>
          <w:spacing w:val="-3"/>
          <w:w w:val="199"/>
          <w:sz w:val="21"/>
        </w:rPr>
        <w:t>„„„„„„„„„„„„„„„„</w:t>
      </w:r>
      <w:r>
        <w:rPr>
          <w:b/>
          <w:w w:val="99"/>
          <w:sz w:val="21"/>
        </w:rPr>
        <w:t>2.2</w:t>
      </w:r>
    </w:p>
    <w:p>
      <w:pPr>
        <w:pStyle w:val="ListParagraph"/>
        <w:numPr>
          <w:ilvl w:val="0"/>
          <w:numId w:val="1"/>
        </w:numPr>
        <w:tabs>
          <w:tab w:pos="1636" w:val="left" w:leader="none"/>
          <w:tab w:pos="1637" w:val="left" w:leader="none"/>
        </w:tabs>
        <w:spacing w:line="264" w:lineRule="exact" w:before="70" w:after="0"/>
        <w:ind w:left="1636" w:right="0" w:hanging="420"/>
        <w:jc w:val="left"/>
        <w:rPr>
          <w:b/>
          <w:sz w:val="21"/>
        </w:rPr>
      </w:pPr>
      <w:r>
        <w:rPr>
          <w:b/>
          <w:spacing w:val="-1"/>
          <w:w w:val="112"/>
          <w:sz w:val="21"/>
        </w:rPr>
        <w:t>您有退保的权利„„</w:t>
      </w:r>
      <w:r>
        <w:rPr>
          <w:b/>
          <w:spacing w:val="-3"/>
          <w:w w:val="199"/>
          <w:sz w:val="21"/>
        </w:rPr>
        <w:t>„„„„„„„„„„„„„„„„„„„„„„„„„</w:t>
      </w:r>
      <w:r>
        <w:rPr>
          <w:b/>
          <w:w w:val="99"/>
          <w:sz w:val="21"/>
        </w:rPr>
        <w:t>1.7</w:t>
      </w:r>
    </w:p>
    <w:p>
      <w:pPr>
        <w:tabs>
          <w:tab w:pos="1257" w:val="left" w:leader="none"/>
        </w:tabs>
        <w:spacing w:line="514" w:lineRule="exact" w:before="0"/>
        <w:ind w:left="244"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636" w:val="left" w:leader="none"/>
          <w:tab w:pos="1637" w:val="left" w:leader="none"/>
        </w:tabs>
        <w:spacing w:line="232" w:lineRule="exact" w:before="0" w:after="0"/>
        <w:ind w:left="1636" w:right="0" w:hanging="420"/>
        <w:jc w:val="left"/>
        <w:rPr>
          <w:b/>
          <w:sz w:val="21"/>
        </w:rPr>
      </w:pPr>
      <w:r>
        <w:rPr>
          <w:b/>
          <w:spacing w:val="-3"/>
          <w:w w:val="100"/>
          <w:sz w:val="21"/>
        </w:rPr>
        <w:t>您解除本附加保险合同会有一定的损失，请慎重决策</w:t>
      </w:r>
      <w:r>
        <w:rPr>
          <w:b/>
          <w:spacing w:val="-2"/>
          <w:w w:val="199"/>
          <w:sz w:val="21"/>
        </w:rPr>
        <w:t>„„„„„„„„„„„</w:t>
      </w:r>
      <w:r>
        <w:rPr>
          <w:b/>
          <w:w w:val="99"/>
          <w:sz w:val="21"/>
        </w:rPr>
        <w:t>1.7</w:t>
      </w:r>
    </w:p>
    <w:p>
      <w:pPr>
        <w:pStyle w:val="ListParagraph"/>
        <w:numPr>
          <w:ilvl w:val="0"/>
          <w:numId w:val="1"/>
        </w:numPr>
        <w:tabs>
          <w:tab w:pos="1636" w:val="left" w:leader="none"/>
          <w:tab w:pos="1637" w:val="left" w:leader="none"/>
        </w:tabs>
        <w:spacing w:line="240" w:lineRule="auto" w:before="70" w:after="0"/>
        <w:ind w:left="1636" w:right="0" w:hanging="420"/>
        <w:jc w:val="left"/>
        <w:rPr>
          <w:b/>
          <w:sz w:val="21"/>
        </w:rPr>
      </w:pPr>
      <w:r>
        <w:rPr>
          <w:b/>
          <w:spacing w:val="-3"/>
          <w:w w:val="100"/>
          <w:sz w:val="21"/>
        </w:rPr>
        <w:t>本附加保险合同有责任免除条款，在某些情况下，本公司不承担保险责任</w:t>
      </w:r>
      <w:r>
        <w:rPr>
          <w:b/>
          <w:spacing w:val="-2"/>
          <w:w w:val="199"/>
          <w:sz w:val="21"/>
        </w:rPr>
        <w:t>„„</w:t>
      </w:r>
      <w:r>
        <w:rPr>
          <w:b/>
          <w:w w:val="99"/>
          <w:sz w:val="21"/>
        </w:rPr>
        <w:t>2.3</w:t>
      </w:r>
    </w:p>
    <w:p>
      <w:pPr>
        <w:pStyle w:val="ListParagraph"/>
        <w:numPr>
          <w:ilvl w:val="0"/>
          <w:numId w:val="1"/>
        </w:numPr>
        <w:tabs>
          <w:tab w:pos="1636" w:val="left" w:leader="none"/>
          <w:tab w:pos="1637" w:val="left" w:leader="none"/>
        </w:tabs>
        <w:spacing w:line="240" w:lineRule="auto" w:before="70" w:after="0"/>
        <w:ind w:left="1636" w:right="0" w:hanging="420"/>
        <w:jc w:val="left"/>
        <w:rPr>
          <w:b/>
          <w:sz w:val="21"/>
        </w:rPr>
      </w:pPr>
      <w:r>
        <w:rPr>
          <w:b/>
          <w:spacing w:val="-2"/>
          <w:w w:val="100"/>
          <w:sz w:val="21"/>
        </w:rPr>
        <w:t>申请保险金给付时，应当</w:t>
      </w:r>
      <w:r>
        <w:rPr>
          <w:b/>
          <w:spacing w:val="-1"/>
          <w:w w:val="106"/>
          <w:sz w:val="21"/>
        </w:rPr>
        <w:t>提供的证明和资料„</w:t>
      </w:r>
      <w:r>
        <w:rPr>
          <w:b/>
          <w:spacing w:val="-3"/>
          <w:w w:val="199"/>
          <w:sz w:val="21"/>
        </w:rPr>
        <w:t>„„„„„„„„„„„„„„</w:t>
      </w:r>
      <w:r>
        <w:rPr>
          <w:b/>
          <w:w w:val="99"/>
          <w:sz w:val="21"/>
        </w:rPr>
        <w:t>4.2</w:t>
      </w:r>
    </w:p>
    <w:p>
      <w:pPr>
        <w:pStyle w:val="ListParagraph"/>
        <w:numPr>
          <w:ilvl w:val="0"/>
          <w:numId w:val="1"/>
        </w:numPr>
        <w:tabs>
          <w:tab w:pos="1636" w:val="left" w:leader="none"/>
          <w:tab w:pos="1637" w:val="left" w:leader="none"/>
        </w:tabs>
        <w:spacing w:line="264" w:lineRule="exact" w:before="70" w:after="0"/>
        <w:ind w:left="1636" w:right="0" w:hanging="420"/>
        <w:jc w:val="left"/>
        <w:rPr>
          <w:b/>
          <w:sz w:val="21"/>
        </w:rPr>
      </w:pPr>
      <w:r>
        <w:rPr>
          <w:b/>
          <w:spacing w:val="-3"/>
          <w:w w:val="110"/>
          <w:sz w:val="21"/>
        </w:rPr>
        <w:t>我们对一些重要术语进行了解释，并作了显著标识，请您注意</w:t>
      </w:r>
      <w:r>
        <w:rPr>
          <w:b/>
          <w:spacing w:val="-12"/>
          <w:w w:val="130"/>
          <w:sz w:val="21"/>
        </w:rPr>
        <w:t>„„„„„„„ </w:t>
      </w:r>
      <w:r>
        <w:rPr>
          <w:b/>
          <w:w w:val="110"/>
          <w:sz w:val="21"/>
        </w:rPr>
        <w:t>6</w:t>
      </w:r>
    </w:p>
    <w:p>
      <w:pPr>
        <w:tabs>
          <w:tab w:pos="1257" w:val="left" w:leader="none"/>
        </w:tabs>
        <w:spacing w:line="514" w:lineRule="exact" w:before="0"/>
        <w:ind w:left="244"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spacing w:line="217" w:lineRule="exact" w:before="0"/>
        <w:ind w:left="1300" w:right="0" w:firstLine="0"/>
        <w:jc w:val="left"/>
        <w:rPr>
          <w:b/>
          <w:sz w:val="21"/>
        </w:rPr>
      </w:pPr>
      <w:r>
        <w:rPr>
          <w:b/>
          <w:sz w:val="21"/>
        </w:rPr>
        <w:t>我们对可能影响被保险人享受本附加保险合同保障的重要内容进行了显著标识，请您</w:t>
      </w:r>
    </w:p>
    <w:p>
      <w:pPr>
        <w:spacing w:line="256" w:lineRule="exact" w:before="84"/>
        <w:ind w:left="1298" w:right="0" w:firstLine="0"/>
        <w:jc w:val="left"/>
        <w:rPr>
          <w:b/>
          <w:sz w:val="21"/>
        </w:rPr>
      </w:pPr>
      <w:r>
        <w:rPr>
          <w:b/>
          <w:sz w:val="21"/>
        </w:rPr>
        <w:t>仔细阅读正文加粗的部分。</w:t>
      </w:r>
    </w:p>
    <w:p>
      <w:pPr>
        <w:tabs>
          <w:tab w:pos="1257" w:val="left" w:leader="none"/>
        </w:tabs>
        <w:spacing w:line="579" w:lineRule="exact" w:before="0"/>
        <w:ind w:left="244" w:right="0" w:firstLine="0"/>
        <w:jc w:val="left"/>
        <w:rPr>
          <w:b/>
          <w:sz w:val="21"/>
        </w:rPr>
      </w:pPr>
      <w:r>
        <w:rPr>
          <w:rFonts w:ascii="Arial" w:hAnsi="Arial" w:eastAsia="Arial"/>
          <w:b/>
          <w:w w:val="110"/>
          <w:position w:val="-11"/>
          <w:sz w:val="52"/>
        </w:rPr>
        <w:t></w:t>
        <w:tab/>
      </w:r>
      <w:r>
        <w:rPr>
          <w:b/>
          <w:sz w:val="21"/>
        </w:rPr>
        <w:t>条款目录</w:t>
      </w:r>
    </w:p>
    <w:p>
      <w:pPr>
        <w:spacing w:after="0" w:line="579" w:lineRule="exact"/>
        <w:jc w:val="left"/>
        <w:rPr>
          <w:sz w:val="21"/>
        </w:rPr>
        <w:sectPr>
          <w:footerReference w:type="default" r:id="rId5"/>
          <w:type w:val="continuous"/>
          <w:pgSz w:w="11910" w:h="16840"/>
          <w:pgMar w:footer="992" w:top="260" w:bottom="1180" w:left="980" w:right="0"/>
          <w:pgNumType w:start="1"/>
        </w:sectPr>
      </w:pPr>
    </w:p>
    <w:p>
      <w:pPr>
        <w:pStyle w:val="Heading1"/>
        <w:spacing w:before="85"/>
        <w:ind w:left="513"/>
      </w:pPr>
      <w:r>
        <w:rPr/>
        <w:t>1.您与我们的合同</w:t>
      </w:r>
    </w:p>
    <w:p>
      <w:pPr>
        <w:spacing w:before="53"/>
        <w:ind w:left="513" w:right="0" w:firstLine="0"/>
        <w:jc w:val="left"/>
        <w:rPr>
          <w:b/>
          <w:sz w:val="21"/>
        </w:rPr>
      </w:pPr>
      <w:r>
        <w:rPr/>
        <w:br w:type="column"/>
      </w:r>
      <w:r>
        <w:rPr>
          <w:b/>
          <w:sz w:val="21"/>
        </w:rPr>
        <w:t>4.保险金的申请与给付</w:t>
      </w:r>
    </w:p>
    <w:p>
      <w:pPr>
        <w:pStyle w:val="BodyText"/>
        <w:spacing w:before="53"/>
        <w:ind w:left="513"/>
      </w:pPr>
      <w:r>
        <w:rPr/>
        <w:br w:type="column"/>
      </w:r>
      <w:r>
        <w:rPr/>
        <w:t>6.10 身体全残</w:t>
      </w:r>
    </w:p>
    <w:p>
      <w:pPr>
        <w:spacing w:after="0"/>
        <w:sectPr>
          <w:type w:val="continuous"/>
          <w:pgSz w:w="11910" w:h="16840"/>
          <w:pgMar w:top="260" w:bottom="1180" w:left="980" w:right="0"/>
          <w:cols w:num="3" w:equalWidth="0">
            <w:col w:w="2203" w:space="437"/>
            <w:col w:w="2626" w:space="812"/>
            <w:col w:w="4852"/>
          </w:cols>
        </w:sectPr>
      </w:pPr>
    </w:p>
    <w:p>
      <w:pPr>
        <w:pStyle w:val="BodyText"/>
        <w:rPr>
          <w:sz w:val="5"/>
        </w:rPr>
      </w:pPr>
    </w:p>
    <w:tbl>
      <w:tblPr>
        <w:tblW w:w="0" w:type="auto"/>
        <w:jc w:val="left"/>
        <w:tblInd w:w="6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8"/>
        <w:gridCol w:w="1897"/>
        <w:gridCol w:w="3460"/>
        <w:gridCol w:w="613"/>
        <w:gridCol w:w="2352"/>
      </w:tblGrid>
      <w:tr>
        <w:trPr>
          <w:trHeight w:val="277" w:hRule="atLeast"/>
        </w:trPr>
        <w:tc>
          <w:tcPr>
            <w:tcW w:w="418" w:type="dxa"/>
          </w:tcPr>
          <w:p>
            <w:pPr>
              <w:pStyle w:val="TableParagraph"/>
              <w:spacing w:line="242" w:lineRule="exact" w:before="0"/>
              <w:ind w:left="50"/>
              <w:rPr>
                <w:sz w:val="21"/>
              </w:rPr>
            </w:pPr>
            <w:r>
              <w:rPr>
                <w:sz w:val="21"/>
              </w:rPr>
              <w:t>1.1</w:t>
            </w:r>
          </w:p>
        </w:tc>
        <w:tc>
          <w:tcPr>
            <w:tcW w:w="1897" w:type="dxa"/>
          </w:tcPr>
          <w:p>
            <w:pPr>
              <w:pStyle w:val="TableParagraph"/>
              <w:spacing w:line="242" w:lineRule="exact" w:before="0"/>
              <w:ind w:left="54"/>
              <w:rPr>
                <w:sz w:val="21"/>
              </w:rPr>
            </w:pPr>
            <w:r>
              <w:rPr>
                <w:sz w:val="21"/>
              </w:rPr>
              <w:t>投保范围</w:t>
            </w:r>
          </w:p>
        </w:tc>
        <w:tc>
          <w:tcPr>
            <w:tcW w:w="3460" w:type="dxa"/>
          </w:tcPr>
          <w:p>
            <w:pPr>
              <w:pStyle w:val="TableParagraph"/>
              <w:spacing w:line="211" w:lineRule="exact" w:before="0"/>
              <w:ind w:left="375"/>
              <w:rPr>
                <w:sz w:val="21"/>
              </w:rPr>
            </w:pPr>
            <w:r>
              <w:rPr>
                <w:sz w:val="21"/>
              </w:rPr>
              <w:t>4.1 受益人</w:t>
            </w:r>
          </w:p>
        </w:tc>
        <w:tc>
          <w:tcPr>
            <w:tcW w:w="613" w:type="dxa"/>
          </w:tcPr>
          <w:p>
            <w:pPr>
              <w:pStyle w:val="TableParagraph"/>
              <w:spacing w:line="211" w:lineRule="exact" w:before="0"/>
              <w:ind w:left="0" w:right="47"/>
              <w:jc w:val="right"/>
              <w:rPr>
                <w:sz w:val="21"/>
              </w:rPr>
            </w:pPr>
            <w:r>
              <w:rPr>
                <w:sz w:val="21"/>
              </w:rPr>
              <w:t>6.11</w:t>
            </w:r>
          </w:p>
        </w:tc>
        <w:tc>
          <w:tcPr>
            <w:tcW w:w="2352" w:type="dxa"/>
          </w:tcPr>
          <w:p>
            <w:pPr>
              <w:pStyle w:val="TableParagraph"/>
              <w:spacing w:line="211" w:lineRule="exact" w:before="0"/>
              <w:ind w:left="54"/>
              <w:rPr>
                <w:sz w:val="21"/>
              </w:rPr>
            </w:pPr>
            <w:r>
              <w:rPr>
                <w:sz w:val="21"/>
              </w:rPr>
              <w:t>毒品</w:t>
            </w:r>
          </w:p>
        </w:tc>
      </w:tr>
      <w:tr>
        <w:trPr>
          <w:trHeight w:val="312" w:hRule="atLeast"/>
        </w:trPr>
        <w:tc>
          <w:tcPr>
            <w:tcW w:w="418" w:type="dxa"/>
          </w:tcPr>
          <w:p>
            <w:pPr>
              <w:pStyle w:val="TableParagraph"/>
              <w:spacing w:before="2"/>
              <w:ind w:left="50"/>
              <w:rPr>
                <w:sz w:val="21"/>
              </w:rPr>
            </w:pPr>
            <w:r>
              <w:rPr>
                <w:sz w:val="21"/>
              </w:rPr>
              <w:t>1.2</w:t>
            </w:r>
          </w:p>
        </w:tc>
        <w:tc>
          <w:tcPr>
            <w:tcW w:w="1897" w:type="dxa"/>
          </w:tcPr>
          <w:p>
            <w:pPr>
              <w:pStyle w:val="TableParagraph"/>
              <w:spacing w:before="2"/>
              <w:ind w:left="54"/>
              <w:rPr>
                <w:sz w:val="21"/>
              </w:rPr>
            </w:pPr>
            <w:r>
              <w:rPr>
                <w:sz w:val="21"/>
              </w:rPr>
              <w:t>合同构成</w:t>
            </w:r>
          </w:p>
        </w:tc>
        <w:tc>
          <w:tcPr>
            <w:tcW w:w="3460" w:type="dxa"/>
          </w:tcPr>
          <w:p>
            <w:pPr>
              <w:pStyle w:val="TableParagraph"/>
              <w:spacing w:line="246" w:lineRule="exact" w:before="0"/>
              <w:ind w:left="375"/>
              <w:rPr>
                <w:sz w:val="21"/>
              </w:rPr>
            </w:pPr>
            <w:r>
              <w:rPr>
                <w:sz w:val="21"/>
              </w:rPr>
              <w:t>4.2 保险金及豁免保险费的申请</w:t>
            </w:r>
          </w:p>
        </w:tc>
        <w:tc>
          <w:tcPr>
            <w:tcW w:w="613" w:type="dxa"/>
          </w:tcPr>
          <w:p>
            <w:pPr>
              <w:pStyle w:val="TableParagraph"/>
              <w:spacing w:line="246" w:lineRule="exact" w:before="0"/>
              <w:ind w:left="0" w:right="47"/>
              <w:jc w:val="right"/>
              <w:rPr>
                <w:sz w:val="21"/>
              </w:rPr>
            </w:pPr>
            <w:r>
              <w:rPr>
                <w:sz w:val="21"/>
              </w:rPr>
              <w:t>6.12</w:t>
            </w:r>
          </w:p>
        </w:tc>
        <w:tc>
          <w:tcPr>
            <w:tcW w:w="2352" w:type="dxa"/>
          </w:tcPr>
          <w:p>
            <w:pPr>
              <w:pStyle w:val="TableParagraph"/>
              <w:spacing w:line="246" w:lineRule="exact" w:before="0"/>
              <w:ind w:left="54"/>
              <w:rPr>
                <w:sz w:val="21"/>
              </w:rPr>
            </w:pPr>
            <w:r>
              <w:rPr>
                <w:sz w:val="21"/>
              </w:rPr>
              <w:t>酒后驾驶</w:t>
            </w:r>
          </w:p>
        </w:tc>
      </w:tr>
      <w:tr>
        <w:trPr>
          <w:trHeight w:val="312" w:hRule="atLeast"/>
        </w:trPr>
        <w:tc>
          <w:tcPr>
            <w:tcW w:w="418" w:type="dxa"/>
          </w:tcPr>
          <w:p>
            <w:pPr>
              <w:pStyle w:val="TableParagraph"/>
              <w:spacing w:before="2"/>
              <w:ind w:left="50"/>
              <w:rPr>
                <w:sz w:val="21"/>
              </w:rPr>
            </w:pPr>
            <w:r>
              <w:rPr>
                <w:sz w:val="21"/>
              </w:rPr>
              <w:t>1.3</w:t>
            </w:r>
          </w:p>
        </w:tc>
        <w:tc>
          <w:tcPr>
            <w:tcW w:w="1897" w:type="dxa"/>
          </w:tcPr>
          <w:p>
            <w:pPr>
              <w:pStyle w:val="TableParagraph"/>
              <w:spacing w:before="2"/>
              <w:ind w:left="54"/>
              <w:rPr>
                <w:sz w:val="21"/>
              </w:rPr>
            </w:pPr>
            <w:r>
              <w:rPr>
                <w:sz w:val="21"/>
              </w:rPr>
              <w:t>合同成立与生效</w:t>
            </w:r>
          </w:p>
        </w:tc>
        <w:tc>
          <w:tcPr>
            <w:tcW w:w="3460" w:type="dxa"/>
          </w:tcPr>
          <w:p>
            <w:pPr>
              <w:pStyle w:val="TableParagraph"/>
              <w:spacing w:line="246" w:lineRule="exact" w:before="0"/>
              <w:ind w:left="375"/>
              <w:rPr>
                <w:sz w:val="21"/>
              </w:rPr>
            </w:pPr>
            <w:r>
              <w:rPr>
                <w:sz w:val="21"/>
              </w:rPr>
              <w:t>4.3 诉讼时效</w:t>
            </w:r>
          </w:p>
        </w:tc>
        <w:tc>
          <w:tcPr>
            <w:tcW w:w="613" w:type="dxa"/>
          </w:tcPr>
          <w:p>
            <w:pPr>
              <w:pStyle w:val="TableParagraph"/>
              <w:spacing w:line="246" w:lineRule="exact" w:before="0"/>
              <w:ind w:left="0" w:right="47"/>
              <w:jc w:val="right"/>
              <w:rPr>
                <w:sz w:val="21"/>
              </w:rPr>
            </w:pPr>
            <w:r>
              <w:rPr>
                <w:sz w:val="21"/>
              </w:rPr>
              <w:t>6.13</w:t>
            </w:r>
          </w:p>
        </w:tc>
        <w:tc>
          <w:tcPr>
            <w:tcW w:w="2352" w:type="dxa"/>
          </w:tcPr>
          <w:p>
            <w:pPr>
              <w:pStyle w:val="TableParagraph"/>
              <w:spacing w:line="246" w:lineRule="exact" w:before="0"/>
              <w:ind w:left="54"/>
              <w:rPr>
                <w:sz w:val="21"/>
              </w:rPr>
            </w:pPr>
            <w:r>
              <w:rPr>
                <w:sz w:val="21"/>
              </w:rPr>
              <w:t>无合法有效驾驶证驾驶</w:t>
            </w:r>
          </w:p>
        </w:tc>
      </w:tr>
      <w:tr>
        <w:trPr>
          <w:trHeight w:val="311" w:hRule="atLeast"/>
        </w:trPr>
        <w:tc>
          <w:tcPr>
            <w:tcW w:w="418" w:type="dxa"/>
          </w:tcPr>
          <w:p>
            <w:pPr>
              <w:pStyle w:val="TableParagraph"/>
              <w:spacing w:before="2"/>
              <w:ind w:left="50"/>
              <w:rPr>
                <w:sz w:val="21"/>
              </w:rPr>
            </w:pPr>
            <w:r>
              <w:rPr>
                <w:sz w:val="21"/>
              </w:rPr>
              <w:t>1.4</w:t>
            </w:r>
          </w:p>
        </w:tc>
        <w:tc>
          <w:tcPr>
            <w:tcW w:w="1897" w:type="dxa"/>
          </w:tcPr>
          <w:p>
            <w:pPr>
              <w:pStyle w:val="TableParagraph"/>
              <w:spacing w:before="2"/>
              <w:ind w:left="54"/>
              <w:rPr>
                <w:sz w:val="21"/>
              </w:rPr>
            </w:pPr>
            <w:r>
              <w:rPr>
                <w:sz w:val="21"/>
              </w:rPr>
              <w:t>合同效力</w:t>
            </w:r>
          </w:p>
        </w:tc>
        <w:tc>
          <w:tcPr>
            <w:tcW w:w="3460" w:type="dxa"/>
          </w:tcPr>
          <w:p>
            <w:pPr>
              <w:pStyle w:val="TableParagraph"/>
              <w:spacing w:line="246" w:lineRule="exact" w:before="0"/>
              <w:ind w:left="164"/>
              <w:rPr>
                <w:b/>
                <w:sz w:val="21"/>
              </w:rPr>
            </w:pPr>
            <w:r>
              <w:rPr>
                <w:b/>
                <w:sz w:val="21"/>
              </w:rPr>
              <w:t>5.其他需要关注的事项</w:t>
            </w:r>
          </w:p>
        </w:tc>
        <w:tc>
          <w:tcPr>
            <w:tcW w:w="613" w:type="dxa"/>
          </w:tcPr>
          <w:p>
            <w:pPr>
              <w:pStyle w:val="TableParagraph"/>
              <w:spacing w:line="246" w:lineRule="exact" w:before="0"/>
              <w:ind w:left="0" w:right="47"/>
              <w:jc w:val="right"/>
              <w:rPr>
                <w:sz w:val="21"/>
              </w:rPr>
            </w:pPr>
            <w:r>
              <w:rPr>
                <w:sz w:val="21"/>
              </w:rPr>
              <w:t>6.14</w:t>
            </w:r>
          </w:p>
        </w:tc>
        <w:tc>
          <w:tcPr>
            <w:tcW w:w="2352" w:type="dxa"/>
          </w:tcPr>
          <w:p>
            <w:pPr>
              <w:pStyle w:val="TableParagraph"/>
              <w:spacing w:line="246" w:lineRule="exact" w:before="0"/>
              <w:ind w:left="54"/>
              <w:rPr>
                <w:sz w:val="21"/>
              </w:rPr>
            </w:pPr>
            <w:r>
              <w:rPr>
                <w:sz w:val="21"/>
              </w:rPr>
              <w:t>无有效行驶证</w:t>
            </w:r>
          </w:p>
        </w:tc>
      </w:tr>
      <w:tr>
        <w:trPr>
          <w:trHeight w:val="312" w:hRule="atLeast"/>
        </w:trPr>
        <w:tc>
          <w:tcPr>
            <w:tcW w:w="418" w:type="dxa"/>
          </w:tcPr>
          <w:p>
            <w:pPr>
              <w:pStyle w:val="TableParagraph"/>
              <w:spacing w:before="2"/>
              <w:ind w:left="50"/>
              <w:rPr>
                <w:sz w:val="21"/>
              </w:rPr>
            </w:pPr>
            <w:r>
              <w:rPr>
                <w:sz w:val="21"/>
              </w:rPr>
              <w:t>1.5</w:t>
            </w:r>
          </w:p>
        </w:tc>
        <w:tc>
          <w:tcPr>
            <w:tcW w:w="1897" w:type="dxa"/>
          </w:tcPr>
          <w:p>
            <w:pPr>
              <w:pStyle w:val="TableParagraph"/>
              <w:spacing w:before="2"/>
              <w:ind w:left="54"/>
              <w:rPr>
                <w:sz w:val="21"/>
              </w:rPr>
            </w:pPr>
            <w:r>
              <w:rPr>
                <w:sz w:val="21"/>
              </w:rPr>
              <w:t>犹豫期</w:t>
            </w:r>
          </w:p>
        </w:tc>
        <w:tc>
          <w:tcPr>
            <w:tcW w:w="3460" w:type="dxa"/>
          </w:tcPr>
          <w:p>
            <w:pPr>
              <w:pStyle w:val="TableParagraph"/>
              <w:spacing w:line="246" w:lineRule="exact" w:before="0"/>
              <w:ind w:left="375"/>
              <w:rPr>
                <w:sz w:val="21"/>
              </w:rPr>
            </w:pPr>
            <w:r>
              <w:rPr>
                <w:sz w:val="21"/>
              </w:rPr>
              <w:t>5.1 失踪处理</w:t>
            </w:r>
          </w:p>
        </w:tc>
        <w:tc>
          <w:tcPr>
            <w:tcW w:w="613" w:type="dxa"/>
          </w:tcPr>
          <w:p>
            <w:pPr>
              <w:pStyle w:val="TableParagraph"/>
              <w:spacing w:line="246" w:lineRule="exact" w:before="0"/>
              <w:ind w:left="0" w:right="47"/>
              <w:jc w:val="right"/>
              <w:rPr>
                <w:sz w:val="21"/>
              </w:rPr>
            </w:pPr>
            <w:r>
              <w:rPr>
                <w:sz w:val="21"/>
              </w:rPr>
              <w:t>6.15</w:t>
            </w:r>
          </w:p>
        </w:tc>
        <w:tc>
          <w:tcPr>
            <w:tcW w:w="2352" w:type="dxa"/>
          </w:tcPr>
          <w:p>
            <w:pPr>
              <w:pStyle w:val="TableParagraph"/>
              <w:spacing w:line="246" w:lineRule="exact" w:before="0"/>
              <w:ind w:left="54"/>
              <w:rPr>
                <w:sz w:val="21"/>
              </w:rPr>
            </w:pPr>
            <w:r>
              <w:rPr>
                <w:sz w:val="21"/>
              </w:rPr>
              <w:t>机动车</w:t>
            </w:r>
          </w:p>
        </w:tc>
      </w:tr>
      <w:tr>
        <w:trPr>
          <w:trHeight w:val="311" w:hRule="atLeast"/>
        </w:trPr>
        <w:tc>
          <w:tcPr>
            <w:tcW w:w="418" w:type="dxa"/>
          </w:tcPr>
          <w:p>
            <w:pPr>
              <w:pStyle w:val="TableParagraph"/>
              <w:spacing w:before="2"/>
              <w:ind w:left="50"/>
              <w:rPr>
                <w:sz w:val="21"/>
              </w:rPr>
            </w:pPr>
            <w:r>
              <w:rPr>
                <w:sz w:val="21"/>
              </w:rPr>
              <w:t>1.6</w:t>
            </w:r>
          </w:p>
        </w:tc>
        <w:tc>
          <w:tcPr>
            <w:tcW w:w="1897" w:type="dxa"/>
          </w:tcPr>
          <w:p>
            <w:pPr>
              <w:pStyle w:val="TableParagraph"/>
              <w:spacing w:before="2"/>
              <w:ind w:left="54"/>
              <w:rPr>
                <w:sz w:val="21"/>
              </w:rPr>
            </w:pPr>
            <w:r>
              <w:rPr>
                <w:sz w:val="21"/>
              </w:rPr>
              <w:t>合同内容变更</w:t>
            </w:r>
          </w:p>
        </w:tc>
        <w:tc>
          <w:tcPr>
            <w:tcW w:w="3460" w:type="dxa"/>
          </w:tcPr>
          <w:p>
            <w:pPr>
              <w:pStyle w:val="TableParagraph"/>
              <w:spacing w:line="246" w:lineRule="exact" w:before="0"/>
              <w:ind w:left="164"/>
              <w:rPr>
                <w:b/>
                <w:sz w:val="21"/>
              </w:rPr>
            </w:pPr>
            <w:r>
              <w:rPr>
                <w:b/>
                <w:sz w:val="21"/>
              </w:rPr>
              <w:t>6.释义</w:t>
            </w:r>
          </w:p>
        </w:tc>
        <w:tc>
          <w:tcPr>
            <w:tcW w:w="613" w:type="dxa"/>
          </w:tcPr>
          <w:p>
            <w:pPr>
              <w:pStyle w:val="TableParagraph"/>
              <w:spacing w:line="246" w:lineRule="exact" w:before="0"/>
              <w:ind w:left="0" w:right="47"/>
              <w:jc w:val="right"/>
              <w:rPr>
                <w:sz w:val="21"/>
              </w:rPr>
            </w:pPr>
            <w:r>
              <w:rPr>
                <w:sz w:val="21"/>
              </w:rPr>
              <w:t>6.16</w:t>
            </w:r>
          </w:p>
        </w:tc>
        <w:tc>
          <w:tcPr>
            <w:tcW w:w="2352" w:type="dxa"/>
          </w:tcPr>
          <w:p>
            <w:pPr>
              <w:pStyle w:val="TableParagraph"/>
              <w:spacing w:line="246" w:lineRule="exact" w:before="0"/>
              <w:ind w:left="54"/>
              <w:rPr>
                <w:sz w:val="21"/>
              </w:rPr>
            </w:pPr>
            <w:r>
              <w:rPr>
                <w:sz w:val="21"/>
              </w:rPr>
              <w:t>遗传性疾病</w:t>
            </w:r>
          </w:p>
        </w:tc>
      </w:tr>
      <w:tr>
        <w:trPr>
          <w:trHeight w:val="312" w:hRule="atLeast"/>
        </w:trPr>
        <w:tc>
          <w:tcPr>
            <w:tcW w:w="418" w:type="dxa"/>
          </w:tcPr>
          <w:p>
            <w:pPr>
              <w:pStyle w:val="TableParagraph"/>
              <w:spacing w:before="2"/>
              <w:ind w:left="50"/>
              <w:rPr>
                <w:sz w:val="21"/>
              </w:rPr>
            </w:pPr>
            <w:r>
              <w:rPr>
                <w:sz w:val="21"/>
              </w:rPr>
              <w:t>1.7</w:t>
            </w:r>
          </w:p>
        </w:tc>
        <w:tc>
          <w:tcPr>
            <w:tcW w:w="1897" w:type="dxa"/>
          </w:tcPr>
          <w:p>
            <w:pPr>
              <w:pStyle w:val="TableParagraph"/>
              <w:spacing w:before="2"/>
              <w:ind w:left="54"/>
              <w:rPr>
                <w:sz w:val="21"/>
              </w:rPr>
            </w:pPr>
            <w:r>
              <w:rPr>
                <w:sz w:val="21"/>
              </w:rPr>
              <w:t>您解除合同的手续</w:t>
            </w:r>
          </w:p>
        </w:tc>
        <w:tc>
          <w:tcPr>
            <w:tcW w:w="3460" w:type="dxa"/>
          </w:tcPr>
          <w:p>
            <w:pPr>
              <w:pStyle w:val="TableParagraph"/>
              <w:spacing w:line="246" w:lineRule="exact" w:before="0"/>
              <w:ind w:left="375"/>
              <w:rPr>
                <w:sz w:val="21"/>
              </w:rPr>
            </w:pPr>
            <w:r>
              <w:rPr>
                <w:sz w:val="21"/>
              </w:rPr>
              <w:t>6.1 周岁</w:t>
            </w:r>
          </w:p>
        </w:tc>
        <w:tc>
          <w:tcPr>
            <w:tcW w:w="613" w:type="dxa"/>
          </w:tcPr>
          <w:p>
            <w:pPr>
              <w:pStyle w:val="TableParagraph"/>
              <w:spacing w:line="246" w:lineRule="exact" w:before="0"/>
              <w:ind w:left="0" w:right="47"/>
              <w:jc w:val="right"/>
              <w:rPr>
                <w:sz w:val="21"/>
              </w:rPr>
            </w:pPr>
            <w:r>
              <w:rPr>
                <w:sz w:val="21"/>
              </w:rPr>
              <w:t>6.17</w:t>
            </w:r>
          </w:p>
        </w:tc>
        <w:tc>
          <w:tcPr>
            <w:tcW w:w="2352" w:type="dxa"/>
          </w:tcPr>
          <w:p>
            <w:pPr>
              <w:pStyle w:val="TableParagraph"/>
              <w:spacing w:line="246" w:lineRule="exact" w:before="0"/>
              <w:ind w:left="54"/>
              <w:rPr>
                <w:sz w:val="21"/>
              </w:rPr>
            </w:pPr>
            <w:r>
              <w:rPr>
                <w:spacing w:val="-10"/>
                <w:sz w:val="21"/>
              </w:rPr>
              <w:t>先天性畸形、变形或染色</w:t>
            </w:r>
          </w:p>
        </w:tc>
      </w:tr>
      <w:tr>
        <w:trPr>
          <w:trHeight w:val="312" w:hRule="atLeast"/>
        </w:trPr>
        <w:tc>
          <w:tcPr>
            <w:tcW w:w="418" w:type="dxa"/>
          </w:tcPr>
          <w:p>
            <w:pPr>
              <w:pStyle w:val="TableParagraph"/>
              <w:spacing w:before="0"/>
              <w:ind w:left="0"/>
              <w:rPr>
                <w:rFonts w:ascii="Times New Roman"/>
                <w:sz w:val="20"/>
              </w:rPr>
            </w:pPr>
          </w:p>
        </w:tc>
        <w:tc>
          <w:tcPr>
            <w:tcW w:w="1897" w:type="dxa"/>
          </w:tcPr>
          <w:p>
            <w:pPr>
              <w:pStyle w:val="TableParagraph"/>
              <w:spacing w:before="2"/>
              <w:ind w:left="51"/>
              <w:rPr>
                <w:sz w:val="21"/>
              </w:rPr>
            </w:pPr>
            <w:r>
              <w:rPr>
                <w:sz w:val="21"/>
              </w:rPr>
              <w:t>及风险</w:t>
            </w:r>
          </w:p>
        </w:tc>
        <w:tc>
          <w:tcPr>
            <w:tcW w:w="3460" w:type="dxa"/>
          </w:tcPr>
          <w:p>
            <w:pPr>
              <w:pStyle w:val="TableParagraph"/>
              <w:spacing w:line="246" w:lineRule="exact" w:before="0"/>
              <w:ind w:left="375"/>
              <w:rPr>
                <w:sz w:val="21"/>
              </w:rPr>
            </w:pPr>
            <w:r>
              <w:rPr>
                <w:sz w:val="21"/>
              </w:rPr>
              <w:t>6.2 现金价值</w:t>
            </w:r>
          </w:p>
        </w:tc>
        <w:tc>
          <w:tcPr>
            <w:tcW w:w="613" w:type="dxa"/>
          </w:tcPr>
          <w:p>
            <w:pPr>
              <w:pStyle w:val="TableParagraph"/>
              <w:spacing w:before="0"/>
              <w:ind w:left="0"/>
              <w:rPr>
                <w:rFonts w:ascii="Times New Roman"/>
                <w:sz w:val="20"/>
              </w:rPr>
            </w:pPr>
          </w:p>
        </w:tc>
        <w:tc>
          <w:tcPr>
            <w:tcW w:w="2352" w:type="dxa"/>
          </w:tcPr>
          <w:p>
            <w:pPr>
              <w:pStyle w:val="TableParagraph"/>
              <w:spacing w:line="246" w:lineRule="exact" w:before="0"/>
              <w:ind w:left="51"/>
              <w:rPr>
                <w:sz w:val="21"/>
              </w:rPr>
            </w:pPr>
            <w:r>
              <w:rPr>
                <w:sz w:val="21"/>
              </w:rPr>
              <w:t>体异常</w:t>
            </w:r>
          </w:p>
        </w:tc>
      </w:tr>
      <w:tr>
        <w:trPr>
          <w:trHeight w:val="277" w:hRule="atLeast"/>
        </w:trPr>
        <w:tc>
          <w:tcPr>
            <w:tcW w:w="418" w:type="dxa"/>
          </w:tcPr>
          <w:p>
            <w:pPr>
              <w:pStyle w:val="TableParagraph"/>
              <w:spacing w:line="255" w:lineRule="exact" w:before="2"/>
              <w:ind w:left="50"/>
              <w:rPr>
                <w:sz w:val="21"/>
              </w:rPr>
            </w:pPr>
            <w:r>
              <w:rPr>
                <w:sz w:val="21"/>
              </w:rPr>
              <w:t>1.8</w:t>
            </w:r>
          </w:p>
        </w:tc>
        <w:tc>
          <w:tcPr>
            <w:tcW w:w="1897" w:type="dxa"/>
          </w:tcPr>
          <w:p>
            <w:pPr>
              <w:pStyle w:val="TableParagraph"/>
              <w:spacing w:line="255" w:lineRule="exact" w:before="2"/>
              <w:ind w:left="51"/>
              <w:rPr>
                <w:sz w:val="21"/>
              </w:rPr>
            </w:pPr>
            <w:r>
              <w:rPr>
                <w:sz w:val="21"/>
              </w:rPr>
              <w:t>合同终止</w:t>
            </w:r>
          </w:p>
        </w:tc>
        <w:tc>
          <w:tcPr>
            <w:tcW w:w="3460" w:type="dxa"/>
          </w:tcPr>
          <w:p>
            <w:pPr>
              <w:pStyle w:val="TableParagraph"/>
              <w:spacing w:line="246" w:lineRule="exact" w:before="0"/>
              <w:ind w:left="375"/>
              <w:rPr>
                <w:sz w:val="21"/>
              </w:rPr>
            </w:pPr>
            <w:r>
              <w:rPr>
                <w:sz w:val="21"/>
              </w:rPr>
              <w:t>6.3 认可医院</w:t>
            </w:r>
          </w:p>
        </w:tc>
        <w:tc>
          <w:tcPr>
            <w:tcW w:w="613" w:type="dxa"/>
          </w:tcPr>
          <w:p>
            <w:pPr>
              <w:pStyle w:val="TableParagraph"/>
              <w:spacing w:line="246" w:lineRule="exact" w:before="0"/>
              <w:ind w:left="0" w:right="47"/>
              <w:jc w:val="right"/>
              <w:rPr>
                <w:sz w:val="21"/>
              </w:rPr>
            </w:pPr>
            <w:r>
              <w:rPr>
                <w:sz w:val="21"/>
              </w:rPr>
              <w:t>6.18</w:t>
            </w:r>
          </w:p>
        </w:tc>
        <w:tc>
          <w:tcPr>
            <w:tcW w:w="2352" w:type="dxa"/>
          </w:tcPr>
          <w:p>
            <w:pPr>
              <w:pStyle w:val="TableParagraph"/>
              <w:spacing w:line="246" w:lineRule="exact" w:before="0"/>
              <w:ind w:left="68"/>
              <w:rPr>
                <w:sz w:val="21"/>
              </w:rPr>
            </w:pPr>
            <w:r>
              <w:rPr>
                <w:sz w:val="21"/>
              </w:rPr>
              <w:t>感染艾滋病病毒或患艾</w:t>
            </w:r>
          </w:p>
        </w:tc>
      </w:tr>
    </w:tbl>
    <w:p>
      <w:pPr>
        <w:spacing w:after="0" w:line="246" w:lineRule="exact"/>
        <w:rPr>
          <w:sz w:val="21"/>
        </w:rPr>
        <w:sectPr>
          <w:type w:val="continuous"/>
          <w:pgSz w:w="11910" w:h="16840"/>
          <w:pgMar w:top="260" w:bottom="1180" w:left="980" w:right="0"/>
        </w:sectPr>
      </w:pPr>
    </w:p>
    <w:p>
      <w:pPr>
        <w:pStyle w:val="Heading1"/>
        <w:spacing w:before="37"/>
        <w:ind w:left="513"/>
      </w:pPr>
      <w:r>
        <w:rPr/>
        <w:t>2.我们提供的保障</w:t>
      </w:r>
    </w:p>
    <w:p>
      <w:pPr>
        <w:pStyle w:val="ListParagraph"/>
        <w:numPr>
          <w:ilvl w:val="1"/>
          <w:numId w:val="2"/>
        </w:numPr>
        <w:tabs>
          <w:tab w:pos="1147" w:val="left" w:leader="none"/>
        </w:tabs>
        <w:spacing w:line="240" w:lineRule="auto" w:before="36" w:after="0"/>
        <w:ind w:left="1146" w:right="0" w:hanging="422"/>
        <w:jc w:val="left"/>
        <w:rPr>
          <w:sz w:val="21"/>
        </w:rPr>
      </w:pPr>
      <w:r>
        <w:rPr>
          <w:spacing w:val="-3"/>
          <w:sz w:val="21"/>
        </w:rPr>
        <w:t>保险期间</w:t>
      </w:r>
    </w:p>
    <w:p>
      <w:pPr>
        <w:pStyle w:val="ListParagraph"/>
        <w:numPr>
          <w:ilvl w:val="1"/>
          <w:numId w:val="2"/>
        </w:numPr>
        <w:tabs>
          <w:tab w:pos="1147" w:val="left" w:leader="none"/>
        </w:tabs>
        <w:spacing w:line="240" w:lineRule="auto" w:before="36" w:after="0"/>
        <w:ind w:left="1146" w:right="0" w:hanging="422"/>
        <w:jc w:val="left"/>
        <w:rPr>
          <w:sz w:val="21"/>
        </w:rPr>
      </w:pPr>
      <w:r>
        <w:rPr>
          <w:spacing w:val="-3"/>
          <w:sz w:val="21"/>
        </w:rPr>
        <w:t>保险责任</w:t>
      </w:r>
    </w:p>
    <w:p>
      <w:pPr>
        <w:pStyle w:val="ListParagraph"/>
        <w:numPr>
          <w:ilvl w:val="1"/>
          <w:numId w:val="2"/>
        </w:numPr>
        <w:tabs>
          <w:tab w:pos="1147" w:val="left" w:leader="none"/>
        </w:tabs>
        <w:spacing w:line="240" w:lineRule="auto" w:before="36" w:after="0"/>
        <w:ind w:left="1146" w:right="0" w:hanging="422"/>
        <w:jc w:val="left"/>
        <w:rPr>
          <w:sz w:val="21"/>
        </w:rPr>
      </w:pPr>
      <w:r>
        <w:rPr>
          <w:spacing w:val="-3"/>
          <w:sz w:val="21"/>
        </w:rPr>
        <w:t>责任免除</w:t>
      </w:r>
    </w:p>
    <w:p>
      <w:pPr>
        <w:pStyle w:val="Heading1"/>
        <w:spacing w:before="36"/>
        <w:ind w:left="513"/>
      </w:pPr>
      <w:r>
        <w:rPr/>
        <w:t>3.您的权利和义务</w:t>
      </w:r>
    </w:p>
    <w:p>
      <w:pPr>
        <w:pStyle w:val="BodyText"/>
        <w:spacing w:before="36"/>
        <w:ind w:left="724"/>
      </w:pPr>
      <w:r>
        <w:rPr/>
        <w:t>3.1 保险费的交纳</w:t>
      </w:r>
    </w:p>
    <w:p>
      <w:pPr>
        <w:pStyle w:val="ListParagraph"/>
        <w:numPr>
          <w:ilvl w:val="1"/>
          <w:numId w:val="3"/>
        </w:numPr>
        <w:tabs>
          <w:tab w:pos="936" w:val="left" w:leader="none"/>
        </w:tabs>
        <w:spacing w:line="240" w:lineRule="auto" w:before="6" w:after="0"/>
        <w:ind w:left="935" w:right="0" w:hanging="422"/>
        <w:jc w:val="left"/>
        <w:rPr>
          <w:sz w:val="21"/>
        </w:rPr>
      </w:pPr>
      <w:r>
        <w:rPr>
          <w:spacing w:val="-3"/>
          <w:w w:val="100"/>
          <w:sz w:val="21"/>
        </w:rPr>
        <w:br w:type="column"/>
      </w:r>
      <w:r>
        <w:rPr>
          <w:spacing w:val="-3"/>
          <w:sz w:val="21"/>
        </w:rPr>
        <w:t>专科医生</w:t>
      </w:r>
    </w:p>
    <w:p>
      <w:pPr>
        <w:pStyle w:val="ListParagraph"/>
        <w:numPr>
          <w:ilvl w:val="1"/>
          <w:numId w:val="3"/>
        </w:numPr>
        <w:tabs>
          <w:tab w:pos="936" w:val="left" w:leader="none"/>
        </w:tabs>
        <w:spacing w:line="240" w:lineRule="auto" w:before="37" w:after="0"/>
        <w:ind w:left="935" w:right="0" w:hanging="422"/>
        <w:jc w:val="left"/>
        <w:rPr>
          <w:sz w:val="21"/>
        </w:rPr>
      </w:pPr>
      <w:r>
        <w:rPr>
          <w:spacing w:val="-3"/>
          <w:sz w:val="21"/>
        </w:rPr>
        <w:t>初次发生</w:t>
      </w:r>
    </w:p>
    <w:p>
      <w:pPr>
        <w:pStyle w:val="ListParagraph"/>
        <w:numPr>
          <w:ilvl w:val="1"/>
          <w:numId w:val="3"/>
        </w:numPr>
        <w:tabs>
          <w:tab w:pos="936" w:val="left" w:leader="none"/>
        </w:tabs>
        <w:spacing w:line="240" w:lineRule="auto" w:before="37" w:after="0"/>
        <w:ind w:left="935" w:right="0" w:hanging="422"/>
        <w:jc w:val="left"/>
        <w:rPr>
          <w:sz w:val="21"/>
        </w:rPr>
      </w:pPr>
      <w:r>
        <w:rPr>
          <w:spacing w:val="-3"/>
          <w:sz w:val="21"/>
        </w:rPr>
        <w:t>本合同所指的重大疾病</w:t>
      </w:r>
    </w:p>
    <w:p>
      <w:pPr>
        <w:pStyle w:val="ListParagraph"/>
        <w:numPr>
          <w:ilvl w:val="1"/>
          <w:numId w:val="3"/>
        </w:numPr>
        <w:tabs>
          <w:tab w:pos="936" w:val="left" w:leader="none"/>
        </w:tabs>
        <w:spacing w:line="240" w:lineRule="auto" w:before="37" w:after="0"/>
        <w:ind w:left="935" w:right="0" w:hanging="422"/>
        <w:jc w:val="left"/>
        <w:rPr>
          <w:sz w:val="21"/>
        </w:rPr>
      </w:pPr>
      <w:r>
        <w:rPr>
          <w:spacing w:val="-3"/>
          <w:sz w:val="21"/>
        </w:rPr>
        <w:t>本保险实际交纳的保险费</w:t>
      </w:r>
    </w:p>
    <w:p>
      <w:pPr>
        <w:pStyle w:val="ListParagraph"/>
        <w:numPr>
          <w:ilvl w:val="1"/>
          <w:numId w:val="3"/>
        </w:numPr>
        <w:tabs>
          <w:tab w:pos="936" w:val="left" w:leader="none"/>
        </w:tabs>
        <w:spacing w:line="240" w:lineRule="auto" w:before="37" w:after="0"/>
        <w:ind w:left="935" w:right="0" w:hanging="422"/>
        <w:jc w:val="left"/>
        <w:rPr>
          <w:sz w:val="21"/>
        </w:rPr>
      </w:pPr>
      <w:r>
        <w:rPr>
          <w:spacing w:val="-3"/>
          <w:sz w:val="21"/>
        </w:rPr>
        <w:t>意外伤害</w:t>
      </w:r>
    </w:p>
    <w:p>
      <w:pPr>
        <w:pStyle w:val="ListParagraph"/>
        <w:numPr>
          <w:ilvl w:val="1"/>
          <w:numId w:val="3"/>
        </w:numPr>
        <w:tabs>
          <w:tab w:pos="936" w:val="left" w:leader="none"/>
        </w:tabs>
        <w:spacing w:line="240" w:lineRule="auto" w:before="37" w:after="0"/>
        <w:ind w:left="935" w:right="0" w:hanging="422"/>
        <w:jc w:val="left"/>
        <w:rPr>
          <w:sz w:val="21"/>
        </w:rPr>
      </w:pPr>
      <w:r>
        <w:rPr>
          <w:spacing w:val="-3"/>
          <w:sz w:val="21"/>
        </w:rPr>
        <w:t>本合同所指的轻症疾病</w:t>
      </w:r>
    </w:p>
    <w:p>
      <w:pPr>
        <w:spacing w:before="6"/>
        <w:ind w:left="975" w:right="0" w:firstLine="0"/>
        <w:jc w:val="left"/>
        <w:rPr>
          <w:sz w:val="21"/>
        </w:rPr>
      </w:pPr>
      <w:r>
        <w:rPr/>
        <w:br w:type="column"/>
      </w:r>
      <w:r>
        <w:rPr>
          <w:sz w:val="21"/>
        </w:rPr>
        <w:t>滋病</w:t>
      </w:r>
    </w:p>
    <w:p>
      <w:pPr>
        <w:pStyle w:val="BodyText"/>
        <w:spacing w:before="34"/>
        <w:ind w:left="452"/>
      </w:pPr>
      <w:r>
        <w:rPr/>
        <w:t>6.19 指定鉴定机构</w:t>
      </w:r>
    </w:p>
    <w:p>
      <w:pPr>
        <w:spacing w:after="0"/>
        <w:sectPr>
          <w:type w:val="continuous"/>
          <w:pgSz w:w="11910" w:h="16840"/>
          <w:pgMar w:top="260" w:bottom="1180" w:left="980" w:right="0"/>
          <w:cols w:num="3" w:equalWidth="0">
            <w:col w:w="2408" w:space="444"/>
            <w:col w:w="3248" w:space="39"/>
            <w:col w:w="4791"/>
          </w:cols>
        </w:sectPr>
      </w:pPr>
    </w:p>
    <w:p>
      <w:pPr>
        <w:pStyle w:val="BodyText"/>
        <w:spacing w:before="0"/>
        <w:rPr>
          <w:sz w:val="2"/>
        </w:rPr>
      </w:pPr>
    </w:p>
    <w:p>
      <w:pPr>
        <w:spacing w:line="38" w:lineRule="exact"/>
        <w:ind w:left="536" w:right="0" w:firstLine="0"/>
        <w:rPr>
          <w:sz w:val="3"/>
        </w:rPr>
      </w:pPr>
      <w:r>
        <w:rPr>
          <w:rFonts w:ascii="Times New Roman"/>
          <w:spacing w:val="-7"/>
          <w:sz w:val="3"/>
        </w:rPr>
        <w:t> </w:t>
      </w:r>
      <w:r>
        <w:rPr>
          <w:spacing w:val="-7"/>
          <w:position w:val="0"/>
          <w:sz w:val="3"/>
        </w:rPr>
        <w:pict>
          <v:group style="width:468.75pt;height:1.85pt;mso-position-horizontal-relative:char;mso-position-vertical-relative:line" coordorigin="0,0" coordsize="9375,37">
            <v:line style="position:absolute" from="8,30" to="9368,8" stroked="true" strokeweight=".75pt" strokecolor="#000000">
              <v:stroke dashstyle="solid"/>
            </v:line>
          </v:group>
        </w:pict>
      </w:r>
      <w:r>
        <w:rPr>
          <w:spacing w:val="-7"/>
          <w:position w:val="0"/>
          <w:sz w:val="3"/>
        </w:rPr>
      </w:r>
    </w:p>
    <w:p>
      <w:pPr>
        <w:pStyle w:val="BodyText"/>
        <w:spacing w:before="1"/>
        <w:rPr>
          <w:sz w:val="27"/>
        </w:rPr>
      </w:pPr>
    </w:p>
    <w:p>
      <w:pPr>
        <w:spacing w:before="15"/>
        <w:ind w:left="1728" w:right="1369" w:firstLine="0"/>
        <w:jc w:val="center"/>
        <w:rPr>
          <w:b/>
          <w:sz w:val="28"/>
        </w:rPr>
      </w:pPr>
      <w:r>
        <w:rPr>
          <w:b/>
          <w:sz w:val="28"/>
        </w:rPr>
        <w:t>天安人寿保险股份有限公司</w:t>
      </w:r>
    </w:p>
    <w:p>
      <w:pPr>
        <w:pStyle w:val="BodyText"/>
        <w:spacing w:before="8"/>
        <w:rPr>
          <w:b/>
          <w:sz w:val="19"/>
        </w:rPr>
      </w:pPr>
    </w:p>
    <w:p>
      <w:pPr>
        <w:spacing w:before="1"/>
        <w:ind w:left="1728" w:right="1372" w:firstLine="0"/>
        <w:jc w:val="center"/>
        <w:rPr>
          <w:b/>
          <w:sz w:val="28"/>
        </w:rPr>
      </w:pPr>
      <w:r>
        <w:rPr>
          <w:b/>
          <w:sz w:val="28"/>
        </w:rPr>
        <w:t>天安人寿附加投保人豁免保险费 B 款重大疾病保险条款</w:t>
      </w:r>
    </w:p>
    <w:p>
      <w:pPr>
        <w:pStyle w:val="BodyText"/>
        <w:spacing w:before="0"/>
        <w:rPr>
          <w:b/>
          <w:sz w:val="20"/>
        </w:rPr>
      </w:pPr>
    </w:p>
    <w:p>
      <w:pPr>
        <w:pStyle w:val="BodyText"/>
        <w:spacing w:before="9"/>
        <w:rPr>
          <w:b/>
          <w:sz w:val="24"/>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5"/>
        <w:gridCol w:w="1308"/>
        <w:gridCol w:w="7705"/>
      </w:tblGrid>
      <w:tr>
        <w:trPr>
          <w:trHeight w:val="522" w:hRule="atLeast"/>
        </w:trPr>
        <w:tc>
          <w:tcPr>
            <w:tcW w:w="785" w:type="dxa"/>
            <w:tcBorders>
              <w:bottom w:val="single" w:sz="8" w:space="0" w:color="000000"/>
            </w:tcBorders>
          </w:tcPr>
          <w:p>
            <w:pPr>
              <w:pStyle w:val="TableParagraph"/>
              <w:spacing w:line="423" w:lineRule="exact" w:before="0"/>
              <w:ind w:left="108"/>
              <w:rPr>
                <w:rFonts w:ascii="Arial" w:hAnsi="Arial"/>
                <w:b/>
                <w:sz w:val="40"/>
              </w:rPr>
            </w:pPr>
            <w:r>
              <w:rPr>
                <w:rFonts w:ascii="Arial" w:hAnsi="Arial"/>
                <w:b/>
                <w:w w:val="119"/>
                <w:sz w:val="40"/>
              </w:rPr>
              <w:t></w:t>
            </w:r>
          </w:p>
        </w:tc>
        <w:tc>
          <w:tcPr>
            <w:tcW w:w="9013" w:type="dxa"/>
            <w:gridSpan w:val="2"/>
            <w:tcBorders>
              <w:bottom w:val="single" w:sz="8" w:space="0" w:color="000000"/>
            </w:tcBorders>
          </w:tcPr>
          <w:p>
            <w:pPr>
              <w:pStyle w:val="TableParagraph"/>
              <w:spacing w:before="14"/>
              <w:ind w:left="319"/>
              <w:rPr>
                <w:b/>
                <w:sz w:val="24"/>
              </w:rPr>
            </w:pPr>
            <w:r>
              <w:rPr>
                <w:b/>
                <w:w w:val="95"/>
                <w:sz w:val="24"/>
              </w:rPr>
              <w:t>您与我们的合同</w:t>
            </w:r>
          </w:p>
        </w:tc>
      </w:tr>
      <w:tr>
        <w:trPr>
          <w:trHeight w:val="2393" w:hRule="atLeast"/>
        </w:trPr>
        <w:tc>
          <w:tcPr>
            <w:tcW w:w="785" w:type="dxa"/>
            <w:tcBorders>
              <w:top w:val="single" w:sz="8" w:space="0" w:color="000000"/>
            </w:tcBorders>
          </w:tcPr>
          <w:p>
            <w:pPr>
              <w:pStyle w:val="TableParagraph"/>
              <w:spacing w:before="11"/>
              <w:ind w:left="0"/>
              <w:rPr>
                <w:b/>
                <w:sz w:val="26"/>
              </w:rPr>
            </w:pPr>
          </w:p>
          <w:p>
            <w:pPr>
              <w:pStyle w:val="TableParagraph"/>
              <w:spacing w:before="0"/>
              <w:ind w:left="108"/>
              <w:rPr>
                <w:b/>
                <w:sz w:val="21"/>
              </w:rPr>
            </w:pPr>
            <w:r>
              <w:rPr>
                <w:b/>
                <w:sz w:val="21"/>
              </w:rPr>
              <w:t>1.1</w:t>
            </w:r>
          </w:p>
        </w:tc>
        <w:tc>
          <w:tcPr>
            <w:tcW w:w="1308" w:type="dxa"/>
            <w:tcBorders>
              <w:top w:val="single" w:sz="8" w:space="0" w:color="000000"/>
            </w:tcBorders>
          </w:tcPr>
          <w:p>
            <w:pPr>
              <w:pStyle w:val="TableParagraph"/>
              <w:spacing w:before="11"/>
              <w:ind w:left="0"/>
              <w:rPr>
                <w:b/>
                <w:sz w:val="26"/>
              </w:rPr>
            </w:pPr>
          </w:p>
          <w:p>
            <w:pPr>
              <w:pStyle w:val="TableParagraph"/>
              <w:spacing w:before="0"/>
              <w:ind w:left="319"/>
              <w:rPr>
                <w:b/>
                <w:sz w:val="21"/>
              </w:rPr>
            </w:pPr>
            <w:r>
              <w:rPr>
                <w:b/>
                <w:sz w:val="21"/>
              </w:rPr>
              <w:t>投保范围</w:t>
            </w:r>
          </w:p>
        </w:tc>
        <w:tc>
          <w:tcPr>
            <w:tcW w:w="7705" w:type="dxa"/>
            <w:tcBorders>
              <w:top w:val="single" w:sz="8" w:space="0" w:color="000000"/>
            </w:tcBorders>
          </w:tcPr>
          <w:p>
            <w:pPr>
              <w:pStyle w:val="TableParagraph"/>
              <w:spacing w:before="11"/>
              <w:ind w:left="0"/>
              <w:rPr>
                <w:b/>
                <w:sz w:val="26"/>
              </w:rPr>
            </w:pPr>
          </w:p>
          <w:p>
            <w:pPr>
              <w:pStyle w:val="TableParagraph"/>
              <w:spacing w:line="273" w:lineRule="auto" w:before="0"/>
              <w:ind w:left="144" w:right="100" w:firstLine="420"/>
              <w:jc w:val="both"/>
              <w:rPr>
                <w:sz w:val="21"/>
              </w:rPr>
            </w:pPr>
            <w:r>
              <w:rPr>
                <w:spacing w:val="-3"/>
                <w:w w:val="100"/>
                <w:sz w:val="21"/>
              </w:rPr>
              <w:t>被保险人范围：主保险合同（</w:t>
            </w:r>
            <w:r>
              <w:rPr>
                <w:spacing w:val="-14"/>
                <w:w w:val="100"/>
                <w:sz w:val="21"/>
              </w:rPr>
              <w:t>以下简称“主险合同”</w:t>
            </w:r>
            <w:r>
              <w:rPr>
                <w:spacing w:val="-1"/>
                <w:w w:val="100"/>
                <w:sz w:val="21"/>
              </w:rPr>
              <w:t>）</w:t>
            </w:r>
            <w:r>
              <w:rPr>
                <w:spacing w:val="-3"/>
                <w:w w:val="100"/>
                <w:sz w:val="21"/>
              </w:rPr>
              <w:t>的投保人与被保险人不为同一人时，主险合同的投保人可作为本附加保险合同</w:t>
            </w:r>
            <w:r>
              <w:rPr>
                <w:w w:val="100"/>
                <w:sz w:val="21"/>
              </w:rPr>
              <w:t>（</w:t>
            </w:r>
            <w:r>
              <w:rPr>
                <w:spacing w:val="-15"/>
                <w:w w:val="100"/>
                <w:sz w:val="21"/>
              </w:rPr>
              <w:t>以下简称“本合同”</w:t>
            </w:r>
            <w:r>
              <w:rPr>
                <w:spacing w:val="-1"/>
                <w:w w:val="100"/>
                <w:sz w:val="21"/>
              </w:rPr>
              <w:t>）</w:t>
            </w:r>
            <w:r>
              <w:rPr>
                <w:w w:val="100"/>
                <w:sz w:val="21"/>
              </w:rPr>
              <w:t>的</w:t>
            </w:r>
            <w:r>
              <w:rPr>
                <w:spacing w:val="-3"/>
                <w:sz w:val="21"/>
              </w:rPr>
              <w:t>被保险人投保本保险。</w:t>
            </w:r>
          </w:p>
          <w:p>
            <w:pPr>
              <w:pStyle w:val="TableParagraph"/>
              <w:spacing w:line="273" w:lineRule="auto" w:before="7"/>
              <w:ind w:left="144" w:right="103" w:firstLine="420"/>
              <w:jc w:val="both"/>
              <w:rPr>
                <w:sz w:val="21"/>
              </w:rPr>
            </w:pPr>
            <w:r>
              <w:rPr>
                <w:spacing w:val="-3"/>
                <w:w w:val="100"/>
                <w:sz w:val="21"/>
              </w:rPr>
              <w:t>本合同接受的投保年龄为</w:t>
            </w:r>
            <w:r>
              <w:rPr>
                <w:spacing w:val="-55"/>
                <w:sz w:val="21"/>
              </w:rPr>
              <w:t> </w:t>
            </w:r>
            <w:r>
              <w:rPr>
                <w:w w:val="100"/>
                <w:sz w:val="21"/>
              </w:rPr>
              <w:t>18</w:t>
            </w:r>
            <w:r>
              <w:rPr>
                <w:spacing w:val="-53"/>
                <w:sz w:val="21"/>
              </w:rPr>
              <w:t> </w:t>
            </w:r>
            <w:r>
              <w:rPr>
                <w:w w:val="100"/>
                <w:sz w:val="21"/>
              </w:rPr>
              <w:t>至</w:t>
            </w:r>
            <w:r>
              <w:rPr>
                <w:spacing w:val="-52"/>
                <w:sz w:val="21"/>
              </w:rPr>
              <w:t> </w:t>
            </w:r>
            <w:r>
              <w:rPr>
                <w:spacing w:val="-3"/>
                <w:w w:val="100"/>
                <w:sz w:val="21"/>
              </w:rPr>
              <w:t>6</w:t>
            </w:r>
            <w:r>
              <w:rPr>
                <w:w w:val="100"/>
                <w:sz w:val="21"/>
              </w:rPr>
              <w:t>0</w:t>
            </w:r>
            <w:r>
              <w:rPr>
                <w:spacing w:val="-55"/>
                <w:sz w:val="21"/>
              </w:rPr>
              <w:t> </w:t>
            </w:r>
            <w:r>
              <w:rPr>
                <w:b/>
                <w:spacing w:val="-3"/>
                <w:w w:val="100"/>
                <w:sz w:val="21"/>
              </w:rPr>
              <w:t>周岁</w:t>
            </w:r>
            <w:r>
              <w:rPr>
                <w:b/>
                <w:w w:val="100"/>
                <w:sz w:val="21"/>
              </w:rPr>
              <w:t>（详见释义</w:t>
            </w:r>
            <w:r>
              <w:rPr>
                <w:b/>
                <w:spacing w:val="-108"/>
                <w:w w:val="100"/>
                <w:sz w:val="21"/>
              </w:rPr>
              <w:t>）</w:t>
            </w:r>
            <w:r>
              <w:rPr>
                <w:spacing w:val="-3"/>
                <w:w w:val="100"/>
                <w:sz w:val="21"/>
              </w:rPr>
              <w:t>，身体健康且符合我们规</w:t>
            </w:r>
            <w:r>
              <w:rPr>
                <w:spacing w:val="-3"/>
                <w:sz w:val="21"/>
              </w:rPr>
              <w:t>定的投保条件者。</w:t>
            </w:r>
          </w:p>
          <w:p>
            <w:pPr>
              <w:pStyle w:val="TableParagraph"/>
              <w:spacing w:before="7"/>
              <w:rPr>
                <w:sz w:val="21"/>
              </w:rPr>
            </w:pPr>
            <w:r>
              <w:rPr>
                <w:sz w:val="21"/>
              </w:rPr>
              <w:t>投保人范围：本合同的投保人与被保险人必须为同一人。</w:t>
            </w:r>
          </w:p>
        </w:tc>
      </w:tr>
      <w:tr>
        <w:trPr>
          <w:trHeight w:val="1248" w:hRule="atLeast"/>
        </w:trPr>
        <w:tc>
          <w:tcPr>
            <w:tcW w:w="785" w:type="dxa"/>
          </w:tcPr>
          <w:p>
            <w:pPr>
              <w:pStyle w:val="TableParagraph"/>
              <w:ind w:left="108"/>
              <w:rPr>
                <w:b/>
                <w:sz w:val="21"/>
              </w:rPr>
            </w:pPr>
            <w:r>
              <w:rPr>
                <w:b/>
                <w:sz w:val="21"/>
              </w:rPr>
              <w:t>1.2</w:t>
            </w:r>
          </w:p>
        </w:tc>
        <w:tc>
          <w:tcPr>
            <w:tcW w:w="1308" w:type="dxa"/>
          </w:tcPr>
          <w:p>
            <w:pPr>
              <w:pStyle w:val="TableParagraph"/>
              <w:ind w:left="319"/>
              <w:rPr>
                <w:b/>
                <w:sz w:val="21"/>
              </w:rPr>
            </w:pPr>
            <w:r>
              <w:rPr>
                <w:b/>
                <w:sz w:val="21"/>
              </w:rPr>
              <w:t>合同构成</w:t>
            </w:r>
          </w:p>
        </w:tc>
        <w:tc>
          <w:tcPr>
            <w:tcW w:w="7705" w:type="dxa"/>
          </w:tcPr>
          <w:p>
            <w:pPr>
              <w:pStyle w:val="TableParagraph"/>
              <w:spacing w:line="273" w:lineRule="auto"/>
              <w:ind w:left="144" w:right="-15" w:firstLine="420"/>
              <w:rPr>
                <w:sz w:val="21"/>
              </w:rPr>
            </w:pPr>
            <w:r>
              <w:rPr>
                <w:spacing w:val="-3"/>
                <w:sz w:val="21"/>
              </w:rPr>
              <w:t>本合同是主险合同的附加合同。本合同由保险单或其他保险凭证及所附条款、投保单、与本合同有关的其他投保文件、健康告知书、保险合同变更申请书、声 明、批注、附贴批单及其他书面协议构成。</w:t>
            </w:r>
          </w:p>
        </w:tc>
      </w:tr>
      <w:tr>
        <w:trPr>
          <w:trHeight w:val="1872" w:hRule="atLeast"/>
        </w:trPr>
        <w:tc>
          <w:tcPr>
            <w:tcW w:w="785" w:type="dxa"/>
          </w:tcPr>
          <w:p>
            <w:pPr>
              <w:pStyle w:val="TableParagraph"/>
              <w:ind w:left="108"/>
              <w:rPr>
                <w:b/>
                <w:sz w:val="21"/>
              </w:rPr>
            </w:pPr>
            <w:r>
              <w:rPr>
                <w:b/>
                <w:sz w:val="21"/>
              </w:rPr>
              <w:t>1.3</w:t>
            </w:r>
          </w:p>
        </w:tc>
        <w:tc>
          <w:tcPr>
            <w:tcW w:w="1308" w:type="dxa"/>
          </w:tcPr>
          <w:p>
            <w:pPr>
              <w:pStyle w:val="TableParagraph"/>
              <w:spacing w:line="273" w:lineRule="auto"/>
              <w:ind w:left="319" w:right="141"/>
              <w:rPr>
                <w:b/>
                <w:sz w:val="21"/>
              </w:rPr>
            </w:pPr>
            <w:r>
              <w:rPr>
                <w:b/>
                <w:sz w:val="21"/>
              </w:rPr>
              <w:t>合同成立与生效</w:t>
            </w:r>
          </w:p>
        </w:tc>
        <w:tc>
          <w:tcPr>
            <w:tcW w:w="7705" w:type="dxa"/>
          </w:tcPr>
          <w:p>
            <w:pPr>
              <w:pStyle w:val="TableParagraph"/>
              <w:spacing w:line="273" w:lineRule="auto"/>
              <w:ind w:left="144" w:right="201" w:firstLine="420"/>
              <w:rPr>
                <w:sz w:val="21"/>
              </w:rPr>
            </w:pPr>
            <w:r>
              <w:rPr>
                <w:sz w:val="21"/>
              </w:rPr>
              <w:t>您提出保险申请、本公司同意承保，本合同成立，合同成立日期在保险单上载明。</w:t>
            </w:r>
          </w:p>
          <w:p>
            <w:pPr>
              <w:pStyle w:val="TableParagraph"/>
              <w:spacing w:line="273" w:lineRule="auto" w:before="7"/>
              <w:ind w:left="144" w:right="101" w:firstLine="420"/>
              <w:jc w:val="both"/>
              <w:rPr>
                <w:sz w:val="21"/>
              </w:rPr>
            </w:pPr>
            <w:r>
              <w:rPr>
                <w:sz w:val="21"/>
              </w:rPr>
              <w:t>除另有约定外，自本合同成立、本公司收取首期保险费并签发保险单的次日零时起本合同生效，本公司开始承担保险责任，合同生效日期在保险单上载明。本合同生效日即为保单生效日。</w:t>
            </w:r>
          </w:p>
        </w:tc>
      </w:tr>
      <w:tr>
        <w:trPr>
          <w:trHeight w:val="2808" w:hRule="atLeast"/>
        </w:trPr>
        <w:tc>
          <w:tcPr>
            <w:tcW w:w="785" w:type="dxa"/>
          </w:tcPr>
          <w:p>
            <w:pPr>
              <w:pStyle w:val="TableParagraph"/>
              <w:ind w:left="108"/>
              <w:rPr>
                <w:b/>
                <w:sz w:val="21"/>
              </w:rPr>
            </w:pPr>
            <w:r>
              <w:rPr>
                <w:b/>
                <w:sz w:val="21"/>
              </w:rPr>
              <w:t>1.4</w:t>
            </w:r>
          </w:p>
        </w:tc>
        <w:tc>
          <w:tcPr>
            <w:tcW w:w="1308" w:type="dxa"/>
          </w:tcPr>
          <w:p>
            <w:pPr>
              <w:pStyle w:val="TableParagraph"/>
              <w:ind w:left="319"/>
              <w:rPr>
                <w:b/>
                <w:sz w:val="21"/>
              </w:rPr>
            </w:pPr>
            <w:r>
              <w:rPr>
                <w:b/>
                <w:sz w:val="21"/>
              </w:rPr>
              <w:t>合同效力</w:t>
            </w:r>
          </w:p>
        </w:tc>
        <w:tc>
          <w:tcPr>
            <w:tcW w:w="7705" w:type="dxa"/>
          </w:tcPr>
          <w:p>
            <w:pPr>
              <w:pStyle w:val="TableParagraph"/>
              <w:spacing w:line="273" w:lineRule="auto"/>
              <w:ind w:left="144" w:right="100" w:firstLine="434"/>
              <w:jc w:val="both"/>
              <w:rPr>
                <w:sz w:val="21"/>
              </w:rPr>
            </w:pPr>
            <w:r>
              <w:rPr>
                <w:spacing w:val="-19"/>
                <w:sz w:val="21"/>
              </w:rPr>
              <w:t>主险合同中的“续期保险费的交纳、宽限期”、“合同效力中止”、“合同效力</w:t>
            </w:r>
            <w:r>
              <w:rPr>
                <w:spacing w:val="-37"/>
                <w:sz w:val="21"/>
              </w:rPr>
              <w:t>恢复”、“减保”、“保险费自动垫交”、“保单质押贷款”、“保险事故通知”、“保险</w:t>
            </w:r>
            <w:r>
              <w:rPr>
                <w:spacing w:val="-30"/>
                <w:sz w:val="21"/>
              </w:rPr>
              <w:t>金的给付”、“未还款项的扣除”、“明确说明与如实告知”、“本公司合同解除权的</w:t>
            </w:r>
            <w:r>
              <w:rPr>
                <w:spacing w:val="-29"/>
                <w:sz w:val="21"/>
              </w:rPr>
              <w:t>限制”、“年龄确定与错误处理”、“地址变更”、“争议处理”事项以及“释义”适</w:t>
            </w:r>
            <w:r>
              <w:rPr>
                <w:spacing w:val="-9"/>
                <w:sz w:val="21"/>
              </w:rPr>
              <w:t>用于本合同。本合同内容与主险合同相抵触的，以本合同为准。</w:t>
            </w:r>
          </w:p>
          <w:p>
            <w:pPr>
              <w:pStyle w:val="TableParagraph"/>
              <w:spacing w:before="7"/>
              <w:ind w:left="578"/>
              <w:rPr>
                <w:sz w:val="21"/>
              </w:rPr>
            </w:pPr>
            <w:r>
              <w:rPr>
                <w:sz w:val="21"/>
              </w:rPr>
              <w:t>主险合同无效，本合同亦无效。</w:t>
            </w:r>
          </w:p>
          <w:p>
            <w:pPr>
              <w:pStyle w:val="TableParagraph"/>
              <w:spacing w:line="273" w:lineRule="auto" w:before="37"/>
              <w:ind w:right="2918" w:firstLine="14"/>
              <w:rPr>
                <w:sz w:val="21"/>
              </w:rPr>
            </w:pPr>
            <w:r>
              <w:rPr>
                <w:sz w:val="21"/>
              </w:rPr>
              <w:t>除另有约定外，主险合同中止，本合同中止。主险合同终止，本合同终止。</w:t>
            </w:r>
          </w:p>
        </w:tc>
      </w:tr>
      <w:tr>
        <w:trPr>
          <w:trHeight w:val="1871" w:hRule="atLeast"/>
        </w:trPr>
        <w:tc>
          <w:tcPr>
            <w:tcW w:w="785" w:type="dxa"/>
          </w:tcPr>
          <w:p>
            <w:pPr>
              <w:pStyle w:val="TableParagraph"/>
              <w:ind w:left="108"/>
              <w:rPr>
                <w:b/>
                <w:sz w:val="21"/>
              </w:rPr>
            </w:pPr>
            <w:r>
              <w:rPr>
                <w:b/>
                <w:sz w:val="21"/>
              </w:rPr>
              <w:t>1.5</w:t>
            </w:r>
          </w:p>
        </w:tc>
        <w:tc>
          <w:tcPr>
            <w:tcW w:w="1308" w:type="dxa"/>
          </w:tcPr>
          <w:p>
            <w:pPr>
              <w:pStyle w:val="TableParagraph"/>
              <w:ind w:left="319"/>
              <w:rPr>
                <w:b/>
                <w:sz w:val="21"/>
              </w:rPr>
            </w:pPr>
            <w:r>
              <w:rPr>
                <w:b/>
                <w:sz w:val="21"/>
              </w:rPr>
              <w:t>犹豫期</w:t>
            </w:r>
          </w:p>
        </w:tc>
        <w:tc>
          <w:tcPr>
            <w:tcW w:w="7705" w:type="dxa"/>
          </w:tcPr>
          <w:p>
            <w:pPr>
              <w:pStyle w:val="TableParagraph"/>
              <w:rPr>
                <w:sz w:val="21"/>
              </w:rPr>
            </w:pPr>
            <w:r>
              <w:rPr>
                <w:sz w:val="21"/>
              </w:rPr>
              <w:t>本合同生效后，本公司为您提供 10 日的犹豫期，犹豫期指您收到保险单并书</w:t>
            </w:r>
          </w:p>
          <w:p>
            <w:pPr>
              <w:pStyle w:val="TableParagraph"/>
              <w:spacing w:before="36"/>
              <w:ind w:left="144"/>
              <w:rPr>
                <w:sz w:val="21"/>
              </w:rPr>
            </w:pPr>
            <w:r>
              <w:rPr>
                <w:sz w:val="21"/>
              </w:rPr>
              <w:t>面签收之日起 10 日的期间，您在上述期间内要求解除本合同的，应书面提出合同</w:t>
            </w:r>
          </w:p>
          <w:p>
            <w:pPr>
              <w:pStyle w:val="TableParagraph"/>
              <w:spacing w:line="273" w:lineRule="auto" w:before="36"/>
              <w:ind w:left="144" w:right="102"/>
              <w:jc w:val="both"/>
              <w:rPr>
                <w:b/>
                <w:sz w:val="21"/>
              </w:rPr>
            </w:pPr>
            <w:r>
              <w:rPr>
                <w:spacing w:val="-5"/>
                <w:sz w:val="21"/>
              </w:rPr>
              <w:t>解除申请，并提供您的保险合同及有效身份证件，本公司将在扣除不超过 </w:t>
            </w:r>
            <w:r>
              <w:rPr>
                <w:sz w:val="21"/>
              </w:rPr>
              <w:t>10</w:t>
            </w:r>
            <w:r>
              <w:rPr>
                <w:spacing w:val="-14"/>
                <w:sz w:val="21"/>
              </w:rPr>
              <w:t> 元的保单工本费后退还本保险交纳的保险费。</w:t>
            </w:r>
            <w:r>
              <w:rPr>
                <w:b/>
                <w:spacing w:val="-14"/>
                <w:sz w:val="21"/>
              </w:rPr>
              <w:t>自本公司收到合同解除申请之日起，本</w:t>
            </w:r>
            <w:r>
              <w:rPr>
                <w:b/>
                <w:spacing w:val="-11"/>
                <w:sz w:val="21"/>
              </w:rPr>
              <w:t>合同即被解除，对本合同解除前发生的保险事故本公司不承担保险责任。</w:t>
            </w:r>
          </w:p>
        </w:tc>
      </w:tr>
      <w:tr>
        <w:trPr>
          <w:trHeight w:val="936" w:hRule="atLeast"/>
        </w:trPr>
        <w:tc>
          <w:tcPr>
            <w:tcW w:w="785" w:type="dxa"/>
          </w:tcPr>
          <w:p>
            <w:pPr>
              <w:pStyle w:val="TableParagraph"/>
              <w:ind w:left="108"/>
              <w:rPr>
                <w:b/>
                <w:sz w:val="21"/>
              </w:rPr>
            </w:pPr>
            <w:r>
              <w:rPr>
                <w:b/>
                <w:sz w:val="21"/>
              </w:rPr>
              <w:t>1.6</w:t>
            </w:r>
          </w:p>
        </w:tc>
        <w:tc>
          <w:tcPr>
            <w:tcW w:w="1308" w:type="dxa"/>
          </w:tcPr>
          <w:p>
            <w:pPr>
              <w:pStyle w:val="TableParagraph"/>
              <w:spacing w:line="273" w:lineRule="auto"/>
              <w:ind w:left="319" w:right="141"/>
              <w:rPr>
                <w:b/>
                <w:sz w:val="21"/>
              </w:rPr>
            </w:pPr>
            <w:r>
              <w:rPr>
                <w:b/>
                <w:sz w:val="21"/>
              </w:rPr>
              <w:t>合同内容变更</w:t>
            </w:r>
          </w:p>
        </w:tc>
        <w:tc>
          <w:tcPr>
            <w:tcW w:w="7705" w:type="dxa"/>
          </w:tcPr>
          <w:p>
            <w:pPr>
              <w:pStyle w:val="TableParagraph"/>
              <w:spacing w:line="273" w:lineRule="auto"/>
              <w:ind w:left="144" w:right="201" w:firstLine="420"/>
              <w:rPr>
                <w:sz w:val="21"/>
              </w:rPr>
            </w:pPr>
            <w:r>
              <w:rPr>
                <w:sz w:val="21"/>
              </w:rPr>
              <w:t>您和本公司可以协商变更本合同的有关内容。变更本合同的，由本公司在保险单或其他保险凭证上批注或附贴批单，或由您和本公司订立变更的书面协议。</w:t>
            </w:r>
          </w:p>
        </w:tc>
      </w:tr>
      <w:tr>
        <w:trPr>
          <w:trHeight w:val="417" w:hRule="atLeast"/>
        </w:trPr>
        <w:tc>
          <w:tcPr>
            <w:tcW w:w="785" w:type="dxa"/>
          </w:tcPr>
          <w:p>
            <w:pPr>
              <w:pStyle w:val="TableParagraph"/>
              <w:spacing w:line="255" w:lineRule="exact" w:before="143"/>
              <w:ind w:left="108"/>
              <w:rPr>
                <w:b/>
                <w:sz w:val="21"/>
              </w:rPr>
            </w:pPr>
            <w:r>
              <w:rPr>
                <w:b/>
                <w:sz w:val="21"/>
              </w:rPr>
              <w:t>1.7</w:t>
            </w:r>
          </w:p>
        </w:tc>
        <w:tc>
          <w:tcPr>
            <w:tcW w:w="1308" w:type="dxa"/>
          </w:tcPr>
          <w:p>
            <w:pPr>
              <w:pStyle w:val="TableParagraph"/>
              <w:spacing w:line="255" w:lineRule="exact" w:before="143"/>
              <w:ind w:left="319"/>
              <w:rPr>
                <w:b/>
                <w:sz w:val="21"/>
              </w:rPr>
            </w:pPr>
            <w:r>
              <w:rPr>
                <w:b/>
                <w:sz w:val="21"/>
              </w:rPr>
              <w:t>您解除合</w:t>
            </w:r>
          </w:p>
        </w:tc>
        <w:tc>
          <w:tcPr>
            <w:tcW w:w="7705" w:type="dxa"/>
          </w:tcPr>
          <w:p>
            <w:pPr>
              <w:pStyle w:val="TableParagraph"/>
              <w:spacing w:line="255" w:lineRule="exact" w:before="143"/>
              <w:rPr>
                <w:sz w:val="21"/>
              </w:rPr>
            </w:pPr>
            <w:r>
              <w:rPr>
                <w:sz w:val="21"/>
              </w:rPr>
              <w:t>您在犹豫期后要求解除本合同的，应书面提出合同解除申请，并提供下列证</w:t>
            </w:r>
          </w:p>
        </w:tc>
      </w:tr>
    </w:tbl>
    <w:p>
      <w:pPr>
        <w:spacing w:after="0" w:line="255" w:lineRule="exact"/>
        <w:rPr>
          <w:sz w:val="21"/>
        </w:rPr>
        <w:sectPr>
          <w:headerReference w:type="default" r:id="rId14"/>
          <w:pgSz w:w="11910" w:h="16840"/>
          <w:pgMar w:header="871" w:footer="992" w:top="1060" w:bottom="1180" w:left="760" w:right="1120"/>
        </w:sectPr>
      </w:pPr>
    </w:p>
    <w:p>
      <w:pPr>
        <w:pStyle w:val="BodyText"/>
        <w:rPr>
          <w:rFonts w:ascii="Times New Roman"/>
          <w:sz w:val="2"/>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0"/>
        <w:gridCol w:w="1222"/>
        <w:gridCol w:w="7705"/>
      </w:tblGrid>
      <w:tr>
        <w:trPr>
          <w:trHeight w:val="2620" w:hRule="atLeast"/>
        </w:trPr>
        <w:tc>
          <w:tcPr>
            <w:tcW w:w="870" w:type="dxa"/>
            <w:tcBorders>
              <w:top w:val="single" w:sz="18" w:space="0" w:color="000000"/>
            </w:tcBorders>
          </w:tcPr>
          <w:p>
            <w:pPr>
              <w:pStyle w:val="TableParagraph"/>
              <w:spacing w:before="0"/>
              <w:ind w:left="0"/>
              <w:rPr>
                <w:rFonts w:ascii="Times New Roman"/>
                <w:sz w:val="20"/>
              </w:rPr>
            </w:pPr>
          </w:p>
        </w:tc>
        <w:tc>
          <w:tcPr>
            <w:tcW w:w="1222" w:type="dxa"/>
            <w:tcBorders>
              <w:top w:val="single" w:sz="18" w:space="0" w:color="000000"/>
            </w:tcBorders>
          </w:tcPr>
          <w:p>
            <w:pPr>
              <w:pStyle w:val="TableParagraph"/>
              <w:spacing w:before="2"/>
              <w:ind w:left="0"/>
              <w:rPr>
                <w:rFonts w:ascii="Times New Roman"/>
                <w:sz w:val="23"/>
              </w:rPr>
            </w:pPr>
          </w:p>
          <w:p>
            <w:pPr>
              <w:pStyle w:val="TableParagraph"/>
              <w:spacing w:line="273" w:lineRule="auto" w:before="0"/>
              <w:ind w:left="234" w:right="140"/>
              <w:rPr>
                <w:b/>
                <w:sz w:val="21"/>
              </w:rPr>
            </w:pPr>
            <w:r>
              <w:rPr>
                <w:b/>
                <w:sz w:val="21"/>
              </w:rPr>
              <w:t>同的手续及风险</w:t>
            </w:r>
          </w:p>
        </w:tc>
        <w:tc>
          <w:tcPr>
            <w:tcW w:w="7705" w:type="dxa"/>
            <w:tcBorders>
              <w:top w:val="single" w:sz="18" w:space="0" w:color="000000"/>
            </w:tcBorders>
          </w:tcPr>
          <w:p>
            <w:pPr>
              <w:pStyle w:val="TableParagraph"/>
              <w:spacing w:before="2"/>
              <w:ind w:left="0"/>
              <w:rPr>
                <w:rFonts w:ascii="Times New Roman"/>
                <w:sz w:val="23"/>
              </w:rPr>
            </w:pPr>
          </w:p>
          <w:p>
            <w:pPr>
              <w:pStyle w:val="TableParagraph"/>
              <w:spacing w:before="0"/>
              <w:ind w:left="145"/>
              <w:rPr>
                <w:sz w:val="21"/>
              </w:rPr>
            </w:pPr>
            <w:r>
              <w:rPr>
                <w:sz w:val="21"/>
              </w:rPr>
              <w:t>明和资料：</w:t>
            </w:r>
          </w:p>
          <w:p>
            <w:pPr>
              <w:pStyle w:val="TableParagraph"/>
              <w:spacing w:before="37"/>
              <w:ind w:left="565"/>
              <w:rPr>
                <w:sz w:val="21"/>
              </w:rPr>
            </w:pPr>
            <w:r>
              <w:rPr>
                <w:sz w:val="21"/>
              </w:rPr>
              <w:t>1.保险合同；</w:t>
            </w:r>
          </w:p>
          <w:p>
            <w:pPr>
              <w:pStyle w:val="TableParagraph"/>
              <w:spacing w:before="37"/>
              <w:ind w:left="565"/>
              <w:rPr>
                <w:sz w:val="21"/>
              </w:rPr>
            </w:pPr>
            <w:r>
              <w:rPr>
                <w:sz w:val="21"/>
              </w:rPr>
              <w:t>2.您的有效身份证件。</w:t>
            </w:r>
          </w:p>
          <w:p>
            <w:pPr>
              <w:pStyle w:val="TableParagraph"/>
              <w:spacing w:line="273" w:lineRule="auto" w:before="37"/>
              <w:ind w:left="145" w:right="99" w:firstLine="420"/>
              <w:rPr>
                <w:b/>
                <w:sz w:val="21"/>
              </w:rPr>
            </w:pPr>
            <w:r>
              <w:rPr>
                <w:sz w:val="21"/>
              </w:rPr>
              <w:t>自本公司收到合同解除申请及上述证明和资料之日起，本合同终止</w:t>
            </w:r>
            <w:r>
              <w:rPr>
                <w:b/>
                <w:sz w:val="21"/>
              </w:rPr>
              <w:t>。本公司</w:t>
            </w:r>
            <w:r>
              <w:rPr>
                <w:b/>
                <w:spacing w:val="-6"/>
                <w:sz w:val="21"/>
              </w:rPr>
              <w:t>自收到解除合同申请之日起 </w:t>
            </w:r>
            <w:r>
              <w:rPr>
                <w:b/>
                <w:sz w:val="21"/>
              </w:rPr>
              <w:t>30</w:t>
            </w:r>
            <w:r>
              <w:rPr>
                <w:b/>
                <w:spacing w:val="-7"/>
                <w:sz w:val="21"/>
              </w:rPr>
              <w:t> 日内向您退还保险单的现金价值</w:t>
            </w:r>
            <w:r>
              <w:rPr>
                <w:b/>
                <w:sz w:val="21"/>
              </w:rPr>
              <w:t>（</w:t>
            </w:r>
            <w:r>
              <w:rPr>
                <w:b/>
                <w:spacing w:val="-1"/>
                <w:sz w:val="21"/>
              </w:rPr>
              <w:t>详见释义</w:t>
            </w:r>
            <w:r>
              <w:rPr>
                <w:b/>
                <w:spacing w:val="-106"/>
                <w:sz w:val="21"/>
              </w:rPr>
              <w:t>）</w:t>
            </w:r>
            <w:r>
              <w:rPr>
                <w:b/>
                <w:sz w:val="21"/>
              </w:rPr>
              <w:t>。</w:t>
            </w:r>
          </w:p>
          <w:p>
            <w:pPr>
              <w:pStyle w:val="TableParagraph"/>
              <w:spacing w:line="273" w:lineRule="auto" w:before="8"/>
              <w:ind w:left="567" w:right="3127"/>
              <w:rPr>
                <w:b/>
                <w:sz w:val="21"/>
              </w:rPr>
            </w:pPr>
            <w:r>
              <w:rPr>
                <w:b/>
                <w:sz w:val="21"/>
              </w:rPr>
              <w:t>您犹豫期后解除合同可能会遭受一定损失。如您解除主险合同，本合同须同时解除。</w:t>
            </w:r>
          </w:p>
        </w:tc>
      </w:tr>
      <w:tr>
        <w:trPr>
          <w:trHeight w:val="1585" w:hRule="atLeast"/>
        </w:trPr>
        <w:tc>
          <w:tcPr>
            <w:tcW w:w="870" w:type="dxa"/>
          </w:tcPr>
          <w:p>
            <w:pPr>
              <w:pStyle w:val="TableParagraph"/>
              <w:ind w:left="108"/>
              <w:rPr>
                <w:b/>
                <w:sz w:val="21"/>
              </w:rPr>
            </w:pPr>
            <w:r>
              <w:rPr>
                <w:b/>
                <w:sz w:val="21"/>
              </w:rPr>
              <w:t>1.8</w:t>
            </w:r>
          </w:p>
        </w:tc>
        <w:tc>
          <w:tcPr>
            <w:tcW w:w="1222" w:type="dxa"/>
          </w:tcPr>
          <w:p>
            <w:pPr>
              <w:pStyle w:val="TableParagraph"/>
              <w:ind w:left="0" w:right="140"/>
              <w:jc w:val="right"/>
              <w:rPr>
                <w:b/>
                <w:sz w:val="21"/>
              </w:rPr>
            </w:pPr>
            <w:r>
              <w:rPr>
                <w:b/>
                <w:sz w:val="21"/>
              </w:rPr>
              <w:t>合同终止</w:t>
            </w:r>
          </w:p>
        </w:tc>
        <w:tc>
          <w:tcPr>
            <w:tcW w:w="7705" w:type="dxa"/>
          </w:tcPr>
          <w:p>
            <w:pPr>
              <w:pStyle w:val="TableParagraph"/>
              <w:ind w:left="565"/>
              <w:rPr>
                <w:sz w:val="21"/>
              </w:rPr>
            </w:pPr>
            <w:r>
              <w:rPr>
                <w:sz w:val="21"/>
              </w:rPr>
              <w:t>以下任何一种情况发生时，本合同终止：</w:t>
            </w:r>
          </w:p>
          <w:p>
            <w:pPr>
              <w:pStyle w:val="TableParagraph"/>
              <w:spacing w:before="36"/>
              <w:ind w:left="565"/>
              <w:rPr>
                <w:sz w:val="21"/>
              </w:rPr>
            </w:pPr>
            <w:r>
              <w:rPr>
                <w:sz w:val="21"/>
              </w:rPr>
              <w:t>1.在本合同有效期内解除本合同的；</w:t>
            </w:r>
          </w:p>
          <w:p>
            <w:pPr>
              <w:pStyle w:val="TableParagraph"/>
              <w:spacing w:before="36"/>
              <w:ind w:left="565"/>
              <w:rPr>
                <w:sz w:val="21"/>
              </w:rPr>
            </w:pPr>
            <w:r>
              <w:rPr>
                <w:sz w:val="21"/>
              </w:rPr>
              <w:t>2.本公司已经履行完毕保险责任的；</w:t>
            </w:r>
          </w:p>
          <w:p>
            <w:pPr>
              <w:pStyle w:val="TableParagraph"/>
              <w:spacing w:before="37"/>
              <w:ind w:left="565"/>
              <w:rPr>
                <w:sz w:val="21"/>
              </w:rPr>
            </w:pPr>
            <w:r>
              <w:rPr>
                <w:sz w:val="21"/>
              </w:rPr>
              <w:t>3.本合同因条款所列其他情况而终止的。</w:t>
            </w:r>
          </w:p>
        </w:tc>
      </w:tr>
      <w:tr>
        <w:trPr>
          <w:trHeight w:val="753" w:hRule="atLeast"/>
        </w:trPr>
        <w:tc>
          <w:tcPr>
            <w:tcW w:w="870" w:type="dxa"/>
            <w:tcBorders>
              <w:bottom w:val="single" w:sz="8" w:space="0" w:color="000000"/>
            </w:tcBorders>
          </w:tcPr>
          <w:p>
            <w:pPr>
              <w:pStyle w:val="TableParagraph"/>
              <w:spacing w:before="194"/>
              <w:ind w:left="108"/>
              <w:rPr>
                <w:rFonts w:ascii="Arial" w:hAnsi="Arial"/>
                <w:b/>
                <w:sz w:val="40"/>
              </w:rPr>
            </w:pPr>
            <w:r>
              <w:rPr>
                <w:rFonts w:ascii="Arial" w:hAnsi="Arial"/>
                <w:b/>
                <w:w w:val="119"/>
                <w:sz w:val="40"/>
              </w:rPr>
              <w:t></w:t>
            </w:r>
          </w:p>
        </w:tc>
        <w:tc>
          <w:tcPr>
            <w:tcW w:w="8927" w:type="dxa"/>
            <w:gridSpan w:val="2"/>
            <w:tcBorders>
              <w:bottom w:val="single" w:sz="8" w:space="0" w:color="000000"/>
            </w:tcBorders>
          </w:tcPr>
          <w:p>
            <w:pPr>
              <w:pStyle w:val="TableParagraph"/>
              <w:spacing w:before="4"/>
              <w:ind w:left="0"/>
              <w:rPr>
                <w:rFonts w:ascii="Times New Roman"/>
                <w:sz w:val="21"/>
              </w:rPr>
            </w:pPr>
          </w:p>
          <w:p>
            <w:pPr>
              <w:pStyle w:val="TableParagraph"/>
              <w:spacing w:before="0"/>
              <w:ind w:left="234"/>
              <w:rPr>
                <w:b/>
                <w:sz w:val="24"/>
              </w:rPr>
            </w:pPr>
            <w:r>
              <w:rPr>
                <w:b/>
                <w:w w:val="95"/>
                <w:sz w:val="24"/>
              </w:rPr>
              <w:t>我们提供的保障</w:t>
            </w:r>
          </w:p>
        </w:tc>
      </w:tr>
      <w:tr>
        <w:trPr>
          <w:trHeight w:val="1092" w:hRule="atLeast"/>
        </w:trPr>
        <w:tc>
          <w:tcPr>
            <w:tcW w:w="870" w:type="dxa"/>
            <w:tcBorders>
              <w:top w:val="single" w:sz="8" w:space="0" w:color="000000"/>
            </w:tcBorders>
          </w:tcPr>
          <w:p>
            <w:pPr>
              <w:pStyle w:val="TableParagraph"/>
              <w:spacing w:before="0"/>
              <w:ind w:left="0"/>
              <w:rPr>
                <w:rFonts w:ascii="Times New Roman"/>
                <w:sz w:val="26"/>
              </w:rPr>
            </w:pPr>
          </w:p>
          <w:p>
            <w:pPr>
              <w:pStyle w:val="TableParagraph"/>
              <w:spacing w:before="0"/>
              <w:ind w:left="108"/>
              <w:rPr>
                <w:b/>
                <w:sz w:val="21"/>
              </w:rPr>
            </w:pPr>
            <w:r>
              <w:rPr>
                <w:b/>
                <w:sz w:val="21"/>
              </w:rPr>
              <w:t>2.1</w:t>
            </w:r>
          </w:p>
        </w:tc>
        <w:tc>
          <w:tcPr>
            <w:tcW w:w="1222" w:type="dxa"/>
            <w:tcBorders>
              <w:top w:val="single" w:sz="8" w:space="0" w:color="000000"/>
            </w:tcBorders>
          </w:tcPr>
          <w:p>
            <w:pPr>
              <w:pStyle w:val="TableParagraph"/>
              <w:spacing w:before="0"/>
              <w:ind w:left="0"/>
              <w:rPr>
                <w:rFonts w:ascii="Times New Roman"/>
                <w:sz w:val="26"/>
              </w:rPr>
            </w:pPr>
          </w:p>
          <w:p>
            <w:pPr>
              <w:pStyle w:val="TableParagraph"/>
              <w:spacing w:before="0"/>
              <w:ind w:left="0" w:right="140"/>
              <w:jc w:val="right"/>
              <w:rPr>
                <w:b/>
                <w:sz w:val="21"/>
              </w:rPr>
            </w:pPr>
            <w:r>
              <w:rPr>
                <w:b/>
                <w:sz w:val="21"/>
              </w:rPr>
              <w:t>保险期间</w:t>
            </w:r>
          </w:p>
        </w:tc>
        <w:tc>
          <w:tcPr>
            <w:tcW w:w="7705" w:type="dxa"/>
            <w:tcBorders>
              <w:top w:val="single" w:sz="8" w:space="0" w:color="000000"/>
            </w:tcBorders>
          </w:tcPr>
          <w:p>
            <w:pPr>
              <w:pStyle w:val="TableParagraph"/>
              <w:spacing w:before="0"/>
              <w:ind w:left="0"/>
              <w:rPr>
                <w:rFonts w:ascii="Times New Roman"/>
                <w:sz w:val="26"/>
              </w:rPr>
            </w:pPr>
          </w:p>
          <w:p>
            <w:pPr>
              <w:pStyle w:val="TableParagraph"/>
              <w:spacing w:line="273" w:lineRule="auto" w:before="0"/>
              <w:ind w:left="145" w:right="100" w:firstLine="420"/>
              <w:rPr>
                <w:sz w:val="21"/>
              </w:rPr>
            </w:pPr>
            <w:r>
              <w:rPr>
                <w:sz w:val="21"/>
              </w:rPr>
              <w:t>本合同的保险期间为被保险人终身，并在保险单上载明。保险期间自本合同生效日的零时开始。</w:t>
            </w:r>
          </w:p>
        </w:tc>
      </w:tr>
      <w:tr>
        <w:trPr>
          <w:trHeight w:val="467" w:hRule="atLeast"/>
        </w:trPr>
        <w:tc>
          <w:tcPr>
            <w:tcW w:w="870" w:type="dxa"/>
          </w:tcPr>
          <w:p>
            <w:pPr>
              <w:pStyle w:val="TableParagraph"/>
              <w:ind w:left="108"/>
              <w:rPr>
                <w:b/>
                <w:sz w:val="21"/>
              </w:rPr>
            </w:pPr>
            <w:r>
              <w:rPr>
                <w:b/>
                <w:sz w:val="21"/>
              </w:rPr>
              <w:t>2.2</w:t>
            </w:r>
          </w:p>
        </w:tc>
        <w:tc>
          <w:tcPr>
            <w:tcW w:w="1222" w:type="dxa"/>
          </w:tcPr>
          <w:p>
            <w:pPr>
              <w:pStyle w:val="TableParagraph"/>
              <w:ind w:left="0" w:right="140"/>
              <w:jc w:val="right"/>
              <w:rPr>
                <w:b/>
                <w:sz w:val="21"/>
              </w:rPr>
            </w:pPr>
            <w:r>
              <w:rPr>
                <w:b/>
                <w:sz w:val="21"/>
              </w:rPr>
              <w:t>保险责任</w:t>
            </w:r>
          </w:p>
        </w:tc>
        <w:tc>
          <w:tcPr>
            <w:tcW w:w="7705" w:type="dxa"/>
          </w:tcPr>
          <w:p>
            <w:pPr>
              <w:pStyle w:val="TableParagraph"/>
              <w:spacing w:before="0"/>
              <w:ind w:left="0"/>
              <w:rPr>
                <w:rFonts w:ascii="Times New Roman"/>
                <w:sz w:val="20"/>
              </w:rPr>
            </w:pPr>
          </w:p>
        </w:tc>
      </w:tr>
      <w:tr>
        <w:trPr>
          <w:trHeight w:val="780" w:hRule="atLeast"/>
        </w:trPr>
        <w:tc>
          <w:tcPr>
            <w:tcW w:w="870" w:type="dxa"/>
          </w:tcPr>
          <w:p>
            <w:pPr>
              <w:pStyle w:val="TableParagraph"/>
              <w:spacing w:before="0"/>
              <w:ind w:left="0"/>
              <w:rPr>
                <w:rFonts w:ascii="Times New Roman"/>
                <w:sz w:val="20"/>
              </w:rPr>
            </w:pPr>
          </w:p>
        </w:tc>
        <w:tc>
          <w:tcPr>
            <w:tcW w:w="1222" w:type="dxa"/>
          </w:tcPr>
          <w:p>
            <w:pPr>
              <w:pStyle w:val="TableParagraph"/>
              <w:spacing w:before="0"/>
              <w:ind w:left="0"/>
              <w:rPr>
                <w:rFonts w:ascii="Times New Roman"/>
                <w:sz w:val="20"/>
              </w:rPr>
            </w:pPr>
          </w:p>
        </w:tc>
        <w:tc>
          <w:tcPr>
            <w:tcW w:w="7705" w:type="dxa"/>
          </w:tcPr>
          <w:p>
            <w:pPr>
              <w:pStyle w:val="TableParagraph"/>
              <w:spacing w:line="261" w:lineRule="exact" w:before="0"/>
              <w:ind w:left="145"/>
              <w:rPr>
                <w:sz w:val="21"/>
              </w:rPr>
            </w:pPr>
            <w:r>
              <w:rPr>
                <w:spacing w:val="-4"/>
                <w:w w:val="100"/>
                <w:sz w:val="21"/>
              </w:rPr>
              <w:t>一、在本合同保险期间内，且在主险合同</w:t>
            </w:r>
            <w:r>
              <w:rPr>
                <w:b/>
                <w:spacing w:val="-2"/>
                <w:w w:val="100"/>
                <w:sz w:val="21"/>
              </w:rPr>
              <w:t>交费期满日之前</w:t>
            </w:r>
            <w:r>
              <w:rPr>
                <w:b/>
                <w:w w:val="100"/>
                <w:sz w:val="21"/>
              </w:rPr>
              <w:t>（不含交费期满日</w:t>
            </w:r>
            <w:r>
              <w:rPr>
                <w:spacing w:val="-111"/>
                <w:w w:val="100"/>
                <w:sz w:val="21"/>
              </w:rPr>
              <w:t>）</w:t>
            </w:r>
            <w:r>
              <w:rPr>
                <w:spacing w:val="-3"/>
                <w:w w:val="100"/>
                <w:sz w:val="21"/>
              </w:rPr>
              <w:t>，本</w:t>
            </w:r>
          </w:p>
          <w:p>
            <w:pPr>
              <w:pStyle w:val="TableParagraph"/>
              <w:spacing w:before="37"/>
              <w:ind w:left="145"/>
              <w:rPr>
                <w:sz w:val="21"/>
              </w:rPr>
            </w:pPr>
            <w:r>
              <w:rPr>
                <w:sz w:val="21"/>
              </w:rPr>
              <w:t>公司承担下列保险责任：</w:t>
            </w:r>
          </w:p>
        </w:tc>
      </w:tr>
      <w:tr>
        <w:trPr>
          <w:trHeight w:val="3432" w:hRule="atLeast"/>
        </w:trPr>
        <w:tc>
          <w:tcPr>
            <w:tcW w:w="870" w:type="dxa"/>
          </w:tcPr>
          <w:p>
            <w:pPr>
              <w:pStyle w:val="TableParagraph"/>
              <w:ind w:left="108"/>
              <w:rPr>
                <w:b/>
                <w:sz w:val="21"/>
              </w:rPr>
            </w:pPr>
            <w:r>
              <w:rPr>
                <w:b/>
                <w:sz w:val="21"/>
              </w:rPr>
              <w:t>2.2.1</w:t>
            </w:r>
          </w:p>
        </w:tc>
        <w:tc>
          <w:tcPr>
            <w:tcW w:w="1222" w:type="dxa"/>
          </w:tcPr>
          <w:p>
            <w:pPr>
              <w:pStyle w:val="TableParagraph"/>
              <w:spacing w:line="273" w:lineRule="auto"/>
              <w:ind w:left="234" w:right="140"/>
              <w:jc w:val="both"/>
              <w:rPr>
                <w:b/>
                <w:sz w:val="21"/>
              </w:rPr>
            </w:pPr>
            <w:r>
              <w:rPr>
                <w:b/>
                <w:sz w:val="21"/>
              </w:rPr>
              <w:t>重大疾病豁免保险费</w:t>
            </w:r>
          </w:p>
        </w:tc>
        <w:tc>
          <w:tcPr>
            <w:tcW w:w="7705" w:type="dxa"/>
          </w:tcPr>
          <w:p>
            <w:pPr>
              <w:pStyle w:val="TableParagraph"/>
              <w:spacing w:line="273" w:lineRule="auto"/>
              <w:ind w:left="145" w:right="101" w:firstLine="420"/>
              <w:jc w:val="both"/>
              <w:rPr>
                <w:sz w:val="21"/>
              </w:rPr>
            </w:pPr>
            <w:r>
              <w:rPr>
                <w:spacing w:val="-3"/>
                <w:sz w:val="21"/>
              </w:rPr>
              <w:t>被保险人于本合同生效（或合同效力恢复）</w:t>
            </w:r>
            <w:r>
              <w:rPr>
                <w:spacing w:val="-12"/>
                <w:sz w:val="21"/>
              </w:rPr>
              <w:t>之日起 </w:t>
            </w:r>
            <w:r>
              <w:rPr>
                <w:sz w:val="21"/>
              </w:rPr>
              <w:t>90</w:t>
            </w:r>
            <w:r>
              <w:rPr>
                <w:spacing w:val="-9"/>
                <w:sz w:val="21"/>
              </w:rPr>
              <w:t> 日内，由本公司</w:t>
            </w:r>
            <w:r>
              <w:rPr>
                <w:b/>
                <w:sz w:val="21"/>
              </w:rPr>
              <w:t>认可医院（详见释义</w:t>
            </w:r>
            <w:r>
              <w:rPr>
                <w:b/>
                <w:spacing w:val="2"/>
                <w:sz w:val="21"/>
              </w:rPr>
              <w:t>）</w:t>
            </w:r>
            <w:r>
              <w:rPr>
                <w:sz w:val="21"/>
              </w:rPr>
              <w:t>的</w:t>
            </w:r>
            <w:r>
              <w:rPr>
                <w:b/>
                <w:sz w:val="21"/>
              </w:rPr>
              <w:t>专科医生（详见释义）</w:t>
            </w:r>
            <w:r>
              <w:rPr>
                <w:sz w:val="21"/>
              </w:rPr>
              <w:t>确诊</w:t>
            </w:r>
            <w:r>
              <w:rPr>
                <w:b/>
                <w:sz w:val="21"/>
              </w:rPr>
              <w:t>初次发生（详见释义</w:t>
            </w:r>
            <w:r>
              <w:rPr>
                <w:b/>
                <w:spacing w:val="2"/>
                <w:sz w:val="21"/>
              </w:rPr>
              <w:t>）</w:t>
            </w:r>
            <w:r>
              <w:rPr>
                <w:b/>
                <w:sz w:val="21"/>
              </w:rPr>
              <w:t>本合同所指</w:t>
            </w:r>
            <w:r>
              <w:rPr>
                <w:b/>
                <w:spacing w:val="1"/>
                <w:w w:val="100"/>
                <w:sz w:val="21"/>
              </w:rPr>
              <w:t>的重大疾病（详见释义</w:t>
            </w:r>
            <w:r>
              <w:rPr>
                <w:b/>
                <w:spacing w:val="-104"/>
                <w:w w:val="100"/>
                <w:sz w:val="21"/>
              </w:rPr>
              <w:t>）</w:t>
            </w:r>
            <w:r>
              <w:rPr>
                <w:spacing w:val="-3"/>
                <w:w w:val="100"/>
                <w:sz w:val="21"/>
              </w:rPr>
              <w:t>（</w:t>
            </w:r>
            <w:r>
              <w:rPr>
                <w:w w:val="100"/>
                <w:sz w:val="21"/>
              </w:rPr>
              <w:t>无论一种或多种</w:t>
            </w:r>
            <w:r>
              <w:rPr>
                <w:spacing w:val="-106"/>
                <w:w w:val="100"/>
                <w:sz w:val="21"/>
              </w:rPr>
              <w:t>）</w:t>
            </w:r>
            <w:r>
              <w:rPr>
                <w:w w:val="100"/>
                <w:sz w:val="21"/>
              </w:rPr>
              <w:t>，我们向您无息返还</w:t>
            </w:r>
            <w:r>
              <w:rPr>
                <w:b/>
                <w:w w:val="100"/>
                <w:sz w:val="21"/>
              </w:rPr>
              <w:t>本保险实际交纳的保险费（详见释义</w:t>
            </w:r>
            <w:r>
              <w:rPr>
                <w:b/>
                <w:spacing w:val="-106"/>
                <w:w w:val="100"/>
                <w:sz w:val="21"/>
              </w:rPr>
              <w:t>）</w:t>
            </w:r>
            <w:r>
              <w:rPr>
                <w:spacing w:val="-3"/>
                <w:w w:val="100"/>
                <w:sz w:val="21"/>
              </w:rPr>
              <w:t>，本合同终止；</w:t>
            </w:r>
          </w:p>
          <w:p>
            <w:pPr>
              <w:pStyle w:val="TableParagraph"/>
              <w:spacing w:line="273" w:lineRule="auto" w:before="7"/>
              <w:ind w:left="145" w:right="99" w:firstLine="420"/>
              <w:jc w:val="both"/>
              <w:rPr>
                <w:sz w:val="21"/>
              </w:rPr>
            </w:pPr>
            <w:r>
              <w:rPr>
                <w:spacing w:val="-3"/>
                <w:sz w:val="21"/>
              </w:rPr>
              <w:t>被保险人于本合同生效（或合同效力恢复）</w:t>
            </w:r>
            <w:r>
              <w:rPr>
                <w:spacing w:val="-12"/>
                <w:sz w:val="21"/>
              </w:rPr>
              <w:t>之日起 </w:t>
            </w:r>
            <w:r>
              <w:rPr>
                <w:sz w:val="21"/>
              </w:rPr>
              <w:t>90</w:t>
            </w:r>
            <w:r>
              <w:rPr>
                <w:spacing w:val="-8"/>
                <w:sz w:val="21"/>
              </w:rPr>
              <w:t> 日后，由本公司认可医</w:t>
            </w:r>
            <w:r>
              <w:rPr>
                <w:spacing w:val="-5"/>
                <w:w w:val="100"/>
                <w:sz w:val="21"/>
              </w:rPr>
              <w:t>院的专科医生确诊初次发生本合同所指的重大疾病</w:t>
            </w:r>
            <w:r>
              <w:rPr>
                <w:w w:val="100"/>
                <w:sz w:val="21"/>
              </w:rPr>
              <w:t>（</w:t>
            </w:r>
            <w:r>
              <w:rPr>
                <w:spacing w:val="-3"/>
                <w:w w:val="100"/>
                <w:sz w:val="21"/>
              </w:rPr>
              <w:t>无论一种或多种</w:t>
            </w:r>
            <w:r>
              <w:rPr>
                <w:spacing w:val="-106"/>
                <w:w w:val="100"/>
                <w:sz w:val="21"/>
              </w:rPr>
              <w:t>）</w:t>
            </w:r>
            <w:r>
              <w:rPr>
                <w:spacing w:val="-3"/>
                <w:w w:val="100"/>
                <w:sz w:val="21"/>
              </w:rPr>
              <w:t>，我们将豁</w:t>
            </w:r>
            <w:r>
              <w:rPr>
                <w:spacing w:val="-3"/>
                <w:sz w:val="21"/>
              </w:rPr>
              <w:t>免主险合同及指定附加险自被保险人重大疾病确诊之日起的续期保险费，本合同终止。</w:t>
            </w:r>
          </w:p>
          <w:p>
            <w:pPr>
              <w:pStyle w:val="TableParagraph"/>
              <w:spacing w:before="7"/>
              <w:ind w:left="565"/>
              <w:rPr>
                <w:b/>
                <w:sz w:val="21"/>
              </w:rPr>
            </w:pPr>
            <w:r>
              <w:rPr>
                <w:sz w:val="21"/>
              </w:rPr>
              <w:t>若被保险人被确诊的重大疾病是以其在本合同保险期间内遭受的</w:t>
            </w:r>
            <w:r>
              <w:rPr>
                <w:b/>
                <w:sz w:val="21"/>
              </w:rPr>
              <w:t>意外伤害</w:t>
            </w:r>
          </w:p>
          <w:p>
            <w:pPr>
              <w:pStyle w:val="TableParagraph"/>
              <w:spacing w:before="37"/>
              <w:ind w:left="145"/>
              <w:rPr>
                <w:sz w:val="21"/>
              </w:rPr>
            </w:pPr>
            <w:r>
              <w:rPr>
                <w:b/>
                <w:sz w:val="21"/>
              </w:rPr>
              <w:t>（详见释义）</w:t>
            </w:r>
            <w:r>
              <w:rPr>
                <w:sz w:val="21"/>
              </w:rPr>
              <w:t>为直接且单独的原因所致，则不受前述 90 日的限制。</w:t>
            </w:r>
          </w:p>
        </w:tc>
      </w:tr>
      <w:tr>
        <w:trPr>
          <w:trHeight w:val="2914" w:hRule="atLeast"/>
        </w:trPr>
        <w:tc>
          <w:tcPr>
            <w:tcW w:w="870" w:type="dxa"/>
          </w:tcPr>
          <w:p>
            <w:pPr>
              <w:pStyle w:val="TableParagraph"/>
              <w:ind w:left="108"/>
              <w:rPr>
                <w:b/>
                <w:sz w:val="21"/>
              </w:rPr>
            </w:pPr>
            <w:r>
              <w:rPr>
                <w:b/>
                <w:sz w:val="21"/>
              </w:rPr>
              <w:t>2.2.2</w:t>
            </w:r>
          </w:p>
        </w:tc>
        <w:tc>
          <w:tcPr>
            <w:tcW w:w="1222" w:type="dxa"/>
          </w:tcPr>
          <w:p>
            <w:pPr>
              <w:pStyle w:val="TableParagraph"/>
              <w:spacing w:line="273" w:lineRule="auto"/>
              <w:ind w:left="234" w:right="140"/>
              <w:jc w:val="both"/>
              <w:rPr>
                <w:b/>
                <w:sz w:val="21"/>
              </w:rPr>
            </w:pPr>
            <w:r>
              <w:rPr>
                <w:b/>
                <w:sz w:val="21"/>
              </w:rPr>
              <w:t>轻症疾病豁免保险费</w:t>
            </w:r>
          </w:p>
        </w:tc>
        <w:tc>
          <w:tcPr>
            <w:tcW w:w="7705" w:type="dxa"/>
          </w:tcPr>
          <w:p>
            <w:pPr>
              <w:pStyle w:val="TableParagraph"/>
              <w:spacing w:line="273" w:lineRule="auto"/>
              <w:ind w:left="145" w:right="102" w:firstLine="420"/>
              <w:jc w:val="both"/>
              <w:rPr>
                <w:sz w:val="21"/>
              </w:rPr>
            </w:pPr>
            <w:r>
              <w:rPr>
                <w:spacing w:val="-3"/>
                <w:sz w:val="21"/>
              </w:rPr>
              <w:t>被保险人于本合同生效（或合同效力恢复）</w:t>
            </w:r>
            <w:r>
              <w:rPr>
                <w:spacing w:val="-11"/>
                <w:sz w:val="21"/>
              </w:rPr>
              <w:t>之日起 </w:t>
            </w:r>
            <w:r>
              <w:rPr>
                <w:sz w:val="21"/>
              </w:rPr>
              <w:t>90</w:t>
            </w:r>
            <w:r>
              <w:rPr>
                <w:spacing w:val="-8"/>
                <w:sz w:val="21"/>
              </w:rPr>
              <w:t> 日内，由本公司认可医</w:t>
            </w:r>
            <w:r>
              <w:rPr>
                <w:spacing w:val="2"/>
                <w:w w:val="100"/>
                <w:sz w:val="21"/>
              </w:rPr>
              <w:t>院的专科医生确诊初次发生</w:t>
            </w:r>
            <w:r>
              <w:rPr>
                <w:b/>
                <w:w w:val="100"/>
                <w:sz w:val="21"/>
              </w:rPr>
              <w:t>本合同所指的轻症疾病</w:t>
            </w:r>
            <w:r>
              <w:rPr>
                <w:b/>
                <w:spacing w:val="3"/>
                <w:w w:val="100"/>
                <w:sz w:val="21"/>
              </w:rPr>
              <w:t>（详见释义</w:t>
            </w:r>
            <w:r>
              <w:rPr>
                <w:b/>
                <w:spacing w:val="-97"/>
                <w:w w:val="100"/>
                <w:sz w:val="21"/>
              </w:rPr>
              <w:t>）</w:t>
            </w:r>
            <w:r>
              <w:rPr>
                <w:spacing w:val="3"/>
                <w:w w:val="100"/>
                <w:sz w:val="21"/>
              </w:rPr>
              <w:t>（</w:t>
            </w:r>
            <w:r>
              <w:rPr>
                <w:spacing w:val="0"/>
                <w:w w:val="100"/>
                <w:sz w:val="21"/>
              </w:rPr>
              <w:t>无论一种或多种</w:t>
            </w:r>
            <w:r>
              <w:rPr>
                <w:spacing w:val="-106"/>
                <w:w w:val="100"/>
                <w:sz w:val="21"/>
              </w:rPr>
              <w:t>）</w:t>
            </w:r>
            <w:r>
              <w:rPr>
                <w:spacing w:val="-3"/>
                <w:w w:val="100"/>
                <w:sz w:val="21"/>
              </w:rPr>
              <w:t>，我们向您无息返还本保险实际交纳的保险费，本合同终止；</w:t>
            </w:r>
          </w:p>
          <w:p>
            <w:pPr>
              <w:pStyle w:val="TableParagraph"/>
              <w:spacing w:line="273" w:lineRule="auto" w:before="7"/>
              <w:ind w:left="145" w:right="99" w:firstLine="420"/>
              <w:jc w:val="both"/>
              <w:rPr>
                <w:sz w:val="21"/>
              </w:rPr>
            </w:pPr>
            <w:r>
              <w:rPr>
                <w:spacing w:val="-3"/>
                <w:sz w:val="21"/>
              </w:rPr>
              <w:t>被保险人于本合同生效（或合同效力恢复）</w:t>
            </w:r>
            <w:r>
              <w:rPr>
                <w:spacing w:val="-12"/>
                <w:sz w:val="21"/>
              </w:rPr>
              <w:t>之日起 </w:t>
            </w:r>
            <w:r>
              <w:rPr>
                <w:sz w:val="21"/>
              </w:rPr>
              <w:t>90</w:t>
            </w:r>
            <w:r>
              <w:rPr>
                <w:spacing w:val="-8"/>
                <w:sz w:val="21"/>
              </w:rPr>
              <w:t> 日后，由本公司认可医</w:t>
            </w:r>
            <w:r>
              <w:rPr>
                <w:spacing w:val="-5"/>
                <w:w w:val="100"/>
                <w:sz w:val="21"/>
              </w:rPr>
              <w:t>院的专科医生确诊初次发生本合同所指的轻症疾病</w:t>
            </w:r>
            <w:r>
              <w:rPr>
                <w:w w:val="100"/>
                <w:sz w:val="21"/>
              </w:rPr>
              <w:t>（</w:t>
            </w:r>
            <w:r>
              <w:rPr>
                <w:spacing w:val="-3"/>
                <w:w w:val="100"/>
                <w:sz w:val="21"/>
              </w:rPr>
              <w:t>无论一种或多种</w:t>
            </w:r>
            <w:r>
              <w:rPr>
                <w:spacing w:val="-106"/>
                <w:w w:val="100"/>
                <w:sz w:val="21"/>
              </w:rPr>
              <w:t>）</w:t>
            </w:r>
            <w:r>
              <w:rPr>
                <w:spacing w:val="-3"/>
                <w:w w:val="100"/>
                <w:sz w:val="21"/>
              </w:rPr>
              <w:t>，我们将豁</w:t>
            </w:r>
            <w:r>
              <w:rPr>
                <w:spacing w:val="-3"/>
                <w:sz w:val="21"/>
              </w:rPr>
              <w:t>免主险合同及指定附加险自被保险人轻症疾病确诊之日起的续期保险费，本合同终止。</w:t>
            </w:r>
          </w:p>
          <w:p>
            <w:pPr>
              <w:pStyle w:val="TableParagraph"/>
              <w:spacing w:line="312" w:lineRule="exact" w:before="3"/>
              <w:ind w:left="145" w:right="100" w:firstLine="420"/>
              <w:jc w:val="both"/>
              <w:rPr>
                <w:sz w:val="21"/>
              </w:rPr>
            </w:pPr>
            <w:r>
              <w:rPr>
                <w:sz w:val="21"/>
              </w:rPr>
              <w:t>若被保险人被确诊的轻症疾病是以其在本合同保险期间内遭受的意外伤害为直接且单独的原因所致，则不受前述 90 日的限制。</w:t>
            </w:r>
          </w:p>
        </w:tc>
      </w:tr>
    </w:tbl>
    <w:p>
      <w:pPr>
        <w:spacing w:after="0" w:line="312" w:lineRule="exact"/>
        <w:jc w:val="both"/>
        <w:rPr>
          <w:sz w:val="21"/>
        </w:rPr>
        <w:sectPr>
          <w:pgSz w:w="11910" w:h="16840"/>
          <w:pgMar w:header="871" w:footer="992" w:top="1060" w:bottom="1180" w:left="760" w:right="1120"/>
        </w:sectPr>
      </w:pPr>
    </w:p>
    <w:p>
      <w:pPr>
        <w:pStyle w:val="BodyText"/>
        <w:rPr>
          <w:rFonts w:ascii="Times New Roman"/>
          <w:sz w:val="2"/>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0"/>
        <w:gridCol w:w="1222"/>
        <w:gridCol w:w="7706"/>
      </w:tblGrid>
      <w:tr>
        <w:trPr>
          <w:trHeight w:val="2620" w:hRule="atLeast"/>
        </w:trPr>
        <w:tc>
          <w:tcPr>
            <w:tcW w:w="870" w:type="dxa"/>
            <w:tcBorders>
              <w:top w:val="single" w:sz="18" w:space="0" w:color="000000"/>
            </w:tcBorders>
          </w:tcPr>
          <w:p>
            <w:pPr>
              <w:pStyle w:val="TableParagraph"/>
              <w:spacing w:before="2"/>
              <w:ind w:left="0"/>
              <w:rPr>
                <w:rFonts w:ascii="Times New Roman"/>
                <w:sz w:val="23"/>
              </w:rPr>
            </w:pPr>
          </w:p>
          <w:p>
            <w:pPr>
              <w:pStyle w:val="TableParagraph"/>
              <w:spacing w:before="0"/>
              <w:ind w:left="108"/>
              <w:rPr>
                <w:b/>
                <w:sz w:val="21"/>
              </w:rPr>
            </w:pPr>
            <w:r>
              <w:rPr>
                <w:b/>
                <w:sz w:val="21"/>
              </w:rPr>
              <w:t>2.2.3</w:t>
            </w:r>
          </w:p>
        </w:tc>
        <w:tc>
          <w:tcPr>
            <w:tcW w:w="1222" w:type="dxa"/>
            <w:tcBorders>
              <w:top w:val="single" w:sz="18" w:space="0" w:color="000000"/>
            </w:tcBorders>
          </w:tcPr>
          <w:p>
            <w:pPr>
              <w:pStyle w:val="TableParagraph"/>
              <w:spacing w:before="2"/>
              <w:ind w:left="0"/>
              <w:rPr>
                <w:rFonts w:ascii="Times New Roman"/>
                <w:sz w:val="23"/>
              </w:rPr>
            </w:pPr>
          </w:p>
          <w:p>
            <w:pPr>
              <w:pStyle w:val="TableParagraph"/>
              <w:spacing w:line="273" w:lineRule="auto" w:before="0"/>
              <w:ind w:left="234" w:right="140"/>
              <w:jc w:val="both"/>
              <w:rPr>
                <w:b/>
                <w:sz w:val="21"/>
              </w:rPr>
            </w:pPr>
            <w:r>
              <w:rPr>
                <w:b/>
                <w:sz w:val="21"/>
              </w:rPr>
              <w:t>身故或身体全残豁免保险费</w:t>
            </w:r>
          </w:p>
        </w:tc>
        <w:tc>
          <w:tcPr>
            <w:tcW w:w="7706" w:type="dxa"/>
            <w:tcBorders>
              <w:top w:val="single" w:sz="18" w:space="0" w:color="000000"/>
            </w:tcBorders>
          </w:tcPr>
          <w:p>
            <w:pPr>
              <w:pStyle w:val="TableParagraph"/>
              <w:spacing w:before="2"/>
              <w:ind w:left="0"/>
              <w:rPr>
                <w:rFonts w:ascii="Times New Roman"/>
                <w:sz w:val="23"/>
              </w:rPr>
            </w:pPr>
          </w:p>
          <w:p>
            <w:pPr>
              <w:pStyle w:val="TableParagraph"/>
              <w:spacing w:line="273" w:lineRule="auto" w:before="0"/>
              <w:ind w:left="145" w:right="102" w:firstLine="420"/>
              <w:jc w:val="both"/>
              <w:rPr>
                <w:sz w:val="21"/>
              </w:rPr>
            </w:pPr>
            <w:r>
              <w:rPr>
                <w:spacing w:val="-7"/>
                <w:sz w:val="21"/>
              </w:rPr>
              <w:t>被保险人于本合同生效</w:t>
            </w:r>
            <w:r>
              <w:rPr>
                <w:spacing w:val="-3"/>
                <w:sz w:val="21"/>
              </w:rPr>
              <w:t>（或合同效力恢复</w:t>
            </w:r>
            <w:r>
              <w:rPr>
                <w:spacing w:val="-39"/>
                <w:sz w:val="21"/>
              </w:rPr>
              <w:t>）</w:t>
            </w:r>
            <w:r>
              <w:rPr>
                <w:spacing w:val="-2"/>
                <w:sz w:val="21"/>
              </w:rPr>
              <w:t>之日起</w:t>
            </w:r>
            <w:r>
              <w:rPr>
                <w:sz w:val="21"/>
              </w:rPr>
              <w:t>90</w:t>
            </w:r>
            <w:r>
              <w:rPr>
                <w:spacing w:val="-3"/>
                <w:sz w:val="21"/>
              </w:rPr>
              <w:t>日内身故或</w:t>
            </w:r>
            <w:r>
              <w:rPr>
                <w:b/>
                <w:spacing w:val="-10"/>
                <w:sz w:val="21"/>
              </w:rPr>
              <w:t>身体全残</w:t>
            </w:r>
            <w:r>
              <w:rPr>
                <w:b/>
                <w:sz w:val="21"/>
              </w:rPr>
              <w:t>（详</w:t>
            </w:r>
            <w:r>
              <w:rPr>
                <w:b/>
                <w:w w:val="100"/>
                <w:sz w:val="21"/>
              </w:rPr>
              <w:t>见释义</w:t>
            </w:r>
            <w:r>
              <w:rPr>
                <w:b/>
                <w:spacing w:val="-105"/>
                <w:w w:val="100"/>
                <w:sz w:val="21"/>
              </w:rPr>
              <w:t>）</w:t>
            </w:r>
            <w:r>
              <w:rPr>
                <w:spacing w:val="-3"/>
                <w:w w:val="100"/>
                <w:sz w:val="21"/>
              </w:rPr>
              <w:t>，我们向您无息返还本保险实际交纳的保险费，本合同终止；</w:t>
            </w:r>
          </w:p>
          <w:p>
            <w:pPr>
              <w:pStyle w:val="TableParagraph"/>
              <w:spacing w:line="273" w:lineRule="auto" w:before="7"/>
              <w:ind w:left="145" w:right="100" w:firstLine="420"/>
              <w:jc w:val="both"/>
              <w:rPr>
                <w:sz w:val="21"/>
              </w:rPr>
            </w:pPr>
            <w:r>
              <w:rPr>
                <w:spacing w:val="-3"/>
                <w:sz w:val="21"/>
              </w:rPr>
              <w:t>被保险人于本合同生效（或合同效力恢复</w:t>
            </w:r>
            <w:r>
              <w:rPr>
                <w:sz w:val="21"/>
              </w:rPr>
              <w:t>）</w:t>
            </w:r>
            <w:r>
              <w:rPr>
                <w:spacing w:val="-12"/>
                <w:sz w:val="21"/>
              </w:rPr>
              <w:t>之日起 </w:t>
            </w:r>
            <w:r>
              <w:rPr>
                <w:sz w:val="21"/>
              </w:rPr>
              <w:t>90</w:t>
            </w:r>
            <w:r>
              <w:rPr>
                <w:spacing w:val="-8"/>
                <w:sz w:val="21"/>
              </w:rPr>
              <w:t> 日后身故或身体全残， 我们将豁免主险合同及指定附加险自被保险人身故或被确定身体全残之日起的续</w:t>
            </w:r>
            <w:r>
              <w:rPr>
                <w:spacing w:val="-3"/>
                <w:sz w:val="21"/>
              </w:rPr>
              <w:t>期保险费，本合同终止。</w:t>
            </w:r>
          </w:p>
          <w:p>
            <w:pPr>
              <w:pStyle w:val="TableParagraph"/>
              <w:spacing w:line="273" w:lineRule="auto" w:before="7"/>
              <w:ind w:left="145" w:right="101" w:firstLine="420"/>
              <w:jc w:val="both"/>
              <w:rPr>
                <w:sz w:val="21"/>
              </w:rPr>
            </w:pPr>
            <w:r>
              <w:rPr>
                <w:sz w:val="21"/>
              </w:rPr>
              <w:t>若被保险人身故或身体全残是以其在本合同保险期间内遭受的意外伤害为直接且单独的原因所致，则不受前述 90 日的限制。</w:t>
            </w:r>
          </w:p>
        </w:tc>
      </w:tr>
      <w:tr>
        <w:trPr>
          <w:trHeight w:val="936" w:hRule="atLeast"/>
        </w:trPr>
        <w:tc>
          <w:tcPr>
            <w:tcW w:w="870" w:type="dxa"/>
          </w:tcPr>
          <w:p>
            <w:pPr>
              <w:pStyle w:val="TableParagraph"/>
              <w:spacing w:before="0"/>
              <w:ind w:left="0"/>
              <w:rPr>
                <w:rFonts w:ascii="Times New Roman"/>
                <w:sz w:val="20"/>
              </w:rPr>
            </w:pPr>
          </w:p>
        </w:tc>
        <w:tc>
          <w:tcPr>
            <w:tcW w:w="1222" w:type="dxa"/>
          </w:tcPr>
          <w:p>
            <w:pPr>
              <w:pStyle w:val="TableParagraph"/>
              <w:spacing w:before="0"/>
              <w:ind w:left="0"/>
              <w:rPr>
                <w:rFonts w:ascii="Times New Roman"/>
                <w:sz w:val="20"/>
              </w:rPr>
            </w:pPr>
          </w:p>
        </w:tc>
        <w:tc>
          <w:tcPr>
            <w:tcW w:w="7706" w:type="dxa"/>
          </w:tcPr>
          <w:p>
            <w:pPr>
              <w:pStyle w:val="TableParagraph"/>
              <w:spacing w:line="273" w:lineRule="auto"/>
              <w:ind w:left="145" w:right="102"/>
              <w:rPr>
                <w:sz w:val="21"/>
              </w:rPr>
            </w:pPr>
            <w:r>
              <w:rPr>
                <w:sz w:val="21"/>
              </w:rPr>
              <w:t>二、在本合同保险期间内，且在主险合同</w:t>
            </w:r>
            <w:r>
              <w:rPr>
                <w:b/>
                <w:sz w:val="21"/>
              </w:rPr>
              <w:t>交费期满日之后</w:t>
            </w:r>
            <w:r>
              <w:rPr>
                <w:sz w:val="21"/>
              </w:rPr>
              <w:t>，本公司承担下列保险责任：</w:t>
            </w:r>
          </w:p>
        </w:tc>
      </w:tr>
      <w:tr>
        <w:trPr>
          <w:trHeight w:val="1248" w:hRule="atLeast"/>
        </w:trPr>
        <w:tc>
          <w:tcPr>
            <w:tcW w:w="870" w:type="dxa"/>
          </w:tcPr>
          <w:p>
            <w:pPr>
              <w:pStyle w:val="TableParagraph"/>
              <w:spacing w:before="143"/>
              <w:ind w:left="108"/>
              <w:rPr>
                <w:b/>
                <w:sz w:val="21"/>
              </w:rPr>
            </w:pPr>
            <w:r>
              <w:rPr>
                <w:b/>
                <w:sz w:val="21"/>
              </w:rPr>
              <w:t>2.2.4</w:t>
            </w:r>
          </w:p>
        </w:tc>
        <w:tc>
          <w:tcPr>
            <w:tcW w:w="1222" w:type="dxa"/>
          </w:tcPr>
          <w:p>
            <w:pPr>
              <w:pStyle w:val="TableParagraph"/>
              <w:spacing w:line="273" w:lineRule="auto" w:before="143"/>
              <w:ind w:left="234" w:right="140"/>
              <w:rPr>
                <w:b/>
                <w:sz w:val="21"/>
              </w:rPr>
            </w:pPr>
            <w:r>
              <w:rPr>
                <w:b/>
                <w:sz w:val="21"/>
              </w:rPr>
              <w:t>重大疾病保险金</w:t>
            </w:r>
          </w:p>
        </w:tc>
        <w:tc>
          <w:tcPr>
            <w:tcW w:w="7706" w:type="dxa"/>
          </w:tcPr>
          <w:p>
            <w:pPr>
              <w:pStyle w:val="TableParagraph"/>
              <w:spacing w:before="143"/>
              <w:ind w:left="565"/>
              <w:rPr>
                <w:sz w:val="21"/>
              </w:rPr>
            </w:pPr>
            <w:r>
              <w:rPr>
                <w:sz w:val="21"/>
              </w:rPr>
              <w:t>被保险人由本公司认可医院的专科医生确诊初次发生本合同所指的重大疾病</w:t>
            </w:r>
          </w:p>
          <w:p>
            <w:pPr>
              <w:pStyle w:val="TableParagraph"/>
              <w:spacing w:line="273" w:lineRule="auto" w:before="37"/>
              <w:ind w:left="145" w:right="100"/>
              <w:rPr>
                <w:sz w:val="21"/>
              </w:rPr>
            </w:pPr>
            <w:r>
              <w:rPr>
                <w:w w:val="100"/>
                <w:sz w:val="21"/>
              </w:rPr>
              <w:t>（</w:t>
            </w:r>
            <w:r>
              <w:rPr>
                <w:spacing w:val="-3"/>
                <w:w w:val="100"/>
                <w:sz w:val="21"/>
              </w:rPr>
              <w:t>无论一种或多种</w:t>
            </w:r>
            <w:r>
              <w:rPr>
                <w:spacing w:val="-106"/>
                <w:w w:val="100"/>
                <w:sz w:val="21"/>
              </w:rPr>
              <w:t>）</w:t>
            </w:r>
            <w:r>
              <w:rPr>
                <w:spacing w:val="-3"/>
                <w:w w:val="100"/>
                <w:sz w:val="21"/>
              </w:rPr>
              <w:t>，本公司按本保险实际交纳的保险费给付重大疾病保险金，本</w:t>
            </w:r>
            <w:r>
              <w:rPr>
                <w:spacing w:val="-3"/>
                <w:sz w:val="21"/>
              </w:rPr>
              <w:t>合同终止。</w:t>
            </w:r>
          </w:p>
        </w:tc>
      </w:tr>
      <w:tr>
        <w:trPr>
          <w:trHeight w:val="1247" w:hRule="atLeast"/>
        </w:trPr>
        <w:tc>
          <w:tcPr>
            <w:tcW w:w="870" w:type="dxa"/>
          </w:tcPr>
          <w:p>
            <w:pPr>
              <w:pStyle w:val="TableParagraph"/>
              <w:ind w:left="108"/>
              <w:rPr>
                <w:b/>
                <w:sz w:val="21"/>
              </w:rPr>
            </w:pPr>
            <w:r>
              <w:rPr>
                <w:b/>
                <w:sz w:val="21"/>
              </w:rPr>
              <w:t>2.2.5</w:t>
            </w:r>
          </w:p>
        </w:tc>
        <w:tc>
          <w:tcPr>
            <w:tcW w:w="1222" w:type="dxa"/>
          </w:tcPr>
          <w:p>
            <w:pPr>
              <w:pStyle w:val="TableParagraph"/>
              <w:spacing w:line="273" w:lineRule="auto"/>
              <w:ind w:left="234" w:right="140"/>
              <w:jc w:val="both"/>
              <w:rPr>
                <w:b/>
                <w:sz w:val="21"/>
              </w:rPr>
            </w:pPr>
            <w:r>
              <w:rPr>
                <w:b/>
                <w:sz w:val="21"/>
              </w:rPr>
              <w:t>身故或身体全残保险金</w:t>
            </w:r>
          </w:p>
        </w:tc>
        <w:tc>
          <w:tcPr>
            <w:tcW w:w="7706" w:type="dxa"/>
          </w:tcPr>
          <w:p>
            <w:pPr>
              <w:pStyle w:val="TableParagraph"/>
              <w:spacing w:line="273" w:lineRule="auto"/>
              <w:ind w:left="145" w:right="101" w:firstLine="420"/>
              <w:rPr>
                <w:sz w:val="21"/>
              </w:rPr>
            </w:pPr>
            <w:r>
              <w:rPr>
                <w:sz w:val="21"/>
              </w:rPr>
              <w:t>被保险人身故或身体全残，本公司按本保险实际交纳的保险费给付身故或身体全残保险金，本合同终止。</w:t>
            </w:r>
          </w:p>
        </w:tc>
      </w:tr>
      <w:tr>
        <w:trPr>
          <w:trHeight w:val="6577" w:hRule="atLeast"/>
        </w:trPr>
        <w:tc>
          <w:tcPr>
            <w:tcW w:w="870" w:type="dxa"/>
          </w:tcPr>
          <w:p>
            <w:pPr>
              <w:pStyle w:val="TableParagraph"/>
              <w:ind w:left="108"/>
              <w:rPr>
                <w:b/>
                <w:sz w:val="21"/>
              </w:rPr>
            </w:pPr>
            <w:r>
              <w:rPr>
                <w:b/>
                <w:sz w:val="21"/>
              </w:rPr>
              <w:t>2.3</w:t>
            </w:r>
          </w:p>
        </w:tc>
        <w:tc>
          <w:tcPr>
            <w:tcW w:w="1222" w:type="dxa"/>
          </w:tcPr>
          <w:p>
            <w:pPr>
              <w:pStyle w:val="TableParagraph"/>
              <w:ind w:left="0" w:right="140"/>
              <w:jc w:val="right"/>
              <w:rPr>
                <w:b/>
                <w:sz w:val="21"/>
              </w:rPr>
            </w:pPr>
            <w:r>
              <w:rPr>
                <w:b/>
                <w:sz w:val="21"/>
              </w:rPr>
              <w:t>责任免除</w:t>
            </w:r>
          </w:p>
        </w:tc>
        <w:tc>
          <w:tcPr>
            <w:tcW w:w="7706" w:type="dxa"/>
          </w:tcPr>
          <w:p>
            <w:pPr>
              <w:pStyle w:val="TableParagraph"/>
              <w:ind w:left="558"/>
              <w:rPr>
                <w:rFonts w:ascii="黑体" w:eastAsia="黑体" w:hint="eastAsia"/>
                <w:sz w:val="21"/>
              </w:rPr>
            </w:pPr>
            <w:r>
              <w:rPr>
                <w:rFonts w:ascii="黑体" w:eastAsia="黑体" w:hint="eastAsia"/>
                <w:sz w:val="21"/>
              </w:rPr>
              <w:t>被保险人因下列第 1-6 项情形之一身故或身体全残的，本公司不承担保险责</w:t>
            </w:r>
          </w:p>
          <w:p>
            <w:pPr>
              <w:pStyle w:val="TableParagraph"/>
              <w:spacing w:line="273" w:lineRule="auto" w:before="36"/>
              <w:ind w:left="145" w:right="-15"/>
              <w:rPr>
                <w:rFonts w:ascii="黑体" w:eastAsia="黑体" w:hint="eastAsia"/>
                <w:sz w:val="21"/>
              </w:rPr>
            </w:pPr>
            <w:r>
              <w:rPr>
                <w:rFonts w:ascii="黑体" w:eastAsia="黑体" w:hint="eastAsia"/>
                <w:spacing w:val="-6"/>
                <w:sz w:val="21"/>
              </w:rPr>
              <w:t>任；被保险人因下列第 </w:t>
            </w:r>
            <w:r>
              <w:rPr>
                <w:rFonts w:ascii="黑体" w:eastAsia="黑体" w:hint="eastAsia"/>
                <w:sz w:val="21"/>
              </w:rPr>
              <w:t>2-9</w:t>
            </w:r>
            <w:r>
              <w:rPr>
                <w:rFonts w:ascii="黑体" w:eastAsia="黑体" w:hint="eastAsia"/>
                <w:spacing w:val="-9"/>
                <w:sz w:val="21"/>
              </w:rPr>
              <w:t> 项情形之一发</w:t>
            </w:r>
            <w:r>
              <w:rPr>
                <w:rFonts w:ascii="黑体" w:eastAsia="黑体" w:hint="eastAsia"/>
                <w:sz w:val="21"/>
              </w:rPr>
              <w:t>Th</w:t>
            </w:r>
            <w:r>
              <w:rPr>
                <w:rFonts w:ascii="黑体" w:eastAsia="黑体" w:hint="eastAsia"/>
                <w:spacing w:val="-3"/>
                <w:sz w:val="21"/>
              </w:rPr>
              <w:t>本合同所指的重大疾病、轻症疾病的， 本公司不承担保险责任：</w:t>
            </w:r>
          </w:p>
          <w:p>
            <w:pPr>
              <w:pStyle w:val="TableParagraph"/>
              <w:spacing w:line="273" w:lineRule="auto" w:before="7"/>
              <w:ind w:left="145" w:right="103" w:firstLine="412"/>
              <w:rPr>
                <w:rFonts w:ascii="黑体" w:eastAsia="黑体" w:hint="eastAsia"/>
                <w:sz w:val="21"/>
              </w:rPr>
            </w:pPr>
            <w:r>
              <w:rPr>
                <w:rFonts w:ascii="黑体" w:eastAsia="黑体" w:hint="eastAsia"/>
                <w:sz w:val="21"/>
              </w:rPr>
              <w:t>1.</w:t>
            </w:r>
            <w:r>
              <w:rPr>
                <w:rFonts w:ascii="黑体" w:eastAsia="黑体" w:hint="eastAsia"/>
                <w:spacing w:val="-9"/>
                <w:sz w:val="21"/>
              </w:rPr>
              <w:t>自本合同成立</w:t>
            </w:r>
            <w:r>
              <w:rPr>
                <w:rFonts w:ascii="黑体" w:eastAsia="黑体" w:hint="eastAsia"/>
                <w:sz w:val="21"/>
              </w:rPr>
              <w:t>（</w:t>
            </w:r>
            <w:r>
              <w:rPr>
                <w:rFonts w:ascii="黑体" w:eastAsia="黑体" w:hint="eastAsia"/>
                <w:spacing w:val="-3"/>
                <w:sz w:val="21"/>
              </w:rPr>
              <w:t>或合同效力恢复</w:t>
            </w:r>
            <w:r>
              <w:rPr>
                <w:rFonts w:ascii="黑体" w:eastAsia="黑体" w:hint="eastAsia"/>
                <w:spacing w:val="-36"/>
                <w:sz w:val="21"/>
              </w:rPr>
              <w:t>）</w:t>
            </w:r>
            <w:r>
              <w:rPr>
                <w:rFonts w:ascii="黑体" w:eastAsia="黑体" w:hint="eastAsia"/>
                <w:spacing w:val="-7"/>
                <w:sz w:val="21"/>
              </w:rPr>
              <w:t>之日起二年内自杀，但自杀时为无民事行</w:t>
            </w:r>
            <w:r>
              <w:rPr>
                <w:rFonts w:ascii="黑体" w:eastAsia="黑体" w:hint="eastAsia"/>
                <w:spacing w:val="-5"/>
                <w:sz w:val="21"/>
              </w:rPr>
              <w:t>为能力人的除外；</w:t>
            </w:r>
          </w:p>
          <w:p>
            <w:pPr>
              <w:pStyle w:val="TableParagraph"/>
              <w:spacing w:before="7"/>
              <w:ind w:left="558"/>
              <w:rPr>
                <w:rFonts w:ascii="黑体" w:eastAsia="黑体" w:hint="eastAsia"/>
                <w:sz w:val="21"/>
              </w:rPr>
            </w:pPr>
            <w:r>
              <w:rPr>
                <w:rFonts w:ascii="黑体" w:eastAsia="黑体" w:hint="eastAsia"/>
                <w:sz w:val="21"/>
              </w:rPr>
              <w:t>2.故意犯罪或抗拒依法采取的刑事强制措施；</w:t>
            </w:r>
          </w:p>
          <w:p>
            <w:pPr>
              <w:pStyle w:val="TableParagraph"/>
              <w:spacing w:before="36"/>
              <w:ind w:left="558"/>
              <w:rPr>
                <w:rFonts w:ascii="黑体" w:eastAsia="黑体" w:hint="eastAsia"/>
                <w:sz w:val="21"/>
              </w:rPr>
            </w:pPr>
            <w:r>
              <w:rPr>
                <w:rFonts w:ascii="黑体" w:eastAsia="黑体" w:hint="eastAsia"/>
                <w:w w:val="100"/>
                <w:sz w:val="21"/>
              </w:rPr>
              <w:t>3.</w:t>
            </w:r>
            <w:r>
              <w:rPr>
                <w:rFonts w:ascii="黑体" w:eastAsia="黑体" w:hint="eastAsia"/>
                <w:spacing w:val="-3"/>
                <w:w w:val="100"/>
                <w:sz w:val="21"/>
              </w:rPr>
              <w:t>主动吸食或注射</w:t>
            </w:r>
            <w:r>
              <w:rPr>
                <w:rFonts w:ascii="黑体" w:eastAsia="黑体" w:hint="eastAsia"/>
                <w:b/>
                <w:w w:val="100"/>
                <w:sz w:val="21"/>
              </w:rPr>
              <w:t>毒品（详见释义</w:t>
            </w:r>
            <w:r>
              <w:rPr>
                <w:rFonts w:ascii="黑体" w:eastAsia="黑体" w:hint="eastAsia"/>
                <w:b/>
                <w:spacing w:val="-106"/>
                <w:w w:val="100"/>
                <w:sz w:val="21"/>
              </w:rPr>
              <w:t>）</w:t>
            </w:r>
            <w:r>
              <w:rPr>
                <w:rFonts w:ascii="黑体" w:eastAsia="黑体" w:hint="eastAsia"/>
                <w:w w:val="100"/>
                <w:sz w:val="21"/>
              </w:rPr>
              <w:t>；</w:t>
            </w:r>
          </w:p>
          <w:p>
            <w:pPr>
              <w:pStyle w:val="TableParagraph"/>
              <w:spacing w:line="273" w:lineRule="auto" w:before="36"/>
              <w:ind w:left="145" w:right="102" w:firstLine="412"/>
              <w:rPr>
                <w:rFonts w:ascii="黑体" w:eastAsia="黑体" w:hint="eastAsia"/>
                <w:sz w:val="21"/>
              </w:rPr>
            </w:pPr>
            <w:r>
              <w:rPr>
                <w:rFonts w:ascii="黑体" w:eastAsia="黑体" w:hint="eastAsia"/>
                <w:sz w:val="21"/>
              </w:rPr>
              <w:t>4.</w:t>
            </w:r>
            <w:r>
              <w:rPr>
                <w:rFonts w:ascii="黑体" w:eastAsia="黑体" w:hint="eastAsia"/>
                <w:b/>
                <w:spacing w:val="-2"/>
                <w:sz w:val="21"/>
              </w:rPr>
              <w:t>酒后驾驶</w:t>
            </w:r>
            <w:r>
              <w:rPr>
                <w:rFonts w:ascii="黑体" w:eastAsia="黑体" w:hint="eastAsia"/>
                <w:b/>
                <w:sz w:val="21"/>
              </w:rPr>
              <w:t>（详见释义</w:t>
            </w:r>
            <w:r>
              <w:rPr>
                <w:rFonts w:ascii="黑体" w:eastAsia="黑体" w:hint="eastAsia"/>
                <w:b/>
                <w:spacing w:val="-105"/>
                <w:sz w:val="21"/>
              </w:rPr>
              <w:t>）</w:t>
            </w:r>
            <w:r>
              <w:rPr>
                <w:rFonts w:ascii="黑体" w:eastAsia="黑体" w:hint="eastAsia"/>
                <w:spacing w:val="-8"/>
                <w:sz w:val="21"/>
              </w:rPr>
              <w:t>、</w:t>
            </w:r>
            <w:r>
              <w:rPr>
                <w:rFonts w:ascii="黑体" w:eastAsia="黑体" w:hint="eastAsia"/>
                <w:b/>
                <w:spacing w:val="-2"/>
                <w:sz w:val="21"/>
              </w:rPr>
              <w:t>无合法有效驾驶证驾驶</w:t>
            </w:r>
            <w:r>
              <w:rPr>
                <w:rFonts w:ascii="黑体" w:eastAsia="黑体" w:hint="eastAsia"/>
                <w:b/>
                <w:spacing w:val="-3"/>
                <w:sz w:val="21"/>
              </w:rPr>
              <w:t>（</w:t>
            </w:r>
            <w:r>
              <w:rPr>
                <w:rFonts w:ascii="黑体" w:eastAsia="黑体" w:hint="eastAsia"/>
                <w:b/>
                <w:sz w:val="21"/>
              </w:rPr>
              <w:t>详见释义</w:t>
            </w:r>
            <w:r>
              <w:rPr>
                <w:rFonts w:ascii="黑体" w:eastAsia="黑体" w:hint="eastAsia"/>
                <w:b/>
                <w:spacing w:val="-4"/>
                <w:sz w:val="21"/>
              </w:rPr>
              <w:t>）</w:t>
            </w:r>
            <w:r>
              <w:rPr>
                <w:rFonts w:ascii="黑体" w:eastAsia="黑体" w:hint="eastAsia"/>
                <w:spacing w:val="-3"/>
                <w:sz w:val="21"/>
              </w:rPr>
              <w:t>或驾驶</w:t>
            </w:r>
            <w:r>
              <w:rPr>
                <w:rFonts w:ascii="黑体" w:eastAsia="黑体" w:hint="eastAsia"/>
                <w:b/>
                <w:sz w:val="21"/>
              </w:rPr>
              <w:t>无有效</w:t>
            </w:r>
            <w:r>
              <w:rPr>
                <w:rFonts w:ascii="黑体" w:eastAsia="黑体" w:hint="eastAsia"/>
                <w:b/>
                <w:w w:val="100"/>
                <w:sz w:val="21"/>
              </w:rPr>
              <w:t>行驶证（详见释义）</w:t>
            </w:r>
            <w:r>
              <w:rPr>
                <w:rFonts w:ascii="黑体" w:eastAsia="黑体" w:hint="eastAsia"/>
                <w:spacing w:val="-3"/>
                <w:w w:val="100"/>
                <w:sz w:val="21"/>
              </w:rPr>
              <w:t>的</w:t>
            </w:r>
            <w:r>
              <w:rPr>
                <w:rFonts w:ascii="黑体" w:eastAsia="黑体" w:hint="eastAsia"/>
                <w:b/>
                <w:spacing w:val="-2"/>
                <w:w w:val="100"/>
                <w:sz w:val="21"/>
              </w:rPr>
              <w:t>机动车</w:t>
            </w:r>
            <w:r>
              <w:rPr>
                <w:rFonts w:ascii="黑体" w:eastAsia="黑体" w:hint="eastAsia"/>
                <w:b/>
                <w:w w:val="100"/>
                <w:sz w:val="21"/>
              </w:rPr>
              <w:t>（详见释义</w:t>
            </w:r>
            <w:r>
              <w:rPr>
                <w:rFonts w:ascii="黑体" w:eastAsia="黑体" w:hint="eastAsia"/>
                <w:b/>
                <w:spacing w:val="-106"/>
                <w:w w:val="100"/>
                <w:sz w:val="21"/>
              </w:rPr>
              <w:t>）</w:t>
            </w:r>
            <w:r>
              <w:rPr>
                <w:rFonts w:ascii="黑体" w:eastAsia="黑体" w:hint="eastAsia"/>
                <w:w w:val="100"/>
                <w:sz w:val="21"/>
              </w:rPr>
              <w:t>；</w:t>
            </w:r>
          </w:p>
          <w:p>
            <w:pPr>
              <w:pStyle w:val="TableParagraph"/>
              <w:spacing w:before="7"/>
              <w:ind w:left="558"/>
              <w:rPr>
                <w:rFonts w:ascii="黑体" w:eastAsia="黑体" w:hint="eastAsia"/>
                <w:sz w:val="21"/>
              </w:rPr>
            </w:pPr>
            <w:r>
              <w:rPr>
                <w:rFonts w:ascii="黑体" w:eastAsia="黑体" w:hint="eastAsia"/>
                <w:sz w:val="21"/>
              </w:rPr>
              <w:t>5.战争、军事冲突、暴乱或武装叛乱；</w:t>
            </w:r>
          </w:p>
          <w:p>
            <w:pPr>
              <w:pStyle w:val="TableParagraph"/>
              <w:spacing w:before="37"/>
              <w:ind w:left="558"/>
              <w:rPr>
                <w:rFonts w:ascii="黑体" w:eastAsia="黑体" w:hint="eastAsia"/>
                <w:sz w:val="21"/>
              </w:rPr>
            </w:pPr>
            <w:r>
              <w:rPr>
                <w:rFonts w:ascii="黑体" w:eastAsia="黑体" w:hint="eastAsia"/>
                <w:sz w:val="21"/>
              </w:rPr>
              <w:t>6.核爆炸、核辐射或核污染；</w:t>
            </w:r>
          </w:p>
          <w:p>
            <w:pPr>
              <w:pStyle w:val="TableParagraph"/>
              <w:spacing w:before="37"/>
              <w:ind w:left="558"/>
              <w:rPr>
                <w:rFonts w:ascii="黑体" w:eastAsia="黑体" w:hint="eastAsia"/>
                <w:sz w:val="21"/>
              </w:rPr>
            </w:pPr>
            <w:r>
              <w:rPr>
                <w:rFonts w:ascii="黑体" w:eastAsia="黑体" w:hint="eastAsia"/>
                <w:sz w:val="21"/>
              </w:rPr>
              <w:t>7.故意自伤；</w:t>
            </w:r>
          </w:p>
          <w:p>
            <w:pPr>
              <w:pStyle w:val="TableParagraph"/>
              <w:spacing w:before="37"/>
              <w:ind w:left="558"/>
              <w:rPr>
                <w:rFonts w:ascii="黑体" w:eastAsia="黑体" w:hint="eastAsia"/>
                <w:sz w:val="21"/>
              </w:rPr>
            </w:pPr>
            <w:r>
              <w:rPr>
                <w:rFonts w:ascii="黑体" w:eastAsia="黑体" w:hint="eastAsia"/>
                <w:w w:val="100"/>
                <w:sz w:val="21"/>
              </w:rPr>
              <w:t>8</w:t>
            </w:r>
            <w:r>
              <w:rPr>
                <w:rFonts w:ascii="黑体" w:eastAsia="黑体" w:hint="eastAsia"/>
                <w:spacing w:val="-3"/>
                <w:w w:val="100"/>
                <w:sz w:val="21"/>
              </w:rPr>
              <w:t>.</w:t>
            </w:r>
            <w:r>
              <w:rPr>
                <w:rFonts w:ascii="黑体" w:eastAsia="黑体" w:hint="eastAsia"/>
                <w:b/>
                <w:w w:val="100"/>
                <w:sz w:val="21"/>
              </w:rPr>
              <w:t>遗传性疾病（详见释义</w:t>
            </w:r>
            <w:r>
              <w:rPr>
                <w:rFonts w:ascii="黑体" w:eastAsia="黑体" w:hint="eastAsia"/>
                <w:b/>
                <w:spacing w:val="-108"/>
                <w:w w:val="100"/>
                <w:sz w:val="21"/>
              </w:rPr>
              <w:t>）</w:t>
            </w:r>
            <w:r>
              <w:rPr>
                <w:rFonts w:ascii="黑体" w:eastAsia="黑体" w:hint="eastAsia"/>
                <w:spacing w:val="-3"/>
                <w:w w:val="100"/>
                <w:sz w:val="21"/>
              </w:rPr>
              <w:t>，</w:t>
            </w:r>
            <w:r>
              <w:rPr>
                <w:rFonts w:ascii="黑体" w:eastAsia="黑体" w:hint="eastAsia"/>
                <w:b/>
                <w:spacing w:val="-1"/>
                <w:w w:val="100"/>
                <w:sz w:val="21"/>
              </w:rPr>
              <w:t>先天性畸形、变形或染色体异常</w:t>
            </w:r>
            <w:r>
              <w:rPr>
                <w:rFonts w:ascii="黑体" w:eastAsia="黑体" w:hint="eastAsia"/>
                <w:b/>
                <w:w w:val="100"/>
                <w:sz w:val="21"/>
              </w:rPr>
              <w:t>（详见释义</w:t>
            </w:r>
            <w:r>
              <w:rPr>
                <w:rFonts w:ascii="黑体" w:eastAsia="黑体" w:hint="eastAsia"/>
                <w:b/>
                <w:spacing w:val="-105"/>
                <w:w w:val="100"/>
                <w:sz w:val="21"/>
              </w:rPr>
              <w:t>）</w:t>
            </w:r>
            <w:r>
              <w:rPr>
                <w:rFonts w:ascii="黑体" w:eastAsia="黑体" w:hint="eastAsia"/>
                <w:w w:val="100"/>
                <w:sz w:val="21"/>
              </w:rPr>
              <w:t>；</w:t>
            </w:r>
          </w:p>
          <w:p>
            <w:pPr>
              <w:pStyle w:val="TableParagraph"/>
              <w:spacing w:before="38"/>
              <w:ind w:left="558"/>
              <w:rPr>
                <w:rFonts w:ascii="黑体" w:eastAsia="黑体" w:hint="eastAsia"/>
                <w:sz w:val="21"/>
              </w:rPr>
            </w:pPr>
            <w:r>
              <w:rPr>
                <w:rFonts w:ascii="黑体" w:eastAsia="黑体" w:hint="eastAsia"/>
                <w:sz w:val="21"/>
              </w:rPr>
              <w:t>9.</w:t>
            </w:r>
            <w:r>
              <w:rPr>
                <w:rFonts w:ascii="黑体" w:eastAsia="黑体" w:hint="eastAsia"/>
                <w:b/>
                <w:sz w:val="21"/>
              </w:rPr>
              <w:t>感染艾滋病病毒或患艾滋病(详见释义)</w:t>
            </w:r>
            <w:r>
              <w:rPr>
                <w:rFonts w:ascii="黑体" w:eastAsia="黑体" w:hint="eastAsia"/>
                <w:sz w:val="21"/>
              </w:rPr>
              <w:t>。</w:t>
            </w:r>
          </w:p>
          <w:p>
            <w:pPr>
              <w:pStyle w:val="TableParagraph"/>
              <w:spacing w:line="273" w:lineRule="auto" w:before="37"/>
              <w:ind w:left="145" w:right="201" w:firstLine="420"/>
              <w:rPr>
                <w:rFonts w:ascii="黑体" w:eastAsia="黑体" w:hint="eastAsia"/>
                <w:sz w:val="21"/>
              </w:rPr>
            </w:pPr>
            <w:r>
              <w:rPr>
                <w:rFonts w:ascii="黑体" w:eastAsia="黑体" w:hint="eastAsia"/>
                <w:spacing w:val="-7"/>
                <w:sz w:val="21"/>
              </w:rPr>
              <w:t>被保险人因上述第 </w:t>
            </w:r>
            <w:r>
              <w:rPr>
                <w:rFonts w:ascii="黑体" w:eastAsia="黑体" w:hint="eastAsia"/>
                <w:sz w:val="21"/>
              </w:rPr>
              <w:t>1-6</w:t>
            </w:r>
            <w:r>
              <w:rPr>
                <w:rFonts w:ascii="黑体" w:eastAsia="黑体" w:hint="eastAsia"/>
                <w:spacing w:val="-8"/>
                <w:sz w:val="21"/>
              </w:rPr>
              <w:t> 项情形之一身故的，本合同终止，本公司向身故保险</w:t>
            </w:r>
            <w:r>
              <w:rPr>
                <w:rFonts w:ascii="黑体" w:eastAsia="黑体" w:hint="eastAsia"/>
                <w:spacing w:val="-5"/>
                <w:sz w:val="21"/>
              </w:rPr>
              <w:t>金受益人退还保险单的现金价值。</w:t>
            </w:r>
          </w:p>
          <w:p>
            <w:pPr>
              <w:pStyle w:val="TableParagraph"/>
              <w:spacing w:line="273" w:lineRule="auto" w:before="7"/>
              <w:ind w:left="145" w:right="201" w:firstLine="420"/>
              <w:rPr>
                <w:rFonts w:ascii="黑体" w:eastAsia="黑体" w:hint="eastAsia"/>
                <w:sz w:val="21"/>
              </w:rPr>
            </w:pPr>
            <w:r>
              <w:rPr>
                <w:rFonts w:ascii="黑体" w:eastAsia="黑体" w:hint="eastAsia"/>
                <w:spacing w:val="-7"/>
                <w:sz w:val="21"/>
              </w:rPr>
              <w:t>被保险人因上述第 </w:t>
            </w:r>
            <w:r>
              <w:rPr>
                <w:rFonts w:ascii="黑体" w:eastAsia="黑体" w:hint="eastAsia"/>
                <w:sz w:val="21"/>
              </w:rPr>
              <w:t>1-6</w:t>
            </w:r>
            <w:r>
              <w:rPr>
                <w:rFonts w:ascii="黑体" w:eastAsia="黑体" w:hint="eastAsia"/>
                <w:spacing w:val="-8"/>
                <w:sz w:val="21"/>
              </w:rPr>
              <w:t> 项情形之一身体全残的，本合同终止，本公司向您退</w:t>
            </w:r>
            <w:r>
              <w:rPr>
                <w:rFonts w:ascii="黑体" w:eastAsia="黑体" w:hint="eastAsia"/>
                <w:spacing w:val="-5"/>
                <w:sz w:val="21"/>
              </w:rPr>
              <w:t>还保险单的现金价值。</w:t>
            </w:r>
          </w:p>
          <w:p>
            <w:pPr>
              <w:pStyle w:val="TableParagraph"/>
              <w:spacing w:line="273" w:lineRule="auto" w:before="7"/>
              <w:ind w:left="145" w:right="-15" w:firstLine="420"/>
              <w:rPr>
                <w:rFonts w:ascii="黑体" w:eastAsia="黑体" w:hint="eastAsia"/>
                <w:sz w:val="21"/>
              </w:rPr>
            </w:pPr>
            <w:r>
              <w:rPr>
                <w:rFonts w:ascii="黑体" w:eastAsia="黑体" w:hint="eastAsia"/>
                <w:spacing w:val="-7"/>
                <w:sz w:val="21"/>
              </w:rPr>
              <w:t>被保险人因上述第 </w:t>
            </w:r>
            <w:r>
              <w:rPr>
                <w:rFonts w:ascii="黑体" w:eastAsia="黑体" w:hint="eastAsia"/>
                <w:sz w:val="21"/>
              </w:rPr>
              <w:t>2-9</w:t>
            </w:r>
            <w:r>
              <w:rPr>
                <w:rFonts w:ascii="黑体" w:eastAsia="黑体" w:hint="eastAsia"/>
                <w:spacing w:val="-9"/>
                <w:sz w:val="21"/>
              </w:rPr>
              <w:t> 项情形之一发</w:t>
            </w:r>
            <w:r>
              <w:rPr>
                <w:rFonts w:ascii="黑体" w:eastAsia="黑体" w:hint="eastAsia"/>
                <w:sz w:val="21"/>
              </w:rPr>
              <w:t>Th</w:t>
            </w:r>
            <w:r>
              <w:rPr>
                <w:rFonts w:ascii="黑体" w:eastAsia="黑体" w:hint="eastAsia"/>
                <w:spacing w:val="-4"/>
                <w:sz w:val="21"/>
              </w:rPr>
              <w:t>重大疾病、轻症疾病的，本合同终止， </w:t>
            </w:r>
            <w:r>
              <w:rPr>
                <w:rFonts w:ascii="黑体" w:eastAsia="黑体" w:hint="eastAsia"/>
                <w:spacing w:val="-3"/>
                <w:sz w:val="21"/>
              </w:rPr>
              <w:t>本公司向您退还保险单的现金价值。</w:t>
            </w:r>
          </w:p>
        </w:tc>
      </w:tr>
      <w:tr>
        <w:trPr>
          <w:trHeight w:val="753" w:hRule="atLeast"/>
        </w:trPr>
        <w:tc>
          <w:tcPr>
            <w:tcW w:w="870" w:type="dxa"/>
            <w:tcBorders>
              <w:bottom w:val="single" w:sz="8" w:space="0" w:color="000000"/>
            </w:tcBorders>
          </w:tcPr>
          <w:p>
            <w:pPr>
              <w:pStyle w:val="TableParagraph"/>
              <w:spacing w:before="194"/>
              <w:ind w:left="108"/>
              <w:rPr>
                <w:rFonts w:ascii="Arial" w:hAnsi="Arial"/>
                <w:b/>
                <w:sz w:val="40"/>
              </w:rPr>
            </w:pPr>
            <w:r>
              <w:rPr>
                <w:rFonts w:ascii="Arial" w:hAnsi="Arial"/>
                <w:b/>
                <w:w w:val="119"/>
                <w:sz w:val="40"/>
              </w:rPr>
              <w:t></w:t>
            </w:r>
          </w:p>
        </w:tc>
        <w:tc>
          <w:tcPr>
            <w:tcW w:w="8928" w:type="dxa"/>
            <w:gridSpan w:val="2"/>
            <w:tcBorders>
              <w:bottom w:val="single" w:sz="8" w:space="0" w:color="000000"/>
            </w:tcBorders>
          </w:tcPr>
          <w:p>
            <w:pPr>
              <w:pStyle w:val="TableParagraph"/>
              <w:spacing w:before="4"/>
              <w:ind w:left="0"/>
              <w:rPr>
                <w:rFonts w:ascii="Times New Roman"/>
                <w:sz w:val="21"/>
              </w:rPr>
            </w:pPr>
          </w:p>
          <w:p>
            <w:pPr>
              <w:pStyle w:val="TableParagraph"/>
              <w:spacing w:before="0"/>
              <w:ind w:left="234"/>
              <w:rPr>
                <w:b/>
                <w:sz w:val="24"/>
              </w:rPr>
            </w:pPr>
            <w:r>
              <w:rPr>
                <w:b/>
                <w:w w:val="95"/>
                <w:sz w:val="24"/>
              </w:rPr>
              <w:t>您的权利和义务</w:t>
            </w:r>
          </w:p>
        </w:tc>
      </w:tr>
      <w:tr>
        <w:trPr>
          <w:trHeight w:val="574" w:hRule="atLeast"/>
        </w:trPr>
        <w:tc>
          <w:tcPr>
            <w:tcW w:w="870" w:type="dxa"/>
            <w:tcBorders>
              <w:top w:val="single" w:sz="8" w:space="0" w:color="000000"/>
            </w:tcBorders>
          </w:tcPr>
          <w:p>
            <w:pPr>
              <w:pStyle w:val="TableParagraph"/>
              <w:spacing w:before="0"/>
              <w:ind w:left="0"/>
              <w:rPr>
                <w:rFonts w:ascii="Times New Roman"/>
                <w:sz w:val="26"/>
              </w:rPr>
            </w:pPr>
          </w:p>
          <w:p>
            <w:pPr>
              <w:pStyle w:val="TableParagraph"/>
              <w:spacing w:line="255" w:lineRule="exact" w:before="0"/>
              <w:ind w:left="108"/>
              <w:rPr>
                <w:b/>
                <w:sz w:val="21"/>
              </w:rPr>
            </w:pPr>
            <w:r>
              <w:rPr>
                <w:b/>
                <w:sz w:val="21"/>
              </w:rPr>
              <w:t>3.1</w:t>
            </w:r>
          </w:p>
        </w:tc>
        <w:tc>
          <w:tcPr>
            <w:tcW w:w="1222" w:type="dxa"/>
            <w:tcBorders>
              <w:top w:val="single" w:sz="8" w:space="0" w:color="000000"/>
            </w:tcBorders>
          </w:tcPr>
          <w:p>
            <w:pPr>
              <w:pStyle w:val="TableParagraph"/>
              <w:spacing w:before="0"/>
              <w:ind w:left="0"/>
              <w:rPr>
                <w:rFonts w:ascii="Times New Roman"/>
                <w:sz w:val="26"/>
              </w:rPr>
            </w:pPr>
          </w:p>
          <w:p>
            <w:pPr>
              <w:pStyle w:val="TableParagraph"/>
              <w:spacing w:line="255" w:lineRule="exact" w:before="0"/>
              <w:ind w:left="0" w:right="140"/>
              <w:jc w:val="right"/>
              <w:rPr>
                <w:b/>
                <w:sz w:val="21"/>
              </w:rPr>
            </w:pPr>
            <w:r>
              <w:rPr>
                <w:b/>
                <w:sz w:val="21"/>
              </w:rPr>
              <w:t>保险费的</w:t>
            </w:r>
          </w:p>
        </w:tc>
        <w:tc>
          <w:tcPr>
            <w:tcW w:w="7706" w:type="dxa"/>
            <w:tcBorders>
              <w:top w:val="single" w:sz="8" w:space="0" w:color="000000"/>
            </w:tcBorders>
          </w:tcPr>
          <w:p>
            <w:pPr>
              <w:pStyle w:val="TableParagraph"/>
              <w:spacing w:before="0"/>
              <w:ind w:left="0"/>
              <w:rPr>
                <w:rFonts w:ascii="Times New Roman"/>
                <w:sz w:val="26"/>
              </w:rPr>
            </w:pPr>
          </w:p>
          <w:p>
            <w:pPr>
              <w:pStyle w:val="TableParagraph"/>
              <w:spacing w:line="255" w:lineRule="exact" w:before="0"/>
              <w:ind w:left="565"/>
              <w:rPr>
                <w:sz w:val="21"/>
              </w:rPr>
            </w:pPr>
            <w:r>
              <w:rPr>
                <w:sz w:val="21"/>
              </w:rPr>
              <w:t>本合同交费期间为主险合同交费期间减一，并在保险单上载明。</w:t>
            </w:r>
          </w:p>
        </w:tc>
      </w:tr>
    </w:tbl>
    <w:p>
      <w:pPr>
        <w:spacing w:after="0" w:line="255" w:lineRule="exact"/>
        <w:rPr>
          <w:sz w:val="21"/>
        </w:rPr>
        <w:sectPr>
          <w:pgSz w:w="11910" w:h="16840"/>
          <w:pgMar w:header="871" w:footer="992" w:top="1060" w:bottom="1180" w:left="760" w:right="1120"/>
        </w:sectPr>
      </w:pPr>
    </w:p>
    <w:p>
      <w:pPr>
        <w:pStyle w:val="BodyText"/>
        <w:rPr>
          <w:rFonts w:ascii="Times New Roman"/>
          <w:sz w:val="2"/>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
        <w:gridCol w:w="1628"/>
        <w:gridCol w:w="7706"/>
      </w:tblGrid>
      <w:tr>
        <w:trPr>
          <w:trHeight w:val="773" w:hRule="atLeast"/>
        </w:trPr>
        <w:tc>
          <w:tcPr>
            <w:tcW w:w="465" w:type="dxa"/>
          </w:tcPr>
          <w:p>
            <w:pPr>
              <w:pStyle w:val="TableParagraph"/>
              <w:spacing w:before="0"/>
              <w:ind w:left="0"/>
              <w:rPr>
                <w:rFonts w:ascii="Times New Roman"/>
                <w:sz w:val="20"/>
              </w:rPr>
            </w:pPr>
          </w:p>
        </w:tc>
        <w:tc>
          <w:tcPr>
            <w:tcW w:w="1628" w:type="dxa"/>
            <w:tcBorders>
              <w:top w:val="single" w:sz="18" w:space="0" w:color="000000"/>
            </w:tcBorders>
          </w:tcPr>
          <w:p>
            <w:pPr>
              <w:pStyle w:val="TableParagraph"/>
              <w:spacing w:before="2"/>
              <w:ind w:left="0"/>
              <w:rPr>
                <w:rFonts w:ascii="Times New Roman"/>
                <w:sz w:val="23"/>
              </w:rPr>
            </w:pPr>
          </w:p>
          <w:p>
            <w:pPr>
              <w:pStyle w:val="TableParagraph"/>
              <w:spacing w:before="0"/>
              <w:ind w:left="639"/>
              <w:rPr>
                <w:b/>
                <w:sz w:val="21"/>
              </w:rPr>
            </w:pPr>
            <w:r>
              <w:rPr>
                <w:b/>
                <w:sz w:val="21"/>
              </w:rPr>
              <w:t>交纳</w:t>
            </w:r>
          </w:p>
        </w:tc>
        <w:tc>
          <w:tcPr>
            <w:tcW w:w="7706" w:type="dxa"/>
            <w:tcBorders>
              <w:top w:val="single" w:sz="18" w:space="0" w:color="000000"/>
            </w:tcBorders>
          </w:tcPr>
          <w:p>
            <w:pPr>
              <w:pStyle w:val="TableParagraph"/>
              <w:spacing w:before="2"/>
              <w:ind w:left="0"/>
              <w:rPr>
                <w:rFonts w:ascii="Times New Roman"/>
                <w:sz w:val="23"/>
              </w:rPr>
            </w:pPr>
          </w:p>
          <w:p>
            <w:pPr>
              <w:pStyle w:val="TableParagraph"/>
              <w:spacing w:before="0"/>
              <w:rPr>
                <w:sz w:val="21"/>
              </w:rPr>
            </w:pPr>
            <w:r>
              <w:rPr>
                <w:sz w:val="21"/>
              </w:rPr>
              <w:t>除另有约定外，本合同应与主险合同同时投保，并同时交纳续期保险费。</w:t>
            </w:r>
          </w:p>
        </w:tc>
      </w:tr>
      <w:tr>
        <w:trPr>
          <w:trHeight w:val="753" w:hRule="atLeast"/>
        </w:trPr>
        <w:tc>
          <w:tcPr>
            <w:tcW w:w="465" w:type="dxa"/>
            <w:tcBorders>
              <w:bottom w:val="single" w:sz="8" w:space="0" w:color="000000"/>
            </w:tcBorders>
          </w:tcPr>
          <w:p>
            <w:pPr>
              <w:pStyle w:val="TableParagraph"/>
              <w:spacing w:before="194"/>
              <w:ind w:left="108" w:right="-15"/>
              <w:jc w:val="center"/>
              <w:rPr>
                <w:rFonts w:ascii="Arial" w:hAnsi="Arial"/>
                <w:b/>
                <w:sz w:val="40"/>
              </w:rPr>
            </w:pPr>
            <w:r>
              <w:rPr>
                <w:rFonts w:ascii="Arial" w:hAnsi="Arial"/>
                <w:b/>
                <w:w w:val="119"/>
                <w:sz w:val="40"/>
              </w:rPr>
              <w:t></w:t>
            </w:r>
          </w:p>
        </w:tc>
        <w:tc>
          <w:tcPr>
            <w:tcW w:w="9334" w:type="dxa"/>
            <w:gridSpan w:val="2"/>
            <w:tcBorders>
              <w:bottom w:val="single" w:sz="8" w:space="0" w:color="000000"/>
            </w:tcBorders>
          </w:tcPr>
          <w:p>
            <w:pPr>
              <w:pStyle w:val="TableParagraph"/>
              <w:spacing w:before="4"/>
              <w:ind w:left="0"/>
              <w:rPr>
                <w:rFonts w:ascii="Times New Roman"/>
                <w:sz w:val="21"/>
              </w:rPr>
            </w:pPr>
          </w:p>
          <w:p>
            <w:pPr>
              <w:pStyle w:val="TableParagraph"/>
              <w:spacing w:before="0"/>
              <w:ind w:left="639"/>
              <w:rPr>
                <w:b/>
                <w:sz w:val="24"/>
              </w:rPr>
            </w:pPr>
            <w:r>
              <w:rPr>
                <w:b/>
                <w:w w:val="95"/>
                <w:sz w:val="24"/>
              </w:rPr>
              <w:t>保险金的申请和给付</w:t>
            </w:r>
          </w:p>
        </w:tc>
      </w:tr>
      <w:tr>
        <w:trPr>
          <w:trHeight w:val="1092" w:hRule="atLeast"/>
        </w:trPr>
        <w:tc>
          <w:tcPr>
            <w:tcW w:w="465" w:type="dxa"/>
            <w:tcBorders>
              <w:top w:val="single" w:sz="8" w:space="0" w:color="000000"/>
            </w:tcBorders>
          </w:tcPr>
          <w:p>
            <w:pPr>
              <w:pStyle w:val="TableParagraph"/>
              <w:spacing w:before="0"/>
              <w:ind w:left="0"/>
              <w:rPr>
                <w:rFonts w:ascii="Times New Roman"/>
                <w:sz w:val="26"/>
              </w:rPr>
            </w:pPr>
          </w:p>
          <w:p>
            <w:pPr>
              <w:pStyle w:val="TableParagraph"/>
              <w:spacing w:before="0"/>
              <w:ind w:left="87" w:right="20"/>
              <w:jc w:val="center"/>
              <w:rPr>
                <w:b/>
                <w:sz w:val="21"/>
              </w:rPr>
            </w:pPr>
            <w:r>
              <w:rPr>
                <w:b/>
                <w:sz w:val="21"/>
              </w:rPr>
              <w:t>4.1</w:t>
            </w:r>
          </w:p>
        </w:tc>
        <w:tc>
          <w:tcPr>
            <w:tcW w:w="1628" w:type="dxa"/>
            <w:tcBorders>
              <w:top w:val="single" w:sz="8" w:space="0" w:color="000000"/>
            </w:tcBorders>
          </w:tcPr>
          <w:p>
            <w:pPr>
              <w:pStyle w:val="TableParagraph"/>
              <w:spacing w:before="0"/>
              <w:ind w:left="0"/>
              <w:rPr>
                <w:rFonts w:ascii="Times New Roman"/>
                <w:sz w:val="26"/>
              </w:rPr>
            </w:pPr>
          </w:p>
          <w:p>
            <w:pPr>
              <w:pStyle w:val="TableParagraph"/>
              <w:spacing w:before="0"/>
              <w:ind w:left="639"/>
              <w:rPr>
                <w:b/>
                <w:sz w:val="21"/>
              </w:rPr>
            </w:pPr>
            <w:r>
              <w:rPr>
                <w:b/>
                <w:sz w:val="21"/>
              </w:rPr>
              <w:t>受益人</w:t>
            </w:r>
          </w:p>
        </w:tc>
        <w:tc>
          <w:tcPr>
            <w:tcW w:w="7706" w:type="dxa"/>
            <w:tcBorders>
              <w:top w:val="single" w:sz="8" w:space="0" w:color="000000"/>
            </w:tcBorders>
          </w:tcPr>
          <w:p>
            <w:pPr>
              <w:pStyle w:val="TableParagraph"/>
              <w:spacing w:before="0"/>
              <w:ind w:left="0"/>
              <w:rPr>
                <w:rFonts w:ascii="Times New Roman"/>
                <w:sz w:val="26"/>
              </w:rPr>
            </w:pPr>
          </w:p>
          <w:p>
            <w:pPr>
              <w:pStyle w:val="TableParagraph"/>
              <w:spacing w:line="273" w:lineRule="auto" w:before="0"/>
              <w:ind w:left="144" w:right="102" w:firstLine="420"/>
              <w:rPr>
                <w:sz w:val="21"/>
              </w:rPr>
            </w:pPr>
            <w:r>
              <w:rPr>
                <w:sz w:val="21"/>
              </w:rPr>
              <w:t>除另有约定外，本合同的受益人为被保险人。若被保险人身故，本合同的受益人为主险合同的被保险人。</w:t>
            </w:r>
          </w:p>
        </w:tc>
      </w:tr>
      <w:tr>
        <w:trPr>
          <w:trHeight w:val="8737" w:hRule="atLeast"/>
        </w:trPr>
        <w:tc>
          <w:tcPr>
            <w:tcW w:w="465" w:type="dxa"/>
          </w:tcPr>
          <w:p>
            <w:pPr>
              <w:pStyle w:val="TableParagraph"/>
              <w:ind w:left="87" w:right="20"/>
              <w:jc w:val="center"/>
              <w:rPr>
                <w:b/>
                <w:sz w:val="21"/>
              </w:rPr>
            </w:pPr>
            <w:r>
              <w:rPr>
                <w:b/>
                <w:sz w:val="21"/>
              </w:rPr>
              <w:t>4.2</w:t>
            </w:r>
          </w:p>
        </w:tc>
        <w:tc>
          <w:tcPr>
            <w:tcW w:w="1628" w:type="dxa"/>
          </w:tcPr>
          <w:p>
            <w:pPr>
              <w:pStyle w:val="TableParagraph"/>
              <w:spacing w:line="273" w:lineRule="auto"/>
              <w:ind w:left="639" w:right="141"/>
              <w:jc w:val="both"/>
              <w:rPr>
                <w:b/>
                <w:sz w:val="21"/>
              </w:rPr>
            </w:pPr>
            <w:r>
              <w:rPr>
                <w:b/>
                <w:sz w:val="21"/>
              </w:rPr>
              <w:t>保险金及豁免保险费的申请</w:t>
            </w:r>
          </w:p>
        </w:tc>
        <w:tc>
          <w:tcPr>
            <w:tcW w:w="7706" w:type="dxa"/>
          </w:tcPr>
          <w:p>
            <w:pPr>
              <w:pStyle w:val="TableParagraph"/>
              <w:spacing w:line="273" w:lineRule="auto"/>
              <w:ind w:left="144" w:firstLine="420"/>
              <w:rPr>
                <w:sz w:val="21"/>
              </w:rPr>
            </w:pPr>
            <w:r>
              <w:rPr>
                <w:sz w:val="21"/>
              </w:rPr>
              <w:t>1.</w:t>
            </w:r>
            <w:r>
              <w:rPr>
                <w:spacing w:val="-3"/>
                <w:sz w:val="21"/>
              </w:rPr>
              <w:t>申请重大疾病豁免保险费、轻症疾病豁免保险费和重大疾病保险金时，由 被保险人作为申请人书面提出保险金及豁免保险费申请，并提供下列证明和资料：</w:t>
            </w:r>
          </w:p>
          <w:p>
            <w:pPr>
              <w:pStyle w:val="TableParagraph"/>
              <w:spacing w:before="7"/>
              <w:rPr>
                <w:sz w:val="21"/>
              </w:rPr>
            </w:pPr>
            <w:r>
              <w:rPr>
                <w:sz w:val="21"/>
              </w:rPr>
              <w:t>（1）保险合同；</w:t>
            </w:r>
          </w:p>
          <w:p>
            <w:pPr>
              <w:pStyle w:val="TableParagraph"/>
              <w:spacing w:before="37"/>
              <w:rPr>
                <w:sz w:val="21"/>
              </w:rPr>
            </w:pPr>
            <w:r>
              <w:rPr>
                <w:sz w:val="21"/>
              </w:rPr>
              <w:t>（2）被保险人的有效身份证件；</w:t>
            </w:r>
          </w:p>
          <w:p>
            <w:pPr>
              <w:pStyle w:val="TableParagraph"/>
              <w:spacing w:line="273" w:lineRule="auto" w:before="36"/>
              <w:ind w:left="144" w:right="103" w:firstLine="420"/>
              <w:rPr>
                <w:sz w:val="21"/>
              </w:rPr>
            </w:pPr>
            <w:r>
              <w:rPr>
                <w:sz w:val="21"/>
              </w:rPr>
              <w:t>（3）本公司认可医院出具的附有病历、必要病理检验、血液检验及其他科学方法检验报告的疾病诊断书；</w:t>
            </w:r>
          </w:p>
          <w:p>
            <w:pPr>
              <w:pStyle w:val="TableParagraph"/>
              <w:spacing w:line="273" w:lineRule="auto" w:before="7"/>
              <w:ind w:left="144" w:right="101" w:firstLine="420"/>
              <w:rPr>
                <w:sz w:val="21"/>
              </w:rPr>
            </w:pPr>
            <w:r>
              <w:rPr>
                <w:sz w:val="21"/>
              </w:rPr>
              <w:t>（4）所能提供的与确认保险事故的性质、原因、伤害程度等有关的其他证明和资料。</w:t>
            </w:r>
          </w:p>
          <w:p>
            <w:pPr>
              <w:pStyle w:val="TableParagraph"/>
              <w:spacing w:line="273" w:lineRule="auto" w:before="7"/>
              <w:ind w:left="144" w:right="202" w:firstLine="420"/>
              <w:rPr>
                <w:sz w:val="21"/>
              </w:rPr>
            </w:pPr>
            <w:r>
              <w:rPr>
                <w:sz w:val="21"/>
              </w:rPr>
              <w:t>2.申请身故豁免保险费和身故保险金时，由受益人作为申请人书面提出保险金及豁免保险费申请，并提供下列证明和资料：</w:t>
            </w:r>
          </w:p>
          <w:p>
            <w:pPr>
              <w:pStyle w:val="TableParagraph"/>
              <w:spacing w:before="7"/>
              <w:rPr>
                <w:sz w:val="21"/>
              </w:rPr>
            </w:pPr>
            <w:r>
              <w:rPr>
                <w:sz w:val="21"/>
              </w:rPr>
              <w:t>（1）保险合同；</w:t>
            </w:r>
          </w:p>
          <w:p>
            <w:pPr>
              <w:pStyle w:val="TableParagraph"/>
              <w:spacing w:before="37"/>
              <w:rPr>
                <w:sz w:val="21"/>
              </w:rPr>
            </w:pPr>
            <w:r>
              <w:rPr>
                <w:sz w:val="21"/>
              </w:rPr>
              <w:t>（2）申请人的有效身份证件；</w:t>
            </w:r>
          </w:p>
          <w:p>
            <w:pPr>
              <w:pStyle w:val="TableParagraph"/>
              <w:spacing w:line="273" w:lineRule="auto" w:before="37"/>
              <w:ind w:left="144" w:right="101" w:firstLine="420"/>
              <w:rPr>
                <w:sz w:val="21"/>
              </w:rPr>
            </w:pPr>
            <w:r>
              <w:rPr>
                <w:sz w:val="21"/>
              </w:rPr>
              <w:t>（3）国家卫生行政部门认定的医疗机构、公安部门或其他相关机构出具的被保险人的死亡证明；</w:t>
            </w:r>
          </w:p>
          <w:p>
            <w:pPr>
              <w:pStyle w:val="TableParagraph"/>
              <w:spacing w:line="273" w:lineRule="auto" w:before="7"/>
              <w:ind w:left="144" w:right="101" w:firstLine="420"/>
              <w:rPr>
                <w:sz w:val="21"/>
              </w:rPr>
            </w:pPr>
            <w:r>
              <w:rPr>
                <w:sz w:val="21"/>
              </w:rPr>
              <w:t>（4）所能提供的与确认保险事故的性质、原因、伤害程度等有关的其他证明和资料。</w:t>
            </w:r>
          </w:p>
          <w:p>
            <w:pPr>
              <w:pStyle w:val="TableParagraph"/>
              <w:spacing w:before="7"/>
              <w:ind w:left="607"/>
              <w:rPr>
                <w:sz w:val="21"/>
              </w:rPr>
            </w:pPr>
            <w:r>
              <w:rPr>
                <w:sz w:val="21"/>
              </w:rPr>
              <w:t>保险金作为被保险人遗产时，须提供可证明合法继承权的相关权利文件。</w:t>
            </w:r>
          </w:p>
          <w:p>
            <w:pPr>
              <w:pStyle w:val="TableParagraph"/>
              <w:spacing w:line="273" w:lineRule="auto" w:before="37"/>
              <w:ind w:left="144" w:right="202" w:firstLine="420"/>
              <w:rPr>
                <w:sz w:val="21"/>
              </w:rPr>
            </w:pPr>
            <w:r>
              <w:rPr>
                <w:sz w:val="21"/>
              </w:rPr>
              <w:t>3.申请身体全残豁免保险费和身体全残保险金时，由被保险人作为申请人书面提出保险金及豁免保险费申请，并提供下列证明和资料：</w:t>
            </w:r>
          </w:p>
          <w:p>
            <w:pPr>
              <w:pStyle w:val="TableParagraph"/>
              <w:spacing w:before="8"/>
              <w:rPr>
                <w:sz w:val="21"/>
              </w:rPr>
            </w:pPr>
            <w:r>
              <w:rPr>
                <w:sz w:val="21"/>
              </w:rPr>
              <w:t>（1）保险合同；</w:t>
            </w:r>
          </w:p>
          <w:p>
            <w:pPr>
              <w:pStyle w:val="TableParagraph"/>
              <w:spacing w:before="37"/>
              <w:rPr>
                <w:sz w:val="21"/>
              </w:rPr>
            </w:pPr>
            <w:r>
              <w:rPr>
                <w:sz w:val="21"/>
              </w:rPr>
              <w:t>（2）被保险人的有效身份证件；</w:t>
            </w:r>
          </w:p>
          <w:p>
            <w:pPr>
              <w:pStyle w:val="TableParagraph"/>
              <w:spacing w:before="37"/>
              <w:rPr>
                <w:sz w:val="21"/>
              </w:rPr>
            </w:pPr>
            <w:r>
              <w:rPr>
                <w:sz w:val="21"/>
              </w:rPr>
              <w:t>（3）本公司</w:t>
            </w:r>
            <w:r>
              <w:rPr>
                <w:b/>
                <w:sz w:val="21"/>
              </w:rPr>
              <w:t>指定鉴定机构（详见释义）</w:t>
            </w:r>
            <w:r>
              <w:rPr>
                <w:sz w:val="21"/>
              </w:rPr>
              <w:t>出具的被保险人身体全残鉴定书；</w:t>
            </w:r>
          </w:p>
          <w:p>
            <w:pPr>
              <w:pStyle w:val="TableParagraph"/>
              <w:spacing w:line="273" w:lineRule="auto" w:before="37"/>
              <w:ind w:left="144" w:right="101" w:firstLine="420"/>
              <w:rPr>
                <w:sz w:val="21"/>
              </w:rPr>
            </w:pPr>
            <w:r>
              <w:rPr>
                <w:sz w:val="21"/>
              </w:rPr>
              <w:t>（4）所能提供的与确认保险事故的性质、原因、伤害程度等有关的其他证明和资料。</w:t>
            </w:r>
          </w:p>
          <w:p>
            <w:pPr>
              <w:pStyle w:val="TableParagraph"/>
              <w:spacing w:line="273" w:lineRule="auto" w:before="8"/>
              <w:ind w:left="144" w:right="103" w:firstLine="420"/>
              <w:rPr>
                <w:sz w:val="21"/>
              </w:rPr>
            </w:pPr>
            <w:r>
              <w:rPr>
                <w:sz w:val="21"/>
              </w:rPr>
              <w:t>4.</w:t>
            </w:r>
            <w:r>
              <w:rPr>
                <w:spacing w:val="-3"/>
                <w:sz w:val="21"/>
              </w:rPr>
              <w:t>如委托他人代为申请，还须填写《索赔申请书（含资料调阅授权书</w:t>
            </w:r>
            <w:r>
              <w:rPr>
                <w:spacing w:val="-108"/>
                <w:sz w:val="21"/>
              </w:rPr>
              <w:t>）</w:t>
            </w:r>
            <w:r>
              <w:rPr>
                <w:spacing w:val="-2"/>
                <w:sz w:val="21"/>
              </w:rPr>
              <w:t>》委托</w:t>
            </w:r>
            <w:r>
              <w:rPr>
                <w:spacing w:val="-3"/>
                <w:sz w:val="21"/>
              </w:rPr>
              <w:t>栏，并提供受托人有效身份证件。</w:t>
            </w:r>
          </w:p>
          <w:p>
            <w:pPr>
              <w:pStyle w:val="TableParagraph"/>
              <w:spacing w:before="7"/>
              <w:rPr>
                <w:sz w:val="21"/>
              </w:rPr>
            </w:pPr>
            <w:r>
              <w:rPr>
                <w:sz w:val="21"/>
              </w:rPr>
              <w:t>5.本公司认为有关证明和资料不完整的，将及时一次性通知申请人补充提供。</w:t>
            </w:r>
          </w:p>
        </w:tc>
      </w:tr>
      <w:tr>
        <w:trPr>
          <w:trHeight w:val="1584" w:hRule="atLeast"/>
        </w:trPr>
        <w:tc>
          <w:tcPr>
            <w:tcW w:w="465" w:type="dxa"/>
          </w:tcPr>
          <w:p>
            <w:pPr>
              <w:pStyle w:val="TableParagraph"/>
              <w:ind w:left="87" w:right="20"/>
              <w:jc w:val="center"/>
              <w:rPr>
                <w:b/>
                <w:sz w:val="21"/>
              </w:rPr>
            </w:pPr>
            <w:r>
              <w:rPr>
                <w:b/>
                <w:sz w:val="21"/>
              </w:rPr>
              <w:t>4.3</w:t>
            </w:r>
          </w:p>
        </w:tc>
        <w:tc>
          <w:tcPr>
            <w:tcW w:w="1628" w:type="dxa"/>
          </w:tcPr>
          <w:p>
            <w:pPr>
              <w:pStyle w:val="TableParagraph"/>
              <w:ind w:left="639"/>
              <w:rPr>
                <w:b/>
                <w:sz w:val="21"/>
              </w:rPr>
            </w:pPr>
            <w:r>
              <w:rPr>
                <w:b/>
                <w:sz w:val="21"/>
              </w:rPr>
              <w:t>诉讼时效</w:t>
            </w:r>
          </w:p>
        </w:tc>
        <w:tc>
          <w:tcPr>
            <w:tcW w:w="7706" w:type="dxa"/>
          </w:tcPr>
          <w:p>
            <w:pPr>
              <w:pStyle w:val="TableParagraph"/>
              <w:spacing w:line="273" w:lineRule="auto"/>
              <w:ind w:left="144" w:right="106" w:firstLine="420"/>
              <w:rPr>
                <w:sz w:val="21"/>
              </w:rPr>
            </w:pPr>
            <w:r>
              <w:rPr>
                <w:sz w:val="21"/>
              </w:rPr>
              <w:t>受益人向本公司请求给付身故或身体全残保险金、身故或身体全残豁免保险费的诉讼时效期间为 5 年，自其知道或者应当知道保险事故发生之日起计算。</w:t>
            </w:r>
          </w:p>
          <w:p>
            <w:pPr>
              <w:pStyle w:val="TableParagraph"/>
              <w:spacing w:line="273" w:lineRule="auto" w:before="7"/>
              <w:ind w:left="144" w:right="101" w:firstLine="420"/>
              <w:rPr>
                <w:sz w:val="21"/>
              </w:rPr>
            </w:pPr>
            <w:r>
              <w:rPr>
                <w:sz w:val="21"/>
              </w:rPr>
              <w:t>受益人向本公司请求给付其他保险金的诉讼时效期间为 2 年，自其知道或者应当知道保险事故发生之日起计算。</w:t>
            </w:r>
          </w:p>
        </w:tc>
      </w:tr>
      <w:tr>
        <w:trPr>
          <w:trHeight w:val="754" w:hRule="atLeast"/>
        </w:trPr>
        <w:tc>
          <w:tcPr>
            <w:tcW w:w="465" w:type="dxa"/>
            <w:tcBorders>
              <w:bottom w:val="single" w:sz="8" w:space="0" w:color="000000"/>
            </w:tcBorders>
          </w:tcPr>
          <w:p>
            <w:pPr>
              <w:pStyle w:val="TableParagraph"/>
              <w:spacing w:before="194"/>
              <w:ind w:left="108" w:right="-15"/>
              <w:jc w:val="center"/>
              <w:rPr>
                <w:rFonts w:ascii="Arial" w:hAnsi="Arial"/>
                <w:b/>
                <w:sz w:val="40"/>
              </w:rPr>
            </w:pPr>
            <w:r>
              <w:rPr>
                <w:rFonts w:ascii="Arial" w:hAnsi="Arial"/>
                <w:b/>
                <w:w w:val="119"/>
                <w:sz w:val="40"/>
              </w:rPr>
              <w:t></w:t>
            </w:r>
          </w:p>
        </w:tc>
        <w:tc>
          <w:tcPr>
            <w:tcW w:w="9334" w:type="dxa"/>
            <w:gridSpan w:val="2"/>
            <w:tcBorders>
              <w:bottom w:val="single" w:sz="8" w:space="0" w:color="000000"/>
            </w:tcBorders>
          </w:tcPr>
          <w:p>
            <w:pPr>
              <w:pStyle w:val="TableParagraph"/>
              <w:spacing w:before="4"/>
              <w:ind w:left="0"/>
              <w:rPr>
                <w:rFonts w:ascii="Times New Roman"/>
                <w:sz w:val="21"/>
              </w:rPr>
            </w:pPr>
          </w:p>
          <w:p>
            <w:pPr>
              <w:pStyle w:val="TableParagraph"/>
              <w:spacing w:before="0"/>
              <w:ind w:left="639"/>
              <w:rPr>
                <w:b/>
                <w:sz w:val="24"/>
              </w:rPr>
            </w:pPr>
            <w:r>
              <w:rPr>
                <w:b/>
                <w:w w:val="95"/>
                <w:sz w:val="24"/>
              </w:rPr>
              <w:t>其他需要关注的事项</w:t>
            </w:r>
          </w:p>
        </w:tc>
      </w:tr>
    </w:tbl>
    <w:p>
      <w:pPr>
        <w:spacing w:after="0"/>
        <w:rPr>
          <w:sz w:val="24"/>
        </w:rPr>
        <w:sectPr>
          <w:pgSz w:w="11910" w:h="16840"/>
          <w:pgMar w:header="871" w:footer="992" w:top="1060" w:bottom="1180" w:left="760" w:right="1120"/>
        </w:sectPr>
      </w:pPr>
    </w:p>
    <w:p>
      <w:pPr>
        <w:pStyle w:val="BodyText"/>
        <w:rPr>
          <w:rFonts w:ascii="Times New Roman"/>
          <w:sz w:val="2"/>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0"/>
        <w:gridCol w:w="1223"/>
        <w:gridCol w:w="7706"/>
      </w:tblGrid>
      <w:tr>
        <w:trPr>
          <w:trHeight w:val="2021" w:hRule="atLeast"/>
        </w:trPr>
        <w:tc>
          <w:tcPr>
            <w:tcW w:w="870" w:type="dxa"/>
            <w:tcBorders>
              <w:top w:val="single" w:sz="18" w:space="0" w:color="000000"/>
            </w:tcBorders>
          </w:tcPr>
          <w:p>
            <w:pPr>
              <w:pStyle w:val="TableParagraph"/>
              <w:spacing w:before="2"/>
              <w:ind w:left="0"/>
              <w:rPr>
                <w:rFonts w:ascii="Times New Roman"/>
                <w:sz w:val="23"/>
              </w:rPr>
            </w:pPr>
          </w:p>
          <w:p>
            <w:pPr>
              <w:pStyle w:val="TableParagraph"/>
              <w:spacing w:before="0"/>
              <w:ind w:left="108"/>
              <w:rPr>
                <w:b/>
                <w:sz w:val="21"/>
              </w:rPr>
            </w:pPr>
            <w:r>
              <w:rPr>
                <w:b/>
                <w:sz w:val="21"/>
              </w:rPr>
              <w:t>5.1</w:t>
            </w:r>
          </w:p>
        </w:tc>
        <w:tc>
          <w:tcPr>
            <w:tcW w:w="1223" w:type="dxa"/>
            <w:tcBorders>
              <w:top w:val="single" w:sz="18" w:space="0" w:color="000000"/>
            </w:tcBorders>
          </w:tcPr>
          <w:p>
            <w:pPr>
              <w:pStyle w:val="TableParagraph"/>
              <w:spacing w:before="2"/>
              <w:ind w:left="0"/>
              <w:rPr>
                <w:rFonts w:ascii="Times New Roman"/>
                <w:sz w:val="23"/>
              </w:rPr>
            </w:pPr>
          </w:p>
          <w:p>
            <w:pPr>
              <w:pStyle w:val="TableParagraph"/>
              <w:spacing w:before="0"/>
              <w:ind w:left="234"/>
              <w:rPr>
                <w:b/>
                <w:sz w:val="21"/>
              </w:rPr>
            </w:pPr>
            <w:r>
              <w:rPr>
                <w:b/>
                <w:sz w:val="21"/>
              </w:rPr>
              <w:t>失踪处理</w:t>
            </w:r>
          </w:p>
        </w:tc>
        <w:tc>
          <w:tcPr>
            <w:tcW w:w="7706" w:type="dxa"/>
            <w:tcBorders>
              <w:top w:val="single" w:sz="18" w:space="0" w:color="000000"/>
            </w:tcBorders>
          </w:tcPr>
          <w:p>
            <w:pPr>
              <w:pStyle w:val="TableParagraph"/>
              <w:spacing w:before="2"/>
              <w:ind w:left="0"/>
              <w:rPr>
                <w:rFonts w:ascii="Times New Roman"/>
                <w:sz w:val="23"/>
              </w:rPr>
            </w:pPr>
          </w:p>
          <w:p>
            <w:pPr>
              <w:pStyle w:val="TableParagraph"/>
              <w:spacing w:line="273" w:lineRule="auto" w:before="0"/>
              <w:ind w:left="144" w:right="202" w:firstLine="420"/>
              <w:rPr>
                <w:sz w:val="21"/>
              </w:rPr>
            </w:pPr>
            <w:r>
              <w:rPr>
                <w:sz w:val="21"/>
              </w:rPr>
              <w:t>被保险人在本合同保险期间内失踪，并经人民法院宣告死亡，本公司依据人民法院的宣告死亡判决及宣告死亡日，按本合同规定给付保险金。</w:t>
            </w:r>
          </w:p>
          <w:p>
            <w:pPr>
              <w:pStyle w:val="TableParagraph"/>
              <w:spacing w:line="273" w:lineRule="auto" w:before="7"/>
              <w:ind w:left="144" w:right="103" w:firstLine="420"/>
              <w:rPr>
                <w:sz w:val="21"/>
              </w:rPr>
            </w:pPr>
            <w:r>
              <w:rPr>
                <w:spacing w:val="-3"/>
                <w:sz w:val="21"/>
              </w:rPr>
              <w:t>如日后被保险人重新出现或确知其没有死亡，保险金领取人应将已领取的保</w:t>
            </w:r>
            <w:r>
              <w:rPr>
                <w:spacing w:val="-5"/>
                <w:sz w:val="21"/>
              </w:rPr>
              <w:t>险金于被保险人重新出现或确知其没有死亡之日起 </w:t>
            </w:r>
            <w:r>
              <w:rPr>
                <w:sz w:val="21"/>
              </w:rPr>
              <w:t>30</w:t>
            </w:r>
            <w:r>
              <w:rPr>
                <w:spacing w:val="-7"/>
                <w:sz w:val="21"/>
              </w:rPr>
              <w:t> 日内退还本公司，本合同的</w:t>
            </w:r>
            <w:r>
              <w:rPr>
                <w:spacing w:val="-5"/>
                <w:sz w:val="21"/>
              </w:rPr>
              <w:t>效力由您和本公司依法协商处理。</w:t>
            </w:r>
          </w:p>
        </w:tc>
      </w:tr>
      <w:tr>
        <w:trPr>
          <w:trHeight w:val="753" w:hRule="atLeast"/>
        </w:trPr>
        <w:tc>
          <w:tcPr>
            <w:tcW w:w="870" w:type="dxa"/>
            <w:tcBorders>
              <w:bottom w:val="single" w:sz="8" w:space="0" w:color="000000"/>
            </w:tcBorders>
          </w:tcPr>
          <w:p>
            <w:pPr>
              <w:pStyle w:val="TableParagraph"/>
              <w:spacing w:before="194"/>
              <w:ind w:left="108"/>
              <w:rPr>
                <w:rFonts w:ascii="Arial" w:hAnsi="Arial"/>
                <w:b/>
                <w:sz w:val="40"/>
              </w:rPr>
            </w:pPr>
            <w:r>
              <w:rPr>
                <w:rFonts w:ascii="Arial" w:hAnsi="Arial"/>
                <w:b/>
                <w:w w:val="119"/>
                <w:sz w:val="40"/>
              </w:rPr>
              <w:t></w:t>
            </w:r>
          </w:p>
        </w:tc>
        <w:tc>
          <w:tcPr>
            <w:tcW w:w="1223" w:type="dxa"/>
            <w:tcBorders>
              <w:bottom w:val="single" w:sz="8" w:space="0" w:color="000000"/>
            </w:tcBorders>
          </w:tcPr>
          <w:p>
            <w:pPr>
              <w:pStyle w:val="TableParagraph"/>
              <w:spacing w:before="4"/>
              <w:ind w:left="0"/>
              <w:rPr>
                <w:rFonts w:ascii="Times New Roman"/>
                <w:sz w:val="21"/>
              </w:rPr>
            </w:pPr>
          </w:p>
          <w:p>
            <w:pPr>
              <w:pStyle w:val="TableParagraph"/>
              <w:spacing w:before="0"/>
              <w:ind w:left="234"/>
              <w:rPr>
                <w:b/>
                <w:sz w:val="24"/>
              </w:rPr>
            </w:pPr>
            <w:r>
              <w:rPr>
                <w:b/>
                <w:sz w:val="24"/>
              </w:rPr>
              <w:t>释义</w:t>
            </w:r>
          </w:p>
        </w:tc>
        <w:tc>
          <w:tcPr>
            <w:tcW w:w="7706" w:type="dxa"/>
            <w:tcBorders>
              <w:bottom w:val="single" w:sz="8" w:space="0" w:color="000000"/>
            </w:tcBorders>
          </w:tcPr>
          <w:p>
            <w:pPr>
              <w:pStyle w:val="TableParagraph"/>
              <w:spacing w:before="0"/>
              <w:ind w:left="0"/>
              <w:rPr>
                <w:rFonts w:ascii="Times New Roman"/>
                <w:sz w:val="20"/>
              </w:rPr>
            </w:pPr>
          </w:p>
        </w:tc>
      </w:tr>
      <w:tr>
        <w:trPr>
          <w:trHeight w:val="780" w:hRule="atLeast"/>
        </w:trPr>
        <w:tc>
          <w:tcPr>
            <w:tcW w:w="870" w:type="dxa"/>
            <w:tcBorders>
              <w:top w:val="single" w:sz="8" w:space="0" w:color="000000"/>
            </w:tcBorders>
          </w:tcPr>
          <w:p>
            <w:pPr>
              <w:pStyle w:val="TableParagraph"/>
              <w:spacing w:line="262" w:lineRule="exact" w:before="0"/>
              <w:ind w:left="108"/>
              <w:rPr>
                <w:b/>
                <w:sz w:val="21"/>
              </w:rPr>
            </w:pPr>
            <w:r>
              <w:rPr>
                <w:b/>
                <w:sz w:val="21"/>
              </w:rPr>
              <w:t>6.1</w:t>
            </w:r>
          </w:p>
        </w:tc>
        <w:tc>
          <w:tcPr>
            <w:tcW w:w="1223" w:type="dxa"/>
            <w:tcBorders>
              <w:top w:val="single" w:sz="8" w:space="0" w:color="000000"/>
            </w:tcBorders>
          </w:tcPr>
          <w:p>
            <w:pPr>
              <w:pStyle w:val="TableParagraph"/>
              <w:spacing w:line="262" w:lineRule="exact" w:before="0"/>
              <w:ind w:left="234"/>
              <w:rPr>
                <w:b/>
                <w:sz w:val="21"/>
              </w:rPr>
            </w:pPr>
            <w:r>
              <w:rPr>
                <w:b/>
                <w:sz w:val="21"/>
              </w:rPr>
              <w:t>周岁</w:t>
            </w:r>
          </w:p>
        </w:tc>
        <w:tc>
          <w:tcPr>
            <w:tcW w:w="7706" w:type="dxa"/>
            <w:tcBorders>
              <w:top w:val="single" w:sz="8" w:space="0" w:color="000000"/>
            </w:tcBorders>
          </w:tcPr>
          <w:p>
            <w:pPr>
              <w:pStyle w:val="TableParagraph"/>
              <w:spacing w:line="273" w:lineRule="auto" w:before="0"/>
              <w:ind w:left="144" w:right="-15" w:firstLine="420"/>
              <w:rPr>
                <w:sz w:val="21"/>
              </w:rPr>
            </w:pPr>
            <w:r>
              <w:rPr>
                <w:spacing w:val="-3"/>
                <w:sz w:val="21"/>
              </w:rPr>
              <w:t>以法定有效身份证件中记载的出生日期为计算基础，自出生之日起为零周岁， 每经过一年增加一岁，不足一年的不计。</w:t>
            </w:r>
          </w:p>
        </w:tc>
      </w:tr>
      <w:tr>
        <w:trPr>
          <w:trHeight w:val="1872" w:hRule="atLeast"/>
        </w:trPr>
        <w:tc>
          <w:tcPr>
            <w:tcW w:w="870" w:type="dxa"/>
          </w:tcPr>
          <w:p>
            <w:pPr>
              <w:pStyle w:val="TableParagraph"/>
              <w:spacing w:before="143"/>
              <w:ind w:left="108"/>
              <w:rPr>
                <w:b/>
                <w:sz w:val="21"/>
              </w:rPr>
            </w:pPr>
            <w:r>
              <w:rPr>
                <w:b/>
                <w:sz w:val="21"/>
              </w:rPr>
              <w:t>6.2</w:t>
            </w:r>
          </w:p>
        </w:tc>
        <w:tc>
          <w:tcPr>
            <w:tcW w:w="1223" w:type="dxa"/>
          </w:tcPr>
          <w:p>
            <w:pPr>
              <w:pStyle w:val="TableParagraph"/>
              <w:spacing w:before="143"/>
              <w:ind w:left="234"/>
              <w:rPr>
                <w:b/>
                <w:sz w:val="21"/>
              </w:rPr>
            </w:pPr>
            <w:r>
              <w:rPr>
                <w:b/>
                <w:sz w:val="21"/>
              </w:rPr>
              <w:t>现金价值</w:t>
            </w:r>
          </w:p>
        </w:tc>
        <w:tc>
          <w:tcPr>
            <w:tcW w:w="7706" w:type="dxa"/>
          </w:tcPr>
          <w:p>
            <w:pPr>
              <w:pStyle w:val="TableParagraph"/>
              <w:spacing w:line="273" w:lineRule="auto" w:before="143"/>
              <w:ind w:left="144" w:right="202" w:firstLine="420"/>
              <w:jc w:val="both"/>
              <w:rPr>
                <w:sz w:val="21"/>
              </w:rPr>
            </w:pPr>
            <w:r>
              <w:rPr>
                <w:sz w:val="21"/>
              </w:rPr>
              <w:t>指保险单所具有的价值，通常体现为解除合同时，根据精算原理计算的，由本公司退还的那部分金额。保单年度末的现金价值金额在现金价值表上载明，保单年度之内的现金价值金额您可以向我们查询。</w:t>
            </w:r>
          </w:p>
          <w:p>
            <w:pPr>
              <w:pStyle w:val="TableParagraph"/>
              <w:spacing w:line="273" w:lineRule="auto" w:before="8"/>
              <w:ind w:left="144" w:right="197" w:firstLine="422"/>
              <w:jc w:val="both"/>
              <w:rPr>
                <w:sz w:val="21"/>
              </w:rPr>
            </w:pPr>
            <w:r>
              <w:rPr>
                <w:b/>
                <w:sz w:val="21"/>
              </w:rPr>
              <w:t>保单年度</w:t>
            </w:r>
            <w:r>
              <w:rPr>
                <w:sz w:val="21"/>
              </w:rPr>
              <w:t>：从保单生效日或保单生效对应日零时起至下一年度保单生效对应日零时止为一个保单年度。</w:t>
            </w:r>
          </w:p>
        </w:tc>
      </w:tr>
      <w:tr>
        <w:trPr>
          <w:trHeight w:val="1248" w:hRule="atLeast"/>
        </w:trPr>
        <w:tc>
          <w:tcPr>
            <w:tcW w:w="870" w:type="dxa"/>
          </w:tcPr>
          <w:p>
            <w:pPr>
              <w:pStyle w:val="TableParagraph"/>
              <w:ind w:left="108"/>
              <w:rPr>
                <w:b/>
                <w:sz w:val="21"/>
              </w:rPr>
            </w:pPr>
            <w:r>
              <w:rPr>
                <w:b/>
                <w:sz w:val="21"/>
              </w:rPr>
              <w:t>6.3</w:t>
            </w:r>
          </w:p>
        </w:tc>
        <w:tc>
          <w:tcPr>
            <w:tcW w:w="1223" w:type="dxa"/>
          </w:tcPr>
          <w:p>
            <w:pPr>
              <w:pStyle w:val="TableParagraph"/>
              <w:ind w:left="234"/>
              <w:rPr>
                <w:b/>
                <w:sz w:val="21"/>
              </w:rPr>
            </w:pPr>
            <w:r>
              <w:rPr>
                <w:b/>
                <w:sz w:val="21"/>
              </w:rPr>
              <w:t>认可医院</w:t>
            </w:r>
          </w:p>
        </w:tc>
        <w:tc>
          <w:tcPr>
            <w:tcW w:w="7706" w:type="dxa"/>
          </w:tcPr>
          <w:p>
            <w:pPr>
              <w:pStyle w:val="TableParagraph"/>
              <w:spacing w:line="273" w:lineRule="auto"/>
              <w:ind w:left="144" w:right="202" w:firstLine="420"/>
              <w:rPr>
                <w:sz w:val="21"/>
              </w:rPr>
            </w:pPr>
            <w:r>
              <w:rPr>
                <w:sz w:val="21"/>
              </w:rPr>
              <w:t>指二级及以上非盈利性医院、二级及以上社保定点医院或本公司认可的其他医院。具体可咨询本公司全国客户服务电话或登陆本公司主页</w:t>
            </w:r>
          </w:p>
          <w:p>
            <w:pPr>
              <w:pStyle w:val="TableParagraph"/>
              <w:spacing w:before="7"/>
              <w:ind w:left="144"/>
              <w:rPr>
                <w:sz w:val="21"/>
              </w:rPr>
            </w:pPr>
            <w:hyperlink r:id="rId15">
              <w:r>
                <w:rPr>
                  <w:sz w:val="21"/>
                </w:rPr>
                <w:t>（www.tianan-life.com</w:t>
              </w:r>
            </w:hyperlink>
            <w:r>
              <w:rPr>
                <w:sz w:val="21"/>
              </w:rPr>
              <w:t>）查询。</w:t>
            </w:r>
          </w:p>
        </w:tc>
      </w:tr>
      <w:tr>
        <w:trPr>
          <w:trHeight w:val="2184" w:hRule="atLeast"/>
        </w:trPr>
        <w:tc>
          <w:tcPr>
            <w:tcW w:w="870" w:type="dxa"/>
          </w:tcPr>
          <w:p>
            <w:pPr>
              <w:pStyle w:val="TableParagraph"/>
              <w:spacing w:before="143"/>
              <w:ind w:left="108"/>
              <w:rPr>
                <w:b/>
                <w:sz w:val="21"/>
              </w:rPr>
            </w:pPr>
            <w:r>
              <w:rPr>
                <w:b/>
                <w:sz w:val="21"/>
              </w:rPr>
              <w:t>6.4</w:t>
            </w:r>
          </w:p>
        </w:tc>
        <w:tc>
          <w:tcPr>
            <w:tcW w:w="1223" w:type="dxa"/>
          </w:tcPr>
          <w:p>
            <w:pPr>
              <w:pStyle w:val="TableParagraph"/>
              <w:spacing w:before="143"/>
              <w:ind w:left="234"/>
              <w:rPr>
                <w:b/>
                <w:sz w:val="21"/>
              </w:rPr>
            </w:pPr>
            <w:r>
              <w:rPr>
                <w:b/>
                <w:sz w:val="21"/>
              </w:rPr>
              <w:t>专科医生</w:t>
            </w:r>
          </w:p>
        </w:tc>
        <w:tc>
          <w:tcPr>
            <w:tcW w:w="7706" w:type="dxa"/>
          </w:tcPr>
          <w:p>
            <w:pPr>
              <w:pStyle w:val="TableParagraph"/>
              <w:spacing w:before="143"/>
              <w:rPr>
                <w:sz w:val="21"/>
              </w:rPr>
            </w:pPr>
            <w:r>
              <w:rPr>
                <w:sz w:val="21"/>
              </w:rPr>
              <w:t>专科医生应当同时满足以下四项资格条件：</w:t>
            </w:r>
          </w:p>
          <w:p>
            <w:pPr>
              <w:pStyle w:val="TableParagraph"/>
              <w:spacing w:before="37"/>
              <w:ind w:left="583"/>
              <w:rPr>
                <w:sz w:val="21"/>
              </w:rPr>
            </w:pPr>
            <w:r>
              <w:rPr>
                <w:sz w:val="21"/>
              </w:rPr>
              <w:t>1.具有有效的中华人民共和国《医师资格证书》；</w:t>
            </w:r>
          </w:p>
          <w:p>
            <w:pPr>
              <w:pStyle w:val="TableParagraph"/>
              <w:spacing w:before="37"/>
              <w:ind w:left="583"/>
              <w:rPr>
                <w:sz w:val="21"/>
              </w:rPr>
            </w:pPr>
            <w:r>
              <w:rPr>
                <w:sz w:val="21"/>
              </w:rPr>
              <w:t>2.</w:t>
            </w:r>
            <w:r>
              <w:rPr>
                <w:spacing w:val="-17"/>
                <w:sz w:val="21"/>
              </w:rPr>
              <w:t>具有有效的中华人民共和国《医师执业证书》，并按期到相关部门登记注册；</w:t>
            </w:r>
          </w:p>
          <w:p>
            <w:pPr>
              <w:pStyle w:val="TableParagraph"/>
              <w:spacing w:line="273" w:lineRule="auto" w:before="37"/>
              <w:ind w:left="372" w:right="112" w:firstLine="211"/>
              <w:rPr>
                <w:sz w:val="21"/>
              </w:rPr>
            </w:pPr>
            <w:r>
              <w:rPr>
                <w:sz w:val="21"/>
              </w:rPr>
              <w:t>3.具有有效的中华人民共和国主治医师或主治医师以上职称的《医师职称证书》；</w:t>
            </w:r>
          </w:p>
          <w:p>
            <w:pPr>
              <w:pStyle w:val="TableParagraph"/>
              <w:spacing w:before="7"/>
              <w:rPr>
                <w:sz w:val="21"/>
              </w:rPr>
            </w:pPr>
            <w:r>
              <w:rPr>
                <w:sz w:val="21"/>
              </w:rPr>
              <w:t>4.在二级或二级以上医院的相应科室从事临床工作三年以上。</w:t>
            </w:r>
          </w:p>
        </w:tc>
      </w:tr>
      <w:tr>
        <w:trPr>
          <w:trHeight w:val="1248" w:hRule="atLeast"/>
        </w:trPr>
        <w:tc>
          <w:tcPr>
            <w:tcW w:w="870" w:type="dxa"/>
          </w:tcPr>
          <w:p>
            <w:pPr>
              <w:pStyle w:val="TableParagraph"/>
              <w:ind w:left="108"/>
              <w:rPr>
                <w:b/>
                <w:sz w:val="21"/>
              </w:rPr>
            </w:pPr>
            <w:r>
              <w:rPr>
                <w:b/>
                <w:sz w:val="21"/>
              </w:rPr>
              <w:t>6.5</w:t>
            </w:r>
          </w:p>
        </w:tc>
        <w:tc>
          <w:tcPr>
            <w:tcW w:w="1223" w:type="dxa"/>
          </w:tcPr>
          <w:p>
            <w:pPr>
              <w:pStyle w:val="TableParagraph"/>
              <w:ind w:left="234"/>
              <w:rPr>
                <w:b/>
                <w:sz w:val="21"/>
              </w:rPr>
            </w:pPr>
            <w:r>
              <w:rPr>
                <w:b/>
                <w:sz w:val="21"/>
              </w:rPr>
              <w:t>初次发生</w:t>
            </w:r>
          </w:p>
        </w:tc>
        <w:tc>
          <w:tcPr>
            <w:tcW w:w="7706" w:type="dxa"/>
          </w:tcPr>
          <w:p>
            <w:pPr>
              <w:pStyle w:val="TableParagraph"/>
              <w:spacing w:line="273" w:lineRule="auto"/>
              <w:ind w:left="144" w:right="202" w:firstLine="420"/>
              <w:jc w:val="both"/>
              <w:rPr>
                <w:sz w:val="21"/>
              </w:rPr>
            </w:pPr>
            <w:r>
              <w:rPr>
                <w:sz w:val="21"/>
              </w:rPr>
              <w:t>指被保险人初次出现与约定疾病相关的症状或体征，而该症状或体征已足以引起一般人士注意并去医院寻求医疗检查，且被诊断为约定的疾病或在其后发展为约定的疾病。</w:t>
            </w:r>
          </w:p>
        </w:tc>
      </w:tr>
      <w:tr>
        <w:trPr>
          <w:trHeight w:val="1248" w:hRule="atLeast"/>
        </w:trPr>
        <w:tc>
          <w:tcPr>
            <w:tcW w:w="870" w:type="dxa"/>
          </w:tcPr>
          <w:p>
            <w:pPr>
              <w:pStyle w:val="TableParagraph"/>
              <w:spacing w:before="143"/>
              <w:ind w:left="108"/>
              <w:rPr>
                <w:b/>
                <w:sz w:val="21"/>
              </w:rPr>
            </w:pPr>
            <w:r>
              <w:rPr>
                <w:b/>
                <w:sz w:val="21"/>
              </w:rPr>
              <w:t>6.6</w:t>
            </w:r>
          </w:p>
        </w:tc>
        <w:tc>
          <w:tcPr>
            <w:tcW w:w="1223" w:type="dxa"/>
          </w:tcPr>
          <w:p>
            <w:pPr>
              <w:pStyle w:val="TableParagraph"/>
              <w:spacing w:line="273" w:lineRule="auto" w:before="143"/>
              <w:ind w:left="234" w:right="141"/>
              <w:jc w:val="both"/>
              <w:rPr>
                <w:b/>
                <w:sz w:val="21"/>
              </w:rPr>
            </w:pPr>
            <w:r>
              <w:rPr>
                <w:b/>
                <w:sz w:val="21"/>
              </w:rPr>
              <w:t>本合同所指的重大疾病</w:t>
            </w:r>
          </w:p>
        </w:tc>
        <w:tc>
          <w:tcPr>
            <w:tcW w:w="7706" w:type="dxa"/>
          </w:tcPr>
          <w:p>
            <w:pPr>
              <w:pStyle w:val="TableParagraph"/>
              <w:spacing w:line="273" w:lineRule="auto" w:before="143"/>
              <w:ind w:left="144" w:right="202" w:firstLine="420"/>
              <w:rPr>
                <w:sz w:val="21"/>
              </w:rPr>
            </w:pPr>
            <w:r>
              <w:rPr>
                <w:spacing w:val="-3"/>
                <w:w w:val="100"/>
                <w:sz w:val="21"/>
              </w:rPr>
              <w:t>本合同所指的重大疾病（</w:t>
            </w:r>
            <w:r>
              <w:rPr>
                <w:w w:val="100"/>
                <w:sz w:val="21"/>
              </w:rPr>
              <w:t>共</w:t>
            </w:r>
            <w:r>
              <w:rPr>
                <w:spacing w:val="-52"/>
                <w:sz w:val="21"/>
              </w:rPr>
              <w:t> </w:t>
            </w:r>
            <w:r>
              <w:rPr>
                <w:w w:val="100"/>
                <w:sz w:val="21"/>
              </w:rPr>
              <w:t>85</w:t>
            </w:r>
            <w:r>
              <w:rPr>
                <w:spacing w:val="-55"/>
                <w:sz w:val="21"/>
              </w:rPr>
              <w:t> </w:t>
            </w:r>
            <w:r>
              <w:rPr>
                <w:w w:val="100"/>
                <w:sz w:val="21"/>
              </w:rPr>
              <w:t>种</w:t>
            </w:r>
            <w:r>
              <w:rPr>
                <w:spacing w:val="-106"/>
                <w:w w:val="100"/>
                <w:sz w:val="21"/>
              </w:rPr>
              <w:t>）</w:t>
            </w:r>
            <w:r>
              <w:rPr>
                <w:spacing w:val="-3"/>
                <w:w w:val="100"/>
                <w:sz w:val="21"/>
              </w:rPr>
              <w:t>，是指符合下列定义的疾病、疾病状态或</w:t>
            </w:r>
            <w:r>
              <w:rPr>
                <w:spacing w:val="-3"/>
                <w:sz w:val="21"/>
              </w:rPr>
              <w:t>手术：</w:t>
            </w:r>
          </w:p>
        </w:tc>
      </w:tr>
      <w:tr>
        <w:trPr>
          <w:trHeight w:val="2649" w:hRule="atLeast"/>
        </w:trPr>
        <w:tc>
          <w:tcPr>
            <w:tcW w:w="870" w:type="dxa"/>
          </w:tcPr>
          <w:p>
            <w:pPr>
              <w:pStyle w:val="TableParagraph"/>
              <w:ind w:left="108"/>
              <w:rPr>
                <w:b/>
                <w:sz w:val="21"/>
              </w:rPr>
            </w:pPr>
            <w:r>
              <w:rPr>
                <w:b/>
                <w:sz w:val="21"/>
              </w:rPr>
              <w:t>6.6.1</w:t>
            </w:r>
          </w:p>
        </w:tc>
        <w:tc>
          <w:tcPr>
            <w:tcW w:w="1223" w:type="dxa"/>
          </w:tcPr>
          <w:p>
            <w:pPr>
              <w:pStyle w:val="TableParagraph"/>
              <w:ind w:left="234"/>
              <w:rPr>
                <w:b/>
                <w:sz w:val="21"/>
              </w:rPr>
            </w:pPr>
            <w:r>
              <w:rPr>
                <w:b/>
                <w:sz w:val="21"/>
              </w:rPr>
              <w:t>恶性肿瘤</w:t>
            </w:r>
          </w:p>
        </w:tc>
        <w:tc>
          <w:tcPr>
            <w:tcW w:w="7706" w:type="dxa"/>
          </w:tcPr>
          <w:p>
            <w:pPr>
              <w:pStyle w:val="TableParagraph"/>
              <w:spacing w:line="273" w:lineRule="auto"/>
              <w:ind w:left="144" w:right="202" w:firstLine="420"/>
              <w:jc w:val="both"/>
              <w:rPr>
                <w:sz w:val="21"/>
              </w:rPr>
            </w:pPr>
            <w:r>
              <w:rPr>
                <w:sz w:val="21"/>
              </w:rPr>
              <w:t>指恶性细胞不受控制的进行性增长和扩散，浸润和破坏周围正常组织，可以经血管、淋巴管和体腔扩散转移到身体其他部位的疾病。经病理学检查结果明确诊断，临床诊断属于世界卫生组织《疾病和有关健康问题的国际统计分类》</w:t>
            </w:r>
          </w:p>
          <w:p>
            <w:pPr>
              <w:pStyle w:val="TableParagraph"/>
              <w:spacing w:line="292" w:lineRule="auto" w:before="7"/>
              <w:ind w:left="566" w:right="4607" w:hanging="423"/>
              <w:rPr>
                <w:b/>
                <w:sz w:val="21"/>
              </w:rPr>
            </w:pPr>
            <w:r>
              <w:rPr>
                <w:sz w:val="21"/>
              </w:rPr>
              <w:t>（ICD-10）</w:t>
            </w:r>
            <w:r>
              <w:rPr>
                <w:spacing w:val="-3"/>
                <w:sz w:val="21"/>
              </w:rPr>
              <w:t>的恶性肿瘤范畴。 </w:t>
            </w:r>
            <w:r>
              <w:rPr>
                <w:b/>
                <w:spacing w:val="-3"/>
                <w:sz w:val="21"/>
              </w:rPr>
              <w:t>下列疾病不在保障范围内：</w:t>
            </w:r>
          </w:p>
          <w:p>
            <w:pPr>
              <w:pStyle w:val="TableParagraph"/>
              <w:spacing w:line="273" w:lineRule="exact" w:before="0"/>
              <w:ind w:left="566"/>
              <w:rPr>
                <w:b/>
                <w:sz w:val="21"/>
              </w:rPr>
            </w:pPr>
            <w:r>
              <w:rPr>
                <w:b/>
                <w:sz w:val="21"/>
              </w:rPr>
              <w:t>1.原位癌；</w:t>
            </w:r>
          </w:p>
          <w:p>
            <w:pPr>
              <w:pStyle w:val="TableParagraph"/>
              <w:spacing w:before="47"/>
              <w:ind w:left="566"/>
              <w:rPr>
                <w:b/>
                <w:sz w:val="21"/>
              </w:rPr>
            </w:pPr>
            <w:r>
              <w:rPr>
                <w:b/>
                <w:sz w:val="21"/>
              </w:rPr>
              <w:t>2.相当于 Binet 分期方案 A 期程度的慢性淋巴细胞白血病；</w:t>
            </w:r>
          </w:p>
          <w:p>
            <w:pPr>
              <w:pStyle w:val="TableParagraph"/>
              <w:spacing w:line="255" w:lineRule="exact" w:before="44"/>
              <w:ind w:left="566"/>
              <w:rPr>
                <w:b/>
                <w:sz w:val="21"/>
              </w:rPr>
            </w:pPr>
            <w:r>
              <w:rPr>
                <w:b/>
                <w:sz w:val="21"/>
              </w:rPr>
              <w:t>3.相当于 Ann Arbor 分期方案 I 期程度的何杰金氏病；</w:t>
            </w:r>
          </w:p>
        </w:tc>
      </w:tr>
    </w:tbl>
    <w:p>
      <w:pPr>
        <w:spacing w:after="0" w:line="255" w:lineRule="exact"/>
        <w:rPr>
          <w:sz w:val="21"/>
        </w:rPr>
        <w:sectPr>
          <w:pgSz w:w="11910" w:h="16840"/>
          <w:pgMar w:header="871" w:footer="992" w:top="1060" w:bottom="1180" w:left="760" w:right="1120"/>
        </w:sectPr>
      </w:pPr>
    </w:p>
    <w:p>
      <w:pPr>
        <w:pStyle w:val="BodyText"/>
        <w:rPr>
          <w:rFonts w:ascii="Times New Roman"/>
          <w:sz w:val="2"/>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2"/>
        <w:gridCol w:w="1223"/>
        <w:gridCol w:w="7705"/>
      </w:tblGrid>
      <w:tr>
        <w:trPr>
          <w:trHeight w:val="1375" w:hRule="atLeast"/>
        </w:trPr>
        <w:tc>
          <w:tcPr>
            <w:tcW w:w="962" w:type="dxa"/>
            <w:tcBorders>
              <w:top w:val="single" w:sz="18" w:space="0" w:color="000000"/>
            </w:tcBorders>
          </w:tcPr>
          <w:p>
            <w:pPr>
              <w:pStyle w:val="TableParagraph"/>
              <w:spacing w:before="0"/>
              <w:ind w:left="0"/>
              <w:rPr>
                <w:rFonts w:ascii="Times New Roman"/>
                <w:sz w:val="20"/>
              </w:rPr>
            </w:pPr>
          </w:p>
        </w:tc>
        <w:tc>
          <w:tcPr>
            <w:tcW w:w="1223" w:type="dxa"/>
            <w:tcBorders>
              <w:top w:val="single" w:sz="18" w:space="0" w:color="000000"/>
            </w:tcBorders>
          </w:tcPr>
          <w:p>
            <w:pPr>
              <w:pStyle w:val="TableParagraph"/>
              <w:spacing w:before="0"/>
              <w:ind w:left="0"/>
              <w:rPr>
                <w:rFonts w:ascii="Times New Roman"/>
                <w:sz w:val="20"/>
              </w:rPr>
            </w:pPr>
          </w:p>
        </w:tc>
        <w:tc>
          <w:tcPr>
            <w:tcW w:w="7705" w:type="dxa"/>
            <w:tcBorders>
              <w:top w:val="single" w:sz="18" w:space="0" w:color="000000"/>
            </w:tcBorders>
          </w:tcPr>
          <w:p>
            <w:pPr>
              <w:pStyle w:val="TableParagraph"/>
              <w:spacing w:before="3"/>
              <w:ind w:left="0"/>
              <w:rPr>
                <w:rFonts w:ascii="Times New Roman"/>
                <w:sz w:val="25"/>
              </w:rPr>
            </w:pPr>
          </w:p>
          <w:p>
            <w:pPr>
              <w:pStyle w:val="TableParagraph"/>
              <w:spacing w:before="0"/>
              <w:ind w:left="566"/>
              <w:rPr>
                <w:b/>
                <w:sz w:val="21"/>
              </w:rPr>
            </w:pPr>
            <w:r>
              <w:rPr>
                <w:b/>
                <w:sz w:val="21"/>
              </w:rPr>
              <w:t>4.皮肤癌（不包括恶性黑色素瘤及已发生转移的皮肤癌）；</w:t>
            </w:r>
          </w:p>
          <w:p>
            <w:pPr>
              <w:pStyle w:val="TableParagraph"/>
              <w:spacing w:line="231" w:lineRule="exact" w:before="44"/>
              <w:ind w:left="566"/>
              <w:rPr>
                <w:b/>
                <w:sz w:val="21"/>
              </w:rPr>
            </w:pPr>
            <w:r>
              <w:rPr>
                <w:b/>
                <w:sz w:val="21"/>
              </w:rPr>
              <w:t>5.TNM</w:t>
            </w:r>
            <w:r>
              <w:rPr>
                <w:b/>
                <w:spacing w:val="-22"/>
                <w:sz w:val="21"/>
              </w:rPr>
              <w:t> 分期为 </w:t>
            </w:r>
            <w:r>
              <w:rPr>
                <w:b/>
                <w:sz w:val="21"/>
              </w:rPr>
              <w:t>T</w:t>
            </w:r>
            <w:r>
              <w:rPr>
                <w:b/>
                <w:spacing w:val="-51"/>
                <w:sz w:val="21"/>
              </w:rPr>
              <w:t> </w:t>
            </w:r>
            <w:r>
              <w:rPr>
                <w:b/>
                <w:sz w:val="21"/>
              </w:rPr>
              <w:t>N</w:t>
            </w:r>
            <w:r>
              <w:rPr>
                <w:b/>
                <w:spacing w:val="-51"/>
                <w:sz w:val="21"/>
              </w:rPr>
              <w:t> </w:t>
            </w:r>
            <w:r>
              <w:rPr>
                <w:b/>
                <w:sz w:val="21"/>
              </w:rPr>
              <w:t>M</w:t>
            </w:r>
            <w:r>
              <w:rPr>
                <w:b/>
                <w:spacing w:val="-5"/>
                <w:sz w:val="21"/>
              </w:rPr>
              <w:t> 期或更轻分期的前列腺癌；</w:t>
            </w:r>
          </w:p>
          <w:p>
            <w:pPr>
              <w:pStyle w:val="TableParagraph"/>
              <w:spacing w:line="82" w:lineRule="exact" w:before="0"/>
              <w:ind w:left="1939"/>
              <w:rPr>
                <w:b/>
                <w:sz w:val="11"/>
              </w:rPr>
            </w:pPr>
            <w:r>
              <w:rPr>
                <w:b/>
                <w:sz w:val="11"/>
              </w:rPr>
              <w:t>1  0 0</w:t>
            </w:r>
          </w:p>
          <w:p>
            <w:pPr>
              <w:pStyle w:val="TableParagraph"/>
              <w:spacing w:line="257" w:lineRule="exact" w:before="0"/>
              <w:ind w:left="566"/>
              <w:rPr>
                <w:b/>
                <w:sz w:val="21"/>
              </w:rPr>
            </w:pPr>
            <w:r>
              <w:rPr>
                <w:b/>
                <w:sz w:val="21"/>
              </w:rPr>
              <w:t>6.感染艾滋病病毒或患艾滋病期间所患恶性肿瘤。</w:t>
            </w:r>
          </w:p>
        </w:tc>
      </w:tr>
      <w:tr>
        <w:trPr>
          <w:trHeight w:val="2269" w:hRule="atLeast"/>
        </w:trPr>
        <w:tc>
          <w:tcPr>
            <w:tcW w:w="962" w:type="dxa"/>
          </w:tcPr>
          <w:p>
            <w:pPr>
              <w:pStyle w:val="TableParagraph"/>
              <w:spacing w:before="153"/>
              <w:ind w:left="200"/>
              <w:rPr>
                <w:b/>
                <w:sz w:val="21"/>
              </w:rPr>
            </w:pPr>
            <w:r>
              <w:rPr>
                <w:b/>
                <w:sz w:val="21"/>
              </w:rPr>
              <w:t>6.6.2</w:t>
            </w:r>
          </w:p>
        </w:tc>
        <w:tc>
          <w:tcPr>
            <w:tcW w:w="1223" w:type="dxa"/>
          </w:tcPr>
          <w:p>
            <w:pPr>
              <w:pStyle w:val="TableParagraph"/>
              <w:spacing w:line="273" w:lineRule="auto" w:before="153"/>
              <w:ind w:left="234" w:right="141"/>
              <w:rPr>
                <w:b/>
                <w:sz w:val="21"/>
              </w:rPr>
            </w:pPr>
            <w:r>
              <w:rPr>
                <w:b/>
                <w:sz w:val="21"/>
              </w:rPr>
              <w:t>急性心肌梗塞</w:t>
            </w:r>
          </w:p>
        </w:tc>
        <w:tc>
          <w:tcPr>
            <w:tcW w:w="7705" w:type="dxa"/>
          </w:tcPr>
          <w:p>
            <w:pPr>
              <w:pStyle w:val="TableParagraph"/>
              <w:spacing w:before="132"/>
              <w:ind w:left="144" w:right="201" w:firstLine="420"/>
              <w:rPr>
                <w:sz w:val="21"/>
              </w:rPr>
            </w:pPr>
            <w:r>
              <w:rPr>
                <w:sz w:val="21"/>
              </w:rPr>
              <w:t>指因冠状动脉阻塞导致的相应区域供血不足造成部分心肌坏死。须满足下列至少三项条件：</w:t>
            </w:r>
          </w:p>
          <w:p>
            <w:pPr>
              <w:pStyle w:val="TableParagraph"/>
              <w:spacing w:line="271" w:lineRule="exact" w:before="0"/>
              <w:rPr>
                <w:sz w:val="21"/>
              </w:rPr>
            </w:pPr>
            <w:r>
              <w:rPr>
                <w:sz w:val="21"/>
              </w:rPr>
              <w:t>1.典型临床表现，例如急性胸痛等；</w:t>
            </w:r>
          </w:p>
          <w:p>
            <w:pPr>
              <w:pStyle w:val="TableParagraph"/>
              <w:spacing w:line="272" w:lineRule="exact" w:before="0"/>
              <w:rPr>
                <w:sz w:val="21"/>
              </w:rPr>
            </w:pPr>
            <w:r>
              <w:rPr>
                <w:sz w:val="21"/>
              </w:rPr>
              <w:t>2.新近的心电图改变提示急性心肌梗塞；</w:t>
            </w:r>
          </w:p>
          <w:p>
            <w:pPr>
              <w:pStyle w:val="TableParagraph"/>
              <w:spacing w:before="0"/>
              <w:ind w:left="144" w:right="201" w:firstLine="420"/>
              <w:rPr>
                <w:sz w:val="21"/>
              </w:rPr>
            </w:pPr>
            <w:r>
              <w:rPr>
                <w:sz w:val="21"/>
              </w:rPr>
              <w:t>3.心肌酶或肌钙蛋白有诊断意义的升高，或呈符合急性心肌梗塞的动态性变化；</w:t>
            </w:r>
          </w:p>
          <w:p>
            <w:pPr>
              <w:pStyle w:val="TableParagraph"/>
              <w:spacing w:before="19"/>
              <w:rPr>
                <w:sz w:val="21"/>
              </w:rPr>
            </w:pPr>
            <w:r>
              <w:rPr>
                <w:sz w:val="21"/>
              </w:rPr>
              <w:t>4.发病 90 天后，经检查证实左心室功能降低，如左心室射血分数低于 50%。</w:t>
            </w:r>
          </w:p>
        </w:tc>
      </w:tr>
      <w:tr>
        <w:trPr>
          <w:trHeight w:val="7166" w:hRule="atLeast"/>
        </w:trPr>
        <w:tc>
          <w:tcPr>
            <w:tcW w:w="962" w:type="dxa"/>
          </w:tcPr>
          <w:p>
            <w:pPr>
              <w:pStyle w:val="TableParagraph"/>
              <w:spacing w:before="143"/>
              <w:ind w:left="200"/>
              <w:rPr>
                <w:b/>
                <w:sz w:val="21"/>
              </w:rPr>
            </w:pPr>
            <w:r>
              <w:rPr>
                <w:b/>
                <w:sz w:val="21"/>
              </w:rPr>
              <w:t>6.6.3</w:t>
            </w:r>
          </w:p>
        </w:tc>
        <w:tc>
          <w:tcPr>
            <w:tcW w:w="1223" w:type="dxa"/>
          </w:tcPr>
          <w:p>
            <w:pPr>
              <w:pStyle w:val="TableParagraph"/>
              <w:spacing w:line="273" w:lineRule="auto" w:before="143"/>
              <w:ind w:left="234" w:right="141"/>
              <w:rPr>
                <w:b/>
                <w:sz w:val="21"/>
              </w:rPr>
            </w:pPr>
            <w:r>
              <w:rPr>
                <w:b/>
                <w:sz w:val="21"/>
              </w:rPr>
              <w:t>脑中风后遗症</w:t>
            </w:r>
          </w:p>
        </w:tc>
        <w:tc>
          <w:tcPr>
            <w:tcW w:w="7705" w:type="dxa"/>
          </w:tcPr>
          <w:p>
            <w:pPr>
              <w:pStyle w:val="TableParagraph"/>
              <w:spacing w:line="273" w:lineRule="auto" w:before="143"/>
              <w:ind w:left="144" w:right="101" w:firstLine="420"/>
              <w:rPr>
                <w:sz w:val="21"/>
              </w:rPr>
            </w:pPr>
            <w:r>
              <w:rPr>
                <w:sz w:val="21"/>
              </w:rPr>
              <w:t>指因脑血管的突发病变引起脑血管出血、栓塞或梗塞，并导致神经系统永久性的功能障碍。</w:t>
            </w:r>
          </w:p>
          <w:p>
            <w:pPr>
              <w:pStyle w:val="TableParagraph"/>
              <w:spacing w:line="273" w:lineRule="auto" w:before="8"/>
              <w:ind w:left="144" w:right="100" w:firstLine="420"/>
              <w:rPr>
                <w:sz w:val="21"/>
              </w:rPr>
            </w:pPr>
            <w:r>
              <w:rPr>
                <w:sz w:val="21"/>
              </w:rPr>
              <w:t>神经系统永久性的功能障碍，指疾病确诊 180 天后，仍遗留下列一种或一种以上障碍：</w:t>
            </w:r>
          </w:p>
          <w:p>
            <w:pPr>
              <w:pStyle w:val="TableParagraph"/>
              <w:spacing w:before="8"/>
              <w:rPr>
                <w:sz w:val="21"/>
              </w:rPr>
            </w:pPr>
            <w:r>
              <w:rPr>
                <w:sz w:val="21"/>
              </w:rPr>
              <w:t>1.一肢或一肢以上</w:t>
            </w:r>
            <w:r>
              <w:rPr>
                <w:b/>
                <w:sz w:val="21"/>
              </w:rPr>
              <w:t>肢体机能完全丧失</w:t>
            </w:r>
            <w:r>
              <w:rPr>
                <w:sz w:val="21"/>
              </w:rPr>
              <w:t>；</w:t>
            </w:r>
          </w:p>
          <w:p>
            <w:pPr>
              <w:pStyle w:val="TableParagraph"/>
              <w:spacing w:before="37"/>
              <w:rPr>
                <w:b/>
                <w:sz w:val="21"/>
              </w:rPr>
            </w:pPr>
            <w:r>
              <w:rPr>
                <w:sz w:val="21"/>
              </w:rPr>
              <w:t>2.</w:t>
            </w:r>
            <w:r>
              <w:rPr>
                <w:b/>
                <w:sz w:val="21"/>
              </w:rPr>
              <w:t>语言能力或咀嚼吞咽能力完全丧失；</w:t>
            </w:r>
          </w:p>
          <w:p>
            <w:pPr>
              <w:pStyle w:val="TableParagraph"/>
              <w:spacing w:line="273" w:lineRule="auto" w:before="37"/>
              <w:ind w:left="144" w:right="103" w:firstLine="420"/>
              <w:rPr>
                <w:sz w:val="21"/>
              </w:rPr>
            </w:pPr>
            <w:r>
              <w:rPr>
                <w:sz w:val="21"/>
              </w:rPr>
              <w:t>3.自主生活能力完全丧失，无法独立完成</w:t>
            </w:r>
            <w:r>
              <w:rPr>
                <w:b/>
                <w:sz w:val="21"/>
              </w:rPr>
              <w:t>六项基本日常生活活动</w:t>
            </w:r>
            <w:r>
              <w:rPr>
                <w:sz w:val="21"/>
              </w:rPr>
              <w:t>中的三项或三项以上。</w:t>
            </w:r>
          </w:p>
          <w:p>
            <w:pPr>
              <w:pStyle w:val="TableParagraph"/>
              <w:spacing w:line="273" w:lineRule="auto" w:before="8"/>
              <w:ind w:left="144" w:right="106" w:firstLine="422"/>
              <w:rPr>
                <w:sz w:val="21"/>
              </w:rPr>
            </w:pPr>
            <w:r>
              <w:rPr>
                <w:b/>
                <w:sz w:val="21"/>
              </w:rPr>
              <w:t>肢体机能完全丧失</w:t>
            </w:r>
            <w:r>
              <w:rPr>
                <w:sz w:val="21"/>
              </w:rPr>
              <w:t>：指肢体的三大关节中的两大关节僵硬，或不能随意识活动。肢体是指包括肩关节的整个上肢或包括髋关节的整个下肢。</w:t>
            </w:r>
          </w:p>
          <w:p>
            <w:pPr>
              <w:pStyle w:val="TableParagraph"/>
              <w:spacing w:before="8"/>
              <w:ind w:left="566"/>
              <w:rPr>
                <w:b/>
                <w:sz w:val="21"/>
              </w:rPr>
            </w:pPr>
            <w:r>
              <w:rPr>
                <w:b/>
                <w:sz w:val="21"/>
              </w:rPr>
              <w:t>语言能力或咀嚼吞咽能力完全丧失：</w:t>
            </w:r>
          </w:p>
          <w:p>
            <w:pPr>
              <w:pStyle w:val="TableParagraph"/>
              <w:spacing w:line="273" w:lineRule="auto" w:before="37"/>
              <w:ind w:left="144" w:right="-15" w:firstLine="420"/>
              <w:rPr>
                <w:sz w:val="21"/>
              </w:rPr>
            </w:pPr>
            <w:r>
              <w:rPr>
                <w:sz w:val="21"/>
              </w:rPr>
              <w:t>语言能力完全丧失，指无法发出四种语音（包括口唇音、齿舌音、口盖音和 </w:t>
            </w:r>
            <w:r>
              <w:rPr>
                <w:spacing w:val="-1"/>
                <w:sz w:val="21"/>
              </w:rPr>
              <w:t>喉头音</w:t>
            </w:r>
            <w:r>
              <w:rPr>
                <w:spacing w:val="-3"/>
                <w:sz w:val="21"/>
              </w:rPr>
              <w:t>）中的任何三种、或声带全部切除，或因大脑语言中枢受伤害而患失语症。</w:t>
            </w:r>
          </w:p>
          <w:p>
            <w:pPr>
              <w:pStyle w:val="TableParagraph"/>
              <w:spacing w:line="273" w:lineRule="auto" w:before="8"/>
              <w:ind w:left="144" w:right="108" w:firstLine="420"/>
              <w:rPr>
                <w:sz w:val="21"/>
              </w:rPr>
            </w:pPr>
            <w:r>
              <w:rPr>
                <w:sz w:val="21"/>
              </w:rPr>
              <w:t>咀嚼吞咽能力完全丧失，指因牙齿以外的原因导致器质障碍或机能障碍，以致不能作咀嚼吞咽运动，除流质食物外不能摄取或吞咽的状态。</w:t>
            </w:r>
          </w:p>
          <w:p>
            <w:pPr>
              <w:pStyle w:val="TableParagraph"/>
              <w:spacing w:before="8"/>
              <w:ind w:left="566"/>
              <w:rPr>
                <w:sz w:val="21"/>
              </w:rPr>
            </w:pPr>
            <w:r>
              <w:rPr>
                <w:b/>
                <w:sz w:val="21"/>
              </w:rPr>
              <w:t>六项基本日常生活活动</w:t>
            </w:r>
            <w:r>
              <w:rPr>
                <w:sz w:val="21"/>
              </w:rPr>
              <w:t>，指：</w:t>
            </w:r>
          </w:p>
          <w:p>
            <w:pPr>
              <w:pStyle w:val="TableParagraph"/>
              <w:spacing w:before="37"/>
              <w:rPr>
                <w:sz w:val="21"/>
              </w:rPr>
            </w:pPr>
            <w:r>
              <w:rPr>
                <w:sz w:val="21"/>
              </w:rPr>
              <w:t>1.穿衣：自己能够穿衣及脱衣；</w:t>
            </w:r>
          </w:p>
          <w:p>
            <w:pPr>
              <w:pStyle w:val="TableParagraph"/>
              <w:spacing w:before="37"/>
              <w:rPr>
                <w:sz w:val="21"/>
              </w:rPr>
            </w:pPr>
            <w:r>
              <w:rPr>
                <w:sz w:val="21"/>
              </w:rPr>
              <w:t>2.移动：自己从一个房间到另一个房间；</w:t>
            </w:r>
          </w:p>
          <w:p>
            <w:pPr>
              <w:pStyle w:val="TableParagraph"/>
              <w:spacing w:before="37"/>
              <w:rPr>
                <w:sz w:val="21"/>
              </w:rPr>
            </w:pPr>
            <w:r>
              <w:rPr>
                <w:sz w:val="21"/>
              </w:rPr>
              <w:t>3.行动：自己上下床或上下轮椅；</w:t>
            </w:r>
          </w:p>
          <w:p>
            <w:pPr>
              <w:pStyle w:val="TableParagraph"/>
              <w:spacing w:before="37"/>
              <w:rPr>
                <w:sz w:val="21"/>
              </w:rPr>
            </w:pPr>
            <w:r>
              <w:rPr>
                <w:sz w:val="21"/>
              </w:rPr>
              <w:t>4.如厕：自己控制进行大小便；</w:t>
            </w:r>
          </w:p>
          <w:p>
            <w:pPr>
              <w:pStyle w:val="TableParagraph"/>
              <w:spacing w:before="37"/>
              <w:rPr>
                <w:sz w:val="21"/>
              </w:rPr>
            </w:pPr>
            <w:r>
              <w:rPr>
                <w:sz w:val="21"/>
              </w:rPr>
              <w:t>5.进食：自己从已准备好的碗或碟中取食物放入口中；</w:t>
            </w:r>
          </w:p>
          <w:p>
            <w:pPr>
              <w:pStyle w:val="TableParagraph"/>
              <w:spacing w:before="37"/>
              <w:rPr>
                <w:sz w:val="21"/>
              </w:rPr>
            </w:pPr>
            <w:r>
              <w:rPr>
                <w:sz w:val="21"/>
              </w:rPr>
              <w:t>6.洗澡：自己进行淋浴或盆浴。</w:t>
            </w:r>
          </w:p>
        </w:tc>
      </w:tr>
      <w:tr>
        <w:trPr>
          <w:trHeight w:val="1683" w:hRule="atLeast"/>
        </w:trPr>
        <w:tc>
          <w:tcPr>
            <w:tcW w:w="962" w:type="dxa"/>
          </w:tcPr>
          <w:p>
            <w:pPr>
              <w:pStyle w:val="TableParagraph"/>
              <w:spacing w:before="153"/>
              <w:ind w:left="200"/>
              <w:rPr>
                <w:b/>
                <w:sz w:val="21"/>
              </w:rPr>
            </w:pPr>
            <w:r>
              <w:rPr>
                <w:b/>
                <w:sz w:val="21"/>
              </w:rPr>
              <w:t>6.6.4</w:t>
            </w:r>
          </w:p>
        </w:tc>
        <w:tc>
          <w:tcPr>
            <w:tcW w:w="1223" w:type="dxa"/>
          </w:tcPr>
          <w:p>
            <w:pPr>
              <w:pStyle w:val="TableParagraph"/>
              <w:spacing w:line="273" w:lineRule="auto" w:before="153"/>
              <w:ind w:left="234" w:right="141"/>
              <w:jc w:val="both"/>
              <w:rPr>
                <w:b/>
                <w:sz w:val="21"/>
              </w:rPr>
            </w:pPr>
            <w:r>
              <w:rPr>
                <w:b/>
                <w:sz w:val="21"/>
              </w:rPr>
              <w:t>重大器官移植术或造血干细胞移植术</w:t>
            </w:r>
          </w:p>
        </w:tc>
        <w:tc>
          <w:tcPr>
            <w:tcW w:w="7705" w:type="dxa"/>
          </w:tcPr>
          <w:p>
            <w:pPr>
              <w:pStyle w:val="TableParagraph"/>
              <w:spacing w:before="132"/>
              <w:ind w:left="144" w:right="201" w:firstLine="420"/>
              <w:jc w:val="both"/>
              <w:rPr>
                <w:sz w:val="21"/>
              </w:rPr>
            </w:pPr>
            <w:r>
              <w:rPr>
                <w:sz w:val="21"/>
              </w:rPr>
              <w:t>重大器官移植术，指因相应器官功能衰竭，已经实施了肾脏、肝脏、心脏或肺脏的异体移植手术。</w:t>
            </w:r>
          </w:p>
          <w:p>
            <w:pPr>
              <w:pStyle w:val="TableParagraph"/>
              <w:spacing w:line="237" w:lineRule="auto" w:before="0"/>
              <w:ind w:left="144" w:right="201" w:firstLine="420"/>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668" w:hRule="atLeast"/>
        </w:trPr>
        <w:tc>
          <w:tcPr>
            <w:tcW w:w="962" w:type="dxa"/>
          </w:tcPr>
          <w:p>
            <w:pPr>
              <w:pStyle w:val="TableParagraph"/>
              <w:spacing w:before="145"/>
              <w:ind w:left="200"/>
              <w:rPr>
                <w:b/>
                <w:sz w:val="21"/>
              </w:rPr>
            </w:pPr>
            <w:r>
              <w:rPr>
                <w:b/>
                <w:sz w:val="21"/>
              </w:rPr>
              <w:t>6.6.5</w:t>
            </w:r>
          </w:p>
        </w:tc>
        <w:tc>
          <w:tcPr>
            <w:tcW w:w="1223" w:type="dxa"/>
          </w:tcPr>
          <w:p>
            <w:pPr>
              <w:pStyle w:val="TableParagraph"/>
              <w:spacing w:line="273" w:lineRule="auto" w:before="145"/>
              <w:ind w:left="234" w:right="141"/>
              <w:rPr>
                <w:b/>
                <w:sz w:val="21"/>
              </w:rPr>
            </w:pPr>
            <w:r>
              <w:rPr>
                <w:b/>
                <w:sz w:val="21"/>
              </w:rPr>
              <w:t>冠状动脉搭桥术</w:t>
            </w:r>
          </w:p>
          <w:p>
            <w:pPr>
              <w:pStyle w:val="TableParagraph"/>
              <w:spacing w:before="7"/>
              <w:ind w:left="234"/>
              <w:rPr>
                <w:b/>
                <w:sz w:val="21"/>
              </w:rPr>
            </w:pPr>
            <w:r>
              <w:rPr>
                <w:b/>
                <w:sz w:val="21"/>
              </w:rPr>
              <w:t>（或称冠</w:t>
            </w:r>
          </w:p>
          <w:p>
            <w:pPr>
              <w:pStyle w:val="TableParagraph"/>
              <w:spacing w:line="310" w:lineRule="atLeast" w:before="1"/>
              <w:ind w:left="234" w:right="141"/>
              <w:rPr>
                <w:b/>
                <w:sz w:val="21"/>
              </w:rPr>
            </w:pPr>
            <w:r>
              <w:rPr>
                <w:b/>
                <w:sz w:val="21"/>
              </w:rPr>
              <w:t>状动脉旁路移植</w:t>
            </w:r>
          </w:p>
        </w:tc>
        <w:tc>
          <w:tcPr>
            <w:tcW w:w="7705" w:type="dxa"/>
          </w:tcPr>
          <w:p>
            <w:pPr>
              <w:pStyle w:val="TableParagraph"/>
              <w:spacing w:line="237" w:lineRule="auto" w:before="126"/>
              <w:ind w:left="144" w:right="201" w:firstLine="420"/>
              <w:rPr>
                <w:sz w:val="21"/>
              </w:rPr>
            </w:pPr>
            <w:r>
              <w:rPr>
                <w:sz w:val="21"/>
              </w:rPr>
              <w:t>指为治疗严重的冠心病，实际实施了开胸进行的冠状动脉血管旁路移植的手术。</w:t>
            </w:r>
          </w:p>
          <w:p>
            <w:pPr>
              <w:pStyle w:val="TableParagraph"/>
              <w:spacing w:line="273" w:lineRule="auto" w:before="20"/>
              <w:ind w:left="144" w:right="178" w:firstLine="422"/>
              <w:rPr>
                <w:b/>
                <w:sz w:val="21"/>
              </w:rPr>
            </w:pPr>
            <w:r>
              <w:rPr>
                <w:b/>
                <w:sz w:val="21"/>
              </w:rPr>
              <w:t>冠状动脉支架植入术、心导管球囊扩张术、激光射频技术及其他非开胸的介入手术、腔镜手术不在保障范围内。</w:t>
            </w:r>
          </w:p>
        </w:tc>
      </w:tr>
    </w:tbl>
    <w:p>
      <w:pPr>
        <w:spacing w:after="0" w:line="273" w:lineRule="auto"/>
        <w:rPr>
          <w:sz w:val="21"/>
        </w:rPr>
        <w:sectPr>
          <w:pgSz w:w="11910" w:h="16840"/>
          <w:pgMar w:header="871" w:footer="992" w:top="1060" w:bottom="1180" w:left="680" w:right="1120"/>
        </w:sectPr>
      </w:pPr>
    </w:p>
    <w:p>
      <w:pPr>
        <w:pStyle w:val="BodyText"/>
        <w:rPr>
          <w:rFonts w:ascii="Times New Roman"/>
          <w:sz w:val="2"/>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
        <w:gridCol w:w="1169"/>
        <w:gridCol w:w="7702"/>
      </w:tblGrid>
      <w:tr>
        <w:trPr>
          <w:trHeight w:val="748" w:hRule="atLeast"/>
        </w:trPr>
        <w:tc>
          <w:tcPr>
            <w:tcW w:w="1016" w:type="dxa"/>
            <w:tcBorders>
              <w:top w:val="single" w:sz="18" w:space="0" w:color="000000"/>
            </w:tcBorders>
          </w:tcPr>
          <w:p>
            <w:pPr>
              <w:pStyle w:val="TableParagraph"/>
              <w:spacing w:before="0"/>
              <w:ind w:left="0"/>
              <w:rPr>
                <w:rFonts w:ascii="Times New Roman"/>
                <w:sz w:val="20"/>
              </w:rPr>
            </w:pPr>
          </w:p>
        </w:tc>
        <w:tc>
          <w:tcPr>
            <w:tcW w:w="1169" w:type="dxa"/>
            <w:tcBorders>
              <w:top w:val="single" w:sz="18" w:space="0" w:color="000000"/>
            </w:tcBorders>
          </w:tcPr>
          <w:p>
            <w:pPr>
              <w:pStyle w:val="TableParagraph"/>
              <w:spacing w:before="2"/>
              <w:ind w:left="0"/>
              <w:rPr>
                <w:rFonts w:ascii="Times New Roman"/>
                <w:sz w:val="23"/>
              </w:rPr>
            </w:pPr>
          </w:p>
          <w:p>
            <w:pPr>
              <w:pStyle w:val="TableParagraph"/>
              <w:spacing w:before="0"/>
              <w:ind w:left="180"/>
              <w:rPr>
                <w:b/>
                <w:sz w:val="21"/>
              </w:rPr>
            </w:pPr>
            <w:r>
              <w:rPr>
                <w:b/>
                <w:sz w:val="21"/>
              </w:rPr>
              <w:t>术）</w:t>
            </w:r>
          </w:p>
        </w:tc>
        <w:tc>
          <w:tcPr>
            <w:tcW w:w="7702" w:type="dxa"/>
            <w:tcBorders>
              <w:top w:val="single" w:sz="18" w:space="0" w:color="000000"/>
            </w:tcBorders>
          </w:tcPr>
          <w:p>
            <w:pPr>
              <w:pStyle w:val="TableParagraph"/>
              <w:spacing w:before="0"/>
              <w:ind w:left="0"/>
              <w:rPr>
                <w:rFonts w:ascii="Times New Roman"/>
                <w:sz w:val="20"/>
              </w:rPr>
            </w:pPr>
          </w:p>
        </w:tc>
      </w:tr>
      <w:tr>
        <w:trPr>
          <w:trHeight w:val="1861" w:hRule="atLeast"/>
        </w:trPr>
        <w:tc>
          <w:tcPr>
            <w:tcW w:w="1016" w:type="dxa"/>
          </w:tcPr>
          <w:p>
            <w:pPr>
              <w:pStyle w:val="TableParagraph"/>
              <w:ind w:left="200"/>
              <w:rPr>
                <w:b/>
                <w:sz w:val="21"/>
              </w:rPr>
            </w:pPr>
            <w:r>
              <w:rPr>
                <w:b/>
                <w:sz w:val="21"/>
              </w:rPr>
              <w:t>6.6.6</w:t>
            </w:r>
          </w:p>
        </w:tc>
        <w:tc>
          <w:tcPr>
            <w:tcW w:w="1169" w:type="dxa"/>
          </w:tcPr>
          <w:p>
            <w:pPr>
              <w:pStyle w:val="TableParagraph"/>
              <w:spacing w:line="273" w:lineRule="auto"/>
              <w:ind w:left="180" w:right="141"/>
              <w:jc w:val="both"/>
              <w:rPr>
                <w:b/>
                <w:sz w:val="21"/>
              </w:rPr>
            </w:pPr>
            <w:r>
              <w:rPr>
                <w:b/>
                <w:sz w:val="21"/>
              </w:rPr>
              <w:t>终末期肾病（或称慢性肾功能衰竭尿毒症期）</w:t>
            </w:r>
          </w:p>
        </w:tc>
        <w:tc>
          <w:tcPr>
            <w:tcW w:w="7702" w:type="dxa"/>
          </w:tcPr>
          <w:p>
            <w:pPr>
              <w:pStyle w:val="TableParagraph"/>
              <w:spacing w:line="273" w:lineRule="auto"/>
              <w:ind w:left="144" w:right="86" w:firstLine="420"/>
              <w:rPr>
                <w:sz w:val="21"/>
              </w:rPr>
            </w:pPr>
            <w:r>
              <w:rPr>
                <w:sz w:val="21"/>
              </w:rPr>
              <w:t>指双肾功能慢性不可逆性衰竭，达到尿毒症期，经诊断后已经进行了至少 90 天的规律性透析治疗或实施了肾脏移植手术。</w:t>
            </w:r>
          </w:p>
        </w:tc>
      </w:tr>
      <w:tr>
        <w:trPr>
          <w:trHeight w:val="979" w:hRule="atLeast"/>
        </w:trPr>
        <w:tc>
          <w:tcPr>
            <w:tcW w:w="1016" w:type="dxa"/>
          </w:tcPr>
          <w:p>
            <w:pPr>
              <w:pStyle w:val="TableParagraph"/>
              <w:spacing w:before="153"/>
              <w:ind w:left="200"/>
              <w:rPr>
                <w:b/>
                <w:sz w:val="21"/>
              </w:rPr>
            </w:pPr>
            <w:r>
              <w:rPr>
                <w:b/>
                <w:sz w:val="21"/>
              </w:rPr>
              <w:t>6.6.7</w:t>
            </w:r>
          </w:p>
        </w:tc>
        <w:tc>
          <w:tcPr>
            <w:tcW w:w="1169" w:type="dxa"/>
          </w:tcPr>
          <w:p>
            <w:pPr>
              <w:pStyle w:val="TableParagraph"/>
              <w:spacing w:line="273" w:lineRule="auto" w:before="153"/>
              <w:ind w:left="180" w:right="141"/>
              <w:rPr>
                <w:b/>
                <w:sz w:val="21"/>
              </w:rPr>
            </w:pPr>
            <w:r>
              <w:rPr>
                <w:b/>
                <w:sz w:val="21"/>
              </w:rPr>
              <w:t>多个肢体缺失</w:t>
            </w:r>
          </w:p>
        </w:tc>
        <w:tc>
          <w:tcPr>
            <w:tcW w:w="7702" w:type="dxa"/>
          </w:tcPr>
          <w:p>
            <w:pPr>
              <w:pStyle w:val="TableParagraph"/>
              <w:spacing w:line="237" w:lineRule="auto" w:before="134"/>
              <w:ind w:left="144" w:right="198" w:firstLine="420"/>
              <w:rPr>
                <w:sz w:val="21"/>
              </w:rPr>
            </w:pPr>
            <w:r>
              <w:rPr>
                <w:sz w:val="21"/>
              </w:rPr>
              <w:t>指因疾病或意外伤害导致两个或两个以上肢体自腕关节或踝关节近端（靠近躯干端）以上完全性断离。</w:t>
            </w:r>
          </w:p>
        </w:tc>
      </w:tr>
      <w:tr>
        <w:trPr>
          <w:trHeight w:val="1998" w:hRule="atLeast"/>
        </w:trPr>
        <w:tc>
          <w:tcPr>
            <w:tcW w:w="1016" w:type="dxa"/>
          </w:tcPr>
          <w:p>
            <w:pPr>
              <w:pStyle w:val="TableParagraph"/>
              <w:spacing w:before="1"/>
              <w:ind w:left="0"/>
              <w:rPr>
                <w:rFonts w:ascii="Times New Roman"/>
                <w:sz w:val="17"/>
              </w:rPr>
            </w:pPr>
          </w:p>
          <w:p>
            <w:pPr>
              <w:pStyle w:val="TableParagraph"/>
              <w:spacing w:before="0"/>
              <w:ind w:left="200"/>
              <w:rPr>
                <w:b/>
                <w:sz w:val="21"/>
              </w:rPr>
            </w:pPr>
            <w:r>
              <w:rPr>
                <w:b/>
                <w:sz w:val="21"/>
              </w:rPr>
              <w:t>6.6.8</w:t>
            </w:r>
          </w:p>
        </w:tc>
        <w:tc>
          <w:tcPr>
            <w:tcW w:w="1169" w:type="dxa"/>
          </w:tcPr>
          <w:p>
            <w:pPr>
              <w:pStyle w:val="TableParagraph"/>
              <w:spacing w:before="1"/>
              <w:ind w:left="0"/>
              <w:rPr>
                <w:rFonts w:ascii="Times New Roman"/>
                <w:sz w:val="17"/>
              </w:rPr>
            </w:pPr>
          </w:p>
          <w:p>
            <w:pPr>
              <w:pStyle w:val="TableParagraph"/>
              <w:spacing w:line="273" w:lineRule="auto" w:before="0"/>
              <w:ind w:left="180" w:right="141"/>
              <w:jc w:val="both"/>
              <w:rPr>
                <w:b/>
                <w:sz w:val="21"/>
              </w:rPr>
            </w:pPr>
            <w:r>
              <w:rPr>
                <w:b/>
                <w:sz w:val="21"/>
              </w:rPr>
              <w:t>急性或亚急性重症肝炎</w:t>
            </w:r>
          </w:p>
        </w:tc>
        <w:tc>
          <w:tcPr>
            <w:tcW w:w="7702" w:type="dxa"/>
          </w:tcPr>
          <w:p>
            <w:pPr>
              <w:pStyle w:val="TableParagraph"/>
              <w:spacing w:before="175"/>
              <w:ind w:left="144" w:right="198" w:firstLine="420"/>
              <w:rPr>
                <w:sz w:val="21"/>
              </w:rPr>
            </w:pPr>
            <w:r>
              <w:rPr>
                <w:sz w:val="21"/>
              </w:rPr>
              <w:t>指因肝炎病毒感染引起肝脏组织弥漫性坏死，导致急性肝功能衰竭，且经血清学或病毒学检查证实，并须满足下列全部条件：</w:t>
            </w:r>
          </w:p>
          <w:p>
            <w:pPr>
              <w:pStyle w:val="TableParagraph"/>
              <w:spacing w:line="269" w:lineRule="exact" w:before="0"/>
              <w:rPr>
                <w:sz w:val="21"/>
              </w:rPr>
            </w:pPr>
            <w:r>
              <w:rPr>
                <w:sz w:val="21"/>
              </w:rPr>
              <w:t>1.重度黄疸或黄疸迅速加重；</w:t>
            </w:r>
          </w:p>
          <w:p>
            <w:pPr>
              <w:pStyle w:val="TableParagraph"/>
              <w:spacing w:line="272" w:lineRule="exact" w:before="0"/>
              <w:rPr>
                <w:sz w:val="21"/>
              </w:rPr>
            </w:pPr>
            <w:r>
              <w:rPr>
                <w:sz w:val="21"/>
              </w:rPr>
              <w:t>2.肝性脑病；</w:t>
            </w:r>
          </w:p>
          <w:p>
            <w:pPr>
              <w:pStyle w:val="TableParagraph"/>
              <w:spacing w:line="272" w:lineRule="exact" w:before="0"/>
              <w:rPr>
                <w:sz w:val="21"/>
              </w:rPr>
            </w:pPr>
            <w:r>
              <w:rPr>
                <w:sz w:val="21"/>
              </w:rPr>
              <w:t>3.B 超或其他影像学检查显示肝脏体积急速萎缩；</w:t>
            </w:r>
          </w:p>
          <w:p>
            <w:pPr>
              <w:pStyle w:val="TableParagraph"/>
              <w:spacing w:line="273" w:lineRule="exact" w:before="0"/>
              <w:rPr>
                <w:sz w:val="21"/>
              </w:rPr>
            </w:pPr>
            <w:r>
              <w:rPr>
                <w:sz w:val="21"/>
              </w:rPr>
              <w:t>4.肝功能指标进行性恶化。</w:t>
            </w:r>
          </w:p>
        </w:tc>
      </w:tr>
      <w:tr>
        <w:trPr>
          <w:trHeight w:val="2229" w:hRule="atLeast"/>
        </w:trPr>
        <w:tc>
          <w:tcPr>
            <w:tcW w:w="1016" w:type="dxa"/>
          </w:tcPr>
          <w:p>
            <w:pPr>
              <w:pStyle w:val="TableParagraph"/>
              <w:spacing w:before="145"/>
              <w:ind w:left="200"/>
              <w:rPr>
                <w:b/>
                <w:sz w:val="21"/>
              </w:rPr>
            </w:pPr>
            <w:r>
              <w:rPr>
                <w:b/>
                <w:sz w:val="21"/>
              </w:rPr>
              <w:t>6.6.9</w:t>
            </w:r>
          </w:p>
        </w:tc>
        <w:tc>
          <w:tcPr>
            <w:tcW w:w="1169" w:type="dxa"/>
          </w:tcPr>
          <w:p>
            <w:pPr>
              <w:pStyle w:val="TableParagraph"/>
              <w:spacing w:line="273" w:lineRule="auto" w:before="145"/>
              <w:ind w:left="180" w:right="141"/>
              <w:rPr>
                <w:b/>
                <w:sz w:val="21"/>
              </w:rPr>
            </w:pPr>
            <w:r>
              <w:rPr>
                <w:b/>
                <w:sz w:val="21"/>
              </w:rPr>
              <w:t>良性脑肿瘤</w:t>
            </w:r>
          </w:p>
        </w:tc>
        <w:tc>
          <w:tcPr>
            <w:tcW w:w="7702" w:type="dxa"/>
          </w:tcPr>
          <w:p>
            <w:pPr>
              <w:pStyle w:val="TableParagraph"/>
              <w:spacing w:line="237" w:lineRule="auto" w:before="126"/>
              <w:ind w:left="144" w:right="99" w:firstLine="420"/>
              <w:rPr>
                <w:sz w:val="21"/>
              </w:rPr>
            </w:pPr>
            <w:r>
              <w:rPr>
                <w:spacing w:val="-3"/>
                <w:sz w:val="21"/>
              </w:rPr>
              <w:t>指脑的良性肿瘤，已经引起颅内压增高，临床表现为视神经乳头水肿、精神</w:t>
            </w:r>
            <w:r>
              <w:rPr>
                <w:spacing w:val="-3"/>
                <w:w w:val="100"/>
                <w:sz w:val="21"/>
              </w:rPr>
              <w:t>症状、癫痫及运动感觉障碍等，并危及生命。须由头颅断层扫描</w:t>
            </w:r>
            <w:r>
              <w:rPr>
                <w:w w:val="100"/>
                <w:sz w:val="21"/>
              </w:rPr>
              <w:t>（CT</w:t>
            </w:r>
            <w:r>
              <w:rPr>
                <w:spacing w:val="-108"/>
                <w:w w:val="100"/>
                <w:sz w:val="21"/>
              </w:rPr>
              <w:t>）</w:t>
            </w:r>
            <w:r>
              <w:rPr>
                <w:spacing w:val="-3"/>
                <w:w w:val="100"/>
                <w:sz w:val="21"/>
              </w:rPr>
              <w:t>、核磁共振</w:t>
            </w:r>
            <w:r>
              <w:rPr>
                <w:spacing w:val="-3"/>
                <w:sz w:val="21"/>
              </w:rPr>
              <w:t>检查（MRI）或正电子发射断层扫描</w:t>
            </w:r>
            <w:r>
              <w:rPr>
                <w:sz w:val="21"/>
              </w:rPr>
              <w:t>（PET）</w:t>
            </w:r>
            <w:r>
              <w:rPr>
                <w:spacing w:val="-3"/>
                <w:sz w:val="21"/>
              </w:rPr>
              <w:t>等影像学检查证实，并须满足下列至少一项条件：</w:t>
            </w:r>
          </w:p>
          <w:p>
            <w:pPr>
              <w:pStyle w:val="TableParagraph"/>
              <w:spacing w:line="272" w:lineRule="exact" w:before="0"/>
              <w:rPr>
                <w:sz w:val="21"/>
              </w:rPr>
            </w:pPr>
            <w:r>
              <w:rPr>
                <w:sz w:val="21"/>
              </w:rPr>
              <w:t>1.实际实施了开颅进行的脑肿瘤完全切除或部分切除的手术；</w:t>
            </w:r>
          </w:p>
          <w:p>
            <w:pPr>
              <w:pStyle w:val="TableParagraph"/>
              <w:spacing w:line="272" w:lineRule="exact" w:before="0"/>
              <w:rPr>
                <w:sz w:val="21"/>
              </w:rPr>
            </w:pPr>
            <w:r>
              <w:rPr>
                <w:sz w:val="21"/>
              </w:rPr>
              <w:t>2.实际实施了对脑肿瘤进行的放射治疗。</w:t>
            </w:r>
          </w:p>
          <w:p>
            <w:pPr>
              <w:pStyle w:val="TableParagraph"/>
              <w:spacing w:line="274" w:lineRule="exact" w:before="0"/>
              <w:ind w:left="566"/>
              <w:rPr>
                <w:b/>
                <w:sz w:val="21"/>
              </w:rPr>
            </w:pPr>
            <w:r>
              <w:rPr>
                <w:b/>
                <w:sz w:val="21"/>
              </w:rPr>
              <w:t>脑垂体瘤、脑囊肿、脑血管性疾病不在保障范围内。</w:t>
            </w:r>
          </w:p>
        </w:tc>
      </w:tr>
      <w:tr>
        <w:trPr>
          <w:trHeight w:val="2174" w:hRule="atLeast"/>
        </w:trPr>
        <w:tc>
          <w:tcPr>
            <w:tcW w:w="1016" w:type="dxa"/>
          </w:tcPr>
          <w:p>
            <w:pPr>
              <w:pStyle w:val="TableParagraph"/>
              <w:spacing w:before="133"/>
              <w:ind w:left="200"/>
              <w:rPr>
                <w:b/>
                <w:sz w:val="21"/>
              </w:rPr>
            </w:pPr>
            <w:r>
              <w:rPr>
                <w:b/>
                <w:sz w:val="21"/>
              </w:rPr>
              <w:t>6.6.10</w:t>
            </w:r>
          </w:p>
        </w:tc>
        <w:tc>
          <w:tcPr>
            <w:tcW w:w="1169" w:type="dxa"/>
          </w:tcPr>
          <w:p>
            <w:pPr>
              <w:pStyle w:val="TableParagraph"/>
              <w:spacing w:line="273" w:lineRule="auto" w:before="133"/>
              <w:ind w:left="180" w:right="141"/>
              <w:jc w:val="both"/>
              <w:rPr>
                <w:b/>
                <w:sz w:val="21"/>
              </w:rPr>
            </w:pPr>
            <w:r>
              <w:rPr>
                <w:b/>
                <w:sz w:val="21"/>
              </w:rPr>
              <w:t>慢性肝功能衰竭失代偿期</w:t>
            </w:r>
          </w:p>
        </w:tc>
        <w:tc>
          <w:tcPr>
            <w:tcW w:w="7702" w:type="dxa"/>
          </w:tcPr>
          <w:p>
            <w:pPr>
              <w:pStyle w:val="TableParagraph"/>
              <w:spacing w:before="133"/>
              <w:rPr>
                <w:sz w:val="21"/>
              </w:rPr>
            </w:pPr>
            <w:r>
              <w:rPr>
                <w:sz w:val="21"/>
              </w:rPr>
              <w:t>指因慢性肝脏疾病导致肝功能衰竭。须满足下列全部条件：</w:t>
            </w:r>
          </w:p>
          <w:p>
            <w:pPr>
              <w:pStyle w:val="TableParagraph"/>
              <w:spacing w:before="37"/>
              <w:rPr>
                <w:sz w:val="21"/>
              </w:rPr>
            </w:pPr>
            <w:r>
              <w:rPr>
                <w:sz w:val="21"/>
              </w:rPr>
              <w:t>1.持续性黄疸；</w:t>
            </w:r>
          </w:p>
          <w:p>
            <w:pPr>
              <w:pStyle w:val="TableParagraph"/>
              <w:spacing w:before="37"/>
              <w:rPr>
                <w:sz w:val="21"/>
              </w:rPr>
            </w:pPr>
            <w:r>
              <w:rPr>
                <w:sz w:val="21"/>
              </w:rPr>
              <w:t>2.腹水；</w:t>
            </w:r>
          </w:p>
          <w:p>
            <w:pPr>
              <w:pStyle w:val="TableParagraph"/>
              <w:spacing w:before="37"/>
              <w:rPr>
                <w:sz w:val="21"/>
              </w:rPr>
            </w:pPr>
            <w:r>
              <w:rPr>
                <w:sz w:val="21"/>
              </w:rPr>
              <w:t>3.肝性脑病；</w:t>
            </w:r>
          </w:p>
          <w:p>
            <w:pPr>
              <w:pStyle w:val="TableParagraph"/>
              <w:spacing w:line="273" w:lineRule="auto" w:before="37"/>
              <w:ind w:left="566" w:right="2073" w:hanging="3"/>
              <w:rPr>
                <w:b/>
                <w:sz w:val="21"/>
              </w:rPr>
            </w:pPr>
            <w:r>
              <w:rPr>
                <w:sz w:val="21"/>
              </w:rPr>
              <w:t>4.</w:t>
            </w:r>
            <w:r>
              <w:rPr>
                <w:spacing w:val="-3"/>
                <w:sz w:val="21"/>
              </w:rPr>
              <w:t>充血性脾肿大伴脾功能亢进或食管胃底静脉曲张。 </w:t>
            </w:r>
            <w:r>
              <w:rPr>
                <w:b/>
                <w:spacing w:val="-3"/>
                <w:sz w:val="21"/>
              </w:rPr>
              <w:t>因酗酒或药物滥用导致的肝功能衰竭不在保障范围内。</w:t>
            </w:r>
          </w:p>
        </w:tc>
      </w:tr>
      <w:tr>
        <w:trPr>
          <w:trHeight w:val="2114" w:hRule="atLeast"/>
        </w:trPr>
        <w:tc>
          <w:tcPr>
            <w:tcW w:w="1016" w:type="dxa"/>
          </w:tcPr>
          <w:p>
            <w:pPr>
              <w:pStyle w:val="TableParagraph"/>
              <w:spacing w:before="143"/>
              <w:ind w:left="200"/>
              <w:rPr>
                <w:b/>
                <w:sz w:val="21"/>
              </w:rPr>
            </w:pPr>
            <w:r>
              <w:rPr>
                <w:b/>
                <w:sz w:val="21"/>
              </w:rPr>
              <w:t>6.6.11</w:t>
            </w:r>
          </w:p>
        </w:tc>
        <w:tc>
          <w:tcPr>
            <w:tcW w:w="1169" w:type="dxa"/>
          </w:tcPr>
          <w:p>
            <w:pPr>
              <w:pStyle w:val="TableParagraph"/>
              <w:spacing w:line="273" w:lineRule="auto" w:before="143"/>
              <w:ind w:left="180" w:right="141"/>
              <w:jc w:val="both"/>
              <w:rPr>
                <w:b/>
                <w:sz w:val="21"/>
              </w:rPr>
            </w:pPr>
            <w:r>
              <w:rPr>
                <w:b/>
                <w:sz w:val="21"/>
              </w:rPr>
              <w:t>脑炎后遗症或脑膜炎后遗症</w:t>
            </w:r>
          </w:p>
        </w:tc>
        <w:tc>
          <w:tcPr>
            <w:tcW w:w="7702" w:type="dxa"/>
          </w:tcPr>
          <w:p>
            <w:pPr>
              <w:pStyle w:val="TableParagraph"/>
              <w:spacing w:line="273" w:lineRule="auto" w:before="143"/>
              <w:ind w:left="144" w:right="98" w:firstLine="420"/>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8"/>
              <w:ind w:left="583"/>
              <w:rPr>
                <w:sz w:val="21"/>
              </w:rPr>
            </w:pPr>
            <w:r>
              <w:rPr>
                <w:sz w:val="21"/>
              </w:rPr>
              <w:t>1.一肢或一肢以上肢体机能完全丧失；</w:t>
            </w:r>
          </w:p>
          <w:p>
            <w:pPr>
              <w:pStyle w:val="TableParagraph"/>
              <w:spacing w:before="37"/>
              <w:ind w:left="583"/>
              <w:rPr>
                <w:sz w:val="21"/>
              </w:rPr>
            </w:pPr>
            <w:r>
              <w:rPr>
                <w:sz w:val="21"/>
              </w:rPr>
              <w:t>2.语言能力或咀嚼吞咽能力完全丧失；</w:t>
            </w:r>
          </w:p>
          <w:p>
            <w:pPr>
              <w:pStyle w:val="TableParagraph"/>
              <w:spacing w:before="15"/>
              <w:ind w:left="144" w:right="179" w:firstLine="439"/>
              <w:rPr>
                <w:sz w:val="21"/>
              </w:rPr>
            </w:pPr>
            <w:r>
              <w:rPr>
                <w:sz w:val="21"/>
              </w:rPr>
              <w:t>3.自主生活能力完全丧失，无法独立完成六项基本日常生活活动中的三项或三项以上。</w:t>
            </w:r>
          </w:p>
        </w:tc>
      </w:tr>
      <w:tr>
        <w:trPr>
          <w:trHeight w:val="1520" w:hRule="atLeast"/>
        </w:trPr>
        <w:tc>
          <w:tcPr>
            <w:tcW w:w="1016" w:type="dxa"/>
          </w:tcPr>
          <w:p>
            <w:pPr>
              <w:pStyle w:val="TableParagraph"/>
              <w:spacing w:before="133"/>
              <w:ind w:left="200"/>
              <w:rPr>
                <w:b/>
                <w:sz w:val="21"/>
              </w:rPr>
            </w:pPr>
            <w:r>
              <w:rPr>
                <w:b/>
                <w:sz w:val="21"/>
              </w:rPr>
              <w:t>6.6.12</w:t>
            </w:r>
          </w:p>
        </w:tc>
        <w:tc>
          <w:tcPr>
            <w:tcW w:w="1169" w:type="dxa"/>
          </w:tcPr>
          <w:p>
            <w:pPr>
              <w:pStyle w:val="TableParagraph"/>
              <w:spacing w:before="133"/>
              <w:ind w:left="180"/>
              <w:rPr>
                <w:b/>
                <w:sz w:val="21"/>
              </w:rPr>
            </w:pPr>
            <w:r>
              <w:rPr>
                <w:b/>
                <w:sz w:val="21"/>
              </w:rPr>
              <w:t>深度昏迷</w:t>
            </w:r>
          </w:p>
        </w:tc>
        <w:tc>
          <w:tcPr>
            <w:tcW w:w="7702" w:type="dxa"/>
          </w:tcPr>
          <w:p>
            <w:pPr>
              <w:pStyle w:val="TableParagraph"/>
              <w:spacing w:line="273" w:lineRule="auto" w:before="133"/>
              <w:ind w:left="144" w:right="96" w:firstLine="420"/>
              <w:jc w:val="both"/>
              <w:rPr>
                <w:sz w:val="21"/>
              </w:rPr>
            </w:pPr>
            <w:r>
              <w:rPr>
                <w:sz w:val="21"/>
              </w:rPr>
              <w:t>指因疾病或意外伤害导致意识丧失,对外界刺激和体内需求均无反应,昏迷程度按照格拉斯哥昏迷分级（Glasgow coma  scale）结果为 5 分或 5 分以下，且已经持续使用呼吸机及其他生命维持系统 96 小时以上。</w:t>
            </w:r>
          </w:p>
          <w:p>
            <w:pPr>
              <w:pStyle w:val="TableParagraph"/>
              <w:spacing w:line="261" w:lineRule="exact" w:before="0"/>
              <w:ind w:left="566"/>
              <w:rPr>
                <w:b/>
                <w:sz w:val="21"/>
              </w:rPr>
            </w:pPr>
            <w:r>
              <w:rPr>
                <w:b/>
                <w:sz w:val="21"/>
              </w:rPr>
              <w:t>因酗酒或药物滥用导致的深度昏迷不在保障范围内。</w:t>
            </w:r>
          </w:p>
        </w:tc>
      </w:tr>
      <w:tr>
        <w:trPr>
          <w:trHeight w:val="409" w:hRule="atLeast"/>
        </w:trPr>
        <w:tc>
          <w:tcPr>
            <w:tcW w:w="1016" w:type="dxa"/>
          </w:tcPr>
          <w:p>
            <w:pPr>
              <w:pStyle w:val="TableParagraph"/>
              <w:spacing w:line="255" w:lineRule="exact" w:before="134"/>
              <w:ind w:left="200"/>
              <w:rPr>
                <w:b/>
                <w:sz w:val="21"/>
              </w:rPr>
            </w:pPr>
            <w:r>
              <w:rPr>
                <w:b/>
                <w:sz w:val="21"/>
              </w:rPr>
              <w:t>6.6.13</w:t>
            </w:r>
          </w:p>
        </w:tc>
        <w:tc>
          <w:tcPr>
            <w:tcW w:w="1169" w:type="dxa"/>
          </w:tcPr>
          <w:p>
            <w:pPr>
              <w:pStyle w:val="TableParagraph"/>
              <w:spacing w:line="255" w:lineRule="exact" w:before="134"/>
              <w:ind w:left="180"/>
              <w:rPr>
                <w:b/>
                <w:sz w:val="21"/>
              </w:rPr>
            </w:pPr>
            <w:r>
              <w:rPr>
                <w:b/>
                <w:sz w:val="21"/>
              </w:rPr>
              <w:t>双耳失聪</w:t>
            </w:r>
          </w:p>
        </w:tc>
        <w:tc>
          <w:tcPr>
            <w:tcW w:w="7702" w:type="dxa"/>
          </w:tcPr>
          <w:p>
            <w:pPr>
              <w:pStyle w:val="TableParagraph"/>
              <w:spacing w:line="255" w:lineRule="exact" w:before="134"/>
              <w:rPr>
                <w:sz w:val="21"/>
              </w:rPr>
            </w:pPr>
            <w:r>
              <w:rPr>
                <w:spacing w:val="-3"/>
                <w:sz w:val="21"/>
              </w:rPr>
              <w:t>指因疾病或意外伤害导致双耳听力</w:t>
            </w:r>
            <w:r>
              <w:rPr>
                <w:b/>
                <w:sz w:val="21"/>
              </w:rPr>
              <w:t>永久不可逆</w:t>
            </w:r>
            <w:r>
              <w:rPr>
                <w:spacing w:val="-10"/>
                <w:sz w:val="21"/>
              </w:rPr>
              <w:t>性丧失，在 </w:t>
            </w:r>
            <w:r>
              <w:rPr>
                <w:sz w:val="21"/>
              </w:rPr>
              <w:t>500</w:t>
            </w:r>
            <w:r>
              <w:rPr>
                <w:spacing w:val="-14"/>
                <w:sz w:val="21"/>
              </w:rPr>
              <w:t> 赫兹、</w:t>
            </w:r>
            <w:r>
              <w:rPr>
                <w:sz w:val="21"/>
              </w:rPr>
              <w:t>1000</w:t>
            </w:r>
            <w:r>
              <w:rPr>
                <w:spacing w:val="2"/>
                <w:sz w:val="21"/>
              </w:rPr>
              <w:t> 赫</w:t>
            </w:r>
          </w:p>
        </w:tc>
      </w:tr>
    </w:tbl>
    <w:p>
      <w:pPr>
        <w:spacing w:after="0" w:line="255" w:lineRule="exact"/>
        <w:rPr>
          <w:sz w:val="21"/>
        </w:rPr>
        <w:sectPr>
          <w:pgSz w:w="11910" w:h="16840"/>
          <w:pgMar w:header="871" w:footer="992" w:top="1060" w:bottom="1180" w:left="680" w:right="1120"/>
        </w:sectPr>
      </w:pPr>
    </w:p>
    <w:p>
      <w:pPr>
        <w:pStyle w:val="BodyText"/>
        <w:rPr>
          <w:rFonts w:ascii="Times New Roman"/>
          <w:sz w:val="2"/>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8"/>
        <w:gridCol w:w="1168"/>
        <w:gridCol w:w="7708"/>
      </w:tblGrid>
      <w:tr>
        <w:trPr>
          <w:trHeight w:val="2297" w:hRule="atLeast"/>
        </w:trPr>
        <w:tc>
          <w:tcPr>
            <w:tcW w:w="1018" w:type="dxa"/>
            <w:tcBorders>
              <w:top w:val="single" w:sz="18" w:space="0" w:color="000000"/>
            </w:tcBorders>
          </w:tcPr>
          <w:p>
            <w:pPr>
              <w:pStyle w:val="TableParagraph"/>
              <w:spacing w:before="0"/>
              <w:ind w:left="0"/>
              <w:rPr>
                <w:rFonts w:ascii="Times New Roman"/>
                <w:sz w:val="20"/>
              </w:rPr>
            </w:pPr>
          </w:p>
        </w:tc>
        <w:tc>
          <w:tcPr>
            <w:tcW w:w="1168" w:type="dxa"/>
            <w:tcBorders>
              <w:top w:val="single" w:sz="18" w:space="0" w:color="000000"/>
            </w:tcBorders>
          </w:tcPr>
          <w:p>
            <w:pPr>
              <w:pStyle w:val="TableParagraph"/>
              <w:spacing w:before="0"/>
              <w:ind w:left="0"/>
              <w:rPr>
                <w:rFonts w:ascii="Times New Roman"/>
                <w:sz w:val="20"/>
              </w:rPr>
            </w:pPr>
          </w:p>
        </w:tc>
        <w:tc>
          <w:tcPr>
            <w:tcW w:w="7708" w:type="dxa"/>
            <w:tcBorders>
              <w:top w:val="single" w:sz="18" w:space="0" w:color="000000"/>
            </w:tcBorders>
          </w:tcPr>
          <w:p>
            <w:pPr>
              <w:pStyle w:val="TableParagraph"/>
              <w:spacing w:before="2"/>
              <w:ind w:left="0"/>
              <w:rPr>
                <w:rFonts w:ascii="Times New Roman"/>
                <w:sz w:val="23"/>
              </w:rPr>
            </w:pPr>
          </w:p>
          <w:p>
            <w:pPr>
              <w:pStyle w:val="TableParagraph"/>
              <w:spacing w:line="273" w:lineRule="auto" w:before="0"/>
              <w:ind w:left="143" w:right="104"/>
              <w:rPr>
                <w:sz w:val="21"/>
              </w:rPr>
            </w:pPr>
            <w:r>
              <w:rPr>
                <w:spacing w:val="2"/>
                <w:sz w:val="21"/>
              </w:rPr>
              <w:t>兹和 </w:t>
            </w:r>
            <w:r>
              <w:rPr>
                <w:sz w:val="21"/>
              </w:rPr>
              <w:t>2000</w:t>
            </w:r>
            <w:r>
              <w:rPr>
                <w:spacing w:val="-6"/>
                <w:sz w:val="21"/>
              </w:rPr>
              <w:t> 赫兹语音频率下，平均听阈大于 </w:t>
            </w:r>
            <w:r>
              <w:rPr>
                <w:sz w:val="21"/>
              </w:rPr>
              <w:t>90</w:t>
            </w:r>
            <w:r>
              <w:rPr>
                <w:spacing w:val="-8"/>
                <w:sz w:val="21"/>
              </w:rPr>
              <w:t> 分贝，且经纯音听力测试、声导抗</w:t>
            </w:r>
            <w:r>
              <w:rPr>
                <w:spacing w:val="-5"/>
                <w:sz w:val="21"/>
              </w:rPr>
              <w:t>检测或听觉诱发电位检测等证实。</w:t>
            </w:r>
          </w:p>
          <w:p>
            <w:pPr>
              <w:pStyle w:val="TableParagraph"/>
              <w:spacing w:line="273" w:lineRule="auto" w:before="7"/>
              <w:ind w:left="143" w:right="3" w:firstLine="422"/>
              <w:rPr>
                <w:sz w:val="21"/>
              </w:rPr>
            </w:pPr>
            <w:r>
              <w:rPr>
                <w:b/>
                <w:sz w:val="21"/>
              </w:rPr>
              <w:t>永久不可逆</w:t>
            </w:r>
            <w:r>
              <w:rPr>
                <w:spacing w:val="-11"/>
                <w:sz w:val="21"/>
              </w:rPr>
              <w:t>，指自疾病确诊或意外伤害发生之日起，经过积极治疗 </w:t>
            </w:r>
            <w:r>
              <w:rPr>
                <w:sz w:val="21"/>
              </w:rPr>
              <w:t>180</w:t>
            </w:r>
            <w:r>
              <w:rPr>
                <w:spacing w:val="0"/>
                <w:sz w:val="21"/>
              </w:rPr>
              <w:t> 天后， </w:t>
            </w:r>
            <w:r>
              <w:rPr>
                <w:spacing w:val="-3"/>
                <w:sz w:val="21"/>
              </w:rPr>
              <w:t>仍无法通过现有医疗手段恢复。</w:t>
            </w:r>
          </w:p>
          <w:p>
            <w:pPr>
              <w:pStyle w:val="TableParagraph"/>
              <w:spacing w:line="273" w:lineRule="auto" w:before="7"/>
              <w:ind w:left="143" w:right="113" w:firstLine="422"/>
              <w:rPr>
                <w:b/>
                <w:sz w:val="21"/>
              </w:rPr>
            </w:pPr>
            <w:r>
              <w:rPr>
                <w:b/>
                <w:sz w:val="21"/>
              </w:rPr>
              <w:t>除内耳结构损伤等情形外，被保险人申请理赔时年龄必须在三周岁以上，并且提供理赔当时的听力丧失诊断及检查证据。</w:t>
            </w:r>
          </w:p>
        </w:tc>
      </w:tr>
      <w:tr>
        <w:trPr>
          <w:trHeight w:val="2620" w:hRule="atLeast"/>
        </w:trPr>
        <w:tc>
          <w:tcPr>
            <w:tcW w:w="1018" w:type="dxa"/>
          </w:tcPr>
          <w:p>
            <w:pPr>
              <w:pStyle w:val="TableParagraph"/>
              <w:spacing w:before="153"/>
              <w:ind w:left="200"/>
              <w:rPr>
                <w:b/>
                <w:sz w:val="21"/>
              </w:rPr>
            </w:pPr>
            <w:r>
              <w:rPr>
                <w:b/>
                <w:sz w:val="21"/>
              </w:rPr>
              <w:t>6.6.14</w:t>
            </w:r>
          </w:p>
        </w:tc>
        <w:tc>
          <w:tcPr>
            <w:tcW w:w="1168" w:type="dxa"/>
          </w:tcPr>
          <w:p>
            <w:pPr>
              <w:pStyle w:val="TableParagraph"/>
              <w:spacing w:before="153"/>
              <w:ind w:left="178"/>
              <w:rPr>
                <w:b/>
                <w:sz w:val="21"/>
              </w:rPr>
            </w:pPr>
            <w:r>
              <w:rPr>
                <w:b/>
                <w:sz w:val="21"/>
              </w:rPr>
              <w:t>双目失明</w:t>
            </w:r>
          </w:p>
        </w:tc>
        <w:tc>
          <w:tcPr>
            <w:tcW w:w="7708" w:type="dxa"/>
          </w:tcPr>
          <w:p>
            <w:pPr>
              <w:pStyle w:val="TableParagraph"/>
              <w:spacing w:line="237" w:lineRule="auto" w:before="134"/>
              <w:ind w:left="143" w:right="205" w:firstLine="420"/>
              <w:rPr>
                <w:sz w:val="21"/>
              </w:rPr>
            </w:pPr>
            <w:r>
              <w:rPr>
                <w:sz w:val="21"/>
              </w:rPr>
              <w:t>指因疾病或意外伤害导致双眼视力永久不可逆性丧失，双眼中较好眼须满足下列至少一项条件：</w:t>
            </w:r>
          </w:p>
          <w:p>
            <w:pPr>
              <w:pStyle w:val="TableParagraph"/>
              <w:spacing w:line="272" w:lineRule="exact" w:before="0"/>
              <w:ind w:left="563"/>
              <w:rPr>
                <w:sz w:val="21"/>
              </w:rPr>
            </w:pPr>
            <w:r>
              <w:rPr>
                <w:sz w:val="21"/>
              </w:rPr>
              <w:t>1.眼球缺失或摘除；</w:t>
            </w:r>
          </w:p>
          <w:p>
            <w:pPr>
              <w:pStyle w:val="TableParagraph"/>
              <w:spacing w:before="0"/>
              <w:ind w:left="143" w:right="313" w:firstLine="420"/>
              <w:rPr>
                <w:sz w:val="21"/>
              </w:rPr>
            </w:pPr>
            <w:r>
              <w:rPr>
                <w:sz w:val="21"/>
              </w:rPr>
              <w:t>2.</w:t>
            </w:r>
            <w:r>
              <w:rPr>
                <w:spacing w:val="0"/>
                <w:sz w:val="21"/>
              </w:rPr>
              <w:t>矫正视力低于 </w:t>
            </w:r>
            <w:r>
              <w:rPr>
                <w:sz w:val="21"/>
              </w:rPr>
              <w:t>0.02（</w:t>
            </w:r>
            <w:r>
              <w:rPr>
                <w:spacing w:val="-3"/>
                <w:sz w:val="21"/>
              </w:rPr>
              <w:t>采用国际标准视力表，如使用其他视力表应进行换</w:t>
            </w:r>
            <w:r>
              <w:rPr>
                <w:spacing w:val="-3"/>
                <w:w w:val="100"/>
                <w:sz w:val="21"/>
              </w:rPr>
              <w:t>算</w:t>
            </w:r>
            <w:r>
              <w:rPr>
                <w:spacing w:val="-106"/>
                <w:w w:val="100"/>
                <w:sz w:val="21"/>
              </w:rPr>
              <w:t>）</w:t>
            </w:r>
            <w:r>
              <w:rPr>
                <w:w w:val="100"/>
                <w:sz w:val="21"/>
              </w:rPr>
              <w:t>；</w:t>
            </w:r>
          </w:p>
          <w:p>
            <w:pPr>
              <w:pStyle w:val="TableParagraph"/>
              <w:spacing w:before="19"/>
              <w:ind w:left="563"/>
              <w:rPr>
                <w:sz w:val="21"/>
              </w:rPr>
            </w:pPr>
            <w:r>
              <w:rPr>
                <w:sz w:val="21"/>
              </w:rPr>
              <w:t>3.视野半径小于5度。</w:t>
            </w:r>
          </w:p>
          <w:p>
            <w:pPr>
              <w:pStyle w:val="TableParagraph"/>
              <w:spacing w:line="273" w:lineRule="auto" w:before="37"/>
              <w:ind w:left="143" w:right="182" w:firstLine="422"/>
              <w:rPr>
                <w:b/>
                <w:sz w:val="21"/>
              </w:rPr>
            </w:pPr>
            <w:r>
              <w:rPr>
                <w:b/>
                <w:sz w:val="21"/>
              </w:rPr>
              <w:t>除眼球缺失或摘除等情形外，被保险人申请理赔时年龄必须在三周岁以上， 并且提供理赔当时的视力丧失诊断及检查证据。</w:t>
            </w:r>
          </w:p>
        </w:tc>
      </w:tr>
      <w:tr>
        <w:trPr>
          <w:trHeight w:val="1248" w:hRule="atLeast"/>
        </w:trPr>
        <w:tc>
          <w:tcPr>
            <w:tcW w:w="1018" w:type="dxa"/>
          </w:tcPr>
          <w:p>
            <w:pPr>
              <w:pStyle w:val="TableParagraph"/>
              <w:ind w:left="200"/>
              <w:rPr>
                <w:b/>
                <w:sz w:val="21"/>
              </w:rPr>
            </w:pPr>
            <w:r>
              <w:rPr>
                <w:b/>
                <w:sz w:val="21"/>
              </w:rPr>
              <w:t>6.6.15</w:t>
            </w:r>
          </w:p>
        </w:tc>
        <w:tc>
          <w:tcPr>
            <w:tcW w:w="1168" w:type="dxa"/>
          </w:tcPr>
          <w:p>
            <w:pPr>
              <w:pStyle w:val="TableParagraph"/>
              <w:ind w:left="178"/>
              <w:rPr>
                <w:b/>
                <w:sz w:val="21"/>
              </w:rPr>
            </w:pPr>
            <w:r>
              <w:rPr>
                <w:b/>
                <w:sz w:val="21"/>
              </w:rPr>
              <w:t>瘫痪</w:t>
            </w:r>
          </w:p>
        </w:tc>
        <w:tc>
          <w:tcPr>
            <w:tcW w:w="7708" w:type="dxa"/>
          </w:tcPr>
          <w:p>
            <w:pPr>
              <w:pStyle w:val="TableParagraph"/>
              <w:ind w:left="563"/>
              <w:rPr>
                <w:sz w:val="21"/>
              </w:rPr>
            </w:pPr>
            <w:r>
              <w:rPr>
                <w:sz w:val="21"/>
              </w:rPr>
              <w:t>指因疾病或意外伤害导致两肢或两肢以上肢体机能永久完全丧失。</w:t>
            </w:r>
          </w:p>
          <w:p>
            <w:pPr>
              <w:pStyle w:val="TableParagraph"/>
              <w:spacing w:line="273" w:lineRule="auto" w:before="36"/>
              <w:ind w:left="143" w:right="205" w:firstLine="420"/>
              <w:rPr>
                <w:sz w:val="21"/>
              </w:rPr>
            </w:pPr>
            <w:r>
              <w:rPr>
                <w:spacing w:val="-6"/>
                <w:sz w:val="21"/>
              </w:rPr>
              <w:t>肢体机能永久完全丧失，指疾病确诊 </w:t>
            </w:r>
            <w:r>
              <w:rPr>
                <w:sz w:val="21"/>
              </w:rPr>
              <w:t>180</w:t>
            </w:r>
            <w:r>
              <w:rPr>
                <w:spacing w:val="-13"/>
                <w:sz w:val="21"/>
              </w:rPr>
              <w:t> 天后或意外伤害发生 </w:t>
            </w:r>
            <w:r>
              <w:rPr>
                <w:sz w:val="21"/>
              </w:rPr>
              <w:t>180</w:t>
            </w:r>
            <w:r>
              <w:rPr>
                <w:spacing w:val="-11"/>
                <w:sz w:val="21"/>
              </w:rPr>
              <w:t> 天后，每</w:t>
            </w:r>
            <w:r>
              <w:rPr>
                <w:spacing w:val="-6"/>
                <w:sz w:val="21"/>
              </w:rPr>
              <w:t>肢三大关节中的两大关节仍然完全僵硬，或不能随意识活动。</w:t>
            </w:r>
          </w:p>
        </w:tc>
      </w:tr>
      <w:tr>
        <w:trPr>
          <w:trHeight w:val="936" w:hRule="atLeast"/>
        </w:trPr>
        <w:tc>
          <w:tcPr>
            <w:tcW w:w="1018" w:type="dxa"/>
          </w:tcPr>
          <w:p>
            <w:pPr>
              <w:pStyle w:val="TableParagraph"/>
              <w:ind w:left="200"/>
              <w:rPr>
                <w:b/>
                <w:sz w:val="21"/>
              </w:rPr>
            </w:pPr>
            <w:r>
              <w:rPr>
                <w:b/>
                <w:sz w:val="21"/>
              </w:rPr>
              <w:t>6.6.16</w:t>
            </w:r>
          </w:p>
        </w:tc>
        <w:tc>
          <w:tcPr>
            <w:tcW w:w="1168" w:type="dxa"/>
          </w:tcPr>
          <w:p>
            <w:pPr>
              <w:pStyle w:val="TableParagraph"/>
              <w:spacing w:line="273" w:lineRule="auto"/>
              <w:ind w:left="178" w:right="142"/>
              <w:rPr>
                <w:b/>
                <w:sz w:val="21"/>
              </w:rPr>
            </w:pPr>
            <w:r>
              <w:rPr>
                <w:b/>
                <w:sz w:val="21"/>
              </w:rPr>
              <w:t>心脏瓣膜手术</w:t>
            </w:r>
          </w:p>
        </w:tc>
        <w:tc>
          <w:tcPr>
            <w:tcW w:w="7708" w:type="dxa"/>
          </w:tcPr>
          <w:p>
            <w:pPr>
              <w:pStyle w:val="TableParagraph"/>
              <w:ind w:left="563"/>
              <w:rPr>
                <w:sz w:val="21"/>
              </w:rPr>
            </w:pPr>
            <w:r>
              <w:rPr>
                <w:sz w:val="21"/>
              </w:rPr>
              <w:t>指为治疗心脏瓣膜疾病，实际实施了开胸进行的心脏瓣膜置换或修复的手术。</w:t>
            </w:r>
          </w:p>
        </w:tc>
      </w:tr>
      <w:tr>
        <w:trPr>
          <w:trHeight w:val="2184" w:hRule="atLeast"/>
        </w:trPr>
        <w:tc>
          <w:tcPr>
            <w:tcW w:w="1018" w:type="dxa"/>
          </w:tcPr>
          <w:p>
            <w:pPr>
              <w:pStyle w:val="TableParagraph"/>
              <w:spacing w:before="143"/>
              <w:ind w:left="200"/>
              <w:rPr>
                <w:b/>
                <w:sz w:val="21"/>
              </w:rPr>
            </w:pPr>
            <w:r>
              <w:rPr>
                <w:b/>
                <w:sz w:val="21"/>
              </w:rPr>
              <w:t>6.6.17</w:t>
            </w:r>
          </w:p>
        </w:tc>
        <w:tc>
          <w:tcPr>
            <w:tcW w:w="1168" w:type="dxa"/>
          </w:tcPr>
          <w:p>
            <w:pPr>
              <w:pStyle w:val="TableParagraph"/>
              <w:spacing w:line="273" w:lineRule="auto" w:before="143"/>
              <w:ind w:left="178" w:right="142"/>
              <w:rPr>
                <w:b/>
                <w:sz w:val="21"/>
              </w:rPr>
            </w:pPr>
            <w:r>
              <w:rPr>
                <w:b/>
                <w:sz w:val="21"/>
              </w:rPr>
              <w:t>严重阿尔茨海默病</w:t>
            </w:r>
          </w:p>
        </w:tc>
        <w:tc>
          <w:tcPr>
            <w:tcW w:w="7708" w:type="dxa"/>
          </w:tcPr>
          <w:p>
            <w:pPr>
              <w:pStyle w:val="TableParagraph"/>
              <w:spacing w:line="273" w:lineRule="auto" w:before="143"/>
              <w:ind w:left="143" w:right="1" w:firstLine="420"/>
              <w:rPr>
                <w:sz w:val="21"/>
              </w:rPr>
            </w:pPr>
            <w:r>
              <w:rPr>
                <w:sz w:val="21"/>
              </w:rPr>
              <w:t>指因大脑进行性、不可逆性改变导致智能严重衰退或丧失，临床表现为明显 </w:t>
            </w:r>
            <w:r>
              <w:rPr>
                <w:spacing w:val="-4"/>
                <w:sz w:val="21"/>
              </w:rPr>
              <w:t>的认知能力障碍、行为异常和社交能力减退，其日常生活必须持续受到他人监护。</w:t>
            </w:r>
            <w:r>
              <w:rPr>
                <w:spacing w:val="-3"/>
                <w:w w:val="100"/>
                <w:sz w:val="21"/>
              </w:rPr>
              <w:t>须由头颅断层扫描</w:t>
            </w:r>
            <w:r>
              <w:rPr>
                <w:w w:val="100"/>
                <w:sz w:val="21"/>
              </w:rPr>
              <w:t>（CT</w:t>
            </w:r>
            <w:r>
              <w:rPr>
                <w:spacing w:val="-108"/>
                <w:w w:val="100"/>
                <w:sz w:val="21"/>
              </w:rPr>
              <w:t>）</w:t>
            </w:r>
            <w:r>
              <w:rPr>
                <w:spacing w:val="-3"/>
                <w:w w:val="100"/>
                <w:sz w:val="21"/>
              </w:rPr>
              <w:t>、核磁共振检查</w:t>
            </w:r>
            <w:r>
              <w:rPr>
                <w:w w:val="100"/>
                <w:sz w:val="21"/>
              </w:rPr>
              <w:t>（MR</w:t>
            </w:r>
            <w:r>
              <w:rPr>
                <w:spacing w:val="-3"/>
                <w:w w:val="100"/>
                <w:sz w:val="21"/>
              </w:rPr>
              <w:t>I）或正电子发射断层扫描</w:t>
            </w:r>
            <w:r>
              <w:rPr>
                <w:w w:val="100"/>
                <w:sz w:val="21"/>
              </w:rPr>
              <w:t>（PE</w:t>
            </w:r>
            <w:r>
              <w:rPr>
                <w:spacing w:val="-3"/>
                <w:w w:val="100"/>
                <w:sz w:val="21"/>
              </w:rPr>
              <w:t>T）等</w:t>
            </w:r>
            <w:r>
              <w:rPr>
                <w:sz w:val="21"/>
              </w:rPr>
              <w:t>影像学检查证实，且自主生活能力完全丧失，无法独立完成六项基本日常生活活 </w:t>
            </w:r>
            <w:r>
              <w:rPr>
                <w:spacing w:val="-3"/>
                <w:sz w:val="21"/>
              </w:rPr>
              <w:t>动中的三项或三项以上。</w:t>
            </w:r>
          </w:p>
          <w:p>
            <w:pPr>
              <w:pStyle w:val="TableParagraph"/>
              <w:spacing w:before="8"/>
              <w:ind w:left="565"/>
              <w:rPr>
                <w:b/>
                <w:sz w:val="21"/>
              </w:rPr>
            </w:pPr>
            <w:r>
              <w:rPr>
                <w:b/>
                <w:sz w:val="21"/>
              </w:rPr>
              <w:t>神经官能症和精神疾病不在保障范围内。</w:t>
            </w:r>
          </w:p>
        </w:tc>
      </w:tr>
      <w:tr>
        <w:trPr>
          <w:trHeight w:val="2808" w:hRule="atLeast"/>
        </w:trPr>
        <w:tc>
          <w:tcPr>
            <w:tcW w:w="1018" w:type="dxa"/>
          </w:tcPr>
          <w:p>
            <w:pPr>
              <w:pStyle w:val="TableParagraph"/>
              <w:ind w:left="200"/>
              <w:rPr>
                <w:b/>
                <w:sz w:val="21"/>
              </w:rPr>
            </w:pPr>
            <w:r>
              <w:rPr>
                <w:b/>
                <w:sz w:val="21"/>
              </w:rPr>
              <w:t>6.6.18</w:t>
            </w:r>
          </w:p>
        </w:tc>
        <w:tc>
          <w:tcPr>
            <w:tcW w:w="1168" w:type="dxa"/>
          </w:tcPr>
          <w:p>
            <w:pPr>
              <w:pStyle w:val="TableParagraph"/>
              <w:spacing w:line="273" w:lineRule="auto"/>
              <w:ind w:left="178" w:right="142"/>
              <w:rPr>
                <w:b/>
                <w:sz w:val="21"/>
              </w:rPr>
            </w:pPr>
            <w:r>
              <w:rPr>
                <w:b/>
                <w:sz w:val="21"/>
              </w:rPr>
              <w:t>严重脑损伤</w:t>
            </w:r>
          </w:p>
        </w:tc>
        <w:tc>
          <w:tcPr>
            <w:tcW w:w="7708" w:type="dxa"/>
          </w:tcPr>
          <w:p>
            <w:pPr>
              <w:pStyle w:val="TableParagraph"/>
              <w:spacing w:line="273" w:lineRule="auto"/>
              <w:ind w:left="143" w:right="105" w:firstLine="420"/>
              <w:rPr>
                <w:sz w:val="21"/>
              </w:rPr>
            </w:pPr>
            <w:r>
              <w:rPr>
                <w:sz w:val="21"/>
              </w:rPr>
              <w:t>指因头部遭受机械性外力，引起脑重要部位损伤，导致神经系统永久性的功</w:t>
            </w:r>
            <w:r>
              <w:rPr>
                <w:w w:val="100"/>
                <w:sz w:val="21"/>
              </w:rPr>
              <w:t>能障碍。须由头颅断层扫描</w:t>
            </w:r>
            <w:r>
              <w:rPr>
                <w:spacing w:val="5"/>
                <w:w w:val="100"/>
                <w:sz w:val="21"/>
              </w:rPr>
              <w:t>（</w:t>
            </w:r>
            <w:r>
              <w:rPr>
                <w:w w:val="100"/>
                <w:sz w:val="21"/>
              </w:rPr>
              <w:t>C</w:t>
            </w:r>
            <w:r>
              <w:rPr>
                <w:spacing w:val="1"/>
                <w:w w:val="100"/>
                <w:sz w:val="21"/>
              </w:rPr>
              <w:t>T</w:t>
            </w:r>
            <w:r>
              <w:rPr>
                <w:spacing w:val="-104"/>
                <w:w w:val="100"/>
                <w:sz w:val="21"/>
              </w:rPr>
              <w:t>）</w:t>
            </w:r>
            <w:r>
              <w:rPr>
                <w:w w:val="100"/>
                <w:sz w:val="21"/>
              </w:rPr>
              <w:t>、核磁共振检查</w:t>
            </w:r>
            <w:r>
              <w:rPr>
                <w:spacing w:val="0"/>
                <w:w w:val="100"/>
                <w:sz w:val="21"/>
              </w:rPr>
              <w:t>（</w:t>
            </w:r>
            <w:r>
              <w:rPr>
                <w:w w:val="100"/>
                <w:sz w:val="21"/>
              </w:rPr>
              <w:t>MR</w:t>
            </w:r>
            <w:r>
              <w:rPr>
                <w:spacing w:val="1"/>
                <w:w w:val="100"/>
                <w:sz w:val="21"/>
              </w:rPr>
              <w:t>I）</w:t>
            </w:r>
            <w:r>
              <w:rPr>
                <w:w w:val="100"/>
                <w:sz w:val="21"/>
              </w:rPr>
              <w:t>或正电子发射断层扫描</w:t>
            </w:r>
          </w:p>
          <w:p>
            <w:pPr>
              <w:pStyle w:val="TableParagraph"/>
              <w:spacing w:line="273" w:lineRule="auto" w:before="7"/>
              <w:ind w:left="143" w:right="106"/>
              <w:rPr>
                <w:sz w:val="21"/>
              </w:rPr>
            </w:pPr>
            <w:r>
              <w:rPr>
                <w:sz w:val="21"/>
              </w:rPr>
              <w:t>（PET）</w:t>
            </w:r>
            <w:r>
              <w:rPr>
                <w:spacing w:val="-5"/>
                <w:sz w:val="21"/>
              </w:rPr>
              <w:t>等影像学检查证实。神经系统永久性的功能障碍，指脑损伤 </w:t>
            </w:r>
            <w:r>
              <w:rPr>
                <w:sz w:val="21"/>
              </w:rPr>
              <w:t>180</w:t>
            </w:r>
            <w:r>
              <w:rPr>
                <w:spacing w:val="-10"/>
                <w:sz w:val="21"/>
              </w:rPr>
              <w:t> 天后，仍</w:t>
            </w:r>
            <w:r>
              <w:rPr>
                <w:spacing w:val="-5"/>
                <w:sz w:val="21"/>
              </w:rPr>
              <w:t>遗留下列一种或一种以上障碍：</w:t>
            </w:r>
          </w:p>
          <w:p>
            <w:pPr>
              <w:pStyle w:val="TableParagraph"/>
              <w:spacing w:before="7"/>
              <w:ind w:left="582"/>
              <w:rPr>
                <w:sz w:val="21"/>
              </w:rPr>
            </w:pPr>
            <w:r>
              <w:rPr>
                <w:sz w:val="21"/>
              </w:rPr>
              <w:t>1.一肢或一肢以上肢体机能完全丧失；</w:t>
            </w:r>
          </w:p>
          <w:p>
            <w:pPr>
              <w:pStyle w:val="TableParagraph"/>
              <w:spacing w:before="37"/>
              <w:ind w:left="582"/>
              <w:rPr>
                <w:sz w:val="21"/>
              </w:rPr>
            </w:pPr>
            <w:r>
              <w:rPr>
                <w:sz w:val="21"/>
              </w:rPr>
              <w:t>2.语言能力或咀嚼吞咽能力完全丧失；</w:t>
            </w:r>
          </w:p>
          <w:p>
            <w:pPr>
              <w:pStyle w:val="TableParagraph"/>
              <w:spacing w:line="273" w:lineRule="auto" w:before="37"/>
              <w:ind w:left="143" w:right="205" w:firstLine="420"/>
              <w:rPr>
                <w:sz w:val="21"/>
              </w:rPr>
            </w:pPr>
            <w:r>
              <w:rPr>
                <w:sz w:val="21"/>
              </w:rPr>
              <w:t>3.自主生活能力完全丧失，无法独立完成六项基本日常生活活动中的三项或三项以上。</w:t>
            </w:r>
          </w:p>
        </w:tc>
      </w:tr>
      <w:tr>
        <w:trPr>
          <w:trHeight w:val="1977" w:hRule="atLeast"/>
        </w:trPr>
        <w:tc>
          <w:tcPr>
            <w:tcW w:w="1018" w:type="dxa"/>
          </w:tcPr>
          <w:p>
            <w:pPr>
              <w:pStyle w:val="TableParagraph"/>
              <w:ind w:left="200"/>
              <w:rPr>
                <w:b/>
                <w:sz w:val="21"/>
              </w:rPr>
            </w:pPr>
            <w:r>
              <w:rPr>
                <w:b/>
                <w:sz w:val="21"/>
              </w:rPr>
              <w:t>6.6.19</w:t>
            </w:r>
          </w:p>
        </w:tc>
        <w:tc>
          <w:tcPr>
            <w:tcW w:w="1168" w:type="dxa"/>
          </w:tcPr>
          <w:p>
            <w:pPr>
              <w:pStyle w:val="TableParagraph"/>
              <w:spacing w:line="273" w:lineRule="auto"/>
              <w:ind w:left="178" w:right="142"/>
              <w:rPr>
                <w:b/>
                <w:sz w:val="21"/>
              </w:rPr>
            </w:pPr>
            <w:r>
              <w:rPr>
                <w:b/>
                <w:sz w:val="21"/>
              </w:rPr>
              <w:t>严重帕金森病</w:t>
            </w:r>
          </w:p>
        </w:tc>
        <w:tc>
          <w:tcPr>
            <w:tcW w:w="7708" w:type="dxa"/>
          </w:tcPr>
          <w:p>
            <w:pPr>
              <w:pStyle w:val="TableParagraph"/>
              <w:spacing w:line="273" w:lineRule="auto"/>
              <w:ind w:left="143" w:right="105" w:firstLine="420"/>
              <w:rPr>
                <w:sz w:val="21"/>
              </w:rPr>
            </w:pPr>
            <w:r>
              <w:rPr>
                <w:sz w:val="21"/>
              </w:rPr>
              <w:t>是一种中枢神经系统的退行性疾病，临床表现为震颤麻痹、共济失调等。须满足下列全部条件：</w:t>
            </w:r>
          </w:p>
          <w:p>
            <w:pPr>
              <w:pStyle w:val="TableParagraph"/>
              <w:spacing w:before="7"/>
              <w:ind w:left="582"/>
              <w:rPr>
                <w:sz w:val="21"/>
              </w:rPr>
            </w:pPr>
            <w:r>
              <w:rPr>
                <w:sz w:val="21"/>
              </w:rPr>
              <w:t>1.药物治疗无法控制病情；</w:t>
            </w:r>
          </w:p>
          <w:p>
            <w:pPr>
              <w:pStyle w:val="TableParagraph"/>
              <w:spacing w:line="273" w:lineRule="auto" w:before="37"/>
              <w:ind w:left="143" w:right="115" w:firstLine="439"/>
              <w:rPr>
                <w:sz w:val="21"/>
              </w:rPr>
            </w:pPr>
            <w:r>
              <w:rPr>
                <w:sz w:val="21"/>
              </w:rPr>
              <w:t>2.自主生活能力完全丧失，无法独立完成六项基本日常生活活动中的三项或三项以上。</w:t>
            </w:r>
          </w:p>
          <w:p>
            <w:pPr>
              <w:pStyle w:val="TableParagraph"/>
              <w:spacing w:line="255" w:lineRule="exact" w:before="7"/>
              <w:ind w:left="565"/>
              <w:rPr>
                <w:b/>
                <w:sz w:val="21"/>
              </w:rPr>
            </w:pPr>
            <w:r>
              <w:rPr>
                <w:b/>
                <w:sz w:val="21"/>
              </w:rPr>
              <w:t>继发性帕金森综合征不在保障范围内。</w:t>
            </w:r>
          </w:p>
        </w:tc>
      </w:tr>
    </w:tbl>
    <w:p>
      <w:pPr>
        <w:spacing w:after="0" w:line="255" w:lineRule="exact"/>
        <w:rPr>
          <w:sz w:val="21"/>
        </w:rPr>
        <w:sectPr>
          <w:pgSz w:w="11910" w:h="16840"/>
          <w:pgMar w:header="871" w:footer="992" w:top="1060" w:bottom="1180" w:left="680" w:right="1120"/>
        </w:sectPr>
      </w:pPr>
    </w:p>
    <w:p>
      <w:pPr>
        <w:pStyle w:val="BodyText"/>
        <w:spacing w:before="0"/>
        <w:rPr>
          <w:rFonts w:ascii="Times New Roman"/>
          <w:sz w:val="20"/>
        </w:rPr>
      </w:pPr>
    </w:p>
    <w:p>
      <w:pPr>
        <w:pStyle w:val="BodyText"/>
        <w:spacing w:before="0"/>
        <w:rPr>
          <w:rFonts w:ascii="Times New Roman"/>
          <w:sz w:val="20"/>
        </w:rPr>
      </w:pPr>
    </w:p>
    <w:p>
      <w:pPr>
        <w:pStyle w:val="BodyText"/>
        <w:spacing w:before="2"/>
        <w:rPr>
          <w:rFonts w:ascii="Times New Roman"/>
          <w:sz w:val="16"/>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
        <w:gridCol w:w="1169"/>
        <w:gridCol w:w="7907"/>
      </w:tblGrid>
      <w:tr>
        <w:trPr>
          <w:trHeight w:val="729" w:hRule="atLeast"/>
        </w:trPr>
        <w:tc>
          <w:tcPr>
            <w:tcW w:w="1016" w:type="dxa"/>
          </w:tcPr>
          <w:p>
            <w:pPr>
              <w:pStyle w:val="TableParagraph"/>
              <w:spacing w:line="211" w:lineRule="exact" w:before="0"/>
              <w:ind w:left="200"/>
              <w:rPr>
                <w:b/>
                <w:sz w:val="21"/>
              </w:rPr>
            </w:pPr>
            <w:r>
              <w:rPr>
                <w:b/>
                <w:sz w:val="21"/>
              </w:rPr>
              <w:t>6.6.20</w:t>
            </w:r>
          </w:p>
        </w:tc>
        <w:tc>
          <w:tcPr>
            <w:tcW w:w="1169" w:type="dxa"/>
          </w:tcPr>
          <w:p>
            <w:pPr>
              <w:pStyle w:val="TableParagraph"/>
              <w:spacing w:line="211" w:lineRule="exact" w:before="0"/>
              <w:ind w:left="180"/>
              <w:rPr>
                <w:b/>
                <w:sz w:val="21"/>
              </w:rPr>
            </w:pPr>
            <w:r>
              <w:rPr>
                <w:b/>
                <w:sz w:val="21"/>
              </w:rPr>
              <w:t>严重Ⅲ度</w:t>
            </w:r>
          </w:p>
          <w:p>
            <w:pPr>
              <w:pStyle w:val="TableParagraph"/>
              <w:spacing w:before="37"/>
              <w:ind w:left="180"/>
              <w:rPr>
                <w:b/>
                <w:sz w:val="21"/>
              </w:rPr>
            </w:pPr>
            <w:r>
              <w:rPr>
                <w:b/>
                <w:sz w:val="21"/>
              </w:rPr>
              <w:t>烧伤</w:t>
            </w:r>
          </w:p>
        </w:tc>
        <w:tc>
          <w:tcPr>
            <w:tcW w:w="7907" w:type="dxa"/>
          </w:tcPr>
          <w:p>
            <w:pPr>
              <w:pStyle w:val="TableParagraph"/>
              <w:spacing w:line="211" w:lineRule="exact" w:before="0"/>
              <w:rPr>
                <w:sz w:val="21"/>
              </w:rPr>
            </w:pPr>
            <w:r>
              <w:rPr>
                <w:sz w:val="21"/>
              </w:rPr>
              <w:t>指烧伤程度为Ⅲ度，且Ⅲ度烧伤的面积达到全身体表面积的 20%或 20%以上。</w:t>
            </w:r>
          </w:p>
          <w:p>
            <w:pPr>
              <w:pStyle w:val="TableParagraph"/>
              <w:spacing w:before="37"/>
              <w:ind w:left="144"/>
              <w:rPr>
                <w:sz w:val="21"/>
              </w:rPr>
            </w:pPr>
            <w:r>
              <w:rPr>
                <w:sz w:val="21"/>
              </w:rPr>
              <w:t>体表面积根据《中国新九分法》计算。</w:t>
            </w:r>
          </w:p>
        </w:tc>
      </w:tr>
      <w:tr>
        <w:trPr>
          <w:trHeight w:val="1248" w:hRule="atLeast"/>
        </w:trPr>
        <w:tc>
          <w:tcPr>
            <w:tcW w:w="1016" w:type="dxa"/>
          </w:tcPr>
          <w:p>
            <w:pPr>
              <w:pStyle w:val="TableParagraph"/>
              <w:ind w:left="200"/>
              <w:rPr>
                <w:b/>
                <w:sz w:val="21"/>
              </w:rPr>
            </w:pPr>
            <w:r>
              <w:rPr>
                <w:b/>
                <w:sz w:val="21"/>
              </w:rPr>
              <w:t>6.6.21</w:t>
            </w:r>
          </w:p>
        </w:tc>
        <w:tc>
          <w:tcPr>
            <w:tcW w:w="1169" w:type="dxa"/>
          </w:tcPr>
          <w:p>
            <w:pPr>
              <w:pStyle w:val="TableParagraph"/>
              <w:spacing w:line="273" w:lineRule="auto"/>
              <w:ind w:left="180" w:right="141"/>
              <w:jc w:val="both"/>
              <w:rPr>
                <w:b/>
                <w:sz w:val="21"/>
              </w:rPr>
            </w:pPr>
            <w:r>
              <w:rPr>
                <w:b/>
                <w:sz w:val="21"/>
              </w:rPr>
              <w:t>严重原发性肺动脉高压</w:t>
            </w:r>
          </w:p>
        </w:tc>
        <w:tc>
          <w:tcPr>
            <w:tcW w:w="7907" w:type="dxa"/>
          </w:tcPr>
          <w:p>
            <w:pPr>
              <w:pStyle w:val="TableParagraph"/>
              <w:spacing w:line="273" w:lineRule="auto"/>
              <w:ind w:left="144" w:right="403" w:firstLine="420"/>
              <w:jc w:val="both"/>
              <w:rPr>
                <w:sz w:val="21"/>
              </w:rPr>
            </w:pPr>
            <w:r>
              <w:rPr>
                <w:sz w:val="21"/>
              </w:rPr>
              <w:t>指不明原因的肺动脉压力持续性增高，进行性发展而导致的慢性疾病，已经造成永久不可逆性的体力活动能力受限，达到美国纽约心脏病学会心功能状态分级 IV 级，且静息状态下肺动脉平均压超过 30mmHg。</w:t>
            </w:r>
          </w:p>
        </w:tc>
      </w:tr>
      <w:tr>
        <w:trPr>
          <w:trHeight w:val="1248" w:hRule="atLeast"/>
        </w:trPr>
        <w:tc>
          <w:tcPr>
            <w:tcW w:w="1016" w:type="dxa"/>
          </w:tcPr>
          <w:p>
            <w:pPr>
              <w:pStyle w:val="TableParagraph"/>
              <w:ind w:left="200"/>
              <w:rPr>
                <w:b/>
                <w:sz w:val="21"/>
              </w:rPr>
            </w:pPr>
            <w:r>
              <w:rPr>
                <w:b/>
                <w:sz w:val="21"/>
              </w:rPr>
              <w:t>6.6.22</w:t>
            </w:r>
          </w:p>
        </w:tc>
        <w:tc>
          <w:tcPr>
            <w:tcW w:w="1169" w:type="dxa"/>
          </w:tcPr>
          <w:p>
            <w:pPr>
              <w:pStyle w:val="TableParagraph"/>
              <w:spacing w:line="273" w:lineRule="auto"/>
              <w:ind w:left="180" w:right="141"/>
              <w:rPr>
                <w:b/>
                <w:sz w:val="21"/>
              </w:rPr>
            </w:pPr>
            <w:r>
              <w:rPr>
                <w:b/>
                <w:sz w:val="21"/>
              </w:rPr>
              <w:t>严重运动神经元病</w:t>
            </w:r>
          </w:p>
        </w:tc>
        <w:tc>
          <w:tcPr>
            <w:tcW w:w="7907" w:type="dxa"/>
          </w:tcPr>
          <w:p>
            <w:pPr>
              <w:pStyle w:val="TableParagraph"/>
              <w:spacing w:line="273" w:lineRule="auto"/>
              <w:ind w:left="144" w:right="197" w:firstLine="420"/>
              <w:rPr>
                <w:sz w:val="21"/>
              </w:rPr>
            </w:pPr>
            <w:r>
              <w:rPr>
                <w:spacing w:val="-3"/>
                <w:sz w:val="21"/>
              </w:rPr>
              <w:t>是一组中枢神经系统运动神经元的进行性变性疾病，包括进行性脊肌萎缩症、进行性延髓麻痹症、原发性侧索硬化症、肌萎缩性侧索硬化症。须满足自主生活 能力完全丧失，无法独立完成六项基本日常生活活动中的三项或三项以上的条件。</w:t>
            </w:r>
          </w:p>
        </w:tc>
      </w:tr>
      <w:tr>
        <w:trPr>
          <w:trHeight w:val="1872" w:hRule="atLeast"/>
        </w:trPr>
        <w:tc>
          <w:tcPr>
            <w:tcW w:w="1016" w:type="dxa"/>
          </w:tcPr>
          <w:p>
            <w:pPr>
              <w:pStyle w:val="TableParagraph"/>
              <w:spacing w:before="143"/>
              <w:ind w:left="200"/>
              <w:rPr>
                <w:b/>
                <w:sz w:val="21"/>
              </w:rPr>
            </w:pPr>
            <w:r>
              <w:rPr>
                <w:b/>
                <w:sz w:val="21"/>
              </w:rPr>
              <w:t>6.6.23</w:t>
            </w:r>
          </w:p>
        </w:tc>
        <w:tc>
          <w:tcPr>
            <w:tcW w:w="1169" w:type="dxa"/>
          </w:tcPr>
          <w:p>
            <w:pPr>
              <w:pStyle w:val="TableParagraph"/>
              <w:spacing w:line="273" w:lineRule="auto" w:before="143"/>
              <w:ind w:left="180" w:right="141"/>
              <w:rPr>
                <w:b/>
                <w:sz w:val="21"/>
              </w:rPr>
            </w:pPr>
            <w:r>
              <w:rPr>
                <w:b/>
                <w:sz w:val="21"/>
              </w:rPr>
              <w:t>语言能力丧失</w:t>
            </w:r>
          </w:p>
        </w:tc>
        <w:tc>
          <w:tcPr>
            <w:tcW w:w="7907" w:type="dxa"/>
          </w:tcPr>
          <w:p>
            <w:pPr>
              <w:pStyle w:val="TableParagraph"/>
              <w:spacing w:line="273" w:lineRule="auto" w:before="143"/>
              <w:ind w:left="144" w:right="302" w:firstLine="420"/>
              <w:rPr>
                <w:sz w:val="21"/>
              </w:rPr>
            </w:pPr>
            <w:r>
              <w:rPr>
                <w:spacing w:val="-7"/>
                <w:sz w:val="21"/>
              </w:rPr>
              <w:t>指因疾病或意外伤害导致完全丧失语言能力，经过积极治疗至少 </w:t>
            </w:r>
            <w:r>
              <w:rPr>
                <w:sz w:val="21"/>
              </w:rPr>
              <w:t>12</w:t>
            </w:r>
            <w:r>
              <w:rPr>
                <w:spacing w:val="-4"/>
                <w:sz w:val="21"/>
              </w:rPr>
              <w:t> 个月</w:t>
            </w:r>
            <w:r>
              <w:rPr>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before="8"/>
              <w:ind w:left="566"/>
              <w:rPr>
                <w:b/>
                <w:sz w:val="21"/>
              </w:rPr>
            </w:pPr>
            <w:r>
              <w:rPr>
                <w:b/>
                <w:sz w:val="21"/>
              </w:rPr>
              <w:t>精神心理因素所致的语言能力丧失不在保障范围内。</w:t>
            </w:r>
          </w:p>
          <w:p>
            <w:pPr>
              <w:pStyle w:val="TableParagraph"/>
              <w:spacing w:line="273" w:lineRule="auto" w:before="37"/>
              <w:ind w:left="144" w:right="380" w:firstLine="422"/>
              <w:rPr>
                <w:b/>
                <w:sz w:val="21"/>
              </w:rPr>
            </w:pPr>
            <w:r>
              <w:rPr>
                <w:b/>
                <w:sz w:val="21"/>
              </w:rPr>
              <w:t>除声带完全切除等情形外，被保险人申请理赔时年龄必须在三周岁以上，并且提供理赔当时的语言能力丧失诊断及检查证据。</w:t>
            </w:r>
          </w:p>
        </w:tc>
      </w:tr>
      <w:tr>
        <w:trPr>
          <w:trHeight w:val="2496" w:hRule="atLeast"/>
        </w:trPr>
        <w:tc>
          <w:tcPr>
            <w:tcW w:w="1016" w:type="dxa"/>
          </w:tcPr>
          <w:p>
            <w:pPr>
              <w:pStyle w:val="TableParagraph"/>
              <w:ind w:left="200"/>
              <w:rPr>
                <w:b/>
                <w:sz w:val="21"/>
              </w:rPr>
            </w:pPr>
            <w:r>
              <w:rPr>
                <w:b/>
                <w:sz w:val="21"/>
              </w:rPr>
              <w:t>6.6.24</w:t>
            </w:r>
          </w:p>
        </w:tc>
        <w:tc>
          <w:tcPr>
            <w:tcW w:w="1169" w:type="dxa"/>
          </w:tcPr>
          <w:p>
            <w:pPr>
              <w:pStyle w:val="TableParagraph"/>
              <w:spacing w:line="273" w:lineRule="auto"/>
              <w:ind w:left="180" w:right="141"/>
              <w:jc w:val="both"/>
              <w:rPr>
                <w:b/>
                <w:sz w:val="21"/>
              </w:rPr>
            </w:pPr>
            <w:r>
              <w:rPr>
                <w:b/>
                <w:sz w:val="21"/>
              </w:rPr>
              <w:t>重型再生障碍性贫血</w:t>
            </w:r>
          </w:p>
        </w:tc>
        <w:tc>
          <w:tcPr>
            <w:tcW w:w="7907" w:type="dxa"/>
          </w:tcPr>
          <w:p>
            <w:pPr>
              <w:pStyle w:val="TableParagraph"/>
              <w:spacing w:line="273" w:lineRule="auto"/>
              <w:ind w:left="144" w:right="303" w:firstLine="420"/>
              <w:rPr>
                <w:sz w:val="21"/>
              </w:rPr>
            </w:pPr>
            <w:r>
              <w:rPr>
                <w:sz w:val="21"/>
              </w:rPr>
              <w:t>指因骨髓造血功能慢性持续性衰竭导致的贫血、中性粒细胞减少及血小板减少。须满足下列全部条件：</w:t>
            </w:r>
          </w:p>
          <w:p>
            <w:pPr>
              <w:pStyle w:val="TableParagraph"/>
              <w:spacing w:before="7"/>
              <w:rPr>
                <w:sz w:val="21"/>
              </w:rPr>
            </w:pPr>
            <w:r>
              <w:rPr>
                <w:sz w:val="21"/>
              </w:rPr>
              <w:t>1.骨髓穿刺检查或骨髓活检结果支持诊断；</w:t>
            </w:r>
          </w:p>
          <w:p>
            <w:pPr>
              <w:pStyle w:val="TableParagraph"/>
              <w:spacing w:before="37"/>
              <w:rPr>
                <w:sz w:val="21"/>
              </w:rPr>
            </w:pPr>
            <w:r>
              <w:rPr>
                <w:sz w:val="21"/>
              </w:rPr>
              <w:t>2.外周血象须具备以下三项条件：</w:t>
            </w:r>
          </w:p>
          <w:p>
            <w:pPr>
              <w:pStyle w:val="TableParagraph"/>
              <w:spacing w:before="36"/>
              <w:rPr>
                <w:sz w:val="21"/>
              </w:rPr>
            </w:pPr>
            <w:r>
              <w:rPr>
                <w:sz w:val="21"/>
              </w:rPr>
              <w:t>(1)中性粒细胞绝对值≤0.5×10</w:t>
            </w:r>
            <w:r>
              <w:rPr>
                <w:position w:val="11"/>
                <w:sz w:val="11"/>
              </w:rPr>
              <w:t>9</w:t>
            </w:r>
            <w:r>
              <w:rPr>
                <w:sz w:val="21"/>
              </w:rPr>
              <w:t>/L；</w:t>
            </w:r>
          </w:p>
          <w:p>
            <w:pPr>
              <w:pStyle w:val="TableParagraph"/>
              <w:spacing w:before="36"/>
              <w:rPr>
                <w:sz w:val="21"/>
              </w:rPr>
            </w:pPr>
            <w:r>
              <w:rPr>
                <w:sz w:val="21"/>
              </w:rPr>
              <w:t>(2)网织红细胞＜1%；</w:t>
            </w:r>
          </w:p>
          <w:p>
            <w:pPr>
              <w:pStyle w:val="TableParagraph"/>
              <w:spacing w:before="36"/>
              <w:rPr>
                <w:sz w:val="21"/>
              </w:rPr>
            </w:pPr>
            <w:r>
              <w:rPr>
                <w:sz w:val="21"/>
              </w:rPr>
              <w:t>(3)血小板绝对值≤20×10</w:t>
            </w:r>
            <w:r>
              <w:rPr>
                <w:position w:val="11"/>
                <w:sz w:val="11"/>
              </w:rPr>
              <w:t>9</w:t>
            </w:r>
            <w:r>
              <w:rPr>
                <w:sz w:val="21"/>
              </w:rPr>
              <w:t>/L。</w:t>
            </w:r>
          </w:p>
        </w:tc>
      </w:tr>
      <w:tr>
        <w:trPr>
          <w:trHeight w:val="1560" w:hRule="atLeast"/>
        </w:trPr>
        <w:tc>
          <w:tcPr>
            <w:tcW w:w="1016" w:type="dxa"/>
          </w:tcPr>
          <w:p>
            <w:pPr>
              <w:pStyle w:val="TableParagraph"/>
              <w:ind w:left="200"/>
              <w:rPr>
                <w:b/>
                <w:sz w:val="21"/>
              </w:rPr>
            </w:pPr>
            <w:r>
              <w:rPr>
                <w:b/>
                <w:sz w:val="21"/>
              </w:rPr>
              <w:t>6.6.25</w:t>
            </w:r>
          </w:p>
        </w:tc>
        <w:tc>
          <w:tcPr>
            <w:tcW w:w="1169" w:type="dxa"/>
          </w:tcPr>
          <w:p>
            <w:pPr>
              <w:pStyle w:val="TableParagraph"/>
              <w:spacing w:line="273" w:lineRule="auto"/>
              <w:ind w:left="180" w:right="141"/>
              <w:rPr>
                <w:b/>
                <w:sz w:val="21"/>
              </w:rPr>
            </w:pPr>
            <w:r>
              <w:rPr>
                <w:b/>
                <w:sz w:val="21"/>
              </w:rPr>
              <w:t>主动脉手术</w:t>
            </w:r>
          </w:p>
        </w:tc>
        <w:tc>
          <w:tcPr>
            <w:tcW w:w="7907" w:type="dxa"/>
          </w:tcPr>
          <w:p>
            <w:pPr>
              <w:pStyle w:val="TableParagraph"/>
              <w:spacing w:line="273" w:lineRule="auto"/>
              <w:ind w:left="144" w:right="303" w:firstLine="420"/>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7"/>
              <w:ind w:left="566"/>
              <w:rPr>
                <w:b/>
                <w:sz w:val="21"/>
              </w:rPr>
            </w:pPr>
            <w:r>
              <w:rPr>
                <w:b/>
                <w:sz w:val="21"/>
              </w:rPr>
              <w:t>动脉内血管成形术不在保障范围内。</w:t>
            </w:r>
          </w:p>
        </w:tc>
      </w:tr>
      <w:tr>
        <w:trPr>
          <w:trHeight w:val="2184" w:hRule="atLeast"/>
        </w:trPr>
        <w:tc>
          <w:tcPr>
            <w:tcW w:w="1016" w:type="dxa"/>
          </w:tcPr>
          <w:p>
            <w:pPr>
              <w:pStyle w:val="TableParagraph"/>
              <w:ind w:left="200"/>
              <w:rPr>
                <w:b/>
                <w:sz w:val="21"/>
              </w:rPr>
            </w:pPr>
            <w:r>
              <w:rPr>
                <w:b/>
                <w:sz w:val="21"/>
              </w:rPr>
              <w:t>6.6.26</w:t>
            </w:r>
          </w:p>
        </w:tc>
        <w:tc>
          <w:tcPr>
            <w:tcW w:w="1169" w:type="dxa"/>
          </w:tcPr>
          <w:p>
            <w:pPr>
              <w:pStyle w:val="TableParagraph"/>
              <w:spacing w:line="312" w:lineRule="auto" w:before="166"/>
              <w:ind w:left="180" w:right="141"/>
              <w:rPr>
                <w:b/>
                <w:sz w:val="21"/>
              </w:rPr>
            </w:pPr>
            <w:r>
              <w:rPr>
                <w:b/>
                <w:sz w:val="21"/>
              </w:rPr>
              <w:t>慢性呼吸功能衰竭</w:t>
            </w:r>
          </w:p>
        </w:tc>
        <w:tc>
          <w:tcPr>
            <w:tcW w:w="7907" w:type="dxa"/>
          </w:tcPr>
          <w:p>
            <w:pPr>
              <w:pStyle w:val="TableParagraph"/>
              <w:spacing w:line="273" w:lineRule="auto"/>
              <w:ind w:left="144" w:right="303" w:firstLine="420"/>
              <w:rPr>
                <w:sz w:val="21"/>
              </w:rPr>
            </w:pPr>
            <w:r>
              <w:rPr>
                <w:sz w:val="21"/>
              </w:rPr>
              <w:t>慢性肺部疾病导致永久不可逆性的慢性呼吸功能衰竭。慢性呼吸功能衰竭必须明确诊断并满足下列全部条件：</w:t>
            </w:r>
          </w:p>
          <w:p>
            <w:pPr>
              <w:pStyle w:val="TableParagraph"/>
              <w:spacing w:before="7"/>
              <w:rPr>
                <w:sz w:val="21"/>
              </w:rPr>
            </w:pPr>
            <w:r>
              <w:rPr>
                <w:sz w:val="21"/>
              </w:rPr>
              <w:t>1.休息时出现呼吸困难；</w:t>
            </w:r>
          </w:p>
          <w:p>
            <w:pPr>
              <w:pStyle w:val="TableParagraph"/>
              <w:spacing w:before="37"/>
              <w:rPr>
                <w:sz w:val="21"/>
              </w:rPr>
            </w:pPr>
            <w:r>
              <w:rPr>
                <w:sz w:val="21"/>
              </w:rPr>
              <w:t>2.动脉血氧分压 （PaO2 ）&lt; 50mmHg；</w:t>
            </w:r>
          </w:p>
          <w:p>
            <w:pPr>
              <w:pStyle w:val="TableParagraph"/>
              <w:spacing w:before="37"/>
              <w:rPr>
                <w:sz w:val="21"/>
              </w:rPr>
            </w:pPr>
            <w:r>
              <w:rPr>
                <w:sz w:val="21"/>
              </w:rPr>
              <w:t>3.动脉血氧饱和度 （SaO2 ）&lt; 80%；</w:t>
            </w:r>
          </w:p>
          <w:p>
            <w:pPr>
              <w:pStyle w:val="TableParagraph"/>
              <w:spacing w:before="37"/>
              <w:rPr>
                <w:sz w:val="21"/>
              </w:rPr>
            </w:pPr>
            <w:r>
              <w:rPr>
                <w:sz w:val="21"/>
              </w:rPr>
              <w:t>4.因缺氧必须接受持续的输氧治疗。</w:t>
            </w:r>
          </w:p>
        </w:tc>
      </w:tr>
      <w:tr>
        <w:trPr>
          <w:trHeight w:val="1665" w:hRule="atLeast"/>
        </w:trPr>
        <w:tc>
          <w:tcPr>
            <w:tcW w:w="1016" w:type="dxa"/>
          </w:tcPr>
          <w:p>
            <w:pPr>
              <w:pStyle w:val="TableParagraph"/>
              <w:ind w:left="200"/>
              <w:rPr>
                <w:b/>
                <w:sz w:val="21"/>
              </w:rPr>
            </w:pPr>
            <w:r>
              <w:rPr>
                <w:b/>
                <w:sz w:val="21"/>
              </w:rPr>
              <w:t>6.6.27</w:t>
            </w:r>
          </w:p>
        </w:tc>
        <w:tc>
          <w:tcPr>
            <w:tcW w:w="1169" w:type="dxa"/>
          </w:tcPr>
          <w:p>
            <w:pPr>
              <w:pStyle w:val="TableParagraph"/>
              <w:spacing w:line="312" w:lineRule="auto" w:before="166"/>
              <w:ind w:left="180" w:right="141"/>
              <w:rPr>
                <w:b/>
                <w:sz w:val="21"/>
              </w:rPr>
            </w:pPr>
            <w:r>
              <w:rPr>
                <w:b/>
                <w:sz w:val="21"/>
              </w:rPr>
              <w:t>严重多发性硬化</w:t>
            </w:r>
          </w:p>
        </w:tc>
        <w:tc>
          <w:tcPr>
            <w:tcW w:w="7907" w:type="dxa"/>
          </w:tcPr>
          <w:p>
            <w:pPr>
              <w:pStyle w:val="TableParagraph"/>
              <w:spacing w:line="273" w:lineRule="auto"/>
              <w:ind w:left="144" w:right="199" w:firstLine="420"/>
              <w:jc w:val="both"/>
              <w:rPr>
                <w:sz w:val="21"/>
              </w:rPr>
            </w:pPr>
            <w:r>
              <w:rPr>
                <w:sz w:val="21"/>
              </w:rPr>
              <w:t>多发性硬化为中枢神经系统白质多灶性脱髓鞘病变，病变有时累及灰质。多 发性硬化必须明确诊断，并且已经造成永久不可逆的神经系统功能损害。永久不 </w:t>
            </w:r>
            <w:r>
              <w:rPr>
                <w:spacing w:val="-5"/>
                <w:sz w:val="21"/>
              </w:rPr>
              <w:t>可逆的神经系统损害指被保险人持续 </w:t>
            </w:r>
            <w:r>
              <w:rPr>
                <w:sz w:val="21"/>
              </w:rPr>
              <w:t>180</w:t>
            </w:r>
            <w:r>
              <w:rPr>
                <w:spacing w:val="-8"/>
                <w:sz w:val="21"/>
              </w:rPr>
              <w:t> 天无法独立完成下列基本日常生活活动：</w:t>
            </w:r>
          </w:p>
          <w:p>
            <w:pPr>
              <w:pStyle w:val="TableParagraph"/>
              <w:spacing w:before="7"/>
              <w:rPr>
                <w:sz w:val="21"/>
              </w:rPr>
            </w:pPr>
            <w:r>
              <w:rPr>
                <w:sz w:val="21"/>
              </w:rPr>
              <w:t>1.移动：自己从一个房间移动到另一个房间；</w:t>
            </w:r>
          </w:p>
          <w:p>
            <w:pPr>
              <w:pStyle w:val="TableParagraph"/>
              <w:spacing w:line="255" w:lineRule="exact" w:before="37"/>
              <w:rPr>
                <w:sz w:val="21"/>
              </w:rPr>
            </w:pPr>
            <w:r>
              <w:rPr>
                <w:sz w:val="21"/>
              </w:rPr>
              <w:t>2.进食：自己从已准备好的碗或碟中取食物放入口中。</w:t>
            </w:r>
          </w:p>
        </w:tc>
      </w:tr>
    </w:tbl>
    <w:p>
      <w:pPr>
        <w:spacing w:after="0" w:line="255" w:lineRule="exact"/>
        <w:rPr>
          <w:sz w:val="21"/>
        </w:rPr>
        <w:sectPr>
          <w:headerReference w:type="default" r:id="rId16"/>
          <w:pgSz w:w="11910" w:h="16840"/>
          <w:pgMar w:header="872" w:footer="992" w:top="1120" w:bottom="1180" w:left="680" w:right="920"/>
        </w:sectPr>
      </w:pPr>
    </w:p>
    <w:p>
      <w:pPr>
        <w:pStyle w:val="BodyText"/>
        <w:rPr>
          <w:rFonts w:ascii="Times New Roman"/>
          <w:sz w:val="20"/>
        </w:rPr>
      </w:pPr>
    </w:p>
    <w:p>
      <w:pPr>
        <w:spacing w:after="0"/>
        <w:rPr>
          <w:rFonts w:ascii="Times New Roman"/>
          <w:sz w:val="20"/>
        </w:rPr>
        <w:sectPr>
          <w:pgSz w:w="11910" w:h="16840"/>
          <w:pgMar w:header="872" w:footer="992" w:top="1120" w:bottom="1180" w:left="880" w:right="1120"/>
        </w:sectPr>
      </w:pPr>
    </w:p>
    <w:p>
      <w:pPr>
        <w:pStyle w:val="Heading1"/>
        <w:numPr>
          <w:ilvl w:val="2"/>
          <w:numId w:val="4"/>
        </w:numPr>
        <w:tabs>
          <w:tab w:pos="1100" w:val="left" w:leader="none"/>
          <w:tab w:pos="1101" w:val="left" w:leader="none"/>
        </w:tabs>
        <w:spacing w:line="240" w:lineRule="auto" w:before="37" w:after="0"/>
        <w:ind w:left="1100" w:right="0" w:hanging="996"/>
        <w:jc w:val="left"/>
      </w:pPr>
      <w:r>
        <w:rPr>
          <w:position w:val="-1"/>
        </w:rPr>
        <w:t>脊髓灰质</w:t>
      </w:r>
    </w:p>
    <w:p>
      <w:pPr>
        <w:spacing w:before="87"/>
        <w:ind w:left="1100" w:right="0" w:firstLine="0"/>
        <w:jc w:val="left"/>
        <w:rPr>
          <w:b/>
          <w:sz w:val="21"/>
        </w:rPr>
      </w:pPr>
      <w:r>
        <w:rPr>
          <w:b/>
          <w:w w:val="100"/>
          <w:sz w:val="21"/>
        </w:rPr>
        <w:t>炎</w:t>
      </w:r>
    </w:p>
    <w:p>
      <w:pPr>
        <w:pStyle w:val="BodyText"/>
        <w:spacing w:line="273" w:lineRule="auto" w:before="37"/>
        <w:ind w:left="104" w:right="214" w:firstLine="420"/>
      </w:pPr>
      <w:r>
        <w:rPr/>
        <w:br w:type="column"/>
      </w:r>
      <w:r>
        <w:rPr/>
        <w:t>脊髓灰质炎是由于脊髓灰质炎病毒感染所致的瘫痪性疾病，临床表现为运动功能损害或呼吸无力。脊髓灰质炎必须明确诊断。</w:t>
      </w:r>
    </w:p>
    <w:p>
      <w:pPr>
        <w:pStyle w:val="Heading1"/>
        <w:spacing w:line="273" w:lineRule="auto" w:before="8"/>
        <w:ind w:left="104" w:right="222" w:firstLine="422"/>
      </w:pPr>
      <w:r>
        <w:rPr/>
        <w:t>本保险仅对脊髓灰质炎造成的神经系统功能损害导致被保险人一肢或一肢以上肢体机能永久完全丧失的情况予以理赔。</w:t>
      </w:r>
    </w:p>
    <w:p>
      <w:pPr>
        <w:pStyle w:val="BodyText"/>
        <w:spacing w:line="273" w:lineRule="auto" w:before="8"/>
        <w:ind w:left="104" w:right="212" w:firstLine="420"/>
      </w:pPr>
      <w:r>
        <w:rPr/>
        <w:t>肢体机能永久完全丧失，指疾病确诊 180 天后，每肢三大关节中的两大关节仍然完全僵硬，或不能随意识活动。</w:t>
      </w:r>
    </w:p>
    <w:p>
      <w:pPr>
        <w:spacing w:after="0" w:line="273" w:lineRule="auto"/>
        <w:sectPr>
          <w:type w:val="continuous"/>
          <w:pgSz w:w="11910" w:h="16840"/>
          <w:pgMar w:top="260" w:bottom="1180" w:left="880" w:right="1120"/>
          <w:cols w:num="2" w:equalWidth="0">
            <w:col w:w="1946" w:space="183"/>
            <w:col w:w="7781"/>
          </w:cols>
        </w:sectPr>
      </w:pPr>
    </w:p>
    <w:p>
      <w:pPr>
        <w:pStyle w:val="BodyText"/>
        <w:spacing w:before="8"/>
      </w:pPr>
    </w:p>
    <w:p>
      <w:pPr>
        <w:spacing w:after="0"/>
        <w:sectPr>
          <w:type w:val="continuous"/>
          <w:pgSz w:w="11910" w:h="16840"/>
          <w:pgMar w:top="260" w:bottom="1180" w:left="880" w:right="1120"/>
        </w:sectPr>
      </w:pPr>
    </w:p>
    <w:p>
      <w:pPr>
        <w:pStyle w:val="Heading1"/>
        <w:numPr>
          <w:ilvl w:val="2"/>
          <w:numId w:val="4"/>
        </w:numPr>
        <w:tabs>
          <w:tab w:pos="1100" w:val="left" w:leader="none"/>
          <w:tab w:pos="1101" w:val="left" w:leader="none"/>
        </w:tabs>
        <w:spacing w:line="240" w:lineRule="auto" w:before="37" w:after="0"/>
        <w:ind w:left="1100" w:right="0" w:hanging="996"/>
        <w:jc w:val="left"/>
      </w:pPr>
      <w:r>
        <w:rPr>
          <w:position w:val="-1"/>
        </w:rPr>
        <w:t>全身性重</w:t>
      </w:r>
    </w:p>
    <w:p>
      <w:pPr>
        <w:spacing w:before="86"/>
        <w:ind w:left="1100" w:right="0" w:firstLine="0"/>
        <w:jc w:val="left"/>
        <w:rPr>
          <w:b/>
          <w:sz w:val="21"/>
        </w:rPr>
      </w:pPr>
      <w:r>
        <w:rPr>
          <w:b/>
          <w:sz w:val="21"/>
        </w:rPr>
        <w:t>症肌无力</w:t>
      </w:r>
    </w:p>
    <w:p>
      <w:pPr>
        <w:pStyle w:val="BodyText"/>
        <w:spacing w:line="273" w:lineRule="auto" w:before="37"/>
        <w:ind w:left="104" w:right="214" w:firstLine="420"/>
        <w:jc w:val="both"/>
      </w:pPr>
      <w:r>
        <w:rPr/>
        <w:br w:type="column"/>
      </w:r>
      <w:r>
        <w:rPr/>
        <w:t>重症肌无力是一种神经肌肉接头传递障碍所致的疾病，表现为局部或全身骨骼肌（特别是眼外肌）极易疲劳。疾病可以累及呼吸肌、上肢或下肢的近端肌群或全身肌肉，必须满足下列全部条件：</w:t>
      </w:r>
    </w:p>
    <w:p>
      <w:pPr>
        <w:pStyle w:val="BodyText"/>
        <w:spacing w:before="7"/>
        <w:ind w:left="524"/>
      </w:pPr>
      <w:r>
        <w:rPr/>
        <w:t>1.经药物治疗和胸腺切除治疗一年以上仍无法控制病情；</w:t>
      </w:r>
    </w:p>
    <w:p>
      <w:pPr>
        <w:pStyle w:val="BodyText"/>
        <w:spacing w:line="273" w:lineRule="auto" w:before="37"/>
        <w:ind w:left="104" w:right="214" w:firstLine="420"/>
        <w:jc w:val="both"/>
      </w:pPr>
      <w:r>
        <w:rPr/>
        <w:t>2.自主生活能力完全丧失，无法独立完成六项基本日常生活活动中的三项或三项以上。</w:t>
      </w:r>
    </w:p>
    <w:p>
      <w:pPr>
        <w:spacing w:after="0" w:line="273" w:lineRule="auto"/>
        <w:jc w:val="both"/>
        <w:sectPr>
          <w:type w:val="continuous"/>
          <w:pgSz w:w="11910" w:h="16840"/>
          <w:pgMar w:top="260" w:bottom="1180" w:left="880" w:right="1120"/>
          <w:cols w:num="2" w:equalWidth="0">
            <w:col w:w="1946" w:space="183"/>
            <w:col w:w="7781"/>
          </w:cols>
        </w:sectPr>
      </w:pPr>
    </w:p>
    <w:p>
      <w:pPr>
        <w:pStyle w:val="BodyText"/>
        <w:spacing w:before="8"/>
      </w:pPr>
    </w:p>
    <w:p>
      <w:pPr>
        <w:spacing w:after="0"/>
        <w:sectPr>
          <w:type w:val="continuous"/>
          <w:pgSz w:w="11910" w:h="16840"/>
          <w:pgMar w:top="260" w:bottom="1180" w:left="880" w:right="1120"/>
        </w:sectPr>
      </w:pPr>
    </w:p>
    <w:p>
      <w:pPr>
        <w:pStyle w:val="Heading1"/>
        <w:numPr>
          <w:ilvl w:val="2"/>
          <w:numId w:val="4"/>
        </w:numPr>
        <w:tabs>
          <w:tab w:pos="1100" w:val="left" w:leader="none"/>
          <w:tab w:pos="1101" w:val="left" w:leader="none"/>
        </w:tabs>
        <w:spacing w:line="240" w:lineRule="auto" w:before="37" w:after="0"/>
        <w:ind w:left="1100" w:right="0" w:hanging="996"/>
        <w:jc w:val="left"/>
      </w:pPr>
      <w:r>
        <w:rPr>
          <w:position w:val="-1"/>
        </w:rPr>
        <w:t>严重冠心</w:t>
      </w:r>
    </w:p>
    <w:p>
      <w:pPr>
        <w:spacing w:before="87"/>
        <w:ind w:left="1100" w:right="0" w:firstLine="0"/>
        <w:jc w:val="left"/>
        <w:rPr>
          <w:b/>
          <w:sz w:val="21"/>
        </w:rPr>
      </w:pPr>
      <w:r>
        <w:rPr>
          <w:b/>
          <w:w w:val="100"/>
          <w:sz w:val="21"/>
        </w:rPr>
        <w:t>病</w:t>
      </w:r>
    </w:p>
    <w:p>
      <w:pPr>
        <w:pStyle w:val="BodyText"/>
        <w:spacing w:line="273" w:lineRule="auto" w:before="37"/>
        <w:ind w:left="104" w:right="214" w:firstLine="420"/>
        <w:jc w:val="both"/>
      </w:pPr>
      <w:r>
        <w:rPr/>
        <w:br w:type="column"/>
      </w:r>
      <w:r>
        <w:rPr/>
        <w:t>指经根据冠状动脉造影检查结果明确诊断为三支主要血管（左冠状动脉主干和右冠状动脉，或前降支、左旋支和右冠状动脉）严重狭窄性病变（至少一支血</w:t>
      </w:r>
      <w:r>
        <w:rPr>
          <w:spacing w:val="-8"/>
        </w:rPr>
        <w:t>管管腔直径减少 </w:t>
      </w:r>
      <w:r>
        <w:rPr/>
        <w:t>75</w:t>
      </w:r>
      <w:r>
        <w:rPr>
          <w:spacing w:val="-6"/>
        </w:rPr>
        <w:t>%以上和其他两支血管管腔直径减少 </w:t>
      </w:r>
      <w:r>
        <w:rPr/>
        <w:t>60%</w:t>
      </w:r>
      <w:r>
        <w:rPr>
          <w:spacing w:val="-2"/>
        </w:rPr>
        <w:t>以上</w:t>
      </w:r>
      <w:r>
        <w:rPr>
          <w:spacing w:val="-108"/>
        </w:rPr>
        <w:t>）</w:t>
      </w:r>
      <w:r>
        <w:rPr/>
        <w:t>。</w:t>
      </w:r>
    </w:p>
    <w:p>
      <w:pPr>
        <w:pStyle w:val="Heading1"/>
        <w:spacing w:before="8"/>
        <w:ind w:left="526"/>
      </w:pPr>
      <w:r>
        <w:rPr/>
        <w:t>前降支、左旋支及右冠状动脉的分支血管的狭窄不作为本保障的衡量指标。</w:t>
      </w:r>
    </w:p>
    <w:p>
      <w:pPr>
        <w:spacing w:after="0"/>
        <w:sectPr>
          <w:type w:val="continuous"/>
          <w:pgSz w:w="11910" w:h="16840"/>
          <w:pgMar w:top="260" w:bottom="1180" w:left="880" w:right="1120"/>
          <w:cols w:num="2" w:equalWidth="0">
            <w:col w:w="1946" w:space="183"/>
            <w:col w:w="7781"/>
          </w:cols>
        </w:sectPr>
      </w:pPr>
    </w:p>
    <w:p>
      <w:pPr>
        <w:pStyle w:val="BodyText"/>
        <w:spacing w:before="12"/>
        <w:rPr>
          <w:b/>
          <w:sz w:val="23"/>
        </w:rPr>
      </w:pPr>
    </w:p>
    <w:p>
      <w:pPr>
        <w:spacing w:after="0"/>
        <w:rPr>
          <w:sz w:val="23"/>
        </w:rPr>
        <w:sectPr>
          <w:type w:val="continuous"/>
          <w:pgSz w:w="11910" w:h="16840"/>
          <w:pgMar w:top="260" w:bottom="1180" w:left="880" w:right="1120"/>
        </w:sectPr>
      </w:pPr>
    </w:p>
    <w:p>
      <w:pPr>
        <w:pStyle w:val="ListParagraph"/>
        <w:numPr>
          <w:ilvl w:val="2"/>
          <w:numId w:val="4"/>
        </w:numPr>
        <w:tabs>
          <w:tab w:pos="1100" w:val="left" w:leader="none"/>
          <w:tab w:pos="1101" w:val="left" w:leader="none"/>
        </w:tabs>
        <w:spacing w:line="240" w:lineRule="auto" w:before="36" w:after="0"/>
        <w:ind w:left="1100" w:right="0" w:hanging="996"/>
        <w:jc w:val="left"/>
        <w:rPr>
          <w:b/>
          <w:sz w:val="21"/>
        </w:rPr>
      </w:pPr>
      <w:r>
        <w:rPr>
          <w:b/>
          <w:position w:val="-1"/>
          <w:sz w:val="21"/>
        </w:rPr>
        <w:t>严重心肌</w:t>
      </w:r>
    </w:p>
    <w:p>
      <w:pPr>
        <w:spacing w:before="86"/>
        <w:ind w:left="1100" w:right="0" w:firstLine="0"/>
        <w:jc w:val="left"/>
        <w:rPr>
          <w:b/>
          <w:sz w:val="21"/>
        </w:rPr>
      </w:pPr>
      <w:r>
        <w:rPr>
          <w:b/>
          <w:w w:val="100"/>
          <w:sz w:val="21"/>
        </w:rPr>
        <w:t>病</w:t>
      </w:r>
    </w:p>
    <w:p>
      <w:pPr>
        <w:pStyle w:val="BodyText"/>
        <w:spacing w:line="273" w:lineRule="auto" w:before="36"/>
        <w:ind w:left="104" w:right="212" w:firstLine="420"/>
        <w:jc w:val="both"/>
      </w:pPr>
      <w:r>
        <w:rPr/>
        <w:br w:type="column"/>
      </w:r>
      <w:r>
        <w:rPr/>
        <w:t>指被保险人因心肌病导致慢性心功能损害造成永久不可逆性的心功能衰竭。</w:t>
      </w:r>
      <w:r>
        <w:rPr>
          <w:spacing w:val="-5"/>
        </w:rPr>
        <w:t>心功能衰竭程度达到纽约心脏病学会的心功能分级标准之心功能 </w:t>
      </w:r>
      <w:r>
        <w:rPr/>
        <w:t>IV</w:t>
      </w:r>
      <w:r>
        <w:rPr>
          <w:spacing w:val="-9"/>
        </w:rPr>
        <w:t> 级。被保险人</w:t>
      </w:r>
      <w:r>
        <w:rPr>
          <w:spacing w:val="-5"/>
        </w:rPr>
        <w:t>永久不可逆性的体力活动能力受限，不能从事任何体力活动。</w:t>
      </w:r>
    </w:p>
    <w:p>
      <w:pPr>
        <w:spacing w:after="0" w:line="273" w:lineRule="auto"/>
        <w:jc w:val="both"/>
        <w:sectPr>
          <w:type w:val="continuous"/>
          <w:pgSz w:w="11910" w:h="16840"/>
          <w:pgMar w:top="260" w:bottom="1180" w:left="880" w:right="1120"/>
          <w:cols w:num="2" w:equalWidth="0">
            <w:col w:w="1946" w:space="183"/>
            <w:col w:w="7781"/>
          </w:cols>
        </w:sectPr>
      </w:pPr>
    </w:p>
    <w:p>
      <w:pPr>
        <w:pStyle w:val="BodyText"/>
        <w:spacing w:before="8"/>
      </w:pPr>
    </w:p>
    <w:p>
      <w:pPr>
        <w:spacing w:after="0"/>
        <w:sectPr>
          <w:type w:val="continuous"/>
          <w:pgSz w:w="11910" w:h="16840"/>
          <w:pgMar w:top="260" w:bottom="1180" w:left="880" w:right="1120"/>
        </w:sectPr>
      </w:pPr>
    </w:p>
    <w:p>
      <w:pPr>
        <w:pStyle w:val="Heading1"/>
        <w:numPr>
          <w:ilvl w:val="2"/>
          <w:numId w:val="4"/>
        </w:numPr>
        <w:tabs>
          <w:tab w:pos="1100" w:val="left" w:leader="none"/>
          <w:tab w:pos="1101" w:val="left" w:leader="none"/>
        </w:tabs>
        <w:spacing w:line="240" w:lineRule="auto" w:before="36" w:after="0"/>
        <w:ind w:left="1100" w:right="0" w:hanging="996"/>
        <w:jc w:val="left"/>
      </w:pPr>
      <w:r>
        <w:rPr>
          <w:position w:val="-1"/>
        </w:rPr>
        <w:t>系统性红</w:t>
      </w:r>
    </w:p>
    <w:p>
      <w:pPr>
        <w:spacing w:before="86"/>
        <w:ind w:left="1100" w:right="0" w:firstLine="0"/>
        <w:jc w:val="left"/>
        <w:rPr>
          <w:b/>
          <w:sz w:val="21"/>
        </w:rPr>
      </w:pPr>
      <w:r>
        <w:rPr>
          <w:b/>
          <w:sz w:val="21"/>
        </w:rPr>
        <w:t>斑狼疮</w:t>
      </w:r>
    </w:p>
    <w:p>
      <w:pPr>
        <w:spacing w:line="314" w:lineRule="auto" w:before="85"/>
        <w:ind w:left="1100" w:right="0" w:firstLine="0"/>
        <w:jc w:val="both"/>
        <w:rPr>
          <w:b/>
          <w:sz w:val="21"/>
        </w:rPr>
      </w:pPr>
      <w:r>
        <w:rPr>
          <w:b/>
          <w:sz w:val="21"/>
        </w:rPr>
        <w:t>-III</w:t>
      </w:r>
      <w:r>
        <w:rPr>
          <w:b/>
          <w:spacing w:val="-19"/>
          <w:sz w:val="21"/>
        </w:rPr>
        <w:t> 型或以上狼疮性肾炎</w:t>
      </w: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1"/>
        <w:rPr>
          <w:b/>
          <w:sz w:val="17"/>
        </w:rPr>
      </w:pPr>
    </w:p>
    <w:p>
      <w:pPr>
        <w:pStyle w:val="ListParagraph"/>
        <w:numPr>
          <w:ilvl w:val="2"/>
          <w:numId w:val="4"/>
        </w:numPr>
        <w:tabs>
          <w:tab w:pos="1100" w:val="left" w:leader="none"/>
          <w:tab w:pos="1101" w:val="left" w:leader="none"/>
        </w:tabs>
        <w:spacing w:line="240" w:lineRule="auto" w:before="0" w:after="0"/>
        <w:ind w:left="1100" w:right="0" w:hanging="996"/>
        <w:jc w:val="left"/>
        <w:rPr>
          <w:b/>
          <w:sz w:val="21"/>
        </w:rPr>
      </w:pPr>
      <w:r>
        <w:rPr>
          <w:b/>
          <w:position w:val="-1"/>
          <w:sz w:val="21"/>
        </w:rPr>
        <w:t>因职业关</w:t>
      </w:r>
    </w:p>
    <w:p>
      <w:pPr>
        <w:spacing w:line="314" w:lineRule="auto" w:before="86"/>
        <w:ind w:left="1100" w:right="50" w:firstLine="0"/>
        <w:jc w:val="both"/>
        <w:rPr>
          <w:b/>
          <w:sz w:val="21"/>
        </w:rPr>
      </w:pPr>
      <w:r>
        <w:rPr>
          <w:b/>
          <w:sz w:val="21"/>
        </w:rPr>
        <w:t>系导致的人类免疫缺陷病毒</w:t>
      </w:r>
    </w:p>
    <w:p>
      <w:pPr>
        <w:spacing w:line="312" w:lineRule="auto" w:before="19"/>
        <w:ind w:left="1100" w:right="7" w:firstLine="0"/>
        <w:jc w:val="both"/>
        <w:rPr>
          <w:b/>
          <w:sz w:val="21"/>
        </w:rPr>
      </w:pPr>
      <w:r>
        <w:rPr>
          <w:b/>
          <w:spacing w:val="-7"/>
          <w:sz w:val="21"/>
        </w:rPr>
        <w:t>（HIV）</w:t>
      </w:r>
      <w:r>
        <w:rPr>
          <w:b/>
          <w:spacing w:val="-32"/>
          <w:sz w:val="21"/>
        </w:rPr>
        <w:t>感</w:t>
      </w:r>
      <w:r>
        <w:rPr>
          <w:b/>
          <w:sz w:val="21"/>
        </w:rPr>
        <w:t>染</w:t>
      </w:r>
    </w:p>
    <w:p>
      <w:pPr>
        <w:pStyle w:val="BodyText"/>
        <w:spacing w:line="273" w:lineRule="auto" w:before="36"/>
        <w:ind w:left="104" w:right="314" w:firstLine="420"/>
      </w:pPr>
      <w:r>
        <w:rPr/>
        <w:br w:type="column"/>
      </w:r>
      <w:r>
        <w:rPr/>
        <w:t>系统性红斑狼疮是由多种因素引起，累及多系统的自身免疫性疾病。其特点是生成自身抗体对抗多种自身抗原。多见于育龄妇女。</w:t>
      </w:r>
    </w:p>
    <w:p>
      <w:pPr>
        <w:pStyle w:val="BodyText"/>
        <w:spacing w:line="273" w:lineRule="auto" w:before="7"/>
        <w:ind w:left="104" w:right="212" w:firstLine="420"/>
      </w:pPr>
      <w:r>
        <w:rPr>
          <w:spacing w:val="-5"/>
        </w:rPr>
        <w:t>本保险所指的系统性红斑狼疮仅限于累及肾脏</w:t>
      </w:r>
      <w:r>
        <w:rPr>
          <w:spacing w:val="-3"/>
        </w:rPr>
        <w:t>（</w:t>
      </w:r>
      <w:r>
        <w:rPr>
          <w:spacing w:val="-8"/>
        </w:rPr>
        <w:t>经肾脏活检确认的，符合 </w:t>
      </w:r>
      <w:r>
        <w:rPr/>
        <w:t>WHO </w:t>
      </w:r>
      <w:r>
        <w:rPr>
          <w:spacing w:val="-9"/>
        </w:rPr>
        <w:t>诊断标准定义 </w:t>
      </w:r>
      <w:r>
        <w:rPr/>
        <w:t>III</w:t>
      </w:r>
      <w:r>
        <w:rPr>
          <w:spacing w:val="-25"/>
        </w:rPr>
        <w:t> 型至 </w:t>
      </w:r>
      <w:r>
        <w:rPr/>
        <w:t>V</w:t>
      </w:r>
      <w:r>
        <w:rPr>
          <w:spacing w:val="-10"/>
        </w:rPr>
        <w:t> 型狼疮性肾炎</w:t>
      </w:r>
      <w:r>
        <w:rPr>
          <w:spacing w:val="-3"/>
        </w:rPr>
        <w:t>）的系统性红斑狼疮。</w:t>
      </w:r>
    </w:p>
    <w:p>
      <w:pPr>
        <w:pStyle w:val="Heading1"/>
        <w:spacing w:line="273" w:lineRule="auto" w:before="7"/>
        <w:ind w:left="104" w:right="290" w:firstLine="422"/>
      </w:pPr>
      <w:r>
        <w:rPr/>
        <w:t>其他类型的红斑性狼疮，如盘状狼疮、仅累及血液及关节的狼疮不在本保险保障范围內。</w:t>
      </w:r>
    </w:p>
    <w:p>
      <w:pPr>
        <w:pStyle w:val="BodyText"/>
        <w:spacing w:before="7"/>
        <w:ind w:left="524"/>
      </w:pPr>
      <w:r>
        <w:rPr/>
        <w:t>世界卫生组织（WHO）狼疮性肾炎分型：</w:t>
      </w:r>
    </w:p>
    <w:p>
      <w:pPr>
        <w:pStyle w:val="BodyText"/>
        <w:spacing w:before="10"/>
        <w:rPr>
          <w:sz w:val="3"/>
        </w:rPr>
      </w:pPr>
    </w:p>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0"/>
        <w:gridCol w:w="4395"/>
      </w:tblGrid>
      <w:tr>
        <w:trPr>
          <w:trHeight w:val="311" w:hRule="atLeast"/>
        </w:trPr>
        <w:tc>
          <w:tcPr>
            <w:tcW w:w="2830" w:type="dxa"/>
          </w:tcPr>
          <w:p>
            <w:pPr>
              <w:pStyle w:val="TableParagraph"/>
              <w:spacing w:line="262" w:lineRule="exact" w:before="0"/>
              <w:ind w:left="110"/>
              <w:rPr>
                <w:sz w:val="21"/>
              </w:rPr>
            </w:pPr>
            <w:r>
              <w:rPr>
                <w:sz w:val="21"/>
              </w:rPr>
              <w:t>I 型（微小病变型）</w:t>
            </w:r>
          </w:p>
        </w:tc>
        <w:tc>
          <w:tcPr>
            <w:tcW w:w="4395" w:type="dxa"/>
          </w:tcPr>
          <w:p>
            <w:pPr>
              <w:pStyle w:val="TableParagraph"/>
              <w:spacing w:line="262" w:lineRule="exact" w:before="0"/>
              <w:ind w:left="108"/>
              <w:rPr>
                <w:sz w:val="21"/>
              </w:rPr>
            </w:pPr>
            <w:r>
              <w:rPr>
                <w:sz w:val="21"/>
              </w:rPr>
              <w:t>镜下阴性，尿液正常</w:t>
            </w:r>
          </w:p>
        </w:tc>
      </w:tr>
      <w:tr>
        <w:trPr>
          <w:trHeight w:val="311" w:hRule="atLeast"/>
        </w:trPr>
        <w:tc>
          <w:tcPr>
            <w:tcW w:w="2830" w:type="dxa"/>
          </w:tcPr>
          <w:p>
            <w:pPr>
              <w:pStyle w:val="TableParagraph"/>
              <w:spacing w:line="262" w:lineRule="exact" w:before="0"/>
              <w:ind w:left="110"/>
              <w:rPr>
                <w:sz w:val="21"/>
              </w:rPr>
            </w:pPr>
            <w:r>
              <w:rPr>
                <w:sz w:val="21"/>
              </w:rPr>
              <w:t>II 型（系膜病变型）</w:t>
            </w:r>
          </w:p>
        </w:tc>
        <w:tc>
          <w:tcPr>
            <w:tcW w:w="4395" w:type="dxa"/>
          </w:tcPr>
          <w:p>
            <w:pPr>
              <w:pStyle w:val="TableParagraph"/>
              <w:spacing w:line="262" w:lineRule="exact" w:before="0"/>
              <w:ind w:left="108"/>
              <w:rPr>
                <w:sz w:val="21"/>
              </w:rPr>
            </w:pPr>
            <w:r>
              <w:rPr>
                <w:sz w:val="21"/>
              </w:rPr>
              <w:t>中度蛋白尿，偶有尿沉渣改变</w:t>
            </w:r>
          </w:p>
        </w:tc>
      </w:tr>
      <w:tr>
        <w:trPr>
          <w:trHeight w:val="312" w:hRule="atLeast"/>
        </w:trPr>
        <w:tc>
          <w:tcPr>
            <w:tcW w:w="2830" w:type="dxa"/>
          </w:tcPr>
          <w:p>
            <w:pPr>
              <w:pStyle w:val="TableParagraph"/>
              <w:spacing w:line="263" w:lineRule="exact" w:before="0"/>
              <w:ind w:left="110"/>
              <w:rPr>
                <w:sz w:val="21"/>
              </w:rPr>
            </w:pPr>
            <w:r>
              <w:rPr>
                <w:sz w:val="21"/>
              </w:rPr>
              <w:t>III</w:t>
            </w:r>
            <w:r>
              <w:rPr>
                <w:spacing w:val="-21"/>
                <w:sz w:val="21"/>
              </w:rPr>
              <w:t> 型</w:t>
            </w:r>
            <w:r>
              <w:rPr>
                <w:sz w:val="21"/>
              </w:rPr>
              <w:t>（</w:t>
            </w:r>
            <w:r>
              <w:rPr>
                <w:spacing w:val="-3"/>
                <w:sz w:val="21"/>
              </w:rPr>
              <w:t>局灶及节段增生型</w:t>
            </w:r>
            <w:r>
              <w:rPr>
                <w:sz w:val="21"/>
              </w:rPr>
              <w:t>）</w:t>
            </w:r>
          </w:p>
        </w:tc>
        <w:tc>
          <w:tcPr>
            <w:tcW w:w="4395" w:type="dxa"/>
          </w:tcPr>
          <w:p>
            <w:pPr>
              <w:pStyle w:val="TableParagraph"/>
              <w:spacing w:line="263" w:lineRule="exact" w:before="0"/>
              <w:ind w:left="108"/>
              <w:rPr>
                <w:sz w:val="21"/>
              </w:rPr>
            </w:pPr>
            <w:r>
              <w:rPr>
                <w:sz w:val="21"/>
              </w:rPr>
              <w:t>蛋白尿，尿沉渣改变</w:t>
            </w:r>
          </w:p>
        </w:tc>
      </w:tr>
      <w:tr>
        <w:trPr>
          <w:trHeight w:val="311" w:hRule="atLeast"/>
        </w:trPr>
        <w:tc>
          <w:tcPr>
            <w:tcW w:w="2830" w:type="dxa"/>
          </w:tcPr>
          <w:p>
            <w:pPr>
              <w:pStyle w:val="TableParagraph"/>
              <w:spacing w:line="262" w:lineRule="exact" w:before="0"/>
              <w:ind w:left="110"/>
              <w:rPr>
                <w:sz w:val="21"/>
              </w:rPr>
            </w:pPr>
            <w:r>
              <w:rPr>
                <w:sz w:val="21"/>
              </w:rPr>
              <w:t>IV 型（弥漫增生型）</w:t>
            </w:r>
          </w:p>
        </w:tc>
        <w:tc>
          <w:tcPr>
            <w:tcW w:w="4395" w:type="dxa"/>
          </w:tcPr>
          <w:p>
            <w:pPr>
              <w:pStyle w:val="TableParagraph"/>
              <w:spacing w:line="262" w:lineRule="exact" w:before="0"/>
              <w:ind w:left="108"/>
              <w:rPr>
                <w:sz w:val="21"/>
              </w:rPr>
            </w:pPr>
            <w:r>
              <w:rPr>
                <w:sz w:val="21"/>
              </w:rPr>
              <w:t>急性肾炎伴有尿沉渣改变及／或肾病综合征</w:t>
            </w:r>
          </w:p>
        </w:tc>
      </w:tr>
      <w:tr>
        <w:trPr>
          <w:trHeight w:val="313" w:hRule="atLeast"/>
        </w:trPr>
        <w:tc>
          <w:tcPr>
            <w:tcW w:w="2830" w:type="dxa"/>
          </w:tcPr>
          <w:p>
            <w:pPr>
              <w:pStyle w:val="TableParagraph"/>
              <w:spacing w:line="265" w:lineRule="exact" w:before="0"/>
              <w:ind w:left="110"/>
              <w:rPr>
                <w:sz w:val="21"/>
              </w:rPr>
            </w:pPr>
            <w:r>
              <w:rPr>
                <w:sz w:val="21"/>
              </w:rPr>
              <w:t>V 型（膜型）</w:t>
            </w:r>
          </w:p>
        </w:tc>
        <w:tc>
          <w:tcPr>
            <w:tcW w:w="4395" w:type="dxa"/>
          </w:tcPr>
          <w:p>
            <w:pPr>
              <w:pStyle w:val="TableParagraph"/>
              <w:spacing w:line="265" w:lineRule="exact" w:before="0"/>
              <w:ind w:left="108"/>
              <w:rPr>
                <w:sz w:val="21"/>
              </w:rPr>
            </w:pPr>
            <w:r>
              <w:rPr>
                <w:sz w:val="21"/>
              </w:rPr>
              <w:t>肾病综合征或重度蛋白尿</w:t>
            </w:r>
          </w:p>
        </w:tc>
      </w:tr>
    </w:tbl>
    <w:p>
      <w:pPr>
        <w:pStyle w:val="BodyText"/>
        <w:spacing w:before="11"/>
        <w:rPr>
          <w:sz w:val="22"/>
        </w:rPr>
      </w:pPr>
    </w:p>
    <w:p>
      <w:pPr>
        <w:pStyle w:val="BodyText"/>
        <w:spacing w:line="273" w:lineRule="auto" w:before="1"/>
        <w:ind w:left="104" w:right="214" w:firstLine="420"/>
      </w:pPr>
      <w:r>
        <w:rPr/>
        <w:t>被保险人在其常规职业工作过程中遭遇外伤，或者职业需要处理血液或者其</w:t>
      </w:r>
      <w:r>
        <w:rPr>
          <w:spacing w:val="-3"/>
          <w:w w:val="100"/>
        </w:rPr>
        <w:t>他体液时感染上人类免疫缺陷病毒</w:t>
      </w:r>
      <w:r>
        <w:rPr>
          <w:spacing w:val="-2"/>
          <w:w w:val="100"/>
        </w:rPr>
        <w:t>（</w:t>
      </w:r>
      <w:r>
        <w:rPr>
          <w:w w:val="100"/>
        </w:rPr>
        <w:t>HIV</w:t>
      </w:r>
      <w:r>
        <w:rPr>
          <w:spacing w:val="-108"/>
          <w:w w:val="100"/>
        </w:rPr>
        <w:t>）。</w:t>
      </w:r>
    </w:p>
    <w:p>
      <w:pPr>
        <w:pStyle w:val="BodyText"/>
        <w:spacing w:before="8"/>
        <w:ind w:left="104"/>
      </w:pPr>
      <w:r>
        <w:rPr/>
        <w:t>必须满足下列全部条件：</w:t>
      </w:r>
    </w:p>
    <w:p>
      <w:pPr>
        <w:pStyle w:val="BodyText"/>
        <w:spacing w:line="273" w:lineRule="auto" w:before="37"/>
        <w:ind w:left="104" w:right="214" w:firstLine="420"/>
      </w:pPr>
      <w:r>
        <w:rPr/>
        <w:t>1.感染必须是在被保险人正在从事其职业工作中发生，该职业必须属于以下列表内的职业；</w:t>
      </w:r>
    </w:p>
    <w:p>
      <w:pPr>
        <w:pStyle w:val="BodyText"/>
        <w:spacing w:before="7"/>
        <w:ind w:left="524"/>
      </w:pPr>
      <w:r>
        <w:rPr/>
        <w:t>2.血清转化必须出现在事故发生后的 6 个月以内；</w:t>
      </w:r>
    </w:p>
    <w:p>
      <w:pPr>
        <w:pStyle w:val="BodyText"/>
        <w:spacing w:line="273" w:lineRule="auto" w:before="37"/>
        <w:ind w:left="104" w:right="212" w:firstLine="420"/>
      </w:pPr>
      <w:r>
        <w:rPr/>
        <w:t>3.必须提供被保险人在所报事故发生后的 5 天以内进行的检查报告，该报告必须显示被保险人血液 HIV 病毒阴性和/或 HIV 抗体阴性；</w:t>
      </w:r>
    </w:p>
    <w:p>
      <w:pPr>
        <w:spacing w:after="0" w:line="273" w:lineRule="auto"/>
        <w:sectPr>
          <w:type w:val="continuous"/>
          <w:pgSz w:w="11910" w:h="16840"/>
          <w:pgMar w:top="260" w:bottom="1180" w:left="880" w:right="1120"/>
          <w:cols w:num="2" w:equalWidth="0">
            <w:col w:w="1999" w:space="131"/>
            <w:col w:w="7780"/>
          </w:cols>
        </w:sectPr>
      </w:pPr>
    </w:p>
    <w:p>
      <w:pPr>
        <w:pStyle w:val="BodyText"/>
        <w:rPr>
          <w:rFonts w:ascii="Times New Roman"/>
          <w:sz w:val="2"/>
        </w:rPr>
      </w:pPr>
      <w:r>
        <w:rPr/>
        <w:pict>
          <v:group style="position:absolute;margin-left:156.139999pt;margin-top:117.739983pt;width:347.15pt;height:81pt;mso-position-horizontal-relative:page;mso-position-vertical-relative:page;z-index:-64864" coordorigin="3123,2355" coordsize="6943,1620">
            <v:line style="position:absolute" from="3123,2360" to="7081,2360" stroked="true" strokeweight=".48pt" strokecolor="#000000">
              <v:stroke dashstyle="solid"/>
            </v:line>
            <v:line style="position:absolute" from="7091,2360" to="10055,2360" stroked="true" strokeweight=".48pt" strokecolor="#000000">
              <v:stroke dashstyle="solid"/>
            </v:line>
            <v:line style="position:absolute" from="3123,2681" to="7081,2681" stroked="true" strokeweight=".48pt" strokecolor="#000000">
              <v:stroke dashstyle="solid"/>
            </v:line>
            <v:line style="position:absolute" from="7091,2681" to="10055,2681" stroked="true" strokeweight=".48pt" strokecolor="#000000">
              <v:stroke dashstyle="solid"/>
            </v:line>
            <v:line style="position:absolute" from="3123,3003" to="7081,3003" stroked="true" strokeweight=".48pt" strokecolor="#000000">
              <v:stroke dashstyle="solid"/>
            </v:line>
            <v:line style="position:absolute" from="7091,3003" to="10055,3003" stroked="true" strokeweight=".48pt" strokecolor="#000000">
              <v:stroke dashstyle="solid"/>
            </v:line>
            <v:line style="position:absolute" from="3123,3324" to="7081,3324" stroked="true" strokeweight=".48pt" strokecolor="#000000">
              <v:stroke dashstyle="solid"/>
            </v:line>
            <v:line style="position:absolute" from="7091,3324" to="10055,3324" stroked="true" strokeweight=".48pt" strokecolor="#000000">
              <v:stroke dashstyle="solid"/>
            </v:line>
            <v:line style="position:absolute" from="3123,3646" to="7081,3646" stroked="true" strokeweight=".48001pt" strokecolor="#000000">
              <v:stroke dashstyle="solid"/>
            </v:line>
            <v:line style="position:absolute" from="7091,3646" to="10055,3646" stroked="true" strokeweight=".48001pt" strokecolor="#000000">
              <v:stroke dashstyle="solid"/>
            </v:line>
            <v:line style="position:absolute" from="3123,3970" to="7081,3970" stroked="true" strokeweight=".48pt" strokecolor="#000000">
              <v:stroke dashstyle="solid"/>
            </v:line>
            <v:line style="position:absolute" from="7086,2355" to="7086,3975" stroked="true" strokeweight=".48001pt" strokecolor="#000000">
              <v:stroke dashstyle="solid"/>
            </v:line>
            <v:line style="position:absolute" from="7091,3970" to="10055,3970" stroked="true" strokeweight=".48pt" strokecolor="#000000">
              <v:stroke dashstyle="solid"/>
            </v:line>
            <v:line style="position:absolute" from="10060,2355" to="10060,3975" stroked="true" strokeweight=".48001pt" strokecolor="#000000">
              <v:stroke dashstyle="solid"/>
            </v:line>
            <w10:wrap type="none"/>
          </v:group>
        </w:pict>
      </w: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
        <w:gridCol w:w="1313"/>
        <w:gridCol w:w="7558"/>
      </w:tblGrid>
      <w:tr>
        <w:trPr>
          <w:trHeight w:val="3639" w:hRule="atLeast"/>
        </w:trPr>
        <w:tc>
          <w:tcPr>
            <w:tcW w:w="1016" w:type="dxa"/>
            <w:tcBorders>
              <w:top w:val="single" w:sz="18" w:space="0" w:color="000000"/>
            </w:tcBorders>
          </w:tcPr>
          <w:p>
            <w:pPr>
              <w:pStyle w:val="TableParagraph"/>
              <w:spacing w:before="0"/>
              <w:ind w:left="0"/>
              <w:rPr>
                <w:rFonts w:ascii="Times New Roman"/>
                <w:sz w:val="20"/>
              </w:rPr>
            </w:pPr>
          </w:p>
        </w:tc>
        <w:tc>
          <w:tcPr>
            <w:tcW w:w="1313" w:type="dxa"/>
            <w:tcBorders>
              <w:top w:val="single" w:sz="18" w:space="0" w:color="000000"/>
              <w:right w:val="single" w:sz="4" w:space="0" w:color="000000"/>
            </w:tcBorders>
          </w:tcPr>
          <w:p>
            <w:pPr>
              <w:pStyle w:val="TableParagraph"/>
              <w:spacing w:before="0"/>
              <w:ind w:left="0"/>
              <w:rPr>
                <w:rFonts w:ascii="Times New Roman"/>
                <w:sz w:val="20"/>
              </w:rPr>
            </w:pPr>
          </w:p>
        </w:tc>
        <w:tc>
          <w:tcPr>
            <w:tcW w:w="7558" w:type="dxa"/>
            <w:tcBorders>
              <w:top w:val="single" w:sz="18" w:space="0" w:color="000000"/>
              <w:left w:val="single" w:sz="4" w:space="0" w:color="000000"/>
            </w:tcBorders>
          </w:tcPr>
          <w:p>
            <w:pPr>
              <w:pStyle w:val="TableParagraph"/>
              <w:spacing w:before="2"/>
              <w:ind w:left="0"/>
              <w:rPr>
                <w:rFonts w:ascii="Times New Roman"/>
                <w:sz w:val="23"/>
              </w:rPr>
            </w:pPr>
          </w:p>
          <w:p>
            <w:pPr>
              <w:pStyle w:val="TableParagraph"/>
              <w:spacing w:line="273" w:lineRule="auto" w:before="0"/>
              <w:ind w:left="-5" w:right="97" w:firstLine="420"/>
              <w:rPr>
                <w:sz w:val="21"/>
              </w:rPr>
            </w:pPr>
            <w:r>
              <w:rPr>
                <w:sz w:val="21"/>
              </w:rPr>
              <w:t>4.</w:t>
            </w:r>
            <w:r>
              <w:rPr>
                <w:spacing w:val="-6"/>
                <w:sz w:val="21"/>
              </w:rPr>
              <w:t>必须在事故发生后的 </w:t>
            </w:r>
            <w:r>
              <w:rPr>
                <w:sz w:val="21"/>
              </w:rPr>
              <w:t>6</w:t>
            </w:r>
            <w:r>
              <w:rPr>
                <w:spacing w:val="-9"/>
                <w:sz w:val="21"/>
              </w:rPr>
              <w:t> 个月内证实被保险人体内存在 </w:t>
            </w:r>
            <w:r>
              <w:rPr>
                <w:sz w:val="21"/>
              </w:rPr>
              <w:t>HIV</w:t>
            </w:r>
            <w:r>
              <w:rPr>
                <w:spacing w:val="-12"/>
                <w:sz w:val="21"/>
              </w:rPr>
              <w:t> 病毒或者 </w:t>
            </w:r>
            <w:r>
              <w:rPr>
                <w:sz w:val="21"/>
              </w:rPr>
              <w:t>HIV</w:t>
            </w:r>
            <w:r>
              <w:rPr>
                <w:spacing w:val="-16"/>
                <w:sz w:val="21"/>
              </w:rPr>
              <w:t> 抗体。</w:t>
            </w:r>
          </w:p>
          <w:p>
            <w:pPr>
              <w:pStyle w:val="TableParagraph"/>
              <w:spacing w:before="7"/>
              <w:ind w:left="417"/>
              <w:rPr>
                <w:b/>
                <w:sz w:val="21"/>
              </w:rPr>
            </w:pPr>
            <w:r>
              <w:rPr>
                <w:b/>
                <w:sz w:val="21"/>
              </w:rPr>
              <w:t>职业限制如下所示:</w:t>
            </w:r>
          </w:p>
          <w:p>
            <w:pPr>
              <w:pStyle w:val="TableParagraph"/>
              <w:tabs>
                <w:tab w:pos="4076" w:val="left" w:leader="none"/>
              </w:tabs>
              <w:spacing w:before="46"/>
              <w:ind w:left="110"/>
              <w:rPr>
                <w:sz w:val="21"/>
              </w:rPr>
            </w:pPr>
            <w:r>
              <w:rPr>
                <w:sz w:val="21"/>
              </w:rPr>
              <w:t>医生</w:t>
            </w:r>
            <w:r>
              <w:rPr>
                <w:spacing w:val="-3"/>
                <w:sz w:val="21"/>
              </w:rPr>
              <w:t>和</w:t>
            </w:r>
            <w:r>
              <w:rPr>
                <w:sz w:val="21"/>
              </w:rPr>
              <w:t>牙</w:t>
            </w:r>
            <w:r>
              <w:rPr>
                <w:spacing w:val="-3"/>
                <w:sz w:val="21"/>
              </w:rPr>
              <w:t>科</w:t>
            </w:r>
            <w:r>
              <w:rPr>
                <w:sz w:val="21"/>
              </w:rPr>
              <w:t>医生</w:t>
              <w:tab/>
              <w:t>护士</w:t>
            </w:r>
          </w:p>
          <w:p>
            <w:pPr>
              <w:pStyle w:val="TableParagraph"/>
              <w:tabs>
                <w:tab w:pos="4076" w:val="left" w:leader="none"/>
              </w:tabs>
              <w:spacing w:before="46"/>
              <w:ind w:left="110"/>
              <w:rPr>
                <w:sz w:val="21"/>
              </w:rPr>
            </w:pPr>
            <w:r>
              <w:rPr>
                <w:sz w:val="21"/>
              </w:rPr>
              <w:t>医院</w:t>
            </w:r>
            <w:r>
              <w:rPr>
                <w:spacing w:val="-3"/>
                <w:sz w:val="21"/>
              </w:rPr>
              <w:t>化</w:t>
            </w:r>
            <w:r>
              <w:rPr>
                <w:sz w:val="21"/>
              </w:rPr>
              <w:t>验</w:t>
            </w:r>
            <w:r>
              <w:rPr>
                <w:spacing w:val="-3"/>
                <w:sz w:val="21"/>
              </w:rPr>
              <w:t>室</w:t>
            </w:r>
            <w:r>
              <w:rPr>
                <w:sz w:val="21"/>
              </w:rPr>
              <w:t>工</w:t>
            </w:r>
            <w:r>
              <w:rPr>
                <w:spacing w:val="-3"/>
                <w:sz w:val="21"/>
              </w:rPr>
              <w:t>作</w:t>
            </w:r>
            <w:r>
              <w:rPr>
                <w:sz w:val="21"/>
              </w:rPr>
              <w:t>人员</w:t>
              <w:tab/>
              <w:t>医院</w:t>
            </w:r>
            <w:r>
              <w:rPr>
                <w:spacing w:val="-3"/>
                <w:sz w:val="21"/>
              </w:rPr>
              <w:t>护</w:t>
            </w:r>
            <w:r>
              <w:rPr>
                <w:sz w:val="21"/>
              </w:rPr>
              <w:t>工</w:t>
            </w:r>
          </w:p>
          <w:p>
            <w:pPr>
              <w:pStyle w:val="TableParagraph"/>
              <w:tabs>
                <w:tab w:pos="4076" w:val="left" w:leader="none"/>
              </w:tabs>
              <w:spacing w:before="46"/>
              <w:ind w:left="110"/>
              <w:rPr>
                <w:sz w:val="21"/>
              </w:rPr>
            </w:pPr>
            <w:r>
              <w:rPr>
                <w:sz w:val="21"/>
              </w:rPr>
              <w:t>医生</w:t>
            </w:r>
            <w:r>
              <w:rPr>
                <w:spacing w:val="-3"/>
                <w:sz w:val="21"/>
              </w:rPr>
              <w:t>助</w:t>
            </w:r>
            <w:r>
              <w:rPr>
                <w:sz w:val="21"/>
              </w:rPr>
              <w:t>理</w:t>
            </w:r>
            <w:r>
              <w:rPr>
                <w:spacing w:val="-3"/>
                <w:sz w:val="21"/>
              </w:rPr>
              <w:t>和</w:t>
            </w:r>
            <w:r>
              <w:rPr>
                <w:sz w:val="21"/>
              </w:rPr>
              <w:t>牙</w:t>
            </w:r>
            <w:r>
              <w:rPr>
                <w:spacing w:val="-3"/>
                <w:sz w:val="21"/>
              </w:rPr>
              <w:t>医</w:t>
            </w:r>
            <w:r>
              <w:rPr>
                <w:sz w:val="21"/>
              </w:rPr>
              <w:t>助理</w:t>
              <w:tab/>
              <w:t>救护</w:t>
            </w:r>
            <w:r>
              <w:rPr>
                <w:spacing w:val="-3"/>
                <w:sz w:val="21"/>
              </w:rPr>
              <w:t>车</w:t>
            </w:r>
            <w:r>
              <w:rPr>
                <w:sz w:val="21"/>
              </w:rPr>
              <w:t>工</w:t>
            </w:r>
            <w:r>
              <w:rPr>
                <w:spacing w:val="-3"/>
                <w:sz w:val="21"/>
              </w:rPr>
              <w:t>作</w:t>
            </w:r>
            <w:r>
              <w:rPr>
                <w:sz w:val="21"/>
              </w:rPr>
              <w:t>人员</w:t>
            </w:r>
          </w:p>
          <w:p>
            <w:pPr>
              <w:pStyle w:val="TableParagraph"/>
              <w:tabs>
                <w:tab w:pos="4076" w:val="left" w:leader="none"/>
              </w:tabs>
              <w:spacing w:before="46"/>
              <w:ind w:left="110"/>
              <w:rPr>
                <w:sz w:val="21"/>
              </w:rPr>
            </w:pPr>
            <w:r>
              <w:rPr>
                <w:sz w:val="21"/>
              </w:rPr>
              <w:t>助产士</w:t>
              <w:tab/>
              <w:t>消防</w:t>
            </w:r>
            <w:r>
              <w:rPr>
                <w:spacing w:val="-3"/>
                <w:sz w:val="21"/>
              </w:rPr>
              <w:t>队</w:t>
            </w:r>
            <w:r>
              <w:rPr>
                <w:sz w:val="21"/>
              </w:rPr>
              <w:t>员</w:t>
            </w:r>
          </w:p>
          <w:p>
            <w:pPr>
              <w:pStyle w:val="TableParagraph"/>
              <w:tabs>
                <w:tab w:pos="4076" w:val="left" w:leader="none"/>
              </w:tabs>
              <w:spacing w:before="48"/>
              <w:ind w:left="110"/>
              <w:rPr>
                <w:sz w:val="21"/>
              </w:rPr>
            </w:pPr>
            <w:r>
              <w:rPr>
                <w:sz w:val="21"/>
              </w:rPr>
              <w:t>警察</w:t>
              <w:tab/>
              <w:t>狱警</w:t>
            </w:r>
          </w:p>
          <w:p>
            <w:pPr>
              <w:pStyle w:val="TableParagraph"/>
              <w:spacing w:line="273" w:lineRule="auto" w:before="46"/>
              <w:ind w:left="-5" w:right="175" w:firstLine="422"/>
              <w:rPr>
                <w:b/>
                <w:sz w:val="21"/>
              </w:rPr>
            </w:pPr>
            <w:r>
              <w:rPr>
                <w:b/>
                <w:sz w:val="21"/>
              </w:rPr>
              <w:t>本公司承担本项疾病责任不受合同责任免除中“被保险人感染艾滋病病毒或患艾滋病”的限制。</w:t>
            </w:r>
          </w:p>
        </w:tc>
      </w:tr>
      <w:tr>
        <w:trPr>
          <w:trHeight w:val="3767" w:hRule="atLeast"/>
        </w:trPr>
        <w:tc>
          <w:tcPr>
            <w:tcW w:w="1016" w:type="dxa"/>
          </w:tcPr>
          <w:p>
            <w:pPr>
              <w:pStyle w:val="TableParagraph"/>
              <w:spacing w:before="165"/>
              <w:ind w:left="200"/>
              <w:rPr>
                <w:b/>
                <w:sz w:val="21"/>
              </w:rPr>
            </w:pPr>
            <w:r>
              <w:rPr>
                <w:b/>
                <w:sz w:val="21"/>
              </w:rPr>
              <w:t>6.6.34</w:t>
            </w:r>
          </w:p>
        </w:tc>
        <w:tc>
          <w:tcPr>
            <w:tcW w:w="1313" w:type="dxa"/>
          </w:tcPr>
          <w:p>
            <w:pPr>
              <w:pStyle w:val="TableParagraph"/>
              <w:spacing w:before="5"/>
              <w:ind w:left="0"/>
              <w:rPr>
                <w:rFonts w:ascii="Times New Roman"/>
                <w:sz w:val="16"/>
              </w:rPr>
            </w:pPr>
          </w:p>
          <w:p>
            <w:pPr>
              <w:pStyle w:val="TableParagraph"/>
              <w:spacing w:line="314" w:lineRule="auto" w:before="0"/>
              <w:ind w:left="180" w:right="285"/>
              <w:jc w:val="both"/>
              <w:rPr>
                <w:b/>
                <w:sz w:val="21"/>
              </w:rPr>
            </w:pPr>
            <w:r>
              <w:rPr>
                <w:b/>
                <w:sz w:val="21"/>
              </w:rPr>
              <w:t>经输血导致的人类免疫缺陷病毒</w:t>
            </w:r>
          </w:p>
          <w:p>
            <w:pPr>
              <w:pStyle w:val="TableParagraph"/>
              <w:spacing w:line="314" w:lineRule="auto" w:before="17"/>
              <w:ind w:left="180" w:right="242"/>
              <w:jc w:val="both"/>
              <w:rPr>
                <w:b/>
                <w:sz w:val="21"/>
              </w:rPr>
            </w:pPr>
            <w:r>
              <w:rPr>
                <w:b/>
                <w:spacing w:val="-7"/>
                <w:sz w:val="21"/>
              </w:rPr>
              <w:t>（HIV）</w:t>
            </w:r>
            <w:r>
              <w:rPr>
                <w:b/>
                <w:spacing w:val="-32"/>
                <w:sz w:val="21"/>
              </w:rPr>
              <w:t>感</w:t>
            </w:r>
            <w:r>
              <w:rPr>
                <w:b/>
                <w:sz w:val="21"/>
              </w:rPr>
              <w:t>染</w:t>
            </w:r>
          </w:p>
        </w:tc>
        <w:tc>
          <w:tcPr>
            <w:tcW w:w="7558" w:type="dxa"/>
          </w:tcPr>
          <w:p>
            <w:pPr>
              <w:pStyle w:val="TableParagraph"/>
              <w:spacing w:before="165"/>
              <w:ind w:left="420"/>
              <w:rPr>
                <w:sz w:val="21"/>
              </w:rPr>
            </w:pPr>
            <w:r>
              <w:rPr>
                <w:sz w:val="21"/>
              </w:rPr>
              <w:t>被保险人感染上人类免疫缺陷病毒（HIV）并且满足下列全部条件：</w:t>
            </w:r>
          </w:p>
          <w:p>
            <w:pPr>
              <w:pStyle w:val="TableParagraph"/>
              <w:spacing w:before="36"/>
              <w:ind w:left="420"/>
              <w:rPr>
                <w:sz w:val="21"/>
              </w:rPr>
            </w:pPr>
            <w:r>
              <w:rPr>
                <w:sz w:val="21"/>
              </w:rPr>
              <w:t>1.在保障起始日或复效日之后，被保险人因输血而感染 HIV；</w:t>
            </w:r>
          </w:p>
          <w:p>
            <w:pPr>
              <w:pStyle w:val="TableParagraph"/>
              <w:spacing w:line="273" w:lineRule="auto" w:before="36"/>
              <w:ind w:left="0" w:right="107" w:firstLine="420"/>
              <w:rPr>
                <w:sz w:val="21"/>
              </w:rPr>
            </w:pPr>
            <w:r>
              <w:rPr>
                <w:sz w:val="21"/>
              </w:rPr>
              <w:t>2.提供输血治疗的输血中心或医院出具该项输血感染属医疗责任事故的报告，或者法院终审裁定为医疗责任并且不准上诉；</w:t>
            </w:r>
          </w:p>
          <w:p>
            <w:pPr>
              <w:pStyle w:val="TableParagraph"/>
              <w:spacing w:before="7"/>
              <w:ind w:left="420"/>
              <w:rPr>
                <w:sz w:val="21"/>
              </w:rPr>
            </w:pPr>
            <w:r>
              <w:rPr>
                <w:sz w:val="21"/>
              </w:rPr>
              <w:t>3.受感染的被保险人不是血友病患者。</w:t>
            </w:r>
          </w:p>
          <w:p>
            <w:pPr>
              <w:pStyle w:val="TableParagraph"/>
              <w:spacing w:line="273" w:lineRule="auto" w:before="37"/>
              <w:ind w:left="0" w:right="169" w:firstLine="422"/>
              <w:rPr>
                <w:b/>
                <w:sz w:val="21"/>
              </w:rPr>
            </w:pPr>
            <w:r>
              <w:rPr>
                <w:b/>
                <w:sz w:val="21"/>
              </w:rPr>
              <w:t>在任何治愈艾滋病（AIDS）</w:t>
            </w:r>
            <w:r>
              <w:rPr>
                <w:b/>
                <w:spacing w:val="-13"/>
                <w:sz w:val="21"/>
              </w:rPr>
              <w:t>或阻止 </w:t>
            </w:r>
            <w:r>
              <w:rPr>
                <w:b/>
                <w:sz w:val="21"/>
              </w:rPr>
              <w:t>HIV</w:t>
            </w:r>
            <w:r>
              <w:rPr>
                <w:b/>
                <w:spacing w:val="-8"/>
                <w:sz w:val="21"/>
              </w:rPr>
              <w:t> 病毒作用的疗法被发现以后，或能防</w:t>
            </w:r>
            <w:r>
              <w:rPr>
                <w:b/>
                <w:spacing w:val="-29"/>
                <w:sz w:val="21"/>
              </w:rPr>
              <w:t>止 </w:t>
            </w:r>
            <w:r>
              <w:rPr>
                <w:b/>
                <w:sz w:val="21"/>
              </w:rPr>
              <w:t>AIDS</w:t>
            </w:r>
            <w:r>
              <w:rPr>
                <w:b/>
                <w:spacing w:val="-8"/>
                <w:sz w:val="21"/>
              </w:rPr>
              <w:t> 发生的医疗方法被研究出来以后，本保障将不再予以赔付。</w:t>
            </w:r>
          </w:p>
          <w:p>
            <w:pPr>
              <w:pStyle w:val="TableParagraph"/>
              <w:spacing w:line="273" w:lineRule="auto" w:before="7"/>
              <w:ind w:left="0" w:right="175" w:firstLine="422"/>
              <w:rPr>
                <w:b/>
                <w:sz w:val="21"/>
              </w:rPr>
            </w:pPr>
            <w:r>
              <w:rPr>
                <w:b/>
                <w:sz w:val="21"/>
              </w:rPr>
              <w:t>保险公司必须拥有获得使用被保险人的所有血液样本的权利和能够对这些样本进行独立检验的权利。</w:t>
            </w:r>
          </w:p>
          <w:p>
            <w:pPr>
              <w:pStyle w:val="TableParagraph"/>
              <w:spacing w:line="273" w:lineRule="auto" w:before="7"/>
              <w:ind w:left="0" w:right="175" w:firstLine="422"/>
              <w:rPr>
                <w:b/>
                <w:sz w:val="21"/>
              </w:rPr>
            </w:pPr>
            <w:r>
              <w:rPr>
                <w:b/>
                <w:sz w:val="21"/>
              </w:rPr>
              <w:t>本公司承担本项疾病责任不受合同责任免除中“被保险人感染艾滋病病毒或患艾滋病”的限制。</w:t>
            </w:r>
          </w:p>
        </w:tc>
      </w:tr>
      <w:tr>
        <w:trPr>
          <w:trHeight w:val="1248" w:hRule="atLeast"/>
        </w:trPr>
        <w:tc>
          <w:tcPr>
            <w:tcW w:w="1016" w:type="dxa"/>
          </w:tcPr>
          <w:p>
            <w:pPr>
              <w:pStyle w:val="TableParagraph"/>
              <w:ind w:left="200"/>
              <w:rPr>
                <w:b/>
                <w:sz w:val="21"/>
              </w:rPr>
            </w:pPr>
            <w:r>
              <w:rPr>
                <w:b/>
                <w:sz w:val="21"/>
              </w:rPr>
              <w:t>6.6.35</w:t>
            </w:r>
          </w:p>
        </w:tc>
        <w:tc>
          <w:tcPr>
            <w:tcW w:w="1313" w:type="dxa"/>
          </w:tcPr>
          <w:p>
            <w:pPr>
              <w:pStyle w:val="TableParagraph"/>
              <w:spacing w:line="314" w:lineRule="auto" w:before="166"/>
              <w:ind w:left="180" w:right="285"/>
              <w:rPr>
                <w:b/>
                <w:sz w:val="21"/>
              </w:rPr>
            </w:pPr>
            <w:r>
              <w:rPr>
                <w:b/>
                <w:sz w:val="21"/>
              </w:rPr>
              <w:t>严重克隆病</w:t>
            </w:r>
          </w:p>
        </w:tc>
        <w:tc>
          <w:tcPr>
            <w:tcW w:w="7558" w:type="dxa"/>
          </w:tcPr>
          <w:p>
            <w:pPr>
              <w:pStyle w:val="TableParagraph"/>
              <w:spacing w:line="273" w:lineRule="auto"/>
              <w:ind w:left="0" w:right="198" w:firstLine="420"/>
              <w:rPr>
                <w:sz w:val="21"/>
              </w:rPr>
            </w:pPr>
            <w:r>
              <w:rPr>
                <w:sz w:val="21"/>
              </w:rPr>
              <w:t>克隆病是一种慢性肉芽肿性肠炎，具有特征性的克隆病病理组织学变化。诊断必须由病理检查结果证实。</w:t>
            </w:r>
          </w:p>
          <w:p>
            <w:pPr>
              <w:pStyle w:val="TableParagraph"/>
              <w:spacing w:before="7"/>
              <w:ind w:left="422"/>
              <w:rPr>
                <w:b/>
                <w:sz w:val="21"/>
              </w:rPr>
            </w:pPr>
            <w:r>
              <w:rPr>
                <w:b/>
                <w:sz w:val="21"/>
              </w:rPr>
              <w:t>被保险人所患的克隆病必须已经造成瘘管形成并伴有肠梗阻或肠穿孔。</w:t>
            </w:r>
          </w:p>
        </w:tc>
      </w:tr>
      <w:tr>
        <w:trPr>
          <w:trHeight w:val="1896" w:hRule="atLeast"/>
        </w:trPr>
        <w:tc>
          <w:tcPr>
            <w:tcW w:w="1016" w:type="dxa"/>
          </w:tcPr>
          <w:p>
            <w:pPr>
              <w:pStyle w:val="TableParagraph"/>
              <w:ind w:left="200"/>
              <w:rPr>
                <w:b/>
                <w:sz w:val="21"/>
              </w:rPr>
            </w:pPr>
            <w:r>
              <w:rPr>
                <w:b/>
                <w:sz w:val="21"/>
              </w:rPr>
              <w:t>6.6.36</w:t>
            </w:r>
          </w:p>
        </w:tc>
        <w:tc>
          <w:tcPr>
            <w:tcW w:w="1313" w:type="dxa"/>
          </w:tcPr>
          <w:p>
            <w:pPr>
              <w:pStyle w:val="TableParagraph"/>
              <w:spacing w:line="314" w:lineRule="auto" w:before="166"/>
              <w:ind w:left="180" w:right="285"/>
              <w:rPr>
                <w:b/>
                <w:sz w:val="21"/>
              </w:rPr>
            </w:pPr>
            <w:r>
              <w:rPr>
                <w:b/>
                <w:sz w:val="21"/>
              </w:rPr>
              <w:t>严重溃疡性结肠炎</w:t>
            </w:r>
          </w:p>
        </w:tc>
        <w:tc>
          <w:tcPr>
            <w:tcW w:w="7558" w:type="dxa"/>
          </w:tcPr>
          <w:p>
            <w:pPr>
              <w:pStyle w:val="TableParagraph"/>
              <w:spacing w:line="273" w:lineRule="auto"/>
              <w:ind w:left="0" w:right="98" w:firstLine="420"/>
              <w:jc w:val="both"/>
              <w:rPr>
                <w:sz w:val="21"/>
              </w:rPr>
            </w:pPr>
            <w:r>
              <w:rPr>
                <w:sz w:val="21"/>
              </w:rPr>
              <w:t>本保险所指的严重溃疡性结肠炎是指伴有致命性电解质紊乱的急性暴发性溃疡性结肠炎，病变累及全结肠，表现为严重的血便和系统性症状体征，治疗通常采取全结肠切除和回肠造瘘术。</w:t>
            </w:r>
          </w:p>
          <w:p>
            <w:pPr>
              <w:pStyle w:val="TableParagraph"/>
              <w:spacing w:line="273" w:lineRule="auto" w:before="7"/>
              <w:ind w:left="0" w:right="106" w:firstLine="422"/>
              <w:jc w:val="both"/>
              <w:rPr>
                <w:b/>
                <w:sz w:val="21"/>
              </w:rPr>
            </w:pPr>
            <w:r>
              <w:rPr>
                <w:b/>
                <w:sz w:val="21"/>
              </w:rPr>
              <w:t>溃疡性结肠炎必须根据组织病理学特点诊断，并且被保险人已经接受了结肠切除及/或回肠造瘘术。</w:t>
            </w:r>
          </w:p>
        </w:tc>
      </w:tr>
      <w:tr>
        <w:trPr>
          <w:trHeight w:val="2832" w:hRule="atLeast"/>
        </w:trPr>
        <w:tc>
          <w:tcPr>
            <w:tcW w:w="1016" w:type="dxa"/>
          </w:tcPr>
          <w:p>
            <w:pPr>
              <w:pStyle w:val="TableParagraph"/>
              <w:spacing w:before="167"/>
              <w:ind w:left="200"/>
              <w:rPr>
                <w:b/>
                <w:sz w:val="21"/>
              </w:rPr>
            </w:pPr>
            <w:r>
              <w:rPr>
                <w:b/>
                <w:sz w:val="21"/>
              </w:rPr>
              <w:t>6.6.37</w:t>
            </w:r>
          </w:p>
        </w:tc>
        <w:tc>
          <w:tcPr>
            <w:tcW w:w="1313" w:type="dxa"/>
          </w:tcPr>
          <w:p>
            <w:pPr>
              <w:pStyle w:val="TableParagraph"/>
              <w:spacing w:before="6"/>
              <w:ind w:left="0"/>
              <w:rPr>
                <w:rFonts w:ascii="Times New Roman"/>
                <w:sz w:val="16"/>
              </w:rPr>
            </w:pPr>
          </w:p>
          <w:p>
            <w:pPr>
              <w:pStyle w:val="TableParagraph"/>
              <w:spacing w:line="312" w:lineRule="auto" w:before="1"/>
              <w:ind w:left="180" w:right="273"/>
              <w:rPr>
                <w:b/>
                <w:sz w:val="21"/>
              </w:rPr>
            </w:pPr>
            <w:r>
              <w:rPr>
                <w:b/>
                <w:sz w:val="21"/>
              </w:rPr>
              <w:t>1 型糖尿病</w:t>
            </w:r>
          </w:p>
        </w:tc>
        <w:tc>
          <w:tcPr>
            <w:tcW w:w="7558" w:type="dxa"/>
          </w:tcPr>
          <w:p>
            <w:pPr>
              <w:pStyle w:val="TableParagraph"/>
              <w:spacing w:line="273" w:lineRule="auto" w:before="167"/>
              <w:ind w:left="0" w:right="99" w:firstLine="420"/>
              <w:jc w:val="both"/>
              <w:rPr>
                <w:sz w:val="21"/>
              </w:rPr>
            </w:pPr>
            <w:r>
              <w:rPr>
                <w:sz w:val="21"/>
              </w:rPr>
              <w:t>1型糖尿病的特征为由于胰岛素分泌绝对不足引起严重胰岛素缺乏导致慢性血糖升高，需要依赖外源性胰岛素进行机体的葡萄糖代谢和维持生命。被保险人的1型糖尿病必须明确诊断，而且有血胰岛素测定及血C肽或尿C肽测定结果支持诊断，并且满足下列全部条件：</w:t>
            </w:r>
          </w:p>
          <w:p>
            <w:pPr>
              <w:pStyle w:val="TableParagraph"/>
              <w:spacing w:before="8"/>
              <w:ind w:left="420"/>
              <w:rPr>
                <w:sz w:val="21"/>
              </w:rPr>
            </w:pPr>
            <w:r>
              <w:rPr>
                <w:sz w:val="21"/>
              </w:rPr>
              <w:t>1.已经持续性地接受外源性胰岛素注射治疗连续180天以上；</w:t>
            </w:r>
          </w:p>
          <w:p>
            <w:pPr>
              <w:pStyle w:val="TableParagraph"/>
              <w:spacing w:before="37"/>
              <w:ind w:left="420"/>
              <w:rPr>
                <w:sz w:val="21"/>
              </w:rPr>
            </w:pPr>
            <w:r>
              <w:rPr>
                <w:sz w:val="21"/>
              </w:rPr>
              <w:t>2.因需要已经接受了下列治疗：</w:t>
            </w:r>
          </w:p>
          <w:p>
            <w:pPr>
              <w:pStyle w:val="TableParagraph"/>
              <w:spacing w:before="37"/>
              <w:ind w:left="420"/>
              <w:rPr>
                <w:sz w:val="21"/>
              </w:rPr>
            </w:pPr>
            <w:r>
              <w:rPr>
                <w:sz w:val="21"/>
              </w:rPr>
              <w:t>（1）因严重心律失常植入了心脏起搏器；</w:t>
            </w:r>
          </w:p>
          <w:p>
            <w:pPr>
              <w:pStyle w:val="TableParagraph"/>
              <w:spacing w:before="37"/>
              <w:ind w:left="420"/>
              <w:rPr>
                <w:sz w:val="21"/>
              </w:rPr>
            </w:pPr>
            <w:r>
              <w:rPr>
                <w:sz w:val="21"/>
              </w:rPr>
              <w:t>（2）因坏疽自跖趾关节或以上切除了一趾或多趾。</w:t>
            </w:r>
          </w:p>
        </w:tc>
      </w:tr>
      <w:tr>
        <w:trPr>
          <w:trHeight w:val="799" w:hRule="atLeast"/>
        </w:trPr>
        <w:tc>
          <w:tcPr>
            <w:tcW w:w="1016" w:type="dxa"/>
          </w:tcPr>
          <w:p>
            <w:pPr>
              <w:pStyle w:val="TableParagraph"/>
              <w:spacing w:before="143"/>
              <w:ind w:left="200"/>
              <w:rPr>
                <w:b/>
                <w:sz w:val="21"/>
              </w:rPr>
            </w:pPr>
            <w:r>
              <w:rPr>
                <w:b/>
                <w:sz w:val="21"/>
              </w:rPr>
              <w:t>6.6.38</w:t>
            </w:r>
          </w:p>
        </w:tc>
        <w:tc>
          <w:tcPr>
            <w:tcW w:w="1313" w:type="dxa"/>
          </w:tcPr>
          <w:p>
            <w:pPr>
              <w:pStyle w:val="TableParagraph"/>
              <w:spacing w:line="350" w:lineRule="atLeast" w:before="91"/>
              <w:ind w:left="180" w:right="285"/>
              <w:rPr>
                <w:b/>
                <w:sz w:val="21"/>
              </w:rPr>
            </w:pPr>
            <w:r>
              <w:rPr>
                <w:b/>
                <w:sz w:val="21"/>
              </w:rPr>
              <w:t>肺源性心脏病</w:t>
            </w:r>
          </w:p>
        </w:tc>
        <w:tc>
          <w:tcPr>
            <w:tcW w:w="7558" w:type="dxa"/>
          </w:tcPr>
          <w:p>
            <w:pPr>
              <w:pStyle w:val="TableParagraph"/>
              <w:spacing w:line="273" w:lineRule="auto" w:before="143"/>
              <w:ind w:left="0" w:right="98" w:firstLine="420"/>
              <w:rPr>
                <w:sz w:val="21"/>
              </w:rPr>
            </w:pPr>
            <w:r>
              <w:rPr>
                <w:sz w:val="21"/>
              </w:rPr>
              <w:t>指被保险人因慢性肺部疾病导致慢性心功能损害造成永久不可逆性的心功能衰竭。心功能衰竭程度达到纽约心脏病学会的心功能分级标准之心功能IV级。被</w:t>
            </w:r>
          </w:p>
        </w:tc>
      </w:tr>
    </w:tbl>
    <w:p>
      <w:pPr>
        <w:spacing w:after="0" w:line="273" w:lineRule="auto"/>
        <w:rPr>
          <w:sz w:val="21"/>
        </w:rPr>
        <w:sectPr>
          <w:headerReference w:type="default" r:id="rId17"/>
          <w:pgSz w:w="11910" w:h="16840"/>
          <w:pgMar w:header="871" w:footer="992" w:top="1060" w:bottom="1180" w:left="680" w:right="1120"/>
        </w:sectPr>
      </w:pPr>
    </w:p>
    <w:p>
      <w:pPr>
        <w:pStyle w:val="BodyText"/>
        <w:rPr>
          <w:rFonts w:ascii="Times New Roman"/>
          <w:sz w:val="2"/>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
        <w:gridCol w:w="1169"/>
        <w:gridCol w:w="7707"/>
      </w:tblGrid>
      <w:tr>
        <w:trPr>
          <w:trHeight w:val="748" w:hRule="atLeast"/>
        </w:trPr>
        <w:tc>
          <w:tcPr>
            <w:tcW w:w="1016" w:type="dxa"/>
            <w:tcBorders>
              <w:top w:val="single" w:sz="18" w:space="0" w:color="000000"/>
            </w:tcBorders>
          </w:tcPr>
          <w:p>
            <w:pPr>
              <w:pStyle w:val="TableParagraph"/>
              <w:spacing w:before="0"/>
              <w:ind w:left="0"/>
              <w:rPr>
                <w:rFonts w:ascii="Times New Roman"/>
                <w:sz w:val="20"/>
              </w:rPr>
            </w:pPr>
          </w:p>
        </w:tc>
        <w:tc>
          <w:tcPr>
            <w:tcW w:w="1169" w:type="dxa"/>
            <w:tcBorders>
              <w:top w:val="single" w:sz="18" w:space="0" w:color="000000"/>
            </w:tcBorders>
          </w:tcPr>
          <w:p>
            <w:pPr>
              <w:pStyle w:val="TableParagraph"/>
              <w:spacing w:before="0"/>
              <w:ind w:left="0"/>
              <w:rPr>
                <w:rFonts w:ascii="Times New Roman"/>
                <w:sz w:val="20"/>
              </w:rPr>
            </w:pPr>
          </w:p>
        </w:tc>
        <w:tc>
          <w:tcPr>
            <w:tcW w:w="7707" w:type="dxa"/>
            <w:tcBorders>
              <w:top w:val="single" w:sz="18" w:space="0" w:color="000000"/>
            </w:tcBorders>
          </w:tcPr>
          <w:p>
            <w:pPr>
              <w:pStyle w:val="TableParagraph"/>
              <w:spacing w:before="2"/>
              <w:ind w:left="0"/>
              <w:rPr>
                <w:rFonts w:ascii="Times New Roman"/>
                <w:sz w:val="23"/>
              </w:rPr>
            </w:pPr>
          </w:p>
          <w:p>
            <w:pPr>
              <w:pStyle w:val="TableParagraph"/>
              <w:spacing w:before="0"/>
              <w:ind w:left="144"/>
              <w:rPr>
                <w:sz w:val="21"/>
              </w:rPr>
            </w:pPr>
            <w:r>
              <w:rPr>
                <w:sz w:val="21"/>
              </w:rPr>
              <w:t>保险人永久不可逆性的体力活动能力受限，不能从事任何体力活动。</w:t>
            </w:r>
          </w:p>
        </w:tc>
      </w:tr>
      <w:tr>
        <w:trPr>
          <w:trHeight w:val="1560" w:hRule="atLeast"/>
        </w:trPr>
        <w:tc>
          <w:tcPr>
            <w:tcW w:w="1016" w:type="dxa"/>
          </w:tcPr>
          <w:p>
            <w:pPr>
              <w:pStyle w:val="TableParagraph"/>
              <w:ind w:left="200"/>
              <w:rPr>
                <w:b/>
                <w:sz w:val="21"/>
              </w:rPr>
            </w:pPr>
            <w:r>
              <w:rPr>
                <w:b/>
                <w:sz w:val="21"/>
              </w:rPr>
              <w:t>6.6.39</w:t>
            </w:r>
          </w:p>
        </w:tc>
        <w:tc>
          <w:tcPr>
            <w:tcW w:w="1169" w:type="dxa"/>
          </w:tcPr>
          <w:p>
            <w:pPr>
              <w:pStyle w:val="TableParagraph"/>
              <w:spacing w:line="312" w:lineRule="auto" w:before="166"/>
              <w:ind w:left="180" w:right="141"/>
              <w:rPr>
                <w:b/>
                <w:sz w:val="21"/>
              </w:rPr>
            </w:pPr>
            <w:r>
              <w:rPr>
                <w:b/>
                <w:sz w:val="21"/>
              </w:rPr>
              <w:t>植物人状态</w:t>
            </w:r>
          </w:p>
        </w:tc>
        <w:tc>
          <w:tcPr>
            <w:tcW w:w="7707" w:type="dxa"/>
          </w:tcPr>
          <w:p>
            <w:pPr>
              <w:pStyle w:val="TableParagraph"/>
              <w:spacing w:line="273" w:lineRule="auto"/>
              <w:ind w:left="144" w:right="1" w:firstLine="420"/>
              <w:jc w:val="both"/>
              <w:rPr>
                <w:sz w:val="21"/>
              </w:rPr>
            </w:pPr>
            <w:r>
              <w:rPr>
                <w:sz w:val="21"/>
              </w:rPr>
              <w:t>脊植物人状态系指由于严重颅脑外伤造成大脑及/或脑干严重损害导致完全永久性的对自身和环境的意识丧失和中枢神经系统功能丧失，仅残存植物神经功 能的疾病状态。植物人状态必须明确诊断并且具有严重颅脑外伤和脑损害的证据。</w:t>
            </w:r>
          </w:p>
          <w:p>
            <w:pPr>
              <w:pStyle w:val="TableParagraph"/>
              <w:spacing w:before="7"/>
              <w:ind w:left="566"/>
              <w:rPr>
                <w:b/>
                <w:sz w:val="21"/>
              </w:rPr>
            </w:pPr>
            <w:r>
              <w:rPr>
                <w:b/>
                <w:sz w:val="21"/>
              </w:rPr>
              <w:t>植物人状态必须持续 30 天以上方可申请理赔。</w:t>
            </w:r>
          </w:p>
        </w:tc>
      </w:tr>
      <w:tr>
        <w:trPr>
          <w:trHeight w:val="3432" w:hRule="atLeast"/>
        </w:trPr>
        <w:tc>
          <w:tcPr>
            <w:tcW w:w="1016" w:type="dxa"/>
          </w:tcPr>
          <w:p>
            <w:pPr>
              <w:pStyle w:val="TableParagraph"/>
              <w:ind w:left="200"/>
              <w:rPr>
                <w:b/>
                <w:sz w:val="21"/>
              </w:rPr>
            </w:pPr>
            <w:r>
              <w:rPr>
                <w:b/>
                <w:sz w:val="21"/>
              </w:rPr>
              <w:t>6.6.40</w:t>
            </w:r>
          </w:p>
        </w:tc>
        <w:tc>
          <w:tcPr>
            <w:tcW w:w="1169" w:type="dxa"/>
          </w:tcPr>
          <w:p>
            <w:pPr>
              <w:pStyle w:val="TableParagraph"/>
              <w:spacing w:line="314" w:lineRule="auto" w:before="166"/>
              <w:ind w:left="180" w:right="141"/>
              <w:jc w:val="both"/>
              <w:rPr>
                <w:b/>
                <w:sz w:val="21"/>
              </w:rPr>
            </w:pPr>
            <w:r>
              <w:rPr>
                <w:b/>
                <w:sz w:val="21"/>
              </w:rPr>
              <w:t>严重类风湿性关节炎</w:t>
            </w:r>
          </w:p>
        </w:tc>
        <w:tc>
          <w:tcPr>
            <w:tcW w:w="7707" w:type="dxa"/>
          </w:tcPr>
          <w:p>
            <w:pPr>
              <w:pStyle w:val="TableParagraph"/>
              <w:spacing w:line="273" w:lineRule="auto"/>
              <w:ind w:left="144" w:right="-15" w:firstLine="420"/>
              <w:rPr>
                <w:sz w:val="21"/>
              </w:rPr>
            </w:pPr>
            <w:r>
              <w:rPr>
                <w:spacing w:val="-4"/>
                <w:sz w:val="21"/>
              </w:rPr>
              <w:t>类风湿性关节炎为广泛分布的慢性进行性多关节病变，表现为关节严重变形， 侵犯至少三个主要关节或关节组（如：双手（多手指）关节、双足（多足趾）关 </w:t>
            </w:r>
            <w:r>
              <w:rPr>
                <w:spacing w:val="-3"/>
                <w:sz w:val="21"/>
              </w:rPr>
              <w:t>节、双腕关节、双膝关节和双髋关节</w:t>
            </w:r>
            <w:r>
              <w:rPr>
                <w:spacing w:val="-108"/>
                <w:sz w:val="21"/>
              </w:rPr>
              <w:t>）</w:t>
            </w:r>
            <w:r>
              <w:rPr>
                <w:spacing w:val="-3"/>
                <w:sz w:val="21"/>
              </w:rPr>
              <w:t>。类风湿性关节炎必须明确诊断并且已经达</w:t>
            </w:r>
            <w:r>
              <w:rPr>
                <w:spacing w:val="-2"/>
                <w:sz w:val="21"/>
              </w:rPr>
              <w:t>到类风湿性关节炎功能分级 </w:t>
            </w:r>
            <w:r>
              <w:rPr>
                <w:sz w:val="21"/>
              </w:rPr>
              <w:t>III</w:t>
            </w:r>
            <w:r>
              <w:rPr>
                <w:spacing w:val="-3"/>
                <w:sz w:val="21"/>
              </w:rPr>
              <w:t> 级以上的功能障碍</w:t>
            </w:r>
            <w:r>
              <w:rPr>
                <w:sz w:val="21"/>
              </w:rPr>
              <w:t>（</w:t>
            </w:r>
            <w:r>
              <w:rPr>
                <w:spacing w:val="-3"/>
                <w:sz w:val="21"/>
              </w:rPr>
              <w:t>关节活动严重限制，不能完成大部分的日常工作和活动</w:t>
            </w:r>
            <w:r>
              <w:rPr>
                <w:sz w:val="21"/>
              </w:rPr>
              <w:t>）</w:t>
            </w:r>
            <w:r>
              <w:rPr>
                <w:spacing w:val="-3"/>
                <w:sz w:val="21"/>
              </w:rPr>
              <w:t>并且满足下列全部条件：</w:t>
            </w:r>
          </w:p>
          <w:p>
            <w:pPr>
              <w:pStyle w:val="TableParagraph"/>
              <w:spacing w:before="7"/>
              <w:rPr>
                <w:sz w:val="21"/>
              </w:rPr>
            </w:pPr>
            <w:r>
              <w:rPr>
                <w:sz w:val="21"/>
              </w:rPr>
              <w:t>1.晨僵；</w:t>
            </w:r>
          </w:p>
          <w:p>
            <w:pPr>
              <w:pStyle w:val="TableParagraph"/>
              <w:spacing w:before="37"/>
              <w:rPr>
                <w:sz w:val="21"/>
              </w:rPr>
            </w:pPr>
            <w:r>
              <w:rPr>
                <w:sz w:val="21"/>
              </w:rPr>
              <w:t>2.对称性关节炎；</w:t>
            </w:r>
          </w:p>
          <w:p>
            <w:pPr>
              <w:pStyle w:val="TableParagraph"/>
              <w:spacing w:before="37"/>
              <w:rPr>
                <w:sz w:val="21"/>
              </w:rPr>
            </w:pPr>
            <w:r>
              <w:rPr>
                <w:sz w:val="21"/>
              </w:rPr>
              <w:t>3.类风湿性皮下结节；</w:t>
            </w:r>
          </w:p>
          <w:p>
            <w:pPr>
              <w:pStyle w:val="TableParagraph"/>
              <w:spacing w:before="37"/>
              <w:rPr>
                <w:sz w:val="21"/>
              </w:rPr>
            </w:pPr>
            <w:r>
              <w:rPr>
                <w:sz w:val="21"/>
              </w:rPr>
              <w:t>4.类风湿因子滴度升高；</w:t>
            </w:r>
          </w:p>
          <w:p>
            <w:pPr>
              <w:pStyle w:val="TableParagraph"/>
              <w:spacing w:before="37"/>
              <w:rPr>
                <w:sz w:val="21"/>
              </w:rPr>
            </w:pPr>
            <w:r>
              <w:rPr>
                <w:sz w:val="21"/>
              </w:rPr>
              <w:t>5.X 线显示严重的关节（软骨和骨）破坏和关节畸形。</w:t>
            </w:r>
          </w:p>
        </w:tc>
      </w:tr>
      <w:tr>
        <w:trPr>
          <w:trHeight w:val="2207" w:hRule="atLeast"/>
        </w:trPr>
        <w:tc>
          <w:tcPr>
            <w:tcW w:w="1016" w:type="dxa"/>
          </w:tcPr>
          <w:p>
            <w:pPr>
              <w:pStyle w:val="TableParagraph"/>
              <w:ind w:left="200"/>
              <w:rPr>
                <w:b/>
                <w:sz w:val="21"/>
              </w:rPr>
            </w:pPr>
            <w:r>
              <w:rPr>
                <w:b/>
                <w:sz w:val="21"/>
              </w:rPr>
              <w:t>6.6.41</w:t>
            </w:r>
          </w:p>
        </w:tc>
        <w:tc>
          <w:tcPr>
            <w:tcW w:w="1169" w:type="dxa"/>
          </w:tcPr>
          <w:p>
            <w:pPr>
              <w:pStyle w:val="TableParagraph"/>
              <w:spacing w:line="312" w:lineRule="auto" w:before="166"/>
              <w:ind w:left="180" w:right="141"/>
              <w:jc w:val="both"/>
              <w:rPr>
                <w:b/>
                <w:sz w:val="21"/>
              </w:rPr>
            </w:pPr>
            <w:r>
              <w:rPr>
                <w:b/>
                <w:sz w:val="21"/>
              </w:rPr>
              <w:t>非阿尔茨海默病所致严重痴呆</w:t>
            </w:r>
          </w:p>
        </w:tc>
        <w:tc>
          <w:tcPr>
            <w:tcW w:w="7707" w:type="dxa"/>
          </w:tcPr>
          <w:p>
            <w:pPr>
              <w:pStyle w:val="TableParagraph"/>
              <w:spacing w:line="273" w:lineRule="auto"/>
              <w:ind w:left="144" w:right="103" w:firstLine="420"/>
              <w:jc w:val="both"/>
              <w:rPr>
                <w:sz w:val="21"/>
              </w:rPr>
            </w:pPr>
            <w:r>
              <w:rPr>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p>
            <w:pPr>
              <w:pStyle w:val="TableParagraph"/>
              <w:spacing w:before="7"/>
              <w:ind w:left="566"/>
              <w:rPr>
                <w:b/>
                <w:sz w:val="21"/>
              </w:rPr>
            </w:pPr>
            <w:r>
              <w:rPr>
                <w:b/>
                <w:sz w:val="21"/>
              </w:rPr>
              <w:t>神经官能症和精神疾病不在保障范围内。</w:t>
            </w:r>
          </w:p>
        </w:tc>
      </w:tr>
      <w:tr>
        <w:trPr>
          <w:trHeight w:val="1270" w:hRule="atLeast"/>
        </w:trPr>
        <w:tc>
          <w:tcPr>
            <w:tcW w:w="1016" w:type="dxa"/>
          </w:tcPr>
          <w:p>
            <w:pPr>
              <w:pStyle w:val="TableParagraph"/>
              <w:spacing w:before="165"/>
              <w:ind w:left="200"/>
              <w:rPr>
                <w:b/>
                <w:sz w:val="21"/>
              </w:rPr>
            </w:pPr>
            <w:r>
              <w:rPr>
                <w:b/>
                <w:sz w:val="21"/>
              </w:rPr>
              <w:t>6.6.42</w:t>
            </w:r>
          </w:p>
        </w:tc>
        <w:tc>
          <w:tcPr>
            <w:tcW w:w="1169" w:type="dxa"/>
          </w:tcPr>
          <w:p>
            <w:pPr>
              <w:pStyle w:val="TableParagraph"/>
              <w:spacing w:before="5"/>
              <w:ind w:left="0"/>
              <w:rPr>
                <w:rFonts w:ascii="Times New Roman"/>
                <w:sz w:val="16"/>
              </w:rPr>
            </w:pPr>
          </w:p>
          <w:p>
            <w:pPr>
              <w:pStyle w:val="TableParagraph"/>
              <w:spacing w:line="314" w:lineRule="auto" w:before="0"/>
              <w:ind w:left="180" w:right="141"/>
              <w:rPr>
                <w:b/>
                <w:sz w:val="21"/>
              </w:rPr>
            </w:pPr>
            <w:r>
              <w:rPr>
                <w:b/>
                <w:sz w:val="21"/>
              </w:rPr>
              <w:t>埃博拉病毒感染</w:t>
            </w:r>
          </w:p>
        </w:tc>
        <w:tc>
          <w:tcPr>
            <w:tcW w:w="7707" w:type="dxa"/>
          </w:tcPr>
          <w:p>
            <w:pPr>
              <w:pStyle w:val="TableParagraph"/>
              <w:spacing w:before="165"/>
              <w:rPr>
                <w:sz w:val="21"/>
              </w:rPr>
            </w:pPr>
            <w:r>
              <w:rPr>
                <w:sz w:val="21"/>
              </w:rPr>
              <w:t>指埃博拉病毒感染导致的烈性传染病，并须满足下列全部条件：</w:t>
            </w:r>
          </w:p>
          <w:p>
            <w:pPr>
              <w:pStyle w:val="TableParagraph"/>
              <w:spacing w:before="36"/>
              <w:rPr>
                <w:sz w:val="21"/>
              </w:rPr>
            </w:pPr>
            <w:r>
              <w:rPr>
                <w:sz w:val="21"/>
              </w:rPr>
              <w:t>1.实验室检查证实埃博拉病毒的存在；</w:t>
            </w:r>
          </w:p>
          <w:p>
            <w:pPr>
              <w:pStyle w:val="TableParagraph"/>
              <w:spacing w:before="36"/>
              <w:rPr>
                <w:sz w:val="21"/>
              </w:rPr>
            </w:pPr>
            <w:r>
              <w:rPr>
                <w:sz w:val="21"/>
              </w:rPr>
              <w:t>2.从发病开始有超过 30 天的进行性感染症状。</w:t>
            </w:r>
          </w:p>
        </w:tc>
      </w:tr>
      <w:tr>
        <w:trPr>
          <w:trHeight w:val="2496" w:hRule="atLeast"/>
        </w:trPr>
        <w:tc>
          <w:tcPr>
            <w:tcW w:w="1016" w:type="dxa"/>
          </w:tcPr>
          <w:p>
            <w:pPr>
              <w:pStyle w:val="TableParagraph"/>
              <w:ind w:left="200"/>
              <w:rPr>
                <w:b/>
                <w:sz w:val="21"/>
              </w:rPr>
            </w:pPr>
            <w:r>
              <w:rPr>
                <w:b/>
                <w:sz w:val="21"/>
              </w:rPr>
              <w:t>6.6.43</w:t>
            </w:r>
          </w:p>
        </w:tc>
        <w:tc>
          <w:tcPr>
            <w:tcW w:w="1169" w:type="dxa"/>
          </w:tcPr>
          <w:p>
            <w:pPr>
              <w:pStyle w:val="TableParagraph"/>
              <w:spacing w:before="166"/>
              <w:ind w:left="180"/>
              <w:rPr>
                <w:b/>
                <w:sz w:val="21"/>
              </w:rPr>
            </w:pPr>
            <w:r>
              <w:rPr>
                <w:b/>
                <w:sz w:val="21"/>
              </w:rPr>
              <w:t>严重哮喘</w:t>
            </w:r>
          </w:p>
          <w:p>
            <w:pPr>
              <w:pStyle w:val="TableParagraph"/>
              <w:spacing w:line="314" w:lineRule="auto" w:before="84"/>
              <w:ind w:left="180" w:right="141"/>
              <w:jc w:val="both"/>
              <w:rPr>
                <w:b/>
                <w:sz w:val="21"/>
              </w:rPr>
            </w:pPr>
            <w:r>
              <w:rPr>
                <w:b/>
                <w:sz w:val="21"/>
              </w:rPr>
              <w:t>（二十五周岁前理赔）</w:t>
            </w:r>
          </w:p>
        </w:tc>
        <w:tc>
          <w:tcPr>
            <w:tcW w:w="7707" w:type="dxa"/>
          </w:tcPr>
          <w:p>
            <w:pPr>
              <w:pStyle w:val="TableParagraph"/>
              <w:spacing w:line="273" w:lineRule="auto"/>
              <w:ind w:left="144" w:right="104" w:firstLine="420"/>
              <w:rPr>
                <w:sz w:val="21"/>
              </w:rPr>
            </w:pPr>
            <w:r>
              <w:rPr>
                <w:sz w:val="21"/>
              </w:rPr>
              <w:t>指一种反复发作的严重支气管阻塞性疾病，经本公司认可医院的专科医生确诊，且必须同时符合下列标准：</w:t>
            </w:r>
          </w:p>
          <w:p>
            <w:pPr>
              <w:pStyle w:val="TableParagraph"/>
              <w:spacing w:before="7"/>
              <w:rPr>
                <w:sz w:val="21"/>
              </w:rPr>
            </w:pPr>
            <w:r>
              <w:rPr>
                <w:sz w:val="21"/>
              </w:rPr>
              <w:t>1.过去两年中曾因哮喘持续状态住院治疗，并提供完整住院记录；</w:t>
            </w:r>
          </w:p>
          <w:p>
            <w:pPr>
              <w:pStyle w:val="TableParagraph"/>
              <w:spacing w:before="37"/>
              <w:rPr>
                <w:sz w:val="21"/>
              </w:rPr>
            </w:pPr>
            <w:r>
              <w:rPr>
                <w:sz w:val="21"/>
              </w:rPr>
              <w:t>2.因慢性过度换气导致胸廓畸形；</w:t>
            </w:r>
          </w:p>
          <w:p>
            <w:pPr>
              <w:pStyle w:val="TableParagraph"/>
              <w:spacing w:before="36"/>
              <w:rPr>
                <w:sz w:val="21"/>
              </w:rPr>
            </w:pPr>
            <w:r>
              <w:rPr>
                <w:sz w:val="21"/>
              </w:rPr>
              <w:t>3.在家中需要医生处方的氧气治疗法；</w:t>
            </w:r>
          </w:p>
          <w:p>
            <w:pPr>
              <w:pStyle w:val="TableParagraph"/>
              <w:spacing w:line="273" w:lineRule="auto" w:before="36"/>
              <w:ind w:left="566" w:right="2078" w:hanging="3"/>
              <w:rPr>
                <w:b/>
                <w:sz w:val="21"/>
              </w:rPr>
            </w:pPr>
            <w:r>
              <w:rPr>
                <w:sz w:val="21"/>
              </w:rPr>
              <w:t>4.持续日常服用口服类固醇激素治疗持续至少六个月。</w:t>
            </w:r>
            <w:r>
              <w:rPr>
                <w:b/>
                <w:sz w:val="21"/>
              </w:rPr>
              <w:t>被保险人申请理赔时年龄必须在年满二十五周岁之前。</w:t>
            </w:r>
          </w:p>
        </w:tc>
      </w:tr>
      <w:tr>
        <w:trPr>
          <w:trHeight w:val="1872" w:hRule="atLeast"/>
        </w:trPr>
        <w:tc>
          <w:tcPr>
            <w:tcW w:w="1016" w:type="dxa"/>
          </w:tcPr>
          <w:p>
            <w:pPr>
              <w:pStyle w:val="TableParagraph"/>
              <w:ind w:left="200"/>
              <w:rPr>
                <w:b/>
                <w:sz w:val="21"/>
              </w:rPr>
            </w:pPr>
            <w:r>
              <w:rPr>
                <w:b/>
                <w:sz w:val="21"/>
              </w:rPr>
              <w:t>6.6.44</w:t>
            </w:r>
          </w:p>
        </w:tc>
        <w:tc>
          <w:tcPr>
            <w:tcW w:w="1169" w:type="dxa"/>
          </w:tcPr>
          <w:p>
            <w:pPr>
              <w:pStyle w:val="TableParagraph"/>
              <w:spacing w:line="314" w:lineRule="auto" w:before="166"/>
              <w:ind w:left="180" w:right="141"/>
              <w:rPr>
                <w:b/>
                <w:sz w:val="21"/>
              </w:rPr>
            </w:pPr>
            <w:r>
              <w:rPr>
                <w:b/>
                <w:sz w:val="21"/>
              </w:rPr>
              <w:t>严重川崎病</w:t>
            </w:r>
          </w:p>
        </w:tc>
        <w:tc>
          <w:tcPr>
            <w:tcW w:w="7707" w:type="dxa"/>
          </w:tcPr>
          <w:p>
            <w:pPr>
              <w:pStyle w:val="TableParagraph"/>
              <w:spacing w:line="273" w:lineRule="auto"/>
              <w:ind w:left="144" w:right="103" w:firstLine="420"/>
              <w:rPr>
                <w:sz w:val="21"/>
              </w:rPr>
            </w:pPr>
            <w:r>
              <w:rPr>
                <w:sz w:val="21"/>
              </w:rPr>
              <w:t>是指原因不明的系统性血管炎，本病须经专科医生明确诊断，并须满足下列全部条件：</w:t>
            </w:r>
          </w:p>
          <w:p>
            <w:pPr>
              <w:pStyle w:val="TableParagraph"/>
              <w:spacing w:before="7"/>
              <w:rPr>
                <w:sz w:val="21"/>
              </w:rPr>
            </w:pPr>
            <w:r>
              <w:rPr>
                <w:sz w:val="21"/>
              </w:rPr>
              <w:t>1.超声心动图显示川崎病并发冠状动脉瘤或其他心血管异常；</w:t>
            </w:r>
          </w:p>
          <w:p>
            <w:pPr>
              <w:pStyle w:val="TableParagraph"/>
              <w:spacing w:line="273" w:lineRule="auto" w:before="37"/>
              <w:ind w:left="144" w:right="112" w:firstLine="420"/>
              <w:rPr>
                <w:sz w:val="21"/>
              </w:rPr>
            </w:pPr>
            <w:r>
              <w:rPr>
                <w:sz w:val="21"/>
              </w:rPr>
              <w:t>2.已接受了针对川崎病并发冠状动脉瘤或其他心血管异常所进行的手术治疗。</w:t>
            </w:r>
          </w:p>
        </w:tc>
      </w:tr>
      <w:tr>
        <w:trPr>
          <w:trHeight w:val="441" w:hRule="atLeast"/>
        </w:trPr>
        <w:tc>
          <w:tcPr>
            <w:tcW w:w="1016" w:type="dxa"/>
          </w:tcPr>
          <w:p>
            <w:pPr>
              <w:pStyle w:val="TableParagraph"/>
              <w:spacing w:before="143"/>
              <w:ind w:left="200"/>
              <w:rPr>
                <w:b/>
                <w:sz w:val="21"/>
              </w:rPr>
            </w:pPr>
            <w:r>
              <w:rPr>
                <w:b/>
                <w:sz w:val="21"/>
              </w:rPr>
              <w:t>6.6.45</w:t>
            </w:r>
          </w:p>
        </w:tc>
        <w:tc>
          <w:tcPr>
            <w:tcW w:w="1169" w:type="dxa"/>
          </w:tcPr>
          <w:p>
            <w:pPr>
              <w:pStyle w:val="TableParagraph"/>
              <w:spacing w:line="255" w:lineRule="exact" w:before="167"/>
              <w:ind w:left="180"/>
              <w:rPr>
                <w:b/>
                <w:sz w:val="21"/>
              </w:rPr>
            </w:pPr>
            <w:r>
              <w:rPr>
                <w:b/>
                <w:sz w:val="21"/>
              </w:rPr>
              <w:t>严重的系</w:t>
            </w:r>
          </w:p>
        </w:tc>
        <w:tc>
          <w:tcPr>
            <w:tcW w:w="7707" w:type="dxa"/>
          </w:tcPr>
          <w:p>
            <w:pPr>
              <w:pStyle w:val="TableParagraph"/>
              <w:spacing w:before="143"/>
              <w:rPr>
                <w:sz w:val="21"/>
              </w:rPr>
            </w:pPr>
            <w:r>
              <w:rPr>
                <w:sz w:val="21"/>
              </w:rPr>
              <w:t>指一种以局限性或弥漫性皮肤增厚和皮肤、血管、内脏器官异常纤维化为特</w:t>
            </w:r>
          </w:p>
        </w:tc>
      </w:tr>
    </w:tbl>
    <w:p>
      <w:pPr>
        <w:spacing w:after="0"/>
        <w:rPr>
          <w:sz w:val="21"/>
        </w:rPr>
        <w:sectPr>
          <w:pgSz w:w="11910" w:h="16840"/>
          <w:pgMar w:header="871" w:footer="992" w:top="1060" w:bottom="1180" w:left="680" w:right="1120"/>
        </w:sectPr>
      </w:pPr>
    </w:p>
    <w:p>
      <w:pPr>
        <w:pStyle w:val="BodyText"/>
        <w:rPr>
          <w:rFonts w:ascii="Times New Roman"/>
          <w:sz w:val="2"/>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
        <w:gridCol w:w="1169"/>
        <w:gridCol w:w="7702"/>
      </w:tblGrid>
      <w:tr>
        <w:trPr>
          <w:trHeight w:val="1684" w:hRule="atLeast"/>
        </w:trPr>
        <w:tc>
          <w:tcPr>
            <w:tcW w:w="1016" w:type="dxa"/>
            <w:tcBorders>
              <w:top w:val="single" w:sz="18" w:space="0" w:color="000000"/>
            </w:tcBorders>
          </w:tcPr>
          <w:p>
            <w:pPr>
              <w:pStyle w:val="TableParagraph"/>
              <w:spacing w:before="0"/>
              <w:ind w:left="0"/>
              <w:rPr>
                <w:rFonts w:ascii="Times New Roman"/>
                <w:sz w:val="20"/>
              </w:rPr>
            </w:pPr>
          </w:p>
        </w:tc>
        <w:tc>
          <w:tcPr>
            <w:tcW w:w="1169" w:type="dxa"/>
            <w:tcBorders>
              <w:top w:val="single" w:sz="18" w:space="0" w:color="000000"/>
            </w:tcBorders>
          </w:tcPr>
          <w:p>
            <w:pPr>
              <w:pStyle w:val="TableParagraph"/>
              <w:spacing w:before="3"/>
              <w:ind w:left="0"/>
              <w:rPr>
                <w:rFonts w:ascii="Times New Roman"/>
                <w:sz w:val="25"/>
              </w:rPr>
            </w:pPr>
          </w:p>
          <w:p>
            <w:pPr>
              <w:pStyle w:val="TableParagraph"/>
              <w:spacing w:line="312" w:lineRule="auto" w:before="0"/>
              <w:ind w:left="180" w:right="141"/>
              <w:rPr>
                <w:b/>
                <w:sz w:val="21"/>
              </w:rPr>
            </w:pPr>
            <w:r>
              <w:rPr>
                <w:b/>
                <w:sz w:val="21"/>
              </w:rPr>
              <w:t>统性硬皮病</w:t>
            </w:r>
          </w:p>
        </w:tc>
        <w:tc>
          <w:tcPr>
            <w:tcW w:w="7702" w:type="dxa"/>
            <w:tcBorders>
              <w:top w:val="single" w:sz="18" w:space="0" w:color="000000"/>
            </w:tcBorders>
          </w:tcPr>
          <w:p>
            <w:pPr>
              <w:pStyle w:val="TableParagraph"/>
              <w:spacing w:before="2"/>
              <w:ind w:left="0"/>
              <w:rPr>
                <w:rFonts w:ascii="Times New Roman"/>
                <w:sz w:val="23"/>
              </w:rPr>
            </w:pPr>
          </w:p>
          <w:p>
            <w:pPr>
              <w:pStyle w:val="TableParagraph"/>
              <w:spacing w:before="0"/>
              <w:ind w:left="144"/>
              <w:rPr>
                <w:sz w:val="21"/>
              </w:rPr>
            </w:pPr>
            <w:r>
              <w:rPr>
                <w:sz w:val="21"/>
              </w:rPr>
              <w:t>征的结缔组织病。本病须经专科医生明确诊断，并须满足下列至少一项条件：</w:t>
            </w:r>
          </w:p>
          <w:p>
            <w:pPr>
              <w:pStyle w:val="TableParagraph"/>
              <w:spacing w:before="37"/>
              <w:rPr>
                <w:sz w:val="21"/>
              </w:rPr>
            </w:pPr>
            <w:r>
              <w:rPr>
                <w:sz w:val="21"/>
              </w:rPr>
              <w:t>1.肺脏：肺部病变进而发展为肺间质纤维化和肺动脉高压；</w:t>
            </w:r>
          </w:p>
          <w:p>
            <w:pPr>
              <w:pStyle w:val="TableParagraph"/>
              <w:spacing w:before="37"/>
              <w:rPr>
                <w:sz w:val="21"/>
              </w:rPr>
            </w:pPr>
            <w:r>
              <w:rPr>
                <w:sz w:val="21"/>
              </w:rPr>
              <w:t>2.</w:t>
            </w:r>
            <w:r>
              <w:rPr>
                <w:spacing w:val="-5"/>
                <w:sz w:val="21"/>
              </w:rPr>
              <w:t>心脏：心功能受损达到纽约心脏病学会的心功能分级标准之心功能 </w:t>
            </w:r>
            <w:r>
              <w:rPr>
                <w:sz w:val="21"/>
              </w:rPr>
              <w:t>IV</w:t>
            </w:r>
            <w:r>
              <w:rPr>
                <w:spacing w:val="-15"/>
                <w:sz w:val="21"/>
              </w:rPr>
              <w:t> 级；</w:t>
            </w:r>
          </w:p>
          <w:p>
            <w:pPr>
              <w:pStyle w:val="TableParagraph"/>
              <w:spacing w:before="37"/>
              <w:rPr>
                <w:sz w:val="21"/>
              </w:rPr>
            </w:pPr>
            <w:r>
              <w:rPr>
                <w:sz w:val="21"/>
              </w:rPr>
              <w:t>3.肾脏：肾脏受损导致双肾功能慢性不可逆衰竭，达到尿毒症期。</w:t>
            </w:r>
          </w:p>
        </w:tc>
      </w:tr>
      <w:tr>
        <w:trPr>
          <w:trHeight w:val="1247" w:hRule="atLeast"/>
        </w:trPr>
        <w:tc>
          <w:tcPr>
            <w:tcW w:w="1016" w:type="dxa"/>
          </w:tcPr>
          <w:p>
            <w:pPr>
              <w:pStyle w:val="TableParagraph"/>
              <w:ind w:left="200"/>
              <w:rPr>
                <w:b/>
                <w:sz w:val="21"/>
              </w:rPr>
            </w:pPr>
            <w:r>
              <w:rPr>
                <w:b/>
                <w:sz w:val="21"/>
              </w:rPr>
              <w:t>6.6.46</w:t>
            </w:r>
          </w:p>
        </w:tc>
        <w:tc>
          <w:tcPr>
            <w:tcW w:w="1169" w:type="dxa"/>
          </w:tcPr>
          <w:p>
            <w:pPr>
              <w:pStyle w:val="TableParagraph"/>
              <w:spacing w:line="312" w:lineRule="auto" w:before="166"/>
              <w:ind w:left="180" w:right="141"/>
              <w:rPr>
                <w:b/>
                <w:sz w:val="21"/>
              </w:rPr>
            </w:pPr>
            <w:r>
              <w:rPr>
                <w:b/>
                <w:sz w:val="21"/>
              </w:rPr>
              <w:t>丝虫病所致象皮肿</w:t>
            </w:r>
          </w:p>
        </w:tc>
        <w:tc>
          <w:tcPr>
            <w:tcW w:w="7702" w:type="dxa"/>
          </w:tcPr>
          <w:p>
            <w:pPr>
              <w:pStyle w:val="TableParagraph"/>
              <w:spacing w:line="273" w:lineRule="auto"/>
              <w:ind w:left="144" w:right="98" w:firstLine="420"/>
              <w:jc w:val="both"/>
              <w:rPr>
                <w:sz w:val="21"/>
              </w:rPr>
            </w:pPr>
            <w:r>
              <w:rPr>
                <w:sz w:val="21"/>
              </w:rPr>
              <w:t>指因丝虫感染导致淋巴阻塞性出现严重淋巴水肿，达到国际淋巴学会淋巴肿</w:t>
            </w:r>
            <w:r>
              <w:rPr>
                <w:spacing w:val="-12"/>
                <w:sz w:val="21"/>
              </w:rPr>
              <w:t>分期第 </w:t>
            </w:r>
            <w:r>
              <w:rPr>
                <w:sz w:val="21"/>
              </w:rPr>
              <w:t>III</w:t>
            </w:r>
            <w:r>
              <w:rPr>
                <w:spacing w:val="-13"/>
                <w:sz w:val="21"/>
              </w:rPr>
              <w:t> 期，临床表现为肢体象皮肿，患肢较键肢增粗 </w:t>
            </w:r>
            <w:r>
              <w:rPr>
                <w:sz w:val="21"/>
              </w:rPr>
              <w:t>30</w:t>
            </w:r>
            <w:r>
              <w:rPr>
                <w:spacing w:val="-5"/>
                <w:sz w:val="21"/>
              </w:rPr>
              <w:t>%以上，日常生活不能</w:t>
            </w:r>
            <w:r>
              <w:rPr>
                <w:spacing w:val="-4"/>
                <w:sz w:val="21"/>
              </w:rPr>
              <w:t>自理。此病症须经专科医生根据临床表现和微丝蚴的化验结果确诊。</w:t>
            </w:r>
          </w:p>
        </w:tc>
      </w:tr>
      <w:tr>
        <w:trPr>
          <w:trHeight w:val="1271" w:hRule="atLeast"/>
        </w:trPr>
        <w:tc>
          <w:tcPr>
            <w:tcW w:w="1016" w:type="dxa"/>
          </w:tcPr>
          <w:p>
            <w:pPr>
              <w:pStyle w:val="TableParagraph"/>
              <w:ind w:left="200"/>
              <w:rPr>
                <w:b/>
                <w:sz w:val="21"/>
              </w:rPr>
            </w:pPr>
            <w:r>
              <w:rPr>
                <w:b/>
                <w:sz w:val="21"/>
              </w:rPr>
              <w:t>6.6.47</w:t>
            </w:r>
          </w:p>
        </w:tc>
        <w:tc>
          <w:tcPr>
            <w:tcW w:w="1169" w:type="dxa"/>
          </w:tcPr>
          <w:p>
            <w:pPr>
              <w:pStyle w:val="TableParagraph"/>
              <w:spacing w:before="166"/>
              <w:ind w:left="180"/>
              <w:rPr>
                <w:b/>
                <w:sz w:val="21"/>
              </w:rPr>
            </w:pPr>
            <w:r>
              <w:rPr>
                <w:b/>
                <w:sz w:val="21"/>
              </w:rPr>
              <w:t>胰腺移植</w:t>
            </w:r>
          </w:p>
        </w:tc>
        <w:tc>
          <w:tcPr>
            <w:tcW w:w="7702" w:type="dxa"/>
          </w:tcPr>
          <w:p>
            <w:pPr>
              <w:pStyle w:val="TableParagraph"/>
              <w:spacing w:line="273" w:lineRule="auto"/>
              <w:ind w:left="144" w:right="98" w:firstLine="420"/>
              <w:rPr>
                <w:sz w:val="21"/>
              </w:rPr>
            </w:pPr>
            <w:r>
              <w:rPr>
                <w:sz w:val="21"/>
              </w:rPr>
              <w:t>指因胰腺功能衰竭，已经实施了在全身麻醉下进行的胰腺的异体器官移植手术。</w:t>
            </w:r>
          </w:p>
          <w:p>
            <w:pPr>
              <w:pStyle w:val="TableParagraph"/>
              <w:spacing w:before="7"/>
              <w:ind w:left="566"/>
              <w:rPr>
                <w:b/>
                <w:sz w:val="21"/>
              </w:rPr>
            </w:pPr>
            <w:r>
              <w:rPr>
                <w:b/>
                <w:sz w:val="21"/>
              </w:rPr>
              <w:t>单纯胰岛移植、部分胰腺组织或细胞的移植不在保障范围之内。</w:t>
            </w:r>
          </w:p>
        </w:tc>
      </w:tr>
      <w:tr>
        <w:trPr>
          <w:trHeight w:val="1400" w:hRule="atLeast"/>
        </w:trPr>
        <w:tc>
          <w:tcPr>
            <w:tcW w:w="1016" w:type="dxa"/>
          </w:tcPr>
          <w:p>
            <w:pPr>
              <w:pStyle w:val="TableParagraph"/>
              <w:spacing w:before="165"/>
              <w:ind w:left="200"/>
              <w:rPr>
                <w:b/>
                <w:sz w:val="21"/>
              </w:rPr>
            </w:pPr>
            <w:r>
              <w:rPr>
                <w:b/>
                <w:sz w:val="21"/>
              </w:rPr>
              <w:t>6.6.48</w:t>
            </w:r>
          </w:p>
        </w:tc>
        <w:tc>
          <w:tcPr>
            <w:tcW w:w="1169" w:type="dxa"/>
          </w:tcPr>
          <w:p>
            <w:pPr>
              <w:pStyle w:val="TableParagraph"/>
              <w:spacing w:before="5"/>
              <w:ind w:left="0"/>
              <w:rPr>
                <w:rFonts w:ascii="Times New Roman"/>
                <w:sz w:val="16"/>
              </w:rPr>
            </w:pPr>
          </w:p>
          <w:p>
            <w:pPr>
              <w:pStyle w:val="TableParagraph"/>
              <w:spacing w:line="314" w:lineRule="auto" w:before="0"/>
              <w:ind w:left="180" w:right="141"/>
              <w:jc w:val="both"/>
              <w:rPr>
                <w:b/>
                <w:sz w:val="21"/>
              </w:rPr>
            </w:pPr>
            <w:r>
              <w:rPr>
                <w:b/>
                <w:sz w:val="21"/>
              </w:rPr>
              <w:t>急性坏死胰腺炎开腹手术</w:t>
            </w:r>
          </w:p>
        </w:tc>
        <w:tc>
          <w:tcPr>
            <w:tcW w:w="7702" w:type="dxa"/>
          </w:tcPr>
          <w:p>
            <w:pPr>
              <w:pStyle w:val="TableParagraph"/>
              <w:spacing w:line="273" w:lineRule="auto" w:before="165"/>
              <w:ind w:left="144" w:right="98" w:firstLine="420"/>
              <w:rPr>
                <w:sz w:val="21"/>
              </w:rPr>
            </w:pPr>
            <w:r>
              <w:rPr>
                <w:sz w:val="21"/>
              </w:rPr>
              <w:t>指为治疗急性坏死性胰腺炎，实际实施了开腹进行的坏死组织清除术、病灶切除术或胰腺部分切除术。</w:t>
            </w:r>
          </w:p>
          <w:p>
            <w:pPr>
              <w:pStyle w:val="TableParagraph"/>
              <w:spacing w:before="7"/>
              <w:ind w:left="566"/>
              <w:rPr>
                <w:b/>
                <w:sz w:val="21"/>
              </w:rPr>
            </w:pPr>
            <w:r>
              <w:rPr>
                <w:b/>
                <w:sz w:val="21"/>
              </w:rPr>
              <w:t>因酒精作用所致的急性胰腺炎不在保障范围内。</w:t>
            </w:r>
          </w:p>
        </w:tc>
      </w:tr>
      <w:tr>
        <w:trPr>
          <w:trHeight w:val="2508" w:hRule="atLeast"/>
        </w:trPr>
        <w:tc>
          <w:tcPr>
            <w:tcW w:w="1016" w:type="dxa"/>
          </w:tcPr>
          <w:p>
            <w:pPr>
              <w:pStyle w:val="TableParagraph"/>
              <w:spacing w:before="154"/>
              <w:ind w:left="200"/>
              <w:rPr>
                <w:b/>
                <w:sz w:val="21"/>
              </w:rPr>
            </w:pPr>
            <w:r>
              <w:rPr>
                <w:b/>
                <w:sz w:val="21"/>
              </w:rPr>
              <w:t>6.6.49</w:t>
            </w:r>
          </w:p>
        </w:tc>
        <w:tc>
          <w:tcPr>
            <w:tcW w:w="1169" w:type="dxa"/>
          </w:tcPr>
          <w:p>
            <w:pPr>
              <w:pStyle w:val="TableParagraph"/>
              <w:spacing w:line="312" w:lineRule="auto" w:before="178"/>
              <w:ind w:left="180" w:right="141"/>
              <w:rPr>
                <w:b/>
                <w:sz w:val="21"/>
              </w:rPr>
            </w:pPr>
            <w:r>
              <w:rPr>
                <w:b/>
                <w:sz w:val="21"/>
              </w:rPr>
              <w:t>慢性复发性胰腺炎</w:t>
            </w:r>
          </w:p>
        </w:tc>
        <w:tc>
          <w:tcPr>
            <w:tcW w:w="7702" w:type="dxa"/>
          </w:tcPr>
          <w:p>
            <w:pPr>
              <w:pStyle w:val="TableParagraph"/>
              <w:spacing w:line="273" w:lineRule="auto" w:before="154"/>
              <w:ind w:left="144" w:right="98" w:firstLine="420"/>
              <w:jc w:val="both"/>
              <w:rPr>
                <w:sz w:val="21"/>
              </w:rPr>
            </w:pPr>
            <w:r>
              <w:rPr>
                <w:sz w:val="21"/>
              </w:rPr>
              <w:t>指慢性反复发作的胰腺炎症导致胰腺的广泛纤维化、坏死、弥漫性钙化及假性囊肿形成，造成胰腺功能障碍出现严重糖尿病和营养不良。必须满足以下所有条件：</w:t>
            </w:r>
          </w:p>
          <w:p>
            <w:pPr>
              <w:pStyle w:val="TableParagraph"/>
              <w:spacing w:line="273" w:lineRule="auto" w:before="7"/>
              <w:ind w:left="144" w:right="97" w:firstLine="420"/>
              <w:jc w:val="both"/>
              <w:rPr>
                <w:sz w:val="21"/>
              </w:rPr>
            </w:pPr>
            <w:r>
              <w:rPr>
                <w:sz w:val="21"/>
              </w:rPr>
              <w:t>1.CT 显示胰腺广泛钙化或逆行胰胆管造影（ERCP）显示胰管扭曲、扩张和狭窄；</w:t>
            </w:r>
          </w:p>
          <w:p>
            <w:pPr>
              <w:pStyle w:val="TableParagraph"/>
              <w:spacing w:line="273" w:lineRule="auto" w:before="7"/>
              <w:ind w:left="566" w:right="2509" w:hanging="3"/>
              <w:rPr>
                <w:b/>
                <w:sz w:val="21"/>
              </w:rPr>
            </w:pPr>
            <w:r>
              <w:rPr>
                <w:sz w:val="21"/>
              </w:rPr>
              <w:t>2.</w:t>
            </w:r>
            <w:r>
              <w:rPr>
                <w:spacing w:val="-6"/>
                <w:sz w:val="21"/>
              </w:rPr>
              <w:t>接受胰岛素替代治疗和酶替代治疗 </w:t>
            </w:r>
            <w:r>
              <w:rPr>
                <w:sz w:val="21"/>
              </w:rPr>
              <w:t>180</w:t>
            </w:r>
            <w:r>
              <w:rPr>
                <w:spacing w:val="-10"/>
                <w:sz w:val="21"/>
              </w:rPr>
              <w:t> 天以上。</w:t>
            </w:r>
            <w:r>
              <w:rPr>
                <w:b/>
                <w:spacing w:val="-9"/>
                <w:sz w:val="21"/>
              </w:rPr>
              <w:t>酒精导致的慢性复发性胰腺炎不在保障范围内。</w:t>
            </w:r>
          </w:p>
        </w:tc>
      </w:tr>
      <w:tr>
        <w:trPr>
          <w:trHeight w:val="1872" w:hRule="atLeast"/>
        </w:trPr>
        <w:tc>
          <w:tcPr>
            <w:tcW w:w="1016" w:type="dxa"/>
          </w:tcPr>
          <w:p>
            <w:pPr>
              <w:pStyle w:val="TableParagraph"/>
              <w:ind w:left="200"/>
              <w:rPr>
                <w:b/>
                <w:sz w:val="21"/>
              </w:rPr>
            </w:pPr>
            <w:r>
              <w:rPr>
                <w:b/>
                <w:sz w:val="21"/>
              </w:rPr>
              <w:t>6.6.50</w:t>
            </w:r>
          </w:p>
        </w:tc>
        <w:tc>
          <w:tcPr>
            <w:tcW w:w="1169" w:type="dxa"/>
          </w:tcPr>
          <w:p>
            <w:pPr>
              <w:pStyle w:val="TableParagraph"/>
              <w:spacing w:before="166"/>
              <w:ind w:left="180"/>
              <w:rPr>
                <w:b/>
                <w:sz w:val="21"/>
              </w:rPr>
            </w:pPr>
            <w:r>
              <w:rPr>
                <w:b/>
                <w:sz w:val="21"/>
              </w:rPr>
              <w:t>疯牛病</w:t>
            </w:r>
          </w:p>
        </w:tc>
        <w:tc>
          <w:tcPr>
            <w:tcW w:w="7702" w:type="dxa"/>
          </w:tcPr>
          <w:p>
            <w:pPr>
              <w:pStyle w:val="TableParagraph"/>
              <w:spacing w:line="273" w:lineRule="auto"/>
              <w:ind w:left="144" w:right="97" w:firstLine="420"/>
              <w:jc w:val="both"/>
              <w:rPr>
                <w:sz w:val="21"/>
              </w:rPr>
            </w:pPr>
            <w:r>
              <w:rPr>
                <w:sz w:val="21"/>
              </w:rPr>
              <w:t>是一种传染性海绵状脑病，临床表现为快速进行性痴呆、肌阵挛和特征性脑</w:t>
            </w:r>
            <w:r>
              <w:rPr>
                <w:spacing w:val="-3"/>
                <w:sz w:val="21"/>
              </w:rPr>
              <w:t>电图变化。本病须经三级医院的专科医生根据 </w:t>
            </w:r>
            <w:r>
              <w:rPr>
                <w:sz w:val="21"/>
              </w:rPr>
              <w:t>WHO</w:t>
            </w:r>
            <w:r>
              <w:rPr>
                <w:spacing w:val="-3"/>
                <w:sz w:val="21"/>
              </w:rPr>
              <w:t> 诊断标准明确诊断，并且被保险人自主生活能力完全丧失，无法独立完成六项基本日常生活活动中的三项或三项以上。</w:t>
            </w:r>
          </w:p>
          <w:p>
            <w:pPr>
              <w:pStyle w:val="TableParagraph"/>
              <w:spacing w:before="7"/>
              <w:ind w:left="566"/>
              <w:rPr>
                <w:b/>
                <w:sz w:val="21"/>
              </w:rPr>
            </w:pPr>
            <w:r>
              <w:rPr>
                <w:b/>
                <w:sz w:val="21"/>
              </w:rPr>
              <w:t>疑似病例不在保障范围内。</w:t>
            </w:r>
          </w:p>
        </w:tc>
      </w:tr>
      <w:tr>
        <w:trPr>
          <w:trHeight w:val="1560" w:hRule="atLeast"/>
        </w:trPr>
        <w:tc>
          <w:tcPr>
            <w:tcW w:w="1016" w:type="dxa"/>
          </w:tcPr>
          <w:p>
            <w:pPr>
              <w:pStyle w:val="TableParagraph"/>
              <w:spacing w:before="143"/>
              <w:ind w:left="200"/>
              <w:rPr>
                <w:b/>
                <w:sz w:val="21"/>
              </w:rPr>
            </w:pPr>
            <w:r>
              <w:rPr>
                <w:b/>
                <w:sz w:val="21"/>
              </w:rPr>
              <w:t>6.6.51</w:t>
            </w:r>
          </w:p>
        </w:tc>
        <w:tc>
          <w:tcPr>
            <w:tcW w:w="1169" w:type="dxa"/>
          </w:tcPr>
          <w:p>
            <w:pPr>
              <w:pStyle w:val="TableParagraph"/>
              <w:spacing w:line="312" w:lineRule="auto" w:before="167"/>
              <w:ind w:left="180" w:right="141"/>
              <w:rPr>
                <w:b/>
                <w:sz w:val="21"/>
              </w:rPr>
            </w:pPr>
            <w:r>
              <w:rPr>
                <w:b/>
                <w:sz w:val="21"/>
              </w:rPr>
              <w:t>肾髓质囊性病</w:t>
            </w:r>
          </w:p>
        </w:tc>
        <w:tc>
          <w:tcPr>
            <w:tcW w:w="7702" w:type="dxa"/>
          </w:tcPr>
          <w:p>
            <w:pPr>
              <w:pStyle w:val="TableParagraph"/>
              <w:spacing w:before="143"/>
              <w:rPr>
                <w:sz w:val="21"/>
              </w:rPr>
            </w:pPr>
            <w:r>
              <w:rPr>
                <w:sz w:val="21"/>
              </w:rPr>
              <w:t>肾髓质囊性病的诊断须同时符合下列要求：</w:t>
            </w:r>
          </w:p>
          <w:p>
            <w:pPr>
              <w:pStyle w:val="TableParagraph"/>
              <w:spacing w:before="37"/>
              <w:rPr>
                <w:sz w:val="21"/>
              </w:rPr>
            </w:pPr>
            <w:r>
              <w:rPr>
                <w:sz w:val="21"/>
              </w:rPr>
              <w:t>1.肾髓质有囊肿、肾小管萎缩及间质纤维化等病理改变；</w:t>
            </w:r>
          </w:p>
          <w:p>
            <w:pPr>
              <w:pStyle w:val="TableParagraph"/>
              <w:spacing w:before="37"/>
              <w:rPr>
                <w:sz w:val="21"/>
              </w:rPr>
            </w:pPr>
            <w:r>
              <w:rPr>
                <w:sz w:val="21"/>
              </w:rPr>
              <w:t>2.肾功能衰竭；</w:t>
            </w:r>
          </w:p>
          <w:p>
            <w:pPr>
              <w:pStyle w:val="TableParagraph"/>
              <w:spacing w:before="37"/>
              <w:rPr>
                <w:sz w:val="21"/>
              </w:rPr>
            </w:pPr>
            <w:r>
              <w:rPr>
                <w:sz w:val="21"/>
              </w:rPr>
              <w:t>3.诊断须由肾组织活检确定。</w:t>
            </w:r>
          </w:p>
        </w:tc>
      </w:tr>
      <w:tr>
        <w:trPr>
          <w:trHeight w:val="2602" w:hRule="atLeast"/>
        </w:trPr>
        <w:tc>
          <w:tcPr>
            <w:tcW w:w="1016" w:type="dxa"/>
          </w:tcPr>
          <w:p>
            <w:pPr>
              <w:pStyle w:val="TableParagraph"/>
              <w:ind w:left="200"/>
              <w:rPr>
                <w:b/>
                <w:sz w:val="21"/>
              </w:rPr>
            </w:pPr>
            <w:r>
              <w:rPr>
                <w:b/>
                <w:sz w:val="21"/>
              </w:rPr>
              <w:t>6.6.52</w:t>
            </w:r>
          </w:p>
        </w:tc>
        <w:tc>
          <w:tcPr>
            <w:tcW w:w="1169" w:type="dxa"/>
          </w:tcPr>
          <w:p>
            <w:pPr>
              <w:pStyle w:val="TableParagraph"/>
              <w:spacing w:line="314" w:lineRule="auto" w:before="166"/>
              <w:ind w:left="180" w:right="141"/>
              <w:jc w:val="both"/>
              <w:rPr>
                <w:b/>
                <w:sz w:val="21"/>
              </w:rPr>
            </w:pPr>
            <w:r>
              <w:rPr>
                <w:b/>
                <w:sz w:val="21"/>
              </w:rPr>
              <w:t>严重的原发性硬化性胆管炎</w:t>
            </w:r>
          </w:p>
        </w:tc>
        <w:tc>
          <w:tcPr>
            <w:tcW w:w="7702" w:type="dxa"/>
          </w:tcPr>
          <w:p>
            <w:pPr>
              <w:pStyle w:val="TableParagraph"/>
              <w:spacing w:line="273" w:lineRule="auto"/>
              <w:ind w:left="144" w:right="198" w:firstLine="420"/>
              <w:jc w:val="both"/>
              <w:rPr>
                <w:sz w:val="21"/>
              </w:rPr>
            </w:pPr>
            <w:r>
              <w:rPr>
                <w:sz w:val="21"/>
              </w:rPr>
              <w:t>原发性硬化性胆管炎指一种胆汁淤积综合征，其特征是肝内、肝外胆道因非细菌性炎症、慢性纤维化逐渐狭窄，并最终导致完全阻塞而发展为胆汁於积性肝硬化。须满足下列全部条件：</w:t>
            </w:r>
          </w:p>
          <w:p>
            <w:pPr>
              <w:pStyle w:val="TableParagraph"/>
              <w:spacing w:before="7"/>
              <w:rPr>
                <w:sz w:val="21"/>
              </w:rPr>
            </w:pPr>
            <w:r>
              <w:rPr>
                <w:sz w:val="21"/>
              </w:rPr>
              <w:t>1.持续性黄疸病史；</w:t>
            </w:r>
          </w:p>
          <w:p>
            <w:pPr>
              <w:pStyle w:val="TableParagraph"/>
              <w:spacing w:before="37"/>
              <w:rPr>
                <w:sz w:val="21"/>
              </w:rPr>
            </w:pPr>
            <w:r>
              <w:rPr>
                <w:sz w:val="21"/>
              </w:rPr>
              <w:t>2.总胆红素和直接胆红素同时升高，血清 ALP〉200U/L；</w:t>
            </w:r>
          </w:p>
          <w:p>
            <w:pPr>
              <w:pStyle w:val="TableParagraph"/>
              <w:spacing w:before="37"/>
              <w:rPr>
                <w:sz w:val="21"/>
              </w:rPr>
            </w:pPr>
            <w:r>
              <w:rPr>
                <w:sz w:val="21"/>
              </w:rPr>
              <w:t>3.经内镜逆行胰胆管造影（ERCP）影像学检查确诊；</w:t>
            </w:r>
          </w:p>
          <w:p>
            <w:pPr>
              <w:pStyle w:val="TableParagraph"/>
              <w:spacing w:before="37"/>
              <w:rPr>
                <w:sz w:val="21"/>
              </w:rPr>
            </w:pPr>
            <w:r>
              <w:rPr>
                <w:sz w:val="21"/>
              </w:rPr>
              <w:t>4.出现胆汁於积性肝硬化或门脉高压。</w:t>
            </w:r>
          </w:p>
          <w:p>
            <w:pPr>
              <w:pStyle w:val="TableParagraph"/>
              <w:spacing w:line="255" w:lineRule="exact" w:before="36"/>
              <w:ind w:left="566"/>
              <w:rPr>
                <w:b/>
                <w:sz w:val="21"/>
              </w:rPr>
            </w:pPr>
            <w:r>
              <w:rPr>
                <w:b/>
                <w:sz w:val="21"/>
              </w:rPr>
              <w:t>因肿瘤或胆管损伤等继发性的硬化性胆管炎不在保障范围内。</w:t>
            </w:r>
          </w:p>
        </w:tc>
      </w:tr>
    </w:tbl>
    <w:p>
      <w:pPr>
        <w:spacing w:after="0" w:line="255" w:lineRule="exact"/>
        <w:rPr>
          <w:sz w:val="21"/>
        </w:rPr>
        <w:sectPr>
          <w:pgSz w:w="11910" w:h="16840"/>
          <w:pgMar w:header="871" w:footer="992" w:top="1060" w:bottom="1180" w:left="680" w:right="1120"/>
        </w:sectPr>
      </w:pPr>
    </w:p>
    <w:p>
      <w:pPr>
        <w:pStyle w:val="BodyText"/>
        <w:rPr>
          <w:rFonts w:ascii="Times New Roman"/>
          <w:sz w:val="2"/>
        </w:rPr>
      </w:pPr>
    </w:p>
    <w:p>
      <w:pPr>
        <w:spacing w:line="38" w:lineRule="exact"/>
        <w:ind w:left="616" w:right="0" w:firstLine="0"/>
        <w:rPr>
          <w:rFonts w:ascii="Times New Roman"/>
          <w:sz w:val="3"/>
        </w:rPr>
      </w:pPr>
      <w:r>
        <w:rPr>
          <w:rFonts w:ascii="Times New Roman"/>
          <w:spacing w:val="-7"/>
          <w:sz w:val="3"/>
        </w:rPr>
        <w:t> </w:t>
      </w:r>
      <w:r>
        <w:rPr>
          <w:rFonts w:ascii="Times New Roman"/>
          <w:spacing w:val="-7"/>
          <w:position w:val="0"/>
          <w:sz w:val="3"/>
        </w:rPr>
        <w:pict>
          <v:group style="width:468.75pt;height:1.85pt;mso-position-horizontal-relative:char;mso-position-vertical-relative:line" coordorigin="0,0" coordsize="9375,37">
            <v:line style="position:absolute" from="8,30" to="9368,8" stroked="true" strokeweight=".75pt" strokecolor="#000000">
              <v:stroke dashstyle="solid"/>
            </v:line>
          </v:group>
        </w:pict>
      </w:r>
      <w:r>
        <w:rPr>
          <w:rFonts w:ascii="Times New Roman"/>
          <w:spacing w:val="-7"/>
          <w:position w:val="0"/>
          <w:sz w:val="3"/>
        </w:rPr>
      </w:r>
    </w:p>
    <w:p>
      <w:pPr>
        <w:pStyle w:val="BodyText"/>
        <w:spacing w:before="0"/>
        <w:rPr>
          <w:rFonts w:ascii="Times New Roman"/>
          <w:sz w:val="20"/>
        </w:rPr>
      </w:pPr>
    </w:p>
    <w:p>
      <w:pPr>
        <w:pStyle w:val="BodyText"/>
        <w:spacing w:before="0"/>
        <w:rPr>
          <w:rFonts w:ascii="Times New Roman"/>
          <w:sz w:val="20"/>
        </w:rPr>
      </w:pPr>
    </w:p>
    <w:p>
      <w:pPr>
        <w:pStyle w:val="BodyText"/>
        <w:spacing w:before="2"/>
        <w:rPr>
          <w:rFonts w:ascii="Times New Roman"/>
          <w:sz w:val="16"/>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
        <w:gridCol w:w="1195"/>
        <w:gridCol w:w="7773"/>
      </w:tblGrid>
      <w:tr>
        <w:trPr>
          <w:trHeight w:val="3538" w:hRule="atLeast"/>
        </w:trPr>
        <w:tc>
          <w:tcPr>
            <w:tcW w:w="1016" w:type="dxa"/>
          </w:tcPr>
          <w:p>
            <w:pPr>
              <w:pStyle w:val="TableParagraph"/>
              <w:spacing w:line="211" w:lineRule="exact" w:before="0"/>
              <w:ind w:left="200"/>
              <w:rPr>
                <w:b/>
                <w:sz w:val="21"/>
              </w:rPr>
            </w:pPr>
            <w:r>
              <w:rPr>
                <w:b/>
                <w:sz w:val="21"/>
              </w:rPr>
              <w:t>6.6.53</w:t>
            </w:r>
          </w:p>
        </w:tc>
        <w:tc>
          <w:tcPr>
            <w:tcW w:w="1195" w:type="dxa"/>
          </w:tcPr>
          <w:p>
            <w:pPr>
              <w:pStyle w:val="TableParagraph"/>
              <w:spacing w:line="235" w:lineRule="exact" w:before="0"/>
              <w:ind w:left="180"/>
              <w:rPr>
                <w:b/>
                <w:sz w:val="21"/>
              </w:rPr>
            </w:pPr>
            <w:r>
              <w:rPr>
                <w:b/>
                <w:sz w:val="21"/>
              </w:rPr>
              <w:t>特发性慢</w:t>
            </w:r>
          </w:p>
          <w:p>
            <w:pPr>
              <w:pStyle w:val="TableParagraph"/>
              <w:spacing w:line="314" w:lineRule="auto" w:before="82"/>
              <w:ind w:left="180" w:right="167"/>
              <w:jc w:val="both"/>
              <w:rPr>
                <w:b/>
                <w:sz w:val="21"/>
              </w:rPr>
            </w:pPr>
            <w:r>
              <w:rPr>
                <w:b/>
                <w:sz w:val="21"/>
              </w:rPr>
              <w:t>性肾上腺皮质功能减退</w:t>
            </w:r>
          </w:p>
        </w:tc>
        <w:tc>
          <w:tcPr>
            <w:tcW w:w="7773" w:type="dxa"/>
          </w:tcPr>
          <w:p>
            <w:pPr>
              <w:pStyle w:val="TableParagraph"/>
              <w:spacing w:line="211" w:lineRule="exact" w:before="0"/>
              <w:ind w:left="538"/>
              <w:rPr>
                <w:sz w:val="21"/>
              </w:rPr>
            </w:pPr>
            <w:r>
              <w:rPr>
                <w:sz w:val="21"/>
              </w:rPr>
              <w:t>指自身免疫性肾上腺炎（既往称：特发性肾上腺皮质萎缩）导致肾上腺萎缩</w:t>
            </w:r>
          </w:p>
          <w:p>
            <w:pPr>
              <w:pStyle w:val="TableParagraph"/>
              <w:spacing w:before="37"/>
              <w:ind w:left="102" w:right="2591"/>
              <w:jc w:val="center"/>
              <w:rPr>
                <w:sz w:val="21"/>
              </w:rPr>
            </w:pPr>
            <w:r>
              <w:rPr>
                <w:sz w:val="21"/>
              </w:rPr>
              <w:t>和慢性肾上腺皮质功能减退。必须满足所有以下条件：</w:t>
            </w:r>
          </w:p>
          <w:p>
            <w:pPr>
              <w:pStyle w:val="TableParagraph"/>
              <w:spacing w:before="37"/>
              <w:ind w:left="538"/>
              <w:rPr>
                <w:sz w:val="21"/>
              </w:rPr>
            </w:pPr>
            <w:r>
              <w:rPr>
                <w:sz w:val="21"/>
              </w:rPr>
              <w:t>1.必须由专科医生明确诊断，符合所有以下诊断标准：</w:t>
            </w:r>
          </w:p>
          <w:p>
            <w:pPr>
              <w:pStyle w:val="TableParagraph"/>
              <w:spacing w:before="37"/>
              <w:ind w:left="538"/>
              <w:rPr>
                <w:sz w:val="21"/>
              </w:rPr>
            </w:pPr>
            <w:r>
              <w:rPr>
                <w:sz w:val="21"/>
              </w:rPr>
              <w:t>（1）血浆促肾上腺皮质激素(ACTH)水平测定，&gt;100pg/ml；</w:t>
            </w:r>
          </w:p>
          <w:p>
            <w:pPr>
              <w:pStyle w:val="TableParagraph"/>
              <w:spacing w:line="273" w:lineRule="auto" w:before="37"/>
              <w:ind w:left="118" w:right="196" w:firstLine="420"/>
              <w:rPr>
                <w:sz w:val="21"/>
              </w:rPr>
            </w:pPr>
            <w:r>
              <w:rPr>
                <w:sz w:val="21"/>
              </w:rPr>
              <w:t>（2）血浆肾素活性、血管紧张素 II 和醛固酮测定，显示为原发性肾上腺皮质功能减退症；</w:t>
            </w:r>
          </w:p>
          <w:p>
            <w:pPr>
              <w:pStyle w:val="TableParagraph"/>
              <w:spacing w:line="273" w:lineRule="auto" w:before="7"/>
              <w:ind w:left="118" w:right="200" w:firstLine="420"/>
              <w:rPr>
                <w:sz w:val="21"/>
              </w:rPr>
            </w:pPr>
            <w:r>
              <w:rPr>
                <w:sz w:val="21"/>
              </w:rPr>
              <w:t>（3）促肾上腺皮质激素(ACTH)刺激试验显示为原发性肾上腺皮质功能减退症。</w:t>
            </w:r>
          </w:p>
          <w:p>
            <w:pPr>
              <w:pStyle w:val="TableParagraph"/>
              <w:spacing w:before="7"/>
              <w:ind w:left="538"/>
              <w:rPr>
                <w:sz w:val="21"/>
              </w:rPr>
            </w:pPr>
            <w:r>
              <w:rPr>
                <w:sz w:val="21"/>
              </w:rPr>
              <w:t>2.已经采用皮质类固醇替代治疗 180 天以上。</w:t>
            </w:r>
          </w:p>
          <w:p>
            <w:pPr>
              <w:pStyle w:val="TableParagraph"/>
              <w:spacing w:line="273" w:lineRule="auto" w:before="37"/>
              <w:ind w:left="118" w:right="197" w:firstLine="422"/>
              <w:rPr>
                <w:b/>
                <w:sz w:val="21"/>
              </w:rPr>
            </w:pPr>
            <w:r>
              <w:rPr>
                <w:b/>
                <w:spacing w:val="-5"/>
                <w:sz w:val="21"/>
              </w:rPr>
              <w:t>肾上腺结核、</w:t>
            </w:r>
            <w:r>
              <w:rPr>
                <w:b/>
                <w:sz w:val="21"/>
              </w:rPr>
              <w:t>HIV</w:t>
            </w:r>
            <w:r>
              <w:rPr>
                <w:b/>
                <w:spacing w:val="-11"/>
                <w:sz w:val="21"/>
              </w:rPr>
              <w:t> 感染或艾滋病、感染、肿瘤所致的原发性肾上腺皮质功能减</w:t>
            </w:r>
            <w:r>
              <w:rPr>
                <w:b/>
                <w:spacing w:val="-10"/>
                <w:sz w:val="21"/>
              </w:rPr>
              <w:t>退和继发性肾上腺皮质功能减退不在本保障范围内。</w:t>
            </w:r>
          </w:p>
        </w:tc>
      </w:tr>
      <w:tr>
        <w:trPr>
          <w:trHeight w:val="1376" w:hRule="atLeast"/>
        </w:trPr>
        <w:tc>
          <w:tcPr>
            <w:tcW w:w="1016" w:type="dxa"/>
          </w:tcPr>
          <w:p>
            <w:pPr>
              <w:pStyle w:val="TableParagraph"/>
              <w:ind w:left="200"/>
              <w:rPr>
                <w:b/>
                <w:sz w:val="21"/>
              </w:rPr>
            </w:pPr>
            <w:r>
              <w:rPr>
                <w:b/>
                <w:sz w:val="21"/>
              </w:rPr>
              <w:t>6.6.54</w:t>
            </w:r>
          </w:p>
        </w:tc>
        <w:tc>
          <w:tcPr>
            <w:tcW w:w="1195" w:type="dxa"/>
          </w:tcPr>
          <w:p>
            <w:pPr>
              <w:pStyle w:val="TableParagraph"/>
              <w:spacing w:line="314" w:lineRule="auto" w:before="166"/>
              <w:ind w:left="180" w:right="167"/>
              <w:jc w:val="both"/>
              <w:rPr>
                <w:b/>
                <w:sz w:val="21"/>
              </w:rPr>
            </w:pPr>
            <w:r>
              <w:rPr>
                <w:b/>
                <w:sz w:val="21"/>
              </w:rPr>
              <w:t>溶血性链球菌引起的坏疽</w:t>
            </w:r>
          </w:p>
        </w:tc>
        <w:tc>
          <w:tcPr>
            <w:tcW w:w="7773" w:type="dxa"/>
          </w:tcPr>
          <w:p>
            <w:pPr>
              <w:pStyle w:val="TableParagraph"/>
              <w:spacing w:line="273" w:lineRule="auto"/>
              <w:ind w:left="118" w:right="197" w:firstLine="420"/>
              <w:rPr>
                <w:sz w:val="21"/>
              </w:rPr>
            </w:pPr>
            <w:r>
              <w:rPr>
                <w:spacing w:val="-3"/>
                <w:sz w:val="21"/>
              </w:rPr>
              <w:t>包围肢体或躯干的浅筋膜及</w:t>
            </w:r>
            <w:r>
              <w:rPr>
                <w:sz w:val="21"/>
              </w:rPr>
              <w:t>/</w:t>
            </w:r>
            <w:r>
              <w:rPr>
                <w:spacing w:val="-4"/>
                <w:sz w:val="21"/>
              </w:rPr>
              <w:t>或深筋膜受到溶血性链球菌的感染，病情在短时</w:t>
            </w:r>
            <w:r>
              <w:rPr>
                <w:spacing w:val="-3"/>
                <w:sz w:val="21"/>
              </w:rPr>
              <w:t>间内急剧恶化，必须立刻进行手术及清创术。最后的诊断必须由微生物或病理学专家进行相关检查后证实。</w:t>
            </w:r>
          </w:p>
        </w:tc>
      </w:tr>
      <w:tr>
        <w:trPr>
          <w:trHeight w:val="1570" w:hRule="atLeast"/>
        </w:trPr>
        <w:tc>
          <w:tcPr>
            <w:tcW w:w="1016" w:type="dxa"/>
          </w:tcPr>
          <w:p>
            <w:pPr>
              <w:pStyle w:val="TableParagraph"/>
              <w:spacing w:before="153"/>
              <w:ind w:left="200"/>
              <w:rPr>
                <w:b/>
                <w:sz w:val="21"/>
              </w:rPr>
            </w:pPr>
            <w:r>
              <w:rPr>
                <w:b/>
                <w:sz w:val="21"/>
              </w:rPr>
              <w:t>6.6.55</w:t>
            </w:r>
          </w:p>
        </w:tc>
        <w:tc>
          <w:tcPr>
            <w:tcW w:w="1195" w:type="dxa"/>
          </w:tcPr>
          <w:p>
            <w:pPr>
              <w:pStyle w:val="TableParagraph"/>
              <w:spacing w:before="177"/>
              <w:ind w:left="180"/>
              <w:rPr>
                <w:b/>
                <w:sz w:val="21"/>
              </w:rPr>
            </w:pPr>
            <w:r>
              <w:rPr>
                <w:b/>
                <w:sz w:val="21"/>
              </w:rPr>
              <w:t>颅脑手术</w:t>
            </w:r>
          </w:p>
        </w:tc>
        <w:tc>
          <w:tcPr>
            <w:tcW w:w="7773" w:type="dxa"/>
          </w:tcPr>
          <w:p>
            <w:pPr>
              <w:pStyle w:val="TableParagraph"/>
              <w:spacing w:line="273" w:lineRule="auto" w:before="153"/>
              <w:ind w:left="118" w:right="295" w:firstLine="420"/>
              <w:rPr>
                <w:sz w:val="21"/>
              </w:rPr>
            </w:pPr>
            <w:r>
              <w:rPr>
                <w:sz w:val="21"/>
              </w:rPr>
              <w:t>被保险人确已实施全麻下的开颅手术（不包括颅骨钻孔手术和经鼻蝶窦入颅手术）。</w:t>
            </w:r>
          </w:p>
          <w:p>
            <w:pPr>
              <w:pStyle w:val="TableParagraph"/>
              <w:spacing w:before="7"/>
              <w:ind w:left="540"/>
              <w:rPr>
                <w:b/>
                <w:sz w:val="21"/>
              </w:rPr>
            </w:pPr>
            <w:r>
              <w:rPr>
                <w:b/>
                <w:sz w:val="21"/>
              </w:rPr>
              <w:t>因外伤而实施的脑外科手术不在保障范围之内。</w:t>
            </w:r>
          </w:p>
          <w:p>
            <w:pPr>
              <w:pStyle w:val="TableParagraph"/>
              <w:spacing w:before="37"/>
              <w:ind w:left="540"/>
              <w:rPr>
                <w:b/>
                <w:sz w:val="21"/>
              </w:rPr>
            </w:pPr>
            <w:r>
              <w:rPr>
                <w:b/>
                <w:sz w:val="21"/>
              </w:rPr>
              <w:t>理赔时必须提供由神经外科医生出具的诊断书及手术报告。</w:t>
            </w:r>
          </w:p>
        </w:tc>
      </w:tr>
      <w:tr>
        <w:trPr>
          <w:trHeight w:val="2496" w:hRule="atLeast"/>
        </w:trPr>
        <w:tc>
          <w:tcPr>
            <w:tcW w:w="1016" w:type="dxa"/>
          </w:tcPr>
          <w:p>
            <w:pPr>
              <w:pStyle w:val="TableParagraph"/>
              <w:spacing w:before="143"/>
              <w:ind w:left="200"/>
              <w:rPr>
                <w:b/>
                <w:sz w:val="21"/>
              </w:rPr>
            </w:pPr>
            <w:r>
              <w:rPr>
                <w:b/>
                <w:sz w:val="21"/>
              </w:rPr>
              <w:t>6.6.56</w:t>
            </w:r>
          </w:p>
        </w:tc>
        <w:tc>
          <w:tcPr>
            <w:tcW w:w="1195" w:type="dxa"/>
          </w:tcPr>
          <w:p>
            <w:pPr>
              <w:pStyle w:val="TableParagraph"/>
              <w:spacing w:line="314" w:lineRule="auto" w:before="167"/>
              <w:ind w:left="180" w:right="167"/>
              <w:rPr>
                <w:b/>
                <w:sz w:val="21"/>
              </w:rPr>
            </w:pPr>
            <w:r>
              <w:rPr>
                <w:b/>
                <w:sz w:val="21"/>
              </w:rPr>
              <w:t>严重肌营养不良症</w:t>
            </w:r>
          </w:p>
        </w:tc>
        <w:tc>
          <w:tcPr>
            <w:tcW w:w="7773" w:type="dxa"/>
          </w:tcPr>
          <w:p>
            <w:pPr>
              <w:pStyle w:val="TableParagraph"/>
              <w:spacing w:line="273" w:lineRule="auto" w:before="143"/>
              <w:ind w:left="118" w:right="295" w:firstLine="420"/>
              <w:rPr>
                <w:sz w:val="21"/>
              </w:rPr>
            </w:pPr>
            <w:r>
              <w:rPr>
                <w:sz w:val="21"/>
              </w:rPr>
              <w:t>指一组遗传性肌肉变性病变，临床特征为与神经系统无关的骨骼肌肉对称地进行性无力和萎缩。其诊断需满足下列全部条件：</w:t>
            </w:r>
          </w:p>
          <w:p>
            <w:pPr>
              <w:pStyle w:val="TableParagraph"/>
              <w:spacing w:before="8"/>
              <w:ind w:left="538"/>
              <w:rPr>
                <w:sz w:val="21"/>
              </w:rPr>
            </w:pPr>
            <w:r>
              <w:rPr>
                <w:sz w:val="21"/>
              </w:rPr>
              <w:t>1.肌电图显示典型肌营养不良症的阳性改变；</w:t>
            </w:r>
          </w:p>
          <w:p>
            <w:pPr>
              <w:pStyle w:val="TableParagraph"/>
              <w:spacing w:line="273" w:lineRule="auto" w:before="37"/>
              <w:ind w:left="118" w:right="400" w:firstLine="420"/>
              <w:rPr>
                <w:sz w:val="21"/>
              </w:rPr>
            </w:pPr>
            <w:r>
              <w:rPr>
                <w:sz w:val="21"/>
              </w:rPr>
              <w:t>2.肌肉活检的病理学诊断符合肌营养不良症的肌肉细胞变性\坏死等阳性改变；</w:t>
            </w:r>
          </w:p>
          <w:p>
            <w:pPr>
              <w:pStyle w:val="TableParagraph"/>
              <w:spacing w:line="273" w:lineRule="auto" w:before="7"/>
              <w:ind w:left="118" w:right="295" w:firstLine="420"/>
              <w:rPr>
                <w:sz w:val="21"/>
              </w:rPr>
            </w:pPr>
            <w:r>
              <w:rPr>
                <w:sz w:val="21"/>
              </w:rPr>
              <w:t>3.已导致被保险人持续超过三个月无法独立完成六项基本日常生活活动中的三项或三项以上。</w:t>
            </w:r>
          </w:p>
        </w:tc>
      </w:tr>
      <w:tr>
        <w:trPr>
          <w:trHeight w:val="2184" w:hRule="atLeast"/>
        </w:trPr>
        <w:tc>
          <w:tcPr>
            <w:tcW w:w="1016" w:type="dxa"/>
          </w:tcPr>
          <w:p>
            <w:pPr>
              <w:pStyle w:val="TableParagraph"/>
              <w:ind w:left="200"/>
              <w:rPr>
                <w:b/>
                <w:sz w:val="21"/>
              </w:rPr>
            </w:pPr>
            <w:r>
              <w:rPr>
                <w:b/>
                <w:sz w:val="21"/>
              </w:rPr>
              <w:t>6.6.57</w:t>
            </w:r>
          </w:p>
        </w:tc>
        <w:tc>
          <w:tcPr>
            <w:tcW w:w="1195" w:type="dxa"/>
          </w:tcPr>
          <w:p>
            <w:pPr>
              <w:pStyle w:val="TableParagraph"/>
              <w:spacing w:line="314" w:lineRule="auto" w:before="166"/>
              <w:ind w:left="180" w:right="167"/>
              <w:rPr>
                <w:b/>
                <w:sz w:val="21"/>
              </w:rPr>
            </w:pPr>
            <w:r>
              <w:rPr>
                <w:b/>
                <w:sz w:val="21"/>
              </w:rPr>
              <w:t>严重心肌炎</w:t>
            </w:r>
          </w:p>
        </w:tc>
        <w:tc>
          <w:tcPr>
            <w:tcW w:w="7773" w:type="dxa"/>
          </w:tcPr>
          <w:p>
            <w:pPr>
              <w:pStyle w:val="TableParagraph"/>
              <w:spacing w:line="273" w:lineRule="auto"/>
              <w:ind w:left="118" w:right="295" w:firstLine="420"/>
              <w:rPr>
                <w:sz w:val="21"/>
              </w:rPr>
            </w:pPr>
            <w:r>
              <w:rPr>
                <w:sz w:val="21"/>
              </w:rPr>
              <w:t>指被保险人因严重心肌炎性病变导致心功能损害造成持续的永久不可逆性的心功能衰竭。必须满足所有以下条件：</w:t>
            </w:r>
          </w:p>
          <w:p>
            <w:pPr>
              <w:pStyle w:val="TableParagraph"/>
              <w:spacing w:line="273" w:lineRule="auto" w:before="7"/>
              <w:ind w:left="118" w:right="295" w:firstLine="420"/>
              <w:rPr>
                <w:sz w:val="21"/>
              </w:rPr>
            </w:pPr>
            <w:r>
              <w:rPr>
                <w:sz w:val="21"/>
              </w:rPr>
              <w:t>1.心功能衰竭程度达到纽约心脏病学会的心功能分级标准之心功能IV级，或左室射血分数低于30%；</w:t>
            </w:r>
          </w:p>
          <w:p>
            <w:pPr>
              <w:pStyle w:val="TableParagraph"/>
              <w:spacing w:before="7"/>
              <w:ind w:left="538"/>
              <w:rPr>
                <w:sz w:val="21"/>
              </w:rPr>
            </w:pPr>
            <w:r>
              <w:rPr>
                <w:sz w:val="21"/>
              </w:rPr>
              <w:t>2.持续不间断180天以上；</w:t>
            </w:r>
          </w:p>
          <w:p>
            <w:pPr>
              <w:pStyle w:val="TableParagraph"/>
              <w:spacing w:before="36"/>
              <w:ind w:left="538"/>
              <w:rPr>
                <w:sz w:val="21"/>
              </w:rPr>
            </w:pPr>
            <w:r>
              <w:rPr>
                <w:sz w:val="21"/>
              </w:rPr>
              <w:t>3.被保险人永久不可逆性的体力活动能力受限，不能从事任何体力活动。</w:t>
            </w:r>
          </w:p>
        </w:tc>
      </w:tr>
      <w:tr>
        <w:trPr>
          <w:trHeight w:val="1978" w:hRule="atLeast"/>
        </w:trPr>
        <w:tc>
          <w:tcPr>
            <w:tcW w:w="1016" w:type="dxa"/>
          </w:tcPr>
          <w:p>
            <w:pPr>
              <w:pStyle w:val="TableParagraph"/>
              <w:ind w:left="200"/>
              <w:rPr>
                <w:b/>
                <w:sz w:val="21"/>
              </w:rPr>
            </w:pPr>
            <w:r>
              <w:rPr>
                <w:b/>
                <w:sz w:val="21"/>
              </w:rPr>
              <w:t>6.6.58</w:t>
            </w:r>
          </w:p>
        </w:tc>
        <w:tc>
          <w:tcPr>
            <w:tcW w:w="1195" w:type="dxa"/>
          </w:tcPr>
          <w:p>
            <w:pPr>
              <w:pStyle w:val="TableParagraph"/>
              <w:spacing w:line="314" w:lineRule="auto" w:before="166"/>
              <w:ind w:left="180" w:right="116"/>
              <w:rPr>
                <w:b/>
                <w:sz w:val="21"/>
              </w:rPr>
            </w:pPr>
            <w:r>
              <w:rPr>
                <w:b/>
                <w:sz w:val="21"/>
              </w:rPr>
              <w:t>肝豆状核变性(或</w:t>
            </w:r>
            <w:r>
              <w:rPr>
                <w:b/>
                <w:spacing w:val="-28"/>
                <w:sz w:val="21"/>
              </w:rPr>
              <w:t>称 </w:t>
            </w:r>
            <w:r>
              <w:rPr>
                <w:b/>
                <w:sz w:val="21"/>
              </w:rPr>
              <w:t>Wilson </w:t>
            </w:r>
            <w:r>
              <w:rPr>
                <w:b/>
                <w:spacing w:val="-1"/>
                <w:sz w:val="21"/>
              </w:rPr>
              <w:t>病)</w:t>
            </w:r>
          </w:p>
        </w:tc>
        <w:tc>
          <w:tcPr>
            <w:tcW w:w="7773" w:type="dxa"/>
          </w:tcPr>
          <w:p>
            <w:pPr>
              <w:pStyle w:val="TableParagraph"/>
              <w:spacing w:line="273" w:lineRule="auto"/>
              <w:ind w:left="118" w:right="295" w:firstLine="420"/>
              <w:rPr>
                <w:sz w:val="21"/>
              </w:rPr>
            </w:pPr>
            <w:r>
              <w:rPr>
                <w:sz w:val="21"/>
              </w:rPr>
              <w:t>指一种常染色体隐性遗传的铜代谢缺陷病，以不同程度的肝细胞损害、脑退行性病变和角膜边缘有铜盐沉着环为其临床特征，并须满足下列全部条件：</w:t>
            </w:r>
          </w:p>
          <w:p>
            <w:pPr>
              <w:pStyle w:val="TableParagraph"/>
              <w:spacing w:before="7"/>
              <w:ind w:left="538"/>
              <w:rPr>
                <w:sz w:val="21"/>
              </w:rPr>
            </w:pPr>
            <w:r>
              <w:rPr>
                <w:sz w:val="21"/>
              </w:rPr>
              <w:t>1.典型症状；</w:t>
            </w:r>
          </w:p>
          <w:p>
            <w:pPr>
              <w:pStyle w:val="TableParagraph"/>
              <w:spacing w:before="37"/>
              <w:ind w:left="538"/>
              <w:rPr>
                <w:sz w:val="21"/>
              </w:rPr>
            </w:pPr>
            <w:r>
              <w:rPr>
                <w:w w:val="100"/>
                <w:sz w:val="21"/>
              </w:rPr>
              <w:t>2.</w:t>
            </w:r>
            <w:r>
              <w:rPr>
                <w:spacing w:val="-3"/>
                <w:w w:val="100"/>
                <w:sz w:val="21"/>
              </w:rPr>
              <w:t>角膜色素环</w:t>
            </w:r>
            <w:r>
              <w:rPr>
                <w:spacing w:val="-2"/>
                <w:w w:val="100"/>
                <w:sz w:val="21"/>
              </w:rPr>
              <w:t>（</w:t>
            </w:r>
            <w:r>
              <w:rPr>
                <w:w w:val="100"/>
                <w:sz w:val="21"/>
              </w:rPr>
              <w:t>K-F</w:t>
            </w:r>
            <w:r>
              <w:rPr>
                <w:spacing w:val="-2"/>
                <w:sz w:val="21"/>
              </w:rPr>
              <w:t> </w:t>
            </w:r>
            <w:r>
              <w:rPr>
                <w:w w:val="100"/>
                <w:sz w:val="21"/>
              </w:rPr>
              <w:t>环</w:t>
            </w:r>
            <w:r>
              <w:rPr>
                <w:spacing w:val="-108"/>
                <w:w w:val="100"/>
                <w:sz w:val="21"/>
              </w:rPr>
              <w:t>）</w:t>
            </w:r>
            <w:r>
              <w:rPr>
                <w:w w:val="100"/>
                <w:sz w:val="21"/>
              </w:rPr>
              <w:t>；</w:t>
            </w:r>
          </w:p>
          <w:p>
            <w:pPr>
              <w:pStyle w:val="TableParagraph"/>
              <w:spacing w:before="37"/>
              <w:ind w:left="538"/>
              <w:rPr>
                <w:sz w:val="21"/>
              </w:rPr>
            </w:pPr>
            <w:r>
              <w:rPr>
                <w:sz w:val="21"/>
              </w:rPr>
              <w:t>3.血清铜和血清铜蓝蛋白降低，尿铜增加；</w:t>
            </w:r>
          </w:p>
          <w:p>
            <w:pPr>
              <w:pStyle w:val="TableParagraph"/>
              <w:spacing w:line="255" w:lineRule="exact" w:before="37"/>
              <w:ind w:left="538"/>
              <w:rPr>
                <w:sz w:val="21"/>
              </w:rPr>
            </w:pPr>
            <w:r>
              <w:rPr>
                <w:sz w:val="21"/>
              </w:rPr>
              <w:t>4.经肝脏活检确诊。</w:t>
            </w:r>
          </w:p>
        </w:tc>
      </w:tr>
    </w:tbl>
    <w:p>
      <w:pPr>
        <w:spacing w:after="0" w:line="255" w:lineRule="exact"/>
        <w:rPr>
          <w:sz w:val="21"/>
        </w:rPr>
        <w:sectPr>
          <w:pgSz w:w="11910" w:h="16840"/>
          <w:pgMar w:header="871" w:footer="992" w:top="1060" w:bottom="1180" w:left="680" w:right="1020"/>
        </w:sectPr>
      </w:pPr>
    </w:p>
    <w:p>
      <w:pPr>
        <w:pStyle w:val="BodyText"/>
        <w:rPr>
          <w:rFonts w:ascii="Times New Roman"/>
          <w:sz w:val="2"/>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
        <w:gridCol w:w="1195"/>
        <w:gridCol w:w="7681"/>
      </w:tblGrid>
      <w:tr>
        <w:trPr>
          <w:trHeight w:val="1859" w:hRule="atLeast"/>
        </w:trPr>
        <w:tc>
          <w:tcPr>
            <w:tcW w:w="1016" w:type="dxa"/>
            <w:tcBorders>
              <w:top w:val="single" w:sz="18" w:space="0" w:color="000000"/>
            </w:tcBorders>
          </w:tcPr>
          <w:p>
            <w:pPr>
              <w:pStyle w:val="TableParagraph"/>
              <w:spacing w:before="2"/>
              <w:ind w:left="0"/>
              <w:rPr>
                <w:rFonts w:ascii="Times New Roman"/>
                <w:sz w:val="23"/>
              </w:rPr>
            </w:pPr>
          </w:p>
          <w:p>
            <w:pPr>
              <w:pStyle w:val="TableParagraph"/>
              <w:spacing w:before="0"/>
              <w:ind w:left="200"/>
              <w:rPr>
                <w:b/>
                <w:sz w:val="21"/>
              </w:rPr>
            </w:pPr>
            <w:r>
              <w:rPr>
                <w:b/>
                <w:sz w:val="21"/>
              </w:rPr>
              <w:t>6.6.59</w:t>
            </w:r>
          </w:p>
        </w:tc>
        <w:tc>
          <w:tcPr>
            <w:tcW w:w="1195" w:type="dxa"/>
            <w:tcBorders>
              <w:top w:val="single" w:sz="18" w:space="0" w:color="000000"/>
            </w:tcBorders>
          </w:tcPr>
          <w:p>
            <w:pPr>
              <w:pStyle w:val="TableParagraph"/>
              <w:spacing w:before="3"/>
              <w:ind w:left="0"/>
              <w:rPr>
                <w:rFonts w:ascii="Times New Roman"/>
                <w:sz w:val="25"/>
              </w:rPr>
            </w:pPr>
          </w:p>
          <w:p>
            <w:pPr>
              <w:pStyle w:val="TableParagraph"/>
              <w:spacing w:line="312" w:lineRule="auto" w:before="0"/>
              <w:ind w:left="180" w:right="167"/>
              <w:rPr>
                <w:b/>
                <w:sz w:val="21"/>
              </w:rPr>
            </w:pPr>
            <w:r>
              <w:rPr>
                <w:b/>
                <w:sz w:val="21"/>
              </w:rPr>
              <w:t>侵蚀性葡萄胎(或称恶性葡萄胎)</w:t>
            </w:r>
          </w:p>
        </w:tc>
        <w:tc>
          <w:tcPr>
            <w:tcW w:w="7681" w:type="dxa"/>
            <w:tcBorders>
              <w:top w:val="single" w:sz="18" w:space="0" w:color="000000"/>
            </w:tcBorders>
          </w:tcPr>
          <w:p>
            <w:pPr>
              <w:pStyle w:val="TableParagraph"/>
              <w:spacing w:before="2"/>
              <w:ind w:left="0"/>
              <w:rPr>
                <w:rFonts w:ascii="Times New Roman"/>
                <w:sz w:val="23"/>
              </w:rPr>
            </w:pPr>
          </w:p>
          <w:p>
            <w:pPr>
              <w:pStyle w:val="TableParagraph"/>
              <w:spacing w:line="273" w:lineRule="auto" w:before="0"/>
              <w:ind w:left="118" w:right="203" w:firstLine="420"/>
              <w:rPr>
                <w:sz w:val="21"/>
              </w:rPr>
            </w:pPr>
            <w:r>
              <w:rPr>
                <w:sz w:val="21"/>
              </w:rPr>
              <w:t>该类疾病是指异常增生的绒毛组织浸润性生长侵入子宫肌层或转移至其他器官或组织的葡萄胎，并已经进行化疗或手术治疗的。</w:t>
            </w:r>
          </w:p>
        </w:tc>
      </w:tr>
      <w:tr>
        <w:trPr>
          <w:trHeight w:val="1595" w:hRule="atLeast"/>
        </w:trPr>
        <w:tc>
          <w:tcPr>
            <w:tcW w:w="1016" w:type="dxa"/>
          </w:tcPr>
          <w:p>
            <w:pPr>
              <w:pStyle w:val="TableParagraph"/>
              <w:spacing w:before="154"/>
              <w:ind w:left="200"/>
              <w:rPr>
                <w:b/>
                <w:sz w:val="21"/>
              </w:rPr>
            </w:pPr>
            <w:r>
              <w:rPr>
                <w:b/>
                <w:sz w:val="21"/>
              </w:rPr>
              <w:t>6.6.60</w:t>
            </w:r>
          </w:p>
        </w:tc>
        <w:tc>
          <w:tcPr>
            <w:tcW w:w="1195" w:type="dxa"/>
          </w:tcPr>
          <w:p>
            <w:pPr>
              <w:pStyle w:val="TableParagraph"/>
              <w:spacing w:line="314" w:lineRule="auto" w:before="178"/>
              <w:ind w:left="180" w:right="167"/>
              <w:jc w:val="both"/>
              <w:rPr>
                <w:b/>
                <w:sz w:val="21"/>
              </w:rPr>
            </w:pPr>
            <w:r>
              <w:rPr>
                <w:b/>
                <w:sz w:val="21"/>
              </w:rPr>
              <w:t>破裂脑动脉瘤夹闭手术</w:t>
            </w:r>
          </w:p>
        </w:tc>
        <w:tc>
          <w:tcPr>
            <w:tcW w:w="7681" w:type="dxa"/>
          </w:tcPr>
          <w:p>
            <w:pPr>
              <w:pStyle w:val="TableParagraph"/>
              <w:spacing w:line="273" w:lineRule="auto" w:before="154"/>
              <w:ind w:left="118" w:right="203" w:firstLine="420"/>
              <w:rPr>
                <w:sz w:val="21"/>
              </w:rPr>
            </w:pPr>
            <w:r>
              <w:rPr>
                <w:sz w:val="21"/>
              </w:rPr>
              <w:t>指因脑动脉瘤破裂造成蛛网膜下腔出血，被保险人实际接受了在全麻下进行的开颅动脉瘤夹闭手术。</w:t>
            </w:r>
          </w:p>
          <w:p>
            <w:pPr>
              <w:pStyle w:val="TableParagraph"/>
              <w:spacing w:line="273" w:lineRule="auto" w:before="7"/>
              <w:ind w:left="118" w:right="180" w:firstLine="422"/>
              <w:rPr>
                <w:b/>
                <w:sz w:val="21"/>
              </w:rPr>
            </w:pPr>
            <w:r>
              <w:rPr>
                <w:b/>
                <w:sz w:val="21"/>
              </w:rPr>
              <w:t>脑动脉瘤（未破裂）预防性手术、颅骨打孔手术、动脉瘤栓塞手术、血管内手术及其他颅脑手术不在保障范围内。</w:t>
            </w:r>
          </w:p>
        </w:tc>
      </w:tr>
      <w:tr>
        <w:trPr>
          <w:trHeight w:val="1400" w:hRule="atLeast"/>
        </w:trPr>
        <w:tc>
          <w:tcPr>
            <w:tcW w:w="1016" w:type="dxa"/>
          </w:tcPr>
          <w:p>
            <w:pPr>
              <w:pStyle w:val="TableParagraph"/>
              <w:spacing w:before="165"/>
              <w:ind w:left="200"/>
              <w:rPr>
                <w:b/>
                <w:sz w:val="21"/>
              </w:rPr>
            </w:pPr>
            <w:r>
              <w:rPr>
                <w:b/>
                <w:sz w:val="21"/>
              </w:rPr>
              <w:t>6.6.61</w:t>
            </w:r>
          </w:p>
        </w:tc>
        <w:tc>
          <w:tcPr>
            <w:tcW w:w="1195" w:type="dxa"/>
          </w:tcPr>
          <w:p>
            <w:pPr>
              <w:pStyle w:val="TableParagraph"/>
              <w:spacing w:before="5"/>
              <w:ind w:left="0"/>
              <w:rPr>
                <w:rFonts w:ascii="Times New Roman"/>
                <w:sz w:val="16"/>
              </w:rPr>
            </w:pPr>
          </w:p>
          <w:p>
            <w:pPr>
              <w:pStyle w:val="TableParagraph"/>
              <w:spacing w:line="314" w:lineRule="auto" w:before="0"/>
              <w:ind w:left="180" w:right="167"/>
              <w:jc w:val="both"/>
              <w:rPr>
                <w:b/>
                <w:sz w:val="21"/>
              </w:rPr>
            </w:pPr>
            <w:r>
              <w:rPr>
                <w:b/>
                <w:sz w:val="21"/>
              </w:rPr>
              <w:t>需手术切除的嗜铬细胞瘤</w:t>
            </w:r>
          </w:p>
        </w:tc>
        <w:tc>
          <w:tcPr>
            <w:tcW w:w="7681" w:type="dxa"/>
          </w:tcPr>
          <w:p>
            <w:pPr>
              <w:pStyle w:val="TableParagraph"/>
              <w:spacing w:line="273" w:lineRule="auto" w:before="165"/>
              <w:ind w:left="118" w:right="203" w:firstLine="420"/>
              <w:rPr>
                <w:sz w:val="21"/>
              </w:rPr>
            </w:pPr>
            <w:r>
              <w:rPr>
                <w:sz w:val="21"/>
              </w:rPr>
              <w:t>是指肾上腺或嗜铬外组织出现神经内分泌肿瘤，并分泌过多的儿茶酚胺类， 需要并实际进行了手术切除肿瘤。</w:t>
            </w:r>
          </w:p>
          <w:p>
            <w:pPr>
              <w:pStyle w:val="TableParagraph"/>
              <w:spacing w:before="7"/>
              <w:ind w:left="540"/>
              <w:rPr>
                <w:sz w:val="21"/>
              </w:rPr>
            </w:pPr>
            <w:r>
              <w:rPr>
                <w:b/>
                <w:sz w:val="21"/>
              </w:rPr>
              <w:t>嗜铬细胞瘤的诊断必须由内分泌专科医生确定</w:t>
            </w:r>
            <w:r>
              <w:rPr>
                <w:sz w:val="21"/>
              </w:rPr>
              <w:t>。</w:t>
            </w:r>
          </w:p>
        </w:tc>
      </w:tr>
      <w:tr>
        <w:trPr>
          <w:trHeight w:val="2848" w:hRule="atLeast"/>
        </w:trPr>
        <w:tc>
          <w:tcPr>
            <w:tcW w:w="1016" w:type="dxa"/>
          </w:tcPr>
          <w:p>
            <w:pPr>
              <w:pStyle w:val="TableParagraph"/>
              <w:spacing w:before="154"/>
              <w:ind w:left="200"/>
              <w:rPr>
                <w:b/>
                <w:sz w:val="21"/>
              </w:rPr>
            </w:pPr>
            <w:r>
              <w:rPr>
                <w:b/>
                <w:sz w:val="21"/>
              </w:rPr>
              <w:t>6.6.62</w:t>
            </w:r>
          </w:p>
        </w:tc>
        <w:tc>
          <w:tcPr>
            <w:tcW w:w="1195" w:type="dxa"/>
          </w:tcPr>
          <w:p>
            <w:pPr>
              <w:pStyle w:val="TableParagraph"/>
              <w:spacing w:line="314" w:lineRule="auto" w:before="178"/>
              <w:ind w:left="180" w:right="165"/>
              <w:jc w:val="both"/>
              <w:rPr>
                <w:b/>
                <w:sz w:val="21"/>
              </w:rPr>
            </w:pPr>
            <w:r>
              <w:rPr>
                <w:b/>
                <w:sz w:val="21"/>
              </w:rPr>
              <w:t>进行性核上性麻痹(Steele- Rchardso n-Olszew</w:t>
            </w:r>
          </w:p>
          <w:p>
            <w:pPr>
              <w:pStyle w:val="TableParagraph"/>
              <w:spacing w:line="314" w:lineRule="auto" w:before="17"/>
              <w:ind w:left="180" w:right="220"/>
              <w:jc w:val="both"/>
              <w:rPr>
                <w:b/>
                <w:sz w:val="21"/>
              </w:rPr>
            </w:pPr>
            <w:r>
              <w:rPr>
                <w:b/>
                <w:sz w:val="21"/>
              </w:rPr>
              <w:t>ski</w:t>
            </w:r>
            <w:r>
              <w:rPr>
                <w:b/>
                <w:spacing w:val="-18"/>
                <w:sz w:val="21"/>
              </w:rPr>
              <w:t> 综合</w:t>
            </w:r>
            <w:r>
              <w:rPr>
                <w:b/>
                <w:spacing w:val="-1"/>
                <w:sz w:val="21"/>
              </w:rPr>
              <w:t>征)</w:t>
            </w:r>
          </w:p>
        </w:tc>
        <w:tc>
          <w:tcPr>
            <w:tcW w:w="7681" w:type="dxa"/>
          </w:tcPr>
          <w:p>
            <w:pPr>
              <w:pStyle w:val="TableParagraph"/>
              <w:spacing w:line="273" w:lineRule="auto" w:before="154"/>
              <w:ind w:left="118" w:right="102" w:firstLine="420"/>
              <w:rPr>
                <w:sz w:val="21"/>
              </w:rPr>
            </w:pPr>
            <w:r>
              <w:rPr>
                <w:spacing w:val="-3"/>
                <w:sz w:val="21"/>
              </w:rPr>
              <w:t>进行性核上性麻痹</w:t>
            </w:r>
            <w:r>
              <w:rPr>
                <w:sz w:val="21"/>
              </w:rPr>
              <w:t>（PSP）又称Steele-Rchardson—Olszewski</w:t>
            </w:r>
            <w:r>
              <w:rPr>
                <w:spacing w:val="-3"/>
                <w:sz w:val="21"/>
              </w:rPr>
              <w:t>综合征，是一种少见的神经系统变性疾病，以假球麻痹、垂直性核上性眼肌麻痹、锥体外系肌僵直、步态共济失调和轻度痴呆为主要临床特征。</w:t>
            </w:r>
            <w:r>
              <w:rPr>
                <w:sz w:val="21"/>
              </w:rPr>
              <w:t>PSP</w:t>
            </w:r>
            <w:r>
              <w:rPr>
                <w:spacing w:val="-3"/>
                <w:sz w:val="21"/>
              </w:rPr>
              <w:t>必须由三级甲等医院的神经内科专科医生确诊，并且被保险人自主生活能力完全丧失，无法独立完成六项基本日常生活活动中的三项或三项以上。</w:t>
            </w:r>
          </w:p>
        </w:tc>
      </w:tr>
      <w:tr>
        <w:trPr>
          <w:trHeight w:val="3155" w:hRule="atLeast"/>
        </w:trPr>
        <w:tc>
          <w:tcPr>
            <w:tcW w:w="1016" w:type="dxa"/>
          </w:tcPr>
          <w:p>
            <w:pPr>
              <w:pStyle w:val="TableParagraph"/>
              <w:spacing w:before="177"/>
              <w:ind w:left="200"/>
              <w:rPr>
                <w:b/>
                <w:sz w:val="21"/>
              </w:rPr>
            </w:pPr>
            <w:r>
              <w:rPr>
                <w:b/>
                <w:sz w:val="21"/>
              </w:rPr>
              <w:t>6.6.63</w:t>
            </w:r>
          </w:p>
        </w:tc>
        <w:tc>
          <w:tcPr>
            <w:tcW w:w="1195" w:type="dxa"/>
          </w:tcPr>
          <w:p>
            <w:pPr>
              <w:pStyle w:val="TableParagraph"/>
              <w:spacing w:before="5"/>
              <w:ind w:left="0"/>
              <w:rPr>
                <w:rFonts w:ascii="Times New Roman"/>
                <w:sz w:val="17"/>
              </w:rPr>
            </w:pPr>
          </w:p>
          <w:p>
            <w:pPr>
              <w:pStyle w:val="TableParagraph"/>
              <w:spacing w:line="312" w:lineRule="auto" w:before="1"/>
              <w:ind w:left="180" w:right="167"/>
              <w:rPr>
                <w:b/>
                <w:sz w:val="21"/>
              </w:rPr>
            </w:pPr>
            <w:r>
              <w:rPr>
                <w:b/>
                <w:sz w:val="21"/>
              </w:rPr>
              <w:t>原发性骨髓纤维化</w:t>
            </w:r>
          </w:p>
        </w:tc>
        <w:tc>
          <w:tcPr>
            <w:tcW w:w="7681" w:type="dxa"/>
          </w:tcPr>
          <w:p>
            <w:pPr>
              <w:pStyle w:val="TableParagraph"/>
              <w:spacing w:line="273" w:lineRule="auto" w:before="177"/>
              <w:ind w:left="118" w:right="203" w:firstLine="420"/>
              <w:jc w:val="both"/>
              <w:rPr>
                <w:sz w:val="21"/>
              </w:rPr>
            </w:pPr>
            <w:r>
              <w:rPr>
                <w:sz w:val="21"/>
              </w:rPr>
              <w:t>原发性骨髓纤维化为原因不明的骨髓中成纤维细胞增殖，伴有髓外造血，表现为进行性贫血、脾肿大等症状。本疾病须根据骨髓的活组织检查和周围血象检查由我们认可的医院血液科专科医生明确诊断，并至少符合下列条件中的三项， 且符合条件的状态持续180天及以上，并已经实际实施了针对此症的治疗：</w:t>
            </w:r>
          </w:p>
          <w:p>
            <w:pPr>
              <w:pStyle w:val="TableParagraph"/>
              <w:spacing w:before="7"/>
              <w:ind w:left="538"/>
              <w:rPr>
                <w:sz w:val="21"/>
              </w:rPr>
            </w:pPr>
            <w:r>
              <w:rPr>
                <w:sz w:val="21"/>
              </w:rPr>
              <w:t>1.血红蛋白&lt;100g/L；</w:t>
            </w:r>
          </w:p>
          <w:p>
            <w:pPr>
              <w:pStyle w:val="TableParagraph"/>
              <w:spacing w:before="9"/>
              <w:ind w:left="538"/>
              <w:rPr>
                <w:sz w:val="21"/>
              </w:rPr>
            </w:pPr>
            <w:r>
              <w:rPr>
                <w:w w:val="100"/>
                <w:sz w:val="21"/>
              </w:rPr>
              <w:t>2.</w:t>
            </w:r>
            <w:r>
              <w:rPr>
                <w:spacing w:val="-3"/>
                <w:w w:val="100"/>
                <w:sz w:val="21"/>
              </w:rPr>
              <w:t>白细胞计数&gt;2</w:t>
            </w:r>
            <w:r>
              <w:rPr>
                <w:spacing w:val="-1"/>
                <w:w w:val="100"/>
                <w:sz w:val="21"/>
              </w:rPr>
              <w:t>5</w:t>
            </w:r>
            <w:r>
              <w:rPr>
                <w:sz w:val="24"/>
              </w:rPr>
              <w:t>×</w:t>
            </w:r>
            <w:r>
              <w:rPr>
                <w:w w:val="100"/>
                <w:sz w:val="21"/>
              </w:rPr>
              <w:t>10</w:t>
            </w:r>
            <w:r>
              <w:rPr>
                <w:spacing w:val="-3"/>
                <w:w w:val="100"/>
                <w:position w:val="11"/>
                <w:sz w:val="11"/>
              </w:rPr>
              <w:t>9</w:t>
            </w:r>
            <w:r>
              <w:rPr>
                <w:w w:val="100"/>
                <w:sz w:val="21"/>
              </w:rPr>
              <w:t>/</w:t>
            </w:r>
            <w:r>
              <w:rPr>
                <w:spacing w:val="-3"/>
                <w:w w:val="100"/>
                <w:sz w:val="21"/>
              </w:rPr>
              <w:t>L</w:t>
            </w:r>
            <w:r>
              <w:rPr>
                <w:w w:val="100"/>
                <w:sz w:val="21"/>
              </w:rPr>
              <w:t>；</w:t>
            </w:r>
          </w:p>
          <w:p>
            <w:pPr>
              <w:pStyle w:val="TableParagraph"/>
              <w:spacing w:before="25"/>
              <w:ind w:left="538"/>
              <w:rPr>
                <w:sz w:val="21"/>
              </w:rPr>
            </w:pPr>
            <w:r>
              <w:rPr>
                <w:sz w:val="21"/>
              </w:rPr>
              <w:t>3.外周血原始细胞≥ 1%；</w:t>
            </w:r>
          </w:p>
          <w:p>
            <w:pPr>
              <w:pStyle w:val="TableParagraph"/>
              <w:spacing w:before="9"/>
              <w:ind w:left="538"/>
              <w:rPr>
                <w:sz w:val="21"/>
              </w:rPr>
            </w:pPr>
            <w:r>
              <w:rPr>
                <w:w w:val="100"/>
                <w:sz w:val="21"/>
              </w:rPr>
              <w:t>4.</w:t>
            </w:r>
            <w:r>
              <w:rPr>
                <w:spacing w:val="-3"/>
                <w:w w:val="100"/>
                <w:sz w:val="21"/>
              </w:rPr>
              <w:t>血小板计数&lt;1</w:t>
            </w:r>
            <w:r>
              <w:rPr>
                <w:w w:val="100"/>
                <w:sz w:val="21"/>
              </w:rPr>
              <w:t>0</w:t>
            </w:r>
            <w:r>
              <w:rPr>
                <w:spacing w:val="-1"/>
                <w:w w:val="100"/>
                <w:sz w:val="21"/>
              </w:rPr>
              <w:t>0</w:t>
            </w:r>
            <w:r>
              <w:rPr>
                <w:sz w:val="24"/>
              </w:rPr>
              <w:t>×</w:t>
            </w:r>
            <w:r>
              <w:rPr>
                <w:w w:val="100"/>
                <w:sz w:val="21"/>
              </w:rPr>
              <w:t>1</w:t>
            </w:r>
            <w:r>
              <w:rPr>
                <w:spacing w:val="-3"/>
                <w:w w:val="100"/>
                <w:sz w:val="21"/>
              </w:rPr>
              <w:t>0</w:t>
            </w:r>
            <w:r>
              <w:rPr>
                <w:w w:val="100"/>
                <w:position w:val="11"/>
                <w:sz w:val="11"/>
              </w:rPr>
              <w:t>9</w:t>
            </w:r>
            <w:r>
              <w:rPr>
                <w:w w:val="100"/>
                <w:sz w:val="21"/>
              </w:rPr>
              <w:t>/</w:t>
            </w:r>
            <w:r>
              <w:rPr>
                <w:spacing w:val="-3"/>
                <w:w w:val="100"/>
                <w:sz w:val="21"/>
              </w:rPr>
              <w:t>L</w:t>
            </w:r>
            <w:r>
              <w:rPr>
                <w:w w:val="100"/>
                <w:sz w:val="21"/>
              </w:rPr>
              <w:t>。</w:t>
            </w:r>
          </w:p>
          <w:p>
            <w:pPr>
              <w:pStyle w:val="TableParagraph"/>
              <w:spacing w:before="25"/>
              <w:ind w:left="540"/>
              <w:rPr>
                <w:b/>
                <w:sz w:val="21"/>
              </w:rPr>
            </w:pPr>
            <w:r>
              <w:rPr>
                <w:b/>
                <w:sz w:val="21"/>
              </w:rPr>
              <w:t>任何其它病因导致的继发性骨髓纤维化不在保障范围内。</w:t>
            </w:r>
          </w:p>
        </w:tc>
      </w:tr>
      <w:tr>
        <w:trPr>
          <w:trHeight w:val="1400" w:hRule="atLeast"/>
        </w:trPr>
        <w:tc>
          <w:tcPr>
            <w:tcW w:w="1016" w:type="dxa"/>
          </w:tcPr>
          <w:p>
            <w:pPr>
              <w:pStyle w:val="TableParagraph"/>
              <w:ind w:left="200"/>
              <w:rPr>
                <w:b/>
                <w:sz w:val="21"/>
              </w:rPr>
            </w:pPr>
            <w:r>
              <w:rPr>
                <w:b/>
                <w:sz w:val="21"/>
              </w:rPr>
              <w:t>6.6.64</w:t>
            </w:r>
          </w:p>
        </w:tc>
        <w:tc>
          <w:tcPr>
            <w:tcW w:w="1195" w:type="dxa"/>
          </w:tcPr>
          <w:p>
            <w:pPr>
              <w:pStyle w:val="TableParagraph"/>
              <w:spacing w:line="314" w:lineRule="auto" w:before="166"/>
              <w:ind w:left="180" w:right="167"/>
              <w:jc w:val="both"/>
              <w:rPr>
                <w:b/>
                <w:sz w:val="21"/>
              </w:rPr>
            </w:pPr>
            <w:r>
              <w:rPr>
                <w:b/>
                <w:sz w:val="21"/>
              </w:rPr>
              <w:t>严重肠道疾病并发症</w:t>
            </w:r>
          </w:p>
        </w:tc>
        <w:tc>
          <w:tcPr>
            <w:tcW w:w="7681" w:type="dxa"/>
          </w:tcPr>
          <w:p>
            <w:pPr>
              <w:pStyle w:val="TableParagraph"/>
              <w:ind w:left="538"/>
              <w:rPr>
                <w:sz w:val="21"/>
              </w:rPr>
            </w:pPr>
            <w:r>
              <w:rPr>
                <w:sz w:val="21"/>
              </w:rPr>
              <w:t>严重肠道疾病或外伤导致小肠损害并发症，必须满足以下所有条件：</w:t>
            </w:r>
          </w:p>
          <w:p>
            <w:pPr>
              <w:pStyle w:val="TableParagraph"/>
              <w:spacing w:before="36"/>
              <w:ind w:left="538"/>
              <w:rPr>
                <w:sz w:val="21"/>
              </w:rPr>
            </w:pPr>
            <w:r>
              <w:rPr>
                <w:sz w:val="21"/>
              </w:rPr>
              <w:t>1.至少切除了三分之二小肠；</w:t>
            </w:r>
          </w:p>
          <w:p>
            <w:pPr>
              <w:pStyle w:val="TableParagraph"/>
              <w:spacing w:before="36"/>
              <w:ind w:left="538"/>
              <w:rPr>
                <w:sz w:val="21"/>
              </w:rPr>
            </w:pPr>
            <w:r>
              <w:rPr>
                <w:sz w:val="21"/>
              </w:rPr>
              <w:t>2.完全肠外营养支持3个月以上。</w:t>
            </w:r>
          </w:p>
        </w:tc>
      </w:tr>
      <w:tr>
        <w:trPr>
          <w:trHeight w:val="1912" w:hRule="atLeast"/>
        </w:trPr>
        <w:tc>
          <w:tcPr>
            <w:tcW w:w="1016" w:type="dxa"/>
          </w:tcPr>
          <w:p>
            <w:pPr>
              <w:pStyle w:val="TableParagraph"/>
              <w:spacing w:before="177"/>
              <w:ind w:left="200"/>
              <w:rPr>
                <w:b/>
                <w:sz w:val="21"/>
              </w:rPr>
            </w:pPr>
            <w:r>
              <w:rPr>
                <w:b/>
                <w:sz w:val="21"/>
              </w:rPr>
              <w:t>6.6.65</w:t>
            </w:r>
          </w:p>
        </w:tc>
        <w:tc>
          <w:tcPr>
            <w:tcW w:w="1195" w:type="dxa"/>
          </w:tcPr>
          <w:p>
            <w:pPr>
              <w:pStyle w:val="TableParagraph"/>
              <w:spacing w:before="5"/>
              <w:ind w:left="0"/>
              <w:rPr>
                <w:rFonts w:ascii="Times New Roman"/>
                <w:sz w:val="17"/>
              </w:rPr>
            </w:pPr>
          </w:p>
          <w:p>
            <w:pPr>
              <w:pStyle w:val="TableParagraph"/>
              <w:spacing w:line="312" w:lineRule="auto" w:before="1"/>
              <w:ind w:left="180" w:right="167"/>
              <w:rPr>
                <w:b/>
                <w:sz w:val="21"/>
              </w:rPr>
            </w:pPr>
            <w:r>
              <w:rPr>
                <w:b/>
                <w:sz w:val="21"/>
              </w:rPr>
              <w:t>严重瑞氏综合症</w:t>
            </w:r>
          </w:p>
          <w:p>
            <w:pPr>
              <w:pStyle w:val="TableParagraph"/>
              <w:spacing w:line="312" w:lineRule="auto" w:before="22"/>
              <w:ind w:left="180" w:right="50"/>
              <w:rPr>
                <w:b/>
                <w:sz w:val="21"/>
              </w:rPr>
            </w:pPr>
            <w:r>
              <w:rPr>
                <w:b/>
                <w:sz w:val="21"/>
              </w:rPr>
              <w:t>（Reye 综合征，也</w:t>
            </w:r>
          </w:p>
          <w:p>
            <w:pPr>
              <w:pStyle w:val="TableParagraph"/>
              <w:spacing w:line="255" w:lineRule="exact" w:before="22"/>
              <w:ind w:left="180"/>
              <w:rPr>
                <w:b/>
                <w:sz w:val="21"/>
              </w:rPr>
            </w:pPr>
            <w:r>
              <w:rPr>
                <w:b/>
                <w:sz w:val="21"/>
              </w:rPr>
              <w:t>称赖氏综</w:t>
            </w:r>
          </w:p>
        </w:tc>
        <w:tc>
          <w:tcPr>
            <w:tcW w:w="7681" w:type="dxa"/>
          </w:tcPr>
          <w:p>
            <w:pPr>
              <w:pStyle w:val="TableParagraph"/>
              <w:spacing w:line="273" w:lineRule="auto" w:before="177"/>
              <w:ind w:left="118" w:right="-15" w:firstLine="420"/>
              <w:rPr>
                <w:sz w:val="21"/>
              </w:rPr>
            </w:pPr>
            <w:r>
              <w:rPr>
                <w:spacing w:val="-3"/>
                <w:sz w:val="21"/>
              </w:rPr>
              <w:t>瑞氏综合征是线粒体功能障碍性疾病。导致脂肪代谢障碍，引起短链脂肪酸、血氨升高，造成脑水肿。主要临床表现为急性发热、反复呕吐、惊厥及意识障碍 等等。</w:t>
            </w:r>
          </w:p>
          <w:p>
            <w:pPr>
              <w:pStyle w:val="TableParagraph"/>
              <w:spacing w:before="7"/>
              <w:ind w:left="538"/>
              <w:rPr>
                <w:sz w:val="21"/>
              </w:rPr>
            </w:pPr>
            <w:r>
              <w:rPr>
                <w:sz w:val="21"/>
              </w:rPr>
              <w:t>瑞氏综合征需由三级医院的专科医生确诊，并符合下列所有条件：</w:t>
            </w:r>
          </w:p>
          <w:p>
            <w:pPr>
              <w:pStyle w:val="TableParagraph"/>
              <w:spacing w:before="36"/>
              <w:ind w:left="538"/>
              <w:rPr>
                <w:sz w:val="21"/>
              </w:rPr>
            </w:pPr>
            <w:r>
              <w:rPr>
                <w:sz w:val="21"/>
              </w:rPr>
              <w:t>1.有脑水肿和颅内压升高的脑脊液检查和影像学检查证据；</w:t>
            </w:r>
          </w:p>
        </w:tc>
      </w:tr>
    </w:tbl>
    <w:p>
      <w:pPr>
        <w:spacing w:after="0"/>
        <w:rPr>
          <w:sz w:val="21"/>
        </w:rPr>
        <w:sectPr>
          <w:pgSz w:w="11910" w:h="16840"/>
          <w:pgMar w:header="871" w:footer="992" w:top="1060" w:bottom="1180" w:left="680" w:right="1120"/>
        </w:sectPr>
      </w:pPr>
    </w:p>
    <w:p>
      <w:pPr>
        <w:pStyle w:val="BodyText"/>
        <w:rPr>
          <w:rFonts w:ascii="Times New Roman"/>
          <w:sz w:val="2"/>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
        <w:gridCol w:w="1169"/>
        <w:gridCol w:w="7702"/>
      </w:tblGrid>
      <w:tr>
        <w:trPr>
          <w:trHeight w:val="1500" w:hRule="atLeast"/>
        </w:trPr>
        <w:tc>
          <w:tcPr>
            <w:tcW w:w="1016" w:type="dxa"/>
            <w:tcBorders>
              <w:top w:val="single" w:sz="18" w:space="0" w:color="000000"/>
            </w:tcBorders>
          </w:tcPr>
          <w:p>
            <w:pPr>
              <w:pStyle w:val="TableParagraph"/>
              <w:spacing w:before="0"/>
              <w:ind w:left="0"/>
              <w:rPr>
                <w:rFonts w:ascii="Times New Roman"/>
                <w:sz w:val="20"/>
              </w:rPr>
            </w:pPr>
          </w:p>
        </w:tc>
        <w:tc>
          <w:tcPr>
            <w:tcW w:w="1169" w:type="dxa"/>
            <w:tcBorders>
              <w:top w:val="single" w:sz="18" w:space="0" w:color="000000"/>
            </w:tcBorders>
          </w:tcPr>
          <w:p>
            <w:pPr>
              <w:pStyle w:val="TableParagraph"/>
              <w:spacing w:before="3"/>
              <w:ind w:left="0"/>
              <w:rPr>
                <w:rFonts w:ascii="Times New Roman"/>
                <w:sz w:val="25"/>
              </w:rPr>
            </w:pPr>
          </w:p>
          <w:p>
            <w:pPr>
              <w:pStyle w:val="TableParagraph"/>
              <w:spacing w:line="314" w:lineRule="auto" w:before="0"/>
              <w:ind w:left="180" w:right="141"/>
              <w:rPr>
                <w:b/>
                <w:sz w:val="21"/>
              </w:rPr>
            </w:pPr>
            <w:r>
              <w:rPr>
                <w:b/>
                <w:sz w:val="21"/>
              </w:rPr>
              <w:t>合征、雷氏综合 征）</w:t>
            </w:r>
          </w:p>
        </w:tc>
        <w:tc>
          <w:tcPr>
            <w:tcW w:w="7702" w:type="dxa"/>
            <w:tcBorders>
              <w:top w:val="single" w:sz="18" w:space="0" w:color="000000"/>
            </w:tcBorders>
          </w:tcPr>
          <w:p>
            <w:pPr>
              <w:pStyle w:val="TableParagraph"/>
              <w:spacing w:before="2"/>
              <w:ind w:left="0"/>
              <w:rPr>
                <w:rFonts w:ascii="Times New Roman"/>
                <w:sz w:val="23"/>
              </w:rPr>
            </w:pPr>
          </w:p>
          <w:p>
            <w:pPr>
              <w:pStyle w:val="TableParagraph"/>
              <w:spacing w:before="0"/>
              <w:rPr>
                <w:sz w:val="21"/>
              </w:rPr>
            </w:pPr>
            <w:r>
              <w:rPr>
                <w:sz w:val="21"/>
              </w:rPr>
              <w:t>2.血氨超过正常值的3倍；</w:t>
            </w:r>
          </w:p>
          <w:p>
            <w:pPr>
              <w:pStyle w:val="TableParagraph"/>
              <w:spacing w:before="37"/>
              <w:rPr>
                <w:sz w:val="21"/>
              </w:rPr>
            </w:pPr>
            <w:r>
              <w:rPr>
                <w:sz w:val="21"/>
              </w:rPr>
              <w:t>3.临床出现昏迷，病程至少达到疾病分期第3期。</w:t>
            </w:r>
          </w:p>
        </w:tc>
      </w:tr>
      <w:tr>
        <w:trPr>
          <w:trHeight w:val="2819" w:hRule="atLeast"/>
        </w:trPr>
        <w:tc>
          <w:tcPr>
            <w:tcW w:w="1016" w:type="dxa"/>
          </w:tcPr>
          <w:p>
            <w:pPr>
              <w:pStyle w:val="TableParagraph"/>
              <w:spacing w:before="153"/>
              <w:ind w:left="200"/>
              <w:rPr>
                <w:b/>
                <w:sz w:val="21"/>
              </w:rPr>
            </w:pPr>
            <w:r>
              <w:rPr>
                <w:b/>
                <w:sz w:val="21"/>
              </w:rPr>
              <w:t>6.6.66</w:t>
            </w:r>
          </w:p>
        </w:tc>
        <w:tc>
          <w:tcPr>
            <w:tcW w:w="1169" w:type="dxa"/>
          </w:tcPr>
          <w:p>
            <w:pPr>
              <w:pStyle w:val="TableParagraph"/>
              <w:spacing w:line="314" w:lineRule="auto" w:before="177"/>
              <w:ind w:left="180" w:right="141"/>
              <w:jc w:val="both"/>
              <w:rPr>
                <w:b/>
                <w:sz w:val="21"/>
              </w:rPr>
            </w:pPr>
            <w:r>
              <w:rPr>
                <w:b/>
                <w:sz w:val="21"/>
              </w:rPr>
              <w:t>严重自身免疫性肝炎</w:t>
            </w:r>
          </w:p>
        </w:tc>
        <w:tc>
          <w:tcPr>
            <w:tcW w:w="7702" w:type="dxa"/>
          </w:tcPr>
          <w:p>
            <w:pPr>
              <w:pStyle w:val="TableParagraph"/>
              <w:spacing w:line="273" w:lineRule="auto" w:before="153"/>
              <w:ind w:left="144" w:right="198" w:firstLine="420"/>
              <w:jc w:val="both"/>
              <w:rPr>
                <w:sz w:val="21"/>
              </w:rPr>
            </w:pPr>
            <w:r>
              <w:rPr>
                <w:sz w:val="21"/>
              </w:rPr>
              <w:t>自身免疫性肝炎是一种原因不明的慢性肝脏的坏死性炎性疾病，机体免疫机制被破坏，产生针对肝脏自身抗原的抗体导致自身免疫反应，从而破坏肝细胞造成肝脏炎症坏死，进而发展为肝硬化。必须满足所有以下条件：</w:t>
            </w:r>
          </w:p>
          <w:p>
            <w:pPr>
              <w:pStyle w:val="TableParagraph"/>
              <w:spacing w:before="7"/>
              <w:rPr>
                <w:sz w:val="21"/>
              </w:rPr>
            </w:pPr>
            <w:r>
              <w:rPr>
                <w:sz w:val="21"/>
              </w:rPr>
              <w:t>1.高γ球蛋白血症；</w:t>
            </w:r>
          </w:p>
          <w:p>
            <w:pPr>
              <w:pStyle w:val="TableParagraph"/>
              <w:spacing w:line="273" w:lineRule="auto" w:before="37"/>
              <w:ind w:left="144" w:right="200" w:firstLine="420"/>
              <w:rPr>
                <w:sz w:val="21"/>
              </w:rPr>
            </w:pPr>
            <w:r>
              <w:rPr>
                <w:sz w:val="21"/>
              </w:rPr>
              <w:t>2.血液中存在高水平的自身免疫抗体，如ANA（抗核抗体）、SMA（抗平滑肌抗体）、抗LKM1抗体或抗-SLA/LP抗体；</w:t>
            </w:r>
          </w:p>
          <w:p>
            <w:pPr>
              <w:pStyle w:val="TableParagraph"/>
              <w:spacing w:before="8"/>
              <w:rPr>
                <w:sz w:val="21"/>
              </w:rPr>
            </w:pPr>
            <w:r>
              <w:rPr>
                <w:sz w:val="21"/>
              </w:rPr>
              <w:t>3.肝脏活检证实免疫性肝炎；</w:t>
            </w:r>
          </w:p>
          <w:p>
            <w:pPr>
              <w:pStyle w:val="TableParagraph"/>
              <w:spacing w:before="36"/>
              <w:rPr>
                <w:sz w:val="21"/>
              </w:rPr>
            </w:pPr>
            <w:r>
              <w:rPr>
                <w:sz w:val="21"/>
              </w:rPr>
              <w:t>4.临床已经出现腹水、食道静脉曲张和脾肿大等肝硬化表现。</w:t>
            </w:r>
          </w:p>
        </w:tc>
      </w:tr>
      <w:tr>
        <w:trPr>
          <w:trHeight w:val="2808" w:hRule="atLeast"/>
        </w:trPr>
        <w:tc>
          <w:tcPr>
            <w:tcW w:w="1016" w:type="dxa"/>
          </w:tcPr>
          <w:p>
            <w:pPr>
              <w:pStyle w:val="TableParagraph"/>
              <w:ind w:left="200"/>
              <w:rPr>
                <w:b/>
                <w:sz w:val="21"/>
              </w:rPr>
            </w:pPr>
            <w:r>
              <w:rPr>
                <w:b/>
                <w:sz w:val="21"/>
              </w:rPr>
              <w:t>6.6.67</w:t>
            </w:r>
          </w:p>
        </w:tc>
        <w:tc>
          <w:tcPr>
            <w:tcW w:w="1169" w:type="dxa"/>
          </w:tcPr>
          <w:p>
            <w:pPr>
              <w:pStyle w:val="TableParagraph"/>
              <w:spacing w:line="314" w:lineRule="auto" w:before="166"/>
              <w:ind w:left="180" w:right="141"/>
              <w:jc w:val="both"/>
              <w:rPr>
                <w:b/>
                <w:sz w:val="21"/>
              </w:rPr>
            </w:pPr>
            <w:r>
              <w:rPr>
                <w:b/>
                <w:sz w:val="21"/>
              </w:rPr>
              <w:t>严重慢性缩窄型心包炎</w:t>
            </w:r>
          </w:p>
        </w:tc>
        <w:tc>
          <w:tcPr>
            <w:tcW w:w="7702" w:type="dxa"/>
          </w:tcPr>
          <w:p>
            <w:pPr>
              <w:pStyle w:val="TableParagraph"/>
              <w:spacing w:line="273" w:lineRule="auto"/>
              <w:ind w:left="144" w:right="198" w:firstLine="420"/>
              <w:rPr>
                <w:sz w:val="21"/>
              </w:rPr>
            </w:pPr>
            <w:r>
              <w:rPr>
                <w:sz w:val="21"/>
              </w:rPr>
              <w:t>由于慢性心包炎症导致心包脏层和壁层广泛瘢痕粘连、增厚和钙化，心包腔闭塞，形成一个纤维瘢痕外壳，使心脏和大血管根部受压，阻碍心脏的舒张。</w:t>
            </w:r>
          </w:p>
          <w:p>
            <w:pPr>
              <w:pStyle w:val="TableParagraph"/>
              <w:spacing w:before="7"/>
              <w:rPr>
                <w:sz w:val="21"/>
              </w:rPr>
            </w:pPr>
            <w:r>
              <w:rPr>
                <w:sz w:val="21"/>
              </w:rPr>
              <w:t>被保险人被明确诊断为慢性缩窄性心包炎且必须满足以下所有条件：</w:t>
            </w:r>
          </w:p>
          <w:p>
            <w:pPr>
              <w:pStyle w:val="TableParagraph"/>
              <w:spacing w:line="273" w:lineRule="auto" w:before="37"/>
              <w:ind w:left="144" w:right="99" w:firstLine="420"/>
              <w:rPr>
                <w:sz w:val="21"/>
              </w:rPr>
            </w:pPr>
            <w:r>
              <w:rPr>
                <w:sz w:val="21"/>
              </w:rPr>
              <w:t>1.心功能衰竭达到美国纽约心脏病学会心功能状态分级IV级，并持续180天以上；</w:t>
            </w:r>
          </w:p>
          <w:p>
            <w:pPr>
              <w:pStyle w:val="TableParagraph"/>
              <w:spacing w:line="273" w:lineRule="auto" w:before="7"/>
              <w:ind w:left="144" w:right="198" w:firstLine="420"/>
              <w:rPr>
                <w:sz w:val="21"/>
              </w:rPr>
            </w:pPr>
            <w:r>
              <w:rPr>
                <w:sz w:val="21"/>
              </w:rPr>
              <w:t>2.实际接受了以下任何一种手术路径的心包剥脱或心包切除手术；胸骨正中切口；双侧前胸切口；左前胸肋间切口。</w:t>
            </w:r>
          </w:p>
          <w:p>
            <w:pPr>
              <w:pStyle w:val="TableParagraph"/>
              <w:spacing w:before="7"/>
              <w:ind w:left="566"/>
              <w:rPr>
                <w:b/>
                <w:sz w:val="21"/>
              </w:rPr>
            </w:pPr>
            <w:r>
              <w:rPr>
                <w:b/>
                <w:sz w:val="21"/>
              </w:rPr>
              <w:t>经胸腔镜、胸壁打孔进行的手术、心包粘连松解手术不在保障范围内。</w:t>
            </w:r>
          </w:p>
        </w:tc>
      </w:tr>
      <w:tr>
        <w:trPr>
          <w:trHeight w:val="1872" w:hRule="atLeast"/>
        </w:trPr>
        <w:tc>
          <w:tcPr>
            <w:tcW w:w="1016" w:type="dxa"/>
          </w:tcPr>
          <w:p>
            <w:pPr>
              <w:pStyle w:val="TableParagraph"/>
              <w:spacing w:before="143"/>
              <w:ind w:left="200"/>
              <w:rPr>
                <w:b/>
                <w:sz w:val="21"/>
              </w:rPr>
            </w:pPr>
            <w:r>
              <w:rPr>
                <w:b/>
                <w:sz w:val="21"/>
              </w:rPr>
              <w:t>6.6.68</w:t>
            </w:r>
          </w:p>
        </w:tc>
        <w:tc>
          <w:tcPr>
            <w:tcW w:w="1169" w:type="dxa"/>
          </w:tcPr>
          <w:p>
            <w:pPr>
              <w:pStyle w:val="TableParagraph"/>
              <w:spacing w:line="314" w:lineRule="auto" w:before="167"/>
              <w:ind w:left="180" w:right="141"/>
              <w:rPr>
                <w:b/>
                <w:sz w:val="21"/>
              </w:rPr>
            </w:pPr>
            <w:r>
              <w:rPr>
                <w:b/>
                <w:sz w:val="21"/>
              </w:rPr>
              <w:t>坏死性筋膜炎</w:t>
            </w:r>
          </w:p>
        </w:tc>
        <w:tc>
          <w:tcPr>
            <w:tcW w:w="7702" w:type="dxa"/>
          </w:tcPr>
          <w:p>
            <w:pPr>
              <w:pStyle w:val="TableParagraph"/>
              <w:spacing w:before="143"/>
              <w:rPr>
                <w:sz w:val="21"/>
              </w:rPr>
            </w:pPr>
            <w:r>
              <w:rPr>
                <w:sz w:val="21"/>
              </w:rPr>
              <w:t>坏死性筋膜炎的诊断须满足下列全部条件：</w:t>
            </w:r>
          </w:p>
          <w:p>
            <w:pPr>
              <w:pStyle w:val="TableParagraph"/>
              <w:spacing w:before="37"/>
              <w:rPr>
                <w:sz w:val="21"/>
              </w:rPr>
            </w:pPr>
            <w:r>
              <w:rPr>
                <w:sz w:val="21"/>
              </w:rPr>
              <w:t>1.符合坏死性筋膜炎的一般临床表现；</w:t>
            </w:r>
          </w:p>
          <w:p>
            <w:pPr>
              <w:pStyle w:val="TableParagraph"/>
              <w:spacing w:before="37"/>
              <w:rPr>
                <w:sz w:val="21"/>
              </w:rPr>
            </w:pPr>
            <w:r>
              <w:rPr>
                <w:sz w:val="21"/>
              </w:rPr>
              <w:t>2.细菌培养检出致病菌；</w:t>
            </w:r>
          </w:p>
          <w:p>
            <w:pPr>
              <w:pStyle w:val="TableParagraph"/>
              <w:spacing w:line="273" w:lineRule="auto" w:before="37"/>
              <w:ind w:left="144" w:right="198" w:firstLine="420"/>
              <w:rPr>
                <w:sz w:val="21"/>
              </w:rPr>
            </w:pPr>
            <w:r>
              <w:rPr>
                <w:sz w:val="21"/>
              </w:rPr>
              <w:t>3.出现广泛性肌肉及软组织坏死，并导致身体受影响部位功能永久不可逆性丧失。</w:t>
            </w:r>
          </w:p>
        </w:tc>
      </w:tr>
      <w:tr>
        <w:trPr>
          <w:trHeight w:val="3744" w:hRule="atLeast"/>
        </w:trPr>
        <w:tc>
          <w:tcPr>
            <w:tcW w:w="1016" w:type="dxa"/>
          </w:tcPr>
          <w:p>
            <w:pPr>
              <w:pStyle w:val="TableParagraph"/>
              <w:ind w:left="200"/>
              <w:rPr>
                <w:b/>
                <w:sz w:val="21"/>
              </w:rPr>
            </w:pPr>
            <w:r>
              <w:rPr>
                <w:b/>
                <w:sz w:val="21"/>
              </w:rPr>
              <w:t>6.6.69</w:t>
            </w:r>
          </w:p>
        </w:tc>
        <w:tc>
          <w:tcPr>
            <w:tcW w:w="1169" w:type="dxa"/>
          </w:tcPr>
          <w:p>
            <w:pPr>
              <w:pStyle w:val="TableParagraph"/>
              <w:spacing w:line="314" w:lineRule="auto" w:before="166"/>
              <w:ind w:left="180" w:right="141"/>
              <w:jc w:val="both"/>
              <w:rPr>
                <w:b/>
                <w:sz w:val="21"/>
              </w:rPr>
            </w:pPr>
            <w:r>
              <w:rPr>
                <w:b/>
                <w:sz w:val="21"/>
              </w:rPr>
              <w:t>严重感染性心内膜炎</w:t>
            </w:r>
          </w:p>
        </w:tc>
        <w:tc>
          <w:tcPr>
            <w:tcW w:w="7702" w:type="dxa"/>
          </w:tcPr>
          <w:p>
            <w:pPr>
              <w:pStyle w:val="TableParagraph"/>
              <w:rPr>
                <w:sz w:val="21"/>
              </w:rPr>
            </w:pPr>
            <w:r>
              <w:rPr>
                <w:sz w:val="21"/>
              </w:rPr>
              <w:t>因感染性病原体造成心脏内膜发炎，并符合下列所有条件：</w:t>
            </w:r>
          </w:p>
          <w:p>
            <w:pPr>
              <w:pStyle w:val="TableParagraph"/>
              <w:spacing w:before="36"/>
              <w:rPr>
                <w:sz w:val="21"/>
              </w:rPr>
            </w:pPr>
            <w:r>
              <w:rPr>
                <w:sz w:val="21"/>
              </w:rPr>
              <w:t>1.血液培养测试结果为阳性，证实存在感染病原体：</w:t>
            </w:r>
          </w:p>
          <w:p>
            <w:pPr>
              <w:pStyle w:val="TableParagraph"/>
              <w:spacing w:line="273" w:lineRule="auto" w:before="36"/>
              <w:ind w:left="144" w:right="97" w:firstLine="420"/>
              <w:rPr>
                <w:sz w:val="21"/>
              </w:rPr>
            </w:pPr>
            <w:r>
              <w:rPr>
                <w:sz w:val="21"/>
              </w:rPr>
              <w:t>（1）微生物：在赘生物、栓塞的赘生物或心脏内脓疡经培养或组织检查证实有微生物；</w:t>
            </w:r>
          </w:p>
          <w:p>
            <w:pPr>
              <w:pStyle w:val="TableParagraph"/>
              <w:spacing w:line="273" w:lineRule="auto" w:before="7"/>
              <w:ind w:left="144" w:right="97" w:firstLine="420"/>
              <w:rPr>
                <w:sz w:val="21"/>
              </w:rPr>
            </w:pPr>
            <w:r>
              <w:rPr>
                <w:sz w:val="21"/>
              </w:rPr>
              <w:t>（2）病理性病灶：组织病理学检查证实赘生物或心脏内脓疡有活动性心内膜炎；</w:t>
            </w:r>
          </w:p>
          <w:p>
            <w:pPr>
              <w:pStyle w:val="TableParagraph"/>
              <w:spacing w:before="7"/>
              <w:rPr>
                <w:sz w:val="21"/>
              </w:rPr>
            </w:pPr>
            <w:r>
              <w:rPr>
                <w:sz w:val="21"/>
              </w:rPr>
              <w:t>（3）分别两次血液培养证实有典型的病原体且与心内膜炎吻合；</w:t>
            </w:r>
          </w:p>
          <w:p>
            <w:pPr>
              <w:pStyle w:val="TableParagraph"/>
              <w:spacing w:before="36"/>
              <w:rPr>
                <w:sz w:val="21"/>
              </w:rPr>
            </w:pPr>
            <w:r>
              <w:rPr>
                <w:sz w:val="21"/>
              </w:rPr>
              <w:t>（4）持续血液培养证实有病原体阳性反应，且与心内膜炎吻合。</w:t>
            </w:r>
          </w:p>
          <w:p>
            <w:pPr>
              <w:pStyle w:val="TableParagraph"/>
              <w:spacing w:line="273" w:lineRule="auto" w:before="36"/>
              <w:ind w:left="144" w:right="97" w:firstLine="420"/>
              <w:rPr>
                <w:sz w:val="21"/>
              </w:rPr>
            </w:pPr>
            <w:r>
              <w:rPr>
                <w:sz w:val="21"/>
              </w:rPr>
              <w:t>2.心内膜炎引起中度心瓣膜闭锁不全（指返流分数20%或以上）或中度心瓣膜狭窄（指心瓣膜开口范围小于或等于正常的30%）；</w:t>
            </w:r>
          </w:p>
          <w:p>
            <w:pPr>
              <w:pStyle w:val="TableParagraph"/>
              <w:spacing w:before="7"/>
              <w:rPr>
                <w:sz w:val="21"/>
              </w:rPr>
            </w:pPr>
            <w:r>
              <w:rPr>
                <w:sz w:val="21"/>
              </w:rPr>
              <w:t>3.心内膜炎及心瓣膜病损须经心脏专科医生确诊。</w:t>
            </w:r>
          </w:p>
        </w:tc>
      </w:tr>
      <w:tr>
        <w:trPr>
          <w:trHeight w:val="1353" w:hRule="atLeast"/>
        </w:trPr>
        <w:tc>
          <w:tcPr>
            <w:tcW w:w="1016" w:type="dxa"/>
          </w:tcPr>
          <w:p>
            <w:pPr>
              <w:pStyle w:val="TableParagraph"/>
              <w:ind w:left="200"/>
              <w:rPr>
                <w:b/>
                <w:sz w:val="21"/>
              </w:rPr>
            </w:pPr>
            <w:r>
              <w:rPr>
                <w:b/>
                <w:sz w:val="21"/>
              </w:rPr>
              <w:t>6.6.70</w:t>
            </w:r>
          </w:p>
        </w:tc>
        <w:tc>
          <w:tcPr>
            <w:tcW w:w="1169" w:type="dxa"/>
          </w:tcPr>
          <w:p>
            <w:pPr>
              <w:pStyle w:val="TableParagraph"/>
              <w:spacing w:line="314" w:lineRule="auto" w:before="166"/>
              <w:ind w:left="180" w:right="141"/>
              <w:jc w:val="both"/>
              <w:rPr>
                <w:b/>
                <w:sz w:val="21"/>
              </w:rPr>
            </w:pPr>
            <w:r>
              <w:rPr>
                <w:b/>
                <w:sz w:val="21"/>
              </w:rPr>
              <w:t>严重的骨髓增生异常综合征</w:t>
            </w:r>
          </w:p>
        </w:tc>
        <w:tc>
          <w:tcPr>
            <w:tcW w:w="7702" w:type="dxa"/>
          </w:tcPr>
          <w:p>
            <w:pPr>
              <w:pStyle w:val="TableParagraph"/>
              <w:spacing w:line="273" w:lineRule="auto"/>
              <w:ind w:left="144" w:right="198" w:firstLine="420"/>
              <w:rPr>
                <w:sz w:val="21"/>
              </w:rPr>
            </w:pPr>
            <w:r>
              <w:rPr>
                <w:sz w:val="21"/>
              </w:rPr>
              <w:t>骨髓增生异常综合征(myelodysplastic syndromes，MDS)是起源于造血干细胞的一组异质性髓系克隆性疾病，特点是髓系细胞发育异常，表现为无效造血、</w:t>
            </w:r>
          </w:p>
          <w:p>
            <w:pPr>
              <w:pStyle w:val="TableParagraph"/>
              <w:spacing w:line="312" w:lineRule="exact" w:before="3"/>
              <w:ind w:left="144" w:right="198"/>
              <w:rPr>
                <w:sz w:val="21"/>
              </w:rPr>
            </w:pPr>
            <w:r>
              <w:rPr>
                <w:sz w:val="21"/>
              </w:rPr>
              <w:t>难治性血细胞减少，本合同所指的严重的骨髓异常增生综合征需满足下列所有条件：</w:t>
            </w:r>
          </w:p>
        </w:tc>
      </w:tr>
    </w:tbl>
    <w:p>
      <w:pPr>
        <w:spacing w:after="0" w:line="312" w:lineRule="exact"/>
        <w:rPr>
          <w:sz w:val="21"/>
        </w:rPr>
        <w:sectPr>
          <w:pgSz w:w="11910" w:h="16840"/>
          <w:pgMar w:header="871" w:footer="992" w:top="1060" w:bottom="1180" w:left="680" w:right="1120"/>
        </w:sectPr>
      </w:pPr>
    </w:p>
    <w:p>
      <w:pPr>
        <w:pStyle w:val="BodyText"/>
        <w:rPr>
          <w:rFonts w:ascii="Times New Roman"/>
          <w:sz w:val="2"/>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
        <w:gridCol w:w="1169"/>
        <w:gridCol w:w="7707"/>
      </w:tblGrid>
      <w:tr>
        <w:trPr>
          <w:trHeight w:val="2308" w:hRule="atLeast"/>
        </w:trPr>
        <w:tc>
          <w:tcPr>
            <w:tcW w:w="1016" w:type="dxa"/>
            <w:tcBorders>
              <w:top w:val="single" w:sz="18" w:space="0" w:color="000000"/>
            </w:tcBorders>
          </w:tcPr>
          <w:p>
            <w:pPr>
              <w:pStyle w:val="TableParagraph"/>
              <w:spacing w:before="0"/>
              <w:ind w:left="0"/>
              <w:rPr>
                <w:rFonts w:ascii="Times New Roman"/>
                <w:sz w:val="20"/>
              </w:rPr>
            </w:pPr>
          </w:p>
        </w:tc>
        <w:tc>
          <w:tcPr>
            <w:tcW w:w="1169" w:type="dxa"/>
            <w:tcBorders>
              <w:top w:val="single" w:sz="18" w:space="0" w:color="000000"/>
            </w:tcBorders>
          </w:tcPr>
          <w:p>
            <w:pPr>
              <w:pStyle w:val="TableParagraph"/>
              <w:spacing w:before="0"/>
              <w:ind w:left="0"/>
              <w:rPr>
                <w:rFonts w:ascii="Times New Roman"/>
                <w:sz w:val="20"/>
              </w:rPr>
            </w:pPr>
          </w:p>
        </w:tc>
        <w:tc>
          <w:tcPr>
            <w:tcW w:w="7707" w:type="dxa"/>
            <w:tcBorders>
              <w:top w:val="single" w:sz="18" w:space="0" w:color="000000"/>
            </w:tcBorders>
          </w:tcPr>
          <w:p>
            <w:pPr>
              <w:pStyle w:val="TableParagraph"/>
              <w:spacing w:before="2"/>
              <w:ind w:left="0"/>
              <w:rPr>
                <w:rFonts w:ascii="Times New Roman"/>
                <w:sz w:val="23"/>
              </w:rPr>
            </w:pPr>
          </w:p>
          <w:p>
            <w:pPr>
              <w:pStyle w:val="TableParagraph"/>
              <w:spacing w:line="273" w:lineRule="auto" w:before="0"/>
              <w:ind w:left="144" w:right="203" w:firstLine="420"/>
              <w:rPr>
                <w:sz w:val="21"/>
              </w:rPr>
            </w:pPr>
            <w:r>
              <w:rPr>
                <w:sz w:val="21"/>
              </w:rPr>
              <w:t>1.由设有专门血液病专科的公立三级甲等医院血液病专科的主治级别以上的专科医生确诊；</w:t>
            </w:r>
          </w:p>
          <w:p>
            <w:pPr>
              <w:pStyle w:val="TableParagraph"/>
              <w:spacing w:before="7"/>
              <w:rPr>
                <w:sz w:val="21"/>
              </w:rPr>
            </w:pPr>
            <w:r>
              <w:rPr>
                <w:sz w:val="21"/>
              </w:rPr>
              <w:t>2.骨髓涂片检查同时符合发育异常细胞比例&gt;10%、原始细胞比例&gt;15%；</w:t>
            </w:r>
          </w:p>
          <w:p>
            <w:pPr>
              <w:pStyle w:val="TableParagraph"/>
              <w:spacing w:before="36"/>
              <w:rPr>
                <w:sz w:val="21"/>
              </w:rPr>
            </w:pPr>
            <w:r>
              <w:rPr>
                <w:sz w:val="21"/>
              </w:rPr>
              <w:t>3.已接受至少累计三十日的化疗或已接受骨髓移植治疗。</w:t>
            </w:r>
          </w:p>
          <w:p>
            <w:pPr>
              <w:pStyle w:val="TableParagraph"/>
              <w:spacing w:line="273" w:lineRule="auto" w:before="36"/>
              <w:ind w:left="566" w:right="1022"/>
              <w:rPr>
                <w:b/>
                <w:sz w:val="21"/>
              </w:rPr>
            </w:pPr>
            <w:r>
              <w:rPr>
                <w:b/>
                <w:sz w:val="21"/>
              </w:rPr>
              <w:t>化疗日数的计算以被保险人实际服用、注射化疗药物的天数为准。疑似病例不在保障范围之内。</w:t>
            </w:r>
          </w:p>
        </w:tc>
      </w:tr>
      <w:tr>
        <w:trPr>
          <w:trHeight w:val="1872" w:hRule="atLeast"/>
        </w:trPr>
        <w:tc>
          <w:tcPr>
            <w:tcW w:w="1016" w:type="dxa"/>
          </w:tcPr>
          <w:p>
            <w:pPr>
              <w:pStyle w:val="TableParagraph"/>
              <w:ind w:left="200"/>
              <w:rPr>
                <w:b/>
                <w:sz w:val="21"/>
              </w:rPr>
            </w:pPr>
            <w:r>
              <w:rPr>
                <w:b/>
                <w:sz w:val="21"/>
              </w:rPr>
              <w:t>6.6.71</w:t>
            </w:r>
          </w:p>
        </w:tc>
        <w:tc>
          <w:tcPr>
            <w:tcW w:w="1169" w:type="dxa"/>
          </w:tcPr>
          <w:p>
            <w:pPr>
              <w:pStyle w:val="TableParagraph"/>
              <w:spacing w:before="166"/>
              <w:ind w:left="160" w:right="124"/>
              <w:jc w:val="center"/>
              <w:rPr>
                <w:b/>
                <w:sz w:val="21"/>
              </w:rPr>
            </w:pPr>
            <w:r>
              <w:rPr>
                <w:b/>
                <w:sz w:val="21"/>
              </w:rPr>
              <w:t>严重癫痫</w:t>
            </w:r>
          </w:p>
        </w:tc>
        <w:tc>
          <w:tcPr>
            <w:tcW w:w="7707" w:type="dxa"/>
          </w:tcPr>
          <w:p>
            <w:pPr>
              <w:pStyle w:val="TableParagraph"/>
              <w:rPr>
                <w:sz w:val="21"/>
              </w:rPr>
            </w:pPr>
            <w:r>
              <w:rPr>
                <w:sz w:val="21"/>
              </w:rPr>
              <w:t>本病的诊断须由神经科或儿科专科医生根据典型临床症状和脑电图及MRI、</w:t>
            </w:r>
          </w:p>
          <w:p>
            <w:pPr>
              <w:pStyle w:val="TableParagraph"/>
              <w:spacing w:line="273" w:lineRule="auto" w:before="36"/>
              <w:ind w:left="144" w:right="203"/>
              <w:jc w:val="both"/>
              <w:rPr>
                <w:sz w:val="21"/>
              </w:rPr>
            </w:pPr>
            <w:r>
              <w:rPr>
                <w:sz w:val="21"/>
              </w:rPr>
              <w:t>PET、CT等影相学检查做出。理赔时必须提供6个月以上的相关病历记录证明被保险人存在经抗癫痫药物治疗无效而反复发作的强直阵挛性发作或癫痫大发作，且已行神经外科手术以治疗反复发作的癫痫。</w:t>
            </w:r>
          </w:p>
          <w:p>
            <w:pPr>
              <w:pStyle w:val="TableParagraph"/>
              <w:spacing w:before="8"/>
              <w:ind w:left="566"/>
              <w:rPr>
                <w:b/>
                <w:sz w:val="21"/>
              </w:rPr>
            </w:pPr>
            <w:r>
              <w:rPr>
                <w:b/>
                <w:spacing w:val="-3"/>
                <w:sz w:val="21"/>
              </w:rPr>
              <w:t>发热性惊厥以及没有全身性发作的失神发作</w:t>
            </w:r>
            <w:r>
              <w:rPr>
                <w:b/>
                <w:sz w:val="21"/>
              </w:rPr>
              <w:t>（</w:t>
            </w:r>
            <w:r>
              <w:rPr>
                <w:b/>
                <w:spacing w:val="-2"/>
                <w:sz w:val="21"/>
              </w:rPr>
              <w:t>癫痫小发作</w:t>
            </w:r>
            <w:r>
              <w:rPr>
                <w:b/>
                <w:spacing w:val="-17"/>
                <w:sz w:val="21"/>
              </w:rPr>
              <w:t>）</w:t>
            </w:r>
            <w:r>
              <w:rPr>
                <w:b/>
                <w:spacing w:val="-1"/>
                <w:sz w:val="21"/>
              </w:rPr>
              <w:t>不在保障范围内。</w:t>
            </w:r>
          </w:p>
        </w:tc>
      </w:tr>
      <w:tr>
        <w:trPr>
          <w:trHeight w:val="1560" w:hRule="atLeast"/>
        </w:trPr>
        <w:tc>
          <w:tcPr>
            <w:tcW w:w="1016" w:type="dxa"/>
          </w:tcPr>
          <w:p>
            <w:pPr>
              <w:pStyle w:val="TableParagraph"/>
              <w:ind w:left="200"/>
              <w:rPr>
                <w:b/>
                <w:sz w:val="21"/>
              </w:rPr>
            </w:pPr>
            <w:r>
              <w:rPr>
                <w:b/>
                <w:sz w:val="21"/>
              </w:rPr>
              <w:t>6.6.72</w:t>
            </w:r>
          </w:p>
        </w:tc>
        <w:tc>
          <w:tcPr>
            <w:tcW w:w="1169" w:type="dxa"/>
          </w:tcPr>
          <w:p>
            <w:pPr>
              <w:pStyle w:val="TableParagraph"/>
              <w:spacing w:line="314" w:lineRule="auto" w:before="166"/>
              <w:ind w:left="180" w:right="141"/>
              <w:jc w:val="both"/>
              <w:rPr>
                <w:b/>
                <w:sz w:val="21"/>
              </w:rPr>
            </w:pPr>
            <w:r>
              <w:rPr>
                <w:b/>
                <w:sz w:val="21"/>
              </w:rPr>
              <w:t>自体造血干细胞移植</w:t>
            </w:r>
          </w:p>
        </w:tc>
        <w:tc>
          <w:tcPr>
            <w:tcW w:w="7707" w:type="dxa"/>
          </w:tcPr>
          <w:p>
            <w:pPr>
              <w:pStyle w:val="TableParagraph"/>
              <w:spacing w:line="273" w:lineRule="auto"/>
              <w:ind w:left="144" w:right="203" w:firstLine="420"/>
              <w:jc w:val="both"/>
              <w:rPr>
                <w:sz w:val="21"/>
              </w:rPr>
            </w:pPr>
            <w:r>
              <w:rPr>
                <w:sz w:val="21"/>
              </w:rPr>
              <w:t>指由于患者自身骨髓造血功能异常或为了达到治疗肿瘤的目的，采集患者自己的一部分造血干细胞，分离并深低温保存，再回输给患者使患者的造血功能和免疫功能重新恢复的一种治疗方法。</w:t>
            </w:r>
          </w:p>
          <w:p>
            <w:pPr>
              <w:pStyle w:val="TableParagraph"/>
              <w:spacing w:before="7"/>
              <w:ind w:left="566"/>
              <w:rPr>
                <w:b/>
                <w:sz w:val="21"/>
              </w:rPr>
            </w:pPr>
            <w:r>
              <w:rPr>
                <w:b/>
                <w:sz w:val="21"/>
              </w:rPr>
              <w:t>此治疗须在本公司认可医院内由专科医生认为是医疗必须的情况下进行。</w:t>
            </w:r>
          </w:p>
        </w:tc>
      </w:tr>
      <w:tr>
        <w:trPr>
          <w:trHeight w:val="1872" w:hRule="atLeast"/>
        </w:trPr>
        <w:tc>
          <w:tcPr>
            <w:tcW w:w="1016" w:type="dxa"/>
          </w:tcPr>
          <w:p>
            <w:pPr>
              <w:pStyle w:val="TableParagraph"/>
              <w:ind w:left="200"/>
              <w:rPr>
                <w:b/>
                <w:sz w:val="21"/>
              </w:rPr>
            </w:pPr>
            <w:r>
              <w:rPr>
                <w:b/>
                <w:sz w:val="21"/>
              </w:rPr>
              <w:t>6.6.73</w:t>
            </w:r>
          </w:p>
        </w:tc>
        <w:tc>
          <w:tcPr>
            <w:tcW w:w="1169" w:type="dxa"/>
          </w:tcPr>
          <w:p>
            <w:pPr>
              <w:pStyle w:val="TableParagraph"/>
              <w:spacing w:line="312" w:lineRule="auto" w:before="166"/>
              <w:ind w:left="180" w:right="141"/>
              <w:rPr>
                <w:b/>
                <w:sz w:val="21"/>
              </w:rPr>
            </w:pPr>
            <w:r>
              <w:rPr>
                <w:b/>
                <w:sz w:val="21"/>
              </w:rPr>
              <w:t>肺淋巴管肌瘤病</w:t>
            </w:r>
          </w:p>
        </w:tc>
        <w:tc>
          <w:tcPr>
            <w:tcW w:w="7707" w:type="dxa"/>
          </w:tcPr>
          <w:p>
            <w:pPr>
              <w:pStyle w:val="TableParagraph"/>
              <w:spacing w:line="273" w:lineRule="auto"/>
              <w:ind w:left="144" w:right="203" w:firstLine="420"/>
              <w:rPr>
                <w:sz w:val="21"/>
              </w:rPr>
            </w:pPr>
            <w:r>
              <w:rPr>
                <w:sz w:val="21"/>
              </w:rPr>
              <w:t>肺淋巴管肌瘤病是一种弥漫性肺部疾病，主要病理改变为肺间质、支气管、血管和淋巴管内出现未成熟的平滑肌异常增生，同时需满足下列条件：</w:t>
            </w:r>
          </w:p>
          <w:p>
            <w:pPr>
              <w:pStyle w:val="TableParagraph"/>
              <w:spacing w:before="7"/>
              <w:rPr>
                <w:sz w:val="21"/>
              </w:rPr>
            </w:pPr>
            <w:r>
              <w:rPr>
                <w:sz w:val="21"/>
              </w:rPr>
              <w:t>1.经组织病理学诊断；</w:t>
            </w:r>
          </w:p>
          <w:p>
            <w:pPr>
              <w:pStyle w:val="TableParagraph"/>
              <w:spacing w:before="37"/>
              <w:rPr>
                <w:sz w:val="21"/>
              </w:rPr>
            </w:pPr>
            <w:r>
              <w:rPr>
                <w:sz w:val="21"/>
              </w:rPr>
              <w:t>2.CT显示双肺弥漫性囊性改变；</w:t>
            </w:r>
          </w:p>
          <w:p>
            <w:pPr>
              <w:pStyle w:val="TableParagraph"/>
              <w:spacing w:before="36"/>
              <w:rPr>
                <w:sz w:val="21"/>
              </w:rPr>
            </w:pPr>
            <w:r>
              <w:rPr>
                <w:sz w:val="21"/>
              </w:rPr>
              <w:t>3.血气提示低氧血症。</w:t>
            </w:r>
          </w:p>
        </w:tc>
      </w:tr>
      <w:tr>
        <w:trPr>
          <w:trHeight w:val="1247" w:hRule="atLeast"/>
        </w:trPr>
        <w:tc>
          <w:tcPr>
            <w:tcW w:w="1016" w:type="dxa"/>
          </w:tcPr>
          <w:p>
            <w:pPr>
              <w:pStyle w:val="TableParagraph"/>
              <w:ind w:left="200"/>
              <w:rPr>
                <w:b/>
                <w:sz w:val="21"/>
              </w:rPr>
            </w:pPr>
            <w:r>
              <w:rPr>
                <w:b/>
                <w:sz w:val="21"/>
              </w:rPr>
              <w:t>6.6.74</w:t>
            </w:r>
          </w:p>
        </w:tc>
        <w:tc>
          <w:tcPr>
            <w:tcW w:w="1169" w:type="dxa"/>
          </w:tcPr>
          <w:p>
            <w:pPr>
              <w:pStyle w:val="TableParagraph"/>
              <w:spacing w:line="312" w:lineRule="auto" w:before="166"/>
              <w:ind w:left="180" w:right="141"/>
              <w:rPr>
                <w:b/>
                <w:sz w:val="21"/>
              </w:rPr>
            </w:pPr>
            <w:r>
              <w:rPr>
                <w:b/>
                <w:sz w:val="21"/>
              </w:rPr>
              <w:t>肺泡蛋白质沉积症</w:t>
            </w:r>
          </w:p>
        </w:tc>
        <w:tc>
          <w:tcPr>
            <w:tcW w:w="7707" w:type="dxa"/>
          </w:tcPr>
          <w:p>
            <w:pPr>
              <w:pStyle w:val="TableParagraph"/>
              <w:spacing w:line="273" w:lineRule="auto"/>
              <w:ind w:left="144" w:right="102" w:firstLine="420"/>
              <w:jc w:val="both"/>
              <w:rPr>
                <w:sz w:val="21"/>
              </w:rPr>
            </w:pPr>
            <w:r>
              <w:rPr>
                <w:sz w:val="21"/>
              </w:rPr>
              <w:t>指肺泡和细支气管腔内充满不可溶性富磷脂蛋白的疾病，胸部X线呈双肺弥漫性肺部磨玻璃影，病理学检查肺泡内充满有过碘酸雪夫（PAS）染色阳性的蛋白样物质，并且接受了肺灌洗治疗。</w:t>
            </w:r>
          </w:p>
        </w:tc>
      </w:tr>
      <w:tr>
        <w:trPr>
          <w:trHeight w:val="1248" w:hRule="atLeast"/>
        </w:trPr>
        <w:tc>
          <w:tcPr>
            <w:tcW w:w="1016" w:type="dxa"/>
          </w:tcPr>
          <w:p>
            <w:pPr>
              <w:pStyle w:val="TableParagraph"/>
              <w:ind w:left="200"/>
              <w:rPr>
                <w:b/>
                <w:sz w:val="21"/>
              </w:rPr>
            </w:pPr>
            <w:r>
              <w:rPr>
                <w:b/>
                <w:sz w:val="21"/>
              </w:rPr>
              <w:t>6.6.75</w:t>
            </w:r>
          </w:p>
        </w:tc>
        <w:tc>
          <w:tcPr>
            <w:tcW w:w="1169" w:type="dxa"/>
          </w:tcPr>
          <w:p>
            <w:pPr>
              <w:pStyle w:val="TableParagraph"/>
              <w:spacing w:before="166"/>
              <w:ind w:left="160" w:right="124"/>
              <w:jc w:val="center"/>
              <w:rPr>
                <w:b/>
                <w:sz w:val="21"/>
              </w:rPr>
            </w:pPr>
            <w:r>
              <w:rPr>
                <w:b/>
                <w:sz w:val="21"/>
              </w:rPr>
              <w:t>小肠移植</w:t>
            </w:r>
          </w:p>
        </w:tc>
        <w:tc>
          <w:tcPr>
            <w:tcW w:w="7707" w:type="dxa"/>
          </w:tcPr>
          <w:p>
            <w:pPr>
              <w:pStyle w:val="TableParagraph"/>
              <w:spacing w:line="273" w:lineRule="auto"/>
              <w:ind w:left="144" w:right="203" w:firstLine="420"/>
              <w:rPr>
                <w:sz w:val="21"/>
              </w:rPr>
            </w:pPr>
            <w:r>
              <w:rPr>
                <w:sz w:val="21"/>
              </w:rPr>
              <w:t>指因肠道疾病或外伤，已经实施了在全身麻醉下进行的小肠的异体器官移植手术。</w:t>
            </w:r>
          </w:p>
          <w:p>
            <w:pPr>
              <w:pStyle w:val="TableParagraph"/>
              <w:spacing w:before="7"/>
              <w:ind w:left="566"/>
              <w:rPr>
                <w:b/>
                <w:sz w:val="21"/>
              </w:rPr>
            </w:pPr>
            <w:r>
              <w:rPr>
                <w:b/>
                <w:sz w:val="21"/>
              </w:rPr>
              <w:t>此手术必须在本公司认可医院内由专科医生认为是医疗必须的情况下进行。</w:t>
            </w:r>
          </w:p>
        </w:tc>
      </w:tr>
      <w:tr>
        <w:trPr>
          <w:trHeight w:val="3850" w:hRule="atLeast"/>
        </w:trPr>
        <w:tc>
          <w:tcPr>
            <w:tcW w:w="1016" w:type="dxa"/>
          </w:tcPr>
          <w:p>
            <w:pPr>
              <w:pStyle w:val="TableParagraph"/>
              <w:spacing w:before="143"/>
              <w:ind w:left="200"/>
              <w:rPr>
                <w:b/>
                <w:sz w:val="21"/>
              </w:rPr>
            </w:pPr>
            <w:r>
              <w:rPr>
                <w:b/>
                <w:sz w:val="21"/>
              </w:rPr>
              <w:t>6.6.76</w:t>
            </w:r>
          </w:p>
        </w:tc>
        <w:tc>
          <w:tcPr>
            <w:tcW w:w="1169" w:type="dxa"/>
          </w:tcPr>
          <w:p>
            <w:pPr>
              <w:pStyle w:val="TableParagraph"/>
              <w:spacing w:line="314" w:lineRule="auto" w:before="167"/>
              <w:ind w:left="180" w:right="141"/>
              <w:jc w:val="both"/>
              <w:rPr>
                <w:b/>
                <w:sz w:val="21"/>
              </w:rPr>
            </w:pPr>
            <w:r>
              <w:rPr>
                <w:b/>
                <w:sz w:val="21"/>
              </w:rPr>
              <w:t>疾病或外伤所致智力障碍</w:t>
            </w:r>
          </w:p>
        </w:tc>
        <w:tc>
          <w:tcPr>
            <w:tcW w:w="7707" w:type="dxa"/>
          </w:tcPr>
          <w:p>
            <w:pPr>
              <w:pStyle w:val="TableParagraph"/>
              <w:spacing w:before="143"/>
              <w:rPr>
                <w:sz w:val="21"/>
              </w:rPr>
            </w:pPr>
            <w:r>
              <w:rPr>
                <w:sz w:val="21"/>
              </w:rPr>
              <w:t>因严重头部创伤或疾病造成被保险人智力低常（智力低于常态）。根据智商</w:t>
            </w:r>
          </w:p>
          <w:p>
            <w:pPr>
              <w:pStyle w:val="TableParagraph"/>
              <w:spacing w:line="273" w:lineRule="auto" w:before="37"/>
              <w:ind w:left="144" w:right="104"/>
              <w:rPr>
                <w:sz w:val="21"/>
              </w:rPr>
            </w:pPr>
            <w:r>
              <w:rPr>
                <w:spacing w:val="-1"/>
                <w:sz w:val="21"/>
              </w:rPr>
              <w:t>（IQ）</w:t>
            </w:r>
            <w:r>
              <w:rPr>
                <w:spacing w:val="-3"/>
                <w:sz w:val="21"/>
              </w:rPr>
              <w:t>，智力低常分为轻度</w:t>
            </w:r>
            <w:r>
              <w:rPr>
                <w:spacing w:val="-1"/>
                <w:sz w:val="21"/>
              </w:rPr>
              <w:t>（IQ50-70）；</w:t>
            </w:r>
            <w:r>
              <w:rPr>
                <w:spacing w:val="-2"/>
                <w:sz w:val="21"/>
              </w:rPr>
              <w:t>中度</w:t>
            </w:r>
            <w:r>
              <w:rPr>
                <w:spacing w:val="-1"/>
                <w:sz w:val="21"/>
              </w:rPr>
              <w:t>（IQ35-50）</w:t>
            </w:r>
            <w:r>
              <w:rPr>
                <w:spacing w:val="-2"/>
                <w:sz w:val="21"/>
              </w:rPr>
              <w:t>；重度</w:t>
            </w:r>
            <w:r>
              <w:rPr>
                <w:sz w:val="21"/>
              </w:rPr>
              <w:t>（IQ20-35）和</w:t>
            </w:r>
            <w:r>
              <w:rPr>
                <w:spacing w:val="-1"/>
                <w:sz w:val="21"/>
              </w:rPr>
              <w:t>极重度</w:t>
            </w:r>
            <w:r>
              <w:rPr>
                <w:sz w:val="21"/>
              </w:rPr>
              <w:t>（IQ&lt;20）</w:t>
            </w:r>
            <w:r>
              <w:rPr>
                <w:spacing w:val="-3"/>
                <w:sz w:val="21"/>
              </w:rPr>
              <w:t>。智商的检测必须由我们认可的专职心理测验工作者进行，心理测验工作者必须持有由心理测量专业委员会资格认定书。根据被保险人年龄采用对应的智力量表如韦克斯勒智力量表</w:t>
            </w:r>
            <w:r>
              <w:rPr>
                <w:sz w:val="21"/>
              </w:rPr>
              <w:t>（</w:t>
            </w:r>
            <w:r>
              <w:rPr>
                <w:spacing w:val="-3"/>
                <w:sz w:val="21"/>
              </w:rPr>
              <w:t>儿童智力量表或成人智力量表）</w:t>
            </w:r>
            <w:r>
              <w:rPr>
                <w:sz w:val="21"/>
              </w:rPr>
              <w:t>。</w:t>
            </w:r>
          </w:p>
          <w:p>
            <w:pPr>
              <w:pStyle w:val="TableParagraph"/>
              <w:spacing w:before="7"/>
              <w:rPr>
                <w:sz w:val="21"/>
              </w:rPr>
            </w:pPr>
            <w:r>
              <w:rPr>
                <w:sz w:val="21"/>
              </w:rPr>
              <w:t>理赔时必须满足下列全部条件：</w:t>
            </w:r>
          </w:p>
          <w:p>
            <w:pPr>
              <w:pStyle w:val="TableParagraph"/>
              <w:spacing w:line="273" w:lineRule="auto" w:before="36"/>
              <w:ind w:left="144" w:right="203" w:firstLine="420"/>
              <w:rPr>
                <w:sz w:val="21"/>
              </w:rPr>
            </w:pPr>
            <w:r>
              <w:rPr>
                <w:sz w:val="21"/>
              </w:rPr>
              <w:t>1.造成被保险人智力低常（智力低于常态）的严重头部创伤或疾病（以入院日期为准）发生在被保险人6周岁以后；</w:t>
            </w:r>
          </w:p>
          <w:p>
            <w:pPr>
              <w:pStyle w:val="TableParagraph"/>
              <w:spacing w:before="7"/>
              <w:rPr>
                <w:sz w:val="21"/>
              </w:rPr>
            </w:pPr>
            <w:r>
              <w:rPr>
                <w:sz w:val="21"/>
              </w:rPr>
              <w:t>2.专科医生确诊被保险人由于严重头部创伤或疾病造成智力低常；</w:t>
            </w:r>
          </w:p>
          <w:p>
            <w:pPr>
              <w:pStyle w:val="TableParagraph"/>
              <w:spacing w:line="273" w:lineRule="auto" w:before="37"/>
              <w:ind w:left="144" w:right="-15" w:firstLine="420"/>
              <w:rPr>
                <w:sz w:val="21"/>
              </w:rPr>
            </w:pPr>
            <w:r>
              <w:rPr>
                <w:sz w:val="21"/>
              </w:rPr>
              <w:t>3.</w:t>
            </w:r>
            <w:r>
              <w:rPr>
                <w:spacing w:val="-4"/>
                <w:sz w:val="21"/>
              </w:rPr>
              <w:t>专职合格心理检测工作者适时做的心理检测证实被保险人智力低常</w:t>
            </w:r>
            <w:r>
              <w:rPr>
                <w:sz w:val="21"/>
              </w:rPr>
              <w:t>（</w:t>
            </w:r>
            <w:r>
              <w:rPr>
                <w:spacing w:val="-2"/>
                <w:sz w:val="21"/>
              </w:rPr>
              <w:t>轻度、</w:t>
            </w:r>
            <w:r>
              <w:rPr>
                <w:spacing w:val="-3"/>
                <w:sz w:val="21"/>
              </w:rPr>
              <w:t>中度、重度或极重度</w:t>
            </w:r>
            <w:r>
              <w:rPr>
                <w:sz w:val="21"/>
              </w:rPr>
              <w:t>）；</w:t>
            </w:r>
          </w:p>
          <w:p>
            <w:pPr>
              <w:pStyle w:val="TableParagraph"/>
              <w:spacing w:line="255" w:lineRule="exact" w:before="7"/>
              <w:rPr>
                <w:sz w:val="21"/>
              </w:rPr>
            </w:pPr>
            <w:r>
              <w:rPr>
                <w:sz w:val="21"/>
              </w:rPr>
              <w:t>4.被保险人的智力低常自确认日起持续180 天以上。</w:t>
            </w:r>
          </w:p>
        </w:tc>
      </w:tr>
    </w:tbl>
    <w:p>
      <w:pPr>
        <w:spacing w:after="0" w:line="255" w:lineRule="exact"/>
        <w:rPr>
          <w:sz w:val="21"/>
        </w:rPr>
        <w:sectPr>
          <w:pgSz w:w="11910" w:h="16840"/>
          <w:pgMar w:header="871" w:footer="992" w:top="1060" w:bottom="1180" w:left="680" w:right="1120"/>
        </w:sectPr>
      </w:pPr>
    </w:p>
    <w:p>
      <w:pPr>
        <w:pStyle w:val="BodyText"/>
        <w:rPr>
          <w:rFonts w:ascii="Times New Roman"/>
          <w:sz w:val="2"/>
        </w:rPr>
      </w:pPr>
    </w:p>
    <w:p>
      <w:pPr>
        <w:spacing w:line="38" w:lineRule="exact"/>
        <w:ind w:left="616" w:right="0" w:firstLine="0"/>
        <w:rPr>
          <w:rFonts w:ascii="Times New Roman"/>
          <w:sz w:val="3"/>
        </w:rPr>
      </w:pPr>
      <w:r>
        <w:rPr>
          <w:rFonts w:ascii="Times New Roman"/>
          <w:spacing w:val="-7"/>
          <w:sz w:val="3"/>
        </w:rPr>
        <w:t> </w:t>
      </w:r>
      <w:r>
        <w:rPr>
          <w:rFonts w:ascii="Times New Roman"/>
          <w:spacing w:val="-7"/>
          <w:position w:val="0"/>
          <w:sz w:val="3"/>
        </w:rPr>
        <w:pict>
          <v:group style="width:468.75pt;height:1.85pt;mso-position-horizontal-relative:char;mso-position-vertical-relative:line" coordorigin="0,0" coordsize="9375,37">
            <v:line style="position:absolute" from="8,30" to="9368,8" stroked="true" strokeweight=".75pt" strokecolor="#000000">
              <v:stroke dashstyle="solid"/>
            </v:line>
          </v:group>
        </w:pict>
      </w:r>
      <w:r>
        <w:rPr>
          <w:rFonts w:ascii="Times New Roman"/>
          <w:spacing w:val="-7"/>
          <w:position w:val="0"/>
          <w:sz w:val="3"/>
        </w:rPr>
      </w:r>
    </w:p>
    <w:p>
      <w:pPr>
        <w:pStyle w:val="BodyText"/>
        <w:spacing w:before="0"/>
        <w:rPr>
          <w:rFonts w:ascii="Times New Roman"/>
          <w:sz w:val="20"/>
        </w:rPr>
      </w:pPr>
    </w:p>
    <w:p>
      <w:pPr>
        <w:pStyle w:val="BodyText"/>
        <w:spacing w:before="0"/>
        <w:rPr>
          <w:rFonts w:ascii="Times New Roman"/>
          <w:sz w:val="20"/>
        </w:rPr>
      </w:pPr>
    </w:p>
    <w:p>
      <w:pPr>
        <w:pStyle w:val="BodyText"/>
        <w:spacing w:before="2"/>
        <w:rPr>
          <w:rFonts w:ascii="Times New Roman"/>
          <w:sz w:val="16"/>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
        <w:gridCol w:w="1169"/>
        <w:gridCol w:w="8144"/>
      </w:tblGrid>
      <w:tr>
        <w:trPr>
          <w:trHeight w:val="1353" w:hRule="atLeast"/>
        </w:trPr>
        <w:tc>
          <w:tcPr>
            <w:tcW w:w="1016" w:type="dxa"/>
          </w:tcPr>
          <w:p>
            <w:pPr>
              <w:pStyle w:val="TableParagraph"/>
              <w:spacing w:line="211" w:lineRule="exact" w:before="0"/>
              <w:ind w:left="200"/>
              <w:rPr>
                <w:b/>
                <w:sz w:val="21"/>
              </w:rPr>
            </w:pPr>
            <w:r>
              <w:rPr>
                <w:b/>
                <w:sz w:val="21"/>
              </w:rPr>
              <w:t>6.6.77</w:t>
            </w:r>
          </w:p>
        </w:tc>
        <w:tc>
          <w:tcPr>
            <w:tcW w:w="1169" w:type="dxa"/>
          </w:tcPr>
          <w:p>
            <w:pPr>
              <w:pStyle w:val="TableParagraph"/>
              <w:spacing w:line="235" w:lineRule="exact" w:before="0"/>
              <w:ind w:left="180"/>
              <w:rPr>
                <w:b/>
                <w:sz w:val="21"/>
              </w:rPr>
            </w:pPr>
            <w:r>
              <w:rPr>
                <w:b/>
                <w:sz w:val="21"/>
              </w:rPr>
              <w:t>骨生长不</w:t>
            </w:r>
          </w:p>
          <w:p>
            <w:pPr>
              <w:pStyle w:val="TableParagraph"/>
              <w:spacing w:before="82"/>
              <w:ind w:left="180"/>
              <w:rPr>
                <w:b/>
                <w:sz w:val="21"/>
              </w:rPr>
            </w:pPr>
            <w:r>
              <w:rPr>
                <w:b/>
                <w:sz w:val="21"/>
              </w:rPr>
              <w:t>全症</w:t>
            </w:r>
          </w:p>
        </w:tc>
        <w:tc>
          <w:tcPr>
            <w:tcW w:w="8144" w:type="dxa"/>
          </w:tcPr>
          <w:p>
            <w:pPr>
              <w:pStyle w:val="TableParagraph"/>
              <w:spacing w:line="211" w:lineRule="exact" w:before="0"/>
              <w:rPr>
                <w:sz w:val="21"/>
              </w:rPr>
            </w:pPr>
            <w:r>
              <w:rPr>
                <w:sz w:val="21"/>
              </w:rPr>
              <w:t>指一种胶原病，特征为骨易碎，骨质疏松和易骨折。该病有4种类型：I 型、</w:t>
            </w:r>
          </w:p>
          <w:p>
            <w:pPr>
              <w:pStyle w:val="TableParagraph"/>
              <w:spacing w:line="273" w:lineRule="auto" w:before="37"/>
              <w:ind w:left="144" w:right="539"/>
              <w:rPr>
                <w:sz w:val="21"/>
              </w:rPr>
            </w:pPr>
            <w:r>
              <w:rPr>
                <w:sz w:val="21"/>
              </w:rPr>
              <w:t>II型、III型、IV型。只保障III型成骨不全的情形。其主要临床特点有：发展迟缓、多发性骨折、进行性脊柱后侧凸及听力损害。III型成骨不全的诊断必须根据身体检查，家族史，X线检查和皮肤活检报告资料确诊。</w:t>
            </w:r>
          </w:p>
        </w:tc>
      </w:tr>
      <w:tr>
        <w:trPr>
          <w:trHeight w:val="2808" w:hRule="atLeast"/>
        </w:trPr>
        <w:tc>
          <w:tcPr>
            <w:tcW w:w="1016" w:type="dxa"/>
          </w:tcPr>
          <w:p>
            <w:pPr>
              <w:pStyle w:val="TableParagraph"/>
              <w:ind w:left="200"/>
              <w:rPr>
                <w:b/>
                <w:sz w:val="21"/>
              </w:rPr>
            </w:pPr>
            <w:r>
              <w:rPr>
                <w:b/>
                <w:sz w:val="21"/>
              </w:rPr>
              <w:t>6.6.78</w:t>
            </w:r>
          </w:p>
        </w:tc>
        <w:tc>
          <w:tcPr>
            <w:tcW w:w="1169" w:type="dxa"/>
          </w:tcPr>
          <w:p>
            <w:pPr>
              <w:pStyle w:val="TableParagraph"/>
              <w:spacing w:line="312" w:lineRule="auto" w:before="166"/>
              <w:ind w:left="180" w:right="141"/>
              <w:rPr>
                <w:b/>
                <w:sz w:val="21"/>
              </w:rPr>
            </w:pPr>
            <w:r>
              <w:rPr>
                <w:b/>
                <w:sz w:val="21"/>
              </w:rPr>
              <w:t>失去一肢及一眼</w:t>
            </w:r>
          </w:p>
        </w:tc>
        <w:tc>
          <w:tcPr>
            <w:tcW w:w="8144" w:type="dxa"/>
          </w:tcPr>
          <w:p>
            <w:pPr>
              <w:pStyle w:val="TableParagraph"/>
              <w:rPr>
                <w:sz w:val="21"/>
              </w:rPr>
            </w:pPr>
            <w:r>
              <w:rPr>
                <w:sz w:val="21"/>
              </w:rPr>
              <w:t>因疾病或者意外伤害导致单眼视力丧失及任何一肢自腕关节或者踝关节近端</w:t>
            </w:r>
          </w:p>
          <w:p>
            <w:pPr>
              <w:pStyle w:val="TableParagraph"/>
              <w:spacing w:before="36"/>
              <w:ind w:left="144"/>
              <w:rPr>
                <w:sz w:val="21"/>
              </w:rPr>
            </w:pPr>
            <w:r>
              <w:rPr>
                <w:sz w:val="21"/>
              </w:rPr>
              <w:t>（靠近躯干端）以上完全性断离。</w:t>
            </w:r>
          </w:p>
          <w:p>
            <w:pPr>
              <w:pStyle w:val="TableParagraph"/>
              <w:spacing w:before="36"/>
              <w:rPr>
                <w:sz w:val="21"/>
              </w:rPr>
            </w:pPr>
            <w:r>
              <w:rPr>
                <w:sz w:val="21"/>
              </w:rPr>
              <w:t>单眼视力丧失指单眼视力永久不可逆性丧失，患眼须满足下列至少一项条件：</w:t>
            </w:r>
          </w:p>
          <w:p>
            <w:pPr>
              <w:pStyle w:val="TableParagraph"/>
              <w:spacing w:before="36"/>
              <w:rPr>
                <w:sz w:val="21"/>
              </w:rPr>
            </w:pPr>
            <w:r>
              <w:rPr>
                <w:sz w:val="21"/>
              </w:rPr>
              <w:t>1.眼球缺失或者摘除；</w:t>
            </w:r>
          </w:p>
          <w:p>
            <w:pPr>
              <w:pStyle w:val="TableParagraph"/>
              <w:spacing w:line="273" w:lineRule="auto" w:before="36"/>
              <w:ind w:left="144" w:right="640" w:firstLine="420"/>
              <w:rPr>
                <w:sz w:val="21"/>
              </w:rPr>
            </w:pPr>
            <w:r>
              <w:rPr>
                <w:sz w:val="21"/>
              </w:rPr>
              <w:t>2.矫正视力低于0.02（采用国际标准视力表，如果使用其它视力表应进行换算）；</w:t>
            </w:r>
          </w:p>
          <w:p>
            <w:pPr>
              <w:pStyle w:val="TableParagraph"/>
              <w:spacing w:before="7"/>
              <w:rPr>
                <w:sz w:val="21"/>
              </w:rPr>
            </w:pPr>
            <w:r>
              <w:rPr>
                <w:sz w:val="21"/>
              </w:rPr>
              <w:t>3.视野半径小于5 度。</w:t>
            </w:r>
          </w:p>
          <w:p>
            <w:pPr>
              <w:pStyle w:val="TableParagraph"/>
              <w:spacing w:before="37"/>
              <w:ind w:left="566"/>
              <w:rPr>
                <w:b/>
                <w:sz w:val="21"/>
              </w:rPr>
            </w:pPr>
            <w:r>
              <w:rPr>
                <w:b/>
                <w:sz w:val="21"/>
              </w:rPr>
              <w:t>被保险人在三周岁之前因疾病导致单眼视力丧失不在保障范围内。</w:t>
            </w:r>
          </w:p>
        </w:tc>
      </w:tr>
      <w:tr>
        <w:trPr>
          <w:trHeight w:val="2808" w:hRule="atLeast"/>
        </w:trPr>
        <w:tc>
          <w:tcPr>
            <w:tcW w:w="1016" w:type="dxa"/>
          </w:tcPr>
          <w:p>
            <w:pPr>
              <w:pStyle w:val="TableParagraph"/>
              <w:ind w:left="200"/>
              <w:rPr>
                <w:b/>
                <w:sz w:val="21"/>
              </w:rPr>
            </w:pPr>
            <w:r>
              <w:rPr>
                <w:b/>
                <w:sz w:val="21"/>
              </w:rPr>
              <w:t>6.6.79</w:t>
            </w:r>
          </w:p>
        </w:tc>
        <w:tc>
          <w:tcPr>
            <w:tcW w:w="1169" w:type="dxa"/>
          </w:tcPr>
          <w:p>
            <w:pPr>
              <w:pStyle w:val="TableParagraph"/>
              <w:spacing w:line="312" w:lineRule="auto" w:before="166"/>
              <w:ind w:left="180" w:right="141"/>
              <w:rPr>
                <w:b/>
                <w:sz w:val="21"/>
              </w:rPr>
            </w:pPr>
            <w:r>
              <w:rPr>
                <w:b/>
                <w:sz w:val="21"/>
              </w:rPr>
              <w:t>重症手足口病</w:t>
            </w:r>
          </w:p>
        </w:tc>
        <w:tc>
          <w:tcPr>
            <w:tcW w:w="8144" w:type="dxa"/>
          </w:tcPr>
          <w:p>
            <w:pPr>
              <w:pStyle w:val="TableParagraph"/>
              <w:spacing w:line="273" w:lineRule="auto"/>
              <w:ind w:left="144" w:right="640" w:firstLine="420"/>
              <w:jc w:val="both"/>
              <w:rPr>
                <w:sz w:val="21"/>
              </w:rPr>
            </w:pPr>
            <w:r>
              <w:rPr>
                <w:sz w:val="21"/>
              </w:rPr>
              <w:t>由肠道病毒引起的急性传染病，主要症状表现为手、足、口腔等部位的斑丘疹、疱疹。经我们认可的医疗机构的专科医生确诊为患有手足口病，并伴有下列三项中的任意一项并发症：</w:t>
            </w:r>
          </w:p>
          <w:p>
            <w:pPr>
              <w:pStyle w:val="TableParagraph"/>
              <w:spacing w:line="273" w:lineRule="auto" w:before="7"/>
              <w:ind w:left="144" w:right="640" w:firstLine="420"/>
              <w:jc w:val="both"/>
              <w:rPr>
                <w:sz w:val="21"/>
              </w:rPr>
            </w:pPr>
            <w:r>
              <w:rPr>
                <w:sz w:val="21"/>
              </w:rPr>
              <w:t>1.有脑膜炎或脑炎并发症，且导致意识障碍或瘫痪的临床表现及实验室检查证据；</w:t>
            </w:r>
          </w:p>
          <w:p>
            <w:pPr>
              <w:pStyle w:val="TableParagraph"/>
              <w:spacing w:before="7"/>
              <w:rPr>
                <w:sz w:val="21"/>
              </w:rPr>
            </w:pPr>
            <w:r>
              <w:rPr>
                <w:sz w:val="21"/>
              </w:rPr>
              <w:t>2.有肺炎或肺水肿并发症，且导致呼吸衰竭的临床表现及实验室检查证据；</w:t>
            </w:r>
          </w:p>
          <w:p>
            <w:pPr>
              <w:pStyle w:val="TableParagraph"/>
              <w:spacing w:line="273" w:lineRule="auto" w:before="37"/>
              <w:ind w:left="144" w:right="640" w:firstLine="420"/>
              <w:jc w:val="both"/>
              <w:rPr>
                <w:sz w:val="21"/>
              </w:rPr>
            </w:pPr>
            <w:r>
              <w:rPr>
                <w:sz w:val="21"/>
              </w:rPr>
              <w:t>3.有心肌炎并发症，且导致心脏扩大或心力衰竭的临床表现及实验室检查证据。</w:t>
            </w:r>
          </w:p>
        </w:tc>
      </w:tr>
      <w:tr>
        <w:trPr>
          <w:trHeight w:val="1017" w:hRule="atLeast"/>
        </w:trPr>
        <w:tc>
          <w:tcPr>
            <w:tcW w:w="1016" w:type="dxa"/>
          </w:tcPr>
          <w:p>
            <w:pPr>
              <w:pStyle w:val="TableParagraph"/>
              <w:ind w:left="200"/>
              <w:rPr>
                <w:b/>
                <w:sz w:val="21"/>
              </w:rPr>
            </w:pPr>
            <w:r>
              <w:rPr>
                <w:b/>
                <w:sz w:val="21"/>
              </w:rPr>
              <w:t>6.6.80</w:t>
            </w:r>
          </w:p>
        </w:tc>
        <w:tc>
          <w:tcPr>
            <w:tcW w:w="1169" w:type="dxa"/>
          </w:tcPr>
          <w:p>
            <w:pPr>
              <w:pStyle w:val="TableParagraph"/>
              <w:spacing w:line="312" w:lineRule="auto" w:before="166"/>
              <w:ind w:left="180" w:right="141"/>
              <w:rPr>
                <w:b/>
                <w:sz w:val="21"/>
              </w:rPr>
            </w:pPr>
            <w:r>
              <w:rPr>
                <w:b/>
                <w:sz w:val="21"/>
              </w:rPr>
              <w:t>严重面部烧伤</w:t>
            </w:r>
          </w:p>
        </w:tc>
        <w:tc>
          <w:tcPr>
            <w:tcW w:w="8144" w:type="dxa"/>
          </w:tcPr>
          <w:p>
            <w:pPr>
              <w:pStyle w:val="TableParagraph"/>
              <w:spacing w:line="273" w:lineRule="auto"/>
              <w:ind w:left="144" w:right="436" w:firstLine="420"/>
              <w:rPr>
                <w:sz w:val="21"/>
              </w:rPr>
            </w:pPr>
            <w:r>
              <w:rPr>
                <w:sz w:val="21"/>
              </w:rPr>
              <w:t>指烧伤程度为Ⅲ度，且Ⅲ度烧伤的面积达到面部表面积的80％或者80％以上。体表面积根据《中国新九分法》计算。</w:t>
            </w:r>
          </w:p>
        </w:tc>
      </w:tr>
      <w:tr>
        <w:trPr>
          <w:trHeight w:val="2820" w:hRule="atLeast"/>
        </w:trPr>
        <w:tc>
          <w:tcPr>
            <w:tcW w:w="1016" w:type="dxa"/>
          </w:tcPr>
          <w:p>
            <w:pPr>
              <w:pStyle w:val="TableParagraph"/>
              <w:spacing w:before="154"/>
              <w:ind w:left="200"/>
              <w:rPr>
                <w:b/>
                <w:sz w:val="21"/>
              </w:rPr>
            </w:pPr>
            <w:r>
              <w:rPr>
                <w:b/>
                <w:sz w:val="21"/>
              </w:rPr>
              <w:t>6.6.81</w:t>
            </w:r>
          </w:p>
        </w:tc>
        <w:tc>
          <w:tcPr>
            <w:tcW w:w="1169" w:type="dxa"/>
          </w:tcPr>
          <w:p>
            <w:pPr>
              <w:pStyle w:val="TableParagraph"/>
              <w:spacing w:line="273" w:lineRule="auto" w:before="154"/>
              <w:ind w:left="180" w:right="141"/>
              <w:rPr>
                <w:b/>
                <w:sz w:val="21"/>
              </w:rPr>
            </w:pPr>
            <w:r>
              <w:rPr>
                <w:b/>
                <w:sz w:val="21"/>
              </w:rPr>
              <w:t>器官移植导致的</w:t>
            </w:r>
          </w:p>
          <w:p>
            <w:pPr>
              <w:pStyle w:val="TableParagraph"/>
              <w:spacing w:before="7"/>
              <w:ind w:left="180"/>
              <w:rPr>
                <w:b/>
                <w:sz w:val="21"/>
              </w:rPr>
            </w:pPr>
            <w:r>
              <w:rPr>
                <w:b/>
                <w:sz w:val="21"/>
              </w:rPr>
              <w:t>HIV 感染</w:t>
            </w:r>
          </w:p>
        </w:tc>
        <w:tc>
          <w:tcPr>
            <w:tcW w:w="8144" w:type="dxa"/>
          </w:tcPr>
          <w:p>
            <w:pPr>
              <w:pStyle w:val="TableParagraph"/>
              <w:spacing w:before="154"/>
              <w:rPr>
                <w:sz w:val="21"/>
              </w:rPr>
            </w:pPr>
            <w:r>
              <w:rPr>
                <w:spacing w:val="-3"/>
                <w:w w:val="100"/>
                <w:sz w:val="21"/>
              </w:rPr>
              <w:t>指因进行器官移植而感染上人类免疫缺陷病毒</w:t>
            </w:r>
            <w:r>
              <w:rPr>
                <w:w w:val="100"/>
                <w:sz w:val="21"/>
              </w:rPr>
              <w:t>（H</w:t>
            </w:r>
            <w:r>
              <w:rPr>
                <w:spacing w:val="-3"/>
                <w:w w:val="100"/>
                <w:sz w:val="21"/>
              </w:rPr>
              <w:t>IV</w:t>
            </w:r>
            <w:r>
              <w:rPr>
                <w:spacing w:val="-106"/>
                <w:w w:val="100"/>
                <w:sz w:val="21"/>
              </w:rPr>
              <w:t>）</w:t>
            </w:r>
            <w:r>
              <w:rPr>
                <w:spacing w:val="-3"/>
                <w:w w:val="100"/>
                <w:sz w:val="21"/>
              </w:rPr>
              <w:t>，且须满足下列全部条件：</w:t>
            </w:r>
          </w:p>
          <w:p>
            <w:pPr>
              <w:pStyle w:val="TableParagraph"/>
              <w:spacing w:line="273" w:lineRule="auto" w:before="36"/>
              <w:ind w:left="144" w:right="220" w:firstLine="420"/>
              <w:rPr>
                <w:sz w:val="21"/>
              </w:rPr>
            </w:pPr>
            <w:r>
              <w:rPr>
                <w:sz w:val="21"/>
              </w:rPr>
              <w:t>1.在保障起始日或复效日之后，被保险人因治疗必需而实施器官移植，并且因器官移植而感染人类免疫缺陷病毒；</w:t>
            </w:r>
          </w:p>
          <w:p>
            <w:pPr>
              <w:pStyle w:val="TableParagraph"/>
              <w:spacing w:line="273" w:lineRule="auto" w:before="7"/>
              <w:ind w:left="144" w:right="220" w:firstLine="420"/>
              <w:rPr>
                <w:sz w:val="21"/>
              </w:rPr>
            </w:pPr>
            <w:r>
              <w:rPr>
                <w:sz w:val="21"/>
              </w:rPr>
              <w:t>2.提供器官移植治疗的器官移植中心或医院出具该项器官移植感染，属于医疗责任事故的报告，或者法院终审裁定为医疗责任并且不准上诉；</w:t>
            </w:r>
          </w:p>
          <w:p>
            <w:pPr>
              <w:pStyle w:val="TableParagraph"/>
              <w:spacing w:before="8"/>
              <w:rPr>
                <w:sz w:val="21"/>
              </w:rPr>
            </w:pPr>
            <w:r>
              <w:rPr>
                <w:sz w:val="21"/>
              </w:rPr>
              <w:t>3.提供器官移植治疗的器官移植中心或医院必须拥有合法经营执照；</w:t>
            </w:r>
          </w:p>
          <w:p>
            <w:pPr>
              <w:pStyle w:val="TableParagraph"/>
              <w:spacing w:line="273" w:lineRule="auto" w:before="37"/>
              <w:ind w:left="144" w:right="197" w:firstLine="422"/>
              <w:rPr>
                <w:b/>
                <w:sz w:val="21"/>
              </w:rPr>
            </w:pPr>
            <w:r>
              <w:rPr>
                <w:b/>
                <w:sz w:val="21"/>
              </w:rPr>
              <w:t>本公司承担本项疾病责任不受本合同责任免除中“被保险人感染艾滋病病毒或患艾滋病”的限制。</w:t>
            </w:r>
          </w:p>
        </w:tc>
      </w:tr>
      <w:tr>
        <w:trPr>
          <w:trHeight w:val="2290" w:hRule="atLeast"/>
        </w:trPr>
        <w:tc>
          <w:tcPr>
            <w:tcW w:w="1016" w:type="dxa"/>
          </w:tcPr>
          <w:p>
            <w:pPr>
              <w:pStyle w:val="TableParagraph"/>
              <w:ind w:left="200"/>
              <w:rPr>
                <w:b/>
                <w:sz w:val="21"/>
              </w:rPr>
            </w:pPr>
            <w:r>
              <w:rPr>
                <w:b/>
                <w:sz w:val="21"/>
              </w:rPr>
              <w:t>6.6.82</w:t>
            </w:r>
          </w:p>
        </w:tc>
        <w:tc>
          <w:tcPr>
            <w:tcW w:w="1169" w:type="dxa"/>
          </w:tcPr>
          <w:p>
            <w:pPr>
              <w:pStyle w:val="TableParagraph"/>
              <w:spacing w:line="273" w:lineRule="auto"/>
              <w:ind w:left="180" w:right="141"/>
              <w:rPr>
                <w:b/>
                <w:sz w:val="21"/>
              </w:rPr>
            </w:pPr>
            <w:r>
              <w:rPr>
                <w:b/>
                <w:sz w:val="21"/>
              </w:rPr>
              <w:t>严重结核性脊髓炎</w:t>
            </w:r>
          </w:p>
        </w:tc>
        <w:tc>
          <w:tcPr>
            <w:tcW w:w="8144" w:type="dxa"/>
          </w:tcPr>
          <w:p>
            <w:pPr>
              <w:pStyle w:val="TableParagraph"/>
              <w:spacing w:line="273" w:lineRule="auto"/>
              <w:ind w:left="144" w:right="220" w:firstLine="420"/>
              <w:rPr>
                <w:sz w:val="21"/>
              </w:rPr>
            </w:pPr>
            <w:r>
              <w:rPr>
                <w:sz w:val="21"/>
              </w:rPr>
              <w:t>指因结核杆菌引起的脊髓炎，导致永久性神经系统功能中度障碍，即：疾病首次确诊 180 天后，仍遗留下列一种或一种以上障碍：</w:t>
            </w:r>
          </w:p>
          <w:p>
            <w:pPr>
              <w:pStyle w:val="TableParagraph"/>
              <w:spacing w:before="7"/>
              <w:rPr>
                <w:sz w:val="21"/>
              </w:rPr>
            </w:pPr>
            <w:r>
              <w:rPr>
                <w:sz w:val="21"/>
              </w:rPr>
              <w:t>1.一肢或一肢以上肢体机能完全丧失；</w:t>
            </w:r>
          </w:p>
          <w:p>
            <w:pPr>
              <w:pStyle w:val="TableParagraph"/>
              <w:spacing w:line="273" w:lineRule="auto" w:before="37"/>
              <w:ind w:left="144" w:right="220" w:firstLine="420"/>
              <w:rPr>
                <w:sz w:val="21"/>
              </w:rPr>
            </w:pPr>
            <w:r>
              <w:rPr>
                <w:sz w:val="21"/>
              </w:rPr>
              <w:t>2.自主生活能力部分丧失，无法独立完成六项基本日常生活活动中的三项或三项以上。</w:t>
            </w:r>
          </w:p>
          <w:p>
            <w:pPr>
              <w:pStyle w:val="TableParagraph"/>
              <w:spacing w:line="312" w:lineRule="exact" w:before="3"/>
              <w:ind w:left="144" w:right="197" w:firstLine="422"/>
              <w:rPr>
                <w:b/>
                <w:sz w:val="21"/>
              </w:rPr>
            </w:pPr>
            <w:r>
              <w:rPr>
                <w:b/>
                <w:sz w:val="21"/>
              </w:rPr>
              <w:t>该诊断必须由本公司认可医院的神经专科医生证实，并必须由适当的检查证明为结核性脊髓炎。</w:t>
            </w:r>
          </w:p>
        </w:tc>
      </w:tr>
    </w:tbl>
    <w:p>
      <w:pPr>
        <w:spacing w:after="0" w:line="312" w:lineRule="exact"/>
        <w:rPr>
          <w:sz w:val="21"/>
        </w:rPr>
        <w:sectPr>
          <w:pgSz w:w="11910" w:h="16840"/>
          <w:pgMar w:header="871" w:footer="992" w:top="1060" w:bottom="1180" w:left="680" w:right="680"/>
        </w:sectPr>
      </w:pPr>
    </w:p>
    <w:p>
      <w:pPr>
        <w:pStyle w:val="BodyText"/>
        <w:rPr>
          <w:rFonts w:ascii="Times New Roman"/>
          <w:sz w:val="2"/>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
        <w:gridCol w:w="1206"/>
        <w:gridCol w:w="8120"/>
      </w:tblGrid>
      <w:tr>
        <w:trPr>
          <w:trHeight w:val="1372" w:hRule="atLeast"/>
        </w:trPr>
        <w:tc>
          <w:tcPr>
            <w:tcW w:w="1016" w:type="dxa"/>
            <w:tcBorders>
              <w:top w:val="single" w:sz="18" w:space="0" w:color="000000"/>
            </w:tcBorders>
          </w:tcPr>
          <w:p>
            <w:pPr>
              <w:pStyle w:val="TableParagraph"/>
              <w:spacing w:before="2"/>
              <w:ind w:left="0"/>
              <w:rPr>
                <w:rFonts w:ascii="Times New Roman"/>
                <w:sz w:val="23"/>
              </w:rPr>
            </w:pPr>
          </w:p>
          <w:p>
            <w:pPr>
              <w:pStyle w:val="TableParagraph"/>
              <w:spacing w:before="0"/>
              <w:ind w:left="200"/>
              <w:rPr>
                <w:b/>
                <w:sz w:val="21"/>
              </w:rPr>
            </w:pPr>
            <w:r>
              <w:rPr>
                <w:b/>
                <w:sz w:val="21"/>
              </w:rPr>
              <w:t>6.6.83</w:t>
            </w:r>
          </w:p>
        </w:tc>
        <w:tc>
          <w:tcPr>
            <w:tcW w:w="1206" w:type="dxa"/>
            <w:tcBorders>
              <w:top w:val="single" w:sz="18" w:space="0" w:color="000000"/>
            </w:tcBorders>
          </w:tcPr>
          <w:p>
            <w:pPr>
              <w:pStyle w:val="TableParagraph"/>
              <w:spacing w:before="2"/>
              <w:ind w:left="0"/>
              <w:rPr>
                <w:rFonts w:ascii="Times New Roman"/>
                <w:sz w:val="23"/>
              </w:rPr>
            </w:pPr>
          </w:p>
          <w:p>
            <w:pPr>
              <w:pStyle w:val="TableParagraph"/>
              <w:spacing w:line="273" w:lineRule="auto" w:before="0"/>
              <w:ind w:left="180" w:right="178"/>
              <w:rPr>
                <w:b/>
                <w:sz w:val="21"/>
              </w:rPr>
            </w:pPr>
            <w:r>
              <w:rPr>
                <w:b/>
                <w:sz w:val="21"/>
              </w:rPr>
              <w:t>继发性肺动脉高压</w:t>
            </w:r>
          </w:p>
        </w:tc>
        <w:tc>
          <w:tcPr>
            <w:tcW w:w="8120" w:type="dxa"/>
            <w:tcBorders>
              <w:top w:val="single" w:sz="18" w:space="0" w:color="000000"/>
            </w:tcBorders>
          </w:tcPr>
          <w:p>
            <w:pPr>
              <w:pStyle w:val="TableParagraph"/>
              <w:spacing w:before="2"/>
              <w:ind w:left="0"/>
              <w:rPr>
                <w:rFonts w:ascii="Times New Roman"/>
                <w:sz w:val="23"/>
              </w:rPr>
            </w:pPr>
          </w:p>
          <w:p>
            <w:pPr>
              <w:pStyle w:val="TableParagraph"/>
              <w:spacing w:line="273" w:lineRule="auto" w:before="0"/>
              <w:ind w:left="107" w:right="197" w:firstLine="420"/>
              <w:jc w:val="both"/>
              <w:rPr>
                <w:sz w:val="21"/>
              </w:rPr>
            </w:pPr>
            <w:r>
              <w:rPr>
                <w:spacing w:val="-3"/>
                <w:sz w:val="21"/>
              </w:rPr>
              <w:t>指继发性肺动脉压力持续增高，导致右心室肥厚，已经造成永久不可逆性的体力</w:t>
            </w:r>
            <w:r>
              <w:rPr>
                <w:spacing w:val="-8"/>
                <w:sz w:val="21"/>
              </w:rPr>
              <w:t>活动能力受限，达到美国纽约心脏病学会心功能状态分级 </w:t>
            </w:r>
            <w:r>
              <w:rPr>
                <w:sz w:val="21"/>
              </w:rPr>
              <w:t>IV</w:t>
            </w:r>
            <w:r>
              <w:rPr>
                <w:spacing w:val="-9"/>
                <w:sz w:val="21"/>
              </w:rPr>
              <w:t> 级。诊断需要有心脏科专</w:t>
            </w:r>
            <w:r>
              <w:rPr>
                <w:spacing w:val="-6"/>
                <w:sz w:val="21"/>
              </w:rPr>
              <w:t>家确诊，并且心导管检查报告显示静息状态下肺动脉平均压超过 </w:t>
            </w:r>
            <w:r>
              <w:rPr>
                <w:sz w:val="21"/>
              </w:rPr>
              <w:t>30mmHg。</w:t>
            </w:r>
          </w:p>
        </w:tc>
      </w:tr>
      <w:tr>
        <w:trPr>
          <w:trHeight w:val="1248" w:hRule="atLeast"/>
        </w:trPr>
        <w:tc>
          <w:tcPr>
            <w:tcW w:w="1016" w:type="dxa"/>
          </w:tcPr>
          <w:p>
            <w:pPr>
              <w:pStyle w:val="TableParagraph"/>
              <w:ind w:left="200"/>
              <w:rPr>
                <w:b/>
                <w:sz w:val="21"/>
              </w:rPr>
            </w:pPr>
            <w:r>
              <w:rPr>
                <w:b/>
                <w:sz w:val="21"/>
              </w:rPr>
              <w:t>6.6.84</w:t>
            </w:r>
          </w:p>
        </w:tc>
        <w:tc>
          <w:tcPr>
            <w:tcW w:w="1206" w:type="dxa"/>
          </w:tcPr>
          <w:p>
            <w:pPr>
              <w:pStyle w:val="TableParagraph"/>
              <w:spacing w:line="273" w:lineRule="auto"/>
              <w:ind w:left="180" w:right="178"/>
              <w:jc w:val="both"/>
              <w:rPr>
                <w:b/>
                <w:sz w:val="21"/>
              </w:rPr>
            </w:pPr>
            <w:r>
              <w:rPr>
                <w:b/>
                <w:sz w:val="21"/>
              </w:rPr>
              <w:t>婴儿进行性脊肌萎缩症</w:t>
            </w:r>
          </w:p>
        </w:tc>
        <w:tc>
          <w:tcPr>
            <w:tcW w:w="8120" w:type="dxa"/>
          </w:tcPr>
          <w:p>
            <w:pPr>
              <w:pStyle w:val="TableParagraph"/>
              <w:spacing w:line="273" w:lineRule="auto"/>
              <w:ind w:left="107" w:right="233" w:firstLine="420"/>
              <w:rPr>
                <w:sz w:val="21"/>
              </w:rPr>
            </w:pPr>
            <w:r>
              <w:rPr>
                <w:sz w:val="21"/>
              </w:rPr>
              <w:t>该病是累及脊髓前角细胞及延髓运动核的神经元退行性变性病。在出生后两年内出现的脊髓和脑干颅神经前角细胞进行性机能障碍，伴随肌肉无力和延髓机能障碍。</w:t>
            </w:r>
          </w:p>
        </w:tc>
      </w:tr>
      <w:tr>
        <w:trPr>
          <w:trHeight w:val="1248" w:hRule="atLeast"/>
        </w:trPr>
        <w:tc>
          <w:tcPr>
            <w:tcW w:w="1016" w:type="dxa"/>
          </w:tcPr>
          <w:p>
            <w:pPr>
              <w:pStyle w:val="TableParagraph"/>
              <w:ind w:left="200"/>
              <w:rPr>
                <w:b/>
                <w:sz w:val="21"/>
              </w:rPr>
            </w:pPr>
            <w:r>
              <w:rPr>
                <w:b/>
                <w:sz w:val="21"/>
              </w:rPr>
              <w:t>6.6.85</w:t>
            </w:r>
          </w:p>
        </w:tc>
        <w:tc>
          <w:tcPr>
            <w:tcW w:w="1206" w:type="dxa"/>
          </w:tcPr>
          <w:p>
            <w:pPr>
              <w:pStyle w:val="TableParagraph"/>
              <w:spacing w:line="273" w:lineRule="auto"/>
              <w:ind w:left="180" w:right="178"/>
              <w:jc w:val="both"/>
              <w:rPr>
                <w:b/>
                <w:sz w:val="21"/>
              </w:rPr>
            </w:pPr>
            <w:r>
              <w:rPr>
                <w:b/>
                <w:sz w:val="21"/>
              </w:rPr>
              <w:t>永久性脑脊液分流术</w:t>
            </w:r>
          </w:p>
        </w:tc>
        <w:tc>
          <w:tcPr>
            <w:tcW w:w="8120" w:type="dxa"/>
          </w:tcPr>
          <w:p>
            <w:pPr>
              <w:pStyle w:val="TableParagraph"/>
              <w:spacing w:line="273" w:lineRule="auto"/>
              <w:ind w:left="107" w:right="233" w:firstLine="420"/>
              <w:rPr>
                <w:sz w:val="21"/>
              </w:rPr>
            </w:pPr>
            <w:r>
              <w:rPr>
                <w:spacing w:val="-3"/>
                <w:sz w:val="21"/>
              </w:rPr>
              <w:t>指因先天性脑积水（即先天性的脑脊液循环或吸收功能障碍，使脑脊液大量积滞</w:t>
            </w:r>
            <w:r>
              <w:rPr>
                <w:spacing w:val="-3"/>
                <w:w w:val="100"/>
                <w:sz w:val="21"/>
              </w:rPr>
              <w:t>而导致脑室或蛛网膜下腔扩大</w:t>
            </w:r>
            <w:r>
              <w:rPr>
                <w:spacing w:val="-108"/>
                <w:w w:val="100"/>
                <w:sz w:val="21"/>
              </w:rPr>
              <w:t>）</w:t>
            </w:r>
            <w:r>
              <w:rPr>
                <w:spacing w:val="-3"/>
                <w:w w:val="100"/>
                <w:sz w:val="21"/>
              </w:rPr>
              <w:t>，而接受的永久性脑脊液分流手术。</w:t>
            </w:r>
          </w:p>
        </w:tc>
      </w:tr>
      <w:tr>
        <w:trPr>
          <w:trHeight w:val="1248" w:hRule="atLeast"/>
        </w:trPr>
        <w:tc>
          <w:tcPr>
            <w:tcW w:w="1016" w:type="dxa"/>
          </w:tcPr>
          <w:p>
            <w:pPr>
              <w:pStyle w:val="TableParagraph"/>
              <w:spacing w:before="0"/>
              <w:ind w:left="0"/>
              <w:rPr>
                <w:rFonts w:ascii="Times New Roman"/>
                <w:sz w:val="20"/>
              </w:rPr>
            </w:pPr>
          </w:p>
        </w:tc>
        <w:tc>
          <w:tcPr>
            <w:tcW w:w="1206" w:type="dxa"/>
          </w:tcPr>
          <w:p>
            <w:pPr>
              <w:pStyle w:val="TableParagraph"/>
              <w:spacing w:before="0"/>
              <w:ind w:left="0"/>
              <w:rPr>
                <w:rFonts w:ascii="Times New Roman"/>
                <w:sz w:val="20"/>
              </w:rPr>
            </w:pPr>
          </w:p>
        </w:tc>
        <w:tc>
          <w:tcPr>
            <w:tcW w:w="8120" w:type="dxa"/>
          </w:tcPr>
          <w:p>
            <w:pPr>
              <w:pStyle w:val="TableParagraph"/>
              <w:spacing w:before="143"/>
              <w:ind w:left="520"/>
              <w:rPr>
                <w:b/>
                <w:sz w:val="21"/>
              </w:rPr>
            </w:pPr>
            <w:r>
              <w:rPr>
                <w:b/>
                <w:sz w:val="21"/>
              </w:rPr>
              <w:t>以上第 1 至 25 种疾病的名称和释义为中国保险行业协会制定的《重大疾病保</w:t>
            </w:r>
          </w:p>
          <w:p>
            <w:pPr>
              <w:pStyle w:val="TableParagraph"/>
              <w:spacing w:line="273" w:lineRule="auto" w:before="37"/>
              <w:ind w:left="107" w:right="629"/>
              <w:rPr>
                <w:b/>
                <w:sz w:val="21"/>
              </w:rPr>
            </w:pPr>
            <w:r>
              <w:rPr>
                <w:b/>
                <w:spacing w:val="-6"/>
                <w:sz w:val="21"/>
              </w:rPr>
              <w:t>险的疾病定义使用规范》中的疾病名称和释义。第 </w:t>
            </w:r>
            <w:r>
              <w:rPr>
                <w:b/>
                <w:sz w:val="21"/>
              </w:rPr>
              <w:t>26</w:t>
            </w:r>
            <w:r>
              <w:rPr>
                <w:b/>
                <w:spacing w:val="-27"/>
                <w:sz w:val="21"/>
              </w:rPr>
              <w:t> 种至 </w:t>
            </w:r>
            <w:r>
              <w:rPr>
                <w:b/>
                <w:sz w:val="21"/>
              </w:rPr>
              <w:t>85</w:t>
            </w:r>
            <w:r>
              <w:rPr>
                <w:b/>
                <w:spacing w:val="-8"/>
                <w:sz w:val="21"/>
              </w:rPr>
              <w:t> 种疾病为本公司增加的疾病类型。</w:t>
            </w:r>
          </w:p>
        </w:tc>
      </w:tr>
      <w:tr>
        <w:trPr>
          <w:trHeight w:val="1248" w:hRule="atLeast"/>
        </w:trPr>
        <w:tc>
          <w:tcPr>
            <w:tcW w:w="1016" w:type="dxa"/>
          </w:tcPr>
          <w:p>
            <w:pPr>
              <w:pStyle w:val="TableParagraph"/>
              <w:ind w:left="200"/>
              <w:rPr>
                <w:b/>
                <w:sz w:val="21"/>
              </w:rPr>
            </w:pPr>
            <w:r>
              <w:rPr>
                <w:b/>
                <w:sz w:val="21"/>
              </w:rPr>
              <w:t>6.7</w:t>
            </w:r>
          </w:p>
        </w:tc>
        <w:tc>
          <w:tcPr>
            <w:tcW w:w="1206" w:type="dxa"/>
          </w:tcPr>
          <w:p>
            <w:pPr>
              <w:pStyle w:val="TableParagraph"/>
              <w:spacing w:line="273" w:lineRule="auto"/>
              <w:ind w:left="180" w:right="178"/>
              <w:jc w:val="both"/>
              <w:rPr>
                <w:b/>
                <w:sz w:val="21"/>
              </w:rPr>
            </w:pPr>
            <w:r>
              <w:rPr>
                <w:b/>
                <w:sz w:val="21"/>
              </w:rPr>
              <w:t>本保险实际交纳的保险费</w:t>
            </w:r>
          </w:p>
        </w:tc>
        <w:tc>
          <w:tcPr>
            <w:tcW w:w="8120" w:type="dxa"/>
          </w:tcPr>
          <w:p>
            <w:pPr>
              <w:pStyle w:val="TableParagraph"/>
              <w:spacing w:line="273" w:lineRule="auto"/>
              <w:ind w:left="107" w:right="653" w:firstLine="420"/>
              <w:rPr>
                <w:sz w:val="21"/>
              </w:rPr>
            </w:pPr>
            <w:r>
              <w:rPr>
                <w:sz w:val="21"/>
              </w:rPr>
              <w:t>指您依据本合同已经向本公司交纳的保险费；如本合同发生过减保情形，则实际交纳的保险费为扣除每次减保所对应的保险费后的余额。</w:t>
            </w:r>
          </w:p>
        </w:tc>
      </w:tr>
      <w:tr>
        <w:trPr>
          <w:trHeight w:val="936" w:hRule="atLeast"/>
        </w:trPr>
        <w:tc>
          <w:tcPr>
            <w:tcW w:w="1016" w:type="dxa"/>
          </w:tcPr>
          <w:p>
            <w:pPr>
              <w:pStyle w:val="TableParagraph"/>
              <w:ind w:left="200"/>
              <w:rPr>
                <w:b/>
                <w:sz w:val="21"/>
              </w:rPr>
            </w:pPr>
            <w:r>
              <w:rPr>
                <w:b/>
                <w:sz w:val="21"/>
              </w:rPr>
              <w:t>6.8</w:t>
            </w:r>
          </w:p>
        </w:tc>
        <w:tc>
          <w:tcPr>
            <w:tcW w:w="1206" w:type="dxa"/>
          </w:tcPr>
          <w:p>
            <w:pPr>
              <w:pStyle w:val="TableParagraph"/>
              <w:ind w:left="180"/>
              <w:rPr>
                <w:b/>
                <w:sz w:val="21"/>
              </w:rPr>
            </w:pPr>
            <w:r>
              <w:rPr>
                <w:b/>
                <w:sz w:val="21"/>
              </w:rPr>
              <w:t>意外伤害</w:t>
            </w:r>
          </w:p>
        </w:tc>
        <w:tc>
          <w:tcPr>
            <w:tcW w:w="8120" w:type="dxa"/>
          </w:tcPr>
          <w:p>
            <w:pPr>
              <w:pStyle w:val="TableParagraph"/>
              <w:spacing w:line="273" w:lineRule="auto"/>
              <w:ind w:left="107" w:right="653" w:firstLine="420"/>
              <w:rPr>
                <w:sz w:val="21"/>
              </w:rPr>
            </w:pPr>
            <w:r>
              <w:rPr>
                <w:sz w:val="21"/>
              </w:rPr>
              <w:t>指以外来的、突发的、非本意的、非疾病的客观事件为直接且主要原因导致的身体伤害。</w:t>
            </w:r>
          </w:p>
        </w:tc>
      </w:tr>
      <w:tr>
        <w:trPr>
          <w:trHeight w:val="1247" w:hRule="atLeast"/>
        </w:trPr>
        <w:tc>
          <w:tcPr>
            <w:tcW w:w="1016" w:type="dxa"/>
          </w:tcPr>
          <w:p>
            <w:pPr>
              <w:pStyle w:val="TableParagraph"/>
              <w:ind w:left="200"/>
              <w:rPr>
                <w:b/>
                <w:sz w:val="21"/>
              </w:rPr>
            </w:pPr>
            <w:r>
              <w:rPr>
                <w:b/>
                <w:sz w:val="21"/>
              </w:rPr>
              <w:t>6.9</w:t>
            </w:r>
          </w:p>
        </w:tc>
        <w:tc>
          <w:tcPr>
            <w:tcW w:w="1206" w:type="dxa"/>
          </w:tcPr>
          <w:p>
            <w:pPr>
              <w:pStyle w:val="TableParagraph"/>
              <w:spacing w:line="273" w:lineRule="auto"/>
              <w:ind w:left="180" w:right="178"/>
              <w:jc w:val="both"/>
              <w:rPr>
                <w:b/>
                <w:sz w:val="21"/>
              </w:rPr>
            </w:pPr>
            <w:r>
              <w:rPr>
                <w:b/>
                <w:sz w:val="21"/>
              </w:rPr>
              <w:t>本合同所指的轻症疾病</w:t>
            </w:r>
          </w:p>
        </w:tc>
        <w:tc>
          <w:tcPr>
            <w:tcW w:w="8120" w:type="dxa"/>
          </w:tcPr>
          <w:p>
            <w:pPr>
              <w:pStyle w:val="TableParagraph"/>
              <w:spacing w:line="273" w:lineRule="auto"/>
              <w:ind w:left="107" w:right="653" w:firstLine="420"/>
              <w:rPr>
                <w:sz w:val="21"/>
              </w:rPr>
            </w:pPr>
            <w:r>
              <w:rPr>
                <w:spacing w:val="-3"/>
                <w:w w:val="100"/>
                <w:sz w:val="21"/>
              </w:rPr>
              <w:t>本合同所指的轻症疾病（</w:t>
            </w:r>
            <w:r>
              <w:rPr>
                <w:w w:val="100"/>
                <w:sz w:val="21"/>
              </w:rPr>
              <w:t>共</w:t>
            </w:r>
            <w:r>
              <w:rPr>
                <w:spacing w:val="-52"/>
                <w:sz w:val="21"/>
              </w:rPr>
              <w:t> </w:t>
            </w:r>
            <w:r>
              <w:rPr>
                <w:w w:val="100"/>
                <w:sz w:val="21"/>
              </w:rPr>
              <w:t>45</w:t>
            </w:r>
            <w:r>
              <w:rPr>
                <w:spacing w:val="-55"/>
                <w:sz w:val="21"/>
              </w:rPr>
              <w:t> </w:t>
            </w:r>
            <w:r>
              <w:rPr>
                <w:w w:val="100"/>
                <w:sz w:val="21"/>
              </w:rPr>
              <w:t>种</w:t>
            </w:r>
            <w:r>
              <w:rPr>
                <w:spacing w:val="-106"/>
                <w:w w:val="100"/>
                <w:sz w:val="21"/>
              </w:rPr>
              <w:t>）</w:t>
            </w:r>
            <w:r>
              <w:rPr>
                <w:spacing w:val="-3"/>
                <w:w w:val="100"/>
                <w:sz w:val="21"/>
              </w:rPr>
              <w:t>，是指符合下列定义的疾病、疾病状态或</w:t>
            </w:r>
            <w:r>
              <w:rPr>
                <w:spacing w:val="-3"/>
                <w:sz w:val="21"/>
              </w:rPr>
              <w:t>手术：</w:t>
            </w:r>
          </w:p>
        </w:tc>
      </w:tr>
      <w:tr>
        <w:trPr>
          <w:trHeight w:val="3439" w:hRule="atLeast"/>
        </w:trPr>
        <w:tc>
          <w:tcPr>
            <w:tcW w:w="1016" w:type="dxa"/>
          </w:tcPr>
          <w:p>
            <w:pPr>
              <w:pStyle w:val="TableParagraph"/>
              <w:ind w:left="200"/>
              <w:rPr>
                <w:b/>
                <w:sz w:val="21"/>
              </w:rPr>
            </w:pPr>
            <w:r>
              <w:rPr>
                <w:b/>
                <w:sz w:val="21"/>
              </w:rPr>
              <w:t>6.9.1</w:t>
            </w:r>
          </w:p>
        </w:tc>
        <w:tc>
          <w:tcPr>
            <w:tcW w:w="1206" w:type="dxa"/>
          </w:tcPr>
          <w:p>
            <w:pPr>
              <w:pStyle w:val="TableParagraph"/>
              <w:spacing w:line="273" w:lineRule="auto"/>
              <w:ind w:left="180" w:right="104"/>
              <w:jc w:val="both"/>
              <w:rPr>
                <w:b/>
                <w:sz w:val="21"/>
              </w:rPr>
            </w:pPr>
            <w:r>
              <w:rPr>
                <w:b/>
                <w:spacing w:val="15"/>
                <w:sz w:val="21"/>
              </w:rPr>
              <w:t>非危及生</w:t>
            </w:r>
            <w:r>
              <w:rPr>
                <w:b/>
                <w:spacing w:val="22"/>
                <w:sz w:val="21"/>
              </w:rPr>
              <w:t>命的</w:t>
            </w:r>
            <w:r>
              <w:rPr>
                <w:b/>
                <w:sz w:val="21"/>
              </w:rPr>
              <w:t>（</w:t>
            </w:r>
            <w:r>
              <w:rPr>
                <w:b/>
                <w:spacing w:val="-40"/>
                <w:sz w:val="21"/>
              </w:rPr>
              <w:t> 极</w:t>
            </w:r>
            <w:r>
              <w:rPr>
                <w:b/>
                <w:spacing w:val="21"/>
                <w:sz w:val="21"/>
              </w:rPr>
              <w:t>早期的</w:t>
            </w:r>
            <w:r>
              <w:rPr>
                <w:b/>
                <w:sz w:val="21"/>
              </w:rPr>
              <w:t>） 恶性病变</w:t>
            </w:r>
          </w:p>
        </w:tc>
        <w:tc>
          <w:tcPr>
            <w:tcW w:w="8120" w:type="dxa"/>
          </w:tcPr>
          <w:p>
            <w:pPr>
              <w:pStyle w:val="TableParagraph"/>
              <w:spacing w:line="273" w:lineRule="auto"/>
              <w:ind w:left="107" w:right="553" w:firstLine="420"/>
              <w:rPr>
                <w:sz w:val="21"/>
              </w:rPr>
            </w:pPr>
            <w:r>
              <w:rPr>
                <w:sz w:val="21"/>
              </w:rPr>
              <w:t>指被保险人生前经组织病理学检查被明确诊断为下列恶性病变，并且接受了相应的治疗。</w:t>
            </w:r>
          </w:p>
          <w:p>
            <w:pPr>
              <w:pStyle w:val="TableParagraph"/>
              <w:spacing w:before="7"/>
              <w:ind w:left="527"/>
              <w:rPr>
                <w:sz w:val="21"/>
              </w:rPr>
            </w:pPr>
            <w:r>
              <w:rPr>
                <w:sz w:val="21"/>
              </w:rPr>
              <w:t>1.</w:t>
            </w:r>
            <w:r>
              <w:rPr>
                <w:b/>
                <w:sz w:val="21"/>
              </w:rPr>
              <w:t>原位癌</w:t>
            </w:r>
            <w:r>
              <w:rPr>
                <w:sz w:val="21"/>
              </w:rPr>
              <w:t>；</w:t>
            </w:r>
          </w:p>
          <w:p>
            <w:pPr>
              <w:pStyle w:val="TableParagraph"/>
              <w:spacing w:before="37"/>
              <w:ind w:left="527"/>
              <w:rPr>
                <w:sz w:val="21"/>
              </w:rPr>
            </w:pPr>
            <w:r>
              <w:rPr>
                <w:sz w:val="21"/>
              </w:rPr>
              <w:t>2.相当于Binet 分期方案A期程度的慢性淋巴细胞白血病；</w:t>
            </w:r>
          </w:p>
          <w:p>
            <w:pPr>
              <w:pStyle w:val="TableParagraph"/>
              <w:spacing w:before="37"/>
              <w:ind w:left="527"/>
              <w:rPr>
                <w:sz w:val="21"/>
              </w:rPr>
            </w:pPr>
            <w:r>
              <w:rPr>
                <w:sz w:val="21"/>
              </w:rPr>
              <w:t>3.相当于Ann Arbor 分期方案I期程度的何杰金氏病；</w:t>
            </w:r>
          </w:p>
          <w:p>
            <w:pPr>
              <w:pStyle w:val="TableParagraph"/>
              <w:spacing w:before="37"/>
              <w:ind w:left="527"/>
              <w:rPr>
                <w:sz w:val="21"/>
              </w:rPr>
            </w:pPr>
            <w:r>
              <w:rPr>
                <w:sz w:val="21"/>
              </w:rPr>
              <w:t>4.皮肤癌（不包括恶性黑色素瘤及已发生转移的皮肤癌）；</w:t>
            </w:r>
          </w:p>
          <w:p>
            <w:pPr>
              <w:pStyle w:val="TableParagraph"/>
              <w:spacing w:line="231" w:lineRule="exact" w:before="60"/>
              <w:ind w:left="527"/>
              <w:rPr>
                <w:sz w:val="21"/>
              </w:rPr>
            </w:pPr>
            <w:r>
              <w:rPr>
                <w:sz w:val="21"/>
              </w:rPr>
              <w:t>5.TNM 分期为 T N M 期或更轻分期的前列腺癌。</w:t>
            </w:r>
          </w:p>
          <w:p>
            <w:pPr>
              <w:pStyle w:val="TableParagraph"/>
              <w:spacing w:line="82" w:lineRule="exact" w:before="0"/>
              <w:ind w:left="1895"/>
              <w:rPr>
                <w:sz w:val="11"/>
              </w:rPr>
            </w:pPr>
            <w:r>
              <w:rPr>
                <w:sz w:val="11"/>
              </w:rPr>
              <w:t>1  0 0</w:t>
            </w:r>
          </w:p>
          <w:p>
            <w:pPr>
              <w:pStyle w:val="TableParagraph"/>
              <w:spacing w:line="257" w:lineRule="exact" w:before="0"/>
              <w:ind w:left="529"/>
              <w:rPr>
                <w:sz w:val="21"/>
              </w:rPr>
            </w:pPr>
            <w:r>
              <w:rPr>
                <w:b/>
                <w:sz w:val="21"/>
              </w:rPr>
              <w:t>原位癌：</w:t>
            </w:r>
            <w:r>
              <w:rPr>
                <w:sz w:val="21"/>
              </w:rPr>
              <w:t>指恶性细胞局限于上皮内尚未穿破基底膜浸润周围正常组织的癌细</w:t>
            </w:r>
          </w:p>
          <w:p>
            <w:pPr>
              <w:pStyle w:val="TableParagraph"/>
              <w:spacing w:line="273" w:lineRule="auto" w:before="36"/>
              <w:ind w:left="107" w:right="567"/>
              <w:rPr>
                <w:sz w:val="21"/>
              </w:rPr>
            </w:pPr>
            <w:r>
              <w:rPr>
                <w:sz w:val="21"/>
              </w:rPr>
              <w:t>胞新生物。原位癌必须经对固定活组织的组织病理学检查明确诊断。被保险人必须己经接受了针对原位癌病灶的积极治疗。</w:t>
            </w:r>
          </w:p>
        </w:tc>
      </w:tr>
      <w:tr>
        <w:trPr>
          <w:trHeight w:val="1248" w:hRule="atLeast"/>
        </w:trPr>
        <w:tc>
          <w:tcPr>
            <w:tcW w:w="1016" w:type="dxa"/>
          </w:tcPr>
          <w:p>
            <w:pPr>
              <w:pStyle w:val="TableParagraph"/>
              <w:ind w:left="200"/>
              <w:rPr>
                <w:b/>
                <w:sz w:val="21"/>
              </w:rPr>
            </w:pPr>
            <w:r>
              <w:rPr>
                <w:b/>
                <w:sz w:val="21"/>
              </w:rPr>
              <w:t>6.9.2</w:t>
            </w:r>
          </w:p>
        </w:tc>
        <w:tc>
          <w:tcPr>
            <w:tcW w:w="1206" w:type="dxa"/>
          </w:tcPr>
          <w:p>
            <w:pPr>
              <w:pStyle w:val="TableParagraph"/>
              <w:spacing w:line="273" w:lineRule="auto"/>
              <w:ind w:left="180" w:right="104"/>
              <w:rPr>
                <w:b/>
                <w:sz w:val="21"/>
              </w:rPr>
            </w:pPr>
            <w:r>
              <w:rPr>
                <w:b/>
                <w:sz w:val="21"/>
              </w:rPr>
              <w:t>冠状动脉介入手术</w:t>
            </w:r>
          </w:p>
        </w:tc>
        <w:tc>
          <w:tcPr>
            <w:tcW w:w="8120" w:type="dxa"/>
          </w:tcPr>
          <w:p>
            <w:pPr>
              <w:pStyle w:val="TableParagraph"/>
              <w:spacing w:line="273" w:lineRule="auto"/>
              <w:ind w:left="107" w:right="553" w:firstLine="420"/>
              <w:jc w:val="both"/>
              <w:rPr>
                <w:sz w:val="21"/>
              </w:rPr>
            </w:pPr>
            <w:r>
              <w:rPr>
                <w:sz w:val="21"/>
              </w:rPr>
              <w:t>指被保险人为了治疗明显的冠状动脉狭窄性疾病，首次实际实施了冠状动脉球囊扩张成形术、冠状动脉支架植入术、冠状动脉粥肿斑块切除术或激光冠状动脉成形术。</w:t>
            </w:r>
          </w:p>
        </w:tc>
      </w:tr>
      <w:tr>
        <w:trPr>
          <w:trHeight w:val="729" w:hRule="atLeast"/>
        </w:trPr>
        <w:tc>
          <w:tcPr>
            <w:tcW w:w="1016" w:type="dxa"/>
          </w:tcPr>
          <w:p>
            <w:pPr>
              <w:pStyle w:val="TableParagraph"/>
              <w:spacing w:before="143"/>
              <w:ind w:left="200"/>
              <w:rPr>
                <w:b/>
                <w:sz w:val="21"/>
              </w:rPr>
            </w:pPr>
            <w:r>
              <w:rPr>
                <w:b/>
                <w:sz w:val="21"/>
              </w:rPr>
              <w:t>6.9.3</w:t>
            </w:r>
          </w:p>
        </w:tc>
        <w:tc>
          <w:tcPr>
            <w:tcW w:w="1206" w:type="dxa"/>
          </w:tcPr>
          <w:p>
            <w:pPr>
              <w:pStyle w:val="TableParagraph"/>
              <w:spacing w:line="310" w:lineRule="atLeast" w:before="107"/>
              <w:ind w:left="180" w:right="104"/>
              <w:rPr>
                <w:b/>
                <w:sz w:val="21"/>
              </w:rPr>
            </w:pPr>
            <w:r>
              <w:rPr>
                <w:b/>
                <w:sz w:val="21"/>
              </w:rPr>
              <w:t>轻微脑中风</w:t>
            </w:r>
          </w:p>
        </w:tc>
        <w:tc>
          <w:tcPr>
            <w:tcW w:w="8120" w:type="dxa"/>
          </w:tcPr>
          <w:p>
            <w:pPr>
              <w:pStyle w:val="TableParagraph"/>
              <w:spacing w:line="310" w:lineRule="atLeast" w:before="107"/>
              <w:ind w:left="107" w:right="449" w:firstLine="420"/>
              <w:rPr>
                <w:sz w:val="21"/>
              </w:rPr>
            </w:pPr>
            <w:r>
              <w:rPr>
                <w:sz w:val="21"/>
              </w:rPr>
              <w:t>指被保险人因非意外原因实际发生了脑血管的突发病变出现神经系统功能障 </w:t>
            </w:r>
            <w:r>
              <w:rPr>
                <w:spacing w:val="-7"/>
                <w:sz w:val="21"/>
              </w:rPr>
              <w:t>碍表现，头颅断层扫描（CT）</w:t>
            </w:r>
            <w:r>
              <w:rPr>
                <w:spacing w:val="-9"/>
                <w:sz w:val="21"/>
              </w:rPr>
              <w:t>、核磁共振</w:t>
            </w:r>
            <w:r>
              <w:rPr>
                <w:spacing w:val="-5"/>
                <w:sz w:val="21"/>
              </w:rPr>
              <w:t>（MRI）</w:t>
            </w:r>
            <w:r>
              <w:rPr>
                <w:spacing w:val="-3"/>
                <w:sz w:val="21"/>
              </w:rPr>
              <w:t>等影像学检查证实存在对应病灶，</w:t>
            </w:r>
          </w:p>
        </w:tc>
      </w:tr>
    </w:tbl>
    <w:p>
      <w:pPr>
        <w:spacing w:after="0" w:line="310" w:lineRule="atLeast"/>
        <w:rPr>
          <w:sz w:val="21"/>
        </w:rPr>
        <w:sectPr>
          <w:pgSz w:w="11910" w:h="16840"/>
          <w:pgMar w:header="871" w:footer="992" w:top="1060" w:bottom="1180" w:left="680" w:right="660"/>
        </w:sectPr>
      </w:pPr>
    </w:p>
    <w:p>
      <w:pPr>
        <w:pStyle w:val="BodyText"/>
        <w:rPr>
          <w:rFonts w:ascii="Times New Roman"/>
          <w:sz w:val="2"/>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
        <w:gridCol w:w="1236"/>
        <w:gridCol w:w="7638"/>
      </w:tblGrid>
      <w:tr>
        <w:trPr>
          <w:trHeight w:val="1060" w:hRule="atLeast"/>
        </w:trPr>
        <w:tc>
          <w:tcPr>
            <w:tcW w:w="1016" w:type="dxa"/>
            <w:tcBorders>
              <w:top w:val="single" w:sz="18" w:space="0" w:color="000000"/>
            </w:tcBorders>
          </w:tcPr>
          <w:p>
            <w:pPr>
              <w:pStyle w:val="TableParagraph"/>
              <w:spacing w:before="0"/>
              <w:ind w:left="0"/>
              <w:rPr>
                <w:rFonts w:ascii="Times New Roman"/>
                <w:sz w:val="20"/>
              </w:rPr>
            </w:pPr>
          </w:p>
        </w:tc>
        <w:tc>
          <w:tcPr>
            <w:tcW w:w="1236" w:type="dxa"/>
            <w:tcBorders>
              <w:top w:val="single" w:sz="18" w:space="0" w:color="000000"/>
            </w:tcBorders>
          </w:tcPr>
          <w:p>
            <w:pPr>
              <w:pStyle w:val="TableParagraph"/>
              <w:spacing w:before="0"/>
              <w:ind w:left="0"/>
              <w:rPr>
                <w:rFonts w:ascii="Times New Roman"/>
                <w:sz w:val="20"/>
              </w:rPr>
            </w:pPr>
          </w:p>
        </w:tc>
        <w:tc>
          <w:tcPr>
            <w:tcW w:w="7638" w:type="dxa"/>
            <w:tcBorders>
              <w:top w:val="single" w:sz="18" w:space="0" w:color="000000"/>
            </w:tcBorders>
          </w:tcPr>
          <w:p>
            <w:pPr>
              <w:pStyle w:val="TableParagraph"/>
              <w:spacing w:before="2"/>
              <w:ind w:left="0"/>
              <w:rPr>
                <w:rFonts w:ascii="Times New Roman"/>
                <w:sz w:val="23"/>
              </w:rPr>
            </w:pPr>
          </w:p>
          <w:p>
            <w:pPr>
              <w:pStyle w:val="TableParagraph"/>
              <w:spacing w:line="273" w:lineRule="auto" w:before="0"/>
              <w:ind w:left="77" w:right="100"/>
              <w:rPr>
                <w:sz w:val="21"/>
              </w:rPr>
            </w:pPr>
            <w:r>
              <w:rPr>
                <w:sz w:val="21"/>
              </w:rPr>
              <w:t>确诊为脑出血、脑栓塞或脑梗塞，在确诊180天后仍然遗留一肢或一肢以上肢体肌力III级或III级以下的运动功能障碍。</w:t>
            </w:r>
          </w:p>
        </w:tc>
      </w:tr>
      <w:tr>
        <w:trPr>
          <w:trHeight w:val="935" w:hRule="atLeast"/>
        </w:trPr>
        <w:tc>
          <w:tcPr>
            <w:tcW w:w="1016" w:type="dxa"/>
          </w:tcPr>
          <w:p>
            <w:pPr>
              <w:pStyle w:val="TableParagraph"/>
              <w:ind w:left="200"/>
              <w:rPr>
                <w:b/>
                <w:sz w:val="21"/>
              </w:rPr>
            </w:pPr>
            <w:r>
              <w:rPr>
                <w:b/>
                <w:sz w:val="21"/>
              </w:rPr>
              <w:t>6.9.4</w:t>
            </w:r>
          </w:p>
        </w:tc>
        <w:tc>
          <w:tcPr>
            <w:tcW w:w="1236" w:type="dxa"/>
          </w:tcPr>
          <w:p>
            <w:pPr>
              <w:pStyle w:val="TableParagraph"/>
              <w:spacing w:line="273" w:lineRule="auto"/>
              <w:ind w:left="180" w:right="134"/>
              <w:rPr>
                <w:b/>
                <w:sz w:val="21"/>
              </w:rPr>
            </w:pPr>
            <w:r>
              <w:rPr>
                <w:b/>
                <w:sz w:val="21"/>
              </w:rPr>
              <w:t>心脏瓣膜介入手术</w:t>
            </w:r>
          </w:p>
        </w:tc>
        <w:tc>
          <w:tcPr>
            <w:tcW w:w="7638" w:type="dxa"/>
          </w:tcPr>
          <w:p>
            <w:pPr>
              <w:pStyle w:val="TableParagraph"/>
              <w:spacing w:line="273" w:lineRule="auto"/>
              <w:ind w:left="77" w:right="101" w:firstLine="420"/>
              <w:rPr>
                <w:sz w:val="21"/>
              </w:rPr>
            </w:pPr>
            <w:r>
              <w:rPr>
                <w:sz w:val="21"/>
              </w:rPr>
              <w:t>为了治疗心脏瓣膜疾病，被保险人实际接受了非开胸的经胸壁打孔内镜手术或经皮经导管介入手术进行的心脏瓣膜置换或修复手术。</w:t>
            </w:r>
          </w:p>
        </w:tc>
      </w:tr>
      <w:tr>
        <w:trPr>
          <w:trHeight w:val="1872" w:hRule="atLeast"/>
        </w:trPr>
        <w:tc>
          <w:tcPr>
            <w:tcW w:w="1016" w:type="dxa"/>
          </w:tcPr>
          <w:p>
            <w:pPr>
              <w:pStyle w:val="TableParagraph"/>
              <w:ind w:left="200"/>
              <w:rPr>
                <w:b/>
                <w:sz w:val="21"/>
              </w:rPr>
            </w:pPr>
            <w:r>
              <w:rPr>
                <w:b/>
                <w:sz w:val="21"/>
              </w:rPr>
              <w:t>6.9.5</w:t>
            </w:r>
          </w:p>
        </w:tc>
        <w:tc>
          <w:tcPr>
            <w:tcW w:w="1236" w:type="dxa"/>
          </w:tcPr>
          <w:p>
            <w:pPr>
              <w:pStyle w:val="TableParagraph"/>
              <w:spacing w:line="273" w:lineRule="auto"/>
              <w:ind w:left="180" w:right="134"/>
              <w:jc w:val="both"/>
              <w:rPr>
                <w:b/>
                <w:sz w:val="21"/>
              </w:rPr>
            </w:pPr>
            <w:r>
              <w:rPr>
                <w:b/>
                <w:sz w:val="21"/>
              </w:rPr>
              <w:t>脑 垂 体瘤、脑囊肿、脑动脉瘤及脑血管瘤</w:t>
            </w:r>
          </w:p>
        </w:tc>
        <w:tc>
          <w:tcPr>
            <w:tcW w:w="7638" w:type="dxa"/>
          </w:tcPr>
          <w:p>
            <w:pPr>
              <w:pStyle w:val="TableParagraph"/>
              <w:spacing w:line="273" w:lineRule="auto"/>
              <w:ind w:left="77" w:right="103" w:firstLine="420"/>
              <w:rPr>
                <w:sz w:val="21"/>
              </w:rPr>
            </w:pPr>
            <w:r>
              <w:rPr>
                <w:sz w:val="21"/>
              </w:rPr>
              <w:t>指被保险人经头颅断层扫描（CT）、核磁共振（MRI）或其他影像学检查被确诊为下列病变，并实际接受了手术或放射治疗。</w:t>
            </w:r>
          </w:p>
          <w:p>
            <w:pPr>
              <w:pStyle w:val="TableParagraph"/>
              <w:spacing w:before="7"/>
              <w:ind w:left="497"/>
              <w:rPr>
                <w:sz w:val="21"/>
              </w:rPr>
            </w:pPr>
            <w:r>
              <w:rPr>
                <w:sz w:val="21"/>
              </w:rPr>
              <w:t>1.脑垂体瘤；</w:t>
            </w:r>
          </w:p>
          <w:p>
            <w:pPr>
              <w:pStyle w:val="TableParagraph"/>
              <w:spacing w:before="37"/>
              <w:ind w:left="497"/>
              <w:rPr>
                <w:sz w:val="21"/>
              </w:rPr>
            </w:pPr>
            <w:r>
              <w:rPr>
                <w:sz w:val="21"/>
              </w:rPr>
              <w:t>2.脑囊肿；</w:t>
            </w:r>
          </w:p>
          <w:p>
            <w:pPr>
              <w:pStyle w:val="TableParagraph"/>
              <w:spacing w:before="37"/>
              <w:ind w:left="497"/>
              <w:rPr>
                <w:sz w:val="21"/>
              </w:rPr>
            </w:pPr>
            <w:r>
              <w:rPr>
                <w:sz w:val="21"/>
              </w:rPr>
              <w:t>3.脑动脉瘤、脑血管瘤。</w:t>
            </w:r>
          </w:p>
        </w:tc>
      </w:tr>
      <w:tr>
        <w:trPr>
          <w:trHeight w:val="3120" w:hRule="atLeast"/>
        </w:trPr>
        <w:tc>
          <w:tcPr>
            <w:tcW w:w="1016" w:type="dxa"/>
          </w:tcPr>
          <w:p>
            <w:pPr>
              <w:pStyle w:val="TableParagraph"/>
              <w:spacing w:before="143"/>
              <w:ind w:left="200"/>
              <w:rPr>
                <w:b/>
                <w:sz w:val="21"/>
              </w:rPr>
            </w:pPr>
            <w:r>
              <w:rPr>
                <w:b/>
                <w:sz w:val="21"/>
              </w:rPr>
              <w:t>6.9.6</w:t>
            </w:r>
          </w:p>
        </w:tc>
        <w:tc>
          <w:tcPr>
            <w:tcW w:w="1236" w:type="dxa"/>
          </w:tcPr>
          <w:p>
            <w:pPr>
              <w:pStyle w:val="TableParagraph"/>
              <w:spacing w:line="273" w:lineRule="auto" w:before="143"/>
              <w:ind w:left="180" w:right="110"/>
              <w:jc w:val="both"/>
              <w:rPr>
                <w:b/>
                <w:sz w:val="21"/>
              </w:rPr>
            </w:pPr>
            <w:r>
              <w:rPr>
                <w:b/>
                <w:sz w:val="21"/>
              </w:rPr>
              <w:t>视力严重受损（三周岁始理赔）</w:t>
            </w:r>
          </w:p>
        </w:tc>
        <w:tc>
          <w:tcPr>
            <w:tcW w:w="7638" w:type="dxa"/>
          </w:tcPr>
          <w:p>
            <w:pPr>
              <w:pStyle w:val="TableParagraph"/>
              <w:spacing w:line="273" w:lineRule="auto" w:before="143"/>
              <w:ind w:left="77" w:right="102" w:firstLine="420"/>
              <w:rPr>
                <w:sz w:val="21"/>
              </w:rPr>
            </w:pPr>
            <w:r>
              <w:rPr>
                <w:sz w:val="21"/>
              </w:rPr>
              <w:t>指被保险人因疾病或意外伤害导致双目视力</w:t>
            </w:r>
            <w:r>
              <w:rPr>
                <w:b/>
                <w:sz w:val="21"/>
              </w:rPr>
              <w:t>永久不可逆</w:t>
            </w:r>
            <w:r>
              <w:rPr>
                <w:sz w:val="21"/>
              </w:rPr>
              <w:t>性丧失，虽然未达到重大疾病“双目失明”的给付标准，但满足下列条件之一：</w:t>
            </w:r>
          </w:p>
          <w:p>
            <w:pPr>
              <w:pStyle w:val="TableParagraph"/>
              <w:spacing w:line="273" w:lineRule="auto" w:before="8"/>
              <w:ind w:left="77" w:right="100" w:firstLine="420"/>
              <w:rPr>
                <w:sz w:val="21"/>
              </w:rPr>
            </w:pPr>
            <w:r>
              <w:rPr>
                <w:sz w:val="21"/>
              </w:rPr>
              <w:t>1.双眼中较好眼矫正视力低于0.1（采用国际标准视力表，如果使用其他视力表应进行换算）；</w:t>
            </w:r>
          </w:p>
          <w:p>
            <w:pPr>
              <w:pStyle w:val="TableParagraph"/>
              <w:spacing w:before="8"/>
              <w:ind w:left="497"/>
              <w:rPr>
                <w:sz w:val="21"/>
              </w:rPr>
            </w:pPr>
            <w:r>
              <w:rPr>
                <w:sz w:val="21"/>
              </w:rPr>
              <w:t>2．双眼中较好眼视野半径小于20度。</w:t>
            </w:r>
          </w:p>
          <w:p>
            <w:pPr>
              <w:pStyle w:val="TableParagraph"/>
              <w:spacing w:line="273" w:lineRule="auto" w:before="37"/>
              <w:ind w:left="77" w:right="-15" w:firstLine="422"/>
              <w:rPr>
                <w:sz w:val="21"/>
              </w:rPr>
            </w:pPr>
            <w:r>
              <w:rPr>
                <w:b/>
                <w:spacing w:val="-1"/>
                <w:sz w:val="21"/>
              </w:rPr>
              <w:t>永久不可逆，</w:t>
            </w:r>
            <w:r>
              <w:rPr>
                <w:spacing w:val="-4"/>
                <w:sz w:val="21"/>
              </w:rPr>
              <w:t>指自疾病确诊或意外伤害发生之日起，经过积极治疗</w:t>
            </w:r>
            <w:r>
              <w:rPr>
                <w:sz w:val="21"/>
              </w:rPr>
              <w:t>180</w:t>
            </w:r>
            <w:r>
              <w:rPr>
                <w:spacing w:val="5"/>
                <w:sz w:val="21"/>
              </w:rPr>
              <w:t> 天后， </w:t>
            </w:r>
            <w:r>
              <w:rPr>
                <w:spacing w:val="-3"/>
                <w:sz w:val="21"/>
              </w:rPr>
              <w:t>仍无法通过现有医疗手段恢复。</w:t>
            </w:r>
          </w:p>
          <w:p>
            <w:pPr>
              <w:pStyle w:val="TableParagraph"/>
              <w:spacing w:line="273" w:lineRule="auto" w:before="7"/>
              <w:ind w:left="77" w:right="180" w:firstLine="420"/>
              <w:rPr>
                <w:b/>
                <w:sz w:val="21"/>
              </w:rPr>
            </w:pPr>
            <w:r>
              <w:rPr>
                <w:b/>
                <w:sz w:val="21"/>
              </w:rPr>
              <w:t>被保险人申请理赔时年龄必须在三周岁以上，并且提供理赔当时的视力丧失诊断及检查证据。</w:t>
            </w:r>
          </w:p>
        </w:tc>
      </w:tr>
      <w:tr>
        <w:trPr>
          <w:trHeight w:val="936" w:hRule="atLeast"/>
        </w:trPr>
        <w:tc>
          <w:tcPr>
            <w:tcW w:w="1016" w:type="dxa"/>
          </w:tcPr>
          <w:p>
            <w:pPr>
              <w:pStyle w:val="TableParagraph"/>
              <w:spacing w:before="143"/>
              <w:ind w:left="200"/>
              <w:rPr>
                <w:b/>
                <w:sz w:val="21"/>
              </w:rPr>
            </w:pPr>
            <w:r>
              <w:rPr>
                <w:b/>
                <w:sz w:val="21"/>
              </w:rPr>
              <w:t>6.9.7</w:t>
            </w:r>
          </w:p>
        </w:tc>
        <w:tc>
          <w:tcPr>
            <w:tcW w:w="1236" w:type="dxa"/>
          </w:tcPr>
          <w:p>
            <w:pPr>
              <w:pStyle w:val="TableParagraph"/>
              <w:spacing w:line="273" w:lineRule="auto" w:before="143"/>
              <w:ind w:left="180" w:right="134"/>
              <w:rPr>
                <w:b/>
                <w:sz w:val="21"/>
              </w:rPr>
            </w:pPr>
            <w:r>
              <w:rPr>
                <w:b/>
                <w:sz w:val="21"/>
              </w:rPr>
              <w:t>主动脉内介入手术</w:t>
            </w:r>
          </w:p>
        </w:tc>
        <w:tc>
          <w:tcPr>
            <w:tcW w:w="7638" w:type="dxa"/>
          </w:tcPr>
          <w:p>
            <w:pPr>
              <w:pStyle w:val="TableParagraph"/>
              <w:spacing w:line="273" w:lineRule="auto" w:before="143"/>
              <w:ind w:left="77" w:right="101" w:firstLine="420"/>
              <w:rPr>
                <w:sz w:val="21"/>
              </w:rPr>
            </w:pPr>
            <w:r>
              <w:rPr>
                <w:sz w:val="21"/>
              </w:rPr>
              <w:t>指被保险人为了治疗主动脉疾病实际实施了经皮经导管进行的动脉内手术。主动脉指胸主动脉和腹主动脉，不包括胸主动脉和腹主动脉的分支血管。</w:t>
            </w:r>
          </w:p>
        </w:tc>
      </w:tr>
      <w:tr>
        <w:trPr>
          <w:trHeight w:val="1248" w:hRule="atLeast"/>
        </w:trPr>
        <w:tc>
          <w:tcPr>
            <w:tcW w:w="1016" w:type="dxa"/>
          </w:tcPr>
          <w:p>
            <w:pPr>
              <w:pStyle w:val="TableParagraph"/>
              <w:ind w:left="200"/>
              <w:rPr>
                <w:b/>
                <w:sz w:val="21"/>
              </w:rPr>
            </w:pPr>
            <w:r>
              <w:rPr>
                <w:b/>
                <w:sz w:val="21"/>
              </w:rPr>
              <w:t>6.9.8</w:t>
            </w:r>
          </w:p>
        </w:tc>
        <w:tc>
          <w:tcPr>
            <w:tcW w:w="1236" w:type="dxa"/>
          </w:tcPr>
          <w:p>
            <w:pPr>
              <w:pStyle w:val="TableParagraph"/>
              <w:ind w:left="180"/>
              <w:rPr>
                <w:b/>
                <w:sz w:val="21"/>
              </w:rPr>
            </w:pPr>
            <w:r>
              <w:rPr>
                <w:b/>
                <w:sz w:val="21"/>
              </w:rPr>
              <w:t>较小面积</w:t>
            </w:r>
          </w:p>
          <w:p>
            <w:pPr>
              <w:pStyle w:val="TableParagraph"/>
              <w:spacing w:line="273" w:lineRule="auto" w:before="36"/>
              <w:ind w:left="180" w:right="98"/>
              <w:rPr>
                <w:b/>
                <w:sz w:val="21"/>
              </w:rPr>
            </w:pPr>
            <w:r>
              <w:rPr>
                <w:b/>
                <w:sz w:val="21"/>
              </w:rPr>
              <w:t>III 度烧伤（10%）</w:t>
            </w:r>
          </w:p>
        </w:tc>
        <w:tc>
          <w:tcPr>
            <w:tcW w:w="7638" w:type="dxa"/>
          </w:tcPr>
          <w:p>
            <w:pPr>
              <w:pStyle w:val="TableParagraph"/>
              <w:spacing w:line="273" w:lineRule="auto"/>
              <w:ind w:left="77" w:right="102" w:firstLine="420"/>
              <w:rPr>
                <w:sz w:val="21"/>
              </w:rPr>
            </w:pPr>
            <w:r>
              <w:rPr>
                <w:sz w:val="21"/>
              </w:rPr>
              <w:t>指被保险人的烧伤程度为Ⅲ度，且Ⅲ度烧伤的面积大于全身体表面积的10%但小于20%。体表面积根据 《中国新九分法》计算。</w:t>
            </w:r>
          </w:p>
        </w:tc>
      </w:tr>
      <w:tr>
        <w:trPr>
          <w:trHeight w:val="1872" w:hRule="atLeast"/>
        </w:trPr>
        <w:tc>
          <w:tcPr>
            <w:tcW w:w="1016" w:type="dxa"/>
          </w:tcPr>
          <w:p>
            <w:pPr>
              <w:pStyle w:val="TableParagraph"/>
              <w:ind w:left="200"/>
              <w:rPr>
                <w:b/>
                <w:sz w:val="21"/>
              </w:rPr>
            </w:pPr>
            <w:r>
              <w:rPr>
                <w:b/>
                <w:sz w:val="21"/>
              </w:rPr>
              <w:t>6.9.9</w:t>
            </w:r>
          </w:p>
        </w:tc>
        <w:tc>
          <w:tcPr>
            <w:tcW w:w="1236" w:type="dxa"/>
          </w:tcPr>
          <w:p>
            <w:pPr>
              <w:pStyle w:val="TableParagraph"/>
              <w:spacing w:line="273" w:lineRule="auto"/>
              <w:ind w:left="180" w:right="134"/>
              <w:rPr>
                <w:b/>
                <w:sz w:val="21"/>
              </w:rPr>
            </w:pPr>
            <w:r>
              <w:rPr>
                <w:b/>
                <w:spacing w:val="15"/>
                <w:sz w:val="21"/>
              </w:rPr>
              <w:t>慢性肾功</w:t>
            </w:r>
            <w:r>
              <w:rPr>
                <w:b/>
                <w:spacing w:val="3"/>
                <w:sz w:val="21"/>
              </w:rPr>
              <w:t>能  损 害</w:t>
            </w:r>
          </w:p>
          <w:p>
            <w:pPr>
              <w:pStyle w:val="TableParagraph"/>
              <w:tabs>
                <w:tab w:pos="617" w:val="left" w:leader="none"/>
              </w:tabs>
              <w:spacing w:line="273" w:lineRule="auto" w:before="7"/>
              <w:ind w:left="180" w:right="74"/>
              <w:rPr>
                <w:b/>
                <w:sz w:val="21"/>
              </w:rPr>
            </w:pPr>
            <w:r>
              <w:rPr>
                <w:b/>
                <w:sz w:val="21"/>
              </w:rPr>
              <w:t>–</w:t>
              <w:tab/>
            </w:r>
            <w:r>
              <w:rPr>
                <w:b/>
                <w:spacing w:val="30"/>
                <w:sz w:val="21"/>
              </w:rPr>
              <w:t>肾功</w:t>
            </w:r>
            <w:r>
              <w:rPr>
                <w:b/>
                <w:spacing w:val="-46"/>
                <w:sz w:val="21"/>
              </w:rPr>
              <w:t> </w:t>
            </w:r>
            <w:r>
              <w:rPr>
                <w:b/>
                <w:sz w:val="21"/>
              </w:rPr>
              <w:t>能衰竭期</w:t>
            </w:r>
          </w:p>
        </w:tc>
        <w:tc>
          <w:tcPr>
            <w:tcW w:w="7638" w:type="dxa"/>
          </w:tcPr>
          <w:p>
            <w:pPr>
              <w:pStyle w:val="TableParagraph"/>
              <w:spacing w:line="273" w:lineRule="auto"/>
              <w:ind w:left="77" w:right="101" w:firstLine="420"/>
              <w:rPr>
                <w:sz w:val="21"/>
              </w:rPr>
            </w:pPr>
            <w:r>
              <w:rPr>
                <w:sz w:val="21"/>
              </w:rPr>
              <w:t>指被保险人因双肾功能慢性不可逆性损害达到肾功能衰竭期，诊断必须满足所有以下标准。</w:t>
            </w:r>
          </w:p>
          <w:p>
            <w:pPr>
              <w:pStyle w:val="TableParagraph"/>
              <w:spacing w:before="7"/>
              <w:ind w:left="497"/>
              <w:rPr>
                <w:sz w:val="21"/>
              </w:rPr>
            </w:pPr>
            <w:r>
              <w:rPr>
                <w:sz w:val="21"/>
              </w:rPr>
              <w:t>1.GFR &lt; 25%；</w:t>
            </w:r>
          </w:p>
          <w:p>
            <w:pPr>
              <w:pStyle w:val="TableParagraph"/>
              <w:spacing w:before="37"/>
              <w:ind w:left="497"/>
              <w:rPr>
                <w:sz w:val="21"/>
              </w:rPr>
            </w:pPr>
            <w:r>
              <w:rPr>
                <w:sz w:val="21"/>
              </w:rPr>
              <w:t>2.Scr &gt; 5mg/dl或&gt;442umol/L；</w:t>
            </w:r>
          </w:p>
          <w:p>
            <w:pPr>
              <w:pStyle w:val="TableParagraph"/>
              <w:spacing w:before="36"/>
              <w:ind w:left="497"/>
              <w:rPr>
                <w:sz w:val="21"/>
              </w:rPr>
            </w:pPr>
            <w:r>
              <w:rPr>
                <w:sz w:val="21"/>
              </w:rPr>
              <w:t>3.持续180天。</w:t>
            </w:r>
          </w:p>
        </w:tc>
      </w:tr>
      <w:tr>
        <w:trPr>
          <w:trHeight w:val="2496" w:hRule="atLeast"/>
        </w:trPr>
        <w:tc>
          <w:tcPr>
            <w:tcW w:w="1016" w:type="dxa"/>
          </w:tcPr>
          <w:p>
            <w:pPr>
              <w:pStyle w:val="TableParagraph"/>
              <w:ind w:left="200"/>
              <w:rPr>
                <w:b/>
                <w:sz w:val="21"/>
              </w:rPr>
            </w:pPr>
            <w:r>
              <w:rPr>
                <w:b/>
                <w:sz w:val="21"/>
              </w:rPr>
              <w:t>6.9.10</w:t>
            </w:r>
          </w:p>
        </w:tc>
        <w:tc>
          <w:tcPr>
            <w:tcW w:w="1236" w:type="dxa"/>
          </w:tcPr>
          <w:p>
            <w:pPr>
              <w:pStyle w:val="TableParagraph"/>
              <w:spacing w:line="273" w:lineRule="auto"/>
              <w:ind w:left="180" w:right="134"/>
              <w:rPr>
                <w:b/>
                <w:sz w:val="21"/>
              </w:rPr>
            </w:pPr>
            <w:r>
              <w:rPr>
                <w:b/>
                <w:sz w:val="21"/>
              </w:rPr>
              <w:t>重症头部外伤</w:t>
            </w:r>
          </w:p>
        </w:tc>
        <w:tc>
          <w:tcPr>
            <w:tcW w:w="7638" w:type="dxa"/>
          </w:tcPr>
          <w:p>
            <w:pPr>
              <w:pStyle w:val="TableParagraph"/>
              <w:ind w:left="497"/>
              <w:rPr>
                <w:sz w:val="21"/>
              </w:rPr>
            </w:pPr>
            <w:r>
              <w:rPr>
                <w:sz w:val="21"/>
              </w:rPr>
              <w:t>指因头部遭受机械性外力伤害，引起脑重要部位损伤，并且由头颅断层扫描</w:t>
            </w:r>
          </w:p>
          <w:p>
            <w:pPr>
              <w:pStyle w:val="TableParagraph"/>
              <w:spacing w:line="273" w:lineRule="auto" w:before="36"/>
              <w:ind w:left="77" w:right="-15"/>
              <w:rPr>
                <w:sz w:val="21"/>
              </w:rPr>
            </w:pPr>
            <w:r>
              <w:rPr>
                <w:sz w:val="21"/>
              </w:rPr>
              <w:t>（CT）</w:t>
            </w:r>
            <w:r>
              <w:rPr>
                <w:spacing w:val="-3"/>
                <w:sz w:val="21"/>
              </w:rPr>
              <w:t>、核磁共振检查</w:t>
            </w:r>
            <w:r>
              <w:rPr>
                <w:sz w:val="21"/>
              </w:rPr>
              <w:t>（MRI）</w:t>
            </w:r>
            <w:r>
              <w:rPr>
                <w:spacing w:val="-3"/>
                <w:sz w:val="21"/>
              </w:rPr>
              <w:t>或正电子发射断层扫描</w:t>
            </w:r>
            <w:r>
              <w:rPr>
                <w:sz w:val="21"/>
              </w:rPr>
              <w:t>（PET）</w:t>
            </w:r>
            <w:r>
              <w:rPr>
                <w:spacing w:val="-3"/>
                <w:sz w:val="21"/>
              </w:rPr>
              <w:t>等影像学检查证实。头部外伤导致神经系统功能障碍，虽然未达到重大疾病“严重脑损伤”的豁免标 准，但是符合以下条件之一：</w:t>
            </w:r>
          </w:p>
          <w:p>
            <w:pPr>
              <w:pStyle w:val="TableParagraph"/>
              <w:spacing w:before="7"/>
              <w:ind w:left="497"/>
              <w:rPr>
                <w:sz w:val="21"/>
              </w:rPr>
            </w:pPr>
            <w:r>
              <w:rPr>
                <w:sz w:val="21"/>
              </w:rPr>
              <w:t>1.被保险人接受了全麻下颅骨切开颅内血肿清除术（颅骨钻孔术除外）；</w:t>
            </w:r>
          </w:p>
          <w:p>
            <w:pPr>
              <w:pStyle w:val="TableParagraph"/>
              <w:spacing w:line="273" w:lineRule="auto" w:before="37"/>
              <w:ind w:left="77" w:right="100" w:firstLine="420"/>
              <w:rPr>
                <w:sz w:val="21"/>
              </w:rPr>
            </w:pPr>
            <w:r>
              <w:rPr>
                <w:sz w:val="21"/>
              </w:rPr>
              <w:t>2.</w:t>
            </w:r>
            <w:r>
              <w:rPr>
                <w:spacing w:val="-9"/>
                <w:sz w:val="21"/>
              </w:rPr>
              <w:t>在外伤 </w:t>
            </w:r>
            <w:r>
              <w:rPr>
                <w:sz w:val="21"/>
              </w:rPr>
              <w:t>180</w:t>
            </w:r>
            <w:r>
              <w:rPr>
                <w:spacing w:val="-9"/>
                <w:sz w:val="21"/>
              </w:rPr>
              <w:t> 天后仍然遗留一肢或一肢以上肢体肌力 </w:t>
            </w:r>
            <w:r>
              <w:rPr>
                <w:sz w:val="21"/>
              </w:rPr>
              <w:t>III</w:t>
            </w:r>
            <w:r>
              <w:rPr>
                <w:spacing w:val="-18"/>
                <w:sz w:val="21"/>
              </w:rPr>
              <w:t> 级或 </w:t>
            </w:r>
            <w:r>
              <w:rPr>
                <w:sz w:val="21"/>
              </w:rPr>
              <w:t>III</w:t>
            </w:r>
            <w:r>
              <w:rPr>
                <w:spacing w:val="-8"/>
                <w:sz w:val="21"/>
              </w:rPr>
              <w:t> 级以下的</w:t>
            </w:r>
            <w:r>
              <w:rPr>
                <w:spacing w:val="-5"/>
                <w:sz w:val="21"/>
              </w:rPr>
              <w:t>运动功能障碍。</w:t>
            </w:r>
          </w:p>
        </w:tc>
      </w:tr>
      <w:tr>
        <w:trPr>
          <w:trHeight w:val="417" w:hRule="atLeast"/>
        </w:trPr>
        <w:tc>
          <w:tcPr>
            <w:tcW w:w="1016" w:type="dxa"/>
          </w:tcPr>
          <w:p>
            <w:pPr>
              <w:pStyle w:val="TableParagraph"/>
              <w:spacing w:line="255" w:lineRule="exact" w:before="143"/>
              <w:ind w:left="200"/>
              <w:rPr>
                <w:b/>
                <w:sz w:val="21"/>
              </w:rPr>
            </w:pPr>
            <w:r>
              <w:rPr>
                <w:b/>
                <w:sz w:val="21"/>
              </w:rPr>
              <w:t>6.9.11</w:t>
            </w:r>
          </w:p>
        </w:tc>
        <w:tc>
          <w:tcPr>
            <w:tcW w:w="1236" w:type="dxa"/>
          </w:tcPr>
          <w:p>
            <w:pPr>
              <w:pStyle w:val="TableParagraph"/>
              <w:spacing w:line="255" w:lineRule="exact" w:before="143"/>
              <w:ind w:left="180"/>
              <w:rPr>
                <w:b/>
                <w:sz w:val="21"/>
              </w:rPr>
            </w:pPr>
            <w:r>
              <w:rPr>
                <w:b/>
                <w:sz w:val="21"/>
              </w:rPr>
              <w:t>单个肢体</w:t>
            </w:r>
          </w:p>
        </w:tc>
        <w:tc>
          <w:tcPr>
            <w:tcW w:w="7638" w:type="dxa"/>
          </w:tcPr>
          <w:p>
            <w:pPr>
              <w:pStyle w:val="TableParagraph"/>
              <w:spacing w:line="255" w:lineRule="exact" w:before="143"/>
              <w:ind w:left="497"/>
              <w:rPr>
                <w:sz w:val="21"/>
              </w:rPr>
            </w:pPr>
            <w:r>
              <w:rPr>
                <w:sz w:val="21"/>
              </w:rPr>
              <w:t>指因疾病或意外伤害导致一个肢体自腕关节或踝关节近端（靠近躯干端）以</w:t>
            </w:r>
          </w:p>
        </w:tc>
      </w:tr>
    </w:tbl>
    <w:p>
      <w:pPr>
        <w:spacing w:after="0" w:line="255" w:lineRule="exact"/>
        <w:rPr>
          <w:sz w:val="21"/>
        </w:rPr>
        <w:sectPr>
          <w:pgSz w:w="11910" w:h="16840"/>
          <w:pgMar w:header="871" w:footer="992" w:top="1060" w:bottom="1180" w:left="680" w:right="1120"/>
        </w:sectPr>
      </w:pPr>
    </w:p>
    <w:p>
      <w:pPr>
        <w:pStyle w:val="BodyText"/>
        <w:rPr>
          <w:rFonts w:ascii="Times New Roman"/>
          <w:sz w:val="2"/>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
        <w:gridCol w:w="1206"/>
        <w:gridCol w:w="7668"/>
      </w:tblGrid>
      <w:tr>
        <w:trPr>
          <w:trHeight w:val="748" w:hRule="atLeast"/>
        </w:trPr>
        <w:tc>
          <w:tcPr>
            <w:tcW w:w="1016" w:type="dxa"/>
            <w:tcBorders>
              <w:top w:val="single" w:sz="18" w:space="0" w:color="000000"/>
            </w:tcBorders>
          </w:tcPr>
          <w:p>
            <w:pPr>
              <w:pStyle w:val="TableParagraph"/>
              <w:spacing w:before="0"/>
              <w:ind w:left="0"/>
              <w:rPr>
                <w:rFonts w:ascii="Times New Roman"/>
                <w:sz w:val="20"/>
              </w:rPr>
            </w:pPr>
          </w:p>
        </w:tc>
        <w:tc>
          <w:tcPr>
            <w:tcW w:w="1206" w:type="dxa"/>
            <w:tcBorders>
              <w:top w:val="single" w:sz="18" w:space="0" w:color="000000"/>
            </w:tcBorders>
          </w:tcPr>
          <w:p>
            <w:pPr>
              <w:pStyle w:val="TableParagraph"/>
              <w:spacing w:before="2"/>
              <w:ind w:left="0"/>
              <w:rPr>
                <w:rFonts w:ascii="Times New Roman"/>
                <w:sz w:val="23"/>
              </w:rPr>
            </w:pPr>
          </w:p>
          <w:p>
            <w:pPr>
              <w:pStyle w:val="TableParagraph"/>
              <w:spacing w:before="0"/>
              <w:ind w:left="180"/>
              <w:rPr>
                <w:b/>
                <w:sz w:val="21"/>
              </w:rPr>
            </w:pPr>
            <w:r>
              <w:rPr>
                <w:b/>
                <w:sz w:val="21"/>
              </w:rPr>
              <w:t>缺失</w:t>
            </w:r>
          </w:p>
        </w:tc>
        <w:tc>
          <w:tcPr>
            <w:tcW w:w="7668" w:type="dxa"/>
            <w:tcBorders>
              <w:top w:val="single" w:sz="18" w:space="0" w:color="000000"/>
            </w:tcBorders>
          </w:tcPr>
          <w:p>
            <w:pPr>
              <w:pStyle w:val="TableParagraph"/>
              <w:spacing w:before="2"/>
              <w:ind w:left="0"/>
              <w:rPr>
                <w:rFonts w:ascii="Times New Roman"/>
                <w:sz w:val="23"/>
              </w:rPr>
            </w:pPr>
          </w:p>
          <w:p>
            <w:pPr>
              <w:pStyle w:val="TableParagraph"/>
              <w:spacing w:before="0"/>
              <w:ind w:left="107"/>
              <w:rPr>
                <w:sz w:val="21"/>
              </w:rPr>
            </w:pPr>
            <w:r>
              <w:rPr>
                <w:sz w:val="21"/>
              </w:rPr>
              <w:t>上完全性断离。</w:t>
            </w:r>
          </w:p>
        </w:tc>
      </w:tr>
      <w:tr>
        <w:trPr>
          <w:trHeight w:val="936" w:hRule="atLeast"/>
        </w:trPr>
        <w:tc>
          <w:tcPr>
            <w:tcW w:w="1016" w:type="dxa"/>
          </w:tcPr>
          <w:p>
            <w:pPr>
              <w:pStyle w:val="TableParagraph"/>
              <w:ind w:left="200"/>
              <w:rPr>
                <w:b/>
                <w:sz w:val="21"/>
              </w:rPr>
            </w:pPr>
            <w:r>
              <w:rPr>
                <w:b/>
                <w:sz w:val="21"/>
              </w:rPr>
              <w:t>6.9.12</w:t>
            </w:r>
          </w:p>
        </w:tc>
        <w:tc>
          <w:tcPr>
            <w:tcW w:w="1206" w:type="dxa"/>
          </w:tcPr>
          <w:p>
            <w:pPr>
              <w:pStyle w:val="TableParagraph"/>
              <w:spacing w:line="273" w:lineRule="auto"/>
              <w:ind w:left="180" w:right="104"/>
              <w:rPr>
                <w:b/>
                <w:sz w:val="21"/>
              </w:rPr>
            </w:pPr>
            <w:r>
              <w:rPr>
                <w:b/>
                <w:sz w:val="21"/>
              </w:rPr>
              <w:t>单侧肺脏切除</w:t>
            </w:r>
          </w:p>
        </w:tc>
        <w:tc>
          <w:tcPr>
            <w:tcW w:w="7668" w:type="dxa"/>
          </w:tcPr>
          <w:p>
            <w:pPr>
              <w:pStyle w:val="TableParagraph"/>
              <w:ind w:left="527"/>
              <w:rPr>
                <w:sz w:val="21"/>
              </w:rPr>
            </w:pPr>
            <w:r>
              <w:rPr>
                <w:sz w:val="21"/>
              </w:rPr>
              <w:t>指因疾病或意外事故实际实施的一侧肺脏切除术。</w:t>
            </w:r>
          </w:p>
          <w:p>
            <w:pPr>
              <w:pStyle w:val="TableParagraph"/>
              <w:spacing w:before="36"/>
              <w:ind w:left="529"/>
              <w:rPr>
                <w:b/>
                <w:sz w:val="21"/>
              </w:rPr>
            </w:pPr>
            <w:r>
              <w:rPr>
                <w:b/>
                <w:sz w:val="21"/>
              </w:rPr>
              <w:t>肺脏部分切除手术和肺脏捐献引起的手术不在保障范围内。</w:t>
            </w:r>
          </w:p>
        </w:tc>
      </w:tr>
      <w:tr>
        <w:trPr>
          <w:trHeight w:val="1560" w:hRule="atLeast"/>
        </w:trPr>
        <w:tc>
          <w:tcPr>
            <w:tcW w:w="1016" w:type="dxa"/>
          </w:tcPr>
          <w:p>
            <w:pPr>
              <w:pStyle w:val="TableParagraph"/>
              <w:ind w:left="200"/>
              <w:rPr>
                <w:b/>
                <w:sz w:val="21"/>
              </w:rPr>
            </w:pPr>
            <w:r>
              <w:rPr>
                <w:b/>
                <w:sz w:val="21"/>
              </w:rPr>
              <w:t>6.9.13</w:t>
            </w:r>
          </w:p>
        </w:tc>
        <w:tc>
          <w:tcPr>
            <w:tcW w:w="1206" w:type="dxa"/>
          </w:tcPr>
          <w:p>
            <w:pPr>
              <w:pStyle w:val="TableParagraph"/>
              <w:ind w:left="180"/>
              <w:rPr>
                <w:b/>
                <w:sz w:val="21"/>
              </w:rPr>
            </w:pPr>
            <w:r>
              <w:rPr>
                <w:b/>
                <w:sz w:val="21"/>
              </w:rPr>
              <w:t>肝脏手术</w:t>
            </w:r>
          </w:p>
        </w:tc>
        <w:tc>
          <w:tcPr>
            <w:tcW w:w="7668" w:type="dxa"/>
          </w:tcPr>
          <w:p>
            <w:pPr>
              <w:pStyle w:val="TableParagraph"/>
              <w:spacing w:line="273" w:lineRule="auto"/>
              <w:ind w:left="107" w:right="201" w:firstLine="420"/>
              <w:rPr>
                <w:sz w:val="21"/>
              </w:rPr>
            </w:pPr>
            <w:r>
              <w:rPr>
                <w:sz w:val="21"/>
              </w:rPr>
              <w:t>指为治疗肝脏肿瘤、肝内胆管结石、肝脓肿、肝包虫病等疾病而实际实施的肝脏部分切除术。</w:t>
            </w:r>
          </w:p>
          <w:p>
            <w:pPr>
              <w:pStyle w:val="TableParagraph"/>
              <w:spacing w:line="273" w:lineRule="auto" w:before="7"/>
              <w:ind w:left="107" w:right="283" w:firstLine="422"/>
              <w:rPr>
                <w:b/>
                <w:sz w:val="21"/>
              </w:rPr>
            </w:pPr>
            <w:r>
              <w:rPr>
                <w:b/>
                <w:sz w:val="21"/>
              </w:rPr>
              <w:t>因酒精或者滥用药物引致的疾病或者紊乱及/或者因捐赠肝脏而所需的肝脏手术均不在保障范围内。</w:t>
            </w:r>
          </w:p>
        </w:tc>
      </w:tr>
      <w:tr>
        <w:trPr>
          <w:trHeight w:val="1248" w:hRule="atLeast"/>
        </w:trPr>
        <w:tc>
          <w:tcPr>
            <w:tcW w:w="1016" w:type="dxa"/>
          </w:tcPr>
          <w:p>
            <w:pPr>
              <w:pStyle w:val="TableParagraph"/>
              <w:ind w:left="200"/>
              <w:rPr>
                <w:b/>
                <w:sz w:val="21"/>
              </w:rPr>
            </w:pPr>
            <w:r>
              <w:rPr>
                <w:b/>
                <w:sz w:val="21"/>
              </w:rPr>
              <w:t>6.9.14</w:t>
            </w:r>
          </w:p>
        </w:tc>
        <w:tc>
          <w:tcPr>
            <w:tcW w:w="1206" w:type="dxa"/>
          </w:tcPr>
          <w:p>
            <w:pPr>
              <w:pStyle w:val="TableParagraph"/>
              <w:spacing w:line="273" w:lineRule="auto"/>
              <w:ind w:left="180" w:right="178"/>
              <w:jc w:val="both"/>
              <w:rPr>
                <w:b/>
                <w:sz w:val="21"/>
              </w:rPr>
            </w:pPr>
            <w:r>
              <w:rPr>
                <w:b/>
                <w:sz w:val="21"/>
              </w:rPr>
              <w:t>早期运动神经性疾病</w:t>
            </w:r>
          </w:p>
        </w:tc>
        <w:tc>
          <w:tcPr>
            <w:tcW w:w="7668" w:type="dxa"/>
          </w:tcPr>
          <w:p>
            <w:pPr>
              <w:pStyle w:val="TableParagraph"/>
              <w:spacing w:line="273" w:lineRule="auto"/>
              <w:ind w:left="107" w:right="201" w:firstLine="420"/>
              <w:jc w:val="both"/>
              <w:rPr>
                <w:sz w:val="21"/>
              </w:rPr>
            </w:pPr>
            <w:r>
              <w:rPr>
                <w:sz w:val="21"/>
              </w:rPr>
              <w:t>是一组中枢神经系统运动神经元的进行性变性疾病，进行性脊肌萎缩症、进行性延髓麻痹症、原发性侧索硬化症、肌萎缩性侧索硬化症。须满足自主生活能力完全丧失，无法独立完成六项基本日常生活活动中的两项。</w:t>
            </w:r>
          </w:p>
        </w:tc>
      </w:tr>
      <w:tr>
        <w:trPr>
          <w:trHeight w:val="1560" w:hRule="atLeast"/>
        </w:trPr>
        <w:tc>
          <w:tcPr>
            <w:tcW w:w="1016" w:type="dxa"/>
          </w:tcPr>
          <w:p>
            <w:pPr>
              <w:pStyle w:val="TableParagraph"/>
              <w:ind w:left="200"/>
              <w:rPr>
                <w:b/>
                <w:sz w:val="21"/>
              </w:rPr>
            </w:pPr>
            <w:r>
              <w:rPr>
                <w:b/>
                <w:sz w:val="21"/>
              </w:rPr>
              <w:t>6.9.15</w:t>
            </w:r>
          </w:p>
        </w:tc>
        <w:tc>
          <w:tcPr>
            <w:tcW w:w="1206" w:type="dxa"/>
          </w:tcPr>
          <w:p>
            <w:pPr>
              <w:pStyle w:val="TableParagraph"/>
              <w:spacing w:line="273" w:lineRule="auto"/>
              <w:ind w:left="180" w:right="104"/>
              <w:rPr>
                <w:b/>
                <w:sz w:val="21"/>
              </w:rPr>
            </w:pPr>
            <w:r>
              <w:rPr>
                <w:b/>
                <w:sz w:val="21"/>
              </w:rPr>
              <w:t>人工耳蜗植入术</w:t>
            </w:r>
          </w:p>
        </w:tc>
        <w:tc>
          <w:tcPr>
            <w:tcW w:w="7668" w:type="dxa"/>
          </w:tcPr>
          <w:p>
            <w:pPr>
              <w:pStyle w:val="TableParagraph"/>
              <w:spacing w:line="273" w:lineRule="auto"/>
              <w:ind w:left="107" w:right="201" w:firstLine="420"/>
              <w:rPr>
                <w:sz w:val="21"/>
              </w:rPr>
            </w:pPr>
            <w:r>
              <w:rPr>
                <w:sz w:val="21"/>
              </w:rPr>
              <w:t>指由于耳蜗的永久损害而实际实施了人工耳蜗植入手术。诊断须经专科医生确认在医学上是必要的，且在植入手术之前已经符合下列全部条件：</w:t>
            </w:r>
          </w:p>
          <w:p>
            <w:pPr>
              <w:pStyle w:val="TableParagraph"/>
              <w:spacing w:before="7"/>
              <w:ind w:left="527"/>
              <w:rPr>
                <w:sz w:val="21"/>
              </w:rPr>
            </w:pPr>
            <w:r>
              <w:rPr>
                <w:sz w:val="21"/>
              </w:rPr>
              <w:t>1.双耳持续12个月以上重度感音神经性耳聋；</w:t>
            </w:r>
          </w:p>
          <w:p>
            <w:pPr>
              <w:pStyle w:val="TableParagraph"/>
              <w:spacing w:before="37"/>
              <w:ind w:left="527"/>
              <w:rPr>
                <w:sz w:val="21"/>
              </w:rPr>
            </w:pPr>
            <w:r>
              <w:rPr>
                <w:sz w:val="21"/>
              </w:rPr>
              <w:t>2.使用相应的听力辅助设备效果不佳。</w:t>
            </w:r>
          </w:p>
        </w:tc>
      </w:tr>
      <w:tr>
        <w:trPr>
          <w:trHeight w:val="1248" w:hRule="atLeast"/>
        </w:trPr>
        <w:tc>
          <w:tcPr>
            <w:tcW w:w="1016" w:type="dxa"/>
          </w:tcPr>
          <w:p>
            <w:pPr>
              <w:pStyle w:val="TableParagraph"/>
              <w:ind w:left="200"/>
              <w:rPr>
                <w:b/>
                <w:sz w:val="21"/>
              </w:rPr>
            </w:pPr>
            <w:r>
              <w:rPr>
                <w:b/>
                <w:sz w:val="21"/>
              </w:rPr>
              <w:t>6.9.16</w:t>
            </w:r>
          </w:p>
        </w:tc>
        <w:tc>
          <w:tcPr>
            <w:tcW w:w="1206" w:type="dxa"/>
          </w:tcPr>
          <w:p>
            <w:pPr>
              <w:pStyle w:val="TableParagraph"/>
              <w:spacing w:line="273" w:lineRule="auto"/>
              <w:ind w:left="180" w:right="104"/>
              <w:rPr>
                <w:b/>
                <w:sz w:val="21"/>
              </w:rPr>
            </w:pPr>
            <w:r>
              <w:rPr>
                <w:b/>
                <w:sz w:val="21"/>
              </w:rPr>
              <w:t>胆道重建手术</w:t>
            </w:r>
          </w:p>
        </w:tc>
        <w:tc>
          <w:tcPr>
            <w:tcW w:w="7668" w:type="dxa"/>
          </w:tcPr>
          <w:p>
            <w:pPr>
              <w:pStyle w:val="TableParagraph"/>
              <w:spacing w:line="273" w:lineRule="auto"/>
              <w:ind w:left="107" w:right="201" w:firstLine="420"/>
              <w:rPr>
                <w:sz w:val="21"/>
              </w:rPr>
            </w:pPr>
            <w:r>
              <w:rPr>
                <w:sz w:val="21"/>
              </w:rPr>
              <w:t>指因疾病或胆道创伤导致接受涉及胆总管小肠吻合术的胆道重建手术。手术必须在专科医生认为是医疗所需的情况下进行。</w:t>
            </w:r>
          </w:p>
          <w:p>
            <w:pPr>
              <w:pStyle w:val="TableParagraph"/>
              <w:spacing w:before="7"/>
              <w:ind w:left="529"/>
              <w:rPr>
                <w:b/>
                <w:sz w:val="21"/>
              </w:rPr>
            </w:pPr>
            <w:r>
              <w:rPr>
                <w:b/>
                <w:sz w:val="21"/>
              </w:rPr>
              <w:t>胆道闭锁并不在保障范围内。</w:t>
            </w:r>
          </w:p>
        </w:tc>
      </w:tr>
      <w:tr>
        <w:trPr>
          <w:trHeight w:val="1247" w:hRule="atLeast"/>
        </w:trPr>
        <w:tc>
          <w:tcPr>
            <w:tcW w:w="1016" w:type="dxa"/>
          </w:tcPr>
          <w:p>
            <w:pPr>
              <w:pStyle w:val="TableParagraph"/>
              <w:ind w:left="200"/>
              <w:rPr>
                <w:b/>
                <w:sz w:val="21"/>
              </w:rPr>
            </w:pPr>
            <w:r>
              <w:rPr>
                <w:b/>
                <w:sz w:val="21"/>
              </w:rPr>
              <w:t>6.9.17</w:t>
            </w:r>
          </w:p>
        </w:tc>
        <w:tc>
          <w:tcPr>
            <w:tcW w:w="1206" w:type="dxa"/>
          </w:tcPr>
          <w:p>
            <w:pPr>
              <w:pStyle w:val="TableParagraph"/>
              <w:spacing w:line="273" w:lineRule="auto"/>
              <w:ind w:left="180" w:right="178"/>
              <w:jc w:val="both"/>
              <w:rPr>
                <w:b/>
                <w:sz w:val="21"/>
              </w:rPr>
            </w:pPr>
            <w:r>
              <w:rPr>
                <w:b/>
                <w:sz w:val="21"/>
              </w:rPr>
              <w:t>双侧卵巢或睾丸切除术</w:t>
            </w:r>
          </w:p>
        </w:tc>
        <w:tc>
          <w:tcPr>
            <w:tcW w:w="7668" w:type="dxa"/>
          </w:tcPr>
          <w:p>
            <w:pPr>
              <w:pStyle w:val="TableParagraph"/>
              <w:spacing w:line="273" w:lineRule="auto"/>
              <w:ind w:left="107" w:right="101" w:firstLine="420"/>
              <w:rPr>
                <w:sz w:val="21"/>
              </w:rPr>
            </w:pPr>
            <w:r>
              <w:rPr>
                <w:sz w:val="21"/>
              </w:rPr>
              <w:t>指为治疗疾病实际接受了经腹部切开或腹腔镜进行的双侧卵巢或睾丸完全切除手术。</w:t>
            </w:r>
          </w:p>
          <w:p>
            <w:pPr>
              <w:pStyle w:val="TableParagraph"/>
              <w:spacing w:before="7"/>
              <w:ind w:left="529"/>
              <w:rPr>
                <w:b/>
                <w:sz w:val="21"/>
              </w:rPr>
            </w:pPr>
            <w:r>
              <w:rPr>
                <w:b/>
                <w:sz w:val="21"/>
              </w:rPr>
              <w:t>部分卵巢或睾丸切除不在保障范围。</w:t>
            </w:r>
          </w:p>
        </w:tc>
      </w:tr>
      <w:tr>
        <w:trPr>
          <w:trHeight w:val="936" w:hRule="atLeast"/>
        </w:trPr>
        <w:tc>
          <w:tcPr>
            <w:tcW w:w="1016" w:type="dxa"/>
          </w:tcPr>
          <w:p>
            <w:pPr>
              <w:pStyle w:val="TableParagraph"/>
              <w:ind w:left="200"/>
              <w:rPr>
                <w:b/>
                <w:sz w:val="21"/>
              </w:rPr>
            </w:pPr>
            <w:r>
              <w:rPr>
                <w:b/>
                <w:sz w:val="21"/>
              </w:rPr>
              <w:t>6.9.18</w:t>
            </w:r>
          </w:p>
        </w:tc>
        <w:tc>
          <w:tcPr>
            <w:tcW w:w="1206" w:type="dxa"/>
          </w:tcPr>
          <w:p>
            <w:pPr>
              <w:pStyle w:val="TableParagraph"/>
              <w:spacing w:line="273" w:lineRule="auto"/>
              <w:ind w:left="180" w:right="178"/>
              <w:rPr>
                <w:b/>
                <w:sz w:val="21"/>
              </w:rPr>
            </w:pPr>
            <w:r>
              <w:rPr>
                <w:b/>
                <w:sz w:val="21"/>
              </w:rPr>
              <w:t>单侧肾脏切除</w:t>
            </w:r>
          </w:p>
        </w:tc>
        <w:tc>
          <w:tcPr>
            <w:tcW w:w="7668" w:type="dxa"/>
          </w:tcPr>
          <w:p>
            <w:pPr>
              <w:pStyle w:val="TableParagraph"/>
              <w:ind w:left="527"/>
              <w:rPr>
                <w:sz w:val="21"/>
              </w:rPr>
            </w:pPr>
            <w:r>
              <w:rPr>
                <w:sz w:val="21"/>
              </w:rPr>
              <w:t>指因疾病或意外事故实际实施的一侧肾脏切除术。</w:t>
            </w:r>
          </w:p>
          <w:p>
            <w:pPr>
              <w:pStyle w:val="TableParagraph"/>
              <w:spacing w:before="36"/>
              <w:ind w:left="529"/>
              <w:rPr>
                <w:b/>
                <w:sz w:val="21"/>
              </w:rPr>
            </w:pPr>
            <w:r>
              <w:rPr>
                <w:b/>
                <w:sz w:val="21"/>
              </w:rPr>
              <w:t>肾脏部分切除手术和肾脏捐献引起的手术不在保障范围内。</w:t>
            </w:r>
          </w:p>
        </w:tc>
      </w:tr>
      <w:tr>
        <w:trPr>
          <w:trHeight w:val="936" w:hRule="atLeast"/>
        </w:trPr>
        <w:tc>
          <w:tcPr>
            <w:tcW w:w="1016" w:type="dxa"/>
          </w:tcPr>
          <w:p>
            <w:pPr>
              <w:pStyle w:val="TableParagraph"/>
              <w:ind w:left="200"/>
              <w:rPr>
                <w:b/>
                <w:sz w:val="21"/>
              </w:rPr>
            </w:pPr>
            <w:r>
              <w:rPr>
                <w:b/>
                <w:sz w:val="21"/>
              </w:rPr>
              <w:t>6.9.19</w:t>
            </w:r>
          </w:p>
        </w:tc>
        <w:tc>
          <w:tcPr>
            <w:tcW w:w="1206" w:type="dxa"/>
          </w:tcPr>
          <w:p>
            <w:pPr>
              <w:pStyle w:val="TableParagraph"/>
              <w:ind w:left="180"/>
              <w:rPr>
                <w:b/>
                <w:sz w:val="21"/>
              </w:rPr>
            </w:pPr>
            <w:r>
              <w:rPr>
                <w:b/>
                <w:sz w:val="21"/>
              </w:rPr>
              <w:t>肝叶切除</w:t>
            </w:r>
          </w:p>
        </w:tc>
        <w:tc>
          <w:tcPr>
            <w:tcW w:w="7668" w:type="dxa"/>
          </w:tcPr>
          <w:p>
            <w:pPr>
              <w:pStyle w:val="TableParagraph"/>
              <w:spacing w:line="273" w:lineRule="auto"/>
              <w:ind w:left="107" w:right="101" w:firstLine="420"/>
              <w:rPr>
                <w:sz w:val="21"/>
              </w:rPr>
            </w:pPr>
            <w:r>
              <w:rPr>
                <w:sz w:val="21"/>
              </w:rPr>
              <w:t>因意外伤害导致的大块肝组织离断、破碎或大胆管破裂无法修补而实际实施的至少一整叶肝脏的切除手术。</w:t>
            </w:r>
          </w:p>
        </w:tc>
      </w:tr>
      <w:tr>
        <w:trPr>
          <w:trHeight w:val="1560" w:hRule="atLeast"/>
        </w:trPr>
        <w:tc>
          <w:tcPr>
            <w:tcW w:w="1016" w:type="dxa"/>
          </w:tcPr>
          <w:p>
            <w:pPr>
              <w:pStyle w:val="TableParagraph"/>
              <w:spacing w:before="143"/>
              <w:ind w:left="200"/>
              <w:rPr>
                <w:b/>
                <w:sz w:val="21"/>
              </w:rPr>
            </w:pPr>
            <w:r>
              <w:rPr>
                <w:b/>
                <w:sz w:val="21"/>
              </w:rPr>
              <w:t>6.9.20</w:t>
            </w:r>
          </w:p>
        </w:tc>
        <w:tc>
          <w:tcPr>
            <w:tcW w:w="1206" w:type="dxa"/>
          </w:tcPr>
          <w:p>
            <w:pPr>
              <w:pStyle w:val="TableParagraph"/>
              <w:spacing w:before="143"/>
              <w:ind w:left="180"/>
              <w:rPr>
                <w:b/>
                <w:sz w:val="21"/>
              </w:rPr>
            </w:pPr>
            <w:r>
              <w:rPr>
                <w:b/>
                <w:sz w:val="21"/>
              </w:rPr>
              <w:t>单耳失聪</w:t>
            </w:r>
          </w:p>
        </w:tc>
        <w:tc>
          <w:tcPr>
            <w:tcW w:w="7668" w:type="dxa"/>
          </w:tcPr>
          <w:p>
            <w:pPr>
              <w:pStyle w:val="TableParagraph"/>
              <w:spacing w:before="143"/>
              <w:ind w:left="527"/>
              <w:rPr>
                <w:sz w:val="21"/>
              </w:rPr>
            </w:pPr>
            <w:r>
              <w:rPr>
                <w:sz w:val="21"/>
              </w:rPr>
              <w:t>指因疾病或者意外伤害导致单耳听力永久不可逆性丧失，在 500 赫兹、1000</w:t>
            </w:r>
          </w:p>
          <w:p>
            <w:pPr>
              <w:pStyle w:val="TableParagraph"/>
              <w:spacing w:line="273" w:lineRule="auto" w:before="37"/>
              <w:ind w:left="107" w:right="100"/>
              <w:rPr>
                <w:sz w:val="21"/>
              </w:rPr>
            </w:pPr>
            <w:r>
              <w:rPr>
                <w:spacing w:val="-6"/>
                <w:sz w:val="21"/>
              </w:rPr>
              <w:t>赫兹和 </w:t>
            </w:r>
            <w:r>
              <w:rPr>
                <w:sz w:val="21"/>
              </w:rPr>
              <w:t>2000</w:t>
            </w:r>
            <w:r>
              <w:rPr>
                <w:spacing w:val="-7"/>
                <w:sz w:val="21"/>
              </w:rPr>
              <w:t> 赫兹语音频率下，平均听阈大于 </w:t>
            </w:r>
            <w:r>
              <w:rPr>
                <w:sz w:val="21"/>
              </w:rPr>
              <w:t>90</w:t>
            </w:r>
            <w:r>
              <w:rPr>
                <w:spacing w:val="-6"/>
                <w:sz w:val="21"/>
              </w:rPr>
              <w:t> 分贝，且经纯音听力测试、声导</w:t>
            </w:r>
            <w:r>
              <w:rPr>
                <w:spacing w:val="-4"/>
                <w:sz w:val="21"/>
              </w:rPr>
              <w:t>抗检测或者听觉诱发电位检测等证实。</w:t>
            </w:r>
          </w:p>
          <w:p>
            <w:pPr>
              <w:pStyle w:val="TableParagraph"/>
              <w:spacing w:before="7"/>
              <w:ind w:left="529"/>
              <w:rPr>
                <w:b/>
                <w:sz w:val="21"/>
              </w:rPr>
            </w:pPr>
            <w:r>
              <w:rPr>
                <w:b/>
                <w:sz w:val="21"/>
              </w:rPr>
              <w:t>被保险人在三周岁之前因疾病导致的单耳失聪不在保障范围内。</w:t>
            </w:r>
          </w:p>
        </w:tc>
      </w:tr>
      <w:tr>
        <w:trPr>
          <w:trHeight w:val="1977" w:hRule="atLeast"/>
        </w:trPr>
        <w:tc>
          <w:tcPr>
            <w:tcW w:w="1016" w:type="dxa"/>
          </w:tcPr>
          <w:p>
            <w:pPr>
              <w:pStyle w:val="TableParagraph"/>
              <w:ind w:left="200"/>
              <w:rPr>
                <w:b/>
                <w:sz w:val="21"/>
              </w:rPr>
            </w:pPr>
            <w:r>
              <w:rPr>
                <w:b/>
                <w:sz w:val="21"/>
              </w:rPr>
              <w:t>6.9.21</w:t>
            </w:r>
          </w:p>
        </w:tc>
        <w:tc>
          <w:tcPr>
            <w:tcW w:w="1206" w:type="dxa"/>
          </w:tcPr>
          <w:p>
            <w:pPr>
              <w:pStyle w:val="TableParagraph"/>
              <w:spacing w:line="273" w:lineRule="auto"/>
              <w:ind w:left="180" w:right="178"/>
              <w:jc w:val="both"/>
              <w:rPr>
                <w:b/>
                <w:sz w:val="21"/>
              </w:rPr>
            </w:pPr>
            <w:r>
              <w:rPr>
                <w:b/>
                <w:sz w:val="21"/>
              </w:rPr>
              <w:t>微创冠状动脉搭桥手术</w:t>
            </w:r>
          </w:p>
        </w:tc>
        <w:tc>
          <w:tcPr>
            <w:tcW w:w="7668" w:type="dxa"/>
          </w:tcPr>
          <w:p>
            <w:pPr>
              <w:pStyle w:val="TableParagraph"/>
              <w:spacing w:line="273" w:lineRule="auto"/>
              <w:ind w:left="107" w:right="-15" w:firstLine="420"/>
              <w:rPr>
                <w:sz w:val="21"/>
              </w:rPr>
            </w:pPr>
            <w:r>
              <w:rPr>
                <w:spacing w:val="-4"/>
                <w:sz w:val="21"/>
              </w:rPr>
              <w:t>指为纠正冠状动脉的狭窄或堵塞，而实际实施的微创冠状动脉旁路移植手术。</w:t>
            </w:r>
            <w:r>
              <w:rPr>
                <w:spacing w:val="-3"/>
                <w:sz w:val="21"/>
              </w:rPr>
              <w:t>手术通过微创开胸术</w:t>
            </w:r>
            <w:r>
              <w:rPr>
                <w:sz w:val="21"/>
              </w:rPr>
              <w:t>（</w:t>
            </w:r>
            <w:r>
              <w:rPr>
                <w:spacing w:val="-3"/>
                <w:sz w:val="21"/>
              </w:rPr>
              <w:t>肋骨间小切口</w:t>
            </w:r>
            <w:r>
              <w:rPr>
                <w:sz w:val="21"/>
              </w:rPr>
              <w:t>）</w:t>
            </w:r>
            <w:r>
              <w:rPr>
                <w:spacing w:val="-3"/>
                <w:sz w:val="21"/>
              </w:rPr>
              <w:t>进行，且诊断须由冠状动脉血管造影检查 确诊狭窄或堵塞。微创冠状动脉绕道也包括“锁孔”冠脉搭桥手术。</w:t>
            </w:r>
          </w:p>
          <w:p>
            <w:pPr>
              <w:pStyle w:val="TableParagraph"/>
              <w:spacing w:before="7"/>
              <w:ind w:left="107"/>
              <w:rPr>
                <w:sz w:val="21"/>
              </w:rPr>
            </w:pPr>
            <w:r>
              <w:rPr>
                <w:sz w:val="21"/>
              </w:rPr>
              <w:t>必须满足下列全部条件：</w:t>
            </w:r>
          </w:p>
          <w:p>
            <w:pPr>
              <w:pStyle w:val="TableParagraph"/>
              <w:spacing w:before="37"/>
              <w:ind w:left="527"/>
              <w:rPr>
                <w:sz w:val="21"/>
              </w:rPr>
            </w:pPr>
            <w:r>
              <w:rPr>
                <w:sz w:val="21"/>
              </w:rPr>
              <w:t>1.血管造影显示至少两支冠状动脉狭窄超过50%或一支冠状动脉狭窄超过</w:t>
            </w:r>
          </w:p>
          <w:p>
            <w:pPr>
              <w:pStyle w:val="TableParagraph"/>
              <w:spacing w:line="255" w:lineRule="exact" w:before="36"/>
              <w:ind w:left="107"/>
              <w:rPr>
                <w:sz w:val="21"/>
              </w:rPr>
            </w:pPr>
            <w:r>
              <w:rPr>
                <w:sz w:val="21"/>
              </w:rPr>
              <w:t>70%；</w:t>
            </w:r>
          </w:p>
        </w:tc>
      </w:tr>
    </w:tbl>
    <w:p>
      <w:pPr>
        <w:spacing w:after="0" w:line="255" w:lineRule="exact"/>
        <w:rPr>
          <w:sz w:val="21"/>
        </w:rPr>
        <w:sectPr>
          <w:pgSz w:w="11910" w:h="16840"/>
          <w:pgMar w:header="871" w:footer="992" w:top="1060" w:bottom="1180" w:left="680" w:right="1120"/>
        </w:sectPr>
      </w:pPr>
    </w:p>
    <w:p>
      <w:pPr>
        <w:pStyle w:val="BodyText"/>
        <w:rPr>
          <w:rFonts w:ascii="Times New Roman"/>
          <w:sz w:val="2"/>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
        <w:gridCol w:w="1169"/>
        <w:gridCol w:w="7706"/>
      </w:tblGrid>
      <w:tr>
        <w:trPr>
          <w:trHeight w:val="748" w:hRule="atLeast"/>
        </w:trPr>
        <w:tc>
          <w:tcPr>
            <w:tcW w:w="1016" w:type="dxa"/>
            <w:tcBorders>
              <w:top w:val="single" w:sz="18" w:space="0" w:color="000000"/>
            </w:tcBorders>
          </w:tcPr>
          <w:p>
            <w:pPr>
              <w:pStyle w:val="TableParagraph"/>
              <w:spacing w:before="0"/>
              <w:ind w:left="0"/>
              <w:rPr>
                <w:rFonts w:ascii="Times New Roman"/>
                <w:sz w:val="20"/>
              </w:rPr>
            </w:pPr>
          </w:p>
        </w:tc>
        <w:tc>
          <w:tcPr>
            <w:tcW w:w="1169" w:type="dxa"/>
            <w:tcBorders>
              <w:top w:val="single" w:sz="18" w:space="0" w:color="000000"/>
            </w:tcBorders>
          </w:tcPr>
          <w:p>
            <w:pPr>
              <w:pStyle w:val="TableParagraph"/>
              <w:spacing w:before="0"/>
              <w:ind w:left="0"/>
              <w:rPr>
                <w:rFonts w:ascii="Times New Roman"/>
                <w:sz w:val="20"/>
              </w:rPr>
            </w:pPr>
          </w:p>
        </w:tc>
        <w:tc>
          <w:tcPr>
            <w:tcW w:w="7706" w:type="dxa"/>
            <w:tcBorders>
              <w:top w:val="single" w:sz="18" w:space="0" w:color="000000"/>
            </w:tcBorders>
          </w:tcPr>
          <w:p>
            <w:pPr>
              <w:pStyle w:val="TableParagraph"/>
              <w:spacing w:before="2"/>
              <w:ind w:left="0"/>
              <w:rPr>
                <w:rFonts w:ascii="Times New Roman"/>
                <w:sz w:val="23"/>
              </w:rPr>
            </w:pPr>
          </w:p>
          <w:p>
            <w:pPr>
              <w:pStyle w:val="TableParagraph"/>
              <w:spacing w:before="0"/>
              <w:rPr>
                <w:sz w:val="21"/>
              </w:rPr>
            </w:pPr>
            <w:r>
              <w:rPr>
                <w:sz w:val="21"/>
              </w:rPr>
              <w:t>2.手术须由心脏专科医生进行，并确认该手术的必要性。</w:t>
            </w:r>
          </w:p>
        </w:tc>
      </w:tr>
      <w:tr>
        <w:trPr>
          <w:trHeight w:val="1872" w:hRule="atLeast"/>
        </w:trPr>
        <w:tc>
          <w:tcPr>
            <w:tcW w:w="1016" w:type="dxa"/>
          </w:tcPr>
          <w:p>
            <w:pPr>
              <w:pStyle w:val="TableParagraph"/>
              <w:ind w:left="200"/>
              <w:rPr>
                <w:b/>
                <w:sz w:val="21"/>
              </w:rPr>
            </w:pPr>
            <w:r>
              <w:rPr>
                <w:b/>
                <w:sz w:val="21"/>
              </w:rPr>
              <w:t>6.9.22</w:t>
            </w:r>
          </w:p>
        </w:tc>
        <w:tc>
          <w:tcPr>
            <w:tcW w:w="1169" w:type="dxa"/>
          </w:tcPr>
          <w:p>
            <w:pPr>
              <w:pStyle w:val="TableParagraph"/>
              <w:spacing w:line="273" w:lineRule="auto"/>
              <w:ind w:left="180" w:right="141"/>
              <w:rPr>
                <w:b/>
                <w:sz w:val="21"/>
              </w:rPr>
            </w:pPr>
            <w:r>
              <w:rPr>
                <w:b/>
                <w:sz w:val="21"/>
              </w:rPr>
              <w:t>Ⅲ度房室传导阻滞</w:t>
            </w:r>
          </w:p>
          <w:p>
            <w:pPr>
              <w:pStyle w:val="TableParagraph"/>
              <w:spacing w:line="273" w:lineRule="auto" w:before="7"/>
              <w:ind w:left="180" w:right="141"/>
              <w:rPr>
                <w:b/>
                <w:sz w:val="21"/>
              </w:rPr>
            </w:pPr>
            <w:r>
              <w:rPr>
                <w:b/>
                <w:sz w:val="21"/>
              </w:rPr>
              <w:t>-已放置心脏起搏器</w:t>
            </w:r>
          </w:p>
        </w:tc>
        <w:tc>
          <w:tcPr>
            <w:tcW w:w="7706" w:type="dxa"/>
          </w:tcPr>
          <w:p>
            <w:pPr>
              <w:pStyle w:val="TableParagraph"/>
              <w:spacing w:line="273" w:lineRule="auto"/>
              <w:ind w:left="144" w:right="202" w:firstLine="420"/>
              <w:rPr>
                <w:sz w:val="21"/>
              </w:rPr>
            </w:pPr>
            <w:r>
              <w:rPr>
                <w:sz w:val="21"/>
              </w:rPr>
              <w:t>指心房激动在房室交界区、房室束及其分支内发生阻滞，不能正常地传到心室的心脏传导性疾病须满足下列所有条件：</w:t>
            </w:r>
          </w:p>
          <w:p>
            <w:pPr>
              <w:pStyle w:val="TableParagraph"/>
              <w:spacing w:before="7"/>
              <w:rPr>
                <w:sz w:val="21"/>
              </w:rPr>
            </w:pPr>
            <w:r>
              <w:rPr>
                <w:sz w:val="21"/>
              </w:rPr>
              <w:t>1.心电图显示房室搏动彼此独立，心室率&lt;50次/分钟；</w:t>
            </w:r>
          </w:p>
          <w:p>
            <w:pPr>
              <w:pStyle w:val="TableParagraph"/>
              <w:spacing w:before="37"/>
              <w:rPr>
                <w:sz w:val="21"/>
              </w:rPr>
            </w:pPr>
            <w:r>
              <w:rPr>
                <w:sz w:val="21"/>
              </w:rPr>
              <w:t>2.出现阿-斯综合征或心力衰竭的表现；</w:t>
            </w:r>
          </w:p>
          <w:p>
            <w:pPr>
              <w:pStyle w:val="TableParagraph"/>
              <w:spacing w:before="37"/>
              <w:rPr>
                <w:sz w:val="21"/>
              </w:rPr>
            </w:pPr>
            <w:r>
              <w:rPr>
                <w:sz w:val="21"/>
              </w:rPr>
              <w:t>3.必须持续性依赖心脏起搏器维持心脏正常功能，且已经放置心脏起搏器。</w:t>
            </w:r>
          </w:p>
        </w:tc>
      </w:tr>
      <w:tr>
        <w:trPr>
          <w:trHeight w:val="2184" w:hRule="atLeast"/>
        </w:trPr>
        <w:tc>
          <w:tcPr>
            <w:tcW w:w="1016" w:type="dxa"/>
          </w:tcPr>
          <w:p>
            <w:pPr>
              <w:pStyle w:val="TableParagraph"/>
              <w:ind w:left="200"/>
              <w:rPr>
                <w:b/>
                <w:sz w:val="21"/>
              </w:rPr>
            </w:pPr>
            <w:r>
              <w:rPr>
                <w:b/>
                <w:sz w:val="21"/>
              </w:rPr>
              <w:t>6.9.23</w:t>
            </w:r>
          </w:p>
        </w:tc>
        <w:tc>
          <w:tcPr>
            <w:tcW w:w="1169" w:type="dxa"/>
          </w:tcPr>
          <w:p>
            <w:pPr>
              <w:pStyle w:val="TableParagraph"/>
              <w:spacing w:line="273" w:lineRule="auto"/>
              <w:ind w:left="180" w:right="141"/>
              <w:jc w:val="both"/>
              <w:rPr>
                <w:b/>
                <w:sz w:val="21"/>
              </w:rPr>
            </w:pPr>
            <w:r>
              <w:rPr>
                <w:b/>
                <w:sz w:val="21"/>
              </w:rPr>
              <w:t>于颈动脉进行血管成形术或内膜切除术</w:t>
            </w:r>
          </w:p>
        </w:tc>
        <w:tc>
          <w:tcPr>
            <w:tcW w:w="7706" w:type="dxa"/>
          </w:tcPr>
          <w:p>
            <w:pPr>
              <w:pStyle w:val="TableParagraph"/>
              <w:spacing w:line="273" w:lineRule="auto"/>
              <w:ind w:left="144" w:right="103" w:firstLine="420"/>
              <w:jc w:val="both"/>
              <w:rPr>
                <w:sz w:val="21"/>
              </w:rPr>
            </w:pPr>
            <w:r>
              <w:rPr>
                <w:spacing w:val="-10"/>
                <w:sz w:val="21"/>
              </w:rPr>
              <w:t>指根据颈动脉造影检查结果，确诊一条或以上颈动脉存在严重狭窄性病变</w:t>
            </w:r>
            <w:r>
              <w:rPr>
                <w:spacing w:val="-3"/>
                <w:sz w:val="21"/>
              </w:rPr>
              <w:t>（</w:t>
            </w:r>
            <w:r>
              <w:rPr>
                <w:sz w:val="21"/>
              </w:rPr>
              <w:t>至</w:t>
            </w:r>
            <w:r>
              <w:rPr>
                <w:spacing w:val="-3"/>
                <w:sz w:val="21"/>
              </w:rPr>
              <w:t>少一支血管管腔直径减少</w:t>
            </w:r>
            <w:r>
              <w:rPr>
                <w:sz w:val="21"/>
              </w:rPr>
              <w:t>50%</w:t>
            </w:r>
            <w:r>
              <w:rPr>
                <w:spacing w:val="-2"/>
                <w:sz w:val="21"/>
              </w:rPr>
              <w:t>以上</w:t>
            </w:r>
            <w:r>
              <w:rPr>
                <w:spacing w:val="-3"/>
                <w:sz w:val="21"/>
              </w:rPr>
              <w:t>）。本病须经国家机关认可的有合法资质的专科医生明确诊断，同时必须已经采取以下手术以减轻症状：</w:t>
            </w:r>
          </w:p>
          <w:p>
            <w:pPr>
              <w:pStyle w:val="TableParagraph"/>
              <w:spacing w:before="7"/>
              <w:rPr>
                <w:sz w:val="21"/>
              </w:rPr>
            </w:pPr>
            <w:r>
              <w:rPr>
                <w:sz w:val="21"/>
              </w:rPr>
              <w:t>1.确实进行动脉内膜切除术；</w:t>
            </w:r>
          </w:p>
          <w:p>
            <w:pPr>
              <w:pStyle w:val="TableParagraph"/>
              <w:spacing w:line="273" w:lineRule="auto" w:before="36"/>
              <w:ind w:left="144" w:right="101" w:firstLine="420"/>
              <w:jc w:val="both"/>
              <w:rPr>
                <w:sz w:val="21"/>
              </w:rPr>
            </w:pPr>
            <w:r>
              <w:rPr>
                <w:sz w:val="21"/>
              </w:rPr>
              <w:t>2.确实进行血管介入治疗，例如血管成形术及/或进行植入支架或动脉粥样瘤清除手术。</w:t>
            </w:r>
          </w:p>
        </w:tc>
      </w:tr>
      <w:tr>
        <w:trPr>
          <w:trHeight w:val="1559" w:hRule="atLeast"/>
        </w:trPr>
        <w:tc>
          <w:tcPr>
            <w:tcW w:w="1016" w:type="dxa"/>
          </w:tcPr>
          <w:p>
            <w:pPr>
              <w:pStyle w:val="TableParagraph"/>
              <w:ind w:left="200"/>
              <w:rPr>
                <w:b/>
                <w:sz w:val="21"/>
              </w:rPr>
            </w:pPr>
            <w:r>
              <w:rPr>
                <w:b/>
                <w:sz w:val="21"/>
              </w:rPr>
              <w:t>6.9.24</w:t>
            </w:r>
          </w:p>
        </w:tc>
        <w:tc>
          <w:tcPr>
            <w:tcW w:w="1169" w:type="dxa"/>
          </w:tcPr>
          <w:p>
            <w:pPr>
              <w:pStyle w:val="TableParagraph"/>
              <w:spacing w:line="273" w:lineRule="auto"/>
              <w:ind w:left="180" w:right="141"/>
              <w:rPr>
                <w:b/>
                <w:sz w:val="21"/>
              </w:rPr>
            </w:pPr>
            <w:r>
              <w:rPr>
                <w:b/>
                <w:sz w:val="21"/>
              </w:rPr>
              <w:t>心包膜切除术</w:t>
            </w:r>
          </w:p>
        </w:tc>
        <w:tc>
          <w:tcPr>
            <w:tcW w:w="7706" w:type="dxa"/>
          </w:tcPr>
          <w:p>
            <w:pPr>
              <w:pStyle w:val="TableParagraph"/>
              <w:spacing w:line="273" w:lineRule="auto"/>
              <w:ind w:left="144" w:right="102" w:firstLine="420"/>
              <w:rPr>
                <w:sz w:val="21"/>
              </w:rPr>
            </w:pPr>
            <w:r>
              <w:rPr>
                <w:sz w:val="21"/>
              </w:rPr>
              <w:t>因心包膜疾病导致已接受心包膜切除术或已进行任何需要心脏小切口技术的手术。</w:t>
            </w:r>
          </w:p>
          <w:p>
            <w:pPr>
              <w:pStyle w:val="TableParagraph"/>
              <w:spacing w:line="273" w:lineRule="auto" w:before="7"/>
              <w:ind w:left="144" w:right="105" w:firstLine="422"/>
              <w:rPr>
                <w:b/>
                <w:sz w:val="21"/>
              </w:rPr>
            </w:pPr>
            <w:r>
              <w:rPr>
                <w:b/>
                <w:sz w:val="21"/>
              </w:rPr>
              <w:t>此手术必须在在本公司认可医院内由心脏科医生认为是医学上必需的情况下进行。</w:t>
            </w:r>
          </w:p>
        </w:tc>
      </w:tr>
      <w:tr>
        <w:trPr>
          <w:trHeight w:val="936" w:hRule="atLeast"/>
        </w:trPr>
        <w:tc>
          <w:tcPr>
            <w:tcW w:w="1016" w:type="dxa"/>
          </w:tcPr>
          <w:p>
            <w:pPr>
              <w:pStyle w:val="TableParagraph"/>
              <w:ind w:left="200"/>
              <w:rPr>
                <w:b/>
                <w:sz w:val="21"/>
              </w:rPr>
            </w:pPr>
            <w:r>
              <w:rPr>
                <w:b/>
                <w:sz w:val="21"/>
              </w:rPr>
              <w:t>6.9.25</w:t>
            </w:r>
          </w:p>
        </w:tc>
        <w:tc>
          <w:tcPr>
            <w:tcW w:w="1169" w:type="dxa"/>
          </w:tcPr>
          <w:p>
            <w:pPr>
              <w:pStyle w:val="TableParagraph"/>
              <w:spacing w:line="273" w:lineRule="auto"/>
              <w:ind w:left="180" w:right="141"/>
              <w:rPr>
                <w:b/>
                <w:sz w:val="21"/>
              </w:rPr>
            </w:pPr>
            <w:r>
              <w:rPr>
                <w:b/>
                <w:sz w:val="21"/>
              </w:rPr>
              <w:t>脑炎或脑膜炎</w:t>
            </w:r>
          </w:p>
        </w:tc>
        <w:tc>
          <w:tcPr>
            <w:tcW w:w="7706" w:type="dxa"/>
          </w:tcPr>
          <w:p>
            <w:pPr>
              <w:pStyle w:val="TableParagraph"/>
              <w:rPr>
                <w:sz w:val="21"/>
              </w:rPr>
            </w:pPr>
            <w:r>
              <w:rPr>
                <w:sz w:val="21"/>
              </w:rPr>
              <w:t>因感染脑炎或脑膜炎住院至少 3 个月。</w:t>
            </w:r>
          </w:p>
          <w:p>
            <w:pPr>
              <w:pStyle w:val="TableParagraph"/>
              <w:spacing w:before="37"/>
              <w:ind w:left="566"/>
              <w:rPr>
                <w:b/>
                <w:sz w:val="21"/>
              </w:rPr>
            </w:pPr>
            <w:r>
              <w:rPr>
                <w:b/>
                <w:sz w:val="21"/>
              </w:rPr>
              <w:t>此诊断必须在本公司认可医院内由专科医生是医疗必须的情况下进行。</w:t>
            </w:r>
          </w:p>
        </w:tc>
      </w:tr>
      <w:tr>
        <w:trPr>
          <w:trHeight w:val="1247" w:hRule="atLeast"/>
        </w:trPr>
        <w:tc>
          <w:tcPr>
            <w:tcW w:w="1016" w:type="dxa"/>
          </w:tcPr>
          <w:p>
            <w:pPr>
              <w:pStyle w:val="TableParagraph"/>
              <w:ind w:left="200"/>
              <w:rPr>
                <w:b/>
                <w:sz w:val="21"/>
              </w:rPr>
            </w:pPr>
            <w:r>
              <w:rPr>
                <w:b/>
                <w:sz w:val="21"/>
              </w:rPr>
              <w:t>6.9.26</w:t>
            </w:r>
          </w:p>
        </w:tc>
        <w:tc>
          <w:tcPr>
            <w:tcW w:w="1169" w:type="dxa"/>
          </w:tcPr>
          <w:p>
            <w:pPr>
              <w:pStyle w:val="TableParagraph"/>
              <w:spacing w:line="273" w:lineRule="auto"/>
              <w:ind w:left="180" w:right="141"/>
              <w:rPr>
                <w:b/>
                <w:sz w:val="21"/>
              </w:rPr>
            </w:pPr>
            <w:r>
              <w:rPr>
                <w:b/>
                <w:sz w:val="21"/>
              </w:rPr>
              <w:t>硬脑膜下血肿手术</w:t>
            </w:r>
          </w:p>
        </w:tc>
        <w:tc>
          <w:tcPr>
            <w:tcW w:w="7706" w:type="dxa"/>
          </w:tcPr>
          <w:p>
            <w:pPr>
              <w:pStyle w:val="TableParagraph"/>
              <w:rPr>
                <w:sz w:val="21"/>
              </w:rPr>
            </w:pPr>
            <w:r>
              <w:rPr>
                <w:sz w:val="21"/>
              </w:rPr>
              <w:t>为清除或引流因意外导致的血肿，需于头部进行开颅或钻孔手术。</w:t>
            </w:r>
          </w:p>
          <w:p>
            <w:pPr>
              <w:pStyle w:val="TableParagraph"/>
              <w:spacing w:line="273" w:lineRule="auto" w:before="36"/>
              <w:ind w:left="144" w:right="107" w:firstLine="422"/>
              <w:rPr>
                <w:b/>
                <w:sz w:val="21"/>
              </w:rPr>
            </w:pPr>
            <w:r>
              <w:rPr>
                <w:b/>
                <w:sz w:val="21"/>
              </w:rPr>
              <w:t>开颅或钻孔手术必须在本公司认可医院内由专科医生认为是医疗必须的情况下进行。</w:t>
            </w:r>
          </w:p>
        </w:tc>
      </w:tr>
      <w:tr>
        <w:trPr>
          <w:trHeight w:val="1560" w:hRule="atLeast"/>
        </w:trPr>
        <w:tc>
          <w:tcPr>
            <w:tcW w:w="1016" w:type="dxa"/>
          </w:tcPr>
          <w:p>
            <w:pPr>
              <w:pStyle w:val="TableParagraph"/>
              <w:ind w:left="200"/>
              <w:rPr>
                <w:b/>
                <w:sz w:val="21"/>
              </w:rPr>
            </w:pPr>
            <w:r>
              <w:rPr>
                <w:b/>
                <w:sz w:val="21"/>
              </w:rPr>
              <w:t>6.9.27</w:t>
            </w:r>
          </w:p>
        </w:tc>
        <w:tc>
          <w:tcPr>
            <w:tcW w:w="1169" w:type="dxa"/>
          </w:tcPr>
          <w:p>
            <w:pPr>
              <w:pStyle w:val="TableParagraph"/>
              <w:spacing w:line="273" w:lineRule="auto"/>
              <w:ind w:left="180" w:right="141"/>
              <w:jc w:val="both"/>
              <w:rPr>
                <w:b/>
                <w:sz w:val="21"/>
              </w:rPr>
            </w:pPr>
            <w:r>
              <w:rPr>
                <w:b/>
                <w:sz w:val="21"/>
              </w:rPr>
              <w:t>严重阻塞性睡眠窒息症</w:t>
            </w:r>
          </w:p>
        </w:tc>
        <w:tc>
          <w:tcPr>
            <w:tcW w:w="7706" w:type="dxa"/>
          </w:tcPr>
          <w:p>
            <w:pPr>
              <w:pStyle w:val="TableParagraph"/>
              <w:spacing w:line="273" w:lineRule="auto"/>
              <w:ind w:left="144" w:right="202" w:firstLine="420"/>
              <w:rPr>
                <w:sz w:val="21"/>
              </w:rPr>
            </w:pPr>
            <w:r>
              <w:rPr>
                <w:sz w:val="21"/>
              </w:rPr>
              <w:t>须由相关医学范畴的注册专科医生，经多导睡眠监测仪检查明确诊断为严重阻塞性睡眠呼吸暂停综合征(OSA)，并必须符合以下两项条件：</w:t>
            </w:r>
          </w:p>
          <w:p>
            <w:pPr>
              <w:pStyle w:val="TableParagraph"/>
              <w:spacing w:before="7"/>
              <w:rPr>
                <w:sz w:val="21"/>
              </w:rPr>
            </w:pPr>
            <w:r>
              <w:rPr>
                <w:sz w:val="21"/>
              </w:rPr>
              <w:t>1.被保险人必须现正接受持续气道正压呼吸器(CPAP)之夜间治疗；及</w:t>
            </w:r>
          </w:p>
          <w:p>
            <w:pPr>
              <w:pStyle w:val="TableParagraph"/>
              <w:spacing w:before="37"/>
              <w:rPr>
                <w:sz w:val="21"/>
              </w:rPr>
            </w:pPr>
            <w:r>
              <w:rPr>
                <w:sz w:val="21"/>
              </w:rPr>
              <w:t>2.</w:t>
            </w:r>
            <w:r>
              <w:rPr>
                <w:spacing w:val="-3"/>
                <w:sz w:val="21"/>
              </w:rPr>
              <w:t>必须提供睡眠测试的文件证明，显示</w:t>
            </w:r>
            <w:r>
              <w:rPr>
                <w:sz w:val="21"/>
              </w:rPr>
              <w:t>AHI</w:t>
            </w:r>
            <w:r>
              <w:rPr>
                <w:spacing w:val="3"/>
                <w:sz w:val="21"/>
              </w:rPr>
              <w:t> &gt; </w:t>
            </w:r>
            <w:r>
              <w:rPr>
                <w:sz w:val="21"/>
              </w:rPr>
              <w:t>30</w:t>
            </w:r>
            <w:r>
              <w:rPr>
                <w:spacing w:val="-3"/>
                <w:sz w:val="21"/>
              </w:rPr>
              <w:t>及夜间血氧饱和平均值&lt; </w:t>
            </w:r>
            <w:r>
              <w:rPr>
                <w:sz w:val="21"/>
              </w:rPr>
              <w:t>85。</w:t>
            </w:r>
          </w:p>
        </w:tc>
      </w:tr>
      <w:tr>
        <w:trPr>
          <w:trHeight w:val="3432" w:hRule="atLeast"/>
        </w:trPr>
        <w:tc>
          <w:tcPr>
            <w:tcW w:w="1016" w:type="dxa"/>
          </w:tcPr>
          <w:p>
            <w:pPr>
              <w:pStyle w:val="TableParagraph"/>
              <w:spacing w:before="143"/>
              <w:ind w:left="200"/>
              <w:rPr>
                <w:b/>
                <w:sz w:val="21"/>
              </w:rPr>
            </w:pPr>
            <w:r>
              <w:rPr>
                <w:b/>
                <w:sz w:val="21"/>
              </w:rPr>
              <w:t>6.9.28</w:t>
            </w:r>
          </w:p>
        </w:tc>
        <w:tc>
          <w:tcPr>
            <w:tcW w:w="1169" w:type="dxa"/>
          </w:tcPr>
          <w:p>
            <w:pPr>
              <w:pStyle w:val="TableParagraph"/>
              <w:spacing w:line="273" w:lineRule="auto" w:before="143"/>
              <w:ind w:left="180" w:right="141"/>
              <w:jc w:val="both"/>
              <w:rPr>
                <w:b/>
                <w:sz w:val="21"/>
              </w:rPr>
            </w:pPr>
            <w:r>
              <w:rPr>
                <w:b/>
                <w:sz w:val="21"/>
              </w:rPr>
              <w:t>因意外毁容而施行的面部整形手术</w:t>
            </w:r>
          </w:p>
        </w:tc>
        <w:tc>
          <w:tcPr>
            <w:tcW w:w="7706" w:type="dxa"/>
          </w:tcPr>
          <w:p>
            <w:pPr>
              <w:pStyle w:val="TableParagraph"/>
              <w:spacing w:line="273" w:lineRule="auto" w:before="143"/>
              <w:ind w:left="144" w:right="202" w:firstLine="420"/>
              <w:jc w:val="both"/>
              <w:rPr>
                <w:sz w:val="21"/>
              </w:rPr>
            </w:pPr>
            <w:r>
              <w:rPr>
                <w:sz w:val="21"/>
              </w:rPr>
              <w:t>指为修复意外伤害或暴力袭击造成的面部毁损，实际接受了在全身麻醉的情況下，由整形外科医生实施的对严重缺陷、缺失、损害或变形的面部形态和结构进行修复或重建的面部整形手术，但未达到重大疾病“6.6.80严重面部烧伤”的给付标准。</w:t>
            </w:r>
          </w:p>
          <w:p>
            <w:pPr>
              <w:pStyle w:val="TableParagraph"/>
              <w:spacing w:before="8"/>
              <w:rPr>
                <w:sz w:val="21"/>
              </w:rPr>
            </w:pPr>
            <w:r>
              <w:rPr>
                <w:sz w:val="21"/>
              </w:rPr>
              <w:t>面部整形手术必须在意外伤害后的180天内实施。</w:t>
            </w:r>
          </w:p>
          <w:p>
            <w:pPr>
              <w:pStyle w:val="TableParagraph"/>
              <w:spacing w:line="273" w:lineRule="auto" w:before="37"/>
              <w:ind w:right="179" w:firstLine="2"/>
              <w:rPr>
                <w:sz w:val="21"/>
              </w:rPr>
            </w:pPr>
            <w:r>
              <w:rPr>
                <w:b/>
                <w:sz w:val="21"/>
              </w:rPr>
              <w:t>因面部外伤后遗留的线条状瘢痕及色素沉着而施行的手术不在保障范围内。</w:t>
            </w:r>
            <w:r>
              <w:rPr>
                <w:sz w:val="21"/>
              </w:rPr>
              <w:t>意外伤害必须满足下列全部条件：</w:t>
            </w:r>
          </w:p>
          <w:p>
            <w:pPr>
              <w:pStyle w:val="TableParagraph"/>
              <w:spacing w:line="273" w:lineRule="auto" w:before="7"/>
              <w:ind w:left="144" w:right="202" w:firstLine="420"/>
              <w:jc w:val="both"/>
              <w:rPr>
                <w:sz w:val="21"/>
              </w:rPr>
            </w:pPr>
            <w:r>
              <w:rPr>
                <w:sz w:val="21"/>
              </w:rPr>
              <w:t>1.由外在暴力引起并且造成表面可视性伤口和面部骨结构损害的，或面部皮肤三度或全层意外烧伤；</w:t>
            </w:r>
          </w:p>
          <w:p>
            <w:pPr>
              <w:pStyle w:val="TableParagraph"/>
              <w:spacing w:before="7"/>
              <w:rPr>
                <w:sz w:val="21"/>
              </w:rPr>
            </w:pPr>
            <w:r>
              <w:rPr>
                <w:sz w:val="21"/>
              </w:rPr>
              <w:t>2.是造成面部毁损的直接和独立的原因。</w:t>
            </w:r>
          </w:p>
        </w:tc>
      </w:tr>
      <w:tr>
        <w:trPr>
          <w:trHeight w:val="417" w:hRule="atLeast"/>
        </w:trPr>
        <w:tc>
          <w:tcPr>
            <w:tcW w:w="1016" w:type="dxa"/>
          </w:tcPr>
          <w:p>
            <w:pPr>
              <w:pStyle w:val="TableParagraph"/>
              <w:spacing w:line="255" w:lineRule="exact" w:before="143"/>
              <w:ind w:left="200"/>
              <w:rPr>
                <w:b/>
                <w:sz w:val="21"/>
              </w:rPr>
            </w:pPr>
            <w:r>
              <w:rPr>
                <w:b/>
                <w:sz w:val="21"/>
              </w:rPr>
              <w:t>6.9.29</w:t>
            </w:r>
          </w:p>
        </w:tc>
        <w:tc>
          <w:tcPr>
            <w:tcW w:w="1169" w:type="dxa"/>
          </w:tcPr>
          <w:p>
            <w:pPr>
              <w:pStyle w:val="TableParagraph"/>
              <w:spacing w:line="255" w:lineRule="exact" w:before="143"/>
              <w:ind w:left="180"/>
              <w:rPr>
                <w:b/>
                <w:sz w:val="21"/>
              </w:rPr>
            </w:pPr>
            <w:r>
              <w:rPr>
                <w:b/>
                <w:sz w:val="21"/>
              </w:rPr>
              <w:t>角膜移植</w:t>
            </w:r>
          </w:p>
        </w:tc>
        <w:tc>
          <w:tcPr>
            <w:tcW w:w="7706" w:type="dxa"/>
          </w:tcPr>
          <w:p>
            <w:pPr>
              <w:pStyle w:val="TableParagraph"/>
              <w:spacing w:line="255" w:lineRule="exact" w:before="143"/>
              <w:rPr>
                <w:sz w:val="21"/>
              </w:rPr>
            </w:pPr>
            <w:r>
              <w:rPr>
                <w:sz w:val="21"/>
              </w:rPr>
              <w:t>指为增进视力或治疗某些角膜疾患，已经实施了异体的角膜移植手术。</w:t>
            </w:r>
          </w:p>
        </w:tc>
      </w:tr>
    </w:tbl>
    <w:p>
      <w:pPr>
        <w:spacing w:after="0" w:line="255" w:lineRule="exact"/>
        <w:rPr>
          <w:sz w:val="21"/>
        </w:rPr>
        <w:sectPr>
          <w:pgSz w:w="11910" w:h="16840"/>
          <w:pgMar w:header="871" w:footer="992" w:top="1060" w:bottom="1180" w:left="680" w:right="1120"/>
        </w:sectPr>
      </w:pPr>
    </w:p>
    <w:p>
      <w:pPr>
        <w:pStyle w:val="BodyText"/>
        <w:rPr>
          <w:rFonts w:ascii="Times New Roman"/>
          <w:sz w:val="2"/>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
        <w:gridCol w:w="1169"/>
        <w:gridCol w:w="7710"/>
      </w:tblGrid>
      <w:tr>
        <w:trPr>
          <w:trHeight w:val="748" w:hRule="atLeast"/>
        </w:trPr>
        <w:tc>
          <w:tcPr>
            <w:tcW w:w="1016" w:type="dxa"/>
            <w:tcBorders>
              <w:top w:val="single" w:sz="18" w:space="0" w:color="000000"/>
            </w:tcBorders>
          </w:tcPr>
          <w:p>
            <w:pPr>
              <w:pStyle w:val="TableParagraph"/>
              <w:spacing w:before="0"/>
              <w:ind w:left="0"/>
              <w:rPr>
                <w:rFonts w:ascii="Times New Roman"/>
                <w:sz w:val="20"/>
              </w:rPr>
            </w:pPr>
          </w:p>
        </w:tc>
        <w:tc>
          <w:tcPr>
            <w:tcW w:w="1169" w:type="dxa"/>
            <w:tcBorders>
              <w:top w:val="single" w:sz="18" w:space="0" w:color="000000"/>
            </w:tcBorders>
          </w:tcPr>
          <w:p>
            <w:pPr>
              <w:pStyle w:val="TableParagraph"/>
              <w:spacing w:before="0"/>
              <w:ind w:left="0"/>
              <w:rPr>
                <w:rFonts w:ascii="Times New Roman"/>
                <w:sz w:val="20"/>
              </w:rPr>
            </w:pPr>
          </w:p>
        </w:tc>
        <w:tc>
          <w:tcPr>
            <w:tcW w:w="7710" w:type="dxa"/>
            <w:tcBorders>
              <w:top w:val="single" w:sz="18" w:space="0" w:color="000000"/>
            </w:tcBorders>
          </w:tcPr>
          <w:p>
            <w:pPr>
              <w:pStyle w:val="TableParagraph"/>
              <w:spacing w:before="2"/>
              <w:ind w:left="0"/>
              <w:rPr>
                <w:rFonts w:ascii="Times New Roman"/>
                <w:sz w:val="23"/>
              </w:rPr>
            </w:pPr>
          </w:p>
          <w:p>
            <w:pPr>
              <w:pStyle w:val="TableParagraph"/>
              <w:spacing w:before="0"/>
              <w:ind w:left="566"/>
              <w:rPr>
                <w:b/>
                <w:sz w:val="21"/>
              </w:rPr>
            </w:pPr>
            <w:r>
              <w:rPr>
                <w:b/>
                <w:sz w:val="21"/>
              </w:rPr>
              <w:t>此手术必须在本公司认可医院内由专科医生认为是医疗必须的情况下进行。</w:t>
            </w:r>
          </w:p>
        </w:tc>
      </w:tr>
      <w:tr>
        <w:trPr>
          <w:trHeight w:val="2184" w:hRule="atLeast"/>
        </w:trPr>
        <w:tc>
          <w:tcPr>
            <w:tcW w:w="1016" w:type="dxa"/>
          </w:tcPr>
          <w:p>
            <w:pPr>
              <w:pStyle w:val="TableParagraph"/>
              <w:ind w:left="200"/>
              <w:rPr>
                <w:b/>
                <w:sz w:val="21"/>
              </w:rPr>
            </w:pPr>
            <w:r>
              <w:rPr>
                <w:b/>
                <w:sz w:val="21"/>
              </w:rPr>
              <w:t>6.9.30</w:t>
            </w:r>
          </w:p>
        </w:tc>
        <w:tc>
          <w:tcPr>
            <w:tcW w:w="1169" w:type="dxa"/>
          </w:tcPr>
          <w:p>
            <w:pPr>
              <w:pStyle w:val="TableParagraph"/>
              <w:ind w:left="180"/>
              <w:rPr>
                <w:b/>
                <w:sz w:val="21"/>
              </w:rPr>
            </w:pPr>
            <w:r>
              <w:rPr>
                <w:b/>
                <w:sz w:val="21"/>
              </w:rPr>
              <w:t>单眼失明</w:t>
            </w:r>
          </w:p>
        </w:tc>
        <w:tc>
          <w:tcPr>
            <w:tcW w:w="7710" w:type="dxa"/>
          </w:tcPr>
          <w:p>
            <w:pPr>
              <w:pStyle w:val="TableParagraph"/>
              <w:spacing w:line="273" w:lineRule="auto"/>
              <w:ind w:left="144" w:right="206" w:firstLine="420"/>
              <w:rPr>
                <w:sz w:val="21"/>
              </w:rPr>
            </w:pPr>
            <w:r>
              <w:rPr>
                <w:sz w:val="21"/>
              </w:rPr>
              <w:t>指因疾病或意外伤害导致单眼视力永久不可逆性丧失，须满足下列至少一项条件：</w:t>
            </w:r>
          </w:p>
          <w:p>
            <w:pPr>
              <w:pStyle w:val="TableParagraph"/>
              <w:spacing w:before="7"/>
              <w:rPr>
                <w:sz w:val="21"/>
              </w:rPr>
            </w:pPr>
            <w:r>
              <w:rPr>
                <w:sz w:val="21"/>
              </w:rPr>
              <w:t>1.眼球缺失或摘除；</w:t>
            </w:r>
          </w:p>
          <w:p>
            <w:pPr>
              <w:pStyle w:val="TableParagraph"/>
              <w:spacing w:line="273" w:lineRule="auto" w:before="37"/>
              <w:ind w:left="144" w:right="206" w:firstLine="420"/>
              <w:rPr>
                <w:sz w:val="21"/>
              </w:rPr>
            </w:pPr>
            <w:r>
              <w:rPr>
                <w:sz w:val="21"/>
              </w:rPr>
              <w:t>2.矫正视力低于0.02（采用国际标准视力表，如果使用其它视力表应进行换算）；</w:t>
            </w:r>
          </w:p>
          <w:p>
            <w:pPr>
              <w:pStyle w:val="TableParagraph"/>
              <w:spacing w:before="7"/>
              <w:rPr>
                <w:sz w:val="21"/>
              </w:rPr>
            </w:pPr>
            <w:r>
              <w:rPr>
                <w:sz w:val="21"/>
              </w:rPr>
              <w:t>3.视野半径小于5度。</w:t>
            </w:r>
          </w:p>
        </w:tc>
      </w:tr>
      <w:tr>
        <w:trPr>
          <w:trHeight w:val="1872" w:hRule="atLeast"/>
        </w:trPr>
        <w:tc>
          <w:tcPr>
            <w:tcW w:w="1016" w:type="dxa"/>
          </w:tcPr>
          <w:p>
            <w:pPr>
              <w:pStyle w:val="TableParagraph"/>
              <w:ind w:left="200"/>
              <w:rPr>
                <w:b/>
                <w:sz w:val="21"/>
              </w:rPr>
            </w:pPr>
            <w:r>
              <w:rPr>
                <w:b/>
                <w:sz w:val="21"/>
              </w:rPr>
              <w:t>6.9.31</w:t>
            </w:r>
          </w:p>
        </w:tc>
        <w:tc>
          <w:tcPr>
            <w:tcW w:w="1169" w:type="dxa"/>
          </w:tcPr>
          <w:p>
            <w:pPr>
              <w:pStyle w:val="TableParagraph"/>
              <w:spacing w:line="273" w:lineRule="auto"/>
              <w:ind w:left="180" w:right="141"/>
              <w:jc w:val="both"/>
              <w:rPr>
                <w:b/>
                <w:sz w:val="21"/>
              </w:rPr>
            </w:pPr>
            <w:r>
              <w:rPr>
                <w:b/>
                <w:sz w:val="21"/>
              </w:rPr>
              <w:t>可逆性再生障碍性贫血</w:t>
            </w:r>
          </w:p>
        </w:tc>
        <w:tc>
          <w:tcPr>
            <w:tcW w:w="7710" w:type="dxa"/>
          </w:tcPr>
          <w:p>
            <w:pPr>
              <w:pStyle w:val="TableParagraph"/>
              <w:spacing w:line="273" w:lineRule="auto"/>
              <w:ind w:left="144" w:right="206" w:firstLine="420"/>
              <w:rPr>
                <w:sz w:val="21"/>
              </w:rPr>
            </w:pPr>
            <w:r>
              <w:rPr>
                <w:sz w:val="21"/>
              </w:rPr>
              <w:t>指因急性可逆性的骨髓造血功能衰竭而导致贫血、中性粒细胞减少和血小板减少，必须由血液科医生的诊断，且病历资料显示接受了下列任一治疗：</w:t>
            </w:r>
          </w:p>
          <w:p>
            <w:pPr>
              <w:pStyle w:val="TableParagraph"/>
              <w:spacing w:before="7"/>
              <w:rPr>
                <w:sz w:val="21"/>
              </w:rPr>
            </w:pPr>
            <w:r>
              <w:rPr>
                <w:sz w:val="21"/>
              </w:rPr>
              <w:t>1.骨髓刺激疗法至少1个月；</w:t>
            </w:r>
          </w:p>
          <w:p>
            <w:pPr>
              <w:pStyle w:val="TableParagraph"/>
              <w:spacing w:before="36"/>
              <w:rPr>
                <w:sz w:val="21"/>
              </w:rPr>
            </w:pPr>
            <w:r>
              <w:rPr>
                <w:sz w:val="21"/>
              </w:rPr>
              <w:t>2.免疫抑制剂治疗至少1个月；</w:t>
            </w:r>
          </w:p>
          <w:p>
            <w:pPr>
              <w:pStyle w:val="TableParagraph"/>
              <w:spacing w:before="36"/>
              <w:rPr>
                <w:sz w:val="21"/>
              </w:rPr>
            </w:pPr>
            <w:r>
              <w:rPr>
                <w:sz w:val="21"/>
              </w:rPr>
              <w:t>3.接受了骨髓移植。</w:t>
            </w:r>
          </w:p>
        </w:tc>
      </w:tr>
      <w:tr>
        <w:trPr>
          <w:trHeight w:val="2496" w:hRule="atLeast"/>
        </w:trPr>
        <w:tc>
          <w:tcPr>
            <w:tcW w:w="1016" w:type="dxa"/>
          </w:tcPr>
          <w:p>
            <w:pPr>
              <w:pStyle w:val="TableParagraph"/>
              <w:ind w:left="200"/>
              <w:rPr>
                <w:b/>
                <w:sz w:val="21"/>
              </w:rPr>
            </w:pPr>
            <w:r>
              <w:rPr>
                <w:b/>
                <w:sz w:val="21"/>
              </w:rPr>
              <w:t>6.9.32</w:t>
            </w:r>
          </w:p>
        </w:tc>
        <w:tc>
          <w:tcPr>
            <w:tcW w:w="1169" w:type="dxa"/>
          </w:tcPr>
          <w:p>
            <w:pPr>
              <w:pStyle w:val="TableParagraph"/>
              <w:spacing w:line="273" w:lineRule="auto"/>
              <w:ind w:left="180" w:right="141"/>
              <w:rPr>
                <w:b/>
                <w:sz w:val="21"/>
              </w:rPr>
            </w:pPr>
            <w:r>
              <w:rPr>
                <w:b/>
                <w:sz w:val="21"/>
              </w:rPr>
              <w:t>慢性肝功能衰竭</w:t>
            </w:r>
          </w:p>
        </w:tc>
        <w:tc>
          <w:tcPr>
            <w:tcW w:w="7710" w:type="dxa"/>
          </w:tcPr>
          <w:p>
            <w:pPr>
              <w:pStyle w:val="TableParagraph"/>
              <w:spacing w:line="273" w:lineRule="auto"/>
              <w:ind w:left="144" w:right="206" w:firstLine="420"/>
              <w:rPr>
                <w:sz w:val="21"/>
              </w:rPr>
            </w:pPr>
            <w:r>
              <w:rPr>
                <w:sz w:val="21"/>
              </w:rPr>
              <w:t>因慢性肝脏疾病导致肝功能衰竭。须满足下列至少两项条件，但不满足全部条件：</w:t>
            </w:r>
          </w:p>
          <w:p>
            <w:pPr>
              <w:pStyle w:val="TableParagraph"/>
              <w:spacing w:before="7"/>
              <w:rPr>
                <w:sz w:val="21"/>
              </w:rPr>
            </w:pPr>
            <w:r>
              <w:rPr>
                <w:sz w:val="21"/>
              </w:rPr>
              <w:t>1.持续性黄疸；</w:t>
            </w:r>
          </w:p>
          <w:p>
            <w:pPr>
              <w:pStyle w:val="TableParagraph"/>
              <w:spacing w:before="37"/>
              <w:rPr>
                <w:sz w:val="21"/>
              </w:rPr>
            </w:pPr>
            <w:r>
              <w:rPr>
                <w:sz w:val="21"/>
              </w:rPr>
              <w:t>2.腹水；</w:t>
            </w:r>
          </w:p>
          <w:p>
            <w:pPr>
              <w:pStyle w:val="TableParagraph"/>
              <w:spacing w:before="37"/>
              <w:rPr>
                <w:sz w:val="21"/>
              </w:rPr>
            </w:pPr>
            <w:r>
              <w:rPr>
                <w:sz w:val="21"/>
              </w:rPr>
              <w:t>3.肝性脑病；</w:t>
            </w:r>
          </w:p>
          <w:p>
            <w:pPr>
              <w:pStyle w:val="TableParagraph"/>
              <w:spacing w:line="273" w:lineRule="auto" w:before="37"/>
              <w:ind w:left="566" w:right="2081" w:hanging="3"/>
              <w:rPr>
                <w:b/>
                <w:sz w:val="21"/>
              </w:rPr>
            </w:pPr>
            <w:r>
              <w:rPr>
                <w:sz w:val="21"/>
              </w:rPr>
              <w:t>4.</w:t>
            </w:r>
            <w:r>
              <w:rPr>
                <w:spacing w:val="-3"/>
                <w:sz w:val="21"/>
              </w:rPr>
              <w:t>充血性脾肿大伴脾功能亢进或食管胃底静脉曲张。 </w:t>
            </w:r>
            <w:r>
              <w:rPr>
                <w:b/>
                <w:spacing w:val="-3"/>
                <w:sz w:val="21"/>
              </w:rPr>
              <w:t>因酗酒或药物滥用导致的肝功能衰竭不在保障范围内。</w:t>
            </w:r>
          </w:p>
        </w:tc>
      </w:tr>
      <w:tr>
        <w:trPr>
          <w:trHeight w:val="3432" w:hRule="atLeast"/>
        </w:trPr>
        <w:tc>
          <w:tcPr>
            <w:tcW w:w="1016" w:type="dxa"/>
          </w:tcPr>
          <w:p>
            <w:pPr>
              <w:pStyle w:val="TableParagraph"/>
              <w:ind w:left="200"/>
              <w:rPr>
                <w:b/>
                <w:sz w:val="21"/>
              </w:rPr>
            </w:pPr>
            <w:r>
              <w:rPr>
                <w:b/>
                <w:sz w:val="21"/>
              </w:rPr>
              <w:t>6.9.33</w:t>
            </w:r>
          </w:p>
        </w:tc>
        <w:tc>
          <w:tcPr>
            <w:tcW w:w="1169" w:type="dxa"/>
          </w:tcPr>
          <w:p>
            <w:pPr>
              <w:pStyle w:val="TableParagraph"/>
              <w:spacing w:line="273" w:lineRule="auto"/>
              <w:ind w:left="180" w:right="141"/>
              <w:jc w:val="both"/>
              <w:rPr>
                <w:b/>
                <w:sz w:val="21"/>
              </w:rPr>
            </w:pPr>
            <w:r>
              <w:rPr>
                <w:b/>
                <w:sz w:val="21"/>
              </w:rPr>
              <w:t>特定周围动脉疾病的血管介入治疗</w:t>
            </w:r>
          </w:p>
        </w:tc>
        <w:tc>
          <w:tcPr>
            <w:tcW w:w="7710" w:type="dxa"/>
          </w:tcPr>
          <w:p>
            <w:pPr>
              <w:pStyle w:val="TableParagraph"/>
              <w:rPr>
                <w:sz w:val="21"/>
              </w:rPr>
            </w:pPr>
            <w:r>
              <w:rPr>
                <w:sz w:val="21"/>
              </w:rPr>
              <w:t>指为治疗一条或者一条以上的下</w:t>
            </w:r>
            <w:r>
              <w:rPr>
                <w:rFonts w:ascii="Arial" w:eastAsia="Arial"/>
                <w:w w:val="115"/>
                <w:sz w:val="21"/>
              </w:rPr>
              <w:t>列</w:t>
            </w:r>
            <w:r>
              <w:rPr>
                <w:sz w:val="21"/>
              </w:rPr>
              <w:t>动脉狭窄而实施的血管介入治疗：</w:t>
            </w:r>
          </w:p>
          <w:p>
            <w:pPr>
              <w:pStyle w:val="TableParagraph"/>
              <w:spacing w:before="21"/>
              <w:rPr>
                <w:sz w:val="21"/>
              </w:rPr>
            </w:pPr>
            <w:r>
              <w:rPr>
                <w:sz w:val="21"/>
              </w:rPr>
              <w:t>1.为下肢或者上肢供血的动脉；</w:t>
            </w:r>
          </w:p>
          <w:p>
            <w:pPr>
              <w:pStyle w:val="TableParagraph"/>
              <w:spacing w:before="36"/>
              <w:rPr>
                <w:sz w:val="21"/>
              </w:rPr>
            </w:pPr>
            <w:r>
              <w:rPr>
                <w:sz w:val="21"/>
              </w:rPr>
              <w:t>2.肾动脉；</w:t>
            </w:r>
          </w:p>
          <w:p>
            <w:pPr>
              <w:pStyle w:val="TableParagraph"/>
              <w:spacing w:before="36"/>
              <w:rPr>
                <w:sz w:val="21"/>
              </w:rPr>
            </w:pPr>
            <w:r>
              <w:rPr>
                <w:sz w:val="21"/>
              </w:rPr>
              <w:t>3.肠系膜动脉。</w:t>
            </w:r>
          </w:p>
          <w:p>
            <w:pPr>
              <w:pStyle w:val="TableParagraph"/>
              <w:spacing w:before="36"/>
              <w:rPr>
                <w:sz w:val="21"/>
              </w:rPr>
            </w:pPr>
            <w:r>
              <w:rPr>
                <w:sz w:val="21"/>
              </w:rPr>
              <w:t>须满足下列全部条件：</w:t>
            </w:r>
          </w:p>
          <w:p>
            <w:pPr>
              <w:pStyle w:val="TableParagraph"/>
              <w:spacing w:before="36"/>
              <w:rPr>
                <w:sz w:val="21"/>
              </w:rPr>
            </w:pPr>
            <w:r>
              <w:rPr>
                <w:sz w:val="21"/>
              </w:rPr>
              <w:t>1.经血管造影术证实一条或者一条以上的上述动脉狭窄达到50%或者以上；</w:t>
            </w:r>
          </w:p>
          <w:p>
            <w:pPr>
              <w:pStyle w:val="TableParagraph"/>
              <w:spacing w:line="273" w:lineRule="auto" w:before="36"/>
              <w:ind w:left="144" w:right="105" w:firstLine="420"/>
              <w:rPr>
                <w:sz w:val="21"/>
              </w:rPr>
            </w:pPr>
            <w:r>
              <w:rPr>
                <w:sz w:val="21"/>
              </w:rPr>
              <w:t>2.对一条或者一条以上的上述动脉施行了血管介入治疗，如血管成形术及/或者进行植入支架或者动脉粥样样瘤清除手术。</w:t>
            </w:r>
          </w:p>
          <w:p>
            <w:pPr>
              <w:pStyle w:val="TableParagraph"/>
              <w:spacing w:line="273" w:lineRule="auto" w:before="7"/>
              <w:ind w:left="144" w:right="183" w:firstLine="422"/>
              <w:rPr>
                <w:b/>
                <w:sz w:val="21"/>
              </w:rPr>
            </w:pPr>
            <w:r>
              <w:rPr>
                <w:b/>
                <w:sz w:val="21"/>
              </w:rPr>
              <w:t>此诊断及治疗均须在本公司认可医院内由血管疾病的专科医生认为是医疗必须的情况下进行。</w:t>
            </w:r>
          </w:p>
        </w:tc>
      </w:tr>
      <w:tr>
        <w:trPr>
          <w:trHeight w:val="1560" w:hRule="atLeast"/>
        </w:trPr>
        <w:tc>
          <w:tcPr>
            <w:tcW w:w="1016" w:type="dxa"/>
          </w:tcPr>
          <w:p>
            <w:pPr>
              <w:pStyle w:val="TableParagraph"/>
              <w:ind w:left="200"/>
              <w:rPr>
                <w:b/>
                <w:sz w:val="21"/>
              </w:rPr>
            </w:pPr>
            <w:r>
              <w:rPr>
                <w:b/>
                <w:sz w:val="21"/>
              </w:rPr>
              <w:t>6.9.34</w:t>
            </w:r>
          </w:p>
        </w:tc>
        <w:tc>
          <w:tcPr>
            <w:tcW w:w="1169" w:type="dxa"/>
          </w:tcPr>
          <w:p>
            <w:pPr>
              <w:pStyle w:val="TableParagraph"/>
              <w:spacing w:line="273" w:lineRule="auto"/>
              <w:ind w:left="180" w:right="141"/>
              <w:jc w:val="both"/>
              <w:rPr>
                <w:b/>
                <w:sz w:val="21"/>
              </w:rPr>
            </w:pPr>
            <w:r>
              <w:rPr>
                <w:b/>
                <w:sz w:val="21"/>
              </w:rPr>
              <w:t>因肾上腺皮质腺瘤切除肾上腺</w:t>
            </w:r>
          </w:p>
        </w:tc>
        <w:tc>
          <w:tcPr>
            <w:tcW w:w="7710" w:type="dxa"/>
          </w:tcPr>
          <w:p>
            <w:pPr>
              <w:pStyle w:val="TableParagraph"/>
              <w:spacing w:line="273" w:lineRule="auto"/>
              <w:ind w:left="144" w:right="206" w:firstLine="420"/>
              <w:rPr>
                <w:sz w:val="21"/>
              </w:rPr>
            </w:pPr>
            <w:r>
              <w:rPr>
                <w:sz w:val="21"/>
              </w:rPr>
              <w:t>因肾上腺皮质腺瘤所导致的醛固酮分泌过多而产生的继发性恶性高血压而实际接受了肾上腺切除术治疗。</w:t>
            </w:r>
          </w:p>
          <w:p>
            <w:pPr>
              <w:pStyle w:val="TableParagraph"/>
              <w:spacing w:line="273" w:lineRule="auto" w:before="7"/>
              <w:ind w:left="144" w:right="183" w:firstLine="422"/>
              <w:rPr>
                <w:b/>
                <w:sz w:val="21"/>
              </w:rPr>
            </w:pPr>
            <w:r>
              <w:rPr>
                <w:b/>
                <w:sz w:val="21"/>
              </w:rPr>
              <w:t>此诊断及治疗均须在本公司认可医院内由专科医生认为是医疗必须的情况下进行。</w:t>
            </w:r>
          </w:p>
        </w:tc>
      </w:tr>
      <w:tr>
        <w:trPr>
          <w:trHeight w:val="936" w:hRule="atLeast"/>
        </w:trPr>
        <w:tc>
          <w:tcPr>
            <w:tcW w:w="1016" w:type="dxa"/>
          </w:tcPr>
          <w:p>
            <w:pPr>
              <w:pStyle w:val="TableParagraph"/>
              <w:ind w:left="200"/>
              <w:rPr>
                <w:b/>
                <w:sz w:val="21"/>
              </w:rPr>
            </w:pPr>
            <w:r>
              <w:rPr>
                <w:b/>
                <w:sz w:val="21"/>
              </w:rPr>
              <w:t>6.9.35</w:t>
            </w:r>
          </w:p>
        </w:tc>
        <w:tc>
          <w:tcPr>
            <w:tcW w:w="1169" w:type="dxa"/>
          </w:tcPr>
          <w:p>
            <w:pPr>
              <w:pStyle w:val="TableParagraph"/>
              <w:spacing w:line="273" w:lineRule="auto"/>
              <w:ind w:left="180" w:right="141"/>
              <w:rPr>
                <w:b/>
                <w:sz w:val="21"/>
              </w:rPr>
            </w:pPr>
            <w:r>
              <w:rPr>
                <w:b/>
                <w:sz w:val="21"/>
              </w:rPr>
              <w:t>植入腔静脉过滤器</w:t>
            </w:r>
          </w:p>
        </w:tc>
        <w:tc>
          <w:tcPr>
            <w:tcW w:w="7710" w:type="dxa"/>
          </w:tcPr>
          <w:p>
            <w:pPr>
              <w:pStyle w:val="TableParagraph"/>
              <w:spacing w:line="273" w:lineRule="auto"/>
              <w:ind w:left="566" w:right="206" w:hanging="3"/>
              <w:rPr>
                <w:b/>
                <w:sz w:val="21"/>
              </w:rPr>
            </w:pPr>
            <w:r>
              <w:rPr>
                <w:sz w:val="21"/>
              </w:rPr>
              <w:t>指患者因反复肺栓塞发作，抗凝血疗法无效而接受手术植入腔静脉过滤器。</w:t>
            </w:r>
            <w:r>
              <w:rPr>
                <w:b/>
                <w:sz w:val="21"/>
              </w:rPr>
              <w:t>此手术须在本公司认可医院内由专科医生认为是医疗必须的情况下进行。</w:t>
            </w:r>
          </w:p>
        </w:tc>
      </w:tr>
      <w:tr>
        <w:trPr>
          <w:trHeight w:val="729" w:hRule="atLeast"/>
        </w:trPr>
        <w:tc>
          <w:tcPr>
            <w:tcW w:w="1016" w:type="dxa"/>
          </w:tcPr>
          <w:p>
            <w:pPr>
              <w:pStyle w:val="TableParagraph"/>
              <w:spacing w:before="143"/>
              <w:ind w:left="200"/>
              <w:rPr>
                <w:b/>
                <w:sz w:val="21"/>
              </w:rPr>
            </w:pPr>
            <w:r>
              <w:rPr>
                <w:b/>
                <w:sz w:val="21"/>
              </w:rPr>
              <w:t>6.9.36</w:t>
            </w:r>
          </w:p>
        </w:tc>
        <w:tc>
          <w:tcPr>
            <w:tcW w:w="1169" w:type="dxa"/>
          </w:tcPr>
          <w:p>
            <w:pPr>
              <w:pStyle w:val="TableParagraph"/>
              <w:spacing w:line="310" w:lineRule="atLeast" w:before="107"/>
              <w:ind w:left="180" w:right="141"/>
              <w:rPr>
                <w:b/>
                <w:sz w:val="21"/>
              </w:rPr>
            </w:pPr>
            <w:r>
              <w:rPr>
                <w:b/>
                <w:sz w:val="21"/>
              </w:rPr>
              <w:t>糖尿病视网膜晚期</w:t>
            </w:r>
          </w:p>
        </w:tc>
        <w:tc>
          <w:tcPr>
            <w:tcW w:w="7710" w:type="dxa"/>
          </w:tcPr>
          <w:p>
            <w:pPr>
              <w:pStyle w:val="TableParagraph"/>
              <w:spacing w:before="143"/>
              <w:ind w:right="-15"/>
              <w:rPr>
                <w:sz w:val="21"/>
              </w:rPr>
            </w:pPr>
            <w:r>
              <w:rPr>
                <w:spacing w:val="-3"/>
                <w:sz w:val="21"/>
              </w:rPr>
              <w:t>因糖尿病而并发视网膜晚期增生性血管病变，并必须符合下列所有理赔条件：</w:t>
            </w:r>
          </w:p>
          <w:p>
            <w:pPr>
              <w:pStyle w:val="TableParagraph"/>
              <w:spacing w:line="255" w:lineRule="exact" w:before="37"/>
              <w:rPr>
                <w:sz w:val="21"/>
              </w:rPr>
            </w:pPr>
            <w:r>
              <w:rPr>
                <w:sz w:val="21"/>
              </w:rPr>
              <w:t>1.确诊糖尿病视网膜病变时被保人已患有糖尿病；</w:t>
            </w:r>
          </w:p>
        </w:tc>
      </w:tr>
    </w:tbl>
    <w:p>
      <w:pPr>
        <w:spacing w:after="0" w:line="255" w:lineRule="exact"/>
        <w:rPr>
          <w:sz w:val="21"/>
        </w:rPr>
        <w:sectPr>
          <w:pgSz w:w="11910" w:h="16840"/>
          <w:pgMar w:header="871" w:footer="992" w:top="1060" w:bottom="1180" w:left="680" w:right="1120"/>
        </w:sectPr>
      </w:pPr>
    </w:p>
    <w:p>
      <w:pPr>
        <w:pStyle w:val="BodyText"/>
        <w:rPr>
          <w:rFonts w:ascii="Times New Roman"/>
          <w:sz w:val="2"/>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
        <w:gridCol w:w="1169"/>
        <w:gridCol w:w="8260"/>
      </w:tblGrid>
      <w:tr>
        <w:trPr>
          <w:trHeight w:val="1996" w:hRule="atLeast"/>
        </w:trPr>
        <w:tc>
          <w:tcPr>
            <w:tcW w:w="1016" w:type="dxa"/>
            <w:tcBorders>
              <w:top w:val="single" w:sz="18" w:space="0" w:color="000000"/>
            </w:tcBorders>
          </w:tcPr>
          <w:p>
            <w:pPr>
              <w:pStyle w:val="TableParagraph"/>
              <w:spacing w:before="0"/>
              <w:ind w:left="0"/>
              <w:rPr>
                <w:rFonts w:ascii="Times New Roman"/>
                <w:sz w:val="20"/>
              </w:rPr>
            </w:pPr>
          </w:p>
        </w:tc>
        <w:tc>
          <w:tcPr>
            <w:tcW w:w="1169" w:type="dxa"/>
            <w:tcBorders>
              <w:top w:val="single" w:sz="18" w:space="0" w:color="000000"/>
            </w:tcBorders>
          </w:tcPr>
          <w:p>
            <w:pPr>
              <w:pStyle w:val="TableParagraph"/>
              <w:spacing w:before="2"/>
              <w:ind w:left="0"/>
              <w:rPr>
                <w:rFonts w:ascii="Times New Roman"/>
                <w:sz w:val="23"/>
              </w:rPr>
            </w:pPr>
          </w:p>
          <w:p>
            <w:pPr>
              <w:pStyle w:val="TableParagraph"/>
              <w:spacing w:line="273" w:lineRule="auto" w:before="0"/>
              <w:ind w:left="180" w:right="141"/>
              <w:rPr>
                <w:b/>
                <w:sz w:val="21"/>
              </w:rPr>
            </w:pPr>
            <w:r>
              <w:rPr>
                <w:b/>
                <w:sz w:val="21"/>
              </w:rPr>
              <w:t>增生性病变</w:t>
            </w:r>
          </w:p>
        </w:tc>
        <w:tc>
          <w:tcPr>
            <w:tcW w:w="8260" w:type="dxa"/>
            <w:tcBorders>
              <w:top w:val="single" w:sz="18" w:space="0" w:color="000000"/>
            </w:tcBorders>
          </w:tcPr>
          <w:p>
            <w:pPr>
              <w:pStyle w:val="TableParagraph"/>
              <w:spacing w:before="2"/>
              <w:ind w:left="0"/>
              <w:rPr>
                <w:rFonts w:ascii="Times New Roman"/>
                <w:sz w:val="23"/>
              </w:rPr>
            </w:pPr>
          </w:p>
          <w:p>
            <w:pPr>
              <w:pStyle w:val="TableParagraph"/>
              <w:spacing w:line="273" w:lineRule="auto" w:before="0"/>
              <w:ind w:left="144" w:right="393" w:firstLine="420"/>
              <w:rPr>
                <w:sz w:val="21"/>
              </w:rPr>
            </w:pPr>
            <w:r>
              <w:rPr>
                <w:sz w:val="21"/>
              </w:rPr>
              <w:t>2.</w:t>
            </w:r>
            <w:r>
              <w:rPr>
                <w:spacing w:val="-6"/>
                <w:sz w:val="21"/>
              </w:rPr>
              <w:t>双眼最佳矫正视力低于 </w:t>
            </w:r>
            <w:r>
              <w:rPr>
                <w:sz w:val="21"/>
              </w:rPr>
              <w:t>0.3（</w:t>
            </w:r>
            <w:r>
              <w:rPr>
                <w:spacing w:val="-3"/>
                <w:sz w:val="21"/>
              </w:rPr>
              <w:t>采用国际标准视力表，如果使用其他视力表应进</w:t>
            </w:r>
            <w:r>
              <w:rPr>
                <w:spacing w:val="-3"/>
                <w:w w:val="100"/>
                <w:sz w:val="21"/>
              </w:rPr>
              <w:t>行换算</w:t>
            </w:r>
            <w:r>
              <w:rPr>
                <w:spacing w:val="-106"/>
                <w:w w:val="100"/>
                <w:sz w:val="21"/>
              </w:rPr>
              <w:t>）</w:t>
            </w:r>
            <w:r>
              <w:rPr>
                <w:w w:val="100"/>
                <w:sz w:val="21"/>
              </w:rPr>
              <w:t>；</w:t>
            </w:r>
          </w:p>
          <w:p>
            <w:pPr>
              <w:pStyle w:val="TableParagraph"/>
              <w:spacing w:before="7"/>
              <w:rPr>
                <w:sz w:val="21"/>
              </w:rPr>
            </w:pPr>
            <w:r>
              <w:rPr>
                <w:sz w:val="21"/>
              </w:rPr>
              <w:t>3.被保人已确实进行了激光治疗等以改善视力障碍；</w:t>
            </w:r>
          </w:p>
          <w:p>
            <w:pPr>
              <w:pStyle w:val="TableParagraph"/>
              <w:spacing w:line="273" w:lineRule="auto" w:before="36"/>
              <w:ind w:left="144" w:right="336" w:firstLine="420"/>
              <w:rPr>
                <w:sz w:val="21"/>
              </w:rPr>
            </w:pPr>
            <w:r>
              <w:rPr>
                <w:sz w:val="21"/>
              </w:rPr>
              <w:t>4.糖尿病视网膜病变的诊断、视力障碍的程度及治疗的医疗之必要性必须由本公司认可医院的眼科专科医生确定。</w:t>
            </w:r>
          </w:p>
        </w:tc>
      </w:tr>
      <w:tr>
        <w:trPr>
          <w:trHeight w:val="2808" w:hRule="atLeast"/>
        </w:trPr>
        <w:tc>
          <w:tcPr>
            <w:tcW w:w="1016" w:type="dxa"/>
          </w:tcPr>
          <w:p>
            <w:pPr>
              <w:pStyle w:val="TableParagraph"/>
              <w:ind w:left="200"/>
              <w:rPr>
                <w:b/>
                <w:sz w:val="21"/>
              </w:rPr>
            </w:pPr>
            <w:r>
              <w:rPr>
                <w:b/>
                <w:sz w:val="21"/>
              </w:rPr>
              <w:t>6.9.37</w:t>
            </w:r>
          </w:p>
        </w:tc>
        <w:tc>
          <w:tcPr>
            <w:tcW w:w="1169" w:type="dxa"/>
          </w:tcPr>
          <w:p>
            <w:pPr>
              <w:pStyle w:val="TableParagraph"/>
              <w:spacing w:line="273" w:lineRule="auto"/>
              <w:ind w:left="180" w:right="141"/>
              <w:rPr>
                <w:b/>
                <w:sz w:val="21"/>
              </w:rPr>
            </w:pPr>
            <w:r>
              <w:rPr>
                <w:b/>
                <w:sz w:val="21"/>
              </w:rPr>
              <w:t>早期原发性心肌病</w:t>
            </w:r>
          </w:p>
        </w:tc>
        <w:tc>
          <w:tcPr>
            <w:tcW w:w="8260" w:type="dxa"/>
          </w:tcPr>
          <w:p>
            <w:pPr>
              <w:pStyle w:val="TableParagraph"/>
              <w:rPr>
                <w:sz w:val="21"/>
              </w:rPr>
            </w:pPr>
            <w:r>
              <w:rPr>
                <w:sz w:val="21"/>
              </w:rPr>
              <w:t>被诊断为原发性心肌病，并符合下列所有条件：</w:t>
            </w:r>
          </w:p>
          <w:p>
            <w:pPr>
              <w:pStyle w:val="TableParagraph"/>
              <w:spacing w:line="273" w:lineRule="auto" w:before="36"/>
              <w:ind w:left="144" w:right="302" w:firstLine="420"/>
              <w:jc w:val="both"/>
              <w:rPr>
                <w:sz w:val="21"/>
              </w:rPr>
            </w:pPr>
            <w:r>
              <w:rPr>
                <w:sz w:val="21"/>
              </w:rPr>
              <w:t>1.</w:t>
            </w:r>
            <w:r>
              <w:rPr>
                <w:spacing w:val="-13"/>
                <w:sz w:val="21"/>
              </w:rPr>
              <w:t>导致心室功能受损，其受损程度达到美国纽约心脏病学会心脏功能分级的第 </w:t>
            </w:r>
            <w:r>
              <w:rPr>
                <w:sz w:val="21"/>
              </w:rPr>
              <w:t>III </w:t>
            </w:r>
            <w:r>
              <w:rPr>
                <w:spacing w:val="-3"/>
                <w:sz w:val="21"/>
              </w:rPr>
              <w:t>级，或其同等级別，即：体力活动明显受限，休息时无症状，轻于日常的活动即可引起充血性心力衰竭的症状。</w:t>
            </w:r>
          </w:p>
          <w:p>
            <w:pPr>
              <w:pStyle w:val="TableParagraph"/>
              <w:spacing w:before="7"/>
              <w:rPr>
                <w:sz w:val="21"/>
              </w:rPr>
            </w:pPr>
            <w:r>
              <w:rPr>
                <w:sz w:val="21"/>
              </w:rPr>
              <w:t>2.左室射血分数 LVEF &lt;35%。</w:t>
            </w:r>
          </w:p>
          <w:p>
            <w:pPr>
              <w:pStyle w:val="TableParagraph"/>
              <w:spacing w:line="273" w:lineRule="auto" w:before="37"/>
              <w:ind w:left="144" w:right="336" w:firstLine="420"/>
              <w:rPr>
                <w:sz w:val="21"/>
              </w:rPr>
            </w:pPr>
            <w:r>
              <w:rPr>
                <w:sz w:val="21"/>
              </w:rPr>
              <w:t>3.原发性心肌病的诊断必须由本公司认可医院的心脏专科医生确认，并提供心脏超声检查结果报告。</w:t>
            </w:r>
          </w:p>
          <w:p>
            <w:pPr>
              <w:pStyle w:val="TableParagraph"/>
              <w:spacing w:before="7"/>
              <w:rPr>
                <w:sz w:val="21"/>
              </w:rPr>
            </w:pPr>
            <w:r>
              <w:rPr>
                <w:sz w:val="21"/>
              </w:rPr>
              <w:t>本保障范围内的心肌病包括扩张型心肌病、肥厚型心肌病及限制型心肌病。</w:t>
            </w:r>
          </w:p>
        </w:tc>
      </w:tr>
      <w:tr>
        <w:trPr>
          <w:trHeight w:val="1247" w:hRule="atLeast"/>
        </w:trPr>
        <w:tc>
          <w:tcPr>
            <w:tcW w:w="1016" w:type="dxa"/>
          </w:tcPr>
          <w:p>
            <w:pPr>
              <w:pStyle w:val="TableParagraph"/>
              <w:ind w:left="200"/>
              <w:rPr>
                <w:b/>
                <w:sz w:val="21"/>
              </w:rPr>
            </w:pPr>
            <w:r>
              <w:rPr>
                <w:b/>
                <w:sz w:val="21"/>
              </w:rPr>
              <w:t>6.9.38</w:t>
            </w:r>
          </w:p>
        </w:tc>
        <w:tc>
          <w:tcPr>
            <w:tcW w:w="1169" w:type="dxa"/>
          </w:tcPr>
          <w:p>
            <w:pPr>
              <w:pStyle w:val="TableParagraph"/>
              <w:spacing w:line="273" w:lineRule="auto"/>
              <w:ind w:left="180" w:right="141"/>
              <w:rPr>
                <w:b/>
                <w:sz w:val="21"/>
              </w:rPr>
            </w:pPr>
            <w:r>
              <w:rPr>
                <w:b/>
                <w:sz w:val="21"/>
              </w:rPr>
              <w:t>早期象皮病</w:t>
            </w:r>
          </w:p>
        </w:tc>
        <w:tc>
          <w:tcPr>
            <w:tcW w:w="8260" w:type="dxa"/>
          </w:tcPr>
          <w:p>
            <w:pPr>
              <w:pStyle w:val="TableParagraph"/>
              <w:spacing w:line="273" w:lineRule="auto"/>
              <w:ind w:left="144" w:right="336" w:firstLine="420"/>
              <w:rPr>
                <w:sz w:val="21"/>
              </w:rPr>
            </w:pPr>
            <w:r>
              <w:rPr>
                <w:sz w:val="21"/>
              </w:rPr>
              <w:t>指因丝虫感染导致淋巴管阻塞而造成身体组织出现严重淋巴水肿。此病症须经本公司认可医院的专科医生根据临床表现和微丝蚴的化验结果确诊。</w:t>
            </w:r>
          </w:p>
          <w:p>
            <w:pPr>
              <w:pStyle w:val="TableParagraph"/>
              <w:spacing w:before="7"/>
              <w:ind w:left="566"/>
              <w:rPr>
                <w:b/>
                <w:sz w:val="21"/>
              </w:rPr>
            </w:pPr>
            <w:r>
              <w:rPr>
                <w:b/>
                <w:sz w:val="21"/>
              </w:rPr>
              <w:t>急性淋巴管炎或其它原因引起的淋巴水肿并不在保障范围內。</w:t>
            </w:r>
          </w:p>
        </w:tc>
      </w:tr>
      <w:tr>
        <w:trPr>
          <w:trHeight w:val="1560" w:hRule="atLeast"/>
        </w:trPr>
        <w:tc>
          <w:tcPr>
            <w:tcW w:w="1016" w:type="dxa"/>
          </w:tcPr>
          <w:p>
            <w:pPr>
              <w:pStyle w:val="TableParagraph"/>
              <w:ind w:left="200"/>
              <w:rPr>
                <w:b/>
                <w:sz w:val="21"/>
              </w:rPr>
            </w:pPr>
            <w:r>
              <w:rPr>
                <w:b/>
                <w:sz w:val="21"/>
              </w:rPr>
              <w:t>6.9.39</w:t>
            </w:r>
          </w:p>
        </w:tc>
        <w:tc>
          <w:tcPr>
            <w:tcW w:w="1169" w:type="dxa"/>
          </w:tcPr>
          <w:p>
            <w:pPr>
              <w:pStyle w:val="TableParagraph"/>
              <w:spacing w:line="273" w:lineRule="auto"/>
              <w:ind w:left="180" w:right="141"/>
              <w:jc w:val="both"/>
              <w:rPr>
                <w:b/>
                <w:sz w:val="21"/>
              </w:rPr>
            </w:pPr>
            <w:r>
              <w:rPr>
                <w:b/>
                <w:sz w:val="21"/>
              </w:rPr>
              <w:t>心脏起搏器或除颤器植入</w:t>
            </w:r>
          </w:p>
        </w:tc>
        <w:tc>
          <w:tcPr>
            <w:tcW w:w="8260" w:type="dxa"/>
          </w:tcPr>
          <w:p>
            <w:pPr>
              <w:pStyle w:val="TableParagraph"/>
              <w:spacing w:line="273" w:lineRule="auto"/>
              <w:ind w:left="144" w:right="336" w:firstLine="420"/>
              <w:rPr>
                <w:sz w:val="21"/>
              </w:rPr>
            </w:pPr>
            <w:r>
              <w:rPr>
                <w:sz w:val="21"/>
              </w:rPr>
              <w:t>因严重心律失常而确实已行植入永久性心脏起搏器或除顫器的手术。理赔时须提供完整病历资料及手术记录以证实此严重心律失常并不能以其他方法治疗。</w:t>
            </w:r>
          </w:p>
          <w:p>
            <w:pPr>
              <w:pStyle w:val="TableParagraph"/>
              <w:spacing w:line="273" w:lineRule="auto" w:before="7"/>
              <w:ind w:left="144" w:right="524" w:firstLine="422"/>
              <w:rPr>
                <w:b/>
                <w:sz w:val="21"/>
              </w:rPr>
            </w:pPr>
            <w:r>
              <w:rPr>
                <w:b/>
                <w:sz w:val="21"/>
              </w:rPr>
              <w:t>诊断及治疗均须在本公司认可的医院内由专科医生认为是医疗必须的情况下进行。</w:t>
            </w:r>
          </w:p>
        </w:tc>
      </w:tr>
      <w:tr>
        <w:trPr>
          <w:trHeight w:val="2184" w:hRule="atLeast"/>
        </w:trPr>
        <w:tc>
          <w:tcPr>
            <w:tcW w:w="1016" w:type="dxa"/>
          </w:tcPr>
          <w:p>
            <w:pPr>
              <w:pStyle w:val="TableParagraph"/>
              <w:ind w:left="200"/>
              <w:rPr>
                <w:b/>
                <w:sz w:val="21"/>
              </w:rPr>
            </w:pPr>
            <w:r>
              <w:rPr>
                <w:b/>
                <w:sz w:val="21"/>
              </w:rPr>
              <w:t>6.9.40</w:t>
            </w:r>
          </w:p>
        </w:tc>
        <w:tc>
          <w:tcPr>
            <w:tcW w:w="1169" w:type="dxa"/>
          </w:tcPr>
          <w:p>
            <w:pPr>
              <w:pStyle w:val="TableParagraph"/>
              <w:spacing w:line="273" w:lineRule="auto"/>
              <w:ind w:left="180" w:right="141"/>
              <w:jc w:val="both"/>
              <w:rPr>
                <w:b/>
                <w:sz w:val="21"/>
              </w:rPr>
            </w:pPr>
            <w:r>
              <w:rPr>
                <w:b/>
                <w:sz w:val="21"/>
              </w:rPr>
              <w:t>湿性年龄相关性黄斑变性</w:t>
            </w:r>
          </w:p>
        </w:tc>
        <w:tc>
          <w:tcPr>
            <w:tcW w:w="8260" w:type="dxa"/>
          </w:tcPr>
          <w:p>
            <w:pPr>
              <w:pStyle w:val="TableParagraph"/>
              <w:spacing w:line="273" w:lineRule="auto"/>
              <w:ind w:left="144" w:right="197" w:firstLine="420"/>
              <w:rPr>
                <w:sz w:val="21"/>
              </w:rPr>
            </w:pPr>
            <w:r>
              <w:rPr>
                <w:spacing w:val="-3"/>
                <w:sz w:val="21"/>
              </w:rPr>
              <w:t>又称为新生血管性年龄相关性黄斑变性或“渗出性”年龄相关性黄斑变性，发生</w:t>
            </w:r>
            <w:r>
              <w:rPr>
                <w:spacing w:val="-10"/>
                <w:sz w:val="21"/>
              </w:rPr>
              <w:t>脉络膜新生血管（CNV）</w:t>
            </w:r>
            <w:r>
              <w:rPr>
                <w:spacing w:val="-8"/>
                <w:sz w:val="21"/>
              </w:rPr>
              <w:t>异常生长穿透玻璃膜进入视网膜，新生血管渗漏，渗出及出血。</w:t>
            </w:r>
            <w:r>
              <w:rPr>
                <w:spacing w:val="-5"/>
                <w:sz w:val="21"/>
              </w:rPr>
              <w:t>该病必须由荧光素眼底血管造影检查提示黄斑区新生血管形成，并且必须由医院的眼</w:t>
            </w:r>
            <w:r>
              <w:rPr>
                <w:spacing w:val="-4"/>
                <w:sz w:val="21"/>
              </w:rPr>
              <w:t>科专科医生确诊为湿性年龄相关性黄斑变性。</w:t>
            </w:r>
          </w:p>
          <w:p>
            <w:pPr>
              <w:pStyle w:val="TableParagraph"/>
              <w:spacing w:line="273" w:lineRule="auto" w:before="7"/>
              <w:ind w:left="144" w:right="310" w:firstLine="422"/>
              <w:rPr>
                <w:b/>
                <w:sz w:val="21"/>
              </w:rPr>
            </w:pPr>
            <w:r>
              <w:rPr>
                <w:b/>
                <w:spacing w:val="-6"/>
                <w:sz w:val="21"/>
              </w:rPr>
              <w:t>被保险人申请理赔时须提供近 </w:t>
            </w:r>
            <w:r>
              <w:rPr>
                <w:b/>
                <w:sz w:val="21"/>
              </w:rPr>
              <w:t>3</w:t>
            </w:r>
            <w:r>
              <w:rPr>
                <w:b/>
                <w:spacing w:val="-7"/>
                <w:sz w:val="21"/>
              </w:rPr>
              <w:t> 个月内视力改变显示病情恶化的相关检查报告、诊断证明及病历报告。</w:t>
            </w:r>
          </w:p>
        </w:tc>
      </w:tr>
      <w:tr>
        <w:trPr>
          <w:trHeight w:val="1560" w:hRule="atLeast"/>
        </w:trPr>
        <w:tc>
          <w:tcPr>
            <w:tcW w:w="1016" w:type="dxa"/>
          </w:tcPr>
          <w:p>
            <w:pPr>
              <w:pStyle w:val="TableParagraph"/>
              <w:ind w:left="200"/>
              <w:rPr>
                <w:b/>
                <w:sz w:val="21"/>
              </w:rPr>
            </w:pPr>
            <w:r>
              <w:rPr>
                <w:b/>
                <w:sz w:val="21"/>
              </w:rPr>
              <w:t>6.9.41</w:t>
            </w:r>
          </w:p>
        </w:tc>
        <w:tc>
          <w:tcPr>
            <w:tcW w:w="1169" w:type="dxa"/>
          </w:tcPr>
          <w:p>
            <w:pPr>
              <w:pStyle w:val="TableParagraph"/>
              <w:spacing w:line="273" w:lineRule="auto"/>
              <w:ind w:left="180" w:right="141"/>
              <w:rPr>
                <w:b/>
                <w:sz w:val="21"/>
              </w:rPr>
            </w:pPr>
            <w:r>
              <w:rPr>
                <w:b/>
                <w:sz w:val="21"/>
              </w:rPr>
              <w:t>出血性登革热</w:t>
            </w:r>
          </w:p>
        </w:tc>
        <w:tc>
          <w:tcPr>
            <w:tcW w:w="8260" w:type="dxa"/>
          </w:tcPr>
          <w:p>
            <w:pPr>
              <w:pStyle w:val="TableParagraph"/>
              <w:rPr>
                <w:sz w:val="21"/>
              </w:rPr>
            </w:pPr>
            <w:r>
              <w:rPr>
                <w:sz w:val="21"/>
              </w:rPr>
              <w:t>出血性登革热须出现全部四种症状，包括发高烧、出血现象、肝肿大和循环衰竭</w:t>
            </w:r>
          </w:p>
          <w:p>
            <w:pPr>
              <w:pStyle w:val="TableParagraph"/>
              <w:spacing w:before="37"/>
              <w:ind w:left="144"/>
              <w:rPr>
                <w:sz w:val="21"/>
              </w:rPr>
            </w:pPr>
            <w:r>
              <w:rPr>
                <w:sz w:val="21"/>
              </w:rPr>
              <w:t>（</w:t>
            </w:r>
            <w:r>
              <w:rPr>
                <w:spacing w:val="-6"/>
                <w:sz w:val="21"/>
              </w:rPr>
              <w:t>登革热休克综合症即符合 </w:t>
            </w:r>
            <w:r>
              <w:rPr>
                <w:sz w:val="21"/>
              </w:rPr>
              <w:t>WHO</w:t>
            </w:r>
            <w:r>
              <w:rPr>
                <w:spacing w:val="-8"/>
                <w:sz w:val="21"/>
              </w:rPr>
              <w:t> 登革热第Ⅲ级及第Ⅳ级</w:t>
            </w:r>
            <w:r>
              <w:rPr>
                <w:spacing w:val="-108"/>
                <w:sz w:val="21"/>
              </w:rPr>
              <w:t>）</w:t>
            </w:r>
            <w:r>
              <w:rPr>
                <w:sz w:val="21"/>
              </w:rPr>
              <w:t>。</w:t>
            </w:r>
          </w:p>
          <w:p>
            <w:pPr>
              <w:pStyle w:val="TableParagraph"/>
              <w:spacing w:line="273" w:lineRule="auto" w:before="37"/>
              <w:ind w:left="566" w:right="1998"/>
              <w:rPr>
                <w:b/>
                <w:sz w:val="21"/>
              </w:rPr>
            </w:pPr>
            <w:r>
              <w:rPr>
                <w:b/>
                <w:sz w:val="21"/>
              </w:rPr>
              <w:t>出血性登革热的诊断必须由本公司认可医院的专科医生证实。非出血性登革热不在保障范围内。</w:t>
            </w:r>
          </w:p>
        </w:tc>
      </w:tr>
      <w:tr>
        <w:trPr>
          <w:trHeight w:val="1248" w:hRule="atLeast"/>
        </w:trPr>
        <w:tc>
          <w:tcPr>
            <w:tcW w:w="1016" w:type="dxa"/>
          </w:tcPr>
          <w:p>
            <w:pPr>
              <w:pStyle w:val="TableParagraph"/>
              <w:ind w:left="200"/>
              <w:rPr>
                <w:b/>
                <w:sz w:val="21"/>
              </w:rPr>
            </w:pPr>
            <w:r>
              <w:rPr>
                <w:b/>
                <w:sz w:val="21"/>
              </w:rPr>
              <w:t>6.9.42</w:t>
            </w:r>
          </w:p>
        </w:tc>
        <w:tc>
          <w:tcPr>
            <w:tcW w:w="1169" w:type="dxa"/>
          </w:tcPr>
          <w:p>
            <w:pPr>
              <w:pStyle w:val="TableParagraph"/>
              <w:spacing w:line="273" w:lineRule="auto"/>
              <w:ind w:left="180" w:right="141"/>
              <w:jc w:val="both"/>
              <w:rPr>
                <w:b/>
                <w:sz w:val="21"/>
              </w:rPr>
            </w:pPr>
            <w:r>
              <w:rPr>
                <w:b/>
                <w:sz w:val="21"/>
              </w:rPr>
              <w:t>糖尿病导致单足截肢</w:t>
            </w:r>
          </w:p>
        </w:tc>
        <w:tc>
          <w:tcPr>
            <w:tcW w:w="8260" w:type="dxa"/>
          </w:tcPr>
          <w:p>
            <w:pPr>
              <w:pStyle w:val="TableParagraph"/>
              <w:spacing w:line="273" w:lineRule="auto"/>
              <w:ind w:left="144" w:right="329" w:firstLine="420"/>
              <w:jc w:val="both"/>
              <w:rPr>
                <w:b/>
                <w:sz w:val="21"/>
              </w:rPr>
            </w:pPr>
            <w:r>
              <w:rPr>
                <w:sz w:val="21"/>
              </w:rPr>
              <w:t>因糖尿病引起的神经及血管病变累及足部，为了维持生命在本公司认可医院内已经进行了医疗必须的由足踝或以上位置的单足截除手术。</w:t>
            </w:r>
            <w:r>
              <w:rPr>
                <w:b/>
                <w:sz w:val="21"/>
              </w:rPr>
              <w:t>切除多只脚趾或因任何其他原因引起的截除术不在保障范围内。</w:t>
            </w:r>
          </w:p>
        </w:tc>
      </w:tr>
      <w:tr>
        <w:trPr>
          <w:trHeight w:val="1353" w:hRule="atLeast"/>
        </w:trPr>
        <w:tc>
          <w:tcPr>
            <w:tcW w:w="1016" w:type="dxa"/>
          </w:tcPr>
          <w:p>
            <w:pPr>
              <w:pStyle w:val="TableParagraph"/>
              <w:ind w:left="200"/>
              <w:rPr>
                <w:b/>
                <w:sz w:val="21"/>
              </w:rPr>
            </w:pPr>
            <w:r>
              <w:rPr>
                <w:b/>
                <w:sz w:val="21"/>
              </w:rPr>
              <w:t>6.9.43</w:t>
            </w:r>
          </w:p>
        </w:tc>
        <w:tc>
          <w:tcPr>
            <w:tcW w:w="1169" w:type="dxa"/>
          </w:tcPr>
          <w:p>
            <w:pPr>
              <w:pStyle w:val="TableParagraph"/>
              <w:spacing w:line="273" w:lineRule="auto"/>
              <w:ind w:left="180" w:right="141"/>
              <w:rPr>
                <w:b/>
                <w:sz w:val="21"/>
              </w:rPr>
            </w:pPr>
            <w:r>
              <w:rPr>
                <w:b/>
                <w:sz w:val="21"/>
              </w:rPr>
              <w:t>结核性脊髓炎</w:t>
            </w:r>
          </w:p>
        </w:tc>
        <w:tc>
          <w:tcPr>
            <w:tcW w:w="8260" w:type="dxa"/>
          </w:tcPr>
          <w:p>
            <w:pPr>
              <w:pStyle w:val="TableParagraph"/>
              <w:spacing w:line="273" w:lineRule="auto"/>
              <w:ind w:left="144" w:right="336" w:firstLine="420"/>
              <w:rPr>
                <w:sz w:val="21"/>
              </w:rPr>
            </w:pPr>
            <w:r>
              <w:rPr>
                <w:sz w:val="21"/>
              </w:rPr>
              <w:t>因结核杆菌引起的脊髓炎，导致永久性神经系统功能中度障碍，即：疾病首次确诊 180 天后，仍遗留下列一种或一种以上障碍：</w:t>
            </w:r>
          </w:p>
          <w:p>
            <w:pPr>
              <w:pStyle w:val="TableParagraph"/>
              <w:spacing w:before="7"/>
              <w:rPr>
                <w:sz w:val="21"/>
              </w:rPr>
            </w:pPr>
            <w:r>
              <w:rPr>
                <w:sz w:val="21"/>
              </w:rPr>
              <w:t>1.一肢或一肢以上肢体肌力Ⅲ级或Ⅲ级以下的运动功能障碍；</w:t>
            </w:r>
          </w:p>
          <w:p>
            <w:pPr>
              <w:pStyle w:val="TableParagraph"/>
              <w:spacing w:line="255" w:lineRule="exact" w:before="36"/>
              <w:rPr>
                <w:sz w:val="21"/>
              </w:rPr>
            </w:pPr>
            <w:r>
              <w:rPr>
                <w:sz w:val="21"/>
              </w:rPr>
              <w:t>2.自主生活能力部分丧失，无法独立完成六项基本日常生活活动中的二项或二项</w:t>
            </w:r>
          </w:p>
        </w:tc>
      </w:tr>
    </w:tbl>
    <w:p>
      <w:pPr>
        <w:spacing w:after="0" w:line="255" w:lineRule="exact"/>
        <w:rPr>
          <w:sz w:val="21"/>
        </w:rPr>
        <w:sectPr>
          <w:pgSz w:w="11910" w:h="16840"/>
          <w:pgMar w:header="871" w:footer="992" w:top="1060" w:bottom="1180" w:left="680" w:right="560"/>
        </w:sectPr>
      </w:pPr>
    </w:p>
    <w:p>
      <w:pPr>
        <w:pStyle w:val="BodyText"/>
        <w:rPr>
          <w:rFonts w:ascii="Times New Roman"/>
          <w:sz w:val="2"/>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
        <w:gridCol w:w="1168"/>
        <w:gridCol w:w="8157"/>
      </w:tblGrid>
      <w:tr>
        <w:trPr>
          <w:trHeight w:val="1372" w:hRule="atLeast"/>
        </w:trPr>
        <w:tc>
          <w:tcPr>
            <w:tcW w:w="1016" w:type="dxa"/>
            <w:tcBorders>
              <w:top w:val="single" w:sz="18" w:space="0" w:color="000000"/>
            </w:tcBorders>
          </w:tcPr>
          <w:p>
            <w:pPr>
              <w:pStyle w:val="TableParagraph"/>
              <w:spacing w:before="0"/>
              <w:ind w:left="0"/>
              <w:rPr>
                <w:rFonts w:ascii="Times New Roman"/>
                <w:sz w:val="20"/>
              </w:rPr>
            </w:pPr>
          </w:p>
        </w:tc>
        <w:tc>
          <w:tcPr>
            <w:tcW w:w="1168" w:type="dxa"/>
            <w:tcBorders>
              <w:top w:val="single" w:sz="18" w:space="0" w:color="000000"/>
            </w:tcBorders>
          </w:tcPr>
          <w:p>
            <w:pPr>
              <w:pStyle w:val="TableParagraph"/>
              <w:spacing w:before="0"/>
              <w:ind w:left="0"/>
              <w:rPr>
                <w:rFonts w:ascii="Times New Roman"/>
                <w:sz w:val="20"/>
              </w:rPr>
            </w:pPr>
          </w:p>
        </w:tc>
        <w:tc>
          <w:tcPr>
            <w:tcW w:w="8157" w:type="dxa"/>
            <w:tcBorders>
              <w:top w:val="single" w:sz="18" w:space="0" w:color="000000"/>
            </w:tcBorders>
          </w:tcPr>
          <w:p>
            <w:pPr>
              <w:pStyle w:val="TableParagraph"/>
              <w:spacing w:before="2"/>
              <w:ind w:left="0"/>
              <w:rPr>
                <w:rFonts w:ascii="Times New Roman"/>
                <w:sz w:val="23"/>
              </w:rPr>
            </w:pPr>
          </w:p>
          <w:p>
            <w:pPr>
              <w:pStyle w:val="TableParagraph"/>
              <w:spacing w:before="0"/>
              <w:ind w:left="145"/>
              <w:rPr>
                <w:sz w:val="21"/>
              </w:rPr>
            </w:pPr>
            <w:r>
              <w:rPr>
                <w:sz w:val="21"/>
              </w:rPr>
              <w:t>以上。</w:t>
            </w:r>
          </w:p>
          <w:p>
            <w:pPr>
              <w:pStyle w:val="TableParagraph"/>
              <w:spacing w:line="273" w:lineRule="auto" w:before="37"/>
              <w:ind w:left="145" w:right="209" w:firstLine="422"/>
              <w:rPr>
                <w:b/>
                <w:sz w:val="21"/>
              </w:rPr>
            </w:pPr>
            <w:r>
              <w:rPr>
                <w:b/>
                <w:sz w:val="21"/>
              </w:rPr>
              <w:t>该诊断必须由本公司认可医院的神经专科医生证实，并必须由适当的检查证明为结核性脊髓炎。</w:t>
            </w:r>
          </w:p>
        </w:tc>
      </w:tr>
      <w:tr>
        <w:trPr>
          <w:trHeight w:val="1248" w:hRule="atLeast"/>
        </w:trPr>
        <w:tc>
          <w:tcPr>
            <w:tcW w:w="1016" w:type="dxa"/>
          </w:tcPr>
          <w:p>
            <w:pPr>
              <w:pStyle w:val="TableParagraph"/>
              <w:ind w:left="200"/>
              <w:rPr>
                <w:b/>
                <w:sz w:val="21"/>
              </w:rPr>
            </w:pPr>
            <w:r>
              <w:rPr>
                <w:b/>
                <w:sz w:val="21"/>
              </w:rPr>
              <w:t>6.9.44</w:t>
            </w:r>
          </w:p>
        </w:tc>
        <w:tc>
          <w:tcPr>
            <w:tcW w:w="1168" w:type="dxa"/>
          </w:tcPr>
          <w:p>
            <w:pPr>
              <w:pStyle w:val="TableParagraph"/>
              <w:spacing w:line="273" w:lineRule="auto"/>
              <w:ind w:left="180" w:right="140"/>
              <w:rPr>
                <w:b/>
                <w:sz w:val="21"/>
              </w:rPr>
            </w:pPr>
            <w:r>
              <w:rPr>
                <w:b/>
                <w:sz w:val="21"/>
              </w:rPr>
              <w:t>植入大脑内分流器</w:t>
            </w:r>
          </w:p>
        </w:tc>
        <w:tc>
          <w:tcPr>
            <w:tcW w:w="8157" w:type="dxa"/>
          </w:tcPr>
          <w:p>
            <w:pPr>
              <w:pStyle w:val="TableParagraph"/>
              <w:ind w:left="565"/>
              <w:rPr>
                <w:sz w:val="21"/>
              </w:rPr>
            </w:pPr>
            <w:r>
              <w:rPr>
                <w:sz w:val="21"/>
              </w:rPr>
              <w:t>为缓解已升高的脑脊液压力而确实已在脑室进行分流器植入手术。</w:t>
            </w:r>
          </w:p>
          <w:p>
            <w:pPr>
              <w:pStyle w:val="TableParagraph"/>
              <w:spacing w:line="273" w:lineRule="auto" w:before="36"/>
              <w:ind w:left="145" w:right="232" w:firstLine="420"/>
              <w:rPr>
                <w:sz w:val="21"/>
              </w:rPr>
            </w:pPr>
            <w:r>
              <w:rPr>
                <w:sz w:val="21"/>
              </w:rPr>
              <w:t>诊断及治疗均须在本公司认可医院内由脑神经科专科医生认为是医疗必须的情况下进行。</w:t>
            </w:r>
          </w:p>
        </w:tc>
      </w:tr>
      <w:tr>
        <w:trPr>
          <w:trHeight w:val="936" w:hRule="atLeast"/>
        </w:trPr>
        <w:tc>
          <w:tcPr>
            <w:tcW w:w="1016" w:type="dxa"/>
          </w:tcPr>
          <w:p>
            <w:pPr>
              <w:pStyle w:val="TableParagraph"/>
              <w:ind w:left="200"/>
              <w:rPr>
                <w:b/>
                <w:sz w:val="21"/>
              </w:rPr>
            </w:pPr>
            <w:r>
              <w:rPr>
                <w:b/>
                <w:sz w:val="21"/>
              </w:rPr>
              <w:t>6.9.45</w:t>
            </w:r>
          </w:p>
        </w:tc>
        <w:tc>
          <w:tcPr>
            <w:tcW w:w="1168" w:type="dxa"/>
          </w:tcPr>
          <w:p>
            <w:pPr>
              <w:pStyle w:val="TableParagraph"/>
              <w:spacing w:line="273" w:lineRule="auto"/>
              <w:ind w:left="180" w:right="140"/>
              <w:rPr>
                <w:b/>
                <w:sz w:val="21"/>
              </w:rPr>
            </w:pPr>
            <w:r>
              <w:rPr>
                <w:b/>
                <w:sz w:val="21"/>
              </w:rPr>
              <w:t>轻度面部烧伤</w:t>
            </w:r>
          </w:p>
        </w:tc>
        <w:tc>
          <w:tcPr>
            <w:tcW w:w="8157" w:type="dxa"/>
          </w:tcPr>
          <w:p>
            <w:pPr>
              <w:pStyle w:val="TableParagraph"/>
              <w:spacing w:line="273" w:lineRule="auto"/>
              <w:ind w:left="145" w:right="196" w:firstLine="420"/>
              <w:rPr>
                <w:sz w:val="21"/>
              </w:rPr>
            </w:pPr>
            <w:r>
              <w:rPr>
                <w:spacing w:val="-9"/>
                <w:sz w:val="21"/>
              </w:rPr>
              <w:t>指烧伤程度为Ⅲ度，且Ⅲ度烧伤的面积达到面部表面积的 </w:t>
            </w:r>
            <w:r>
              <w:rPr>
                <w:sz w:val="21"/>
              </w:rPr>
              <w:t>30</w:t>
            </w:r>
            <w:r>
              <w:rPr>
                <w:spacing w:val="-10"/>
                <w:sz w:val="21"/>
              </w:rPr>
              <w:t>%或者 </w:t>
            </w:r>
            <w:r>
              <w:rPr>
                <w:sz w:val="21"/>
              </w:rPr>
              <w:t>30</w:t>
            </w:r>
            <w:r>
              <w:rPr>
                <w:spacing w:val="-7"/>
                <w:sz w:val="21"/>
              </w:rPr>
              <w:t>%以上，但未</w:t>
            </w:r>
            <w:r>
              <w:rPr>
                <w:spacing w:val="-10"/>
                <w:sz w:val="21"/>
              </w:rPr>
              <w:t>达到面部表面积的 </w:t>
            </w:r>
            <w:r>
              <w:rPr>
                <w:sz w:val="21"/>
              </w:rPr>
              <w:t>80%。</w:t>
            </w:r>
          </w:p>
        </w:tc>
      </w:tr>
      <w:tr>
        <w:trPr>
          <w:trHeight w:val="5928" w:hRule="atLeast"/>
        </w:trPr>
        <w:tc>
          <w:tcPr>
            <w:tcW w:w="1016" w:type="dxa"/>
          </w:tcPr>
          <w:p>
            <w:pPr>
              <w:pStyle w:val="TableParagraph"/>
              <w:spacing w:before="143"/>
              <w:ind w:left="200"/>
              <w:rPr>
                <w:b/>
                <w:sz w:val="21"/>
              </w:rPr>
            </w:pPr>
            <w:r>
              <w:rPr>
                <w:b/>
                <w:sz w:val="21"/>
              </w:rPr>
              <w:t>6.10</w:t>
            </w:r>
          </w:p>
        </w:tc>
        <w:tc>
          <w:tcPr>
            <w:tcW w:w="1168" w:type="dxa"/>
          </w:tcPr>
          <w:p>
            <w:pPr>
              <w:pStyle w:val="TableParagraph"/>
              <w:spacing w:before="143"/>
              <w:ind w:left="180"/>
              <w:rPr>
                <w:b/>
                <w:sz w:val="21"/>
              </w:rPr>
            </w:pPr>
            <w:r>
              <w:rPr>
                <w:b/>
                <w:sz w:val="21"/>
              </w:rPr>
              <w:t>身体全残</w:t>
            </w:r>
          </w:p>
        </w:tc>
        <w:tc>
          <w:tcPr>
            <w:tcW w:w="8157" w:type="dxa"/>
          </w:tcPr>
          <w:p>
            <w:pPr>
              <w:pStyle w:val="TableParagraph"/>
              <w:spacing w:before="143"/>
              <w:ind w:left="565"/>
              <w:rPr>
                <w:sz w:val="21"/>
              </w:rPr>
            </w:pPr>
            <w:r>
              <w:rPr>
                <w:sz w:val="21"/>
              </w:rPr>
              <w:t>本合同所述“身体全残”指下列情形之一：</w:t>
            </w:r>
          </w:p>
          <w:p>
            <w:pPr>
              <w:pStyle w:val="TableParagraph"/>
              <w:spacing w:before="37"/>
              <w:ind w:left="565"/>
              <w:rPr>
                <w:sz w:val="21"/>
              </w:rPr>
            </w:pPr>
            <w:r>
              <w:rPr>
                <w:sz w:val="21"/>
              </w:rPr>
              <w:t>1.双目永久完全失明；</w:t>
            </w:r>
          </w:p>
          <w:p>
            <w:pPr>
              <w:pStyle w:val="TableParagraph"/>
              <w:spacing w:before="37"/>
              <w:ind w:left="565"/>
              <w:rPr>
                <w:sz w:val="21"/>
              </w:rPr>
            </w:pPr>
            <w:r>
              <w:rPr>
                <w:sz w:val="21"/>
              </w:rPr>
              <w:t>2.两上肢腕关节以上或两下肢踝关节以上缺失；</w:t>
            </w:r>
          </w:p>
          <w:p>
            <w:pPr>
              <w:pStyle w:val="TableParagraph"/>
              <w:spacing w:before="37"/>
              <w:ind w:left="565"/>
              <w:rPr>
                <w:sz w:val="21"/>
              </w:rPr>
            </w:pPr>
            <w:r>
              <w:rPr>
                <w:sz w:val="21"/>
              </w:rPr>
              <w:t>3.一上肢腕关节以上及一下肢踝关节以上缺失；</w:t>
            </w:r>
          </w:p>
          <w:p>
            <w:pPr>
              <w:pStyle w:val="TableParagraph"/>
              <w:spacing w:before="37"/>
              <w:ind w:left="565"/>
              <w:rPr>
                <w:sz w:val="21"/>
              </w:rPr>
            </w:pPr>
            <w:r>
              <w:rPr>
                <w:sz w:val="21"/>
              </w:rPr>
              <w:t>4.一目永久完全失明及一上肢腕关节以上缺失；</w:t>
            </w:r>
          </w:p>
          <w:p>
            <w:pPr>
              <w:pStyle w:val="TableParagraph"/>
              <w:spacing w:before="37"/>
              <w:ind w:left="565"/>
              <w:rPr>
                <w:sz w:val="21"/>
              </w:rPr>
            </w:pPr>
            <w:r>
              <w:rPr>
                <w:sz w:val="21"/>
              </w:rPr>
              <w:t>5.一目永久完全失明及一下肢踝关节以上缺失；</w:t>
            </w:r>
          </w:p>
          <w:p>
            <w:pPr>
              <w:pStyle w:val="TableParagraph"/>
              <w:spacing w:before="37"/>
              <w:ind w:left="565"/>
              <w:rPr>
                <w:sz w:val="21"/>
              </w:rPr>
            </w:pPr>
            <w:r>
              <w:rPr>
                <w:sz w:val="21"/>
              </w:rPr>
              <w:t>6.四肢关节机能永久完全丧失；</w:t>
            </w:r>
          </w:p>
          <w:p>
            <w:pPr>
              <w:pStyle w:val="TableParagraph"/>
              <w:spacing w:before="37"/>
              <w:ind w:left="565"/>
              <w:rPr>
                <w:sz w:val="21"/>
              </w:rPr>
            </w:pPr>
            <w:r>
              <w:rPr>
                <w:sz w:val="21"/>
              </w:rPr>
              <w:t>7.咀嚼、吞咽机能永久完全丧失；</w:t>
            </w:r>
          </w:p>
          <w:p>
            <w:pPr>
              <w:pStyle w:val="TableParagraph"/>
              <w:spacing w:line="273" w:lineRule="auto" w:before="37"/>
              <w:ind w:left="145" w:right="652" w:firstLine="420"/>
              <w:rPr>
                <w:sz w:val="21"/>
              </w:rPr>
            </w:pPr>
            <w:r>
              <w:rPr>
                <w:sz w:val="21"/>
              </w:rPr>
              <w:t>8.中枢神经系统机能或胸、腹部脏器机能极度障碍，导致终身不能从事任何工作，为维持生命必要的日常生活活动，全需他人扶助的。</w:t>
            </w:r>
          </w:p>
          <w:p>
            <w:pPr>
              <w:pStyle w:val="TableParagraph"/>
              <w:spacing w:line="273" w:lineRule="auto" w:before="8"/>
              <w:ind w:left="145" w:right="553" w:firstLine="412"/>
              <w:rPr>
                <w:sz w:val="21"/>
              </w:rPr>
            </w:pPr>
            <w:r>
              <w:rPr>
                <w:b/>
                <w:sz w:val="21"/>
              </w:rPr>
              <w:t>失明</w:t>
            </w:r>
            <w:r>
              <w:rPr>
                <w:spacing w:val="-12"/>
                <w:sz w:val="21"/>
              </w:rPr>
              <w:t>：包括眼球缺失或摘除、或不能辨别明暗、或仅能辨别眼前手动者，最佳</w:t>
            </w:r>
            <w:r>
              <w:rPr>
                <w:spacing w:val="-9"/>
                <w:sz w:val="21"/>
              </w:rPr>
              <w:t>矫正视力低于国际标准视力表 </w:t>
            </w:r>
            <w:r>
              <w:rPr>
                <w:sz w:val="21"/>
              </w:rPr>
              <w:t>0.02</w:t>
            </w:r>
            <w:r>
              <w:rPr>
                <w:spacing w:val="-8"/>
                <w:sz w:val="21"/>
              </w:rPr>
              <w:t>，或视野半径小于 </w:t>
            </w:r>
            <w:r>
              <w:rPr>
                <w:sz w:val="21"/>
              </w:rPr>
              <w:t>5</w:t>
            </w:r>
            <w:r>
              <w:rPr>
                <w:spacing w:val="-13"/>
                <w:sz w:val="21"/>
              </w:rPr>
              <w:t> 度，且病程持续超过 </w:t>
            </w:r>
            <w:r>
              <w:rPr>
                <w:sz w:val="21"/>
              </w:rPr>
              <w:t>180 </w:t>
            </w:r>
            <w:r>
              <w:rPr>
                <w:w w:val="100"/>
                <w:sz w:val="21"/>
              </w:rPr>
              <w:t>天（</w:t>
            </w:r>
            <w:r>
              <w:rPr>
                <w:spacing w:val="-3"/>
                <w:w w:val="100"/>
                <w:sz w:val="21"/>
              </w:rPr>
              <w:t>眼球缺失或摘除不在此限</w:t>
            </w:r>
            <w:r>
              <w:rPr>
                <w:spacing w:val="-108"/>
                <w:w w:val="100"/>
                <w:sz w:val="21"/>
              </w:rPr>
              <w:t>）</w:t>
            </w:r>
            <w:r>
              <w:rPr>
                <w:spacing w:val="-3"/>
                <w:w w:val="100"/>
                <w:sz w:val="21"/>
              </w:rPr>
              <w:t>，并由本公司指定鉴定机构出具鉴定书。</w:t>
            </w:r>
          </w:p>
          <w:p>
            <w:pPr>
              <w:pStyle w:val="TableParagraph"/>
              <w:spacing w:line="273" w:lineRule="auto" w:before="7"/>
              <w:ind w:left="558" w:right="652"/>
              <w:rPr>
                <w:sz w:val="21"/>
              </w:rPr>
            </w:pPr>
            <w:r>
              <w:rPr>
                <w:b/>
                <w:sz w:val="21"/>
              </w:rPr>
              <w:t>关节机能的丧失</w:t>
            </w:r>
            <w:r>
              <w:rPr>
                <w:sz w:val="21"/>
              </w:rPr>
              <w:t>：指关节永久完全僵硬、或麻痹、或关节不能随意识活动。</w:t>
            </w:r>
            <w:r>
              <w:rPr>
                <w:b/>
                <w:sz w:val="21"/>
              </w:rPr>
              <w:t>咀嚼、吞咽机能的丧失</w:t>
            </w:r>
            <w:r>
              <w:rPr>
                <w:sz w:val="21"/>
              </w:rPr>
              <w:t>：指由于牙齿以外的原因引起器质障碍或机能障碍，</w:t>
            </w:r>
          </w:p>
          <w:p>
            <w:pPr>
              <w:pStyle w:val="TableParagraph"/>
              <w:spacing w:before="7"/>
              <w:ind w:left="145"/>
              <w:rPr>
                <w:sz w:val="21"/>
              </w:rPr>
            </w:pPr>
            <w:r>
              <w:rPr>
                <w:sz w:val="21"/>
              </w:rPr>
              <w:t>以至不能作咀嚼、吞咽运动，除流质食物外不能摄取或吞咽的状态。</w:t>
            </w:r>
          </w:p>
          <w:p>
            <w:pPr>
              <w:pStyle w:val="TableParagraph"/>
              <w:spacing w:line="273" w:lineRule="auto" w:before="37"/>
              <w:ind w:left="145" w:right="405" w:firstLine="412"/>
              <w:rPr>
                <w:sz w:val="21"/>
              </w:rPr>
            </w:pPr>
            <w:r>
              <w:rPr>
                <w:b/>
                <w:sz w:val="21"/>
              </w:rPr>
              <w:t>为维持生命必要之日常生活活动，全需他人扶助</w:t>
            </w:r>
            <w:r>
              <w:rPr>
                <w:sz w:val="21"/>
              </w:rPr>
              <w:t>：指食物摄取、大小便始末、穿脱衣服、起居、步行、入浴等，皆不能自己为之，需要他人帮助。</w:t>
            </w:r>
          </w:p>
        </w:tc>
      </w:tr>
      <w:tr>
        <w:trPr>
          <w:trHeight w:val="1248" w:hRule="atLeast"/>
        </w:trPr>
        <w:tc>
          <w:tcPr>
            <w:tcW w:w="1016" w:type="dxa"/>
          </w:tcPr>
          <w:p>
            <w:pPr>
              <w:pStyle w:val="TableParagraph"/>
              <w:ind w:left="200"/>
              <w:rPr>
                <w:b/>
                <w:sz w:val="21"/>
              </w:rPr>
            </w:pPr>
            <w:r>
              <w:rPr>
                <w:b/>
                <w:sz w:val="21"/>
              </w:rPr>
              <w:t>6.11</w:t>
            </w:r>
          </w:p>
        </w:tc>
        <w:tc>
          <w:tcPr>
            <w:tcW w:w="1168" w:type="dxa"/>
          </w:tcPr>
          <w:p>
            <w:pPr>
              <w:pStyle w:val="TableParagraph"/>
              <w:ind w:left="283"/>
              <w:rPr>
                <w:b/>
                <w:sz w:val="21"/>
              </w:rPr>
            </w:pPr>
            <w:r>
              <w:rPr>
                <w:b/>
                <w:sz w:val="21"/>
              </w:rPr>
              <w:t>毒品</w:t>
            </w:r>
          </w:p>
        </w:tc>
        <w:tc>
          <w:tcPr>
            <w:tcW w:w="8157" w:type="dxa"/>
          </w:tcPr>
          <w:p>
            <w:pPr>
              <w:pStyle w:val="TableParagraph"/>
              <w:spacing w:line="273" w:lineRule="auto"/>
              <w:ind w:left="145" w:right="551" w:firstLine="420"/>
              <w:rPr>
                <w:sz w:val="21"/>
              </w:rPr>
            </w:pPr>
            <w:r>
              <w:rPr>
                <w:spacing w:val="-3"/>
                <w:sz w:val="21"/>
              </w:rPr>
              <w:t>指中华人民共和国刑法规定的鸦片、海洛因、甲基苯丙胺（</w:t>
            </w:r>
            <w:r>
              <w:rPr>
                <w:sz w:val="21"/>
              </w:rPr>
              <w:t>冰毒</w:t>
            </w:r>
            <w:r>
              <w:rPr>
                <w:spacing w:val="-108"/>
                <w:sz w:val="21"/>
              </w:rPr>
              <w:t>）</w:t>
            </w:r>
            <w:r>
              <w:rPr>
                <w:spacing w:val="-3"/>
                <w:sz w:val="21"/>
              </w:rPr>
              <w:t>、吗啡、大麻、可卡因以及国家规定管制的其他能够使人形成瘾癖的麻醉药品和精神药品， 但不包括由医生开具并遵医嘱使用的用于治疗疾病但含有毒品成分的处方药品。</w:t>
            </w:r>
          </w:p>
        </w:tc>
      </w:tr>
      <w:tr>
        <w:trPr>
          <w:trHeight w:val="1248" w:hRule="atLeast"/>
        </w:trPr>
        <w:tc>
          <w:tcPr>
            <w:tcW w:w="1016" w:type="dxa"/>
          </w:tcPr>
          <w:p>
            <w:pPr>
              <w:pStyle w:val="TableParagraph"/>
              <w:ind w:left="200"/>
              <w:rPr>
                <w:b/>
                <w:sz w:val="21"/>
              </w:rPr>
            </w:pPr>
            <w:r>
              <w:rPr>
                <w:b/>
                <w:sz w:val="21"/>
              </w:rPr>
              <w:t>6.12</w:t>
            </w:r>
          </w:p>
        </w:tc>
        <w:tc>
          <w:tcPr>
            <w:tcW w:w="1168" w:type="dxa"/>
          </w:tcPr>
          <w:p>
            <w:pPr>
              <w:pStyle w:val="TableParagraph"/>
              <w:ind w:left="180"/>
              <w:rPr>
                <w:b/>
                <w:sz w:val="21"/>
              </w:rPr>
            </w:pPr>
            <w:r>
              <w:rPr>
                <w:b/>
                <w:sz w:val="21"/>
              </w:rPr>
              <w:t>酒后驾驶</w:t>
            </w:r>
          </w:p>
        </w:tc>
        <w:tc>
          <w:tcPr>
            <w:tcW w:w="8157" w:type="dxa"/>
          </w:tcPr>
          <w:p>
            <w:pPr>
              <w:pStyle w:val="TableParagraph"/>
              <w:spacing w:line="273" w:lineRule="auto"/>
              <w:ind w:left="145" w:right="652" w:firstLine="420"/>
              <w:jc w:val="both"/>
              <w:rPr>
                <w:sz w:val="21"/>
              </w:rPr>
            </w:pPr>
            <w:r>
              <w:rPr>
                <w:sz w:val="21"/>
              </w:rPr>
              <w:t>指经检测或鉴定，发生事故时车辆驾驶人员每百毫升血液中的酒精含量达到或超过道路交通法规规定的标准，或公安机关交通管理部门依据《道路交通安全法》的规定认定为饮酒后驾驶或醉酒后驾驶。</w:t>
            </w:r>
          </w:p>
        </w:tc>
      </w:tr>
      <w:tr>
        <w:trPr>
          <w:trHeight w:val="1977" w:hRule="atLeast"/>
        </w:trPr>
        <w:tc>
          <w:tcPr>
            <w:tcW w:w="1016" w:type="dxa"/>
          </w:tcPr>
          <w:p>
            <w:pPr>
              <w:pStyle w:val="TableParagraph"/>
              <w:ind w:left="200"/>
              <w:rPr>
                <w:b/>
                <w:sz w:val="21"/>
              </w:rPr>
            </w:pPr>
            <w:r>
              <w:rPr>
                <w:b/>
                <w:sz w:val="21"/>
              </w:rPr>
              <w:t>6.13</w:t>
            </w:r>
          </w:p>
        </w:tc>
        <w:tc>
          <w:tcPr>
            <w:tcW w:w="1168" w:type="dxa"/>
          </w:tcPr>
          <w:p>
            <w:pPr>
              <w:pStyle w:val="TableParagraph"/>
              <w:spacing w:line="273" w:lineRule="auto"/>
              <w:ind w:left="180" w:right="140"/>
              <w:jc w:val="both"/>
              <w:rPr>
                <w:b/>
                <w:sz w:val="21"/>
              </w:rPr>
            </w:pPr>
            <w:r>
              <w:rPr>
                <w:b/>
                <w:sz w:val="21"/>
              </w:rPr>
              <w:t>无合法有效驾驶证驾驶</w:t>
            </w:r>
          </w:p>
        </w:tc>
        <w:tc>
          <w:tcPr>
            <w:tcW w:w="8157" w:type="dxa"/>
          </w:tcPr>
          <w:p>
            <w:pPr>
              <w:pStyle w:val="TableParagraph"/>
              <w:ind w:left="565"/>
              <w:rPr>
                <w:sz w:val="21"/>
              </w:rPr>
            </w:pPr>
            <w:r>
              <w:rPr>
                <w:sz w:val="21"/>
              </w:rPr>
              <w:t>指下列情形之一：</w:t>
            </w:r>
          </w:p>
          <w:p>
            <w:pPr>
              <w:pStyle w:val="TableParagraph"/>
              <w:spacing w:before="36"/>
              <w:ind w:left="565"/>
              <w:rPr>
                <w:sz w:val="21"/>
              </w:rPr>
            </w:pPr>
            <w:r>
              <w:rPr>
                <w:sz w:val="21"/>
              </w:rPr>
              <w:t>1.没有取得驾驶资格；</w:t>
            </w:r>
          </w:p>
          <w:p>
            <w:pPr>
              <w:pStyle w:val="TableParagraph"/>
              <w:spacing w:before="36"/>
              <w:ind w:left="565"/>
              <w:rPr>
                <w:sz w:val="21"/>
              </w:rPr>
            </w:pPr>
            <w:r>
              <w:rPr>
                <w:sz w:val="21"/>
              </w:rPr>
              <w:t>2.驾驶与驾驶证准驾车型不相符合的车辆；</w:t>
            </w:r>
          </w:p>
          <w:p>
            <w:pPr>
              <w:pStyle w:val="TableParagraph"/>
              <w:spacing w:before="36"/>
              <w:ind w:left="565"/>
              <w:rPr>
                <w:sz w:val="21"/>
              </w:rPr>
            </w:pPr>
            <w:r>
              <w:rPr>
                <w:sz w:val="21"/>
              </w:rPr>
              <w:t>3.持审验不合格的驾驶证驾驶；</w:t>
            </w:r>
          </w:p>
          <w:p>
            <w:pPr>
              <w:pStyle w:val="TableParagraph"/>
              <w:spacing w:line="310" w:lineRule="atLeast" w:before="2"/>
              <w:ind w:left="145" w:right="652" w:firstLine="420"/>
              <w:rPr>
                <w:sz w:val="21"/>
              </w:rPr>
            </w:pPr>
            <w:r>
              <w:rPr>
                <w:sz w:val="21"/>
              </w:rPr>
              <w:t>4.持学习驾驶证学习驾车时，无教练员随车指导，或不按指定时间、路线学习驾车。</w:t>
            </w:r>
          </w:p>
        </w:tc>
      </w:tr>
    </w:tbl>
    <w:p>
      <w:pPr>
        <w:spacing w:after="0" w:line="310" w:lineRule="atLeast"/>
        <w:rPr>
          <w:sz w:val="21"/>
        </w:rPr>
        <w:sectPr>
          <w:pgSz w:w="11910" w:h="16840"/>
          <w:pgMar w:header="871" w:footer="992" w:top="1060" w:bottom="1180" w:left="680" w:right="660"/>
        </w:sectPr>
      </w:pPr>
    </w:p>
    <w:p>
      <w:pPr>
        <w:pStyle w:val="BodyText"/>
        <w:rPr>
          <w:rFonts w:ascii="Times New Roman"/>
          <w:sz w:val="2"/>
        </w:rPr>
      </w:pPr>
    </w:p>
    <w:p>
      <w:pPr>
        <w:spacing w:line="38" w:lineRule="exact"/>
        <w:ind w:left="616" w:right="0" w:firstLine="0"/>
        <w:rPr>
          <w:rFonts w:ascii="Times New Roman"/>
          <w:sz w:val="3"/>
        </w:rPr>
      </w:pPr>
      <w:r>
        <w:rPr>
          <w:rFonts w:ascii="Times New Roman"/>
          <w:spacing w:val="-7"/>
          <w:sz w:val="3"/>
        </w:rPr>
        <w:t> </w:t>
      </w:r>
      <w:r>
        <w:rPr>
          <w:rFonts w:ascii="Times New Roman"/>
          <w:spacing w:val="-7"/>
          <w:position w:val="0"/>
          <w:sz w:val="3"/>
        </w:rPr>
        <w:pict>
          <v:group style="width:468.75pt;height:1.85pt;mso-position-horizontal-relative:char;mso-position-vertical-relative:line" coordorigin="0,0" coordsize="9375,37">
            <v:line style="position:absolute" from="8,30" to="9368,8" stroked="true" strokeweight=".75pt" strokecolor="#000000">
              <v:stroke dashstyle="solid"/>
            </v:line>
          </v:group>
        </w:pict>
      </w:r>
      <w:r>
        <w:rPr>
          <w:rFonts w:ascii="Times New Roman"/>
          <w:spacing w:val="-7"/>
          <w:position w:val="0"/>
          <w:sz w:val="3"/>
        </w:rPr>
      </w:r>
    </w:p>
    <w:p>
      <w:pPr>
        <w:pStyle w:val="BodyText"/>
        <w:spacing w:before="0"/>
        <w:rPr>
          <w:rFonts w:ascii="Times New Roman"/>
          <w:sz w:val="20"/>
        </w:rPr>
      </w:pPr>
    </w:p>
    <w:p>
      <w:pPr>
        <w:pStyle w:val="BodyText"/>
        <w:spacing w:before="0"/>
        <w:rPr>
          <w:rFonts w:ascii="Times New Roman"/>
          <w:sz w:val="20"/>
        </w:rPr>
      </w:pPr>
    </w:p>
    <w:p>
      <w:pPr>
        <w:pStyle w:val="BodyText"/>
        <w:spacing w:before="2"/>
        <w:rPr>
          <w:rFonts w:ascii="Times New Roman"/>
          <w:sz w:val="16"/>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0"/>
        <w:gridCol w:w="1276"/>
        <w:gridCol w:w="7805"/>
      </w:tblGrid>
      <w:tr>
        <w:trPr>
          <w:trHeight w:val="1041" w:hRule="atLeast"/>
        </w:trPr>
        <w:tc>
          <w:tcPr>
            <w:tcW w:w="910" w:type="dxa"/>
          </w:tcPr>
          <w:p>
            <w:pPr>
              <w:pStyle w:val="TableParagraph"/>
              <w:spacing w:line="211" w:lineRule="exact" w:before="0"/>
              <w:ind w:left="200"/>
              <w:rPr>
                <w:b/>
                <w:sz w:val="21"/>
              </w:rPr>
            </w:pPr>
            <w:r>
              <w:rPr>
                <w:b/>
                <w:sz w:val="21"/>
              </w:rPr>
              <w:t>6.14</w:t>
            </w:r>
          </w:p>
        </w:tc>
        <w:tc>
          <w:tcPr>
            <w:tcW w:w="1276" w:type="dxa"/>
          </w:tcPr>
          <w:p>
            <w:pPr>
              <w:pStyle w:val="TableParagraph"/>
              <w:spacing w:line="211" w:lineRule="exact" w:before="0"/>
              <w:ind w:left="286"/>
              <w:rPr>
                <w:b/>
                <w:sz w:val="21"/>
              </w:rPr>
            </w:pPr>
            <w:r>
              <w:rPr>
                <w:b/>
                <w:sz w:val="21"/>
              </w:rPr>
              <w:t>无有效行</w:t>
            </w:r>
          </w:p>
          <w:p>
            <w:pPr>
              <w:pStyle w:val="TableParagraph"/>
              <w:spacing w:before="37"/>
              <w:ind w:left="286"/>
              <w:rPr>
                <w:b/>
                <w:sz w:val="21"/>
              </w:rPr>
            </w:pPr>
            <w:r>
              <w:rPr>
                <w:b/>
                <w:sz w:val="21"/>
              </w:rPr>
              <w:t>驶证</w:t>
            </w:r>
          </w:p>
        </w:tc>
        <w:tc>
          <w:tcPr>
            <w:tcW w:w="7805" w:type="dxa"/>
          </w:tcPr>
          <w:p>
            <w:pPr>
              <w:pStyle w:val="TableParagraph"/>
              <w:spacing w:line="211" w:lineRule="exact" w:before="0"/>
              <w:ind w:left="563"/>
              <w:rPr>
                <w:sz w:val="21"/>
              </w:rPr>
            </w:pPr>
            <w:r>
              <w:rPr>
                <w:sz w:val="21"/>
              </w:rPr>
              <w:t>指下列情形之一：</w:t>
            </w:r>
          </w:p>
          <w:p>
            <w:pPr>
              <w:pStyle w:val="TableParagraph"/>
              <w:spacing w:before="37"/>
              <w:ind w:left="563"/>
              <w:rPr>
                <w:sz w:val="21"/>
              </w:rPr>
            </w:pPr>
            <w:r>
              <w:rPr>
                <w:sz w:val="21"/>
              </w:rPr>
              <w:t>1.机动车被依法注销登记的；</w:t>
            </w:r>
          </w:p>
          <w:p>
            <w:pPr>
              <w:pStyle w:val="TableParagraph"/>
              <w:spacing w:before="37"/>
              <w:ind w:left="563"/>
              <w:rPr>
                <w:sz w:val="21"/>
              </w:rPr>
            </w:pPr>
            <w:r>
              <w:rPr>
                <w:sz w:val="21"/>
              </w:rPr>
              <w:t>2.未依法按时进行或通过机动车安全技术检验。</w:t>
            </w:r>
          </w:p>
        </w:tc>
      </w:tr>
      <w:tr>
        <w:trPr>
          <w:trHeight w:val="936" w:hRule="atLeast"/>
        </w:trPr>
        <w:tc>
          <w:tcPr>
            <w:tcW w:w="910" w:type="dxa"/>
          </w:tcPr>
          <w:p>
            <w:pPr>
              <w:pStyle w:val="TableParagraph"/>
              <w:ind w:left="200"/>
              <w:rPr>
                <w:b/>
                <w:sz w:val="21"/>
              </w:rPr>
            </w:pPr>
            <w:r>
              <w:rPr>
                <w:b/>
                <w:sz w:val="21"/>
              </w:rPr>
              <w:t>6.15</w:t>
            </w:r>
          </w:p>
        </w:tc>
        <w:tc>
          <w:tcPr>
            <w:tcW w:w="1276" w:type="dxa"/>
          </w:tcPr>
          <w:p>
            <w:pPr>
              <w:pStyle w:val="TableParagraph"/>
              <w:ind w:left="286"/>
              <w:rPr>
                <w:b/>
                <w:sz w:val="21"/>
              </w:rPr>
            </w:pPr>
            <w:r>
              <w:rPr>
                <w:b/>
                <w:sz w:val="21"/>
              </w:rPr>
              <w:t>机动车</w:t>
            </w:r>
          </w:p>
        </w:tc>
        <w:tc>
          <w:tcPr>
            <w:tcW w:w="7805" w:type="dxa"/>
          </w:tcPr>
          <w:p>
            <w:pPr>
              <w:pStyle w:val="TableParagraph"/>
              <w:spacing w:line="273" w:lineRule="auto"/>
              <w:ind w:left="143" w:right="302" w:firstLine="420"/>
              <w:rPr>
                <w:sz w:val="21"/>
              </w:rPr>
            </w:pPr>
            <w:r>
              <w:rPr>
                <w:sz w:val="21"/>
              </w:rPr>
              <w:t>指以动力装置驱动或牵引，供人员乘用或用于运送物品以及进行工程专项作业的轮式车辆。</w:t>
            </w:r>
          </w:p>
        </w:tc>
      </w:tr>
      <w:tr>
        <w:trPr>
          <w:trHeight w:val="936" w:hRule="atLeast"/>
        </w:trPr>
        <w:tc>
          <w:tcPr>
            <w:tcW w:w="910" w:type="dxa"/>
          </w:tcPr>
          <w:p>
            <w:pPr>
              <w:pStyle w:val="TableParagraph"/>
              <w:ind w:left="200"/>
              <w:rPr>
                <w:b/>
                <w:sz w:val="21"/>
              </w:rPr>
            </w:pPr>
            <w:r>
              <w:rPr>
                <w:b/>
                <w:sz w:val="21"/>
              </w:rPr>
              <w:t>6.16</w:t>
            </w:r>
          </w:p>
        </w:tc>
        <w:tc>
          <w:tcPr>
            <w:tcW w:w="1276" w:type="dxa"/>
          </w:tcPr>
          <w:p>
            <w:pPr>
              <w:pStyle w:val="TableParagraph"/>
              <w:spacing w:line="273" w:lineRule="auto"/>
              <w:ind w:left="286" w:right="142"/>
              <w:rPr>
                <w:b/>
                <w:sz w:val="21"/>
              </w:rPr>
            </w:pPr>
            <w:r>
              <w:rPr>
                <w:b/>
                <w:sz w:val="21"/>
              </w:rPr>
              <w:t>遗传性疾病</w:t>
            </w:r>
          </w:p>
        </w:tc>
        <w:tc>
          <w:tcPr>
            <w:tcW w:w="7805" w:type="dxa"/>
          </w:tcPr>
          <w:p>
            <w:pPr>
              <w:pStyle w:val="TableParagraph"/>
              <w:spacing w:line="273" w:lineRule="auto"/>
              <w:ind w:left="143" w:right="202" w:firstLine="420"/>
              <w:rPr>
                <w:sz w:val="21"/>
              </w:rPr>
            </w:pPr>
            <w:r>
              <w:rPr>
                <w:sz w:val="21"/>
              </w:rPr>
              <w:t>指生殖细胞或受精卵的遗传物质（染色体和基因）发生突变或畸变所引起的疾病，通常具有由亲代传至后代的垂直传递的特征。</w:t>
            </w:r>
          </w:p>
        </w:tc>
      </w:tr>
      <w:tr>
        <w:trPr>
          <w:trHeight w:val="1560" w:hRule="atLeast"/>
        </w:trPr>
        <w:tc>
          <w:tcPr>
            <w:tcW w:w="910" w:type="dxa"/>
          </w:tcPr>
          <w:p>
            <w:pPr>
              <w:pStyle w:val="TableParagraph"/>
              <w:spacing w:before="143"/>
              <w:ind w:left="200"/>
              <w:rPr>
                <w:b/>
                <w:sz w:val="21"/>
              </w:rPr>
            </w:pPr>
            <w:r>
              <w:rPr>
                <w:b/>
                <w:sz w:val="21"/>
              </w:rPr>
              <w:t>6.17</w:t>
            </w:r>
          </w:p>
        </w:tc>
        <w:tc>
          <w:tcPr>
            <w:tcW w:w="1276" w:type="dxa"/>
          </w:tcPr>
          <w:p>
            <w:pPr>
              <w:pStyle w:val="TableParagraph"/>
              <w:spacing w:line="273" w:lineRule="auto" w:before="143"/>
              <w:ind w:left="286" w:right="142"/>
              <w:jc w:val="both"/>
              <w:rPr>
                <w:b/>
                <w:sz w:val="21"/>
              </w:rPr>
            </w:pPr>
            <w:r>
              <w:rPr>
                <w:b/>
                <w:sz w:val="21"/>
              </w:rPr>
              <w:t>先天性畸形、变形或染色体异常</w:t>
            </w:r>
          </w:p>
        </w:tc>
        <w:tc>
          <w:tcPr>
            <w:tcW w:w="7805" w:type="dxa"/>
          </w:tcPr>
          <w:p>
            <w:pPr>
              <w:pStyle w:val="TableParagraph"/>
              <w:spacing w:line="273" w:lineRule="auto" w:before="143"/>
              <w:ind w:left="143" w:right="200" w:firstLine="420"/>
              <w:jc w:val="both"/>
              <w:rPr>
                <w:sz w:val="21"/>
              </w:rPr>
            </w:pPr>
            <w:r>
              <w:rPr>
                <w:sz w:val="21"/>
              </w:rPr>
              <w:t>指被保险人出生时就具有的畸形、变形或染色体异常。先天性畸形、变形和</w:t>
            </w:r>
            <w:r>
              <w:rPr>
                <w:spacing w:val="-7"/>
                <w:sz w:val="21"/>
              </w:rPr>
              <w:t>染色体异常依照世界卫生组织《疾病和有关健康问题的国际统计分类》</w:t>
            </w:r>
            <w:r>
              <w:rPr>
                <w:sz w:val="21"/>
              </w:rPr>
              <w:t>（ICD-10） 确定。</w:t>
            </w:r>
          </w:p>
        </w:tc>
      </w:tr>
      <w:tr>
        <w:trPr>
          <w:trHeight w:val="1872" w:hRule="atLeast"/>
        </w:trPr>
        <w:tc>
          <w:tcPr>
            <w:tcW w:w="910" w:type="dxa"/>
          </w:tcPr>
          <w:p>
            <w:pPr>
              <w:pStyle w:val="TableParagraph"/>
              <w:ind w:left="200"/>
              <w:rPr>
                <w:b/>
                <w:sz w:val="21"/>
              </w:rPr>
            </w:pPr>
            <w:r>
              <w:rPr>
                <w:b/>
                <w:sz w:val="21"/>
              </w:rPr>
              <w:t>6.18</w:t>
            </w:r>
          </w:p>
        </w:tc>
        <w:tc>
          <w:tcPr>
            <w:tcW w:w="1276" w:type="dxa"/>
          </w:tcPr>
          <w:p>
            <w:pPr>
              <w:pStyle w:val="TableParagraph"/>
              <w:spacing w:line="273" w:lineRule="auto"/>
              <w:ind w:left="286" w:right="142"/>
              <w:jc w:val="both"/>
              <w:rPr>
                <w:b/>
                <w:sz w:val="21"/>
              </w:rPr>
            </w:pPr>
            <w:r>
              <w:rPr>
                <w:b/>
                <w:sz w:val="21"/>
              </w:rPr>
              <w:t>感染艾滋病病毒或患艾滋病</w:t>
            </w:r>
          </w:p>
        </w:tc>
        <w:tc>
          <w:tcPr>
            <w:tcW w:w="7805" w:type="dxa"/>
          </w:tcPr>
          <w:p>
            <w:pPr>
              <w:pStyle w:val="TableParagraph"/>
              <w:spacing w:line="273" w:lineRule="auto"/>
              <w:ind w:left="143" w:right="201" w:firstLine="420"/>
              <w:jc w:val="both"/>
              <w:rPr>
                <w:sz w:val="21"/>
              </w:rPr>
            </w:pPr>
            <w:r>
              <w:rPr>
                <w:spacing w:val="-6"/>
                <w:sz w:val="21"/>
              </w:rPr>
              <w:t>艾滋病病毒指人类免疫缺陷病毒，英文缩写 </w:t>
            </w:r>
            <w:r>
              <w:rPr>
                <w:sz w:val="21"/>
              </w:rPr>
              <w:t>HIV</w:t>
            </w:r>
            <w:r>
              <w:rPr>
                <w:spacing w:val="-7"/>
                <w:sz w:val="21"/>
              </w:rPr>
              <w:t>。艾滋病指人类免疫缺陷病毒引起的获得性免疫缺陷综合征，英文缩写 </w:t>
            </w:r>
            <w:r>
              <w:rPr>
                <w:sz w:val="21"/>
              </w:rPr>
              <w:t>AIDS。</w:t>
            </w:r>
          </w:p>
          <w:p>
            <w:pPr>
              <w:pStyle w:val="TableParagraph"/>
              <w:spacing w:line="273" w:lineRule="auto" w:before="7"/>
              <w:ind w:left="143" w:right="202" w:firstLine="420"/>
              <w:jc w:val="both"/>
              <w:rPr>
                <w:sz w:val="21"/>
              </w:rPr>
            </w:pPr>
            <w:r>
              <w:rPr>
                <w:sz w:val="21"/>
              </w:rPr>
              <w:t>在人体血液或其他样本中检测到艾滋病病毒或其抗体呈阳性，没有出现临床症状或体征的，为感染艾滋病病毒；如同时出现了明显临床症状或体征的，为患艾滋病。</w:t>
            </w:r>
          </w:p>
        </w:tc>
      </w:tr>
      <w:tr>
        <w:trPr>
          <w:trHeight w:val="729" w:hRule="atLeast"/>
        </w:trPr>
        <w:tc>
          <w:tcPr>
            <w:tcW w:w="910" w:type="dxa"/>
          </w:tcPr>
          <w:p>
            <w:pPr>
              <w:pStyle w:val="TableParagraph"/>
              <w:spacing w:before="143"/>
              <w:ind w:left="200"/>
              <w:rPr>
                <w:b/>
                <w:sz w:val="21"/>
              </w:rPr>
            </w:pPr>
            <w:r>
              <w:rPr>
                <w:b/>
                <w:sz w:val="21"/>
              </w:rPr>
              <w:t>6.19</w:t>
            </w:r>
          </w:p>
        </w:tc>
        <w:tc>
          <w:tcPr>
            <w:tcW w:w="1276" w:type="dxa"/>
          </w:tcPr>
          <w:p>
            <w:pPr>
              <w:pStyle w:val="TableParagraph"/>
              <w:spacing w:line="310" w:lineRule="atLeast" w:before="107"/>
              <w:ind w:left="286" w:right="142"/>
              <w:rPr>
                <w:b/>
                <w:sz w:val="21"/>
              </w:rPr>
            </w:pPr>
            <w:r>
              <w:rPr>
                <w:b/>
                <w:sz w:val="21"/>
              </w:rPr>
              <w:t>指定鉴定机构</w:t>
            </w:r>
          </w:p>
        </w:tc>
        <w:tc>
          <w:tcPr>
            <w:tcW w:w="7805" w:type="dxa"/>
          </w:tcPr>
          <w:p>
            <w:pPr>
              <w:pStyle w:val="TableParagraph"/>
              <w:spacing w:line="310" w:lineRule="atLeast" w:before="107"/>
              <w:ind w:left="143" w:right="302" w:firstLine="420"/>
              <w:rPr>
                <w:sz w:val="21"/>
              </w:rPr>
            </w:pPr>
            <w:r>
              <w:rPr>
                <w:sz w:val="21"/>
              </w:rPr>
              <w:t>指本公司指定的残疾鉴定机构，指定鉴定机构目录可咨询本公司全国客户服务电话或登陆本公司主页</w:t>
            </w:r>
            <w:hyperlink r:id="rId15">
              <w:r>
                <w:rPr>
                  <w:sz w:val="21"/>
                </w:rPr>
                <w:t>（www.tianan-life.com</w:t>
              </w:r>
            </w:hyperlink>
            <w:r>
              <w:rPr>
                <w:sz w:val="21"/>
              </w:rPr>
              <w:t>）查询。</w:t>
            </w:r>
          </w:p>
        </w:tc>
      </w:tr>
    </w:tbl>
    <w:sectPr>
      <w:pgSz w:w="11910" w:h="16840"/>
      <w:pgMar w:header="871" w:footer="992" w:top="1060" w:bottom="1180" w:left="68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91.209991pt;margin-top:781.299988pt;width:13.15pt;height:12pt;mso-position-horizontal-relative:page;mso-position-vertical-relative:page;z-index:-650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64.183998pt;margin-top:42.579964pt;width:219.6pt;height:12pt;mso-position-horizontal-relative:page;mso-position-vertical-relative:page;z-index:-65008" type="#_x0000_t202" filled="false" stroked="false">
          <v:textbox inset="0,0,0,0">
            <w:txbxContent>
              <w:p>
                <w:pPr>
                  <w:spacing w:line="219" w:lineRule="exact" w:before="0"/>
                  <w:ind w:left="20" w:right="0" w:firstLine="0"/>
                  <w:jc w:val="left"/>
                  <w:rPr>
                    <w:sz w:val="18"/>
                  </w:rPr>
                </w:pPr>
                <w:r>
                  <w:rPr>
                    <w:spacing w:val="-3"/>
                    <w:sz w:val="18"/>
                  </w:rPr>
                  <w:t>天安人寿附加投保人豁免保险费 </w:t>
                </w:r>
                <w:r>
                  <w:rPr>
                    <w:rFonts w:ascii="Times New Roman" w:eastAsia="Times New Roman"/>
                    <w:sz w:val="18"/>
                  </w:rPr>
                  <w:t>B </w:t>
                </w:r>
                <w:r>
                  <w:rPr>
                    <w:sz w:val="18"/>
                  </w:rPr>
                  <w:t>款重大疾病保险条款</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64984" from="65.199997pt,56.399984pt" to="533.199997pt,55.299984pt" stroked="true" strokeweight=".75pt" strokecolor="#000000">
          <v:stroke dashstyle="solid"/>
          <w10:wrap type="none"/>
        </v:line>
      </w:pict>
    </w:r>
    <w:r>
      <w:rPr/>
      <w:pict>
        <v:shape style="position:absolute;margin-left:64.183998pt;margin-top:42.579964pt;width:219.6pt;height:12pt;mso-position-horizontal-relative:page;mso-position-vertical-relative:page;z-index:-64960" type="#_x0000_t202" filled="false" stroked="false">
          <v:textbox inset="0,0,0,0">
            <w:txbxContent>
              <w:p>
                <w:pPr>
                  <w:spacing w:line="219" w:lineRule="exact" w:before="0"/>
                  <w:ind w:left="20" w:right="0" w:firstLine="0"/>
                  <w:jc w:val="left"/>
                  <w:rPr>
                    <w:sz w:val="18"/>
                  </w:rPr>
                </w:pPr>
                <w:r>
                  <w:rPr>
                    <w:spacing w:val="-3"/>
                    <w:sz w:val="18"/>
                  </w:rPr>
                  <w:t>天安人寿附加投保人豁免保险费 </w:t>
                </w:r>
                <w:r>
                  <w:rPr>
                    <w:rFonts w:ascii="Times New Roman" w:eastAsia="Times New Roman"/>
                    <w:sz w:val="18"/>
                  </w:rPr>
                  <w:t>B </w:t>
                </w:r>
                <w:r>
                  <w:rPr>
                    <w:sz w:val="18"/>
                  </w:rPr>
                  <w:t>款重大疾病保险条款</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64.183998pt;margin-top:42.579964pt;width:219.6pt;height:12pt;mso-position-horizontal-relative:page;mso-position-vertical-relative:page;z-index:-64936" type="#_x0000_t202" filled="false" stroked="false">
          <v:textbox inset="0,0,0,0">
            <w:txbxContent>
              <w:p>
                <w:pPr>
                  <w:spacing w:line="219" w:lineRule="exact" w:before="0"/>
                  <w:ind w:left="20" w:right="0" w:firstLine="0"/>
                  <w:jc w:val="left"/>
                  <w:rPr>
                    <w:sz w:val="18"/>
                  </w:rPr>
                </w:pPr>
                <w:r>
                  <w:rPr>
                    <w:spacing w:val="-3"/>
                    <w:sz w:val="18"/>
                  </w:rPr>
                  <w:t>天安人寿附加投保人豁免保险费 </w:t>
                </w:r>
                <w:r>
                  <w:rPr>
                    <w:rFonts w:ascii="Times New Roman" w:eastAsia="Times New Roman"/>
                    <w:sz w:val="18"/>
                  </w:rPr>
                  <w:t>B </w:t>
                </w:r>
                <w:r>
                  <w:rPr>
                    <w:sz w:val="18"/>
                  </w:rPr>
                  <w:t>款重大疾病保险条款</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6"/>
      <w:numFmt w:val="decimal"/>
      <w:lvlText w:val="%1"/>
      <w:lvlJc w:val="left"/>
      <w:pPr>
        <w:ind w:left="1100" w:hanging="997"/>
        <w:jc w:val="left"/>
      </w:pPr>
      <w:rPr>
        <w:rFonts w:hint="default"/>
      </w:rPr>
    </w:lvl>
    <w:lvl w:ilvl="1">
      <w:start w:val="6"/>
      <w:numFmt w:val="decimal"/>
      <w:lvlText w:val="%1.%2"/>
      <w:lvlJc w:val="left"/>
      <w:pPr>
        <w:ind w:left="1100" w:hanging="997"/>
        <w:jc w:val="left"/>
      </w:pPr>
      <w:rPr>
        <w:rFonts w:hint="default"/>
      </w:rPr>
    </w:lvl>
    <w:lvl w:ilvl="2">
      <w:start w:val="28"/>
      <w:numFmt w:val="decimal"/>
      <w:lvlText w:val="%1.%2.%3"/>
      <w:lvlJc w:val="left"/>
      <w:pPr>
        <w:ind w:left="1100" w:hanging="997"/>
        <w:jc w:val="left"/>
      </w:pPr>
      <w:rPr>
        <w:rFonts w:hint="default" w:ascii="宋体" w:hAnsi="宋体" w:eastAsia="宋体" w:cs="宋体"/>
        <w:b/>
        <w:bCs/>
        <w:w w:val="99"/>
        <w:sz w:val="21"/>
        <w:szCs w:val="21"/>
      </w:rPr>
    </w:lvl>
    <w:lvl w:ilvl="3">
      <w:start w:val="0"/>
      <w:numFmt w:val="bullet"/>
      <w:lvlText w:val="•"/>
      <w:lvlJc w:val="left"/>
      <w:pPr>
        <w:ind w:left="1353" w:hanging="997"/>
      </w:pPr>
      <w:rPr>
        <w:rFonts w:hint="default"/>
      </w:rPr>
    </w:lvl>
    <w:lvl w:ilvl="4">
      <w:start w:val="0"/>
      <w:numFmt w:val="bullet"/>
      <w:lvlText w:val="•"/>
      <w:lvlJc w:val="left"/>
      <w:pPr>
        <w:ind w:left="1438" w:hanging="997"/>
      </w:pPr>
      <w:rPr>
        <w:rFonts w:hint="default"/>
      </w:rPr>
    </w:lvl>
    <w:lvl w:ilvl="5">
      <w:start w:val="0"/>
      <w:numFmt w:val="bullet"/>
      <w:lvlText w:val="•"/>
      <w:lvlJc w:val="left"/>
      <w:pPr>
        <w:ind w:left="1522" w:hanging="997"/>
      </w:pPr>
      <w:rPr>
        <w:rFonts w:hint="default"/>
      </w:rPr>
    </w:lvl>
    <w:lvl w:ilvl="6">
      <w:start w:val="0"/>
      <w:numFmt w:val="bullet"/>
      <w:lvlText w:val="•"/>
      <w:lvlJc w:val="left"/>
      <w:pPr>
        <w:ind w:left="1607" w:hanging="997"/>
      </w:pPr>
      <w:rPr>
        <w:rFonts w:hint="default"/>
      </w:rPr>
    </w:lvl>
    <w:lvl w:ilvl="7">
      <w:start w:val="0"/>
      <w:numFmt w:val="bullet"/>
      <w:lvlText w:val="•"/>
      <w:lvlJc w:val="left"/>
      <w:pPr>
        <w:ind w:left="1691" w:hanging="997"/>
      </w:pPr>
      <w:rPr>
        <w:rFonts w:hint="default"/>
      </w:rPr>
    </w:lvl>
    <w:lvl w:ilvl="8">
      <w:start w:val="0"/>
      <w:numFmt w:val="bullet"/>
      <w:lvlText w:val="•"/>
      <w:lvlJc w:val="left"/>
      <w:pPr>
        <w:ind w:left="1776" w:hanging="997"/>
      </w:pPr>
      <w:rPr>
        <w:rFonts w:hint="default"/>
      </w:rPr>
    </w:lvl>
  </w:abstractNum>
  <w:abstractNum w:abstractNumId="2">
    <w:multiLevelType w:val="hybridMultilevel"/>
    <w:lvl w:ilvl="0">
      <w:start w:val="6"/>
      <w:numFmt w:val="decimal"/>
      <w:lvlText w:val="%1"/>
      <w:lvlJc w:val="left"/>
      <w:pPr>
        <w:ind w:left="935" w:hanging="423"/>
        <w:jc w:val="left"/>
      </w:pPr>
      <w:rPr>
        <w:rFonts w:hint="default"/>
      </w:rPr>
    </w:lvl>
    <w:lvl w:ilvl="1">
      <w:start w:val="4"/>
      <w:numFmt w:val="decimal"/>
      <w:lvlText w:val="%1.%2"/>
      <w:lvlJc w:val="left"/>
      <w:pPr>
        <w:ind w:left="935" w:hanging="423"/>
        <w:jc w:val="left"/>
      </w:pPr>
      <w:rPr>
        <w:rFonts w:hint="default" w:ascii="宋体" w:hAnsi="宋体" w:eastAsia="宋体" w:cs="宋体"/>
        <w:w w:val="100"/>
        <w:sz w:val="21"/>
        <w:szCs w:val="21"/>
      </w:rPr>
    </w:lvl>
    <w:lvl w:ilvl="2">
      <w:start w:val="0"/>
      <w:numFmt w:val="bullet"/>
      <w:lvlText w:val="•"/>
      <w:lvlJc w:val="left"/>
      <w:pPr>
        <w:ind w:left="1401" w:hanging="423"/>
      </w:pPr>
      <w:rPr>
        <w:rFonts w:hint="default"/>
      </w:rPr>
    </w:lvl>
    <w:lvl w:ilvl="3">
      <w:start w:val="0"/>
      <w:numFmt w:val="bullet"/>
      <w:lvlText w:val="•"/>
      <w:lvlJc w:val="left"/>
      <w:pPr>
        <w:ind w:left="1632" w:hanging="423"/>
      </w:pPr>
      <w:rPr>
        <w:rFonts w:hint="default"/>
      </w:rPr>
    </w:lvl>
    <w:lvl w:ilvl="4">
      <w:start w:val="0"/>
      <w:numFmt w:val="bullet"/>
      <w:lvlText w:val="•"/>
      <w:lvlJc w:val="left"/>
      <w:pPr>
        <w:ind w:left="1862" w:hanging="423"/>
      </w:pPr>
      <w:rPr>
        <w:rFonts w:hint="default"/>
      </w:rPr>
    </w:lvl>
    <w:lvl w:ilvl="5">
      <w:start w:val="0"/>
      <w:numFmt w:val="bullet"/>
      <w:lvlText w:val="•"/>
      <w:lvlJc w:val="left"/>
      <w:pPr>
        <w:ind w:left="2093" w:hanging="423"/>
      </w:pPr>
      <w:rPr>
        <w:rFonts w:hint="default"/>
      </w:rPr>
    </w:lvl>
    <w:lvl w:ilvl="6">
      <w:start w:val="0"/>
      <w:numFmt w:val="bullet"/>
      <w:lvlText w:val="•"/>
      <w:lvlJc w:val="left"/>
      <w:pPr>
        <w:ind w:left="2324" w:hanging="423"/>
      </w:pPr>
      <w:rPr>
        <w:rFonts w:hint="default"/>
      </w:rPr>
    </w:lvl>
    <w:lvl w:ilvl="7">
      <w:start w:val="0"/>
      <w:numFmt w:val="bullet"/>
      <w:lvlText w:val="•"/>
      <w:lvlJc w:val="left"/>
      <w:pPr>
        <w:ind w:left="2555" w:hanging="423"/>
      </w:pPr>
      <w:rPr>
        <w:rFonts w:hint="default"/>
      </w:rPr>
    </w:lvl>
    <w:lvl w:ilvl="8">
      <w:start w:val="0"/>
      <w:numFmt w:val="bullet"/>
      <w:lvlText w:val="•"/>
      <w:lvlJc w:val="left"/>
      <w:pPr>
        <w:ind w:left="2785" w:hanging="423"/>
      </w:pPr>
      <w:rPr>
        <w:rFonts w:hint="default"/>
      </w:rPr>
    </w:lvl>
  </w:abstractNum>
  <w:abstractNum w:abstractNumId="1">
    <w:multiLevelType w:val="hybridMultilevel"/>
    <w:lvl w:ilvl="0">
      <w:start w:val="2"/>
      <w:numFmt w:val="decimal"/>
      <w:lvlText w:val="%1"/>
      <w:lvlJc w:val="left"/>
      <w:pPr>
        <w:ind w:left="1146" w:hanging="423"/>
        <w:jc w:val="left"/>
      </w:pPr>
      <w:rPr>
        <w:rFonts w:hint="default"/>
      </w:rPr>
    </w:lvl>
    <w:lvl w:ilvl="1">
      <w:start w:val="1"/>
      <w:numFmt w:val="decimal"/>
      <w:lvlText w:val="%1.%2"/>
      <w:lvlJc w:val="left"/>
      <w:pPr>
        <w:ind w:left="1146" w:hanging="423"/>
        <w:jc w:val="left"/>
      </w:pPr>
      <w:rPr>
        <w:rFonts w:hint="default" w:ascii="宋体" w:hAnsi="宋体" w:eastAsia="宋体" w:cs="宋体"/>
        <w:w w:val="100"/>
        <w:sz w:val="21"/>
        <w:szCs w:val="21"/>
      </w:rPr>
    </w:lvl>
    <w:lvl w:ilvl="2">
      <w:start w:val="0"/>
      <w:numFmt w:val="bullet"/>
      <w:lvlText w:val="•"/>
      <w:lvlJc w:val="left"/>
      <w:pPr>
        <w:ind w:left="1393" w:hanging="423"/>
      </w:pPr>
      <w:rPr>
        <w:rFonts w:hint="default"/>
      </w:rPr>
    </w:lvl>
    <w:lvl w:ilvl="3">
      <w:start w:val="0"/>
      <w:numFmt w:val="bullet"/>
      <w:lvlText w:val="•"/>
      <w:lvlJc w:val="left"/>
      <w:pPr>
        <w:ind w:left="1520" w:hanging="423"/>
      </w:pPr>
      <w:rPr>
        <w:rFonts w:hint="default"/>
      </w:rPr>
    </w:lvl>
    <w:lvl w:ilvl="4">
      <w:start w:val="0"/>
      <w:numFmt w:val="bullet"/>
      <w:lvlText w:val="•"/>
      <w:lvlJc w:val="left"/>
      <w:pPr>
        <w:ind w:left="1646" w:hanging="423"/>
      </w:pPr>
      <w:rPr>
        <w:rFonts w:hint="default"/>
      </w:rPr>
    </w:lvl>
    <w:lvl w:ilvl="5">
      <w:start w:val="0"/>
      <w:numFmt w:val="bullet"/>
      <w:lvlText w:val="•"/>
      <w:lvlJc w:val="left"/>
      <w:pPr>
        <w:ind w:left="1773" w:hanging="423"/>
      </w:pPr>
      <w:rPr>
        <w:rFonts w:hint="default"/>
      </w:rPr>
    </w:lvl>
    <w:lvl w:ilvl="6">
      <w:start w:val="0"/>
      <w:numFmt w:val="bullet"/>
      <w:lvlText w:val="•"/>
      <w:lvlJc w:val="left"/>
      <w:pPr>
        <w:ind w:left="1900" w:hanging="423"/>
      </w:pPr>
      <w:rPr>
        <w:rFonts w:hint="default"/>
      </w:rPr>
    </w:lvl>
    <w:lvl w:ilvl="7">
      <w:start w:val="0"/>
      <w:numFmt w:val="bullet"/>
      <w:lvlText w:val="•"/>
      <w:lvlJc w:val="left"/>
      <w:pPr>
        <w:ind w:left="2026" w:hanging="423"/>
      </w:pPr>
      <w:rPr>
        <w:rFonts w:hint="default"/>
      </w:rPr>
    </w:lvl>
    <w:lvl w:ilvl="8">
      <w:start w:val="0"/>
      <w:numFmt w:val="bullet"/>
      <w:lvlText w:val="•"/>
      <w:lvlJc w:val="left"/>
      <w:pPr>
        <w:ind w:left="2153" w:hanging="423"/>
      </w:pPr>
      <w:rPr>
        <w:rFonts w:hint="default"/>
      </w:rPr>
    </w:lvl>
  </w:abstractNum>
  <w:abstractNum w:abstractNumId="0">
    <w:multiLevelType w:val="hybridMultilevel"/>
    <w:lvl w:ilvl="0">
      <w:start w:val="0"/>
      <w:numFmt w:val="bullet"/>
      <w:lvlText w:val=""/>
      <w:lvlJc w:val="left"/>
      <w:pPr>
        <w:ind w:left="1636" w:hanging="420"/>
      </w:pPr>
      <w:rPr>
        <w:rFonts w:hint="default" w:ascii="Wingdings" w:hAnsi="Wingdings" w:eastAsia="Wingdings" w:cs="Wingdings"/>
        <w:w w:val="100"/>
        <w:sz w:val="21"/>
        <w:szCs w:val="21"/>
      </w:rPr>
    </w:lvl>
    <w:lvl w:ilvl="1">
      <w:start w:val="0"/>
      <w:numFmt w:val="bullet"/>
      <w:lvlText w:val="•"/>
      <w:lvlJc w:val="left"/>
      <w:pPr>
        <w:ind w:left="2568" w:hanging="420"/>
      </w:pPr>
      <w:rPr>
        <w:rFonts w:hint="default"/>
      </w:rPr>
    </w:lvl>
    <w:lvl w:ilvl="2">
      <w:start w:val="0"/>
      <w:numFmt w:val="bullet"/>
      <w:lvlText w:val="•"/>
      <w:lvlJc w:val="left"/>
      <w:pPr>
        <w:ind w:left="3497" w:hanging="420"/>
      </w:pPr>
      <w:rPr>
        <w:rFonts w:hint="default"/>
      </w:rPr>
    </w:lvl>
    <w:lvl w:ilvl="3">
      <w:start w:val="0"/>
      <w:numFmt w:val="bullet"/>
      <w:lvlText w:val="•"/>
      <w:lvlJc w:val="left"/>
      <w:pPr>
        <w:ind w:left="4425" w:hanging="420"/>
      </w:pPr>
      <w:rPr>
        <w:rFonts w:hint="default"/>
      </w:rPr>
    </w:lvl>
    <w:lvl w:ilvl="4">
      <w:start w:val="0"/>
      <w:numFmt w:val="bullet"/>
      <w:lvlText w:val="•"/>
      <w:lvlJc w:val="left"/>
      <w:pPr>
        <w:ind w:left="5354" w:hanging="420"/>
      </w:pPr>
      <w:rPr>
        <w:rFonts w:hint="default"/>
      </w:rPr>
    </w:lvl>
    <w:lvl w:ilvl="5">
      <w:start w:val="0"/>
      <w:numFmt w:val="bullet"/>
      <w:lvlText w:val="•"/>
      <w:lvlJc w:val="left"/>
      <w:pPr>
        <w:ind w:left="6283" w:hanging="420"/>
      </w:pPr>
      <w:rPr>
        <w:rFonts w:hint="default"/>
      </w:rPr>
    </w:lvl>
    <w:lvl w:ilvl="6">
      <w:start w:val="0"/>
      <w:numFmt w:val="bullet"/>
      <w:lvlText w:val="•"/>
      <w:lvlJc w:val="left"/>
      <w:pPr>
        <w:ind w:left="7211" w:hanging="420"/>
      </w:pPr>
      <w:rPr>
        <w:rFonts w:hint="default"/>
      </w:rPr>
    </w:lvl>
    <w:lvl w:ilvl="7">
      <w:start w:val="0"/>
      <w:numFmt w:val="bullet"/>
      <w:lvlText w:val="•"/>
      <w:lvlJc w:val="left"/>
      <w:pPr>
        <w:ind w:left="8140" w:hanging="420"/>
      </w:pPr>
      <w:rPr>
        <w:rFonts w:hint="default"/>
      </w:rPr>
    </w:lvl>
    <w:lvl w:ilvl="8">
      <w:start w:val="0"/>
      <w:numFmt w:val="bullet"/>
      <w:lvlText w:val="•"/>
      <w:lvlJc w:val="left"/>
      <w:pPr>
        <w:ind w:left="9069" w:hanging="42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4"/>
    </w:pPr>
    <w:rPr>
      <w:rFonts w:ascii="宋体" w:hAnsi="宋体" w:eastAsia="宋体" w:cs="宋体"/>
      <w:sz w:val="21"/>
      <w:szCs w:val="21"/>
    </w:rPr>
  </w:style>
  <w:style w:styleId="Heading1" w:type="paragraph">
    <w:name w:val="Heading 1"/>
    <w:basedOn w:val="Normal"/>
    <w:uiPriority w:val="1"/>
    <w:qFormat/>
    <w:pPr>
      <w:ind w:left="1100"/>
      <w:outlineLvl w:val="1"/>
    </w:pPr>
    <w:rPr>
      <w:rFonts w:ascii="宋体" w:hAnsi="宋体" w:eastAsia="宋体" w:cs="宋体"/>
      <w:b/>
      <w:bCs/>
      <w:sz w:val="21"/>
      <w:szCs w:val="21"/>
    </w:rPr>
  </w:style>
  <w:style w:styleId="ListParagraph" w:type="paragraph">
    <w:name w:val="List Paragraph"/>
    <w:basedOn w:val="Normal"/>
    <w:uiPriority w:val="1"/>
    <w:qFormat/>
    <w:pPr>
      <w:spacing w:before="37"/>
      <w:ind w:left="1636" w:hanging="422"/>
    </w:pPr>
    <w:rPr>
      <w:rFonts w:ascii="宋体" w:hAnsi="宋体" w:eastAsia="宋体" w:cs="宋体"/>
    </w:rPr>
  </w:style>
  <w:style w:styleId="TableParagraph" w:type="paragraph">
    <w:name w:val="Table Paragraph"/>
    <w:basedOn w:val="Normal"/>
    <w:uiPriority w:val="1"/>
    <w:qFormat/>
    <w:pPr>
      <w:spacing w:before="142"/>
      <w:ind w:left="564"/>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header" Target="header1.xml"/><Relationship Id="rId15" Type="http://schemas.openxmlformats.org/officeDocument/2006/relationships/hyperlink" Target="http://www.tianan-life.com/" TargetMode="External"/><Relationship Id="rId16" Type="http://schemas.openxmlformats.org/officeDocument/2006/relationships/header" Target="header2.xml"/><Relationship Id="rId17" Type="http://schemas.openxmlformats.org/officeDocument/2006/relationships/header" Target="header3.xm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刘珊</dc:creator>
  <dc:title>条款</dc:title>
  <dcterms:created xsi:type="dcterms:W3CDTF">2018-10-19T22:25:40Z</dcterms:created>
  <dcterms:modified xsi:type="dcterms:W3CDTF">2018-10-19T22:25:40Z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2016-08-26T00:00:00Z</vt:filetime>
  </property>
  <property fmtid="{D5CDD505-2E9C-101B-9397-08002B2CF9AE}" pid="3" name="Creator">
    <vt:lpwstr>Microsoft® Word 2010</vt:lpwstr>
  </property>
  <property fmtid="{D5CDD505-2E9C-101B-9397-08002B2CF9AE}" pid="4" name="LastSaved">
    <vt:filetime>2018-10-19T00:00:00Z</vt:filetime>
  </property>
</Properties>
</file>