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065" w:val="left" w:leader="none"/>
        </w:tabs>
        <w:spacing w:before="312"/>
        <w:ind w:left="143" w:right="0" w:firstLine="0"/>
        <w:jc w:val="left"/>
        <w:rPr>
          <w:rFonts w:ascii="微软雅黑" w:eastAsia="微软雅黑" w:hint="eastAsia"/>
          <w:b/>
          <w:sz w:val="32"/>
        </w:rPr>
      </w:pPr>
      <w:r>
        <w:rPr>
          <w:sz w:val="32"/>
        </w:rPr>
        <w:t>附件</w:t>
      </w:r>
      <w:r>
        <w:rPr>
          <w:spacing w:val="-82"/>
          <w:sz w:val="32"/>
        </w:rPr>
        <w:t> </w:t>
      </w:r>
      <w:r>
        <w:rPr>
          <w:sz w:val="32"/>
        </w:rPr>
        <w:t>3-2：</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pStyle w:val="BodyText"/>
        <w:spacing w:before="50"/>
        <w:ind w:left="143"/>
      </w:pPr>
      <w:r>
        <w:rPr/>
        <w:br w:type="column"/>
      </w:r>
      <w:r>
        <w:rPr/>
        <w:t>民生保险[2015]疾病保险 030 号</w:t>
      </w:r>
    </w:p>
    <w:p>
      <w:pPr>
        <w:spacing w:after="0"/>
        <w:sectPr>
          <w:headerReference w:type="default" r:id="rId5"/>
          <w:footerReference w:type="default" r:id="rId6"/>
          <w:type w:val="continuous"/>
          <w:pgSz w:w="11910" w:h="16840"/>
          <w:pgMar w:header="857" w:footer="976" w:top="1040" w:bottom="1160" w:left="1160" w:right="940"/>
          <w:pgNumType w:start="1"/>
          <w:cols w:num="2" w:equalWidth="0">
            <w:col w:w="5826" w:space="1071"/>
            <w:col w:w="2913"/>
          </w:cols>
        </w:sectPr>
      </w:pPr>
    </w:p>
    <w:p>
      <w:pPr>
        <w:pStyle w:val="BodyText"/>
        <w:rPr>
          <w:sz w:val="12"/>
        </w:rPr>
      </w:pPr>
    </w:p>
    <w:p>
      <w:pPr>
        <w:spacing w:before="36"/>
        <w:ind w:left="1638" w:right="0" w:firstLine="0"/>
        <w:jc w:val="left"/>
        <w:rPr>
          <w:b/>
          <w:sz w:val="21"/>
        </w:rPr>
      </w:pPr>
      <w:r>
        <w:rPr/>
        <w:drawing>
          <wp:anchor distT="0" distB="0" distL="0" distR="0" allowOverlap="1" layoutInCell="1" locked="0" behindDoc="0" simplePos="0" relativeHeight="1072">
            <wp:simplePos x="0" y="0"/>
            <wp:positionH relativeFrom="page">
              <wp:posOffset>6038850</wp:posOffset>
            </wp:positionH>
            <wp:positionV relativeFrom="paragraph">
              <wp:posOffset>-416386</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anchor>
        </w:drawing>
      </w: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1"/>
          <w:position w:val="-7"/>
          <w:sz w:val="21"/>
        </w:rPr>
        <w:t>．</w:t>
      </w:r>
      <w:r>
        <w:rPr>
          <w:b/>
          <w:spacing w:val="-90"/>
          <w:sz w:val="21"/>
        </w:rPr>
        <w:t>，对</w:t>
      </w:r>
      <w:r>
        <w:rPr>
          <w:spacing w:val="-63"/>
          <w:position w:val="-7"/>
          <w:sz w:val="21"/>
        </w:rPr>
        <w:t>．</w:t>
      </w:r>
      <w:r>
        <w:rPr>
          <w:b/>
          <w:spacing w:val="-149"/>
          <w:sz w:val="21"/>
        </w:rPr>
        <w:t>本</w:t>
      </w:r>
      <w:r>
        <w:rPr>
          <w:spacing w:val="-63"/>
          <w:position w:val="-7"/>
          <w:sz w:val="21"/>
        </w:rPr>
        <w:t>．</w:t>
      </w:r>
      <w:r>
        <w:rPr>
          <w:b/>
          <w:spacing w:val="-149"/>
          <w:sz w:val="21"/>
        </w:rPr>
        <w:t>附</w:t>
      </w:r>
      <w:r>
        <w:rPr>
          <w:spacing w:val="-63"/>
          <w:position w:val="-7"/>
          <w:sz w:val="21"/>
        </w:rPr>
        <w:t>．</w:t>
      </w:r>
      <w:r>
        <w:rPr>
          <w:b/>
          <w:spacing w:val="-149"/>
          <w:sz w:val="21"/>
        </w:rPr>
        <w:t>加</w:t>
      </w:r>
      <w:r>
        <w:rPr>
          <w:spacing w:val="-63"/>
          <w:position w:val="-7"/>
          <w:sz w:val="21"/>
        </w:rPr>
        <w:t>．</w:t>
      </w:r>
      <w:r>
        <w:rPr>
          <w:b/>
          <w:spacing w:val="-149"/>
          <w:sz w:val="21"/>
        </w:rPr>
        <w:t>合</w:t>
      </w:r>
      <w:r>
        <w:rPr>
          <w:spacing w:val="-63"/>
          <w:position w:val="-7"/>
          <w:sz w:val="21"/>
        </w:rPr>
        <w:t>．</w:t>
      </w:r>
      <w:r>
        <w:rPr>
          <w:b/>
          <w:spacing w:val="-152"/>
          <w:sz w:val="21"/>
        </w:rPr>
        <w:t>同</w:t>
      </w:r>
      <w:r>
        <w:rPr>
          <w:spacing w:val="-63"/>
          <w:position w:val="-7"/>
          <w:sz w:val="21"/>
        </w:rPr>
        <w:t>．</w:t>
      </w:r>
      <w:r>
        <w:rPr>
          <w:b/>
          <w:spacing w:val="-149"/>
          <w:sz w:val="21"/>
        </w:rPr>
        <w:t>内</w:t>
      </w:r>
      <w:r>
        <w:rPr>
          <w:spacing w:val="-63"/>
          <w:position w:val="-7"/>
          <w:sz w:val="21"/>
        </w:rPr>
        <w:t>．</w:t>
      </w:r>
      <w:r>
        <w:rPr>
          <w:b/>
          <w:spacing w:val="-152"/>
          <w:sz w:val="21"/>
        </w:rPr>
        <w:t>容</w:t>
      </w:r>
      <w:r>
        <w:rPr>
          <w:spacing w:val="-63"/>
          <w:position w:val="-7"/>
          <w:sz w:val="21"/>
        </w:rPr>
        <w:t>．</w:t>
      </w:r>
      <w:r>
        <w:rPr>
          <w:b/>
          <w:spacing w:val="-149"/>
          <w:sz w:val="21"/>
        </w:rPr>
        <w:t>的</w:t>
      </w:r>
      <w:r>
        <w:rPr>
          <w:spacing w:val="-63"/>
          <w:position w:val="-7"/>
          <w:sz w:val="21"/>
        </w:rPr>
        <w:t>．</w:t>
      </w:r>
      <w:r>
        <w:rPr>
          <w:b/>
          <w:spacing w:val="-149"/>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pStyle w:val="BodyText"/>
        <w:spacing w:before="12"/>
        <w:rPr>
          <w:b/>
          <w:sz w:val="8"/>
        </w:rPr>
      </w:pPr>
    </w:p>
    <w:p>
      <w:pPr>
        <w:spacing w:after="0"/>
        <w:rPr>
          <w:sz w:val="8"/>
        </w:rPr>
        <w:sectPr>
          <w:type w:val="continuous"/>
          <w:pgSz w:w="11910" w:h="16840"/>
          <w:pgMar w:top="1040" w:bottom="1160" w:left="1160" w:right="940"/>
        </w:sectPr>
      </w:pPr>
    </w:p>
    <w:p>
      <w:pPr>
        <w:pStyle w:val="BodyText"/>
        <w:spacing w:before="12"/>
        <w:rPr>
          <w:b/>
          <w:sz w:val="51"/>
        </w:rPr>
      </w:pPr>
    </w:p>
    <w:p>
      <w:pPr>
        <w:pStyle w:val="Heading2"/>
        <w:tabs>
          <w:tab w:pos="1408" w:val="left" w:leader="none"/>
        </w:tabs>
        <w:spacing w:before="0"/>
        <w:ind w:left="398"/>
      </w:pPr>
      <w:r>
        <w:rPr/>
        <w:drawing>
          <wp:anchor distT="0" distB="0" distL="0" distR="0" allowOverlap="1" layoutInCell="1" locked="0" behindDoc="1" simplePos="0" relativeHeight="268405439">
            <wp:simplePos x="0" y="0"/>
            <wp:positionH relativeFrom="page">
              <wp:posOffset>836980</wp:posOffset>
            </wp:positionH>
            <wp:positionV relativeFrom="paragraph">
              <wp:posOffset>-94060</wp:posOffset>
            </wp:positionV>
            <wp:extent cx="6031687" cy="7753477"/>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031687" cy="7753477"/>
                    </a:xfrm>
                    <a:prstGeom prst="rect">
                      <a:avLst/>
                    </a:prstGeom>
                  </pic:spPr>
                </pic:pic>
              </a:graphicData>
            </a:graphic>
          </wp:anchor>
        </w:drawing>
      </w:r>
      <w:r>
        <w:rPr>
          <w:rFonts w:ascii="Arial" w:hAnsi="Arial" w:eastAsia="Arial"/>
          <w:w w:val="105"/>
          <w:position w:val="-11"/>
          <w:sz w:val="52"/>
        </w:rPr>
        <w:t></w:t>
        <w:tab/>
      </w:r>
      <w:r>
        <w:rPr>
          <w:spacing w:val="-1"/>
        </w:rPr>
        <w:t>您拥有的重要权益</w:t>
      </w:r>
    </w:p>
    <w:p>
      <w:pPr>
        <w:pStyle w:val="BodyText"/>
        <w:spacing w:before="45"/>
        <w:ind w:left="398"/>
      </w:pPr>
      <w:r>
        <w:rPr/>
        <w:br w:type="column"/>
      </w:r>
      <w:r>
        <w:rPr/>
        <w:t>请扫描以查询验证条款</w:t>
      </w:r>
    </w:p>
    <w:p>
      <w:pPr>
        <w:spacing w:after="0"/>
        <w:sectPr>
          <w:type w:val="continuous"/>
          <w:pgSz w:w="11910" w:h="16840"/>
          <w:pgMar w:top="1040" w:bottom="1160" w:left="1160" w:right="940"/>
          <w:cols w:num="2" w:equalWidth="0">
            <w:col w:w="3096" w:space="4353"/>
            <w:col w:w="2361"/>
          </w:cols>
        </w:sectPr>
      </w:pPr>
    </w:p>
    <w:p>
      <w:pPr>
        <w:pStyle w:val="Heading2"/>
        <w:numPr>
          <w:ilvl w:val="0"/>
          <w:numId w:val="1"/>
        </w:numPr>
        <w:tabs>
          <w:tab w:pos="1809" w:val="left" w:leader="none"/>
          <w:tab w:pos="1810" w:val="left" w:leader="none"/>
        </w:tabs>
        <w:spacing w:line="240" w:lineRule="auto" w:before="25" w:after="0"/>
        <w:ind w:left="1809" w:right="0" w:hanging="439"/>
        <w:jc w:val="left"/>
      </w:pPr>
      <w:r>
        <w:rPr/>
        <w:pict>
          <v:line style="position:absolute;mso-position-horizontal-relative:page;mso-position-vertical-relative:page;z-index:-30040" from="63.743999pt,55.559982pt" to="543.003999pt,55.559982pt" stroked="true" strokeweight=".72pt" strokecolor="#000000">
            <v:stroke dashstyle="solid"/>
            <w10:wrap type="none"/>
          </v:line>
        </w:pict>
      </w:r>
      <w:r>
        <w:rPr>
          <w:spacing w:val="-3"/>
          <w:w w:val="110"/>
        </w:rPr>
        <w:t>被保险人享受本附加保险合同提供的保障</w:t>
      </w:r>
      <w:r>
        <w:rPr>
          <w:w w:val="165"/>
        </w:rPr>
        <w:t>„„„„„„„„„„„„„„</w:t>
      </w:r>
      <w:r>
        <w:rPr>
          <w:w w:val="110"/>
        </w:rPr>
        <w:t>第2.2条</w:t>
      </w:r>
    </w:p>
    <w:p>
      <w:pPr>
        <w:pStyle w:val="ListParagraph"/>
        <w:numPr>
          <w:ilvl w:val="0"/>
          <w:numId w:val="1"/>
        </w:numPr>
        <w:tabs>
          <w:tab w:pos="1809" w:val="left" w:leader="none"/>
          <w:tab w:pos="1810" w:val="left" w:leader="none"/>
        </w:tabs>
        <w:spacing w:line="240" w:lineRule="auto" w:before="21" w:after="0"/>
        <w:ind w:left="1809" w:right="0" w:hanging="439"/>
        <w:jc w:val="left"/>
        <w:rPr>
          <w:b/>
          <w:sz w:val="21"/>
        </w:rPr>
      </w:pPr>
      <w:r>
        <w:rPr>
          <w:b/>
          <w:spacing w:val="-3"/>
          <w:w w:val="105"/>
          <w:sz w:val="21"/>
        </w:rPr>
        <w:t>签收本附加保险合同次日起十日内您可以要求退还全部保险费„„„„„第</w:t>
      </w:r>
      <w:r>
        <w:rPr>
          <w:b/>
          <w:w w:val="105"/>
          <w:sz w:val="21"/>
        </w:rPr>
        <w:t>1.3条</w:t>
      </w:r>
    </w:p>
    <w:p>
      <w:pPr>
        <w:pStyle w:val="ListParagraph"/>
        <w:numPr>
          <w:ilvl w:val="0"/>
          <w:numId w:val="1"/>
        </w:numPr>
        <w:tabs>
          <w:tab w:pos="1809" w:val="left" w:leader="none"/>
          <w:tab w:pos="1810" w:val="left" w:leader="none"/>
        </w:tabs>
        <w:spacing w:line="240" w:lineRule="auto" w:before="21" w:after="0"/>
        <w:ind w:left="1809" w:right="0" w:hanging="439"/>
        <w:jc w:val="left"/>
        <w:rPr>
          <w:b/>
          <w:sz w:val="21"/>
        </w:rPr>
      </w:pPr>
      <w:r>
        <w:rPr>
          <w:b/>
          <w:spacing w:val="-2"/>
          <w:w w:val="110"/>
          <w:sz w:val="21"/>
        </w:rPr>
        <w:t>您有保险单借款的权利</w:t>
      </w:r>
      <w:r>
        <w:rPr>
          <w:b/>
          <w:spacing w:val="-1"/>
          <w:w w:val="180"/>
          <w:sz w:val="21"/>
        </w:rPr>
        <w:t>„„„„„„„„„„„„„„„„„„„„„„</w:t>
      </w:r>
      <w:r>
        <w:rPr>
          <w:b/>
          <w:w w:val="110"/>
          <w:sz w:val="21"/>
        </w:rPr>
        <w:t>第5.3条</w:t>
      </w:r>
    </w:p>
    <w:p>
      <w:pPr>
        <w:pStyle w:val="BodyText"/>
        <w:spacing w:before="3"/>
        <w:rPr>
          <w:b/>
          <w:sz w:val="15"/>
        </w:rPr>
      </w:pPr>
    </w:p>
    <w:p>
      <w:pPr>
        <w:tabs>
          <w:tab w:pos="1410" w:val="left" w:leader="none"/>
        </w:tabs>
        <w:spacing w:before="0"/>
        <w:ind w:left="398" w:right="0" w:firstLine="0"/>
        <w:jc w:val="left"/>
        <w:rPr>
          <w:b/>
          <w:sz w:val="21"/>
        </w:rPr>
      </w:pPr>
      <w:r>
        <w:rPr>
          <w:rFonts w:ascii="Arial" w:hAnsi="Arial" w:eastAsia="Arial"/>
          <w:b/>
          <w:w w:val="105"/>
          <w:position w:val="-11"/>
          <w:sz w:val="52"/>
        </w:rPr>
        <w:t></w:t>
        <w:tab/>
      </w:r>
      <w:r>
        <w:rPr>
          <w:b/>
          <w:spacing w:val="-1"/>
          <w:sz w:val="21"/>
        </w:rPr>
        <w:t>您应当特别注意的事项</w:t>
      </w:r>
    </w:p>
    <w:p>
      <w:pPr>
        <w:pStyle w:val="ListParagraph"/>
        <w:numPr>
          <w:ilvl w:val="0"/>
          <w:numId w:val="1"/>
        </w:numPr>
        <w:tabs>
          <w:tab w:pos="1809" w:val="left" w:leader="none"/>
          <w:tab w:pos="1810" w:val="left" w:leader="none"/>
        </w:tabs>
        <w:spacing w:line="240" w:lineRule="auto" w:before="160" w:after="0"/>
        <w:ind w:left="1809" w:right="0" w:hanging="439"/>
        <w:jc w:val="left"/>
        <w:rPr>
          <w:b/>
          <w:sz w:val="21"/>
        </w:rPr>
      </w:pPr>
      <w:r>
        <w:rPr>
          <w:b/>
          <w:spacing w:val="-3"/>
          <w:w w:val="110"/>
          <w:sz w:val="21"/>
        </w:rPr>
        <w:t>退保会给您造成一定的损失，请您慎重决策</w:t>
      </w:r>
      <w:r>
        <w:rPr>
          <w:b/>
          <w:w w:val="165"/>
          <w:sz w:val="21"/>
        </w:rPr>
        <w:t>„„„„„„„„„„„„„</w:t>
      </w:r>
      <w:r>
        <w:rPr>
          <w:b/>
          <w:w w:val="110"/>
          <w:sz w:val="21"/>
        </w:rPr>
        <w:t>第6.1条</w:t>
      </w:r>
    </w:p>
    <w:p>
      <w:pPr>
        <w:pStyle w:val="ListParagraph"/>
        <w:numPr>
          <w:ilvl w:val="0"/>
          <w:numId w:val="1"/>
        </w:numPr>
        <w:tabs>
          <w:tab w:pos="1809" w:val="left" w:leader="none"/>
          <w:tab w:pos="1810" w:val="left" w:leader="none"/>
        </w:tabs>
        <w:spacing w:line="240" w:lineRule="auto" w:before="22" w:after="0"/>
        <w:ind w:left="1809" w:right="0" w:hanging="439"/>
        <w:jc w:val="left"/>
        <w:rPr>
          <w:b/>
          <w:sz w:val="21"/>
        </w:rPr>
      </w:pPr>
      <w:r>
        <w:rPr>
          <w:b/>
          <w:spacing w:val="-3"/>
          <w:w w:val="110"/>
          <w:sz w:val="21"/>
        </w:rPr>
        <w:t>在某些情况下，本公司不承担保险责任</w:t>
      </w:r>
      <w:r>
        <w:rPr>
          <w:b/>
          <w:w w:val="170"/>
          <w:sz w:val="21"/>
        </w:rPr>
        <w:t>„„„„„„„„„„„„„„„</w:t>
      </w:r>
      <w:r>
        <w:rPr>
          <w:b/>
          <w:w w:val="110"/>
          <w:sz w:val="21"/>
        </w:rPr>
        <w:t>第2.3条</w:t>
      </w:r>
    </w:p>
    <w:p>
      <w:pPr>
        <w:pStyle w:val="ListParagraph"/>
        <w:numPr>
          <w:ilvl w:val="0"/>
          <w:numId w:val="1"/>
        </w:numPr>
        <w:tabs>
          <w:tab w:pos="1809" w:val="left" w:leader="none"/>
          <w:tab w:pos="1810" w:val="left" w:leader="none"/>
        </w:tabs>
        <w:spacing w:line="240" w:lineRule="auto" w:before="22" w:after="0"/>
        <w:ind w:left="1809" w:right="0" w:hanging="439"/>
        <w:jc w:val="left"/>
        <w:rPr>
          <w:b/>
          <w:sz w:val="21"/>
        </w:rPr>
      </w:pPr>
      <w:r>
        <w:rPr>
          <w:b/>
          <w:spacing w:val="-2"/>
          <w:w w:val="105"/>
          <w:sz w:val="21"/>
        </w:rPr>
        <w:t>本公司对一些重要术语进行了解释，并作了显著标识，请您注意„„„„第 </w:t>
      </w:r>
      <w:r>
        <w:rPr>
          <w:b/>
          <w:w w:val="105"/>
          <w:sz w:val="21"/>
        </w:rPr>
        <w:t>8</w:t>
      </w:r>
      <w:r>
        <w:rPr>
          <w:b/>
          <w:spacing w:val="17"/>
          <w:w w:val="105"/>
          <w:sz w:val="21"/>
        </w:rPr>
        <w:t> 条</w:t>
      </w:r>
    </w:p>
    <w:p>
      <w:pPr>
        <w:pStyle w:val="BodyText"/>
        <w:spacing w:before="3"/>
        <w:rPr>
          <w:b/>
          <w:sz w:val="15"/>
        </w:rPr>
      </w:pPr>
    </w:p>
    <w:p>
      <w:pPr>
        <w:tabs>
          <w:tab w:pos="1410" w:val="left" w:leader="none"/>
        </w:tabs>
        <w:spacing w:before="0"/>
        <w:ind w:left="398"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408" w:val="left" w:leader="none"/>
        </w:tabs>
        <w:spacing w:before="159"/>
        <w:ind w:left="398" w:right="0" w:firstLine="0"/>
        <w:jc w:val="left"/>
        <w:rPr>
          <w:b/>
          <w:sz w:val="21"/>
        </w:rPr>
      </w:pPr>
      <w:r>
        <w:rPr>
          <w:rFonts w:ascii="Arial" w:hAnsi="Arial" w:eastAsia="Arial"/>
          <w:b/>
          <w:w w:val="110"/>
          <w:position w:val="-11"/>
          <w:sz w:val="52"/>
        </w:rPr>
        <w:t></w:t>
        <w:tab/>
      </w:r>
      <w:r>
        <w:rPr>
          <w:b/>
          <w:sz w:val="21"/>
        </w:rPr>
        <w:t>条款目录</w:t>
      </w:r>
    </w:p>
    <w:p>
      <w:pPr>
        <w:pStyle w:val="BodyText"/>
        <w:spacing w:before="5" w:after="1"/>
        <w:rPr>
          <w:b/>
          <w:sz w:val="17"/>
        </w:rPr>
      </w:pPr>
    </w:p>
    <w:tbl>
      <w:tblPr>
        <w:tblW w:w="0" w:type="auto"/>
        <w:jc w:val="left"/>
        <w:tblInd w:w="10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32"/>
        <w:gridCol w:w="2803"/>
        <w:gridCol w:w="3043"/>
      </w:tblGrid>
      <w:tr>
        <w:trPr>
          <w:trHeight w:val="268" w:hRule="atLeast"/>
        </w:trPr>
        <w:tc>
          <w:tcPr>
            <w:tcW w:w="2532" w:type="dxa"/>
          </w:tcPr>
          <w:p>
            <w:pPr>
              <w:pStyle w:val="TableParagraph"/>
              <w:spacing w:line="225" w:lineRule="exact"/>
              <w:ind w:left="50"/>
              <w:rPr>
                <w:b/>
                <w:sz w:val="21"/>
              </w:rPr>
            </w:pPr>
            <w:r>
              <w:rPr>
                <w:b/>
                <w:sz w:val="21"/>
              </w:rPr>
              <w:t>1.您与我们的合同</w:t>
            </w:r>
          </w:p>
        </w:tc>
        <w:tc>
          <w:tcPr>
            <w:tcW w:w="2803" w:type="dxa"/>
          </w:tcPr>
          <w:p>
            <w:pPr>
              <w:pStyle w:val="TableParagraph"/>
              <w:spacing w:line="223" w:lineRule="exact"/>
              <w:ind w:left="221"/>
              <w:rPr>
                <w:b/>
                <w:sz w:val="21"/>
              </w:rPr>
            </w:pPr>
            <w:r>
              <w:rPr>
                <w:b/>
                <w:sz w:val="21"/>
              </w:rPr>
              <w:t>4.如何交付保险费</w:t>
            </w:r>
          </w:p>
        </w:tc>
        <w:tc>
          <w:tcPr>
            <w:tcW w:w="3043" w:type="dxa"/>
          </w:tcPr>
          <w:p>
            <w:pPr>
              <w:pStyle w:val="TableParagraph"/>
              <w:spacing w:line="211" w:lineRule="exact"/>
              <w:ind w:left="258"/>
              <w:rPr>
                <w:b/>
                <w:sz w:val="21"/>
              </w:rPr>
            </w:pPr>
            <w:r>
              <w:rPr>
                <w:b/>
                <w:sz w:val="21"/>
              </w:rPr>
              <w:t>8.释义</w:t>
            </w:r>
          </w:p>
        </w:tc>
      </w:tr>
      <w:tr>
        <w:trPr>
          <w:trHeight w:val="312" w:hRule="atLeast"/>
        </w:trPr>
        <w:tc>
          <w:tcPr>
            <w:tcW w:w="2532" w:type="dxa"/>
          </w:tcPr>
          <w:p>
            <w:pPr>
              <w:pStyle w:val="TableParagraph"/>
              <w:spacing w:line="269" w:lineRule="exact"/>
              <w:ind w:left="261"/>
              <w:rPr>
                <w:sz w:val="21"/>
              </w:rPr>
            </w:pPr>
            <w:r>
              <w:rPr>
                <w:sz w:val="21"/>
              </w:rPr>
              <w:t>1.1 合同构成</w:t>
            </w:r>
          </w:p>
        </w:tc>
        <w:tc>
          <w:tcPr>
            <w:tcW w:w="2803" w:type="dxa"/>
          </w:tcPr>
          <w:p>
            <w:pPr>
              <w:pStyle w:val="TableParagraph"/>
              <w:spacing w:line="266" w:lineRule="exact"/>
              <w:ind w:left="432"/>
              <w:rPr>
                <w:sz w:val="21"/>
              </w:rPr>
            </w:pPr>
            <w:r>
              <w:rPr>
                <w:sz w:val="21"/>
              </w:rPr>
              <w:t>4.1 保险费的交付</w:t>
            </w:r>
          </w:p>
        </w:tc>
        <w:tc>
          <w:tcPr>
            <w:tcW w:w="3043" w:type="dxa"/>
          </w:tcPr>
          <w:p>
            <w:pPr>
              <w:pStyle w:val="TableParagraph"/>
              <w:spacing w:line="254" w:lineRule="exact"/>
              <w:ind w:left="464"/>
              <w:rPr>
                <w:sz w:val="21"/>
              </w:rPr>
            </w:pPr>
            <w:r>
              <w:rPr>
                <w:sz w:val="21"/>
              </w:rPr>
              <w:t>8.1 有效身份证件</w:t>
            </w:r>
          </w:p>
        </w:tc>
      </w:tr>
      <w:tr>
        <w:trPr>
          <w:trHeight w:val="312" w:hRule="atLeast"/>
        </w:trPr>
        <w:tc>
          <w:tcPr>
            <w:tcW w:w="2532" w:type="dxa"/>
          </w:tcPr>
          <w:p>
            <w:pPr>
              <w:pStyle w:val="TableParagraph"/>
              <w:spacing w:line="269" w:lineRule="exact"/>
              <w:ind w:left="261"/>
              <w:rPr>
                <w:sz w:val="21"/>
              </w:rPr>
            </w:pPr>
            <w:r>
              <w:rPr>
                <w:sz w:val="21"/>
              </w:rPr>
              <w:t>1.2 合同成立与生效</w:t>
            </w:r>
          </w:p>
        </w:tc>
        <w:tc>
          <w:tcPr>
            <w:tcW w:w="2803" w:type="dxa"/>
          </w:tcPr>
          <w:p>
            <w:pPr>
              <w:pStyle w:val="TableParagraph"/>
              <w:rPr>
                <w:rFonts w:ascii="Times New Roman"/>
                <w:sz w:val="20"/>
              </w:rPr>
            </w:pPr>
          </w:p>
        </w:tc>
        <w:tc>
          <w:tcPr>
            <w:tcW w:w="3043" w:type="dxa"/>
          </w:tcPr>
          <w:p>
            <w:pPr>
              <w:pStyle w:val="TableParagraph"/>
              <w:spacing w:line="254" w:lineRule="exact"/>
              <w:ind w:left="469"/>
              <w:rPr>
                <w:sz w:val="21"/>
              </w:rPr>
            </w:pPr>
            <w:r>
              <w:rPr>
                <w:sz w:val="21"/>
              </w:rPr>
              <w:t>8.2 意外事故</w:t>
            </w:r>
          </w:p>
        </w:tc>
      </w:tr>
      <w:tr>
        <w:trPr>
          <w:trHeight w:val="312" w:hRule="atLeast"/>
        </w:trPr>
        <w:tc>
          <w:tcPr>
            <w:tcW w:w="2532" w:type="dxa"/>
          </w:tcPr>
          <w:p>
            <w:pPr>
              <w:pStyle w:val="TableParagraph"/>
              <w:spacing w:line="269" w:lineRule="exact"/>
              <w:ind w:left="261"/>
              <w:rPr>
                <w:sz w:val="21"/>
              </w:rPr>
            </w:pPr>
            <w:r>
              <w:rPr>
                <w:sz w:val="21"/>
              </w:rPr>
              <w:t>1.3 犹豫期</w:t>
            </w:r>
          </w:p>
        </w:tc>
        <w:tc>
          <w:tcPr>
            <w:tcW w:w="2803" w:type="dxa"/>
          </w:tcPr>
          <w:p>
            <w:pPr>
              <w:pStyle w:val="TableParagraph"/>
              <w:spacing w:line="266" w:lineRule="exact"/>
              <w:ind w:left="221"/>
              <w:rPr>
                <w:b/>
                <w:sz w:val="21"/>
              </w:rPr>
            </w:pPr>
            <w:r>
              <w:rPr>
                <w:b/>
                <w:sz w:val="21"/>
              </w:rPr>
              <w:t>5.现金价值权益</w:t>
            </w:r>
          </w:p>
        </w:tc>
        <w:tc>
          <w:tcPr>
            <w:tcW w:w="3043" w:type="dxa"/>
          </w:tcPr>
          <w:p>
            <w:pPr>
              <w:pStyle w:val="TableParagraph"/>
              <w:spacing w:line="254" w:lineRule="exact"/>
              <w:ind w:right="48"/>
              <w:jc w:val="right"/>
              <w:rPr>
                <w:sz w:val="21"/>
              </w:rPr>
            </w:pPr>
            <w:r>
              <w:rPr>
                <w:sz w:val="21"/>
              </w:rPr>
              <w:t>8.3 指定或认可的医疗机构</w:t>
            </w:r>
          </w:p>
        </w:tc>
      </w:tr>
      <w:tr>
        <w:trPr>
          <w:trHeight w:val="311" w:hRule="atLeast"/>
        </w:trPr>
        <w:tc>
          <w:tcPr>
            <w:tcW w:w="2532" w:type="dxa"/>
          </w:tcPr>
          <w:p>
            <w:pPr>
              <w:pStyle w:val="TableParagraph"/>
              <w:spacing w:line="269" w:lineRule="exact"/>
              <w:ind w:left="261"/>
              <w:rPr>
                <w:sz w:val="21"/>
              </w:rPr>
            </w:pPr>
            <w:r>
              <w:rPr>
                <w:sz w:val="21"/>
              </w:rPr>
              <w:t>1.4 保险期间</w:t>
            </w:r>
          </w:p>
        </w:tc>
        <w:tc>
          <w:tcPr>
            <w:tcW w:w="2803" w:type="dxa"/>
          </w:tcPr>
          <w:p>
            <w:pPr>
              <w:pStyle w:val="TableParagraph"/>
              <w:spacing w:line="266" w:lineRule="exact"/>
              <w:ind w:left="432"/>
              <w:rPr>
                <w:sz w:val="21"/>
              </w:rPr>
            </w:pPr>
            <w:r>
              <w:rPr>
                <w:sz w:val="21"/>
              </w:rPr>
              <w:t>5.1 现金价值</w:t>
            </w:r>
          </w:p>
        </w:tc>
        <w:tc>
          <w:tcPr>
            <w:tcW w:w="3043" w:type="dxa"/>
          </w:tcPr>
          <w:p>
            <w:pPr>
              <w:pStyle w:val="TableParagraph"/>
              <w:spacing w:line="254" w:lineRule="exact"/>
              <w:ind w:left="469"/>
              <w:rPr>
                <w:sz w:val="21"/>
              </w:rPr>
            </w:pPr>
            <w:r>
              <w:rPr>
                <w:sz w:val="21"/>
              </w:rPr>
              <w:t>8.4 毒品</w:t>
            </w:r>
          </w:p>
        </w:tc>
      </w:tr>
      <w:tr>
        <w:trPr>
          <w:trHeight w:val="310" w:hRule="atLeast"/>
        </w:trPr>
        <w:tc>
          <w:tcPr>
            <w:tcW w:w="2532" w:type="dxa"/>
          </w:tcPr>
          <w:p>
            <w:pPr>
              <w:pStyle w:val="TableParagraph"/>
              <w:rPr>
                <w:rFonts w:ascii="Times New Roman"/>
                <w:sz w:val="20"/>
              </w:rPr>
            </w:pPr>
          </w:p>
        </w:tc>
        <w:tc>
          <w:tcPr>
            <w:tcW w:w="2803" w:type="dxa"/>
          </w:tcPr>
          <w:p>
            <w:pPr>
              <w:pStyle w:val="TableParagraph"/>
              <w:spacing w:line="266" w:lineRule="exact"/>
              <w:ind w:left="432"/>
              <w:rPr>
                <w:sz w:val="21"/>
              </w:rPr>
            </w:pPr>
            <w:r>
              <w:rPr>
                <w:sz w:val="21"/>
              </w:rPr>
              <w:t>5.2 自动垫交</w:t>
            </w:r>
          </w:p>
        </w:tc>
        <w:tc>
          <w:tcPr>
            <w:tcW w:w="3043" w:type="dxa"/>
          </w:tcPr>
          <w:p>
            <w:pPr>
              <w:pStyle w:val="TableParagraph"/>
              <w:spacing w:line="254" w:lineRule="exact"/>
              <w:ind w:left="469"/>
              <w:rPr>
                <w:sz w:val="21"/>
              </w:rPr>
            </w:pPr>
            <w:r>
              <w:rPr>
                <w:sz w:val="21"/>
              </w:rPr>
              <w:t>8.5 酒后驾驶</w:t>
            </w:r>
          </w:p>
        </w:tc>
      </w:tr>
      <w:tr>
        <w:trPr>
          <w:trHeight w:val="313" w:hRule="atLeast"/>
        </w:trPr>
        <w:tc>
          <w:tcPr>
            <w:tcW w:w="2532" w:type="dxa"/>
          </w:tcPr>
          <w:p>
            <w:pPr>
              <w:pStyle w:val="TableParagraph"/>
              <w:spacing w:line="270" w:lineRule="exact"/>
              <w:ind w:left="50"/>
              <w:rPr>
                <w:b/>
                <w:sz w:val="21"/>
              </w:rPr>
            </w:pPr>
            <w:r>
              <w:rPr>
                <w:b/>
                <w:sz w:val="21"/>
              </w:rPr>
              <w:t>2.我们提供的保障</w:t>
            </w:r>
          </w:p>
        </w:tc>
        <w:tc>
          <w:tcPr>
            <w:tcW w:w="2803" w:type="dxa"/>
          </w:tcPr>
          <w:p>
            <w:pPr>
              <w:pStyle w:val="TableParagraph"/>
              <w:spacing w:line="267" w:lineRule="exact"/>
              <w:ind w:left="432"/>
              <w:rPr>
                <w:sz w:val="21"/>
              </w:rPr>
            </w:pPr>
            <w:r>
              <w:rPr>
                <w:sz w:val="21"/>
              </w:rPr>
              <w:t>5.3 保险单借款</w:t>
            </w:r>
          </w:p>
        </w:tc>
        <w:tc>
          <w:tcPr>
            <w:tcW w:w="3043" w:type="dxa"/>
          </w:tcPr>
          <w:p>
            <w:pPr>
              <w:pStyle w:val="TableParagraph"/>
              <w:spacing w:line="255" w:lineRule="exact"/>
              <w:ind w:right="48"/>
              <w:jc w:val="right"/>
              <w:rPr>
                <w:sz w:val="21"/>
              </w:rPr>
            </w:pPr>
            <w:r>
              <w:rPr>
                <w:sz w:val="21"/>
              </w:rPr>
              <w:t>8.6 无合法有效驾驶证驾驶</w:t>
            </w:r>
          </w:p>
        </w:tc>
      </w:tr>
      <w:tr>
        <w:trPr>
          <w:trHeight w:val="312" w:hRule="atLeast"/>
        </w:trPr>
        <w:tc>
          <w:tcPr>
            <w:tcW w:w="2532" w:type="dxa"/>
          </w:tcPr>
          <w:p>
            <w:pPr>
              <w:pStyle w:val="TableParagraph"/>
              <w:spacing w:line="269" w:lineRule="exact"/>
              <w:ind w:left="261"/>
              <w:rPr>
                <w:sz w:val="21"/>
              </w:rPr>
            </w:pPr>
            <w:r>
              <w:rPr>
                <w:sz w:val="21"/>
              </w:rPr>
              <w:t>2.1 保险金额</w:t>
            </w:r>
          </w:p>
        </w:tc>
        <w:tc>
          <w:tcPr>
            <w:tcW w:w="2803" w:type="dxa"/>
          </w:tcPr>
          <w:p>
            <w:pPr>
              <w:pStyle w:val="TableParagraph"/>
              <w:rPr>
                <w:rFonts w:ascii="Times New Roman"/>
                <w:sz w:val="20"/>
              </w:rPr>
            </w:pPr>
          </w:p>
        </w:tc>
        <w:tc>
          <w:tcPr>
            <w:tcW w:w="3043" w:type="dxa"/>
          </w:tcPr>
          <w:p>
            <w:pPr>
              <w:pStyle w:val="TableParagraph"/>
              <w:spacing w:line="254" w:lineRule="exact"/>
              <w:ind w:left="469"/>
              <w:rPr>
                <w:sz w:val="21"/>
              </w:rPr>
            </w:pPr>
            <w:r>
              <w:rPr>
                <w:sz w:val="21"/>
              </w:rPr>
              <w:t>8.7 无有效行驶证</w:t>
            </w:r>
          </w:p>
        </w:tc>
      </w:tr>
      <w:tr>
        <w:trPr>
          <w:trHeight w:val="312" w:hRule="atLeast"/>
        </w:trPr>
        <w:tc>
          <w:tcPr>
            <w:tcW w:w="2532" w:type="dxa"/>
          </w:tcPr>
          <w:p>
            <w:pPr>
              <w:pStyle w:val="TableParagraph"/>
              <w:spacing w:line="269" w:lineRule="exact"/>
              <w:ind w:left="261"/>
              <w:rPr>
                <w:sz w:val="21"/>
              </w:rPr>
            </w:pPr>
            <w:r>
              <w:rPr>
                <w:sz w:val="21"/>
              </w:rPr>
              <w:t>2.2 保险责任</w:t>
            </w:r>
          </w:p>
        </w:tc>
        <w:tc>
          <w:tcPr>
            <w:tcW w:w="2803" w:type="dxa"/>
          </w:tcPr>
          <w:p>
            <w:pPr>
              <w:pStyle w:val="TableParagraph"/>
              <w:spacing w:line="266" w:lineRule="exact"/>
              <w:ind w:left="221"/>
              <w:rPr>
                <w:b/>
                <w:sz w:val="21"/>
              </w:rPr>
            </w:pPr>
            <w:r>
              <w:rPr>
                <w:b/>
                <w:sz w:val="21"/>
              </w:rPr>
              <w:t>6.如何解除保险合同</w:t>
            </w:r>
          </w:p>
        </w:tc>
        <w:tc>
          <w:tcPr>
            <w:tcW w:w="3043" w:type="dxa"/>
          </w:tcPr>
          <w:p>
            <w:pPr>
              <w:pStyle w:val="TableParagraph"/>
              <w:spacing w:line="254" w:lineRule="exact"/>
              <w:ind w:left="469"/>
              <w:rPr>
                <w:sz w:val="21"/>
              </w:rPr>
            </w:pPr>
            <w:r>
              <w:rPr>
                <w:sz w:val="21"/>
              </w:rPr>
              <w:t>8.8 艾滋病</w:t>
            </w:r>
          </w:p>
        </w:tc>
      </w:tr>
      <w:tr>
        <w:trPr>
          <w:trHeight w:val="311" w:hRule="atLeast"/>
        </w:trPr>
        <w:tc>
          <w:tcPr>
            <w:tcW w:w="2532" w:type="dxa"/>
          </w:tcPr>
          <w:p>
            <w:pPr>
              <w:pStyle w:val="TableParagraph"/>
              <w:spacing w:line="269" w:lineRule="exact"/>
              <w:ind w:left="261"/>
              <w:rPr>
                <w:sz w:val="21"/>
              </w:rPr>
            </w:pPr>
            <w:r>
              <w:rPr>
                <w:sz w:val="21"/>
              </w:rPr>
              <w:t>2.3 责任免除</w:t>
            </w:r>
          </w:p>
        </w:tc>
        <w:tc>
          <w:tcPr>
            <w:tcW w:w="2803" w:type="dxa"/>
          </w:tcPr>
          <w:p>
            <w:pPr>
              <w:pStyle w:val="TableParagraph"/>
              <w:spacing w:line="266" w:lineRule="exact"/>
              <w:ind w:left="432"/>
              <w:rPr>
                <w:sz w:val="21"/>
              </w:rPr>
            </w:pPr>
            <w:r>
              <w:rPr>
                <w:sz w:val="21"/>
              </w:rPr>
              <w:t>6.1 您解除合同的</w:t>
            </w:r>
          </w:p>
        </w:tc>
        <w:tc>
          <w:tcPr>
            <w:tcW w:w="3043" w:type="dxa"/>
          </w:tcPr>
          <w:p>
            <w:pPr>
              <w:pStyle w:val="TableParagraph"/>
              <w:spacing w:line="254" w:lineRule="exact"/>
              <w:ind w:left="469"/>
              <w:rPr>
                <w:sz w:val="21"/>
              </w:rPr>
            </w:pPr>
            <w:r>
              <w:rPr>
                <w:sz w:val="21"/>
              </w:rPr>
              <w:t>8.9 艾滋病病毒</w:t>
            </w:r>
          </w:p>
        </w:tc>
      </w:tr>
      <w:tr>
        <w:trPr>
          <w:trHeight w:val="310" w:hRule="atLeast"/>
        </w:trPr>
        <w:tc>
          <w:tcPr>
            <w:tcW w:w="2532" w:type="dxa"/>
          </w:tcPr>
          <w:p>
            <w:pPr>
              <w:pStyle w:val="TableParagraph"/>
              <w:rPr>
                <w:rFonts w:ascii="Times New Roman"/>
                <w:sz w:val="20"/>
              </w:rPr>
            </w:pPr>
          </w:p>
        </w:tc>
        <w:tc>
          <w:tcPr>
            <w:tcW w:w="2803" w:type="dxa"/>
          </w:tcPr>
          <w:p>
            <w:pPr>
              <w:pStyle w:val="TableParagraph"/>
              <w:spacing w:line="266" w:lineRule="exact"/>
              <w:ind w:left="852"/>
              <w:rPr>
                <w:sz w:val="21"/>
              </w:rPr>
            </w:pPr>
            <w:r>
              <w:rPr>
                <w:sz w:val="21"/>
              </w:rPr>
              <w:t>手续及风险</w:t>
            </w:r>
          </w:p>
        </w:tc>
        <w:tc>
          <w:tcPr>
            <w:tcW w:w="3043" w:type="dxa"/>
          </w:tcPr>
          <w:p>
            <w:pPr>
              <w:pStyle w:val="TableParagraph"/>
              <w:spacing w:line="254" w:lineRule="exact"/>
              <w:ind w:left="469"/>
              <w:rPr>
                <w:sz w:val="21"/>
              </w:rPr>
            </w:pPr>
            <w:r>
              <w:rPr>
                <w:sz w:val="21"/>
              </w:rPr>
              <w:t>8.10 遗传性疾病</w:t>
            </w:r>
          </w:p>
        </w:tc>
      </w:tr>
      <w:tr>
        <w:trPr>
          <w:trHeight w:val="313" w:hRule="atLeast"/>
        </w:trPr>
        <w:tc>
          <w:tcPr>
            <w:tcW w:w="2532" w:type="dxa"/>
          </w:tcPr>
          <w:p>
            <w:pPr>
              <w:pStyle w:val="TableParagraph"/>
              <w:spacing w:line="270" w:lineRule="exact"/>
              <w:ind w:left="50"/>
              <w:rPr>
                <w:b/>
                <w:sz w:val="21"/>
              </w:rPr>
            </w:pPr>
            <w:r>
              <w:rPr>
                <w:b/>
                <w:sz w:val="21"/>
              </w:rPr>
              <w:t>3.如何申请豁免保险费</w:t>
            </w:r>
          </w:p>
        </w:tc>
        <w:tc>
          <w:tcPr>
            <w:tcW w:w="2803" w:type="dxa"/>
          </w:tcPr>
          <w:p>
            <w:pPr>
              <w:pStyle w:val="TableParagraph"/>
              <w:rPr>
                <w:rFonts w:ascii="Times New Roman"/>
                <w:sz w:val="20"/>
              </w:rPr>
            </w:pPr>
          </w:p>
        </w:tc>
        <w:tc>
          <w:tcPr>
            <w:tcW w:w="3043" w:type="dxa"/>
          </w:tcPr>
          <w:p>
            <w:pPr>
              <w:pStyle w:val="TableParagraph"/>
              <w:spacing w:line="255" w:lineRule="exact"/>
              <w:ind w:left="469"/>
              <w:rPr>
                <w:sz w:val="21"/>
              </w:rPr>
            </w:pPr>
            <w:r>
              <w:rPr>
                <w:sz w:val="21"/>
              </w:rPr>
              <w:t>8.11 先天性畸形、变</w:t>
            </w:r>
          </w:p>
        </w:tc>
      </w:tr>
      <w:tr>
        <w:trPr>
          <w:trHeight w:val="312" w:hRule="atLeast"/>
        </w:trPr>
        <w:tc>
          <w:tcPr>
            <w:tcW w:w="2532" w:type="dxa"/>
          </w:tcPr>
          <w:p>
            <w:pPr>
              <w:pStyle w:val="TableParagraph"/>
              <w:spacing w:line="269" w:lineRule="exact"/>
              <w:ind w:left="261"/>
              <w:rPr>
                <w:sz w:val="21"/>
              </w:rPr>
            </w:pPr>
            <w:r>
              <w:rPr>
                <w:sz w:val="21"/>
              </w:rPr>
              <w:t>3.1 豁免保险费的申请</w:t>
            </w:r>
          </w:p>
        </w:tc>
        <w:tc>
          <w:tcPr>
            <w:tcW w:w="2803" w:type="dxa"/>
          </w:tcPr>
          <w:p>
            <w:pPr>
              <w:pStyle w:val="TableParagraph"/>
              <w:spacing w:line="266" w:lineRule="exact"/>
              <w:ind w:left="221"/>
              <w:rPr>
                <w:b/>
                <w:sz w:val="21"/>
              </w:rPr>
            </w:pPr>
            <w:r>
              <w:rPr>
                <w:b/>
                <w:sz w:val="21"/>
              </w:rPr>
              <w:t>7.其他需要您关注的事项</w:t>
            </w:r>
          </w:p>
        </w:tc>
        <w:tc>
          <w:tcPr>
            <w:tcW w:w="3043" w:type="dxa"/>
          </w:tcPr>
          <w:p>
            <w:pPr>
              <w:pStyle w:val="TableParagraph"/>
              <w:spacing w:line="254" w:lineRule="exact"/>
              <w:ind w:left="783"/>
              <w:rPr>
                <w:sz w:val="21"/>
              </w:rPr>
            </w:pPr>
            <w:r>
              <w:rPr>
                <w:sz w:val="21"/>
              </w:rPr>
              <w:t>形或染色体异常</w:t>
            </w:r>
          </w:p>
        </w:tc>
      </w:tr>
      <w:tr>
        <w:trPr>
          <w:trHeight w:val="312" w:hRule="atLeast"/>
        </w:trPr>
        <w:tc>
          <w:tcPr>
            <w:tcW w:w="2532" w:type="dxa"/>
          </w:tcPr>
          <w:p>
            <w:pPr>
              <w:pStyle w:val="TableParagraph"/>
              <w:spacing w:line="269" w:lineRule="exact"/>
              <w:ind w:left="261"/>
              <w:rPr>
                <w:sz w:val="21"/>
              </w:rPr>
            </w:pPr>
            <w:r>
              <w:rPr>
                <w:sz w:val="21"/>
              </w:rPr>
              <w:t>3.2 欠款的扣除</w:t>
            </w:r>
          </w:p>
        </w:tc>
        <w:tc>
          <w:tcPr>
            <w:tcW w:w="2803" w:type="dxa"/>
          </w:tcPr>
          <w:p>
            <w:pPr>
              <w:pStyle w:val="TableParagraph"/>
              <w:spacing w:line="267" w:lineRule="exact"/>
              <w:ind w:left="432"/>
              <w:rPr>
                <w:sz w:val="21"/>
              </w:rPr>
            </w:pPr>
            <w:r>
              <w:rPr>
                <w:sz w:val="21"/>
              </w:rPr>
              <w:t>7.1 投保范围</w:t>
            </w:r>
          </w:p>
        </w:tc>
        <w:tc>
          <w:tcPr>
            <w:tcW w:w="3043" w:type="dxa"/>
          </w:tcPr>
          <w:p>
            <w:pPr>
              <w:pStyle w:val="TableParagraph"/>
              <w:spacing w:line="255" w:lineRule="exact"/>
              <w:ind w:left="469"/>
              <w:rPr>
                <w:sz w:val="21"/>
              </w:rPr>
            </w:pPr>
            <w:r>
              <w:rPr>
                <w:sz w:val="21"/>
              </w:rPr>
              <w:t>8.12 现金价值</w:t>
            </w:r>
          </w:p>
        </w:tc>
      </w:tr>
      <w:tr>
        <w:trPr>
          <w:trHeight w:val="318" w:hRule="atLeast"/>
        </w:trPr>
        <w:tc>
          <w:tcPr>
            <w:tcW w:w="2532" w:type="dxa"/>
          </w:tcPr>
          <w:p>
            <w:pPr>
              <w:pStyle w:val="TableParagraph"/>
              <w:spacing w:line="269" w:lineRule="exact"/>
              <w:ind w:left="261"/>
              <w:rPr>
                <w:sz w:val="21"/>
              </w:rPr>
            </w:pPr>
            <w:r>
              <w:rPr>
                <w:sz w:val="21"/>
              </w:rPr>
              <w:t>3.3 诉讼时效</w:t>
            </w:r>
          </w:p>
        </w:tc>
        <w:tc>
          <w:tcPr>
            <w:tcW w:w="2803" w:type="dxa"/>
          </w:tcPr>
          <w:p>
            <w:pPr>
              <w:pStyle w:val="TableParagraph"/>
              <w:spacing w:line="266" w:lineRule="exact"/>
              <w:ind w:left="432"/>
              <w:rPr>
                <w:sz w:val="21"/>
              </w:rPr>
            </w:pPr>
            <w:r>
              <w:rPr>
                <w:sz w:val="21"/>
              </w:rPr>
              <w:t>7.2 合同效力</w:t>
            </w:r>
          </w:p>
        </w:tc>
        <w:tc>
          <w:tcPr>
            <w:tcW w:w="3043" w:type="dxa"/>
          </w:tcPr>
          <w:p>
            <w:pPr>
              <w:pStyle w:val="TableParagraph"/>
              <w:spacing w:line="254" w:lineRule="exact"/>
              <w:ind w:left="469"/>
              <w:rPr>
                <w:sz w:val="21"/>
              </w:rPr>
            </w:pPr>
            <w:r>
              <w:rPr>
                <w:sz w:val="21"/>
              </w:rPr>
              <w:t>8.13 利息</w:t>
            </w:r>
          </w:p>
        </w:tc>
      </w:tr>
      <w:tr>
        <w:trPr>
          <w:trHeight w:val="260" w:hRule="atLeast"/>
        </w:trPr>
        <w:tc>
          <w:tcPr>
            <w:tcW w:w="2532" w:type="dxa"/>
          </w:tcPr>
          <w:p>
            <w:pPr>
              <w:pStyle w:val="TableParagraph"/>
              <w:rPr>
                <w:rFonts w:ascii="Times New Roman"/>
                <w:sz w:val="18"/>
              </w:rPr>
            </w:pPr>
          </w:p>
        </w:tc>
        <w:tc>
          <w:tcPr>
            <w:tcW w:w="2803" w:type="dxa"/>
          </w:tcPr>
          <w:p>
            <w:pPr>
              <w:pStyle w:val="TableParagraph"/>
              <w:spacing w:line="240" w:lineRule="exact"/>
              <w:ind w:left="432"/>
              <w:rPr>
                <w:sz w:val="21"/>
              </w:rPr>
            </w:pPr>
            <w:r>
              <w:rPr>
                <w:sz w:val="21"/>
              </w:rPr>
              <w:t>7.3 合同内容变更</w:t>
            </w:r>
          </w:p>
        </w:tc>
        <w:tc>
          <w:tcPr>
            <w:tcW w:w="3043" w:type="dxa"/>
          </w:tcPr>
          <w:p>
            <w:pPr>
              <w:pStyle w:val="TableParagraph"/>
              <w:rPr>
                <w:rFonts w:ascii="Times New Roman"/>
                <w:sz w:val="18"/>
              </w:rPr>
            </w:pPr>
          </w:p>
        </w:tc>
      </w:tr>
    </w:tbl>
    <w:p>
      <w:pPr>
        <w:spacing w:after="0"/>
        <w:rPr>
          <w:rFonts w:ascii="Times New Roman"/>
          <w:sz w:val="18"/>
        </w:rPr>
        <w:sectPr>
          <w:type w:val="continuous"/>
          <w:pgSz w:w="11910" w:h="16840"/>
          <w:pgMar w:top="1040" w:bottom="1160" w:left="1160" w:right="940"/>
        </w:sectPr>
      </w:pPr>
    </w:p>
    <w:p>
      <w:pPr>
        <w:pStyle w:val="BodyText"/>
        <w:spacing w:before="3"/>
        <w:rPr>
          <w:b/>
          <w:sz w:val="21"/>
        </w:rPr>
      </w:pPr>
    </w:p>
    <w:p>
      <w:pPr>
        <w:pStyle w:val="Heading1"/>
      </w:pPr>
      <w:r>
        <w:rPr/>
        <w:t>民生人寿保险股份有限公司</w:t>
      </w:r>
    </w:p>
    <w:p>
      <w:pPr>
        <w:spacing w:before="125"/>
        <w:ind w:left="2159" w:right="2069" w:firstLine="0"/>
        <w:jc w:val="center"/>
        <w:rPr>
          <w:b/>
          <w:sz w:val="28"/>
        </w:rPr>
      </w:pPr>
      <w:r>
        <w:rPr>
          <w:b/>
          <w:sz w:val="28"/>
        </w:rPr>
        <w:t>附加卓悦英才少儿豁免保费重大疾病保险条款</w:t>
      </w:r>
    </w:p>
    <w:p>
      <w:pPr>
        <w:pStyle w:val="BodyText"/>
        <w:rPr>
          <w:b/>
          <w:sz w:val="28"/>
        </w:rPr>
      </w:pPr>
    </w:p>
    <w:p>
      <w:pPr>
        <w:pStyle w:val="BodyText"/>
        <w:spacing w:before="10"/>
        <w:rPr>
          <w:b/>
          <w:sz w:val="31"/>
        </w:rPr>
      </w:pPr>
    </w:p>
    <w:p>
      <w:pPr>
        <w:spacing w:before="0"/>
        <w:ind w:left="223" w:right="0" w:firstLine="0"/>
        <w:jc w:val="left"/>
        <w:rPr>
          <w:sz w:val="21"/>
        </w:rPr>
      </w:pPr>
      <w:r>
        <w:rPr>
          <w:spacing w:val="-23"/>
          <w:w w:val="100"/>
          <w:sz w:val="21"/>
        </w:rPr>
        <w:t>在本条款中，“您”指投保人，“我们”、“本公司”均指民生人寿保险股份有限公司</w:t>
      </w:r>
    </w:p>
    <w:p>
      <w:pPr>
        <w:pStyle w:val="BodyText"/>
        <w:rPr>
          <w:sz w:val="20"/>
        </w:rPr>
      </w:pPr>
    </w:p>
    <w:p>
      <w:pPr>
        <w:pStyle w:val="BodyText"/>
        <w:rPr>
          <w:sz w:val="19"/>
        </w:rPr>
      </w:pPr>
    </w:p>
    <w:p>
      <w:pPr>
        <w:tabs>
          <w:tab w:pos="890" w:val="left" w:leader="none"/>
        </w:tabs>
        <w:spacing w:before="0"/>
        <w:ind w:left="223" w:right="0" w:firstLine="0"/>
        <w:jc w:val="left"/>
        <w:rPr>
          <w:b/>
          <w:sz w:val="24"/>
        </w:rPr>
      </w:pPr>
      <w:r>
        <w:rPr/>
        <w:pict>
          <v:group style="position:absolute;margin-left:59.784pt;margin-top:28.159737pt;width:480.5pt;height:.5pt;mso-position-horizontal-relative:page;mso-position-vertical-relative:paragraph;z-index:1096;mso-wrap-distance-left:0;mso-wrap-distance-right:0" coordorigin="1196,563" coordsize="9610,10">
            <v:line style="position:absolute" from="1196,568" to="1863,568" stroked="true" strokeweight=".48pt" strokecolor="#000000">
              <v:stroke dashstyle="solid"/>
            </v:line>
            <v:rect style="position:absolute;left:1862;top:563;width:10;height:10" filled="true" fillcolor="#000000" stroked="false">
              <v:fill type="solid"/>
            </v:rect>
            <v:line style="position:absolute" from="1872,568" to="3515,568" stroked="true" strokeweight=".48pt" strokecolor="#000000">
              <v:stroke dashstyle="solid"/>
            </v:line>
            <v:rect style="position:absolute;left:3514;top:563;width:10;height:10" filled="true" fillcolor="#000000" stroked="false">
              <v:fill type="solid"/>
            </v:rect>
            <v:line style="position:absolute" from="3524,568" to="10805,568" stroked="true" strokeweight=".48pt" strokecolor="#000000">
              <v:stroke dashstyle="solid"/>
            </v:line>
            <w10:wrap type="topAndBottom"/>
          </v:group>
        </w:pict>
      </w:r>
      <w:r>
        <w:rPr>
          <w:rFonts w:ascii="Arial" w:hAnsi="Arial" w:eastAsia="Arial"/>
          <w:b/>
          <w:position w:val="-3"/>
          <w:sz w:val="40"/>
        </w:rPr>
        <w:t></w:t>
        <w:tab/>
      </w:r>
      <w:r>
        <w:rPr>
          <w:b/>
          <w:w w:val="95"/>
          <w:sz w:val="24"/>
        </w:rPr>
        <w:t>您与我们的合同</w:t>
      </w:r>
    </w:p>
    <w:p>
      <w:pPr>
        <w:pStyle w:val="BodyText"/>
        <w:spacing w:before="9"/>
        <w:rPr>
          <w:b/>
          <w:sz w:val="10"/>
        </w:rPr>
      </w:pPr>
    </w:p>
    <w:p>
      <w:pPr>
        <w:pStyle w:val="ListParagraph"/>
        <w:numPr>
          <w:ilvl w:val="1"/>
          <w:numId w:val="2"/>
        </w:numPr>
        <w:tabs>
          <w:tab w:pos="890" w:val="left" w:leader="none"/>
          <w:tab w:pos="891" w:val="left" w:leader="none"/>
          <w:tab w:pos="2544" w:val="left" w:leader="none"/>
        </w:tabs>
        <w:spacing w:line="307" w:lineRule="auto" w:before="37" w:after="0"/>
        <w:ind w:left="2545" w:right="266" w:hanging="2322"/>
        <w:jc w:val="left"/>
        <w:rPr>
          <w:sz w:val="18"/>
        </w:rPr>
      </w:pPr>
      <w:r>
        <w:rPr>
          <w:b/>
          <w:sz w:val="21"/>
        </w:rPr>
        <w:t>合同构成</w:t>
        <w:tab/>
      </w:r>
      <w:r>
        <w:rPr>
          <w:position w:val="1"/>
          <w:sz w:val="18"/>
        </w:rPr>
        <w:t>本附加保险合</w:t>
      </w:r>
      <w:r>
        <w:rPr>
          <w:spacing w:val="-44"/>
          <w:position w:val="1"/>
          <w:sz w:val="18"/>
        </w:rPr>
        <w:t>同</w:t>
      </w:r>
      <w:r>
        <w:rPr>
          <w:position w:val="1"/>
          <w:sz w:val="18"/>
        </w:rPr>
        <w:t>（以下简</w:t>
      </w:r>
      <w:r>
        <w:rPr>
          <w:spacing w:val="-44"/>
          <w:position w:val="1"/>
          <w:sz w:val="18"/>
        </w:rPr>
        <w:t>称</w:t>
      </w:r>
      <w:r>
        <w:rPr>
          <w:position w:val="1"/>
          <w:sz w:val="18"/>
        </w:rPr>
        <w:t>“本附加合同</w:t>
      </w:r>
      <w:r>
        <w:rPr>
          <w:spacing w:val="-68"/>
          <w:position w:val="1"/>
          <w:sz w:val="18"/>
        </w:rPr>
        <w:t>”）</w:t>
      </w:r>
      <w:r>
        <w:rPr>
          <w:position w:val="1"/>
          <w:sz w:val="18"/>
        </w:rPr>
        <w:t>附加于本公司规定的主保险合</w:t>
      </w:r>
      <w:r>
        <w:rPr>
          <w:spacing w:val="-44"/>
          <w:position w:val="1"/>
          <w:sz w:val="18"/>
        </w:rPr>
        <w:t>同</w:t>
      </w:r>
      <w:r>
        <w:rPr>
          <w:position w:val="1"/>
          <w:sz w:val="18"/>
        </w:rPr>
        <w:t>（以下简</w:t>
      </w:r>
      <w:r>
        <w:rPr>
          <w:spacing w:val="-44"/>
          <w:position w:val="1"/>
          <w:sz w:val="18"/>
        </w:rPr>
        <w:t>称</w:t>
      </w:r>
      <w:r>
        <w:rPr>
          <w:position w:val="1"/>
          <w:sz w:val="18"/>
        </w:rPr>
        <w:t>“主</w:t>
      </w:r>
      <w:r>
        <w:rPr>
          <w:sz w:val="18"/>
        </w:rPr>
        <w:t>险合同</w:t>
      </w:r>
      <w:r>
        <w:rPr>
          <w:spacing w:val="-92"/>
          <w:sz w:val="18"/>
        </w:rPr>
        <w:t>”</w:t>
      </w:r>
      <w:r>
        <w:rPr>
          <w:spacing w:val="-10"/>
          <w:sz w:val="18"/>
        </w:rPr>
        <w:t>）</w:t>
      </w:r>
      <w:r>
        <w:rPr>
          <w:sz w:val="18"/>
        </w:rPr>
        <w:t>上</w:t>
      </w:r>
      <w:r>
        <w:rPr>
          <w:spacing w:val="-10"/>
          <w:sz w:val="18"/>
        </w:rPr>
        <w:t>。</w:t>
      </w:r>
      <w:r>
        <w:rPr>
          <w:sz w:val="18"/>
        </w:rPr>
        <w:t>主险合</w:t>
      </w:r>
      <w:r>
        <w:rPr>
          <w:spacing w:val="-1"/>
          <w:sz w:val="18"/>
        </w:rPr>
        <w:t>同</w:t>
      </w:r>
      <w:r>
        <w:rPr>
          <w:sz w:val="18"/>
        </w:rPr>
        <w:t>所附条款</w:t>
      </w:r>
      <w:r>
        <w:rPr>
          <w:spacing w:val="-10"/>
          <w:sz w:val="18"/>
        </w:rPr>
        <w:t>、</w:t>
      </w:r>
      <w:r>
        <w:rPr>
          <w:sz w:val="18"/>
        </w:rPr>
        <w:t>投保单及与本附加合同有关的其他投保文件</w:t>
      </w:r>
      <w:r>
        <w:rPr>
          <w:spacing w:val="-10"/>
          <w:sz w:val="18"/>
        </w:rPr>
        <w:t>、</w:t>
      </w:r>
      <w:r>
        <w:rPr>
          <w:sz w:val="18"/>
        </w:rPr>
        <w:t>合法有效的声明、批注和其他书面协议，凡与本附加合同相关者，均为本附加合同的构成部分。 除本附加合同另有约定外，其他未尽事宜以主险合同条款为准。</w:t>
      </w:r>
    </w:p>
    <w:p>
      <w:pPr>
        <w:pStyle w:val="BodyText"/>
        <w:spacing w:before="11"/>
        <w:rPr>
          <w:sz w:val="14"/>
        </w:rPr>
      </w:pPr>
    </w:p>
    <w:p>
      <w:pPr>
        <w:spacing w:after="0"/>
        <w:rPr>
          <w:sz w:val="14"/>
        </w:rPr>
        <w:sectPr>
          <w:headerReference w:type="default" r:id="rId9"/>
          <w:pgSz w:w="11910" w:h="16840"/>
          <w:pgMar w:header="877" w:footer="976" w:top="1100" w:bottom="1160" w:left="1080" w:right="940"/>
        </w:sectPr>
      </w:pPr>
    </w:p>
    <w:p>
      <w:pPr>
        <w:pStyle w:val="Heading2"/>
        <w:numPr>
          <w:ilvl w:val="1"/>
          <w:numId w:val="2"/>
        </w:numPr>
        <w:tabs>
          <w:tab w:pos="890" w:val="left" w:leader="none"/>
          <w:tab w:pos="891" w:val="left" w:leader="none"/>
        </w:tabs>
        <w:spacing w:line="240" w:lineRule="auto" w:before="37" w:after="0"/>
        <w:ind w:left="2545" w:right="0" w:hanging="2322"/>
        <w:jc w:val="left"/>
      </w:pPr>
      <w:r>
        <w:rPr>
          <w:spacing w:val="25"/>
        </w:rPr>
        <w:t>合同成立与生</w:t>
      </w:r>
    </w:p>
    <w:p>
      <w:pPr>
        <w:spacing w:before="37"/>
        <w:ind w:left="0" w:right="332" w:firstLine="0"/>
        <w:jc w:val="center"/>
        <w:rPr>
          <w:b/>
          <w:sz w:val="21"/>
        </w:rPr>
      </w:pPr>
      <w:r>
        <w:rPr>
          <w:b/>
          <w:w w:val="100"/>
          <w:sz w:val="21"/>
        </w:rPr>
        <w:t>效</w:t>
      </w:r>
    </w:p>
    <w:p>
      <w:pPr>
        <w:pStyle w:val="BodyText"/>
        <w:spacing w:line="316" w:lineRule="auto" w:before="57"/>
        <w:ind w:left="177" w:right="271"/>
        <w:jc w:val="both"/>
      </w:pPr>
      <w:r>
        <w:rPr/>
        <w:br w:type="column"/>
      </w:r>
      <w:r>
        <w:rPr/>
        <w:t>自您提出保险申请，本公司同意承保，本附加合同成立。合同成立日期在保险单上载明。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177" w:right="319"/>
        <w:jc w:val="both"/>
      </w:pPr>
      <w:r>
        <w:rPr/>
        <w:t>本附加合同的生效日以后每年的对应日是保险单周年日。保险单年度、保险单月份、保险费到期日和保险单满期日均以该日期计算。</w:t>
      </w:r>
    </w:p>
    <w:p>
      <w:pPr>
        <w:pStyle w:val="BodyText"/>
        <w:spacing w:before="18"/>
        <w:ind w:left="177"/>
        <w:jc w:val="both"/>
      </w:pPr>
      <w:r>
        <w:rPr/>
        <w:t>如果当月无对应的同一天，则以该月最后一日为对应日。</w:t>
      </w:r>
    </w:p>
    <w:p>
      <w:pPr>
        <w:spacing w:after="0"/>
        <w:jc w:val="both"/>
        <w:sectPr>
          <w:type w:val="continuous"/>
          <w:pgSz w:w="11910" w:h="16840"/>
          <w:pgMar w:top="1040" w:bottom="1160" w:left="1080" w:right="940"/>
          <w:cols w:num="2" w:equalWidth="0">
            <w:col w:w="2328" w:space="40"/>
            <w:col w:w="7522"/>
          </w:cols>
        </w:sectPr>
      </w:pPr>
    </w:p>
    <w:p>
      <w:pPr>
        <w:pStyle w:val="BodyText"/>
        <w:spacing w:before="11"/>
      </w:pPr>
    </w:p>
    <w:p>
      <w:pPr>
        <w:pStyle w:val="ListParagraph"/>
        <w:numPr>
          <w:ilvl w:val="1"/>
          <w:numId w:val="2"/>
        </w:numPr>
        <w:tabs>
          <w:tab w:pos="891" w:val="left" w:leader="none"/>
        </w:tabs>
        <w:spacing w:line="302" w:lineRule="auto" w:before="36" w:after="0"/>
        <w:ind w:left="2545" w:right="319" w:hanging="2322"/>
        <w:jc w:val="both"/>
        <w:rPr>
          <w:sz w:val="18"/>
        </w:rPr>
      </w:pPr>
      <w:r>
        <w:rPr>
          <w:b/>
          <w:spacing w:val="5"/>
          <w:sz w:val="21"/>
        </w:rPr>
        <w:t>犹豫期        </w:t>
      </w:r>
      <w:r>
        <w:rPr>
          <w:position w:val="1"/>
          <w:sz w:val="18"/>
        </w:rPr>
        <w:t>自您签收本附加合同次日起，有十天的犹豫期。在此期间请您认真审视本附加合同，如果</w:t>
      </w:r>
      <w:r>
        <w:rPr>
          <w:sz w:val="18"/>
        </w:rPr>
        <w:t>您认为本附加合同与您的需求不相符，您可以在此期间提出解除本附加合同，我们将无息退还您所交的全部保险费。</w:t>
      </w:r>
    </w:p>
    <w:p>
      <w:pPr>
        <w:pStyle w:val="BodyText"/>
        <w:spacing w:line="316" w:lineRule="auto" w:before="29"/>
        <w:ind w:left="2545" w:right="177"/>
      </w:pPr>
      <w:r>
        <w:rPr/>
        <w:t>解除合同时，您需要填写书面申请书，并提供您的合同及</w:t>
      </w:r>
      <w:r>
        <w:rPr>
          <w:b/>
          <w:w w:val="99"/>
        </w:rPr>
        <w:t>有效身份证件</w:t>
      </w:r>
      <w:r>
        <w:rPr/>
        <w:t>（</w:t>
      </w:r>
      <w:r>
        <w:rPr>
          <w:spacing w:val="-23"/>
        </w:rPr>
        <w:t>见 </w:t>
      </w:r>
      <w:r>
        <w:rPr>
          <w:spacing w:val="-2"/>
        </w:rPr>
        <w:t>8</w:t>
      </w:r>
      <w:r>
        <w:rPr>
          <w:spacing w:val="0"/>
        </w:rPr>
        <w:t>.1</w:t>
      </w:r>
      <w:r>
        <w:rPr>
          <w:spacing w:val="-92"/>
        </w:rPr>
        <w:t>）</w:t>
      </w:r>
      <w:r>
        <w:rPr/>
        <w:t>。自您书</w:t>
      </w:r>
      <w:r>
        <w:rPr>
          <w:spacing w:val="-3"/>
        </w:rPr>
        <w:t>面申请解除本附加合同之日起，本附加合同效力即行终止，对合同解除前发生的保险事故， 我们不承担豁免保险费的责任。</w:t>
      </w:r>
    </w:p>
    <w:p>
      <w:pPr>
        <w:pStyle w:val="BodyText"/>
        <w:spacing w:before="1"/>
        <w:rPr>
          <w:sz w:val="17"/>
        </w:rPr>
      </w:pPr>
    </w:p>
    <w:p>
      <w:pPr>
        <w:pStyle w:val="ListParagraph"/>
        <w:numPr>
          <w:ilvl w:val="1"/>
          <w:numId w:val="2"/>
        </w:numPr>
        <w:tabs>
          <w:tab w:pos="890" w:val="left" w:leader="none"/>
          <w:tab w:pos="891" w:val="left" w:leader="none"/>
          <w:tab w:pos="2544" w:val="left" w:leader="none"/>
        </w:tabs>
        <w:spacing w:line="240" w:lineRule="auto" w:before="0" w:after="0"/>
        <w:ind w:left="2545" w:right="0" w:hanging="2322"/>
        <w:jc w:val="left"/>
        <w:rPr>
          <w:sz w:val="18"/>
        </w:rPr>
      </w:pPr>
      <w:r>
        <w:rPr>
          <w:b/>
          <w:sz w:val="21"/>
        </w:rPr>
        <w:t>保险期间</w:t>
        <w:tab/>
      </w:r>
      <w:r>
        <w:rPr>
          <w:position w:val="1"/>
          <w:sz w:val="18"/>
        </w:rPr>
        <w:t>本附加合同可附加于主险合同或保险期间超过一年的附加险合同。</w:t>
      </w:r>
    </w:p>
    <w:p>
      <w:pPr>
        <w:pStyle w:val="BodyText"/>
        <w:spacing w:line="316" w:lineRule="auto" w:before="57"/>
        <w:ind w:left="2545" w:right="318"/>
      </w:pPr>
      <w:r>
        <w:rPr/>
        <w:t>本附加合同的保险期间与本附加合同所豁免保险费的保险合同的交费期间相同，并在保险单上载明。</w:t>
      </w:r>
    </w:p>
    <w:p>
      <w:pPr>
        <w:pStyle w:val="BodyText"/>
        <w:spacing w:before="11"/>
        <w:rPr>
          <w:sz w:val="22"/>
        </w:rPr>
      </w:pPr>
    </w:p>
    <w:p>
      <w:pPr>
        <w:tabs>
          <w:tab w:pos="890" w:val="left" w:leader="none"/>
        </w:tabs>
        <w:spacing w:before="0"/>
        <w:ind w:left="223" w:right="0" w:firstLine="0"/>
        <w:jc w:val="left"/>
        <w:rPr>
          <w:b/>
          <w:sz w:val="24"/>
        </w:rPr>
      </w:pPr>
      <w:r>
        <w:rPr/>
        <w:pict>
          <v:group style="position:absolute;margin-left:59.784pt;margin-top:28.159782pt;width:480.5pt;height:.5pt;mso-position-horizontal-relative:page;mso-position-vertical-relative:paragraph;z-index:1120;mso-wrap-distance-left:0;mso-wrap-distance-right:0" coordorigin="1196,563" coordsize="9610,10">
            <v:line style="position:absolute" from="1196,568" to="1863,568" stroked="true" strokeweight=".47998pt" strokecolor="#000000">
              <v:stroke dashstyle="solid"/>
            </v:line>
            <v:rect style="position:absolute;left:1862;top:563;width:10;height:10" filled="true" fillcolor="#000000" stroked="false">
              <v:fill type="solid"/>
            </v:rect>
            <v:line style="position:absolute" from="1872,568" to="3515,568" stroked="true" strokeweight=".47998pt" strokecolor="#000000">
              <v:stroke dashstyle="solid"/>
            </v:line>
            <v:rect style="position:absolute;left:3514;top:563;width:10;height:10" filled="true" fillcolor="#000000" stroked="false">
              <v:fill type="solid"/>
            </v:rect>
            <v:line style="position:absolute" from="3524,568" to="10805,568" stroked="true" strokeweight=".47998pt" strokecolor="#000000">
              <v:stroke dashstyle="solid"/>
            </v:line>
            <w10:wrap type="topAndBottom"/>
          </v:group>
        </w:pict>
      </w:r>
      <w:r>
        <w:rPr>
          <w:rFonts w:ascii="Arial" w:hAnsi="Arial" w:eastAsia="Arial"/>
          <w:b/>
          <w:position w:val="-3"/>
          <w:sz w:val="40"/>
        </w:rPr>
        <w:t></w:t>
        <w:tab/>
      </w:r>
      <w:r>
        <w:rPr>
          <w:b/>
          <w:w w:val="95"/>
          <w:sz w:val="24"/>
        </w:rPr>
        <w:t>我们提供的保障</w:t>
      </w:r>
    </w:p>
    <w:p>
      <w:pPr>
        <w:pStyle w:val="BodyText"/>
        <w:spacing w:before="10"/>
        <w:rPr>
          <w:b/>
          <w:sz w:val="10"/>
        </w:rPr>
      </w:pPr>
    </w:p>
    <w:p>
      <w:pPr>
        <w:pStyle w:val="ListParagraph"/>
        <w:numPr>
          <w:ilvl w:val="1"/>
          <w:numId w:val="3"/>
        </w:numPr>
        <w:tabs>
          <w:tab w:pos="890" w:val="left" w:leader="none"/>
          <w:tab w:pos="891" w:val="left" w:leader="none"/>
          <w:tab w:pos="2544" w:val="left" w:leader="none"/>
        </w:tabs>
        <w:spacing w:line="240" w:lineRule="auto" w:before="36" w:after="0"/>
        <w:ind w:left="2545" w:right="0" w:hanging="2322"/>
        <w:jc w:val="left"/>
        <w:rPr>
          <w:sz w:val="18"/>
        </w:rPr>
      </w:pPr>
      <w:r>
        <w:rPr>
          <w:b/>
          <w:sz w:val="21"/>
        </w:rPr>
        <w:t>保险金额</w:t>
        <w:tab/>
      </w:r>
      <w:r>
        <w:rPr>
          <w:position w:val="1"/>
          <w:sz w:val="18"/>
        </w:rPr>
        <w:t>本附加合同保险金额由您和本公司约定，并在保险单上载明。</w:t>
      </w:r>
    </w:p>
    <w:p>
      <w:pPr>
        <w:pStyle w:val="BodyText"/>
        <w:rPr>
          <w:sz w:val="20"/>
        </w:rPr>
      </w:pPr>
    </w:p>
    <w:p>
      <w:pPr>
        <w:pStyle w:val="ListParagraph"/>
        <w:numPr>
          <w:ilvl w:val="1"/>
          <w:numId w:val="3"/>
        </w:numPr>
        <w:tabs>
          <w:tab w:pos="890" w:val="left" w:leader="none"/>
          <w:tab w:pos="891" w:val="left" w:leader="none"/>
          <w:tab w:pos="2544" w:val="left" w:leader="none"/>
        </w:tabs>
        <w:spacing w:line="240" w:lineRule="auto" w:before="0" w:after="0"/>
        <w:ind w:left="2545" w:right="0" w:hanging="2322"/>
        <w:jc w:val="left"/>
        <w:rPr>
          <w:sz w:val="18"/>
        </w:rPr>
      </w:pPr>
      <w:r>
        <w:rPr>
          <w:b/>
          <w:sz w:val="21"/>
        </w:rPr>
        <w:t>保险责任</w:t>
        <w:tab/>
      </w:r>
      <w:r>
        <w:rPr>
          <w:position w:val="1"/>
          <w:sz w:val="18"/>
        </w:rPr>
        <w:t>在本附加合同有效期内，本公司按下列规定承担保险责任：</w:t>
      </w:r>
    </w:p>
    <w:p>
      <w:pPr>
        <w:pStyle w:val="BodyText"/>
        <w:spacing w:before="5"/>
        <w:rPr>
          <w:sz w:val="20"/>
        </w:rPr>
      </w:pPr>
    </w:p>
    <w:p>
      <w:pPr>
        <w:pStyle w:val="BodyText"/>
        <w:spacing w:line="302" w:lineRule="auto"/>
        <w:ind w:left="2545" w:right="268" w:hanging="1655"/>
        <w:jc w:val="both"/>
      </w:pPr>
      <w:r>
        <w:rPr>
          <w:b/>
          <w:spacing w:val="5"/>
          <w:sz w:val="21"/>
        </w:rPr>
        <w:t>等待期        </w:t>
      </w:r>
      <w:r>
        <w:rPr>
          <w:spacing w:val="-3"/>
          <w:position w:val="1"/>
          <w:shd w:fill="C0C0C0" w:color="auto" w:val="clear"/>
        </w:rPr>
        <w:t>从本附加合同生效</w:t>
      </w:r>
      <w:r>
        <w:rPr>
          <w:position w:val="1"/>
          <w:shd w:fill="C0C0C0" w:color="auto" w:val="clear"/>
        </w:rPr>
        <w:t>（或复效</w:t>
      </w:r>
      <w:r>
        <w:rPr>
          <w:spacing w:val="-22"/>
          <w:position w:val="1"/>
          <w:shd w:fill="C0C0C0" w:color="auto" w:val="clear"/>
        </w:rPr>
        <w:t>）</w:t>
      </w:r>
      <w:r>
        <w:rPr>
          <w:spacing w:val="-12"/>
          <w:position w:val="1"/>
          <w:shd w:fill="C0C0C0" w:color="auto" w:val="clear"/>
        </w:rPr>
        <w:t>之日起 </w:t>
      </w:r>
      <w:r>
        <w:rPr>
          <w:rFonts w:ascii="Times New Roman" w:eastAsia="Times New Roman"/>
          <w:position w:val="1"/>
          <w:shd w:fill="C0C0C0" w:color="auto" w:val="clear"/>
        </w:rPr>
        <w:t>180 </w:t>
      </w:r>
      <w:r>
        <w:rPr>
          <w:position w:val="1"/>
          <w:shd w:fill="C0C0C0" w:color="auto" w:val="clear"/>
        </w:rPr>
        <w:t>天内</w:t>
      </w:r>
      <w:r>
        <w:rPr>
          <w:rFonts w:ascii="Times New Roman" w:eastAsia="Times New Roman"/>
          <w:position w:val="1"/>
          <w:shd w:fill="C0C0C0" w:color="auto" w:val="clear"/>
        </w:rPr>
        <w:t>(</w:t>
      </w:r>
      <w:r>
        <w:rPr>
          <w:spacing w:val="-12"/>
          <w:position w:val="1"/>
          <w:shd w:fill="C0C0C0" w:color="auto" w:val="clear"/>
        </w:rPr>
        <w:t>包括第 </w:t>
      </w:r>
      <w:r>
        <w:rPr>
          <w:rFonts w:ascii="Times New Roman" w:eastAsia="Times New Roman"/>
          <w:position w:val="1"/>
          <w:shd w:fill="C0C0C0" w:color="auto" w:val="clear"/>
        </w:rPr>
        <w:t>180 </w:t>
      </w:r>
      <w:r>
        <w:rPr>
          <w:spacing w:val="-3"/>
          <w:position w:val="1"/>
          <w:shd w:fill="C0C0C0" w:color="auto" w:val="clear"/>
        </w:rPr>
        <w:t>天</w:t>
      </w:r>
      <w:r>
        <w:rPr>
          <w:rFonts w:ascii="Times New Roman" w:eastAsia="Times New Roman"/>
          <w:spacing w:val="-12"/>
          <w:position w:val="1"/>
          <w:shd w:fill="C0C0C0" w:color="auto" w:val="clear"/>
        </w:rPr>
        <w:t>)</w:t>
      </w:r>
      <w:r>
        <w:rPr>
          <w:spacing w:val="-3"/>
          <w:position w:val="1"/>
          <w:shd w:fill="C0C0C0" w:color="auto" w:val="clear"/>
        </w:rPr>
        <w:t>，被保险人因疾病首次发生并</w:t>
      </w:r>
      <w:r>
        <w:rPr>
          <w:spacing w:val="-3"/>
          <w:shd w:fill="C0C0C0" w:color="auto" w:val="clear"/>
        </w:rPr>
        <w:t>被确诊患有本附加合同附表一所列的重大疾病或附表二所列的特定少儿重大疾病的，本公</w:t>
      </w:r>
      <w:r>
        <w:rPr>
          <w:spacing w:val="-5"/>
          <w:shd w:fill="C0C0C0" w:color="auto" w:val="clear"/>
        </w:rPr>
        <w:t>司不承担保险责任，并向您无息返还本附加合同已交保险费，本附加合同终止。这 </w:t>
      </w:r>
      <w:r>
        <w:rPr>
          <w:rFonts w:ascii="Times New Roman" w:eastAsia="Times New Roman"/>
          <w:shd w:fill="C0C0C0" w:color="auto" w:val="clear"/>
        </w:rPr>
        <w:t>180 </w:t>
      </w:r>
      <w:r>
        <w:rPr>
          <w:spacing w:val="-70"/>
          <w:shd w:fill="C0C0C0" w:color="auto" w:val="clear"/>
        </w:rPr>
        <w:t>天时</w:t>
      </w:r>
      <w:r>
        <w:rPr>
          <w:shd w:fill="C0C0C0" w:color="auto" w:val="clear"/>
        </w:rPr>
        <w:t>间被称为等待期。</w:t>
      </w:r>
      <w:r>
        <w:rPr/>
        <w:t>因</w:t>
      </w:r>
      <w:r>
        <w:rPr>
          <w:b/>
        </w:rPr>
        <w:t>意外事故</w:t>
      </w:r>
      <w:r>
        <w:rPr/>
        <w:t>（</w:t>
      </w:r>
      <w:r>
        <w:rPr>
          <w:spacing w:val="-22"/>
        </w:rPr>
        <w:t>见 </w:t>
      </w:r>
      <w:r>
        <w:rPr/>
        <w:t>8.2）</w:t>
      </w:r>
      <w:r>
        <w:rPr>
          <w:spacing w:val="-1"/>
        </w:rPr>
        <w:t>发生上述情形的，无等待期。</w:t>
      </w:r>
    </w:p>
    <w:p>
      <w:pPr>
        <w:pStyle w:val="BodyText"/>
        <w:spacing w:before="11"/>
        <w:rPr>
          <w:sz w:val="17"/>
        </w:rPr>
      </w:pPr>
    </w:p>
    <w:p>
      <w:pPr>
        <w:tabs>
          <w:tab w:pos="2544" w:val="left" w:leader="none"/>
        </w:tabs>
        <w:spacing w:before="1"/>
        <w:ind w:left="890" w:right="0" w:firstLine="0"/>
        <w:jc w:val="left"/>
        <w:rPr>
          <w:sz w:val="18"/>
        </w:rPr>
      </w:pPr>
      <w:r>
        <w:rPr>
          <w:b/>
          <w:spacing w:val="31"/>
          <w:sz w:val="21"/>
        </w:rPr>
        <w:t>重大疾</w:t>
      </w:r>
      <w:r>
        <w:rPr>
          <w:b/>
          <w:spacing w:val="35"/>
          <w:sz w:val="21"/>
        </w:rPr>
        <w:t>病</w:t>
      </w:r>
      <w:r>
        <w:rPr>
          <w:b/>
          <w:spacing w:val="31"/>
          <w:sz w:val="21"/>
        </w:rPr>
        <w:t>豁</w:t>
      </w:r>
      <w:r>
        <w:rPr>
          <w:b/>
          <w:sz w:val="21"/>
        </w:rPr>
        <w:t>免</w:t>
        <w:tab/>
      </w:r>
      <w:r>
        <w:rPr>
          <w:position w:val="1"/>
          <w:sz w:val="18"/>
        </w:rPr>
        <w:t>若被保险人经诊断于本附加合同等待期后首次发生并经本公司</w:t>
      </w:r>
      <w:r>
        <w:rPr>
          <w:b/>
          <w:position w:val="1"/>
          <w:sz w:val="18"/>
        </w:rPr>
        <w:t>指定或认可的医疗机构</w:t>
      </w:r>
      <w:r>
        <w:rPr>
          <w:position w:val="1"/>
          <w:sz w:val="18"/>
        </w:rPr>
        <w:t>（见</w:t>
      </w:r>
    </w:p>
    <w:p>
      <w:pPr>
        <w:spacing w:after="0"/>
        <w:jc w:val="left"/>
        <w:rPr>
          <w:sz w:val="18"/>
        </w:rPr>
        <w:sectPr>
          <w:type w:val="continuous"/>
          <w:pgSz w:w="11910" w:h="16840"/>
          <w:pgMar w:top="1040" w:bottom="1160" w:left="1080" w:right="940"/>
        </w:sectPr>
      </w:pPr>
    </w:p>
    <w:p>
      <w:pPr>
        <w:pStyle w:val="BodyText"/>
        <w:spacing w:before="2"/>
        <w:rPr>
          <w:sz w:val="19"/>
        </w:rPr>
      </w:pPr>
    </w:p>
    <w:p>
      <w:pPr>
        <w:pStyle w:val="BodyText"/>
        <w:spacing w:line="307" w:lineRule="auto" w:before="37"/>
        <w:ind w:left="2545" w:right="268" w:hanging="1655"/>
        <w:jc w:val="both"/>
      </w:pPr>
      <w:r>
        <w:rPr>
          <w:b/>
          <w:sz w:val="21"/>
        </w:rPr>
        <w:t>保险费        </w:t>
      </w:r>
      <w:r>
        <w:rPr>
          <w:position w:val="1"/>
        </w:rPr>
        <w:t>8.3）确诊初次患有本附加合同附表一约定的一项或多项重大疾病或附表二约定的一项或多</w:t>
      </w:r>
      <w:r>
        <w:rPr/>
        <w:t>项特定少儿重大疾病的，自被保险人确诊患有本附加合同附表一约定的一项或多项重大疾病或附表二约定的一项或多项特定少儿重大疾病之日起，本公司免予收取保险期间内剩余的各期保险费，本附加合同效力终止。</w:t>
      </w:r>
    </w:p>
    <w:p>
      <w:pPr>
        <w:pStyle w:val="BodyText"/>
        <w:spacing w:before="11"/>
        <w:rPr>
          <w:sz w:val="15"/>
        </w:rPr>
      </w:pPr>
    </w:p>
    <w:p>
      <w:pPr>
        <w:pStyle w:val="BodyText"/>
        <w:spacing w:line="316" w:lineRule="auto" w:before="44"/>
        <w:ind w:left="2545" w:right="318"/>
      </w:pPr>
      <w:r>
        <w:rPr/>
        <w:t>本附加险合同所豁免保险费的金额将在保险单上载明，</w:t>
      </w:r>
      <w:r>
        <w:rPr>
          <w:shd w:fill="C0C0C0" w:color="auto" w:val="clear"/>
        </w:rPr>
        <w:t>所豁免保险费的金额不包含保险期间不超</w:t>
      </w:r>
      <w:r>
        <w:rPr>
          <w:spacing w:val="-113"/>
          <w:shd w:fill="C0C0C0" w:color="auto" w:val="clear"/>
        </w:rPr>
        <w:t>过 </w:t>
      </w:r>
      <w:r>
        <w:rPr>
          <w:rFonts w:ascii="Times New Roman" w:eastAsia="Times New Roman"/>
          <w:shd w:fill="C0C0C0" w:color="auto" w:val="clear"/>
        </w:rPr>
        <w:t>1 </w:t>
      </w:r>
      <w:r>
        <w:rPr>
          <w:spacing w:val="-1"/>
          <w:shd w:fill="C0C0C0" w:color="auto" w:val="clear"/>
        </w:rPr>
        <w:t>年的附加险的保险费。</w:t>
      </w:r>
    </w:p>
    <w:p>
      <w:pPr>
        <w:pStyle w:val="BodyText"/>
        <w:spacing w:before="4"/>
        <w:rPr>
          <w:sz w:val="17"/>
        </w:rPr>
      </w:pPr>
    </w:p>
    <w:p>
      <w:pPr>
        <w:pStyle w:val="BodyText"/>
        <w:ind w:left="2545"/>
      </w:pPr>
      <w:r>
        <w:rPr/>
        <w:t>已获豁免保险费的保险合同，其权益与正常交费的保险合同相同。</w:t>
      </w:r>
    </w:p>
    <w:p>
      <w:pPr>
        <w:pStyle w:val="BodyText"/>
        <w:spacing w:before="8"/>
        <w:rPr>
          <w:sz w:val="21"/>
        </w:rPr>
      </w:pPr>
    </w:p>
    <w:p>
      <w:pPr>
        <w:pStyle w:val="ListParagraph"/>
        <w:numPr>
          <w:ilvl w:val="1"/>
          <w:numId w:val="3"/>
        </w:numPr>
        <w:tabs>
          <w:tab w:pos="890" w:val="left" w:leader="none"/>
          <w:tab w:pos="891" w:val="left" w:leader="none"/>
          <w:tab w:pos="2544" w:val="left" w:leader="none"/>
        </w:tabs>
        <w:spacing w:line="290" w:lineRule="auto" w:before="1" w:after="0"/>
        <w:ind w:left="2545" w:right="318" w:hanging="2322"/>
        <w:jc w:val="left"/>
        <w:rPr>
          <w:sz w:val="18"/>
        </w:rPr>
      </w:pPr>
      <w:r>
        <w:rPr>
          <w:b/>
          <w:sz w:val="21"/>
        </w:rPr>
        <w:t>责任免除</w:t>
        <w:tab/>
      </w:r>
      <w:r>
        <w:rPr>
          <w:position w:val="1"/>
          <w:sz w:val="18"/>
          <w:shd w:fill="C0C0C0" w:color="auto" w:val="clear"/>
        </w:rPr>
        <w:t>被保险人因下列情形之一导致患本附加合同约定的重大疾病或特定少儿重大疾病的，本公</w:t>
      </w:r>
      <w:r>
        <w:rPr>
          <w:sz w:val="18"/>
          <w:shd w:fill="C0C0C0" w:color="auto" w:val="clear"/>
        </w:rPr>
        <w:t>司不承担保险责任：</w:t>
      </w:r>
    </w:p>
    <w:p>
      <w:pPr>
        <w:pStyle w:val="Heading3"/>
        <w:spacing w:before="38"/>
      </w:pPr>
      <w:r>
        <w:rPr>
          <w:shd w:fill="C0C0C0" w:color="auto" w:val="clear"/>
        </w:rPr>
        <w:t>1、 投保人对被保险人的故意杀害、故意伤害；</w:t>
      </w:r>
    </w:p>
    <w:p>
      <w:pPr>
        <w:spacing w:before="76"/>
        <w:ind w:left="2545" w:right="0" w:firstLine="0"/>
        <w:jc w:val="left"/>
        <w:rPr>
          <w:b/>
          <w:sz w:val="18"/>
        </w:rPr>
      </w:pPr>
      <w:r>
        <w:rPr>
          <w:b/>
          <w:sz w:val="18"/>
          <w:shd w:fill="C0C0C0" w:color="auto" w:val="clear"/>
        </w:rPr>
        <w:t>2、 被保险人故意犯罪或者抗拒依法采取的刑事强制措施；</w:t>
      </w:r>
    </w:p>
    <w:p>
      <w:pPr>
        <w:spacing w:before="76"/>
        <w:ind w:left="2545" w:right="0" w:firstLine="0"/>
        <w:jc w:val="left"/>
        <w:rPr>
          <w:b/>
          <w:sz w:val="18"/>
        </w:rPr>
      </w:pPr>
      <w:r>
        <w:rPr>
          <w:b/>
          <w:sz w:val="18"/>
          <w:shd w:fill="C0C0C0" w:color="auto" w:val="clear"/>
        </w:rPr>
        <w:t>3、被保险人故意自伤；</w:t>
      </w:r>
    </w:p>
    <w:p>
      <w:pPr>
        <w:spacing w:before="76"/>
        <w:ind w:left="2545" w:right="0" w:firstLine="0"/>
        <w:jc w:val="left"/>
        <w:rPr>
          <w:b/>
          <w:sz w:val="18"/>
        </w:rPr>
      </w:pPr>
      <w:r>
        <w:rPr>
          <w:b/>
          <w:spacing w:val="0"/>
          <w:w w:val="99"/>
          <w:sz w:val="18"/>
          <w:shd w:fill="C0C0C0" w:color="auto" w:val="clear"/>
        </w:rPr>
        <w:t>4</w:t>
      </w:r>
      <w:r>
        <w:rPr>
          <w:b/>
          <w:w w:val="99"/>
          <w:sz w:val="18"/>
          <w:shd w:fill="C0C0C0" w:color="auto" w:val="clear"/>
        </w:rPr>
        <w:t>、被保险人主动吸食或注射毒品</w:t>
      </w:r>
      <w:r>
        <w:rPr>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4</w:t>
      </w:r>
      <w:r>
        <w:rPr>
          <w:spacing w:val="-92"/>
          <w:sz w:val="18"/>
          <w:shd w:fill="C0C0C0" w:color="auto" w:val="clear"/>
        </w:rPr>
        <w:t>）</w:t>
      </w:r>
      <w:r>
        <w:rPr>
          <w:b/>
          <w:w w:val="99"/>
          <w:sz w:val="18"/>
          <w:shd w:fill="C0C0C0" w:color="auto" w:val="clear"/>
        </w:rPr>
        <w:t>；</w:t>
      </w:r>
    </w:p>
    <w:p>
      <w:pPr>
        <w:spacing w:before="76"/>
        <w:ind w:left="2545" w:right="0" w:firstLine="0"/>
        <w:jc w:val="left"/>
        <w:rPr>
          <w:b/>
          <w:sz w:val="18"/>
        </w:rPr>
      </w:pPr>
      <w:r>
        <w:rPr>
          <w:b/>
          <w:spacing w:val="0"/>
          <w:w w:val="99"/>
          <w:sz w:val="18"/>
          <w:shd w:fill="C0C0C0" w:color="auto" w:val="clear"/>
        </w:rPr>
        <w:t>5</w:t>
      </w:r>
      <w:r>
        <w:rPr>
          <w:b/>
          <w:w w:val="99"/>
          <w:sz w:val="18"/>
          <w:shd w:fill="C0C0C0" w:color="auto" w:val="clear"/>
        </w:rPr>
        <w:t>、</w:t>
      </w:r>
      <w:r>
        <w:rPr>
          <w:b/>
          <w:spacing w:val="33"/>
          <w:sz w:val="18"/>
          <w:shd w:fill="C0C0C0" w:color="auto" w:val="clear"/>
        </w:rPr>
        <w:t> </w:t>
      </w:r>
      <w:r>
        <w:rPr>
          <w:b/>
          <w:w w:val="99"/>
          <w:sz w:val="18"/>
          <w:shd w:fill="C0C0C0" w:color="auto" w:val="clear"/>
        </w:rPr>
        <w:t>被保险人酒后驾驶</w:t>
      </w:r>
      <w:r>
        <w:rPr>
          <w:sz w:val="18"/>
          <w:shd w:fill="C0C0C0" w:color="auto" w:val="clear"/>
        </w:rPr>
        <w:t>（</w:t>
      </w:r>
      <w:r>
        <w:rPr>
          <w:spacing w:val="-22"/>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5</w:t>
      </w:r>
      <w:r>
        <w:rPr>
          <w:spacing w:val="-92"/>
          <w:sz w:val="18"/>
          <w:shd w:fill="C0C0C0" w:color="auto" w:val="clear"/>
        </w:rPr>
        <w:t>）</w:t>
      </w:r>
      <w:r>
        <w:rPr>
          <w:b/>
          <w:spacing w:val="-1"/>
          <w:w w:val="99"/>
          <w:sz w:val="18"/>
          <w:shd w:fill="C0C0C0" w:color="auto" w:val="clear"/>
        </w:rPr>
        <w:t>、无合法有效驾驶证驾驶</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6</w:t>
      </w:r>
      <w:r>
        <w:rPr>
          <w:spacing w:val="-3"/>
          <w:sz w:val="18"/>
          <w:shd w:fill="C0C0C0" w:color="auto" w:val="clear"/>
        </w:rPr>
        <w:t>）</w:t>
      </w:r>
      <w:r>
        <w:rPr>
          <w:b/>
          <w:w w:val="99"/>
          <w:sz w:val="18"/>
          <w:shd w:fill="C0C0C0" w:color="auto" w:val="clear"/>
        </w:rPr>
        <w:t>或驾驶无有效行驶证</w:t>
      </w:r>
    </w:p>
    <w:p>
      <w:pPr>
        <w:spacing w:before="76"/>
        <w:ind w:left="2159" w:right="4402" w:firstLine="0"/>
        <w:jc w:val="center"/>
        <w:rPr>
          <w:b/>
          <w:sz w:val="18"/>
        </w:rPr>
      </w:pPr>
      <w:r>
        <w:rPr>
          <w:sz w:val="18"/>
          <w:shd w:fill="C0C0C0" w:color="auto" w:val="clear"/>
        </w:rPr>
        <w:t>（见 8.7）</w:t>
      </w:r>
      <w:r>
        <w:rPr>
          <w:b/>
          <w:sz w:val="18"/>
          <w:shd w:fill="C0C0C0" w:color="auto" w:val="clear"/>
        </w:rPr>
        <w:t>的机动车；</w:t>
      </w:r>
    </w:p>
    <w:p>
      <w:pPr>
        <w:spacing w:before="76"/>
        <w:ind w:left="2545" w:right="0" w:firstLine="0"/>
        <w:jc w:val="left"/>
        <w:rPr>
          <w:b/>
          <w:sz w:val="18"/>
        </w:rPr>
      </w:pPr>
      <w:r>
        <w:rPr>
          <w:b/>
          <w:spacing w:val="0"/>
          <w:w w:val="99"/>
          <w:sz w:val="18"/>
          <w:shd w:fill="C0C0C0" w:color="auto" w:val="clear"/>
        </w:rPr>
        <w:t>6</w:t>
      </w:r>
      <w:r>
        <w:rPr>
          <w:b/>
          <w:w w:val="99"/>
          <w:sz w:val="18"/>
          <w:shd w:fill="C0C0C0" w:color="auto" w:val="clear"/>
        </w:rPr>
        <w:t>、</w:t>
      </w:r>
      <w:r>
        <w:rPr>
          <w:b/>
          <w:spacing w:val="33"/>
          <w:sz w:val="18"/>
          <w:shd w:fill="C0C0C0" w:color="auto" w:val="clear"/>
        </w:rPr>
        <w:t> </w:t>
      </w:r>
      <w:r>
        <w:rPr>
          <w:b/>
          <w:w w:val="99"/>
          <w:sz w:val="18"/>
          <w:shd w:fill="C0C0C0" w:color="auto" w:val="clear"/>
        </w:rPr>
        <w:t>被保险人患艾滋病</w:t>
      </w:r>
      <w:r>
        <w:rPr>
          <w:sz w:val="18"/>
          <w:shd w:fill="C0C0C0" w:color="auto" w:val="clear"/>
        </w:rPr>
        <w:t>（</w:t>
      </w:r>
      <w:r>
        <w:rPr>
          <w:spacing w:val="-22"/>
          <w:sz w:val="18"/>
          <w:shd w:fill="C0C0C0" w:color="auto" w:val="clear"/>
        </w:rPr>
        <w:t>见 </w:t>
      </w:r>
      <w:r>
        <w:rPr>
          <w:spacing w:val="-2"/>
          <w:sz w:val="18"/>
          <w:shd w:fill="C0C0C0" w:color="auto" w:val="clear"/>
        </w:rPr>
        <w:t>8</w:t>
      </w:r>
      <w:r>
        <w:rPr>
          <w:spacing w:val="0"/>
          <w:sz w:val="18"/>
          <w:shd w:fill="C0C0C0" w:color="auto" w:val="clear"/>
        </w:rPr>
        <w:t>.8</w:t>
      </w:r>
      <w:r>
        <w:rPr>
          <w:spacing w:val="-3"/>
          <w:sz w:val="18"/>
          <w:shd w:fill="C0C0C0" w:color="auto" w:val="clear"/>
        </w:rPr>
        <w:t>）</w:t>
      </w:r>
      <w:r>
        <w:rPr>
          <w:b/>
          <w:w w:val="99"/>
          <w:sz w:val="18"/>
          <w:shd w:fill="C0C0C0" w:color="auto" w:val="clear"/>
        </w:rPr>
        <w:t>或感染艾滋病病毒</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.9</w:t>
      </w:r>
      <w:r>
        <w:rPr>
          <w:spacing w:val="-94"/>
          <w:sz w:val="18"/>
          <w:shd w:fill="C0C0C0" w:color="auto" w:val="clear"/>
        </w:rPr>
        <w:t>）</w:t>
      </w:r>
      <w:r>
        <w:rPr>
          <w:b/>
          <w:w w:val="99"/>
          <w:sz w:val="18"/>
          <w:shd w:fill="C0C0C0" w:color="auto" w:val="clear"/>
        </w:rPr>
        <w:t>（</w:t>
      </w:r>
      <w:r>
        <w:rPr>
          <w:b/>
          <w:spacing w:val="0"/>
          <w:w w:val="99"/>
          <w:sz w:val="18"/>
          <w:shd w:fill="C0C0C0" w:color="auto" w:val="clear"/>
        </w:rPr>
        <w:t>HI</w:t>
      </w:r>
      <w:r>
        <w:rPr>
          <w:b/>
          <w:w w:val="99"/>
          <w:sz w:val="18"/>
          <w:shd w:fill="C0C0C0" w:color="auto" w:val="clear"/>
        </w:rPr>
        <w:t>V</w:t>
      </w:r>
      <w:r>
        <w:rPr>
          <w:b/>
          <w:spacing w:val="-44"/>
          <w:sz w:val="18"/>
          <w:shd w:fill="C0C0C0" w:color="auto" w:val="clear"/>
        </w:rPr>
        <w:t> </w:t>
      </w:r>
      <w:r>
        <w:rPr>
          <w:b/>
          <w:w w:val="99"/>
          <w:sz w:val="18"/>
          <w:shd w:fill="C0C0C0" w:color="auto" w:val="clear"/>
        </w:rPr>
        <w:t>呈阳性</w:t>
      </w:r>
      <w:r>
        <w:rPr>
          <w:b/>
          <w:spacing w:val="-92"/>
          <w:w w:val="99"/>
          <w:sz w:val="18"/>
          <w:shd w:fill="C0C0C0" w:color="auto" w:val="clear"/>
        </w:rPr>
        <w:t>）</w:t>
      </w:r>
      <w:r>
        <w:rPr>
          <w:b/>
          <w:w w:val="99"/>
          <w:sz w:val="18"/>
          <w:shd w:fill="C0C0C0" w:color="auto" w:val="clear"/>
        </w:rPr>
        <w:t>；</w:t>
      </w:r>
    </w:p>
    <w:p>
      <w:pPr>
        <w:pStyle w:val="Heading3"/>
      </w:pPr>
      <w:r>
        <w:rPr>
          <w:shd w:fill="C0C0C0" w:color="auto" w:val="clear"/>
        </w:rPr>
        <w:t>7、 战争、军事冲突、暴乱或武装叛乱；</w:t>
      </w:r>
    </w:p>
    <w:p>
      <w:pPr>
        <w:spacing w:before="76"/>
        <w:ind w:left="2545" w:right="0" w:firstLine="0"/>
        <w:jc w:val="left"/>
        <w:rPr>
          <w:b/>
          <w:sz w:val="18"/>
        </w:rPr>
      </w:pPr>
      <w:r>
        <w:rPr>
          <w:b/>
          <w:sz w:val="18"/>
          <w:shd w:fill="C0C0C0" w:color="auto" w:val="clear"/>
        </w:rPr>
        <w:t>8、 核爆炸、核辐射或核污染；</w:t>
      </w:r>
    </w:p>
    <w:p>
      <w:pPr>
        <w:spacing w:line="316" w:lineRule="auto" w:before="76"/>
        <w:ind w:left="2941" w:right="352" w:hanging="396"/>
        <w:jc w:val="left"/>
        <w:rPr>
          <w:b/>
          <w:sz w:val="18"/>
        </w:rPr>
      </w:pPr>
      <w:r>
        <w:rPr>
          <w:b/>
          <w:spacing w:val="0"/>
          <w:w w:val="99"/>
          <w:sz w:val="18"/>
          <w:shd w:fill="C0C0C0" w:color="auto" w:val="clear"/>
        </w:rPr>
        <w:t>9</w:t>
      </w:r>
      <w:r>
        <w:rPr>
          <w:b/>
          <w:w w:val="99"/>
          <w:sz w:val="18"/>
          <w:shd w:fill="C0C0C0" w:color="auto" w:val="clear"/>
        </w:rPr>
        <w:t>、</w:t>
      </w:r>
      <w:r>
        <w:rPr>
          <w:b/>
          <w:sz w:val="18"/>
          <w:shd w:fill="C0C0C0" w:color="auto" w:val="clear"/>
        </w:rPr>
        <w:t> </w:t>
      </w:r>
      <w:r>
        <w:rPr>
          <w:b/>
          <w:w w:val="99"/>
          <w:sz w:val="18"/>
          <w:shd w:fill="C0C0C0" w:color="auto" w:val="clear"/>
        </w:rPr>
        <w:t>遗传性疾病</w:t>
      </w:r>
      <w:r>
        <w:rPr>
          <w:sz w:val="18"/>
          <w:shd w:fill="C0C0C0" w:color="auto" w:val="clear"/>
        </w:rPr>
        <w:t>（</w:t>
      </w:r>
      <w:r>
        <w:rPr>
          <w:spacing w:val="-23"/>
          <w:sz w:val="18"/>
          <w:shd w:fill="C0C0C0" w:color="auto" w:val="clear"/>
        </w:rPr>
        <w:t>见 </w:t>
      </w:r>
      <w:r>
        <w:rPr>
          <w:spacing w:val="-2"/>
          <w:sz w:val="18"/>
          <w:shd w:fill="C0C0C0" w:color="auto" w:val="clear"/>
        </w:rPr>
        <w:t>8</w:t>
      </w:r>
      <w:r>
        <w:rPr>
          <w:spacing w:val="0"/>
          <w:sz w:val="18"/>
          <w:shd w:fill="C0C0C0" w:color="auto" w:val="clear"/>
        </w:rPr>
        <w:t>.</w:t>
      </w:r>
      <w:r>
        <w:rPr>
          <w:spacing w:val="-2"/>
          <w:sz w:val="18"/>
          <w:shd w:fill="C0C0C0" w:color="auto" w:val="clear"/>
        </w:rPr>
        <w:t>1</w:t>
      </w:r>
      <w:r>
        <w:rPr>
          <w:spacing w:val="0"/>
          <w:sz w:val="18"/>
          <w:shd w:fill="C0C0C0" w:color="auto" w:val="clear"/>
        </w:rPr>
        <w:t>0</w:t>
      </w:r>
      <w:r>
        <w:rPr>
          <w:spacing w:val="-92"/>
          <w:sz w:val="18"/>
          <w:shd w:fill="C0C0C0" w:color="auto" w:val="clear"/>
        </w:rPr>
        <w:t>）</w:t>
      </w:r>
      <w:r>
        <w:rPr>
          <w:b/>
          <w:w w:val="99"/>
          <w:sz w:val="18"/>
          <w:shd w:fill="C0C0C0" w:color="auto" w:val="clear"/>
        </w:rPr>
        <w:t>，先天性畸形、变形或染色体异常</w:t>
      </w:r>
      <w:r>
        <w:rPr>
          <w:spacing w:val="-3"/>
          <w:sz w:val="18"/>
          <w:shd w:fill="C0C0C0" w:color="auto" w:val="clear"/>
        </w:rPr>
        <w:t>（</w:t>
      </w:r>
      <w:r>
        <w:rPr>
          <w:spacing w:val="-23"/>
          <w:sz w:val="18"/>
          <w:shd w:fill="C0C0C0" w:color="auto" w:val="clear"/>
        </w:rPr>
        <w:t>见 </w:t>
      </w:r>
      <w:r>
        <w:rPr>
          <w:spacing w:val="0"/>
          <w:sz w:val="18"/>
          <w:shd w:fill="C0C0C0" w:color="auto" w:val="clear"/>
        </w:rPr>
        <w:t>8</w:t>
      </w:r>
      <w:r>
        <w:rPr>
          <w:spacing w:val="-2"/>
          <w:sz w:val="18"/>
          <w:shd w:fill="C0C0C0" w:color="auto" w:val="clear"/>
        </w:rPr>
        <w:t>.</w:t>
      </w:r>
      <w:r>
        <w:rPr>
          <w:spacing w:val="0"/>
          <w:sz w:val="18"/>
          <w:shd w:fill="C0C0C0" w:color="auto" w:val="clear"/>
        </w:rPr>
        <w:t>11</w:t>
      </w:r>
      <w:r>
        <w:rPr>
          <w:spacing w:val="-92"/>
          <w:sz w:val="18"/>
          <w:shd w:fill="C0C0C0" w:color="auto" w:val="clear"/>
        </w:rPr>
        <w:t>）</w:t>
      </w:r>
      <w:r>
        <w:rPr>
          <w:b/>
          <w:w w:val="99"/>
          <w:sz w:val="18"/>
          <w:shd w:fill="C0C0C0" w:color="auto" w:val="clear"/>
        </w:rPr>
        <w:t>（本附加合同另</w:t>
      </w:r>
      <w:r>
        <w:rPr>
          <w:b/>
          <w:w w:val="95"/>
          <w:sz w:val="18"/>
          <w:shd w:fill="C0C0C0" w:color="auto" w:val="clear"/>
        </w:rPr>
        <w:t>有约定的除外</w:t>
      </w:r>
      <w:r>
        <w:rPr>
          <w:b/>
          <w:spacing w:val="-89"/>
          <w:w w:val="95"/>
          <w:sz w:val="18"/>
          <w:shd w:fill="C0C0C0" w:color="auto" w:val="clear"/>
        </w:rPr>
        <w:t>）</w:t>
      </w:r>
      <w:r>
        <w:rPr>
          <w:b/>
          <w:w w:val="95"/>
          <w:sz w:val="18"/>
          <w:shd w:fill="C0C0C0" w:color="auto" w:val="clear"/>
        </w:rPr>
        <w:t>。</w:t>
      </w:r>
    </w:p>
    <w:p>
      <w:pPr>
        <w:pStyle w:val="BodyText"/>
        <w:spacing w:line="316" w:lineRule="auto" w:before="18"/>
        <w:ind w:left="2545" w:right="318"/>
      </w:pPr>
      <w:r>
        <w:rPr>
          <w:shd w:fill="C0C0C0" w:color="auto" w:val="clear"/>
        </w:rPr>
        <w:t>因上述情形之一导致被保险人患本附加合同约定的重大疾病或特定少儿重大疾病的，本公司向您或其他权利人退还本附加合同的</w:t>
      </w:r>
      <w:r>
        <w:rPr>
          <w:b/>
          <w:spacing w:val="1"/>
          <w:w w:val="99"/>
          <w:shd w:fill="C0C0C0" w:color="auto" w:val="clear"/>
        </w:rPr>
        <w:t>现</w:t>
      </w:r>
      <w:r>
        <w:rPr>
          <w:b/>
          <w:spacing w:val="-187"/>
          <w:w w:val="99"/>
          <w:shd w:fill="C0C0C0" w:color="auto" w:val="clear"/>
        </w:rPr>
        <w:t>金</w:t>
      </w:r>
      <w:r>
        <w:rPr>
          <w:b/>
          <w:w w:val="99"/>
          <w:shd w:fill="C0C0C0" w:color="auto" w:val="clear"/>
        </w:rPr>
        <w:t>价值</w:t>
      </w:r>
      <w:r>
        <w:rPr>
          <w:shd w:fill="C0C0C0" w:color="auto" w:val="clear"/>
        </w:rPr>
        <w:t>（</w:t>
      </w:r>
      <w:r>
        <w:rPr>
          <w:spacing w:val="-24"/>
          <w:shd w:fill="C0C0C0" w:color="auto" w:val="clear"/>
        </w:rPr>
        <w:t>见 </w:t>
      </w:r>
      <w:r>
        <w:rPr>
          <w:spacing w:val="0"/>
          <w:shd w:fill="C0C0C0" w:color="auto" w:val="clear"/>
        </w:rPr>
        <w:t>8</w:t>
      </w:r>
      <w:r>
        <w:rPr>
          <w:spacing w:val="-2"/>
          <w:shd w:fill="C0C0C0" w:color="auto" w:val="clear"/>
        </w:rPr>
        <w:t>.</w:t>
      </w:r>
      <w:r>
        <w:rPr>
          <w:spacing w:val="0"/>
          <w:shd w:fill="C0C0C0" w:color="auto" w:val="clear"/>
        </w:rPr>
        <w:t>12</w:t>
      </w:r>
      <w:r>
        <w:rPr>
          <w:spacing w:val="-94"/>
          <w:shd w:fill="C0C0C0" w:color="auto" w:val="clear"/>
        </w:rPr>
        <w:t>）</w:t>
      </w:r>
      <w:r>
        <w:rPr>
          <w:shd w:fill="C0C0C0" w:color="auto" w:val="clear"/>
        </w:rPr>
        <w:t>，本附加合同终止。</w:t>
      </w:r>
    </w:p>
    <w:p>
      <w:pPr>
        <w:pStyle w:val="BodyText"/>
        <w:spacing w:before="9"/>
        <w:rPr>
          <w:sz w:val="22"/>
        </w:rPr>
      </w:pPr>
    </w:p>
    <w:p>
      <w:pPr>
        <w:tabs>
          <w:tab w:pos="890" w:val="left" w:leader="none"/>
        </w:tabs>
        <w:spacing w:before="0"/>
        <w:ind w:left="223" w:right="0" w:firstLine="0"/>
        <w:jc w:val="left"/>
        <w:rPr>
          <w:b/>
          <w:sz w:val="24"/>
        </w:rPr>
      </w:pPr>
      <w:r>
        <w:rPr/>
        <w:pict>
          <v:group style="position:absolute;margin-left:59.784pt;margin-top:28.159794pt;width:480.5pt;height:.5pt;mso-position-horizontal-relative:page;mso-position-vertical-relative:paragraph;z-index:1144;mso-wrap-distance-left:0;mso-wrap-distance-right:0" coordorigin="1196,563" coordsize="9610,10">
            <v:line style="position:absolute" from="1196,568" to="1863,568" stroked="true" strokeweight=".47998pt" strokecolor="#000000">
              <v:stroke dashstyle="solid"/>
            </v:line>
            <v:rect style="position:absolute;left:1862;top:563;width:10;height:10" filled="true" fillcolor="#000000" stroked="false">
              <v:fill type="solid"/>
            </v:rect>
            <v:line style="position:absolute" from="1872,568" to="3515,568" stroked="true" strokeweight=".47998pt" strokecolor="#000000">
              <v:stroke dashstyle="solid"/>
            </v:line>
            <v:rect style="position:absolute;left:3514;top:563;width:10;height:10" filled="true" fillcolor="#000000" stroked="false">
              <v:fill type="solid"/>
            </v:rect>
            <v:line style="position:absolute" from="3524,568" to="10805,568" stroked="true" strokeweight=".47998pt" strokecolor="#000000">
              <v:stroke dashstyle="solid"/>
            </v:line>
            <w10:wrap type="topAndBottom"/>
          </v:group>
        </w:pict>
      </w:r>
      <w:r>
        <w:rPr>
          <w:rFonts w:ascii="Arial" w:hAnsi="Arial" w:eastAsia="Arial"/>
          <w:b/>
          <w:position w:val="-3"/>
          <w:sz w:val="40"/>
        </w:rPr>
        <w:t></w:t>
        <w:tab/>
      </w:r>
      <w:r>
        <w:rPr>
          <w:b/>
          <w:w w:val="95"/>
          <w:sz w:val="24"/>
        </w:rPr>
        <w:t>如何申请豁免保险费</w:t>
      </w:r>
    </w:p>
    <w:p>
      <w:pPr>
        <w:pStyle w:val="BodyText"/>
        <w:spacing w:before="9"/>
        <w:rPr>
          <w:b/>
          <w:sz w:val="10"/>
        </w:rPr>
      </w:pPr>
    </w:p>
    <w:p>
      <w:pPr>
        <w:spacing w:after="0"/>
        <w:rPr>
          <w:sz w:val="10"/>
        </w:rPr>
        <w:sectPr>
          <w:pgSz w:w="11910" w:h="16840"/>
          <w:pgMar w:header="877" w:footer="976" w:top="1100" w:bottom="1160" w:left="1080" w:right="940"/>
        </w:sectPr>
      </w:pPr>
    </w:p>
    <w:p>
      <w:pPr>
        <w:pStyle w:val="Heading2"/>
        <w:numPr>
          <w:ilvl w:val="1"/>
          <w:numId w:val="4"/>
        </w:numPr>
        <w:tabs>
          <w:tab w:pos="890" w:val="left" w:leader="none"/>
          <w:tab w:pos="891" w:val="left" w:leader="none"/>
        </w:tabs>
        <w:spacing w:line="240" w:lineRule="auto" w:before="37" w:after="0"/>
        <w:ind w:left="2545" w:right="0" w:hanging="2322"/>
        <w:jc w:val="left"/>
      </w:pPr>
      <w:r>
        <w:rPr>
          <w:spacing w:val="25"/>
        </w:rPr>
        <w:t>豁免保险费的</w:t>
      </w:r>
    </w:p>
    <w:p>
      <w:pPr>
        <w:spacing w:before="37"/>
        <w:ind w:left="872" w:right="994" w:firstLine="0"/>
        <w:jc w:val="center"/>
        <w:rPr>
          <w:b/>
          <w:sz w:val="21"/>
        </w:rPr>
      </w:pPr>
      <w:r>
        <w:rPr>
          <w:b/>
          <w:sz w:val="21"/>
        </w:rPr>
        <w:t>申请</w:t>
      </w:r>
    </w:p>
    <w:p>
      <w:pPr>
        <w:pStyle w:val="BodyText"/>
        <w:spacing w:before="57"/>
        <w:ind w:left="176"/>
      </w:pPr>
      <w:r>
        <w:rPr/>
        <w:br w:type="column"/>
      </w:r>
      <w:r>
        <w:rPr/>
        <w:t>1、重大疾病豁免保险费</w:t>
      </w:r>
    </w:p>
    <w:p>
      <w:pPr>
        <w:pStyle w:val="BodyText"/>
        <w:spacing w:line="316" w:lineRule="auto" w:before="76"/>
        <w:ind w:left="176" w:right="318"/>
      </w:pPr>
      <w:r>
        <w:rPr/>
        <w:t>您、被保险人或主险合同受益人申请重大疾病豁免保险费时，须填写豁免保险费申请书， 并提交下列证明材料：</w:t>
      </w:r>
    </w:p>
    <w:p>
      <w:pPr>
        <w:pStyle w:val="ListParagraph"/>
        <w:numPr>
          <w:ilvl w:val="0"/>
          <w:numId w:val="5"/>
        </w:numPr>
        <w:tabs>
          <w:tab w:pos="590" w:val="left" w:leader="none"/>
        </w:tabs>
        <w:spacing w:line="240" w:lineRule="auto" w:before="19" w:after="0"/>
        <w:ind w:left="589" w:right="0" w:hanging="413"/>
        <w:jc w:val="left"/>
        <w:rPr>
          <w:sz w:val="18"/>
        </w:rPr>
      </w:pPr>
      <w:r>
        <w:rPr>
          <w:sz w:val="18"/>
        </w:rPr>
        <w:t>保险合同；</w:t>
      </w:r>
    </w:p>
    <w:p>
      <w:pPr>
        <w:pStyle w:val="ListParagraph"/>
        <w:numPr>
          <w:ilvl w:val="0"/>
          <w:numId w:val="5"/>
        </w:numPr>
        <w:tabs>
          <w:tab w:pos="590" w:val="left" w:leader="none"/>
        </w:tabs>
        <w:spacing w:line="240" w:lineRule="auto" w:before="76" w:after="0"/>
        <w:ind w:left="589" w:right="0" w:hanging="413"/>
        <w:jc w:val="left"/>
        <w:rPr>
          <w:sz w:val="18"/>
        </w:rPr>
      </w:pPr>
      <w:r>
        <w:rPr>
          <w:sz w:val="18"/>
        </w:rPr>
        <w:t>申请人的有效身份证件；</w:t>
      </w:r>
    </w:p>
    <w:p>
      <w:pPr>
        <w:pStyle w:val="ListParagraph"/>
        <w:numPr>
          <w:ilvl w:val="0"/>
          <w:numId w:val="5"/>
        </w:numPr>
        <w:tabs>
          <w:tab w:pos="590" w:val="left" w:leader="none"/>
        </w:tabs>
        <w:spacing w:line="316" w:lineRule="auto" w:before="76" w:after="0"/>
        <w:ind w:left="589" w:right="268" w:hanging="413"/>
        <w:jc w:val="left"/>
        <w:rPr>
          <w:sz w:val="18"/>
        </w:rPr>
      </w:pPr>
      <w:r>
        <w:rPr>
          <w:spacing w:val="-1"/>
          <w:sz w:val="18"/>
        </w:rPr>
        <w:t>本公司指定或认可的医疗机构出具的附有病理检验、血液检验及其它与确诊疾病必须的科学方法检验报告的疾病诊断证明书；</w:t>
      </w:r>
    </w:p>
    <w:p>
      <w:pPr>
        <w:pStyle w:val="ListParagraph"/>
        <w:numPr>
          <w:ilvl w:val="0"/>
          <w:numId w:val="5"/>
        </w:numPr>
        <w:tabs>
          <w:tab w:pos="597" w:val="left" w:leader="none"/>
        </w:tabs>
        <w:spacing w:line="240" w:lineRule="auto" w:before="19" w:after="0"/>
        <w:ind w:left="596" w:right="0" w:hanging="420"/>
        <w:jc w:val="left"/>
        <w:rPr>
          <w:sz w:val="18"/>
        </w:rPr>
      </w:pPr>
      <w:r>
        <w:rPr>
          <w:sz w:val="18"/>
        </w:rPr>
        <w:t>所能提供的与确认保险事故的性质、原因等有关的其它证明文件和资料。</w:t>
      </w:r>
    </w:p>
    <w:p>
      <w:pPr>
        <w:pStyle w:val="BodyText"/>
        <w:spacing w:before="1"/>
        <w:rPr>
          <w:sz w:val="23"/>
        </w:rPr>
      </w:pPr>
    </w:p>
    <w:p>
      <w:pPr>
        <w:pStyle w:val="BodyText"/>
        <w:ind w:left="176"/>
      </w:pPr>
      <w:r>
        <w:rPr/>
        <w:t>2、如委托他人代为申请，还应提供授权委托书及受托人的有效身份证件。</w:t>
      </w:r>
    </w:p>
    <w:p>
      <w:pPr>
        <w:pStyle w:val="BodyText"/>
        <w:spacing w:before="2"/>
        <w:rPr>
          <w:sz w:val="23"/>
        </w:rPr>
      </w:pPr>
    </w:p>
    <w:p>
      <w:pPr>
        <w:pStyle w:val="BodyText"/>
        <w:ind w:left="176"/>
      </w:pPr>
      <w:r>
        <w:rPr/>
        <w:t>以上证明和资料不完整的，本公司将及时一次性通知申请人补充提供有关证明和资料。</w:t>
      </w:r>
    </w:p>
    <w:p>
      <w:pPr>
        <w:spacing w:after="0"/>
        <w:sectPr>
          <w:type w:val="continuous"/>
          <w:pgSz w:w="11910" w:h="16840"/>
          <w:pgMar w:top="1040" w:bottom="1160" w:left="1080" w:right="940"/>
          <w:cols w:num="2" w:equalWidth="0">
            <w:col w:w="2329" w:space="40"/>
            <w:col w:w="7521"/>
          </w:cols>
        </w:sectPr>
      </w:pPr>
    </w:p>
    <w:p>
      <w:pPr>
        <w:pStyle w:val="BodyText"/>
        <w:spacing w:before="8"/>
      </w:pPr>
    </w:p>
    <w:p>
      <w:pPr>
        <w:pStyle w:val="ListParagraph"/>
        <w:numPr>
          <w:ilvl w:val="1"/>
          <w:numId w:val="4"/>
        </w:numPr>
        <w:tabs>
          <w:tab w:pos="890" w:val="left" w:leader="none"/>
          <w:tab w:pos="891" w:val="left" w:leader="none"/>
          <w:tab w:pos="2544" w:val="left" w:leader="none"/>
        </w:tabs>
        <w:spacing w:line="290" w:lineRule="auto" w:before="37" w:after="0"/>
        <w:ind w:left="2545" w:right="318" w:hanging="2322"/>
        <w:jc w:val="left"/>
        <w:rPr>
          <w:sz w:val="18"/>
        </w:rPr>
      </w:pPr>
      <w:r>
        <w:rPr>
          <w:b/>
          <w:sz w:val="21"/>
        </w:rPr>
        <w:t>欠款的扣除</w:t>
        <w:tab/>
      </w:r>
      <w:r>
        <w:rPr>
          <w:position w:val="1"/>
          <w:sz w:val="18"/>
        </w:rPr>
        <w:t>本公司豁免保险费、返还现金价值或保险费时，如被豁免保费的保险合同有借款、欠交保</w:t>
      </w:r>
      <w:r>
        <w:rPr>
          <w:sz w:val="18"/>
        </w:rPr>
        <w:t>险费，您应当先补交未清偿的保险单借款及应付</w:t>
      </w:r>
      <w:r>
        <w:rPr>
          <w:b/>
          <w:spacing w:val="1"/>
          <w:w w:val="99"/>
          <w:sz w:val="18"/>
        </w:rPr>
        <w:t>利</w:t>
      </w:r>
      <w:r>
        <w:rPr>
          <w:b/>
          <w:spacing w:val="2"/>
          <w:w w:val="99"/>
          <w:sz w:val="18"/>
        </w:rPr>
        <w:t>息</w:t>
      </w:r>
      <w:r>
        <w:rPr>
          <w:spacing w:val="-3"/>
          <w:sz w:val="18"/>
        </w:rPr>
        <w:t>（</w:t>
      </w:r>
      <w:r>
        <w:rPr>
          <w:sz w:val="18"/>
        </w:rPr>
        <w:t>见</w:t>
      </w:r>
      <w:r>
        <w:rPr>
          <w:spacing w:val="-45"/>
          <w:sz w:val="18"/>
        </w:rPr>
        <w:t> </w:t>
      </w:r>
      <w:r>
        <w:rPr>
          <w:spacing w:val="-2"/>
          <w:sz w:val="18"/>
        </w:rPr>
        <w:t>8.</w:t>
      </w:r>
      <w:r>
        <w:rPr>
          <w:spacing w:val="0"/>
          <w:sz w:val="18"/>
        </w:rPr>
        <w:t>13</w:t>
      </w:r>
      <w:r>
        <w:rPr>
          <w:spacing w:val="-92"/>
          <w:sz w:val="18"/>
        </w:rPr>
        <w:t>）</w:t>
      </w:r>
      <w:r>
        <w:rPr>
          <w:sz w:val="18"/>
        </w:rPr>
        <w:t>、欠交的保险费。</w:t>
      </w:r>
    </w:p>
    <w:p>
      <w:pPr>
        <w:pStyle w:val="BodyText"/>
        <w:spacing w:before="10"/>
      </w:pPr>
    </w:p>
    <w:p>
      <w:pPr>
        <w:pStyle w:val="ListParagraph"/>
        <w:numPr>
          <w:ilvl w:val="1"/>
          <w:numId w:val="4"/>
        </w:numPr>
        <w:tabs>
          <w:tab w:pos="890" w:val="left" w:leader="none"/>
          <w:tab w:pos="891" w:val="left" w:leader="none"/>
          <w:tab w:pos="2544" w:val="left" w:leader="none"/>
        </w:tabs>
        <w:spacing w:line="290" w:lineRule="auto" w:before="0" w:after="0"/>
        <w:ind w:left="2545" w:right="320" w:hanging="2322"/>
        <w:jc w:val="left"/>
        <w:rPr>
          <w:sz w:val="18"/>
        </w:rPr>
      </w:pPr>
      <w:r>
        <w:rPr>
          <w:b/>
          <w:sz w:val="21"/>
        </w:rPr>
        <w:t>诉讼时效</w:t>
        <w:tab/>
      </w:r>
      <w:r>
        <w:rPr>
          <w:position w:val="1"/>
          <w:sz w:val="18"/>
        </w:rPr>
        <w:t>本附加合同的申请人向本公司请求豁免保险费的诉讼时效期间为二年，自其知道或者应当</w:t>
      </w:r>
      <w:r>
        <w:rPr>
          <w:sz w:val="18"/>
        </w:rPr>
        <w:t>知道保险事故发生之日起计算。</w:t>
      </w:r>
    </w:p>
    <w:p>
      <w:pPr>
        <w:spacing w:after="0" w:line="290" w:lineRule="auto"/>
        <w:jc w:val="left"/>
        <w:rPr>
          <w:sz w:val="18"/>
        </w:rPr>
        <w:sectPr>
          <w:type w:val="continuous"/>
          <w:pgSz w:w="11910" w:h="16840"/>
          <w:pgMar w:top="1040" w:bottom="1160" w:left="1080" w:right="940"/>
        </w:sectPr>
      </w:pPr>
    </w:p>
    <w:p>
      <w:pPr>
        <w:pStyle w:val="BodyText"/>
        <w:rPr>
          <w:rFonts w:ascii="Times New Roman"/>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0"/>
        <w:gridCol w:w="1700"/>
        <w:gridCol w:w="7289"/>
        <w:gridCol w:w="56"/>
      </w:tblGrid>
      <w:tr>
        <w:trPr>
          <w:trHeight w:val="923" w:hRule="atLeast"/>
        </w:trPr>
        <w:tc>
          <w:tcPr>
            <w:tcW w:w="620" w:type="dxa"/>
            <w:tcBorders>
              <w:top w:val="single" w:sz="6" w:space="0" w:color="000000"/>
              <w:bottom w:val="single" w:sz="4" w:space="0" w:color="000000"/>
            </w:tcBorders>
          </w:tcPr>
          <w:p>
            <w:pPr>
              <w:pStyle w:val="TableParagraph"/>
              <w:spacing w:before="364"/>
              <w:ind w:left="107"/>
              <w:rPr>
                <w:rFonts w:ascii="Arial" w:hAnsi="Arial"/>
                <w:b/>
                <w:sz w:val="40"/>
              </w:rPr>
            </w:pPr>
            <w:r>
              <w:rPr>
                <w:rFonts w:ascii="Arial" w:hAnsi="Arial"/>
                <w:b/>
                <w:w w:val="119"/>
                <w:sz w:val="40"/>
              </w:rPr>
              <w:t></w:t>
            </w:r>
          </w:p>
        </w:tc>
        <w:tc>
          <w:tcPr>
            <w:tcW w:w="9045" w:type="dxa"/>
            <w:gridSpan w:val="3"/>
            <w:tcBorders>
              <w:top w:val="single" w:sz="6" w:space="0" w:color="000000"/>
              <w:bottom w:val="single" w:sz="4" w:space="0" w:color="000000"/>
            </w:tcBorders>
          </w:tcPr>
          <w:p>
            <w:pPr>
              <w:pStyle w:val="TableParagraph"/>
              <w:rPr>
                <w:rFonts w:ascii="Times New Roman"/>
                <w:sz w:val="24"/>
              </w:rPr>
            </w:pPr>
          </w:p>
          <w:p>
            <w:pPr>
              <w:pStyle w:val="TableParagraph"/>
              <w:spacing w:before="140"/>
              <w:ind w:left="155"/>
              <w:rPr>
                <w:b/>
                <w:sz w:val="24"/>
              </w:rPr>
            </w:pPr>
            <w:r>
              <w:rPr>
                <w:b/>
                <w:w w:val="95"/>
                <w:sz w:val="24"/>
              </w:rPr>
              <w:t>如何交付保险费</w:t>
            </w:r>
          </w:p>
        </w:tc>
      </w:tr>
      <w:tr>
        <w:trPr>
          <w:trHeight w:val="667" w:hRule="atLeast"/>
        </w:trPr>
        <w:tc>
          <w:tcPr>
            <w:tcW w:w="620" w:type="dxa"/>
            <w:tcBorders>
              <w:top w:val="single" w:sz="4" w:space="0" w:color="000000"/>
            </w:tcBorders>
          </w:tcPr>
          <w:p>
            <w:pPr>
              <w:pStyle w:val="TableParagraph"/>
              <w:spacing w:before="7"/>
              <w:rPr>
                <w:rFonts w:ascii="Times New Roman"/>
                <w:sz w:val="17"/>
              </w:rPr>
            </w:pPr>
          </w:p>
          <w:p>
            <w:pPr>
              <w:pStyle w:val="TableParagraph"/>
              <w:spacing w:before="1"/>
              <w:ind w:left="107"/>
              <w:rPr>
                <w:b/>
                <w:sz w:val="21"/>
              </w:rPr>
            </w:pPr>
            <w:r>
              <w:rPr>
                <w:b/>
                <w:sz w:val="21"/>
              </w:rPr>
              <w:t>4.1</w:t>
            </w:r>
          </w:p>
        </w:tc>
        <w:tc>
          <w:tcPr>
            <w:tcW w:w="1700" w:type="dxa"/>
            <w:tcBorders>
              <w:top w:val="single" w:sz="4" w:space="0" w:color="000000"/>
            </w:tcBorders>
          </w:tcPr>
          <w:p>
            <w:pPr>
              <w:pStyle w:val="TableParagraph"/>
              <w:spacing w:before="7"/>
              <w:rPr>
                <w:rFonts w:ascii="Times New Roman"/>
                <w:sz w:val="17"/>
              </w:rPr>
            </w:pPr>
          </w:p>
          <w:p>
            <w:pPr>
              <w:pStyle w:val="TableParagraph"/>
              <w:spacing w:before="1"/>
              <w:ind w:left="155"/>
              <w:rPr>
                <w:b/>
                <w:sz w:val="21"/>
              </w:rPr>
            </w:pPr>
            <w:r>
              <w:rPr>
                <w:b/>
                <w:sz w:val="21"/>
              </w:rPr>
              <w:t>保险费的交付</w:t>
            </w:r>
          </w:p>
        </w:tc>
        <w:tc>
          <w:tcPr>
            <w:tcW w:w="7289" w:type="dxa"/>
            <w:tcBorders>
              <w:top w:val="single" w:sz="4" w:space="0" w:color="000000"/>
            </w:tcBorders>
          </w:tcPr>
          <w:p>
            <w:pPr>
              <w:pStyle w:val="TableParagraph"/>
              <w:spacing w:before="5"/>
              <w:rPr>
                <w:rFonts w:ascii="Times New Roman"/>
                <w:sz w:val="19"/>
              </w:rPr>
            </w:pPr>
          </w:p>
          <w:p>
            <w:pPr>
              <w:pStyle w:val="TableParagraph"/>
              <w:ind w:left="109"/>
              <w:rPr>
                <w:sz w:val="18"/>
              </w:rPr>
            </w:pPr>
            <w:r>
              <w:rPr>
                <w:sz w:val="18"/>
              </w:rPr>
              <w:t>保险费详见费率表，本附加合同的交费期间与保险期间一致。</w:t>
            </w:r>
          </w:p>
        </w:tc>
        <w:tc>
          <w:tcPr>
            <w:tcW w:w="56" w:type="dxa"/>
          </w:tcPr>
          <w:p>
            <w:pPr>
              <w:pStyle w:val="TableParagraph"/>
              <w:rPr>
                <w:rFonts w:ascii="Times New Roman"/>
                <w:sz w:val="18"/>
              </w:rPr>
            </w:pPr>
          </w:p>
        </w:tc>
      </w:tr>
      <w:tr>
        <w:trPr>
          <w:trHeight w:val="711" w:hRule="atLeast"/>
        </w:trPr>
        <w:tc>
          <w:tcPr>
            <w:tcW w:w="620" w:type="dxa"/>
            <w:tcBorders>
              <w:bottom w:val="single" w:sz="4" w:space="0" w:color="000000"/>
            </w:tcBorders>
          </w:tcPr>
          <w:p>
            <w:pPr>
              <w:pStyle w:val="TableParagraph"/>
              <w:spacing w:before="152"/>
              <w:ind w:left="107"/>
              <w:rPr>
                <w:rFonts w:ascii="Arial" w:hAnsi="Arial"/>
                <w:b/>
                <w:sz w:val="40"/>
              </w:rPr>
            </w:pPr>
            <w:r>
              <w:rPr>
                <w:rFonts w:ascii="Arial" w:hAnsi="Arial"/>
                <w:b/>
                <w:w w:val="119"/>
                <w:sz w:val="40"/>
              </w:rPr>
              <w:t></w:t>
            </w:r>
          </w:p>
        </w:tc>
        <w:tc>
          <w:tcPr>
            <w:tcW w:w="1700" w:type="dxa"/>
            <w:tcBorders>
              <w:bottom w:val="single" w:sz="4" w:space="0" w:color="000000"/>
            </w:tcBorders>
          </w:tcPr>
          <w:p>
            <w:pPr>
              <w:pStyle w:val="TableParagraph"/>
              <w:spacing w:before="204"/>
              <w:ind w:left="155"/>
              <w:rPr>
                <w:b/>
                <w:sz w:val="24"/>
              </w:rPr>
            </w:pPr>
            <w:r>
              <w:rPr>
                <w:b/>
                <w:w w:val="95"/>
                <w:sz w:val="24"/>
              </w:rPr>
              <w:t>现金价值权益</w:t>
            </w:r>
          </w:p>
        </w:tc>
        <w:tc>
          <w:tcPr>
            <w:tcW w:w="7289" w:type="dxa"/>
            <w:tcBorders>
              <w:bottom w:val="single" w:sz="4" w:space="0" w:color="000000"/>
            </w:tcBorders>
          </w:tcPr>
          <w:p>
            <w:pPr>
              <w:pStyle w:val="TableParagraph"/>
              <w:rPr>
                <w:rFonts w:ascii="Times New Roman"/>
                <w:sz w:val="18"/>
              </w:rPr>
            </w:pPr>
          </w:p>
        </w:tc>
        <w:tc>
          <w:tcPr>
            <w:tcW w:w="56" w:type="dxa"/>
          </w:tcPr>
          <w:p>
            <w:pPr>
              <w:pStyle w:val="TableParagraph"/>
              <w:rPr>
                <w:rFonts w:ascii="Times New Roman"/>
                <w:sz w:val="18"/>
              </w:rPr>
            </w:pPr>
          </w:p>
        </w:tc>
      </w:tr>
      <w:tr>
        <w:trPr>
          <w:trHeight w:val="946" w:hRule="atLeast"/>
        </w:trPr>
        <w:tc>
          <w:tcPr>
            <w:tcW w:w="620" w:type="dxa"/>
            <w:tcBorders>
              <w:top w:val="single" w:sz="4" w:space="0" w:color="000000"/>
            </w:tcBorders>
          </w:tcPr>
          <w:p>
            <w:pPr>
              <w:pStyle w:val="TableParagraph"/>
              <w:spacing w:before="10"/>
              <w:rPr>
                <w:rFonts w:ascii="Times New Roman"/>
                <w:sz w:val="17"/>
              </w:rPr>
            </w:pPr>
          </w:p>
          <w:p>
            <w:pPr>
              <w:pStyle w:val="TableParagraph"/>
              <w:ind w:left="107"/>
              <w:rPr>
                <w:b/>
                <w:sz w:val="21"/>
              </w:rPr>
            </w:pPr>
            <w:r>
              <w:rPr>
                <w:b/>
                <w:sz w:val="21"/>
              </w:rPr>
              <w:t>5.2</w:t>
            </w:r>
          </w:p>
        </w:tc>
        <w:tc>
          <w:tcPr>
            <w:tcW w:w="1700" w:type="dxa"/>
            <w:tcBorders>
              <w:top w:val="single" w:sz="4" w:space="0" w:color="000000"/>
            </w:tcBorders>
          </w:tcPr>
          <w:p>
            <w:pPr>
              <w:pStyle w:val="TableParagraph"/>
              <w:spacing w:before="10"/>
              <w:rPr>
                <w:rFonts w:ascii="Times New Roman"/>
                <w:sz w:val="17"/>
              </w:rPr>
            </w:pPr>
          </w:p>
          <w:p>
            <w:pPr>
              <w:pStyle w:val="TableParagraph"/>
              <w:ind w:left="155"/>
              <w:rPr>
                <w:b/>
                <w:sz w:val="21"/>
              </w:rPr>
            </w:pPr>
            <w:r>
              <w:rPr>
                <w:b/>
                <w:sz w:val="21"/>
              </w:rPr>
              <w:t>自动垫交</w:t>
            </w:r>
          </w:p>
        </w:tc>
        <w:tc>
          <w:tcPr>
            <w:tcW w:w="7289" w:type="dxa"/>
            <w:tcBorders>
              <w:top w:val="single" w:sz="4" w:space="0" w:color="000000"/>
            </w:tcBorders>
          </w:tcPr>
          <w:p>
            <w:pPr>
              <w:pStyle w:val="TableParagraph"/>
              <w:spacing w:before="7"/>
              <w:rPr>
                <w:rFonts w:ascii="Times New Roman"/>
                <w:sz w:val="19"/>
              </w:rPr>
            </w:pPr>
          </w:p>
          <w:p>
            <w:pPr>
              <w:pStyle w:val="TableParagraph"/>
              <w:spacing w:line="316" w:lineRule="auto" w:before="1"/>
              <w:ind w:left="109" w:right="157"/>
              <w:rPr>
                <w:sz w:val="18"/>
              </w:rPr>
            </w:pPr>
            <w:r>
              <w:rPr>
                <w:sz w:val="18"/>
              </w:rPr>
              <w:t>主险合同进行保费自动垫交时，本附加合同应同时进行保费自动垫交。本附加合同不能单独进行保费自动垫交。</w:t>
            </w:r>
          </w:p>
        </w:tc>
        <w:tc>
          <w:tcPr>
            <w:tcW w:w="56" w:type="dxa"/>
          </w:tcPr>
          <w:p>
            <w:pPr>
              <w:pStyle w:val="TableParagraph"/>
              <w:rPr>
                <w:rFonts w:ascii="Times New Roman"/>
                <w:sz w:val="18"/>
              </w:rPr>
            </w:pPr>
          </w:p>
        </w:tc>
      </w:tr>
      <w:tr>
        <w:trPr>
          <w:trHeight w:val="876" w:hRule="atLeast"/>
        </w:trPr>
        <w:tc>
          <w:tcPr>
            <w:tcW w:w="620" w:type="dxa"/>
          </w:tcPr>
          <w:p>
            <w:pPr>
              <w:pStyle w:val="TableParagraph"/>
              <w:spacing w:before="109"/>
              <w:ind w:left="107"/>
              <w:rPr>
                <w:b/>
                <w:sz w:val="21"/>
              </w:rPr>
            </w:pPr>
            <w:r>
              <w:rPr>
                <w:b/>
                <w:sz w:val="21"/>
              </w:rPr>
              <w:t>5.3</w:t>
            </w:r>
          </w:p>
        </w:tc>
        <w:tc>
          <w:tcPr>
            <w:tcW w:w="1700" w:type="dxa"/>
          </w:tcPr>
          <w:p>
            <w:pPr>
              <w:pStyle w:val="TableParagraph"/>
              <w:spacing w:before="109"/>
              <w:ind w:left="155"/>
              <w:rPr>
                <w:b/>
                <w:sz w:val="21"/>
              </w:rPr>
            </w:pPr>
            <w:r>
              <w:rPr>
                <w:b/>
                <w:sz w:val="21"/>
              </w:rPr>
              <w:t>保险单借款</w:t>
            </w:r>
          </w:p>
        </w:tc>
        <w:tc>
          <w:tcPr>
            <w:tcW w:w="7289" w:type="dxa"/>
          </w:tcPr>
          <w:p>
            <w:pPr>
              <w:pStyle w:val="TableParagraph"/>
              <w:spacing w:line="316" w:lineRule="auto" w:before="129"/>
              <w:ind w:left="109" w:right="157"/>
              <w:rPr>
                <w:sz w:val="18"/>
              </w:rPr>
            </w:pPr>
            <w:r>
              <w:rPr>
                <w:sz w:val="18"/>
              </w:rPr>
              <w:t>您对主险合同申请保单借款时，本附加合同应同时进行保单借款，借款比例和利息计算方式与主险一致。您不能单独对本附加合同进行保单借款。</w:t>
            </w:r>
          </w:p>
        </w:tc>
        <w:tc>
          <w:tcPr>
            <w:tcW w:w="56" w:type="dxa"/>
          </w:tcPr>
          <w:p>
            <w:pPr>
              <w:pStyle w:val="TableParagraph"/>
              <w:rPr>
                <w:rFonts w:ascii="Times New Roman"/>
                <w:sz w:val="18"/>
              </w:rPr>
            </w:pPr>
          </w:p>
        </w:tc>
      </w:tr>
      <w:tr>
        <w:trPr>
          <w:trHeight w:val="721" w:hRule="atLeast"/>
        </w:trPr>
        <w:tc>
          <w:tcPr>
            <w:tcW w:w="620" w:type="dxa"/>
            <w:tcBorders>
              <w:bottom w:val="single" w:sz="4" w:space="0" w:color="000000"/>
            </w:tcBorders>
          </w:tcPr>
          <w:p>
            <w:pPr>
              <w:pStyle w:val="TableParagraph"/>
              <w:spacing w:before="162"/>
              <w:ind w:left="107"/>
              <w:rPr>
                <w:rFonts w:ascii="Arial" w:hAnsi="Arial"/>
                <w:b/>
                <w:sz w:val="40"/>
              </w:rPr>
            </w:pPr>
            <w:r>
              <w:rPr>
                <w:rFonts w:ascii="Arial" w:hAnsi="Arial"/>
                <w:b/>
                <w:w w:val="119"/>
                <w:sz w:val="40"/>
              </w:rPr>
              <w:t></w:t>
            </w:r>
          </w:p>
        </w:tc>
        <w:tc>
          <w:tcPr>
            <w:tcW w:w="9045" w:type="dxa"/>
            <w:gridSpan w:val="3"/>
            <w:tcBorders>
              <w:bottom w:val="single" w:sz="4" w:space="0" w:color="000000"/>
            </w:tcBorders>
          </w:tcPr>
          <w:p>
            <w:pPr>
              <w:pStyle w:val="TableParagraph"/>
              <w:spacing w:before="213"/>
              <w:ind w:left="155"/>
              <w:rPr>
                <w:b/>
                <w:sz w:val="24"/>
              </w:rPr>
            </w:pPr>
            <w:r>
              <w:rPr>
                <w:b/>
                <w:w w:val="95"/>
                <w:sz w:val="24"/>
              </w:rPr>
              <w:t>如何解除保险合同</w:t>
            </w:r>
          </w:p>
        </w:tc>
      </w:tr>
      <w:tr>
        <w:trPr>
          <w:trHeight w:val="3154" w:hRule="atLeast"/>
        </w:trPr>
        <w:tc>
          <w:tcPr>
            <w:tcW w:w="620" w:type="dxa"/>
            <w:tcBorders>
              <w:top w:val="single" w:sz="4" w:space="0" w:color="000000"/>
            </w:tcBorders>
          </w:tcPr>
          <w:p>
            <w:pPr>
              <w:pStyle w:val="TableParagraph"/>
              <w:spacing w:before="7"/>
              <w:rPr>
                <w:rFonts w:ascii="Times New Roman"/>
                <w:sz w:val="17"/>
              </w:rPr>
            </w:pPr>
          </w:p>
          <w:p>
            <w:pPr>
              <w:pStyle w:val="TableParagraph"/>
              <w:spacing w:before="1"/>
              <w:ind w:left="107"/>
              <w:rPr>
                <w:b/>
                <w:sz w:val="21"/>
              </w:rPr>
            </w:pPr>
            <w:r>
              <w:rPr>
                <w:b/>
                <w:sz w:val="21"/>
              </w:rPr>
              <w:t>6.1</w:t>
            </w:r>
          </w:p>
        </w:tc>
        <w:tc>
          <w:tcPr>
            <w:tcW w:w="1700" w:type="dxa"/>
            <w:tcBorders>
              <w:top w:val="single" w:sz="4" w:space="0" w:color="000000"/>
            </w:tcBorders>
          </w:tcPr>
          <w:p>
            <w:pPr>
              <w:pStyle w:val="TableParagraph"/>
              <w:spacing w:before="7"/>
              <w:rPr>
                <w:rFonts w:ascii="Times New Roman"/>
                <w:sz w:val="17"/>
              </w:rPr>
            </w:pPr>
          </w:p>
          <w:p>
            <w:pPr>
              <w:pStyle w:val="TableParagraph"/>
              <w:spacing w:line="273" w:lineRule="auto" w:before="1"/>
              <w:ind w:left="155" w:right="106"/>
              <w:rPr>
                <w:b/>
                <w:sz w:val="21"/>
              </w:rPr>
            </w:pPr>
            <w:r>
              <w:rPr>
                <w:b/>
                <w:sz w:val="21"/>
              </w:rPr>
              <w:t>您解除合同的手续及风险</w:t>
            </w:r>
          </w:p>
        </w:tc>
        <w:tc>
          <w:tcPr>
            <w:tcW w:w="7289" w:type="dxa"/>
            <w:tcBorders>
              <w:top w:val="single" w:sz="4" w:space="0" w:color="000000"/>
            </w:tcBorders>
          </w:tcPr>
          <w:p>
            <w:pPr>
              <w:pStyle w:val="TableParagraph"/>
              <w:spacing w:before="5"/>
              <w:rPr>
                <w:rFonts w:ascii="Times New Roman"/>
                <w:sz w:val="19"/>
              </w:rPr>
            </w:pPr>
          </w:p>
          <w:p>
            <w:pPr>
              <w:pStyle w:val="TableParagraph"/>
              <w:spacing w:line="316" w:lineRule="auto"/>
              <w:ind w:left="109" w:right="157"/>
              <w:rPr>
                <w:sz w:val="18"/>
              </w:rPr>
            </w:pPr>
            <w:r>
              <w:rPr>
                <w:sz w:val="18"/>
              </w:rPr>
              <w:t>您在犹豫期后，可以书面通知我们要求解除本附加合同，自本公司收到合同解除申请书之日起，本附加合同效力即行终止。</w:t>
            </w:r>
          </w:p>
          <w:p>
            <w:pPr>
              <w:pStyle w:val="TableParagraph"/>
              <w:spacing w:before="18"/>
              <w:ind w:left="109"/>
              <w:rPr>
                <w:sz w:val="18"/>
              </w:rPr>
            </w:pPr>
            <w:r>
              <w:rPr>
                <w:sz w:val="18"/>
              </w:rPr>
              <w:t>您解除本附加合同时，应填写合同解除申请书，并提供下列证明和资料：</w:t>
            </w:r>
          </w:p>
          <w:p>
            <w:pPr>
              <w:pStyle w:val="TableParagraph"/>
              <w:spacing w:before="76"/>
              <w:ind w:left="109"/>
              <w:rPr>
                <w:sz w:val="18"/>
              </w:rPr>
            </w:pPr>
            <w:r>
              <w:rPr>
                <w:sz w:val="18"/>
              </w:rPr>
              <w:t>1、 保险合同；</w:t>
            </w:r>
          </w:p>
          <w:p>
            <w:pPr>
              <w:pStyle w:val="TableParagraph"/>
              <w:spacing w:before="76"/>
              <w:ind w:left="109"/>
              <w:rPr>
                <w:sz w:val="18"/>
              </w:rPr>
            </w:pPr>
            <w:r>
              <w:rPr>
                <w:sz w:val="18"/>
              </w:rPr>
              <w:t>2、 您的有效身份证件。</w:t>
            </w:r>
          </w:p>
          <w:p>
            <w:pPr>
              <w:pStyle w:val="TableParagraph"/>
              <w:spacing w:line="316" w:lineRule="auto" w:before="76"/>
              <w:ind w:left="109" w:right="1057"/>
              <w:rPr>
                <w:sz w:val="18"/>
              </w:rPr>
            </w:pPr>
            <w:r>
              <w:rPr>
                <w:sz w:val="18"/>
              </w:rPr>
              <w:t>本公司自收到上述证明和材料之日起三十日内，返还本附加合同的现金价值。您在犹豫期后解除合同会遭受一定损失。</w:t>
            </w:r>
          </w:p>
          <w:p>
            <w:pPr>
              <w:pStyle w:val="TableParagraph"/>
              <w:spacing w:line="319" w:lineRule="auto" w:before="18"/>
              <w:ind w:left="109" w:right="156"/>
              <w:rPr>
                <w:sz w:val="18"/>
              </w:rPr>
            </w:pPr>
            <w:r>
              <w:rPr>
                <w:sz w:val="18"/>
              </w:rPr>
              <w:t>解除合同后，您、被保险人或主险合同受益人不能对合同解除前发生的保险事故申请豁免保险费。</w:t>
            </w:r>
          </w:p>
        </w:tc>
        <w:tc>
          <w:tcPr>
            <w:tcW w:w="56" w:type="dxa"/>
          </w:tcPr>
          <w:p>
            <w:pPr>
              <w:pStyle w:val="TableParagraph"/>
              <w:rPr>
                <w:rFonts w:ascii="Times New Roman"/>
                <w:sz w:val="18"/>
              </w:rPr>
            </w:pPr>
          </w:p>
        </w:tc>
      </w:tr>
      <w:tr>
        <w:trPr>
          <w:trHeight w:val="721" w:hRule="atLeast"/>
        </w:trPr>
        <w:tc>
          <w:tcPr>
            <w:tcW w:w="620" w:type="dxa"/>
            <w:tcBorders>
              <w:bottom w:val="single" w:sz="4" w:space="0" w:color="000000"/>
            </w:tcBorders>
          </w:tcPr>
          <w:p>
            <w:pPr>
              <w:pStyle w:val="TableParagraph"/>
              <w:spacing w:before="161"/>
              <w:ind w:left="107"/>
              <w:rPr>
                <w:rFonts w:ascii="Arial" w:hAnsi="Arial"/>
                <w:b/>
                <w:sz w:val="40"/>
              </w:rPr>
            </w:pPr>
            <w:r>
              <w:rPr>
                <w:rFonts w:ascii="Arial" w:hAnsi="Arial"/>
                <w:b/>
                <w:w w:val="119"/>
                <w:sz w:val="40"/>
              </w:rPr>
              <w:t></w:t>
            </w:r>
          </w:p>
        </w:tc>
        <w:tc>
          <w:tcPr>
            <w:tcW w:w="9045" w:type="dxa"/>
            <w:gridSpan w:val="3"/>
            <w:tcBorders>
              <w:bottom w:val="single" w:sz="4" w:space="0" w:color="000000"/>
            </w:tcBorders>
          </w:tcPr>
          <w:p>
            <w:pPr>
              <w:pStyle w:val="TableParagraph"/>
              <w:spacing w:before="213"/>
              <w:ind w:left="155"/>
              <w:rPr>
                <w:b/>
                <w:sz w:val="24"/>
              </w:rPr>
            </w:pPr>
            <w:r>
              <w:rPr>
                <w:b/>
                <w:w w:val="95"/>
                <w:sz w:val="24"/>
              </w:rPr>
              <w:t>其他需要您关注的事项</w:t>
            </w:r>
          </w:p>
        </w:tc>
      </w:tr>
      <w:tr>
        <w:trPr>
          <w:trHeight w:val="1257" w:hRule="atLeast"/>
        </w:trPr>
        <w:tc>
          <w:tcPr>
            <w:tcW w:w="620" w:type="dxa"/>
            <w:tcBorders>
              <w:top w:val="single" w:sz="4" w:space="0" w:color="000000"/>
            </w:tcBorders>
          </w:tcPr>
          <w:p>
            <w:pPr>
              <w:pStyle w:val="TableParagraph"/>
              <w:spacing w:before="7"/>
              <w:rPr>
                <w:rFonts w:ascii="Times New Roman"/>
                <w:sz w:val="17"/>
              </w:rPr>
            </w:pPr>
          </w:p>
          <w:p>
            <w:pPr>
              <w:pStyle w:val="TableParagraph"/>
              <w:spacing w:before="1"/>
              <w:ind w:left="107"/>
              <w:rPr>
                <w:b/>
                <w:sz w:val="21"/>
              </w:rPr>
            </w:pPr>
            <w:r>
              <w:rPr>
                <w:b/>
                <w:sz w:val="21"/>
              </w:rPr>
              <w:t>7.1</w:t>
            </w:r>
          </w:p>
        </w:tc>
        <w:tc>
          <w:tcPr>
            <w:tcW w:w="1700" w:type="dxa"/>
            <w:tcBorders>
              <w:top w:val="single" w:sz="4" w:space="0" w:color="000000"/>
            </w:tcBorders>
          </w:tcPr>
          <w:p>
            <w:pPr>
              <w:pStyle w:val="TableParagraph"/>
              <w:spacing w:before="7"/>
              <w:rPr>
                <w:rFonts w:ascii="Times New Roman"/>
                <w:sz w:val="17"/>
              </w:rPr>
            </w:pPr>
          </w:p>
          <w:p>
            <w:pPr>
              <w:pStyle w:val="TableParagraph"/>
              <w:spacing w:before="1"/>
              <w:ind w:left="155"/>
              <w:rPr>
                <w:b/>
                <w:sz w:val="21"/>
              </w:rPr>
            </w:pPr>
            <w:r>
              <w:rPr>
                <w:b/>
                <w:sz w:val="21"/>
              </w:rPr>
              <w:t>投保范围</w:t>
            </w:r>
          </w:p>
        </w:tc>
        <w:tc>
          <w:tcPr>
            <w:tcW w:w="7289" w:type="dxa"/>
            <w:tcBorders>
              <w:top w:val="single" w:sz="4" w:space="0" w:color="000000"/>
            </w:tcBorders>
          </w:tcPr>
          <w:p>
            <w:pPr>
              <w:pStyle w:val="TableParagraph"/>
              <w:spacing w:before="5"/>
              <w:rPr>
                <w:rFonts w:ascii="Times New Roman"/>
                <w:sz w:val="19"/>
              </w:rPr>
            </w:pPr>
          </w:p>
          <w:p>
            <w:pPr>
              <w:pStyle w:val="TableParagraph"/>
              <w:ind w:left="109"/>
              <w:rPr>
                <w:sz w:val="18"/>
              </w:rPr>
            </w:pPr>
            <w:r>
              <w:rPr>
                <w:sz w:val="18"/>
              </w:rPr>
              <w:t>1、被保险人条件：主险合同的被保险人作为本附加合同的被保险人。</w:t>
            </w:r>
          </w:p>
          <w:p>
            <w:pPr>
              <w:pStyle w:val="TableParagraph"/>
              <w:spacing w:line="316" w:lineRule="auto" w:before="76"/>
              <w:ind w:left="109" w:right="106"/>
              <w:rPr>
                <w:sz w:val="18"/>
              </w:rPr>
            </w:pPr>
            <w:r>
              <w:rPr>
                <w:sz w:val="18"/>
              </w:rPr>
              <w:t>2</w:t>
            </w:r>
            <w:r>
              <w:rPr>
                <w:spacing w:val="-7"/>
                <w:sz w:val="18"/>
              </w:rPr>
              <w:t>、投保人条件：凡订立本附加合同时年满十八周岁，具有完全民事行为能力且对被保险人具有保险利益的人，均可作为本保险的投保人。</w:t>
            </w:r>
          </w:p>
        </w:tc>
        <w:tc>
          <w:tcPr>
            <w:tcW w:w="56" w:type="dxa"/>
          </w:tcPr>
          <w:p>
            <w:pPr>
              <w:pStyle w:val="TableParagraph"/>
              <w:rPr>
                <w:rFonts w:ascii="Times New Roman"/>
                <w:sz w:val="18"/>
              </w:rPr>
            </w:pPr>
          </w:p>
        </w:tc>
      </w:tr>
      <w:tr>
        <w:trPr>
          <w:trHeight w:val="1788" w:hRule="atLeast"/>
        </w:trPr>
        <w:tc>
          <w:tcPr>
            <w:tcW w:w="620" w:type="dxa"/>
          </w:tcPr>
          <w:p>
            <w:pPr>
              <w:pStyle w:val="TableParagraph"/>
              <w:spacing w:before="110"/>
              <w:ind w:left="107"/>
              <w:rPr>
                <w:b/>
                <w:sz w:val="21"/>
              </w:rPr>
            </w:pPr>
            <w:r>
              <w:rPr>
                <w:b/>
                <w:sz w:val="21"/>
              </w:rPr>
              <w:t>7.2</w:t>
            </w:r>
          </w:p>
        </w:tc>
        <w:tc>
          <w:tcPr>
            <w:tcW w:w="1700" w:type="dxa"/>
          </w:tcPr>
          <w:p>
            <w:pPr>
              <w:pStyle w:val="TableParagraph"/>
              <w:spacing w:before="110"/>
              <w:ind w:left="155"/>
              <w:rPr>
                <w:b/>
                <w:sz w:val="21"/>
              </w:rPr>
            </w:pPr>
            <w:r>
              <w:rPr>
                <w:b/>
                <w:sz w:val="21"/>
              </w:rPr>
              <w:t>合同效力</w:t>
            </w:r>
          </w:p>
        </w:tc>
        <w:tc>
          <w:tcPr>
            <w:tcW w:w="7289" w:type="dxa"/>
          </w:tcPr>
          <w:p>
            <w:pPr>
              <w:pStyle w:val="TableParagraph"/>
              <w:spacing w:before="130"/>
              <w:ind w:left="109"/>
              <w:rPr>
                <w:sz w:val="18"/>
              </w:rPr>
            </w:pPr>
            <w:r>
              <w:rPr>
                <w:sz w:val="18"/>
              </w:rPr>
              <w:t>本附加合同的效力在发生下列情形之一时自动终止：</w:t>
            </w:r>
          </w:p>
          <w:p>
            <w:pPr>
              <w:pStyle w:val="TableParagraph"/>
              <w:spacing w:before="75"/>
              <w:ind w:left="109"/>
              <w:rPr>
                <w:sz w:val="18"/>
              </w:rPr>
            </w:pPr>
            <w:r>
              <w:rPr>
                <w:sz w:val="18"/>
              </w:rPr>
              <w:t>1、  主险合同期满或终止；</w:t>
            </w:r>
          </w:p>
          <w:p>
            <w:pPr>
              <w:pStyle w:val="TableParagraph"/>
              <w:spacing w:before="75"/>
              <w:ind w:left="109"/>
              <w:rPr>
                <w:sz w:val="18"/>
              </w:rPr>
            </w:pPr>
            <w:r>
              <w:rPr>
                <w:sz w:val="18"/>
              </w:rPr>
              <w:t>2、  本附加合同期满；</w:t>
            </w:r>
          </w:p>
          <w:p>
            <w:pPr>
              <w:pStyle w:val="TableParagraph"/>
              <w:spacing w:before="75"/>
              <w:ind w:left="109"/>
              <w:rPr>
                <w:sz w:val="18"/>
              </w:rPr>
            </w:pPr>
            <w:r>
              <w:rPr>
                <w:sz w:val="18"/>
              </w:rPr>
              <w:t>3、  出现主险合同或本附加合同内的其它约定终止情况。</w:t>
            </w:r>
          </w:p>
          <w:p>
            <w:pPr>
              <w:pStyle w:val="TableParagraph"/>
              <w:spacing w:before="76"/>
              <w:ind w:left="109"/>
              <w:rPr>
                <w:sz w:val="18"/>
              </w:rPr>
            </w:pPr>
            <w:r>
              <w:rPr>
                <w:sz w:val="18"/>
              </w:rPr>
              <w:t>本附加合同效力终止后，除另有规定外，我们不退还本附加合同的现金价值。</w:t>
            </w:r>
          </w:p>
        </w:tc>
        <w:tc>
          <w:tcPr>
            <w:tcW w:w="56" w:type="dxa"/>
          </w:tcPr>
          <w:p>
            <w:pPr>
              <w:pStyle w:val="TableParagraph"/>
              <w:rPr>
                <w:rFonts w:ascii="Times New Roman"/>
                <w:sz w:val="18"/>
              </w:rPr>
            </w:pPr>
          </w:p>
        </w:tc>
      </w:tr>
      <w:tr>
        <w:trPr>
          <w:trHeight w:val="1614" w:hRule="atLeast"/>
        </w:trPr>
        <w:tc>
          <w:tcPr>
            <w:tcW w:w="620" w:type="dxa"/>
          </w:tcPr>
          <w:p>
            <w:pPr>
              <w:pStyle w:val="TableParagraph"/>
              <w:spacing w:before="110"/>
              <w:ind w:left="107"/>
              <w:rPr>
                <w:b/>
                <w:sz w:val="21"/>
              </w:rPr>
            </w:pPr>
            <w:r>
              <w:rPr>
                <w:b/>
                <w:sz w:val="21"/>
              </w:rPr>
              <w:t>7.3</w:t>
            </w:r>
          </w:p>
        </w:tc>
        <w:tc>
          <w:tcPr>
            <w:tcW w:w="1700" w:type="dxa"/>
          </w:tcPr>
          <w:p>
            <w:pPr>
              <w:pStyle w:val="TableParagraph"/>
              <w:spacing w:before="110"/>
              <w:ind w:left="155"/>
              <w:rPr>
                <w:b/>
                <w:sz w:val="21"/>
              </w:rPr>
            </w:pPr>
            <w:r>
              <w:rPr>
                <w:b/>
                <w:sz w:val="21"/>
              </w:rPr>
              <w:t>合同内容变更</w:t>
            </w:r>
          </w:p>
        </w:tc>
        <w:tc>
          <w:tcPr>
            <w:tcW w:w="7289" w:type="dxa"/>
          </w:tcPr>
          <w:p>
            <w:pPr>
              <w:pStyle w:val="TableParagraph"/>
              <w:spacing w:line="316" w:lineRule="auto" w:before="130"/>
              <w:ind w:left="109" w:right="157"/>
              <w:jc w:val="both"/>
              <w:rPr>
                <w:sz w:val="18"/>
              </w:rPr>
            </w:pPr>
            <w:r>
              <w:rPr>
                <w:sz w:val="18"/>
              </w:rPr>
              <w:t>在本附加合同有效期内，经您与本公司协商一致，可以变更本附加合同有关内容，变更本附加合同的，应当由我们在保险单或者其他保险凭证上批注或者附贴批单，或者由您和我们订立变更的书面协议。</w:t>
            </w:r>
          </w:p>
          <w:p>
            <w:pPr>
              <w:pStyle w:val="TableParagraph"/>
              <w:spacing w:before="18"/>
              <w:ind w:left="109"/>
              <w:jc w:val="both"/>
              <w:rPr>
                <w:sz w:val="18"/>
              </w:rPr>
            </w:pPr>
            <w:r>
              <w:rPr>
                <w:sz w:val="18"/>
              </w:rPr>
              <w:t>对于已豁免保险费的主险合同或附加险合同，您不得变更主险合同及附加险合同的保险金</w:t>
            </w:r>
          </w:p>
          <w:p>
            <w:pPr>
              <w:pStyle w:val="TableParagraph"/>
              <w:spacing w:line="216" w:lineRule="exact" w:before="76"/>
              <w:ind w:left="109"/>
              <w:jc w:val="both"/>
              <w:rPr>
                <w:sz w:val="18"/>
              </w:rPr>
            </w:pPr>
            <w:r>
              <w:rPr>
                <w:sz w:val="18"/>
              </w:rPr>
              <w:t>额、交费年期等。</w:t>
            </w:r>
          </w:p>
        </w:tc>
        <w:tc>
          <w:tcPr>
            <w:tcW w:w="56" w:type="dxa"/>
          </w:tcPr>
          <w:p>
            <w:pPr>
              <w:pStyle w:val="TableParagraph"/>
              <w:rPr>
                <w:rFonts w:ascii="Times New Roman"/>
                <w:sz w:val="18"/>
              </w:rPr>
            </w:pPr>
          </w:p>
        </w:tc>
      </w:tr>
    </w:tbl>
    <w:p>
      <w:pPr>
        <w:spacing w:after="0"/>
        <w:rPr>
          <w:rFonts w:ascii="Times New Roman"/>
          <w:sz w:val="18"/>
        </w:rPr>
        <w:sectPr>
          <w:headerReference w:type="default" r:id="rId10"/>
          <w:pgSz w:w="11910" w:h="16840"/>
          <w:pgMar w:header="857" w:footer="976" w:top="1040" w:bottom="1160" w:left="1080" w:right="940"/>
        </w:sectPr>
      </w:pPr>
    </w:p>
    <w:p>
      <w:pPr>
        <w:pStyle w:val="BodyText"/>
        <w:rPr>
          <w:rFonts w:ascii="Times New Roman"/>
          <w:sz w:val="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53"/>
        <w:gridCol w:w="1668"/>
        <w:gridCol w:w="7288"/>
        <w:gridCol w:w="55"/>
      </w:tblGrid>
      <w:tr>
        <w:trPr>
          <w:trHeight w:val="923" w:hRule="atLeast"/>
        </w:trPr>
        <w:tc>
          <w:tcPr>
            <w:tcW w:w="653" w:type="dxa"/>
            <w:tcBorders>
              <w:top w:val="single" w:sz="6" w:space="0" w:color="000000"/>
              <w:bottom w:val="single" w:sz="4" w:space="0" w:color="000000"/>
            </w:tcBorders>
          </w:tcPr>
          <w:p>
            <w:pPr>
              <w:pStyle w:val="TableParagraph"/>
              <w:spacing w:before="364"/>
              <w:ind w:right="77"/>
              <w:jc w:val="center"/>
              <w:rPr>
                <w:rFonts w:ascii="Arial" w:hAnsi="Arial"/>
                <w:b/>
                <w:sz w:val="40"/>
              </w:rPr>
            </w:pPr>
            <w:r>
              <w:rPr>
                <w:rFonts w:ascii="Arial" w:hAnsi="Arial"/>
                <w:b/>
                <w:w w:val="119"/>
                <w:sz w:val="40"/>
              </w:rPr>
              <w:t></w:t>
            </w:r>
          </w:p>
        </w:tc>
        <w:tc>
          <w:tcPr>
            <w:tcW w:w="1668" w:type="dxa"/>
            <w:tcBorders>
              <w:top w:val="single" w:sz="6" w:space="0" w:color="000000"/>
              <w:bottom w:val="single" w:sz="4" w:space="0" w:color="000000"/>
            </w:tcBorders>
          </w:tcPr>
          <w:p>
            <w:pPr>
              <w:pStyle w:val="TableParagraph"/>
              <w:rPr>
                <w:rFonts w:ascii="Times New Roman"/>
                <w:sz w:val="24"/>
              </w:rPr>
            </w:pPr>
          </w:p>
          <w:p>
            <w:pPr>
              <w:pStyle w:val="TableParagraph"/>
              <w:spacing w:before="140"/>
              <w:ind w:left="122"/>
              <w:rPr>
                <w:b/>
                <w:sz w:val="24"/>
              </w:rPr>
            </w:pPr>
            <w:r>
              <w:rPr>
                <w:b/>
                <w:sz w:val="24"/>
              </w:rPr>
              <w:t>释义</w:t>
            </w:r>
          </w:p>
        </w:tc>
        <w:tc>
          <w:tcPr>
            <w:tcW w:w="7288" w:type="dxa"/>
            <w:tcBorders>
              <w:top w:val="single" w:sz="6" w:space="0" w:color="000000"/>
              <w:bottom w:val="single" w:sz="4" w:space="0" w:color="000000"/>
            </w:tcBorders>
          </w:tcPr>
          <w:p>
            <w:pPr>
              <w:pStyle w:val="TableParagraph"/>
              <w:rPr>
                <w:rFonts w:ascii="Times New Roman"/>
                <w:sz w:val="18"/>
              </w:rPr>
            </w:pPr>
          </w:p>
        </w:tc>
        <w:tc>
          <w:tcPr>
            <w:tcW w:w="55" w:type="dxa"/>
            <w:tcBorders>
              <w:top w:val="single" w:sz="6" w:space="0" w:color="000000"/>
            </w:tcBorders>
          </w:tcPr>
          <w:p>
            <w:pPr>
              <w:pStyle w:val="TableParagraph"/>
              <w:rPr>
                <w:rFonts w:ascii="Times New Roman"/>
                <w:sz w:val="18"/>
              </w:rPr>
            </w:pPr>
          </w:p>
        </w:tc>
      </w:tr>
      <w:tr>
        <w:trPr>
          <w:trHeight w:val="945" w:hRule="atLeast"/>
        </w:trPr>
        <w:tc>
          <w:tcPr>
            <w:tcW w:w="653" w:type="dxa"/>
            <w:tcBorders>
              <w:top w:val="single" w:sz="4" w:space="0" w:color="000000"/>
            </w:tcBorders>
          </w:tcPr>
          <w:p>
            <w:pPr>
              <w:pStyle w:val="TableParagraph"/>
              <w:spacing w:before="7"/>
              <w:rPr>
                <w:rFonts w:ascii="Times New Roman"/>
                <w:sz w:val="17"/>
              </w:rPr>
            </w:pPr>
          </w:p>
          <w:p>
            <w:pPr>
              <w:pStyle w:val="TableParagraph"/>
              <w:spacing w:before="1"/>
              <w:ind w:left="88" w:right="206"/>
              <w:jc w:val="center"/>
              <w:rPr>
                <w:b/>
                <w:sz w:val="21"/>
              </w:rPr>
            </w:pPr>
            <w:r>
              <w:rPr>
                <w:b/>
                <w:sz w:val="21"/>
              </w:rPr>
              <w:t>8.1</w:t>
            </w:r>
          </w:p>
        </w:tc>
        <w:tc>
          <w:tcPr>
            <w:tcW w:w="1668" w:type="dxa"/>
            <w:tcBorders>
              <w:top w:val="single" w:sz="4" w:space="0" w:color="000000"/>
            </w:tcBorders>
          </w:tcPr>
          <w:p>
            <w:pPr>
              <w:pStyle w:val="TableParagraph"/>
              <w:spacing w:before="7"/>
              <w:rPr>
                <w:rFonts w:ascii="Times New Roman"/>
                <w:sz w:val="17"/>
              </w:rPr>
            </w:pPr>
          </w:p>
          <w:p>
            <w:pPr>
              <w:pStyle w:val="TableParagraph"/>
              <w:spacing w:before="1"/>
              <w:ind w:left="122"/>
              <w:rPr>
                <w:b/>
                <w:sz w:val="21"/>
              </w:rPr>
            </w:pPr>
            <w:r>
              <w:rPr>
                <w:b/>
                <w:sz w:val="21"/>
              </w:rPr>
              <w:t>有效身份证件</w:t>
            </w:r>
          </w:p>
        </w:tc>
        <w:tc>
          <w:tcPr>
            <w:tcW w:w="7288" w:type="dxa"/>
            <w:tcBorders>
              <w:top w:val="single" w:sz="4" w:space="0" w:color="000000"/>
            </w:tcBorders>
          </w:tcPr>
          <w:p>
            <w:pPr>
              <w:pStyle w:val="TableParagraph"/>
              <w:spacing w:before="5"/>
              <w:rPr>
                <w:rFonts w:ascii="Times New Roman"/>
                <w:sz w:val="19"/>
              </w:rPr>
            </w:pPr>
          </w:p>
          <w:p>
            <w:pPr>
              <w:pStyle w:val="TableParagraph"/>
              <w:spacing w:line="316" w:lineRule="auto"/>
              <w:ind w:left="108" w:right="16"/>
              <w:rPr>
                <w:sz w:val="18"/>
              </w:rPr>
            </w:pPr>
            <w:r>
              <w:rPr>
                <w:spacing w:val="-4"/>
                <w:sz w:val="18"/>
              </w:rPr>
              <w:t>指由政府主管部门规定的证明其身份的证件，如：居民身份证、按规定可使用的有效护照、军官证、警官证、士兵证、户口簿等证件。</w:t>
            </w:r>
          </w:p>
        </w:tc>
        <w:tc>
          <w:tcPr>
            <w:tcW w:w="55" w:type="dxa"/>
          </w:tcPr>
          <w:p>
            <w:pPr>
              <w:pStyle w:val="TableParagraph"/>
              <w:rPr>
                <w:rFonts w:ascii="Times New Roman"/>
                <w:sz w:val="18"/>
              </w:rPr>
            </w:pPr>
          </w:p>
        </w:tc>
      </w:tr>
      <w:tr>
        <w:trPr>
          <w:trHeight w:val="824" w:hRule="atLeast"/>
        </w:trPr>
        <w:tc>
          <w:tcPr>
            <w:tcW w:w="653" w:type="dxa"/>
          </w:tcPr>
          <w:p>
            <w:pPr>
              <w:pStyle w:val="TableParagraph"/>
              <w:spacing w:before="110"/>
              <w:ind w:left="88" w:right="206"/>
              <w:jc w:val="center"/>
              <w:rPr>
                <w:b/>
                <w:sz w:val="21"/>
              </w:rPr>
            </w:pPr>
            <w:r>
              <w:rPr>
                <w:b/>
                <w:sz w:val="21"/>
              </w:rPr>
              <w:t>8.2</w:t>
            </w:r>
          </w:p>
        </w:tc>
        <w:tc>
          <w:tcPr>
            <w:tcW w:w="1668" w:type="dxa"/>
          </w:tcPr>
          <w:p>
            <w:pPr>
              <w:pStyle w:val="TableParagraph"/>
              <w:spacing w:before="110"/>
              <w:ind w:left="122"/>
              <w:rPr>
                <w:b/>
                <w:sz w:val="21"/>
              </w:rPr>
            </w:pPr>
            <w:r>
              <w:rPr>
                <w:b/>
                <w:sz w:val="21"/>
              </w:rPr>
              <w:t>意外事故</w:t>
            </w:r>
          </w:p>
        </w:tc>
        <w:tc>
          <w:tcPr>
            <w:tcW w:w="7288" w:type="dxa"/>
          </w:tcPr>
          <w:p>
            <w:pPr>
              <w:pStyle w:val="TableParagraph"/>
              <w:spacing w:line="316" w:lineRule="auto" w:before="130"/>
              <w:ind w:left="108" w:right="157"/>
              <w:rPr>
                <w:sz w:val="18"/>
              </w:rPr>
            </w:pPr>
            <w:r>
              <w:rPr>
                <w:sz w:val="18"/>
              </w:rPr>
              <w:t>指外来的、非本意的、突然的、剧烈的、非疾病的使被保险人身体受到剧烈伤害的客观事件。</w:t>
            </w:r>
          </w:p>
        </w:tc>
        <w:tc>
          <w:tcPr>
            <w:tcW w:w="55" w:type="dxa"/>
          </w:tcPr>
          <w:p>
            <w:pPr>
              <w:pStyle w:val="TableParagraph"/>
              <w:rPr>
                <w:rFonts w:ascii="Times New Roman"/>
                <w:sz w:val="18"/>
              </w:rPr>
            </w:pPr>
          </w:p>
        </w:tc>
      </w:tr>
      <w:tr>
        <w:trPr>
          <w:trHeight w:val="833" w:hRule="atLeast"/>
        </w:trPr>
        <w:tc>
          <w:tcPr>
            <w:tcW w:w="653" w:type="dxa"/>
          </w:tcPr>
          <w:p>
            <w:pPr>
              <w:pStyle w:val="TableParagraph"/>
              <w:spacing w:before="82"/>
              <w:ind w:left="88" w:right="206"/>
              <w:jc w:val="center"/>
              <w:rPr>
                <w:b/>
                <w:sz w:val="21"/>
              </w:rPr>
            </w:pPr>
            <w:r>
              <w:rPr>
                <w:b/>
                <w:sz w:val="21"/>
              </w:rPr>
              <w:t>8.3</w:t>
            </w:r>
          </w:p>
        </w:tc>
        <w:tc>
          <w:tcPr>
            <w:tcW w:w="1668" w:type="dxa"/>
          </w:tcPr>
          <w:p>
            <w:pPr>
              <w:pStyle w:val="TableParagraph"/>
              <w:spacing w:line="273" w:lineRule="auto" w:before="82"/>
              <w:ind w:left="122" w:right="107"/>
              <w:rPr>
                <w:b/>
                <w:sz w:val="21"/>
              </w:rPr>
            </w:pPr>
            <w:r>
              <w:rPr>
                <w:b/>
                <w:sz w:val="21"/>
              </w:rPr>
              <w:t>指定或认可的医疗机构</w:t>
            </w:r>
          </w:p>
        </w:tc>
        <w:tc>
          <w:tcPr>
            <w:tcW w:w="7288" w:type="dxa"/>
          </w:tcPr>
          <w:p>
            <w:pPr>
              <w:pStyle w:val="TableParagraph"/>
              <w:spacing w:line="316" w:lineRule="auto" w:before="103"/>
              <w:ind w:left="108" w:right="154"/>
              <w:rPr>
                <w:sz w:val="18"/>
              </w:rPr>
            </w:pPr>
            <w:r>
              <w:rPr>
                <w:sz w:val="18"/>
              </w:rPr>
              <w:t>指中华人民共和国境内(港澳台地区除外)，投保地所在省、市、自治区范围内的卫生行政部门认可的二级或二级以上非营利性医疗机构。</w:t>
            </w:r>
          </w:p>
        </w:tc>
        <w:tc>
          <w:tcPr>
            <w:tcW w:w="55" w:type="dxa"/>
          </w:tcPr>
          <w:p>
            <w:pPr>
              <w:pStyle w:val="TableParagraph"/>
              <w:rPr>
                <w:rFonts w:ascii="Times New Roman"/>
                <w:sz w:val="18"/>
              </w:rPr>
            </w:pPr>
          </w:p>
        </w:tc>
      </w:tr>
      <w:tr>
        <w:trPr>
          <w:trHeight w:val="1154" w:hRule="atLeast"/>
        </w:trPr>
        <w:tc>
          <w:tcPr>
            <w:tcW w:w="653" w:type="dxa"/>
          </w:tcPr>
          <w:p>
            <w:pPr>
              <w:pStyle w:val="TableParagraph"/>
              <w:spacing w:before="100"/>
              <w:ind w:left="88" w:right="206"/>
              <w:jc w:val="center"/>
              <w:rPr>
                <w:b/>
                <w:sz w:val="21"/>
              </w:rPr>
            </w:pPr>
            <w:r>
              <w:rPr>
                <w:b/>
                <w:sz w:val="21"/>
              </w:rPr>
              <w:t>8.4</w:t>
            </w:r>
          </w:p>
        </w:tc>
        <w:tc>
          <w:tcPr>
            <w:tcW w:w="1668" w:type="dxa"/>
          </w:tcPr>
          <w:p>
            <w:pPr>
              <w:pStyle w:val="TableParagraph"/>
              <w:spacing w:before="100"/>
              <w:ind w:left="122"/>
              <w:rPr>
                <w:b/>
                <w:sz w:val="21"/>
              </w:rPr>
            </w:pPr>
            <w:r>
              <w:rPr>
                <w:b/>
                <w:sz w:val="21"/>
              </w:rPr>
              <w:t>毒品</w:t>
            </w:r>
          </w:p>
        </w:tc>
        <w:tc>
          <w:tcPr>
            <w:tcW w:w="7288" w:type="dxa"/>
          </w:tcPr>
          <w:p>
            <w:pPr>
              <w:pStyle w:val="TableParagraph"/>
              <w:spacing w:line="319" w:lineRule="auto" w:before="121"/>
              <w:ind w:left="108" w:right="109"/>
              <w:jc w:val="both"/>
              <w:rPr>
                <w:sz w:val="18"/>
              </w:rPr>
            </w:pPr>
            <w:r>
              <w:rPr>
                <w:spacing w:val="-3"/>
                <w:sz w:val="18"/>
              </w:rPr>
              <w:t>指中华人民共和国刑法规定的鸦片、海洛因、甲基苯丙胺</w:t>
            </w:r>
            <w:r>
              <w:rPr>
                <w:sz w:val="18"/>
              </w:rPr>
              <w:t>（冰毒</w:t>
            </w:r>
            <w:r>
              <w:rPr>
                <w:spacing w:val="-92"/>
                <w:sz w:val="18"/>
              </w:rPr>
              <w:t>）</w:t>
            </w:r>
            <w:r>
              <w:rPr>
                <w:spacing w:val="-5"/>
                <w:sz w:val="18"/>
              </w:rPr>
              <w:t>、吗啡、大麻、可卡因以及国家规定管制的其他能够使人形成瘾癖的麻醉药品和精神药品，但不包括由医生开具并遵医嘱使用的用于治疗疾病但含有毒品成分的处方药品。</w:t>
            </w:r>
          </w:p>
        </w:tc>
        <w:tc>
          <w:tcPr>
            <w:tcW w:w="55" w:type="dxa"/>
          </w:tcPr>
          <w:p>
            <w:pPr>
              <w:pStyle w:val="TableParagraph"/>
              <w:rPr>
                <w:rFonts w:ascii="Times New Roman"/>
                <w:sz w:val="18"/>
              </w:rPr>
            </w:pPr>
          </w:p>
        </w:tc>
      </w:tr>
      <w:tr>
        <w:trPr>
          <w:trHeight w:val="1162" w:hRule="atLeast"/>
        </w:trPr>
        <w:tc>
          <w:tcPr>
            <w:tcW w:w="653" w:type="dxa"/>
          </w:tcPr>
          <w:p>
            <w:pPr>
              <w:pStyle w:val="TableParagraph"/>
              <w:spacing w:before="109"/>
              <w:ind w:left="88" w:right="206"/>
              <w:jc w:val="center"/>
              <w:rPr>
                <w:b/>
                <w:sz w:val="21"/>
              </w:rPr>
            </w:pPr>
            <w:r>
              <w:rPr>
                <w:b/>
                <w:sz w:val="21"/>
              </w:rPr>
              <w:t>8.5</w:t>
            </w:r>
          </w:p>
        </w:tc>
        <w:tc>
          <w:tcPr>
            <w:tcW w:w="1668" w:type="dxa"/>
          </w:tcPr>
          <w:p>
            <w:pPr>
              <w:pStyle w:val="TableParagraph"/>
              <w:spacing w:before="109"/>
              <w:ind w:left="122"/>
              <w:rPr>
                <w:b/>
                <w:sz w:val="21"/>
              </w:rPr>
            </w:pPr>
            <w:r>
              <w:rPr>
                <w:b/>
                <w:sz w:val="21"/>
              </w:rPr>
              <w:t>酒后驾驶</w:t>
            </w:r>
          </w:p>
        </w:tc>
        <w:tc>
          <w:tcPr>
            <w:tcW w:w="7288" w:type="dxa"/>
          </w:tcPr>
          <w:p>
            <w:pPr>
              <w:pStyle w:val="TableParagraph"/>
              <w:spacing w:line="316" w:lineRule="auto" w:before="129"/>
              <w:ind w:left="108" w:right="157"/>
              <w:jc w:val="both"/>
              <w:rPr>
                <w:sz w:val="18"/>
              </w:rPr>
            </w:pPr>
            <w:r>
              <w:rPr>
                <w:sz w:val="18"/>
              </w:rPr>
              <w:t>指经检测或鉴定，发生事故时车辆驾驶人员每百毫升血液中的酒精含量或呼气酒精含量达到或超过一定的标准，公安机关交通管理部门依据《道路交通安全法》的规定认定为饮酒后驾驶或醉酒后驾驶。</w:t>
            </w:r>
          </w:p>
        </w:tc>
        <w:tc>
          <w:tcPr>
            <w:tcW w:w="55" w:type="dxa"/>
          </w:tcPr>
          <w:p>
            <w:pPr>
              <w:pStyle w:val="TableParagraph"/>
              <w:rPr>
                <w:rFonts w:ascii="Times New Roman"/>
                <w:sz w:val="18"/>
              </w:rPr>
            </w:pPr>
          </w:p>
        </w:tc>
      </w:tr>
      <w:tr>
        <w:trPr>
          <w:trHeight w:val="1787" w:hRule="atLeast"/>
        </w:trPr>
        <w:tc>
          <w:tcPr>
            <w:tcW w:w="653" w:type="dxa"/>
          </w:tcPr>
          <w:p>
            <w:pPr>
              <w:pStyle w:val="TableParagraph"/>
              <w:spacing w:before="110"/>
              <w:ind w:left="88" w:right="206"/>
              <w:jc w:val="center"/>
              <w:rPr>
                <w:b/>
                <w:sz w:val="21"/>
              </w:rPr>
            </w:pPr>
            <w:r>
              <w:rPr>
                <w:b/>
                <w:sz w:val="21"/>
              </w:rPr>
              <w:t>8.6</w:t>
            </w:r>
          </w:p>
        </w:tc>
        <w:tc>
          <w:tcPr>
            <w:tcW w:w="1668" w:type="dxa"/>
          </w:tcPr>
          <w:p>
            <w:pPr>
              <w:pStyle w:val="TableParagraph"/>
              <w:spacing w:line="273" w:lineRule="auto" w:before="110"/>
              <w:ind w:left="122" w:right="107"/>
              <w:rPr>
                <w:b/>
                <w:sz w:val="21"/>
              </w:rPr>
            </w:pPr>
            <w:r>
              <w:rPr>
                <w:b/>
                <w:sz w:val="21"/>
              </w:rPr>
              <w:t>无合法有效驾驶证驾驶</w:t>
            </w:r>
          </w:p>
        </w:tc>
        <w:tc>
          <w:tcPr>
            <w:tcW w:w="7288" w:type="dxa"/>
          </w:tcPr>
          <w:p>
            <w:pPr>
              <w:pStyle w:val="TableParagraph"/>
              <w:spacing w:before="130"/>
              <w:ind w:left="108"/>
              <w:rPr>
                <w:sz w:val="18"/>
              </w:rPr>
            </w:pPr>
            <w:r>
              <w:rPr>
                <w:sz w:val="18"/>
              </w:rPr>
              <w:t>指下列情形之一：</w:t>
            </w:r>
          </w:p>
          <w:p>
            <w:pPr>
              <w:pStyle w:val="TableParagraph"/>
              <w:numPr>
                <w:ilvl w:val="0"/>
                <w:numId w:val="6"/>
              </w:numPr>
              <w:tabs>
                <w:tab w:pos="478" w:val="left" w:leader="none"/>
              </w:tabs>
              <w:spacing w:line="240" w:lineRule="auto" w:before="75" w:after="0"/>
              <w:ind w:left="477" w:right="0" w:hanging="369"/>
              <w:jc w:val="left"/>
              <w:rPr>
                <w:sz w:val="18"/>
              </w:rPr>
            </w:pPr>
            <w:r>
              <w:rPr>
                <w:sz w:val="18"/>
              </w:rPr>
              <w:t>没有取得驾驶资格；</w:t>
            </w:r>
          </w:p>
          <w:p>
            <w:pPr>
              <w:pStyle w:val="TableParagraph"/>
              <w:numPr>
                <w:ilvl w:val="0"/>
                <w:numId w:val="6"/>
              </w:numPr>
              <w:tabs>
                <w:tab w:pos="478" w:val="left" w:leader="none"/>
              </w:tabs>
              <w:spacing w:line="240" w:lineRule="auto" w:before="75" w:after="0"/>
              <w:ind w:left="477" w:right="0" w:hanging="369"/>
              <w:jc w:val="left"/>
              <w:rPr>
                <w:sz w:val="18"/>
              </w:rPr>
            </w:pPr>
            <w:r>
              <w:rPr>
                <w:sz w:val="18"/>
              </w:rPr>
              <w:t>驾驶与驾驶证准驾车型不相符合的车辆；</w:t>
            </w:r>
          </w:p>
          <w:p>
            <w:pPr>
              <w:pStyle w:val="TableParagraph"/>
              <w:numPr>
                <w:ilvl w:val="0"/>
                <w:numId w:val="6"/>
              </w:numPr>
              <w:tabs>
                <w:tab w:pos="478" w:val="left" w:leader="none"/>
              </w:tabs>
              <w:spacing w:line="240" w:lineRule="auto" w:before="75" w:after="0"/>
              <w:ind w:left="477" w:right="0" w:hanging="369"/>
              <w:jc w:val="left"/>
              <w:rPr>
                <w:sz w:val="18"/>
              </w:rPr>
            </w:pPr>
            <w:r>
              <w:rPr>
                <w:sz w:val="18"/>
              </w:rPr>
              <w:t>持审验不合格的驾驶证驾驶；</w:t>
            </w:r>
          </w:p>
          <w:p>
            <w:pPr>
              <w:pStyle w:val="TableParagraph"/>
              <w:numPr>
                <w:ilvl w:val="0"/>
                <w:numId w:val="6"/>
              </w:numPr>
              <w:tabs>
                <w:tab w:pos="471" w:val="left" w:leader="none"/>
              </w:tabs>
              <w:spacing w:line="240" w:lineRule="auto" w:before="75" w:after="0"/>
              <w:ind w:left="470" w:right="0" w:hanging="362"/>
              <w:jc w:val="left"/>
              <w:rPr>
                <w:sz w:val="18"/>
              </w:rPr>
            </w:pPr>
            <w:r>
              <w:rPr>
                <w:spacing w:val="-1"/>
                <w:sz w:val="18"/>
              </w:rPr>
              <w:t>持学习驾驶证学习驾车时，无教练员随车指导，或不按指定时间、路线学习驾车。</w:t>
            </w:r>
          </w:p>
        </w:tc>
        <w:tc>
          <w:tcPr>
            <w:tcW w:w="55" w:type="dxa"/>
          </w:tcPr>
          <w:p>
            <w:pPr>
              <w:pStyle w:val="TableParagraph"/>
              <w:rPr>
                <w:rFonts w:ascii="Times New Roman"/>
                <w:sz w:val="18"/>
              </w:rPr>
            </w:pPr>
          </w:p>
        </w:tc>
      </w:tr>
      <w:tr>
        <w:trPr>
          <w:trHeight w:val="1162" w:hRule="atLeast"/>
        </w:trPr>
        <w:tc>
          <w:tcPr>
            <w:tcW w:w="653" w:type="dxa"/>
          </w:tcPr>
          <w:p>
            <w:pPr>
              <w:pStyle w:val="TableParagraph"/>
              <w:spacing w:before="109"/>
              <w:ind w:left="88" w:right="206"/>
              <w:jc w:val="center"/>
              <w:rPr>
                <w:b/>
                <w:sz w:val="21"/>
              </w:rPr>
            </w:pPr>
            <w:r>
              <w:rPr>
                <w:b/>
                <w:sz w:val="21"/>
              </w:rPr>
              <w:t>8.7</w:t>
            </w:r>
          </w:p>
        </w:tc>
        <w:tc>
          <w:tcPr>
            <w:tcW w:w="1668" w:type="dxa"/>
          </w:tcPr>
          <w:p>
            <w:pPr>
              <w:pStyle w:val="TableParagraph"/>
              <w:spacing w:before="109"/>
              <w:ind w:left="122"/>
              <w:rPr>
                <w:b/>
                <w:sz w:val="21"/>
              </w:rPr>
            </w:pPr>
            <w:r>
              <w:rPr>
                <w:b/>
                <w:sz w:val="21"/>
              </w:rPr>
              <w:t>无有效行驶证</w:t>
            </w:r>
          </w:p>
        </w:tc>
        <w:tc>
          <w:tcPr>
            <w:tcW w:w="7288" w:type="dxa"/>
          </w:tcPr>
          <w:p>
            <w:pPr>
              <w:pStyle w:val="TableParagraph"/>
              <w:spacing w:before="129"/>
              <w:ind w:left="108"/>
              <w:rPr>
                <w:sz w:val="18"/>
              </w:rPr>
            </w:pPr>
            <w:r>
              <w:rPr>
                <w:sz w:val="18"/>
              </w:rPr>
              <w:t>指下列情形之一：</w:t>
            </w:r>
          </w:p>
          <w:p>
            <w:pPr>
              <w:pStyle w:val="TableParagraph"/>
              <w:numPr>
                <w:ilvl w:val="0"/>
                <w:numId w:val="7"/>
              </w:numPr>
              <w:tabs>
                <w:tab w:pos="478" w:val="left" w:leader="none"/>
              </w:tabs>
              <w:spacing w:line="240" w:lineRule="auto" w:before="75" w:after="0"/>
              <w:ind w:left="477" w:right="0" w:hanging="369"/>
              <w:jc w:val="left"/>
              <w:rPr>
                <w:sz w:val="18"/>
              </w:rPr>
            </w:pPr>
            <w:r>
              <w:rPr>
                <w:sz w:val="18"/>
              </w:rPr>
              <w:t>机动车被依法注销登记的；</w:t>
            </w:r>
          </w:p>
          <w:p>
            <w:pPr>
              <w:pStyle w:val="TableParagraph"/>
              <w:numPr>
                <w:ilvl w:val="0"/>
                <w:numId w:val="7"/>
              </w:numPr>
              <w:tabs>
                <w:tab w:pos="471" w:val="left" w:leader="none"/>
              </w:tabs>
              <w:spacing w:line="240" w:lineRule="auto" w:before="75" w:after="0"/>
              <w:ind w:left="470" w:right="0" w:hanging="362"/>
              <w:jc w:val="left"/>
              <w:rPr>
                <w:sz w:val="18"/>
              </w:rPr>
            </w:pPr>
            <w:r>
              <w:rPr>
                <w:spacing w:val="-1"/>
                <w:sz w:val="18"/>
              </w:rPr>
              <w:t>未依法按时进行或通过机动车安全技术检验。</w:t>
            </w:r>
          </w:p>
        </w:tc>
        <w:tc>
          <w:tcPr>
            <w:tcW w:w="55" w:type="dxa"/>
          </w:tcPr>
          <w:p>
            <w:pPr>
              <w:pStyle w:val="TableParagraph"/>
              <w:rPr>
                <w:rFonts w:ascii="Times New Roman"/>
                <w:sz w:val="18"/>
              </w:rPr>
            </w:pPr>
          </w:p>
        </w:tc>
      </w:tr>
      <w:tr>
        <w:trPr>
          <w:trHeight w:val="852" w:hRule="atLeast"/>
        </w:trPr>
        <w:tc>
          <w:tcPr>
            <w:tcW w:w="653" w:type="dxa"/>
          </w:tcPr>
          <w:p>
            <w:pPr>
              <w:pStyle w:val="TableParagraph"/>
              <w:spacing w:before="110"/>
              <w:ind w:left="88" w:right="206"/>
              <w:jc w:val="center"/>
              <w:rPr>
                <w:b/>
                <w:sz w:val="21"/>
              </w:rPr>
            </w:pPr>
            <w:r>
              <w:rPr>
                <w:b/>
                <w:sz w:val="21"/>
              </w:rPr>
              <w:t>8.8</w:t>
            </w:r>
          </w:p>
        </w:tc>
        <w:tc>
          <w:tcPr>
            <w:tcW w:w="1668" w:type="dxa"/>
          </w:tcPr>
          <w:p>
            <w:pPr>
              <w:pStyle w:val="TableParagraph"/>
              <w:spacing w:before="110"/>
              <w:ind w:left="122"/>
              <w:rPr>
                <w:b/>
                <w:sz w:val="21"/>
              </w:rPr>
            </w:pPr>
            <w:r>
              <w:rPr>
                <w:b/>
                <w:sz w:val="21"/>
              </w:rPr>
              <w:t>艾滋病</w:t>
            </w:r>
          </w:p>
        </w:tc>
        <w:tc>
          <w:tcPr>
            <w:tcW w:w="7288" w:type="dxa"/>
          </w:tcPr>
          <w:p>
            <w:pPr>
              <w:pStyle w:val="TableParagraph"/>
              <w:spacing w:line="316" w:lineRule="auto" w:before="130"/>
              <w:ind w:left="108" w:right="154"/>
              <w:rPr>
                <w:sz w:val="18"/>
              </w:rPr>
            </w:pPr>
            <w:r>
              <w:rPr>
                <w:sz w:val="18"/>
              </w:rPr>
              <w:t>获得性免疫力缺乏综合征（AIDS）的简称。在人体血液或其它样本中检测到人类免疫缺陷病毒或其抗体呈阳性，同时出现了明显临床症状或体征，则可认为患艾滋病。</w:t>
            </w:r>
          </w:p>
        </w:tc>
        <w:tc>
          <w:tcPr>
            <w:tcW w:w="55" w:type="dxa"/>
          </w:tcPr>
          <w:p>
            <w:pPr>
              <w:pStyle w:val="TableParagraph"/>
              <w:rPr>
                <w:rFonts w:ascii="Times New Roman"/>
                <w:sz w:val="18"/>
              </w:rPr>
            </w:pPr>
          </w:p>
        </w:tc>
      </w:tr>
      <w:tr>
        <w:trPr>
          <w:trHeight w:val="850" w:hRule="atLeast"/>
        </w:trPr>
        <w:tc>
          <w:tcPr>
            <w:tcW w:w="653" w:type="dxa"/>
          </w:tcPr>
          <w:p>
            <w:pPr>
              <w:pStyle w:val="TableParagraph"/>
              <w:spacing w:before="110"/>
              <w:ind w:left="88" w:right="206"/>
              <w:jc w:val="center"/>
              <w:rPr>
                <w:b/>
                <w:sz w:val="21"/>
              </w:rPr>
            </w:pPr>
            <w:r>
              <w:rPr>
                <w:b/>
                <w:sz w:val="21"/>
              </w:rPr>
              <w:t>8.9</w:t>
            </w:r>
          </w:p>
        </w:tc>
        <w:tc>
          <w:tcPr>
            <w:tcW w:w="1668" w:type="dxa"/>
          </w:tcPr>
          <w:p>
            <w:pPr>
              <w:pStyle w:val="TableParagraph"/>
              <w:spacing w:before="110"/>
              <w:ind w:left="122"/>
              <w:rPr>
                <w:b/>
                <w:sz w:val="21"/>
              </w:rPr>
            </w:pPr>
            <w:r>
              <w:rPr>
                <w:b/>
                <w:sz w:val="21"/>
              </w:rPr>
              <w:t>艾滋病病毒</w:t>
            </w:r>
          </w:p>
        </w:tc>
        <w:tc>
          <w:tcPr>
            <w:tcW w:w="7288" w:type="dxa"/>
          </w:tcPr>
          <w:p>
            <w:pPr>
              <w:pStyle w:val="TableParagraph"/>
              <w:spacing w:line="316" w:lineRule="auto" w:before="130"/>
              <w:ind w:left="108" w:right="52"/>
              <w:rPr>
                <w:sz w:val="18"/>
              </w:rPr>
            </w:pPr>
            <w:r>
              <w:rPr>
                <w:sz w:val="18"/>
              </w:rPr>
              <w:t>人类免疫缺陷病毒（HIV）的简称。如在人体血液或其它样本中检测到人类免疫缺陷病毒或其抗体呈阳性，没有出现临床症状或体征，则可认定为感染艾滋病病毒。</w:t>
            </w:r>
          </w:p>
        </w:tc>
        <w:tc>
          <w:tcPr>
            <w:tcW w:w="55" w:type="dxa"/>
          </w:tcPr>
          <w:p>
            <w:pPr>
              <w:pStyle w:val="TableParagraph"/>
              <w:rPr>
                <w:rFonts w:ascii="Times New Roman"/>
                <w:sz w:val="18"/>
              </w:rPr>
            </w:pPr>
          </w:p>
        </w:tc>
      </w:tr>
      <w:tr>
        <w:trPr>
          <w:trHeight w:val="851" w:hRule="atLeast"/>
        </w:trPr>
        <w:tc>
          <w:tcPr>
            <w:tcW w:w="653" w:type="dxa"/>
          </w:tcPr>
          <w:p>
            <w:pPr>
              <w:pStyle w:val="TableParagraph"/>
              <w:spacing w:before="109"/>
              <w:ind w:left="88" w:right="100"/>
              <w:jc w:val="center"/>
              <w:rPr>
                <w:b/>
                <w:sz w:val="21"/>
              </w:rPr>
            </w:pPr>
            <w:r>
              <w:rPr>
                <w:b/>
                <w:sz w:val="21"/>
              </w:rPr>
              <w:t>8.10</w:t>
            </w:r>
          </w:p>
        </w:tc>
        <w:tc>
          <w:tcPr>
            <w:tcW w:w="1668" w:type="dxa"/>
          </w:tcPr>
          <w:p>
            <w:pPr>
              <w:pStyle w:val="TableParagraph"/>
              <w:spacing w:before="109"/>
              <w:ind w:left="122"/>
              <w:rPr>
                <w:b/>
                <w:sz w:val="21"/>
              </w:rPr>
            </w:pPr>
            <w:r>
              <w:rPr>
                <w:b/>
                <w:sz w:val="21"/>
              </w:rPr>
              <w:t>遗传性疾病</w:t>
            </w:r>
          </w:p>
        </w:tc>
        <w:tc>
          <w:tcPr>
            <w:tcW w:w="7288" w:type="dxa"/>
          </w:tcPr>
          <w:p>
            <w:pPr>
              <w:pStyle w:val="TableParagraph"/>
              <w:spacing w:line="316" w:lineRule="auto" w:before="129"/>
              <w:ind w:left="108" w:right="157"/>
              <w:rPr>
                <w:sz w:val="18"/>
              </w:rPr>
            </w:pPr>
            <w:r>
              <w:rPr>
                <w:sz w:val="18"/>
              </w:rPr>
              <w:t>指生殖细胞或受精卵的遗传物质（染色体和基因）发生突变或畸变所引起的疾病，通常具有由亲代传至后代的垂直传递的特征。</w:t>
            </w:r>
          </w:p>
        </w:tc>
        <w:tc>
          <w:tcPr>
            <w:tcW w:w="55" w:type="dxa"/>
          </w:tcPr>
          <w:p>
            <w:pPr>
              <w:pStyle w:val="TableParagraph"/>
              <w:rPr>
                <w:rFonts w:ascii="Times New Roman"/>
                <w:sz w:val="18"/>
              </w:rPr>
            </w:pPr>
          </w:p>
        </w:tc>
      </w:tr>
      <w:tr>
        <w:trPr>
          <w:trHeight w:val="1172" w:hRule="atLeast"/>
        </w:trPr>
        <w:tc>
          <w:tcPr>
            <w:tcW w:w="653" w:type="dxa"/>
          </w:tcPr>
          <w:p>
            <w:pPr>
              <w:pStyle w:val="TableParagraph"/>
              <w:spacing w:before="110"/>
              <w:ind w:left="88" w:right="100"/>
              <w:jc w:val="center"/>
              <w:rPr>
                <w:b/>
                <w:sz w:val="21"/>
              </w:rPr>
            </w:pPr>
            <w:r>
              <w:rPr>
                <w:b/>
                <w:sz w:val="21"/>
              </w:rPr>
              <w:t>8.11</w:t>
            </w:r>
          </w:p>
        </w:tc>
        <w:tc>
          <w:tcPr>
            <w:tcW w:w="1668" w:type="dxa"/>
          </w:tcPr>
          <w:p>
            <w:pPr>
              <w:pStyle w:val="TableParagraph"/>
              <w:spacing w:line="273" w:lineRule="auto" w:before="110"/>
              <w:ind w:left="122" w:right="106"/>
              <w:jc w:val="both"/>
              <w:rPr>
                <w:b/>
                <w:sz w:val="21"/>
              </w:rPr>
            </w:pPr>
            <w:r>
              <w:rPr>
                <w:b/>
                <w:spacing w:val="-6"/>
                <w:sz w:val="21"/>
              </w:rPr>
              <w:t>先天性畸形、变</w:t>
            </w:r>
            <w:r>
              <w:rPr>
                <w:b/>
                <w:spacing w:val="25"/>
                <w:sz w:val="21"/>
              </w:rPr>
              <w:t>形或染色体异常</w:t>
            </w:r>
          </w:p>
        </w:tc>
        <w:tc>
          <w:tcPr>
            <w:tcW w:w="7288" w:type="dxa"/>
          </w:tcPr>
          <w:p>
            <w:pPr>
              <w:pStyle w:val="TableParagraph"/>
              <w:spacing w:line="316" w:lineRule="auto" w:before="131"/>
              <w:ind w:left="108" w:right="157"/>
              <w:rPr>
                <w:sz w:val="18"/>
              </w:rPr>
            </w:pPr>
            <w:r>
              <w:rPr>
                <w:sz w:val="18"/>
              </w:rPr>
              <w:t>指被保险人出生时就具有的畸形、变形或染色体异常。先天性畸形、变形和染色体异常依照世界卫生组织《疾病和有关健康问题的国际统计分类》（ICD-10）确定。</w:t>
            </w:r>
          </w:p>
        </w:tc>
        <w:tc>
          <w:tcPr>
            <w:tcW w:w="55" w:type="dxa"/>
          </w:tcPr>
          <w:p>
            <w:pPr>
              <w:pStyle w:val="TableParagraph"/>
              <w:rPr>
                <w:rFonts w:ascii="Times New Roman"/>
                <w:sz w:val="18"/>
              </w:rPr>
            </w:pPr>
          </w:p>
        </w:tc>
      </w:tr>
      <w:tr>
        <w:trPr>
          <w:trHeight w:val="841" w:hRule="atLeast"/>
        </w:trPr>
        <w:tc>
          <w:tcPr>
            <w:tcW w:w="653" w:type="dxa"/>
          </w:tcPr>
          <w:p>
            <w:pPr>
              <w:pStyle w:val="TableParagraph"/>
              <w:spacing w:before="99"/>
              <w:ind w:left="88" w:right="100"/>
              <w:jc w:val="center"/>
              <w:rPr>
                <w:b/>
                <w:sz w:val="21"/>
              </w:rPr>
            </w:pPr>
            <w:r>
              <w:rPr>
                <w:b/>
                <w:sz w:val="21"/>
              </w:rPr>
              <w:t>8.12</w:t>
            </w:r>
          </w:p>
        </w:tc>
        <w:tc>
          <w:tcPr>
            <w:tcW w:w="1668" w:type="dxa"/>
          </w:tcPr>
          <w:p>
            <w:pPr>
              <w:pStyle w:val="TableParagraph"/>
              <w:spacing w:before="99"/>
              <w:ind w:left="122"/>
              <w:rPr>
                <w:b/>
                <w:sz w:val="21"/>
              </w:rPr>
            </w:pPr>
            <w:r>
              <w:rPr>
                <w:b/>
                <w:sz w:val="21"/>
              </w:rPr>
              <w:t>现金价值</w:t>
            </w:r>
          </w:p>
        </w:tc>
        <w:tc>
          <w:tcPr>
            <w:tcW w:w="7288" w:type="dxa"/>
          </w:tcPr>
          <w:p>
            <w:pPr>
              <w:pStyle w:val="TableParagraph"/>
              <w:spacing w:line="316" w:lineRule="auto" w:before="120"/>
              <w:ind w:left="108" w:right="157"/>
              <w:rPr>
                <w:sz w:val="18"/>
              </w:rPr>
            </w:pPr>
            <w:r>
              <w:rPr>
                <w:sz w:val="18"/>
              </w:rPr>
              <w:t>指保险单所具有的价值，通常体现为解除合同时，根据精算原理计算的，由本公司退还的那部分金额。</w:t>
            </w:r>
          </w:p>
        </w:tc>
        <w:tc>
          <w:tcPr>
            <w:tcW w:w="55" w:type="dxa"/>
          </w:tcPr>
          <w:p>
            <w:pPr>
              <w:pStyle w:val="TableParagraph"/>
              <w:rPr>
                <w:rFonts w:ascii="Times New Roman"/>
                <w:sz w:val="18"/>
              </w:rPr>
            </w:pPr>
          </w:p>
        </w:tc>
      </w:tr>
      <w:tr>
        <w:trPr>
          <w:trHeight w:val="384" w:hRule="atLeast"/>
        </w:trPr>
        <w:tc>
          <w:tcPr>
            <w:tcW w:w="653" w:type="dxa"/>
          </w:tcPr>
          <w:p>
            <w:pPr>
              <w:pStyle w:val="TableParagraph"/>
              <w:spacing w:line="255" w:lineRule="exact" w:before="110"/>
              <w:ind w:left="88" w:right="100"/>
              <w:jc w:val="center"/>
              <w:rPr>
                <w:b/>
                <w:sz w:val="21"/>
              </w:rPr>
            </w:pPr>
            <w:r>
              <w:rPr>
                <w:b/>
                <w:sz w:val="21"/>
              </w:rPr>
              <w:t>8.13</w:t>
            </w:r>
          </w:p>
        </w:tc>
        <w:tc>
          <w:tcPr>
            <w:tcW w:w="1668" w:type="dxa"/>
          </w:tcPr>
          <w:p>
            <w:pPr>
              <w:pStyle w:val="TableParagraph"/>
              <w:spacing w:line="255" w:lineRule="exact" w:before="110"/>
              <w:ind w:left="122"/>
              <w:rPr>
                <w:b/>
                <w:sz w:val="21"/>
              </w:rPr>
            </w:pPr>
            <w:r>
              <w:rPr>
                <w:b/>
                <w:sz w:val="21"/>
              </w:rPr>
              <w:t>利息</w:t>
            </w:r>
          </w:p>
        </w:tc>
        <w:tc>
          <w:tcPr>
            <w:tcW w:w="7288" w:type="dxa"/>
          </w:tcPr>
          <w:p>
            <w:pPr>
              <w:pStyle w:val="TableParagraph"/>
              <w:spacing w:line="234" w:lineRule="exact" w:before="130"/>
              <w:ind w:left="108"/>
              <w:rPr>
                <w:sz w:val="18"/>
              </w:rPr>
            </w:pPr>
            <w:r>
              <w:rPr>
                <w:sz w:val="18"/>
              </w:rPr>
              <w:t>除本附加合同另有约定外,本附加合同中提到的利息一律按年复利方式计算。</w:t>
            </w:r>
          </w:p>
        </w:tc>
        <w:tc>
          <w:tcPr>
            <w:tcW w:w="55" w:type="dxa"/>
          </w:tcPr>
          <w:p>
            <w:pPr>
              <w:pStyle w:val="TableParagraph"/>
              <w:rPr>
                <w:rFonts w:ascii="Times New Roman"/>
                <w:sz w:val="18"/>
              </w:rPr>
            </w:pPr>
          </w:p>
        </w:tc>
      </w:tr>
    </w:tbl>
    <w:p>
      <w:pPr>
        <w:spacing w:after="0"/>
        <w:rPr>
          <w:rFonts w:ascii="Times New Roman"/>
          <w:sz w:val="18"/>
        </w:rPr>
        <w:sectPr>
          <w:pgSz w:w="11910" w:h="16840"/>
          <w:pgMar w:header="857" w:footer="976" w:top="1040" w:bottom="1160" w:left="1080" w:right="940"/>
        </w:sectPr>
      </w:pPr>
    </w:p>
    <w:p>
      <w:pPr>
        <w:pStyle w:val="BodyText"/>
        <w:spacing w:before="11"/>
        <w:rPr>
          <w:rFonts w:ascii="Times New Roman"/>
          <w:sz w:val="3"/>
        </w:rPr>
      </w:pPr>
    </w:p>
    <w:p>
      <w:pPr>
        <w:pStyle w:val="BodyText"/>
        <w:spacing w:line="20" w:lineRule="exact"/>
        <w:ind w:left="36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5"/>
        <w:rPr>
          <w:rFonts w:ascii="Times New Roman"/>
          <w:sz w:val="21"/>
        </w:rPr>
      </w:pPr>
    </w:p>
    <w:p>
      <w:pPr>
        <w:pStyle w:val="Heading2"/>
        <w:spacing w:before="36"/>
        <w:ind w:left="4096" w:right="4185"/>
        <w:jc w:val="center"/>
      </w:pPr>
      <w:r>
        <w:rPr/>
        <w:t>附表一：重大疾病说明</w:t>
      </w:r>
    </w:p>
    <w:p>
      <w:pPr>
        <w:pStyle w:val="BodyText"/>
        <w:spacing w:before="6"/>
        <w:rPr>
          <w:b/>
          <w:sz w:val="21"/>
        </w:rPr>
      </w:pPr>
    </w:p>
    <w:p>
      <w:pPr>
        <w:spacing w:before="37"/>
        <w:ind w:left="403" w:right="0" w:firstLine="0"/>
        <w:jc w:val="left"/>
        <w:rPr>
          <w:b/>
          <w:sz w:val="21"/>
        </w:rPr>
      </w:pPr>
      <w:r>
        <w:rPr>
          <w:b/>
          <w:sz w:val="21"/>
        </w:rPr>
        <w:t>重大疾病：指下列疾病或手术之一</w:t>
      </w:r>
    </w:p>
    <w:p>
      <w:pPr>
        <w:pStyle w:val="BodyText"/>
        <w:spacing w:before="10"/>
        <w:rPr>
          <w:b/>
          <w:sz w:val="24"/>
        </w:rPr>
      </w:pPr>
    </w:p>
    <w:p>
      <w:pPr>
        <w:spacing w:line="300" w:lineRule="auto" w:before="0"/>
        <w:ind w:left="403" w:right="417" w:firstLine="0"/>
        <w:jc w:val="left"/>
        <w:rPr>
          <w:b/>
          <w:i/>
          <w:sz w:val="19"/>
        </w:rPr>
      </w:pPr>
      <w:r>
        <w:rPr>
          <w:b/>
          <w:i/>
          <w:w w:val="95"/>
          <w:sz w:val="19"/>
        </w:rPr>
        <w:t>被保险人发生符合前 25 种疾病（特指定义在中国保险行业协会《重大疾病保险的疾病定义使用规范》中的重大疾病）定义所述条件的重大疾病，须由专科医生（注 1）明确诊断。</w:t>
      </w:r>
    </w:p>
    <w:p>
      <w:pPr>
        <w:pStyle w:val="BodyText"/>
        <w:spacing w:before="10"/>
        <w:rPr>
          <w:b/>
          <w:i/>
          <w:sz w:val="26"/>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959"/>
      </w:tblGrid>
      <w:tr>
        <w:trPr>
          <w:trHeight w:val="2861" w:hRule="atLeast"/>
        </w:trPr>
        <w:tc>
          <w:tcPr>
            <w:tcW w:w="2241" w:type="dxa"/>
          </w:tcPr>
          <w:p>
            <w:pPr>
              <w:pStyle w:val="TableParagraph"/>
              <w:tabs>
                <w:tab w:pos="619" w:val="left" w:leader="none"/>
              </w:tabs>
              <w:spacing w:line="211" w:lineRule="exact"/>
              <w:ind w:left="200"/>
              <w:rPr>
                <w:b/>
                <w:sz w:val="21"/>
              </w:rPr>
            </w:pPr>
            <w:r>
              <w:rPr>
                <w:b/>
                <w:sz w:val="21"/>
              </w:rPr>
              <w:t>1.</w:t>
              <w:tab/>
              <w:t>恶性肿瘤</w:t>
            </w:r>
          </w:p>
        </w:tc>
        <w:tc>
          <w:tcPr>
            <w:tcW w:w="7959" w:type="dxa"/>
          </w:tcPr>
          <w:p>
            <w:pPr>
              <w:pStyle w:val="TableParagraph"/>
              <w:spacing w:line="192" w:lineRule="exact"/>
              <w:ind w:left="143"/>
              <w:rPr>
                <w:sz w:val="18"/>
              </w:rPr>
            </w:pPr>
            <w:r>
              <w:rPr>
                <w:sz w:val="18"/>
              </w:rPr>
              <w:t>指恶性细胞不受控制的进行性增长和扩散，浸润和破坏周围正常组织，可以经血管、淋巴管和体</w:t>
            </w:r>
          </w:p>
          <w:p>
            <w:pPr>
              <w:pStyle w:val="TableParagraph"/>
              <w:spacing w:line="316" w:lineRule="auto" w:before="76"/>
              <w:ind w:left="143" w:right="289"/>
              <w:rPr>
                <w:sz w:val="18"/>
              </w:rPr>
            </w:pPr>
            <w:r>
              <w:rPr>
                <w:spacing w:val="-10"/>
                <w:sz w:val="18"/>
              </w:rPr>
              <w:t>腔扩散转移到身体其它部位的疾病。经病理学检查结果明确诊断，临床诊断属于世界卫生组织《疾</w:t>
            </w:r>
            <w:r>
              <w:rPr>
                <w:spacing w:val="-16"/>
                <w:sz w:val="18"/>
              </w:rPr>
              <w:t>病和有关健康问题的国际统计分类》</w:t>
            </w:r>
            <w:r>
              <w:rPr>
                <w:sz w:val="18"/>
              </w:rPr>
              <w:t>（ICD-10）</w:t>
            </w:r>
            <w:r>
              <w:rPr>
                <w:spacing w:val="-1"/>
                <w:sz w:val="18"/>
              </w:rPr>
              <w:t>的恶性肿瘤范畴。</w:t>
            </w:r>
          </w:p>
          <w:p>
            <w:pPr>
              <w:pStyle w:val="TableParagraph"/>
              <w:spacing w:before="18"/>
              <w:ind w:left="143"/>
              <w:rPr>
                <w:sz w:val="18"/>
              </w:rPr>
            </w:pPr>
            <w:r>
              <w:rPr>
                <w:sz w:val="18"/>
              </w:rPr>
              <w:t>下列疾病不在保障范围内：</w:t>
            </w:r>
          </w:p>
          <w:p>
            <w:pPr>
              <w:pStyle w:val="TableParagraph"/>
              <w:numPr>
                <w:ilvl w:val="0"/>
                <w:numId w:val="8"/>
              </w:numPr>
              <w:tabs>
                <w:tab w:pos="564" w:val="left" w:leader="none"/>
              </w:tabs>
              <w:spacing w:line="240" w:lineRule="auto" w:before="76" w:after="0"/>
              <w:ind w:left="563" w:right="0" w:hanging="420"/>
              <w:jc w:val="left"/>
              <w:rPr>
                <w:sz w:val="18"/>
              </w:rPr>
            </w:pPr>
            <w:r>
              <w:rPr>
                <w:sz w:val="18"/>
              </w:rPr>
              <w:t>原位癌</w:t>
            </w:r>
          </w:p>
          <w:p>
            <w:pPr>
              <w:pStyle w:val="TableParagraph"/>
              <w:numPr>
                <w:ilvl w:val="0"/>
                <w:numId w:val="8"/>
              </w:numPr>
              <w:tabs>
                <w:tab w:pos="564" w:val="left" w:leader="none"/>
              </w:tabs>
              <w:spacing w:line="240" w:lineRule="auto" w:before="76" w:after="0"/>
              <w:ind w:left="563" w:right="0" w:hanging="420"/>
              <w:jc w:val="left"/>
              <w:rPr>
                <w:sz w:val="18"/>
              </w:rPr>
            </w:pPr>
            <w:r>
              <w:rPr>
                <w:spacing w:val="-12"/>
                <w:sz w:val="18"/>
              </w:rPr>
              <w:t>相当于 </w:t>
            </w:r>
            <w:r>
              <w:rPr>
                <w:sz w:val="18"/>
              </w:rPr>
              <w:t>Binet</w:t>
            </w:r>
            <w:r>
              <w:rPr>
                <w:spacing w:val="-17"/>
                <w:sz w:val="18"/>
              </w:rPr>
              <w:t> 分期方案 </w:t>
            </w:r>
            <w:r>
              <w:rPr>
                <w:sz w:val="18"/>
              </w:rPr>
              <w:t>A</w:t>
            </w:r>
            <w:r>
              <w:rPr>
                <w:spacing w:val="-8"/>
                <w:sz w:val="18"/>
              </w:rPr>
              <w:t> 期程度的慢性淋巴细胞白血病；</w:t>
            </w:r>
          </w:p>
          <w:p>
            <w:pPr>
              <w:pStyle w:val="TableParagraph"/>
              <w:numPr>
                <w:ilvl w:val="0"/>
                <w:numId w:val="8"/>
              </w:numPr>
              <w:tabs>
                <w:tab w:pos="564" w:val="left" w:leader="none"/>
              </w:tabs>
              <w:spacing w:line="240" w:lineRule="auto" w:before="76" w:after="0"/>
              <w:ind w:left="563" w:right="0" w:hanging="420"/>
              <w:jc w:val="left"/>
              <w:rPr>
                <w:sz w:val="18"/>
              </w:rPr>
            </w:pPr>
            <w:r>
              <w:rPr>
                <w:spacing w:val="-12"/>
                <w:sz w:val="18"/>
              </w:rPr>
              <w:t>相当于 </w:t>
            </w:r>
            <w:r>
              <w:rPr>
                <w:sz w:val="18"/>
              </w:rPr>
              <w:t>Ann</w:t>
            </w:r>
            <w:r>
              <w:rPr>
                <w:spacing w:val="-2"/>
                <w:sz w:val="18"/>
              </w:rPr>
              <w:t> </w:t>
            </w:r>
            <w:r>
              <w:rPr>
                <w:sz w:val="18"/>
              </w:rPr>
              <w:t>Arbor</w:t>
            </w:r>
            <w:r>
              <w:rPr>
                <w:spacing w:val="-17"/>
                <w:sz w:val="18"/>
              </w:rPr>
              <w:t> 分期方案 </w:t>
            </w:r>
            <w:r>
              <w:rPr>
                <w:sz w:val="18"/>
              </w:rPr>
              <w:t>I</w:t>
            </w:r>
            <w:r>
              <w:rPr>
                <w:spacing w:val="-7"/>
                <w:sz w:val="18"/>
              </w:rPr>
              <w:t> 期程度的何杰金氏病；</w:t>
            </w:r>
          </w:p>
          <w:p>
            <w:pPr>
              <w:pStyle w:val="TableParagraph"/>
              <w:numPr>
                <w:ilvl w:val="0"/>
                <w:numId w:val="8"/>
              </w:numPr>
              <w:tabs>
                <w:tab w:pos="564" w:val="left" w:leader="none"/>
              </w:tabs>
              <w:spacing w:line="240" w:lineRule="auto" w:before="76" w:after="0"/>
              <w:ind w:left="563" w:right="0" w:hanging="420"/>
              <w:jc w:val="left"/>
              <w:rPr>
                <w:sz w:val="18"/>
              </w:rPr>
            </w:pPr>
            <w:r>
              <w:rPr>
                <w:sz w:val="18"/>
              </w:rPr>
              <w:t>皮肤癌（不包括恶性黑色素瘤及已发生转移的皮肤癌</w:t>
            </w:r>
            <w:r>
              <w:rPr>
                <w:spacing w:val="-92"/>
                <w:sz w:val="18"/>
              </w:rPr>
              <w:t>）</w:t>
            </w:r>
            <w:r>
              <w:rPr>
                <w:sz w:val="18"/>
              </w:rPr>
              <w:t>；</w:t>
            </w:r>
          </w:p>
          <w:p>
            <w:pPr>
              <w:pStyle w:val="TableParagraph"/>
              <w:numPr>
                <w:ilvl w:val="0"/>
                <w:numId w:val="8"/>
              </w:numPr>
              <w:tabs>
                <w:tab w:pos="564" w:val="left" w:leader="none"/>
              </w:tabs>
              <w:spacing w:line="240" w:lineRule="auto" w:before="76" w:after="0"/>
              <w:ind w:left="563" w:right="0" w:hanging="420"/>
              <w:jc w:val="left"/>
              <w:rPr>
                <w:sz w:val="18"/>
              </w:rPr>
            </w:pPr>
            <w:r>
              <w:rPr>
                <w:sz w:val="18"/>
              </w:rPr>
              <w:t>TNM</w:t>
            </w:r>
            <w:r>
              <w:rPr>
                <w:spacing w:val="-19"/>
                <w:sz w:val="18"/>
              </w:rPr>
              <w:t> 分期为 </w:t>
            </w:r>
            <w:r>
              <w:rPr>
                <w:sz w:val="18"/>
              </w:rPr>
              <w:t>T1N0M0</w:t>
            </w:r>
            <w:r>
              <w:rPr>
                <w:spacing w:val="-7"/>
                <w:sz w:val="18"/>
              </w:rPr>
              <w:t> 期或更轻分期的前列腺癌；</w:t>
            </w:r>
          </w:p>
        </w:tc>
      </w:tr>
      <w:tr>
        <w:trPr>
          <w:trHeight w:val="1786" w:hRule="atLeast"/>
        </w:trPr>
        <w:tc>
          <w:tcPr>
            <w:tcW w:w="2241" w:type="dxa"/>
          </w:tcPr>
          <w:p>
            <w:pPr>
              <w:pStyle w:val="TableParagraph"/>
              <w:tabs>
                <w:tab w:pos="619" w:val="left" w:leader="none"/>
              </w:tabs>
              <w:spacing w:before="109"/>
              <w:ind w:left="200"/>
              <w:rPr>
                <w:b/>
                <w:sz w:val="21"/>
              </w:rPr>
            </w:pPr>
            <w:r>
              <w:rPr>
                <w:b/>
                <w:sz w:val="21"/>
              </w:rPr>
              <w:t>2.</w:t>
              <w:tab/>
              <w:t>急性心肌梗塞</w:t>
            </w:r>
          </w:p>
        </w:tc>
        <w:tc>
          <w:tcPr>
            <w:tcW w:w="7959" w:type="dxa"/>
          </w:tcPr>
          <w:p>
            <w:pPr>
              <w:pStyle w:val="TableParagraph"/>
              <w:spacing w:before="129"/>
              <w:ind w:left="143"/>
              <w:rPr>
                <w:sz w:val="18"/>
              </w:rPr>
            </w:pPr>
            <w:r>
              <w:rPr>
                <w:sz w:val="18"/>
              </w:rPr>
              <w:t>指因冠状动脉阻塞导致的相应区域供血不足造成部分心肌坏死。须满足下列至少三项条件：</w:t>
            </w:r>
          </w:p>
          <w:p>
            <w:pPr>
              <w:pStyle w:val="TableParagraph"/>
              <w:numPr>
                <w:ilvl w:val="0"/>
                <w:numId w:val="9"/>
              </w:numPr>
              <w:tabs>
                <w:tab w:pos="506" w:val="left" w:leader="none"/>
              </w:tabs>
              <w:spacing w:line="240" w:lineRule="auto" w:before="76" w:after="0"/>
              <w:ind w:left="505" w:right="0" w:hanging="362"/>
              <w:jc w:val="left"/>
              <w:rPr>
                <w:sz w:val="18"/>
              </w:rPr>
            </w:pPr>
            <w:r>
              <w:rPr>
                <w:spacing w:val="-1"/>
                <w:sz w:val="18"/>
              </w:rPr>
              <w:t>典型临床表现，例如急性胸痛等；</w:t>
            </w:r>
          </w:p>
          <w:p>
            <w:pPr>
              <w:pStyle w:val="TableParagraph"/>
              <w:numPr>
                <w:ilvl w:val="0"/>
                <w:numId w:val="9"/>
              </w:numPr>
              <w:tabs>
                <w:tab w:pos="506" w:val="left" w:leader="none"/>
              </w:tabs>
              <w:spacing w:line="240" w:lineRule="auto" w:before="76" w:after="0"/>
              <w:ind w:left="505" w:right="0" w:hanging="362"/>
              <w:jc w:val="left"/>
              <w:rPr>
                <w:sz w:val="18"/>
              </w:rPr>
            </w:pPr>
            <w:r>
              <w:rPr>
                <w:spacing w:val="-1"/>
                <w:sz w:val="18"/>
              </w:rPr>
              <w:t>新近的心电图改变提示急性心肌梗塞；</w:t>
            </w:r>
          </w:p>
          <w:p>
            <w:pPr>
              <w:pStyle w:val="TableParagraph"/>
              <w:numPr>
                <w:ilvl w:val="0"/>
                <w:numId w:val="9"/>
              </w:numPr>
              <w:tabs>
                <w:tab w:pos="506" w:val="left" w:leader="none"/>
              </w:tabs>
              <w:spacing w:line="240" w:lineRule="auto" w:before="76" w:after="0"/>
              <w:ind w:left="505" w:right="0" w:hanging="362"/>
              <w:jc w:val="left"/>
              <w:rPr>
                <w:sz w:val="18"/>
              </w:rPr>
            </w:pPr>
            <w:r>
              <w:rPr>
                <w:spacing w:val="-1"/>
                <w:sz w:val="18"/>
              </w:rPr>
              <w:t>心肌酶或肌钙蛋白有诊断意义的升高，或呈符合急性心肌梗塞的动态性变化；</w:t>
            </w:r>
          </w:p>
          <w:p>
            <w:pPr>
              <w:pStyle w:val="TableParagraph"/>
              <w:numPr>
                <w:ilvl w:val="0"/>
                <w:numId w:val="9"/>
              </w:numPr>
              <w:tabs>
                <w:tab w:pos="506" w:val="left" w:leader="none"/>
              </w:tabs>
              <w:spacing w:line="240" w:lineRule="auto" w:before="76" w:after="0"/>
              <w:ind w:left="505" w:right="0" w:hanging="362"/>
              <w:jc w:val="left"/>
              <w:rPr>
                <w:sz w:val="18"/>
              </w:rPr>
            </w:pPr>
            <w:r>
              <w:rPr>
                <w:spacing w:val="-16"/>
                <w:sz w:val="18"/>
              </w:rPr>
              <w:t>发病 </w:t>
            </w:r>
            <w:r>
              <w:rPr>
                <w:sz w:val="18"/>
              </w:rPr>
              <w:t>90</w:t>
            </w:r>
            <w:r>
              <w:rPr>
                <w:spacing w:val="-9"/>
                <w:sz w:val="18"/>
              </w:rPr>
              <w:t> 天后，经检查证实左心室功能降低，如左心室射血分数低于 </w:t>
            </w:r>
            <w:r>
              <w:rPr>
                <w:sz w:val="18"/>
              </w:rPr>
              <w:t>50%。</w:t>
            </w:r>
          </w:p>
        </w:tc>
      </w:tr>
      <w:tr>
        <w:trPr>
          <w:trHeight w:val="1788" w:hRule="atLeast"/>
        </w:trPr>
        <w:tc>
          <w:tcPr>
            <w:tcW w:w="2241" w:type="dxa"/>
          </w:tcPr>
          <w:p>
            <w:pPr>
              <w:pStyle w:val="TableParagraph"/>
              <w:tabs>
                <w:tab w:pos="619" w:val="left" w:leader="none"/>
              </w:tabs>
              <w:spacing w:before="110"/>
              <w:ind w:left="200"/>
              <w:rPr>
                <w:b/>
                <w:sz w:val="21"/>
              </w:rPr>
            </w:pPr>
            <w:r>
              <w:rPr>
                <w:b/>
                <w:sz w:val="21"/>
              </w:rPr>
              <w:t>3.</w:t>
              <w:tab/>
              <w:t>脑中风后遗症</w:t>
            </w:r>
          </w:p>
        </w:tc>
        <w:tc>
          <w:tcPr>
            <w:tcW w:w="7959" w:type="dxa"/>
          </w:tcPr>
          <w:p>
            <w:pPr>
              <w:pStyle w:val="TableParagraph"/>
              <w:spacing w:line="316" w:lineRule="auto" w:before="130"/>
              <w:ind w:left="143" w:right="232"/>
              <w:rPr>
                <w:sz w:val="18"/>
              </w:rPr>
            </w:pPr>
            <w:r>
              <w:rPr>
                <w:sz w:val="18"/>
              </w:rPr>
              <w:t>指因脑血管的突发病变引起脑血管出血、栓塞或梗塞，并导致神经系统永久性功能障碍。神经系统永久性的功能障碍，指疾病确诊 180 天后，仍遗留下列一种或一种以上障碍：</w:t>
            </w:r>
          </w:p>
          <w:p>
            <w:pPr>
              <w:pStyle w:val="TableParagraph"/>
              <w:numPr>
                <w:ilvl w:val="0"/>
                <w:numId w:val="10"/>
              </w:numPr>
              <w:tabs>
                <w:tab w:pos="506" w:val="left" w:leader="none"/>
              </w:tabs>
              <w:spacing w:line="240" w:lineRule="auto" w:before="18" w:after="0"/>
              <w:ind w:left="505" w:right="0" w:hanging="362"/>
              <w:jc w:val="left"/>
              <w:rPr>
                <w:sz w:val="18"/>
              </w:rPr>
            </w:pPr>
            <w:r>
              <w:rPr>
                <w:spacing w:val="-1"/>
                <w:sz w:val="18"/>
              </w:rPr>
              <w:t>一肢或一肢以上肢体机能完全丧失</w:t>
            </w:r>
            <w:r>
              <w:rPr>
                <w:sz w:val="18"/>
              </w:rPr>
              <w:t>（</w:t>
            </w:r>
            <w:r>
              <w:rPr>
                <w:spacing w:val="-23"/>
                <w:sz w:val="18"/>
              </w:rPr>
              <w:t>注 </w:t>
            </w:r>
            <w:r>
              <w:rPr>
                <w:spacing w:val="0"/>
                <w:sz w:val="18"/>
              </w:rPr>
              <w:t>2</w:t>
            </w:r>
            <w:r>
              <w:rPr>
                <w:spacing w:val="-92"/>
                <w:sz w:val="18"/>
              </w:rPr>
              <w:t>）</w:t>
            </w:r>
            <w:r>
              <w:rPr>
                <w:sz w:val="18"/>
              </w:rPr>
              <w:t>；</w:t>
            </w:r>
          </w:p>
          <w:p>
            <w:pPr>
              <w:pStyle w:val="TableParagraph"/>
              <w:numPr>
                <w:ilvl w:val="0"/>
                <w:numId w:val="10"/>
              </w:numPr>
              <w:tabs>
                <w:tab w:pos="506" w:val="left" w:leader="none"/>
              </w:tabs>
              <w:spacing w:line="240" w:lineRule="auto" w:before="76" w:after="0"/>
              <w:ind w:left="505" w:right="0" w:hanging="362"/>
              <w:jc w:val="left"/>
              <w:rPr>
                <w:sz w:val="18"/>
              </w:rPr>
            </w:pPr>
            <w:r>
              <w:rPr>
                <w:spacing w:val="-1"/>
                <w:sz w:val="18"/>
              </w:rPr>
              <w:t>语言能力或咀嚼吞咽能力完全丧失</w:t>
            </w:r>
            <w:r>
              <w:rPr>
                <w:sz w:val="18"/>
              </w:rPr>
              <w:t>（</w:t>
            </w:r>
            <w:r>
              <w:rPr>
                <w:spacing w:val="-23"/>
                <w:sz w:val="18"/>
              </w:rPr>
              <w:t>注 </w:t>
            </w:r>
            <w:r>
              <w:rPr>
                <w:sz w:val="18"/>
              </w:rPr>
              <w:t>3</w:t>
            </w:r>
            <w:r>
              <w:rPr>
                <w:spacing w:val="-23"/>
                <w:sz w:val="18"/>
              </w:rPr>
              <w:t> 和注 </w:t>
            </w:r>
            <w:r>
              <w:rPr>
                <w:spacing w:val="0"/>
                <w:sz w:val="18"/>
              </w:rPr>
              <w:t>4</w:t>
            </w:r>
            <w:r>
              <w:rPr>
                <w:spacing w:val="-92"/>
                <w:sz w:val="18"/>
              </w:rPr>
              <w:t>）</w:t>
            </w:r>
            <w:r>
              <w:rPr>
                <w:sz w:val="18"/>
              </w:rPr>
              <w:t>；</w:t>
            </w:r>
          </w:p>
          <w:p>
            <w:pPr>
              <w:pStyle w:val="TableParagraph"/>
              <w:numPr>
                <w:ilvl w:val="0"/>
                <w:numId w:val="10"/>
              </w:numPr>
              <w:tabs>
                <w:tab w:pos="506" w:val="left" w:leader="none"/>
              </w:tabs>
              <w:spacing w:line="240" w:lineRule="auto" w:before="76" w:after="0"/>
              <w:ind w:left="505" w:right="0" w:hanging="362"/>
              <w:jc w:val="left"/>
              <w:rPr>
                <w:sz w:val="18"/>
              </w:rPr>
            </w:pPr>
            <w:r>
              <w:rPr>
                <w:spacing w:val="-4"/>
                <w:sz w:val="18"/>
              </w:rPr>
              <w:t>自主生活能力完全丧失，无法独立完成六项基本日常生活活动</w:t>
            </w:r>
            <w:r>
              <w:rPr>
                <w:sz w:val="18"/>
              </w:rPr>
              <w:t>（</w:t>
            </w:r>
            <w:r>
              <w:rPr>
                <w:spacing w:val="-22"/>
                <w:sz w:val="18"/>
              </w:rPr>
              <w:t>注 </w:t>
            </w:r>
            <w:r>
              <w:rPr>
                <w:spacing w:val="-14"/>
                <w:sz w:val="18"/>
              </w:rPr>
              <w:t>5）</w:t>
            </w:r>
            <w:r>
              <w:rPr>
                <w:spacing w:val="-1"/>
                <w:sz w:val="18"/>
              </w:rPr>
              <w:t>中的三项或三项以上。</w:t>
            </w:r>
          </w:p>
        </w:tc>
      </w:tr>
      <w:tr>
        <w:trPr>
          <w:trHeight w:val="1172" w:hRule="atLeast"/>
        </w:trPr>
        <w:tc>
          <w:tcPr>
            <w:tcW w:w="2241" w:type="dxa"/>
          </w:tcPr>
          <w:p>
            <w:pPr>
              <w:pStyle w:val="TableParagraph"/>
              <w:spacing w:line="273" w:lineRule="auto" w:before="110"/>
              <w:ind w:left="619" w:right="140" w:hanging="420"/>
              <w:jc w:val="both"/>
              <w:rPr>
                <w:b/>
                <w:sz w:val="21"/>
              </w:rPr>
            </w:pPr>
            <w:r>
              <w:rPr>
                <w:b/>
                <w:sz w:val="21"/>
              </w:rPr>
              <w:t>4. 重大器官移植术或造血干细胞移植术</w:t>
            </w:r>
          </w:p>
        </w:tc>
        <w:tc>
          <w:tcPr>
            <w:tcW w:w="7959" w:type="dxa"/>
          </w:tcPr>
          <w:p>
            <w:pPr>
              <w:pStyle w:val="TableParagraph"/>
              <w:spacing w:line="316" w:lineRule="auto" w:before="130"/>
              <w:ind w:left="143" w:right="198"/>
              <w:rPr>
                <w:sz w:val="18"/>
              </w:rPr>
            </w:pPr>
            <w:r>
              <w:rPr>
                <w:spacing w:val="-8"/>
                <w:sz w:val="18"/>
              </w:rPr>
              <w:t>重大器官移植术，指因相应器官功能衰竭，已经实施了肾脏、肝脏、心脏或肺脏的异体移植手术。</w:t>
            </w:r>
            <w:r>
              <w:rPr>
                <w:spacing w:val="-11"/>
                <w:sz w:val="18"/>
              </w:rPr>
              <w:t>造血干细胞移植术，指因造血功能损害或造血系统恶性肿瘤，已经实施了造血干细胞</w:t>
            </w:r>
            <w:r>
              <w:rPr>
                <w:sz w:val="18"/>
              </w:rPr>
              <w:t>（包括骨髓造血干细胞、外周血造血干细胞和脐血造血干细胞）的异体移植手术。</w:t>
            </w:r>
          </w:p>
        </w:tc>
      </w:tr>
      <w:tr>
        <w:trPr>
          <w:trHeight w:val="1153" w:hRule="atLeast"/>
        </w:trPr>
        <w:tc>
          <w:tcPr>
            <w:tcW w:w="2241" w:type="dxa"/>
          </w:tcPr>
          <w:p>
            <w:pPr>
              <w:pStyle w:val="TableParagraph"/>
              <w:tabs>
                <w:tab w:pos="619" w:val="left" w:leader="none"/>
              </w:tabs>
              <w:spacing w:before="99"/>
              <w:ind w:left="200"/>
              <w:rPr>
                <w:b/>
                <w:sz w:val="21"/>
              </w:rPr>
            </w:pPr>
            <w:r>
              <w:rPr>
                <w:b/>
                <w:sz w:val="21"/>
              </w:rPr>
              <w:t>5.</w:t>
              <w:tab/>
              <w:t>冠状动脉搭桥术</w:t>
            </w:r>
          </w:p>
        </w:tc>
        <w:tc>
          <w:tcPr>
            <w:tcW w:w="7959" w:type="dxa"/>
          </w:tcPr>
          <w:p>
            <w:pPr>
              <w:pStyle w:val="TableParagraph"/>
              <w:spacing w:before="120"/>
              <w:ind w:left="143"/>
              <w:rPr>
                <w:sz w:val="18"/>
              </w:rPr>
            </w:pPr>
            <w:r>
              <w:rPr>
                <w:sz w:val="18"/>
              </w:rPr>
              <w:t>指为治疗严重的冠心病，实际实施了开胸进行的冠状动脉血管旁路移植的手术。</w:t>
            </w:r>
          </w:p>
          <w:p>
            <w:pPr>
              <w:pStyle w:val="TableParagraph"/>
              <w:spacing w:line="316" w:lineRule="auto" w:before="76"/>
              <w:ind w:left="143" w:right="251"/>
              <w:rPr>
                <w:sz w:val="18"/>
              </w:rPr>
            </w:pPr>
            <w:r>
              <w:rPr>
                <w:sz w:val="18"/>
              </w:rPr>
              <w:t>冠状动脉支架植入术、心导管球囊扩张术、激光射频技术及其它非开胸的介入手术、腔镜手术不在保障范围内。</w:t>
            </w:r>
          </w:p>
        </w:tc>
      </w:tr>
      <w:tr>
        <w:trPr>
          <w:trHeight w:val="851" w:hRule="atLeast"/>
        </w:trPr>
        <w:tc>
          <w:tcPr>
            <w:tcW w:w="2241" w:type="dxa"/>
          </w:tcPr>
          <w:p>
            <w:pPr>
              <w:pStyle w:val="TableParagraph"/>
              <w:tabs>
                <w:tab w:pos="619" w:val="left" w:leader="none"/>
              </w:tabs>
              <w:spacing w:before="110"/>
              <w:ind w:left="200"/>
              <w:rPr>
                <w:b/>
                <w:sz w:val="21"/>
              </w:rPr>
            </w:pPr>
            <w:r>
              <w:rPr>
                <w:b/>
                <w:sz w:val="21"/>
              </w:rPr>
              <w:t>6.</w:t>
              <w:tab/>
              <w:t>终末期肾病</w:t>
            </w:r>
          </w:p>
        </w:tc>
        <w:tc>
          <w:tcPr>
            <w:tcW w:w="7959" w:type="dxa"/>
          </w:tcPr>
          <w:p>
            <w:pPr>
              <w:pStyle w:val="TableParagraph"/>
              <w:spacing w:line="316" w:lineRule="auto" w:before="131"/>
              <w:ind w:left="143" w:right="231"/>
              <w:rPr>
                <w:sz w:val="18"/>
              </w:rPr>
            </w:pPr>
            <w:r>
              <w:rPr>
                <w:sz w:val="18"/>
              </w:rPr>
              <w:t>指双肾功能慢性不可逆性衰竭，达到尿毒症期，经诊断后已经进行了至少 90 天的规律性透析治疗或实施了肾脏移植手术。</w:t>
            </w:r>
          </w:p>
        </w:tc>
      </w:tr>
      <w:tr>
        <w:trPr>
          <w:trHeight w:val="850" w:hRule="atLeast"/>
        </w:trPr>
        <w:tc>
          <w:tcPr>
            <w:tcW w:w="2241" w:type="dxa"/>
          </w:tcPr>
          <w:p>
            <w:pPr>
              <w:pStyle w:val="TableParagraph"/>
              <w:tabs>
                <w:tab w:pos="619" w:val="left" w:leader="none"/>
              </w:tabs>
              <w:spacing w:before="109"/>
              <w:ind w:left="200"/>
              <w:rPr>
                <w:b/>
                <w:sz w:val="21"/>
              </w:rPr>
            </w:pPr>
            <w:r>
              <w:rPr>
                <w:b/>
                <w:sz w:val="21"/>
              </w:rPr>
              <w:t>7.</w:t>
              <w:tab/>
              <w:t>多个肢体缺失</w:t>
            </w:r>
          </w:p>
        </w:tc>
        <w:tc>
          <w:tcPr>
            <w:tcW w:w="7959" w:type="dxa"/>
          </w:tcPr>
          <w:p>
            <w:pPr>
              <w:pStyle w:val="TableParagraph"/>
              <w:spacing w:line="316" w:lineRule="auto" w:before="129"/>
              <w:ind w:left="143" w:right="232"/>
              <w:rPr>
                <w:sz w:val="18"/>
              </w:rPr>
            </w:pPr>
            <w:r>
              <w:rPr>
                <w:sz w:val="18"/>
              </w:rPr>
              <w:t>指因疾病或意外伤害导致两个或两个以上肢体自腕关节或踝关节近端（靠近躯干端）以上完全性断离。</w:t>
            </w:r>
          </w:p>
        </w:tc>
      </w:tr>
      <w:tr>
        <w:trPr>
          <w:trHeight w:val="1302" w:hRule="atLeast"/>
        </w:trPr>
        <w:tc>
          <w:tcPr>
            <w:tcW w:w="2241" w:type="dxa"/>
          </w:tcPr>
          <w:p>
            <w:pPr>
              <w:pStyle w:val="TableParagraph"/>
              <w:tabs>
                <w:tab w:pos="619" w:val="left" w:leader="none"/>
              </w:tabs>
              <w:spacing w:line="273" w:lineRule="auto" w:before="110"/>
              <w:ind w:left="619" w:right="140" w:hanging="420"/>
              <w:rPr>
                <w:b/>
                <w:sz w:val="21"/>
              </w:rPr>
            </w:pPr>
            <w:r>
              <w:rPr>
                <w:b/>
                <w:sz w:val="21"/>
              </w:rPr>
              <w:t>8.</w:t>
              <w:tab/>
              <w:t>急性或亚急性重 症肝炎</w:t>
            </w:r>
          </w:p>
        </w:tc>
        <w:tc>
          <w:tcPr>
            <w:tcW w:w="7959" w:type="dxa"/>
          </w:tcPr>
          <w:p>
            <w:pPr>
              <w:pStyle w:val="TableParagraph"/>
              <w:spacing w:line="316" w:lineRule="auto" w:before="130"/>
              <w:ind w:left="143" w:right="234"/>
              <w:rPr>
                <w:sz w:val="18"/>
              </w:rPr>
            </w:pPr>
            <w:r>
              <w:rPr>
                <w:sz w:val="18"/>
              </w:rPr>
              <w:t>指因肝炎病毒感染引起肝脏组织弥漫性坏死，导致急性肝功能衰竭，且经血清学或病毒学检查证实，并须满足下列全部条件：</w:t>
            </w:r>
          </w:p>
          <w:p>
            <w:pPr>
              <w:pStyle w:val="TableParagraph"/>
              <w:numPr>
                <w:ilvl w:val="0"/>
                <w:numId w:val="11"/>
              </w:numPr>
              <w:tabs>
                <w:tab w:pos="540" w:val="left" w:leader="none"/>
              </w:tabs>
              <w:spacing w:line="240" w:lineRule="auto" w:before="18" w:after="0"/>
              <w:ind w:left="539" w:right="0" w:hanging="396"/>
              <w:jc w:val="left"/>
              <w:rPr>
                <w:sz w:val="18"/>
              </w:rPr>
            </w:pPr>
            <w:r>
              <w:rPr>
                <w:sz w:val="18"/>
              </w:rPr>
              <w:t>重度黄疸或黄疸迅速加重；</w:t>
            </w:r>
          </w:p>
          <w:p>
            <w:pPr>
              <w:pStyle w:val="TableParagraph"/>
              <w:numPr>
                <w:ilvl w:val="0"/>
                <w:numId w:val="11"/>
              </w:numPr>
              <w:tabs>
                <w:tab w:pos="540" w:val="left" w:leader="none"/>
              </w:tabs>
              <w:spacing w:line="216" w:lineRule="exact" w:before="76" w:after="0"/>
              <w:ind w:left="539" w:right="0" w:hanging="396"/>
              <w:jc w:val="left"/>
              <w:rPr>
                <w:sz w:val="18"/>
              </w:rPr>
            </w:pPr>
            <w:r>
              <w:rPr>
                <w:sz w:val="18"/>
              </w:rPr>
              <w:t>肝性脑病；</w:t>
            </w:r>
          </w:p>
        </w:tc>
      </w:tr>
    </w:tbl>
    <w:p>
      <w:pPr>
        <w:spacing w:after="0" w:line="216" w:lineRule="exact"/>
        <w:jc w:val="left"/>
        <w:rPr>
          <w:sz w:val="18"/>
        </w:rPr>
        <w:sectPr>
          <w:pgSz w:w="11910" w:h="16840"/>
          <w:pgMar w:header="857" w:footer="976" w:top="1040" w:bottom="1160" w:left="900" w:right="58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903"/>
      </w:tblGrid>
      <w:tr>
        <w:trPr>
          <w:trHeight w:val="1028" w:hRule="atLeast"/>
        </w:trPr>
        <w:tc>
          <w:tcPr>
            <w:tcW w:w="2241" w:type="dxa"/>
            <w:tcBorders>
              <w:top w:val="single" w:sz="6" w:space="0" w:color="000000"/>
            </w:tcBorders>
          </w:tcPr>
          <w:p>
            <w:pPr>
              <w:pStyle w:val="TableParagraph"/>
              <w:rPr>
                <w:rFonts w:ascii="Times New Roman"/>
                <w:sz w:val="18"/>
              </w:rPr>
            </w:pPr>
          </w:p>
        </w:tc>
        <w:tc>
          <w:tcPr>
            <w:tcW w:w="7903" w:type="dxa"/>
            <w:tcBorders>
              <w:top w:val="single" w:sz="6" w:space="0" w:color="000000"/>
            </w:tcBorders>
          </w:tcPr>
          <w:p>
            <w:pPr>
              <w:pStyle w:val="TableParagraph"/>
              <w:spacing w:before="8"/>
              <w:rPr>
                <w:rFonts w:ascii="Times New Roman"/>
                <w:sz w:val="26"/>
              </w:rPr>
            </w:pPr>
          </w:p>
          <w:p>
            <w:pPr>
              <w:pStyle w:val="TableParagraph"/>
              <w:numPr>
                <w:ilvl w:val="0"/>
                <w:numId w:val="12"/>
              </w:numPr>
              <w:tabs>
                <w:tab w:pos="540" w:val="left" w:leader="none"/>
              </w:tabs>
              <w:spacing w:line="240" w:lineRule="auto" w:before="1" w:after="0"/>
              <w:ind w:left="539" w:right="0" w:hanging="396"/>
              <w:jc w:val="left"/>
              <w:rPr>
                <w:sz w:val="18"/>
              </w:rPr>
            </w:pPr>
            <w:r>
              <w:rPr>
                <w:sz w:val="18"/>
              </w:rPr>
              <w:t>B</w:t>
            </w:r>
            <w:r>
              <w:rPr>
                <w:spacing w:val="-7"/>
                <w:sz w:val="18"/>
              </w:rPr>
              <w:t> 超或其他影像学检查显示肝脏体积急速萎缩；</w:t>
            </w:r>
          </w:p>
          <w:p>
            <w:pPr>
              <w:pStyle w:val="TableParagraph"/>
              <w:numPr>
                <w:ilvl w:val="0"/>
                <w:numId w:val="12"/>
              </w:numPr>
              <w:tabs>
                <w:tab w:pos="540" w:val="left" w:leader="none"/>
              </w:tabs>
              <w:spacing w:line="240" w:lineRule="auto" w:before="77" w:after="0"/>
              <w:ind w:left="539" w:right="0" w:hanging="396"/>
              <w:jc w:val="left"/>
              <w:rPr>
                <w:sz w:val="18"/>
              </w:rPr>
            </w:pPr>
            <w:r>
              <w:rPr>
                <w:sz w:val="18"/>
              </w:rPr>
              <w:t>肝功能指标进行性恶化。</w:t>
            </w:r>
          </w:p>
        </w:tc>
      </w:tr>
      <w:tr>
        <w:trPr>
          <w:trHeight w:val="2098" w:hRule="atLeast"/>
        </w:trPr>
        <w:tc>
          <w:tcPr>
            <w:tcW w:w="2241" w:type="dxa"/>
          </w:tcPr>
          <w:p>
            <w:pPr>
              <w:pStyle w:val="TableParagraph"/>
              <w:tabs>
                <w:tab w:pos="619" w:val="left" w:leader="none"/>
              </w:tabs>
              <w:spacing w:before="109"/>
              <w:ind w:left="200"/>
              <w:rPr>
                <w:b/>
                <w:sz w:val="21"/>
              </w:rPr>
            </w:pPr>
            <w:r>
              <w:rPr>
                <w:b/>
                <w:sz w:val="21"/>
              </w:rPr>
              <w:t>9.</w:t>
              <w:tab/>
              <w:t>良性脑肿瘤</w:t>
            </w:r>
          </w:p>
        </w:tc>
        <w:tc>
          <w:tcPr>
            <w:tcW w:w="7903" w:type="dxa"/>
          </w:tcPr>
          <w:p>
            <w:pPr>
              <w:pStyle w:val="TableParagraph"/>
              <w:spacing w:line="316" w:lineRule="auto" w:before="129"/>
              <w:ind w:left="143" w:right="234"/>
              <w:rPr>
                <w:sz w:val="18"/>
              </w:rPr>
            </w:pPr>
            <w:r>
              <w:rPr>
                <w:spacing w:val="-5"/>
                <w:sz w:val="18"/>
              </w:rPr>
              <w:t>指脑的良性肿瘤，已经引起颅内压增高，临床表现为视神经乳头水肿、精神症状、癫痫及运动感</w:t>
            </w:r>
            <w:r>
              <w:rPr>
                <w:spacing w:val="-7"/>
                <w:sz w:val="18"/>
              </w:rPr>
              <w:t>觉障碍等，并危及生命。须由头颅断层扫描</w:t>
            </w:r>
            <w:r>
              <w:rPr>
                <w:sz w:val="18"/>
              </w:rPr>
              <w:t>（</w:t>
            </w:r>
            <w:r>
              <w:rPr>
                <w:spacing w:val="0"/>
                <w:sz w:val="18"/>
              </w:rPr>
              <w:t>CT</w:t>
            </w:r>
            <w:r>
              <w:rPr>
                <w:spacing w:val="-92"/>
                <w:sz w:val="18"/>
              </w:rPr>
              <w:t>）</w:t>
            </w:r>
            <w:r>
              <w:rPr>
                <w:spacing w:val="-4"/>
                <w:sz w:val="18"/>
              </w:rPr>
              <w:t>、核磁共振检查</w:t>
            </w:r>
            <w:r>
              <w:rPr>
                <w:sz w:val="18"/>
              </w:rPr>
              <w:t>（</w:t>
            </w:r>
            <w:r>
              <w:rPr>
                <w:spacing w:val="0"/>
                <w:sz w:val="18"/>
              </w:rPr>
              <w:t>MRI</w:t>
            </w:r>
            <w:r>
              <w:rPr>
                <w:spacing w:val="-8"/>
                <w:sz w:val="18"/>
              </w:rPr>
              <w:t>）</w:t>
            </w:r>
            <w:r>
              <w:rPr>
                <w:spacing w:val="-1"/>
                <w:sz w:val="18"/>
              </w:rPr>
              <w:t>或正电子发射断层扫描</w:t>
            </w:r>
          </w:p>
          <w:p>
            <w:pPr>
              <w:pStyle w:val="TableParagraph"/>
              <w:spacing w:before="18"/>
              <w:ind w:left="143"/>
              <w:rPr>
                <w:sz w:val="18"/>
              </w:rPr>
            </w:pPr>
            <w:r>
              <w:rPr>
                <w:sz w:val="18"/>
              </w:rPr>
              <w:t>（PET）等影像学检查证实，并须满足下列至少一项条件：</w:t>
            </w:r>
          </w:p>
          <w:p>
            <w:pPr>
              <w:pStyle w:val="TableParagraph"/>
              <w:numPr>
                <w:ilvl w:val="0"/>
                <w:numId w:val="13"/>
              </w:numPr>
              <w:tabs>
                <w:tab w:pos="540" w:val="left" w:leader="none"/>
              </w:tabs>
              <w:spacing w:line="240" w:lineRule="auto" w:before="76" w:after="0"/>
              <w:ind w:left="539" w:right="0" w:hanging="396"/>
              <w:jc w:val="left"/>
              <w:rPr>
                <w:sz w:val="18"/>
              </w:rPr>
            </w:pPr>
            <w:r>
              <w:rPr>
                <w:sz w:val="18"/>
              </w:rPr>
              <w:t>实际实施了开颅进行的脑肿瘤完全切除或部分切除的手术；</w:t>
            </w:r>
          </w:p>
          <w:p>
            <w:pPr>
              <w:pStyle w:val="TableParagraph"/>
              <w:numPr>
                <w:ilvl w:val="0"/>
                <w:numId w:val="13"/>
              </w:numPr>
              <w:tabs>
                <w:tab w:pos="540" w:val="left" w:leader="none"/>
              </w:tabs>
              <w:spacing w:line="240" w:lineRule="auto" w:before="76" w:after="0"/>
              <w:ind w:left="539" w:right="0" w:hanging="396"/>
              <w:jc w:val="left"/>
              <w:rPr>
                <w:sz w:val="18"/>
              </w:rPr>
            </w:pPr>
            <w:r>
              <w:rPr>
                <w:sz w:val="18"/>
              </w:rPr>
              <w:t>实际实施了对脑肿瘤进行的放射治疗。</w:t>
            </w:r>
          </w:p>
          <w:p>
            <w:pPr>
              <w:pStyle w:val="TableParagraph"/>
              <w:spacing w:before="76"/>
              <w:ind w:left="143"/>
              <w:rPr>
                <w:sz w:val="18"/>
              </w:rPr>
            </w:pPr>
            <w:r>
              <w:rPr>
                <w:sz w:val="18"/>
              </w:rPr>
              <w:t>脑垂体瘤、脑囊肿、脑血管性疾病不在保障范围内。</w:t>
            </w:r>
          </w:p>
        </w:tc>
      </w:tr>
      <w:tr>
        <w:trPr>
          <w:trHeight w:val="2100" w:hRule="atLeast"/>
        </w:trPr>
        <w:tc>
          <w:tcPr>
            <w:tcW w:w="2241" w:type="dxa"/>
          </w:tcPr>
          <w:p>
            <w:pPr>
              <w:pStyle w:val="TableParagraph"/>
              <w:spacing w:line="273" w:lineRule="auto" w:before="110"/>
              <w:ind w:left="619" w:right="140" w:hanging="420"/>
              <w:rPr>
                <w:b/>
                <w:sz w:val="21"/>
              </w:rPr>
            </w:pPr>
            <w:r>
              <w:rPr>
                <w:b/>
                <w:sz w:val="21"/>
              </w:rPr>
              <w:t>10. 慢性肝功能衰竭失代偿期</w:t>
            </w:r>
          </w:p>
        </w:tc>
        <w:tc>
          <w:tcPr>
            <w:tcW w:w="7903" w:type="dxa"/>
          </w:tcPr>
          <w:p>
            <w:pPr>
              <w:pStyle w:val="TableParagraph"/>
              <w:spacing w:before="130"/>
              <w:ind w:left="143"/>
              <w:rPr>
                <w:sz w:val="18"/>
              </w:rPr>
            </w:pPr>
            <w:r>
              <w:rPr>
                <w:sz w:val="18"/>
              </w:rPr>
              <w:t>指因慢性肝脏疾病导致肝功能衰竭。须满足下列全部条件：</w:t>
            </w:r>
          </w:p>
          <w:p>
            <w:pPr>
              <w:pStyle w:val="TableParagraph"/>
              <w:numPr>
                <w:ilvl w:val="0"/>
                <w:numId w:val="14"/>
              </w:numPr>
              <w:tabs>
                <w:tab w:pos="540" w:val="left" w:leader="none"/>
              </w:tabs>
              <w:spacing w:line="240" w:lineRule="auto" w:before="75" w:after="0"/>
              <w:ind w:left="143" w:right="0" w:firstLine="0"/>
              <w:jc w:val="left"/>
              <w:rPr>
                <w:sz w:val="18"/>
              </w:rPr>
            </w:pPr>
            <w:r>
              <w:rPr>
                <w:sz w:val="18"/>
              </w:rPr>
              <w:t>持续性黄疸；</w:t>
            </w:r>
          </w:p>
          <w:p>
            <w:pPr>
              <w:pStyle w:val="TableParagraph"/>
              <w:numPr>
                <w:ilvl w:val="0"/>
                <w:numId w:val="14"/>
              </w:numPr>
              <w:tabs>
                <w:tab w:pos="540" w:val="left" w:leader="none"/>
              </w:tabs>
              <w:spacing w:line="240" w:lineRule="auto" w:before="75" w:after="0"/>
              <w:ind w:left="143" w:right="0" w:firstLine="0"/>
              <w:jc w:val="left"/>
              <w:rPr>
                <w:sz w:val="18"/>
              </w:rPr>
            </w:pPr>
            <w:r>
              <w:rPr>
                <w:sz w:val="18"/>
              </w:rPr>
              <w:t>腹水；</w:t>
            </w:r>
          </w:p>
          <w:p>
            <w:pPr>
              <w:pStyle w:val="TableParagraph"/>
              <w:numPr>
                <w:ilvl w:val="0"/>
                <w:numId w:val="14"/>
              </w:numPr>
              <w:tabs>
                <w:tab w:pos="540" w:val="left" w:leader="none"/>
              </w:tabs>
              <w:spacing w:line="240" w:lineRule="auto" w:before="76" w:after="0"/>
              <w:ind w:left="143" w:right="0" w:firstLine="0"/>
              <w:jc w:val="left"/>
              <w:rPr>
                <w:sz w:val="18"/>
              </w:rPr>
            </w:pPr>
            <w:r>
              <w:rPr>
                <w:sz w:val="18"/>
              </w:rPr>
              <w:t>肝性脑病；</w:t>
            </w:r>
          </w:p>
          <w:p>
            <w:pPr>
              <w:pStyle w:val="TableParagraph"/>
              <w:numPr>
                <w:ilvl w:val="0"/>
                <w:numId w:val="14"/>
              </w:numPr>
              <w:tabs>
                <w:tab w:pos="540" w:val="left" w:leader="none"/>
              </w:tabs>
              <w:spacing w:line="316" w:lineRule="auto" w:before="76" w:after="0"/>
              <w:ind w:left="143" w:right="3401" w:firstLine="0"/>
              <w:jc w:val="left"/>
              <w:rPr>
                <w:sz w:val="18"/>
              </w:rPr>
            </w:pPr>
            <w:r>
              <w:rPr>
                <w:sz w:val="18"/>
              </w:rPr>
              <w:t>充血性脾肿大伴脾功能亢进或食管胃底静脉曲张。因酗酒或药物滥用导致的肝功能衰竭不在保障范围内。</w:t>
            </w:r>
          </w:p>
        </w:tc>
      </w:tr>
      <w:tr>
        <w:trPr>
          <w:trHeight w:val="1786" w:hRule="atLeast"/>
        </w:trPr>
        <w:tc>
          <w:tcPr>
            <w:tcW w:w="2241" w:type="dxa"/>
          </w:tcPr>
          <w:p>
            <w:pPr>
              <w:pStyle w:val="TableParagraph"/>
              <w:spacing w:line="273" w:lineRule="auto" w:before="110"/>
              <w:ind w:left="619" w:right="140" w:hanging="420"/>
              <w:rPr>
                <w:b/>
                <w:sz w:val="21"/>
              </w:rPr>
            </w:pPr>
            <w:r>
              <w:rPr>
                <w:b/>
                <w:sz w:val="21"/>
              </w:rPr>
              <w:t>11. 脑炎后遗症或脑膜炎后遗症</w:t>
            </w:r>
          </w:p>
        </w:tc>
        <w:tc>
          <w:tcPr>
            <w:tcW w:w="7903" w:type="dxa"/>
          </w:tcPr>
          <w:p>
            <w:pPr>
              <w:pStyle w:val="TableParagraph"/>
              <w:spacing w:line="316" w:lineRule="auto" w:before="130"/>
              <w:ind w:left="143" w:right="178"/>
              <w:rPr>
                <w:sz w:val="18"/>
              </w:rPr>
            </w:pPr>
            <w:r>
              <w:rPr>
                <w:sz w:val="18"/>
              </w:rPr>
              <w:t>指因患脑炎或脑膜炎导致的神经系统永久性的功能障碍。神经系统永久性的功能障碍，指疾病确诊 180 天后，仍遗留下列一种或一种以上障碍：</w:t>
            </w:r>
          </w:p>
          <w:p>
            <w:pPr>
              <w:pStyle w:val="TableParagraph"/>
              <w:numPr>
                <w:ilvl w:val="0"/>
                <w:numId w:val="15"/>
              </w:numPr>
              <w:tabs>
                <w:tab w:pos="540" w:val="left" w:leader="none"/>
              </w:tabs>
              <w:spacing w:line="240" w:lineRule="auto" w:before="18" w:after="0"/>
              <w:ind w:left="539" w:right="0" w:hanging="396"/>
              <w:jc w:val="left"/>
              <w:rPr>
                <w:sz w:val="18"/>
              </w:rPr>
            </w:pPr>
            <w:r>
              <w:rPr>
                <w:sz w:val="18"/>
              </w:rPr>
              <w:t>一肢或一肢以上肢体机能完全丧失；</w:t>
            </w:r>
          </w:p>
          <w:p>
            <w:pPr>
              <w:pStyle w:val="TableParagraph"/>
              <w:numPr>
                <w:ilvl w:val="0"/>
                <w:numId w:val="15"/>
              </w:numPr>
              <w:tabs>
                <w:tab w:pos="540" w:val="left" w:leader="none"/>
              </w:tabs>
              <w:spacing w:line="240" w:lineRule="auto" w:before="76" w:after="0"/>
              <w:ind w:left="539" w:right="0" w:hanging="396"/>
              <w:jc w:val="left"/>
              <w:rPr>
                <w:sz w:val="18"/>
              </w:rPr>
            </w:pPr>
            <w:r>
              <w:rPr>
                <w:sz w:val="18"/>
              </w:rPr>
              <w:t>语言能力或咀嚼吞咽能力完全丧失；</w:t>
            </w:r>
          </w:p>
          <w:p>
            <w:pPr>
              <w:pStyle w:val="TableParagraph"/>
              <w:numPr>
                <w:ilvl w:val="0"/>
                <w:numId w:val="15"/>
              </w:numPr>
              <w:tabs>
                <w:tab w:pos="540" w:val="left" w:leader="none"/>
              </w:tabs>
              <w:spacing w:line="240" w:lineRule="auto" w:before="76" w:after="0"/>
              <w:ind w:left="539" w:right="0" w:hanging="396"/>
              <w:jc w:val="left"/>
              <w:rPr>
                <w:sz w:val="18"/>
              </w:rPr>
            </w:pPr>
            <w:r>
              <w:rPr>
                <w:sz w:val="18"/>
              </w:rPr>
              <w:t>自主生活能力完全丧失，无法独立完成六项基本日常生活活动中的三项或三项以上。</w:t>
            </w:r>
          </w:p>
        </w:tc>
      </w:tr>
      <w:tr>
        <w:trPr>
          <w:trHeight w:val="1475" w:hRule="atLeast"/>
        </w:trPr>
        <w:tc>
          <w:tcPr>
            <w:tcW w:w="2241" w:type="dxa"/>
          </w:tcPr>
          <w:p>
            <w:pPr>
              <w:pStyle w:val="TableParagraph"/>
              <w:spacing w:before="109"/>
              <w:ind w:left="200"/>
              <w:rPr>
                <w:b/>
                <w:sz w:val="21"/>
              </w:rPr>
            </w:pPr>
            <w:r>
              <w:rPr>
                <w:b/>
                <w:sz w:val="21"/>
              </w:rPr>
              <w:t>12. 深度昏迷</w:t>
            </w:r>
          </w:p>
        </w:tc>
        <w:tc>
          <w:tcPr>
            <w:tcW w:w="7903" w:type="dxa"/>
          </w:tcPr>
          <w:p>
            <w:pPr>
              <w:pStyle w:val="TableParagraph"/>
              <w:spacing w:line="319" w:lineRule="auto" w:before="129"/>
              <w:ind w:left="143" w:right="233"/>
              <w:jc w:val="both"/>
              <w:rPr>
                <w:sz w:val="18"/>
              </w:rPr>
            </w:pPr>
            <w:r>
              <w:rPr>
                <w:sz w:val="18"/>
              </w:rPr>
              <w:t>指因疾病或意外伤害导致意识丧失,对外界刺激和体内需求均无反应,昏迷程度按照格拉斯哥昏迷分级（Glasgow coma scale）</w:t>
            </w:r>
            <w:r>
              <w:rPr>
                <w:spacing w:val="-12"/>
                <w:sz w:val="18"/>
              </w:rPr>
              <w:t>结果为 </w:t>
            </w:r>
            <w:r>
              <w:rPr>
                <w:sz w:val="18"/>
              </w:rPr>
              <w:t>5</w:t>
            </w:r>
            <w:r>
              <w:rPr>
                <w:spacing w:val="-24"/>
                <w:sz w:val="18"/>
              </w:rPr>
              <w:t> 分或 </w:t>
            </w:r>
            <w:r>
              <w:rPr>
                <w:sz w:val="18"/>
              </w:rPr>
              <w:t>5</w:t>
            </w:r>
            <w:r>
              <w:rPr>
                <w:spacing w:val="-7"/>
                <w:sz w:val="18"/>
              </w:rPr>
              <w:t> 分以下，且已经持续使用呼吸机及其它生命维持</w:t>
            </w:r>
            <w:r>
              <w:rPr>
                <w:spacing w:val="-20"/>
                <w:sz w:val="18"/>
              </w:rPr>
              <w:t>系统 </w:t>
            </w:r>
            <w:r>
              <w:rPr>
                <w:sz w:val="18"/>
              </w:rPr>
              <w:t>96</w:t>
            </w:r>
            <w:r>
              <w:rPr>
                <w:spacing w:val="-9"/>
                <w:sz w:val="18"/>
              </w:rPr>
              <w:t> 小时以上。</w:t>
            </w:r>
          </w:p>
          <w:p>
            <w:pPr>
              <w:pStyle w:val="TableParagraph"/>
              <w:spacing w:before="16"/>
              <w:ind w:left="143"/>
              <w:jc w:val="both"/>
              <w:rPr>
                <w:sz w:val="18"/>
              </w:rPr>
            </w:pPr>
            <w:r>
              <w:rPr>
                <w:sz w:val="18"/>
              </w:rPr>
              <w:t>因酗酒或药物滥用导致的深度昏迷不在保障范围内。</w:t>
            </w:r>
          </w:p>
        </w:tc>
      </w:tr>
      <w:tr>
        <w:trPr>
          <w:trHeight w:val="1162" w:hRule="atLeast"/>
        </w:trPr>
        <w:tc>
          <w:tcPr>
            <w:tcW w:w="2241" w:type="dxa"/>
          </w:tcPr>
          <w:p>
            <w:pPr>
              <w:pStyle w:val="TableParagraph"/>
              <w:spacing w:before="110"/>
              <w:ind w:left="200"/>
              <w:rPr>
                <w:b/>
                <w:sz w:val="21"/>
              </w:rPr>
            </w:pPr>
            <w:r>
              <w:rPr>
                <w:b/>
                <w:sz w:val="21"/>
              </w:rPr>
              <w:t>13. 双耳失聪</w:t>
            </w:r>
          </w:p>
        </w:tc>
        <w:tc>
          <w:tcPr>
            <w:tcW w:w="7903" w:type="dxa"/>
          </w:tcPr>
          <w:p>
            <w:pPr>
              <w:pStyle w:val="TableParagraph"/>
              <w:spacing w:before="130"/>
              <w:ind w:left="143"/>
              <w:rPr>
                <w:sz w:val="18"/>
              </w:rPr>
            </w:pPr>
            <w:r>
              <w:rPr>
                <w:sz w:val="18"/>
              </w:rPr>
              <w:t>指因疾病或意外伤害导致双耳听力永久不可逆（注 6）性丧失，在 500 赫兹、1000 赫兹和 2000</w:t>
            </w:r>
          </w:p>
          <w:p>
            <w:pPr>
              <w:pStyle w:val="TableParagraph"/>
              <w:spacing w:line="316" w:lineRule="auto" w:before="75"/>
              <w:ind w:left="143" w:right="180"/>
              <w:rPr>
                <w:sz w:val="18"/>
              </w:rPr>
            </w:pPr>
            <w:r>
              <w:rPr>
                <w:sz w:val="18"/>
              </w:rPr>
              <w:t>赫兹语音频率下，平均听阈大于 90 分贝，且经纯音听力测试、声导抗检测或听觉诱发电位检测等证实。</w:t>
            </w:r>
          </w:p>
        </w:tc>
      </w:tr>
      <w:tr>
        <w:trPr>
          <w:trHeight w:val="1475" w:hRule="atLeast"/>
        </w:trPr>
        <w:tc>
          <w:tcPr>
            <w:tcW w:w="2241" w:type="dxa"/>
          </w:tcPr>
          <w:p>
            <w:pPr>
              <w:pStyle w:val="TableParagraph"/>
              <w:spacing w:before="109"/>
              <w:ind w:left="200"/>
              <w:rPr>
                <w:b/>
                <w:sz w:val="21"/>
              </w:rPr>
            </w:pPr>
            <w:r>
              <w:rPr>
                <w:b/>
                <w:sz w:val="21"/>
              </w:rPr>
              <w:t>14. 双目失明</w:t>
            </w:r>
          </w:p>
        </w:tc>
        <w:tc>
          <w:tcPr>
            <w:tcW w:w="7903" w:type="dxa"/>
          </w:tcPr>
          <w:p>
            <w:pPr>
              <w:pStyle w:val="TableParagraph"/>
              <w:spacing w:before="129"/>
              <w:ind w:left="143"/>
              <w:rPr>
                <w:sz w:val="18"/>
              </w:rPr>
            </w:pPr>
            <w:r>
              <w:rPr>
                <w:sz w:val="18"/>
              </w:rPr>
              <w:t>指因疾病或意外伤害导致双眼视力永久不可逆性丧失，双眼中较好眼须满足下列至少一项条件：</w:t>
            </w:r>
          </w:p>
          <w:p>
            <w:pPr>
              <w:pStyle w:val="TableParagraph"/>
              <w:numPr>
                <w:ilvl w:val="0"/>
                <w:numId w:val="16"/>
              </w:numPr>
              <w:tabs>
                <w:tab w:pos="540" w:val="left" w:leader="none"/>
              </w:tabs>
              <w:spacing w:line="240" w:lineRule="auto" w:before="76" w:after="0"/>
              <w:ind w:left="539" w:right="0" w:hanging="396"/>
              <w:jc w:val="left"/>
              <w:rPr>
                <w:sz w:val="18"/>
              </w:rPr>
            </w:pPr>
            <w:r>
              <w:rPr>
                <w:sz w:val="18"/>
              </w:rPr>
              <w:t>眼球缺失或摘除；</w:t>
            </w:r>
          </w:p>
          <w:p>
            <w:pPr>
              <w:pStyle w:val="TableParagraph"/>
              <w:numPr>
                <w:ilvl w:val="0"/>
                <w:numId w:val="16"/>
              </w:numPr>
              <w:tabs>
                <w:tab w:pos="540" w:val="left" w:leader="none"/>
              </w:tabs>
              <w:spacing w:line="240" w:lineRule="auto" w:before="76" w:after="0"/>
              <w:ind w:left="539" w:right="0" w:hanging="396"/>
              <w:jc w:val="left"/>
              <w:rPr>
                <w:sz w:val="18"/>
              </w:rPr>
            </w:pPr>
            <w:r>
              <w:rPr>
                <w:spacing w:val="-7"/>
                <w:sz w:val="18"/>
              </w:rPr>
              <w:t>矫正视力低于 </w:t>
            </w:r>
            <w:r>
              <w:rPr>
                <w:spacing w:val="0"/>
                <w:sz w:val="18"/>
              </w:rPr>
              <w:t>0</w:t>
            </w:r>
            <w:r>
              <w:rPr>
                <w:spacing w:val="-2"/>
                <w:sz w:val="18"/>
              </w:rPr>
              <w:t>.</w:t>
            </w:r>
            <w:r>
              <w:rPr>
                <w:spacing w:val="0"/>
                <w:sz w:val="18"/>
              </w:rPr>
              <w:t>02</w:t>
            </w:r>
            <w:r>
              <w:rPr>
                <w:sz w:val="18"/>
              </w:rPr>
              <w:t>（</w:t>
            </w:r>
            <w:r>
              <w:rPr>
                <w:spacing w:val="-1"/>
                <w:sz w:val="18"/>
              </w:rPr>
              <w:t>采用国际标准视力表，如果使用其它视力表应进行换算</w:t>
            </w:r>
            <w:r>
              <w:rPr>
                <w:spacing w:val="-92"/>
                <w:sz w:val="18"/>
              </w:rPr>
              <w:t>）</w:t>
            </w:r>
            <w:r>
              <w:rPr>
                <w:sz w:val="18"/>
              </w:rPr>
              <w:t>；</w:t>
            </w:r>
          </w:p>
          <w:p>
            <w:pPr>
              <w:pStyle w:val="TableParagraph"/>
              <w:numPr>
                <w:ilvl w:val="0"/>
                <w:numId w:val="16"/>
              </w:numPr>
              <w:tabs>
                <w:tab w:pos="540" w:val="left" w:leader="none"/>
              </w:tabs>
              <w:spacing w:line="240" w:lineRule="auto" w:before="76" w:after="0"/>
              <w:ind w:left="539" w:right="0" w:hanging="396"/>
              <w:jc w:val="left"/>
              <w:rPr>
                <w:sz w:val="18"/>
              </w:rPr>
            </w:pPr>
            <w:r>
              <w:rPr>
                <w:spacing w:val="-7"/>
                <w:sz w:val="18"/>
              </w:rPr>
              <w:t>视野半径小于 </w:t>
            </w:r>
            <w:r>
              <w:rPr>
                <w:sz w:val="18"/>
              </w:rPr>
              <w:t>5</w:t>
            </w:r>
            <w:r>
              <w:rPr>
                <w:spacing w:val="-15"/>
                <w:sz w:val="18"/>
              </w:rPr>
              <w:t> 度。</w:t>
            </w:r>
          </w:p>
        </w:tc>
      </w:tr>
      <w:tr>
        <w:trPr>
          <w:trHeight w:val="1163" w:hRule="atLeast"/>
        </w:trPr>
        <w:tc>
          <w:tcPr>
            <w:tcW w:w="2241" w:type="dxa"/>
          </w:tcPr>
          <w:p>
            <w:pPr>
              <w:pStyle w:val="TableParagraph"/>
              <w:spacing w:before="110"/>
              <w:ind w:left="200"/>
              <w:rPr>
                <w:b/>
                <w:sz w:val="21"/>
              </w:rPr>
            </w:pPr>
            <w:r>
              <w:rPr>
                <w:b/>
                <w:sz w:val="21"/>
              </w:rPr>
              <w:t>15. 瘫痪</w:t>
            </w:r>
          </w:p>
        </w:tc>
        <w:tc>
          <w:tcPr>
            <w:tcW w:w="7903" w:type="dxa"/>
          </w:tcPr>
          <w:p>
            <w:pPr>
              <w:pStyle w:val="TableParagraph"/>
              <w:spacing w:line="316" w:lineRule="auto" w:before="131"/>
              <w:ind w:left="143" w:right="235"/>
              <w:jc w:val="both"/>
              <w:rPr>
                <w:sz w:val="18"/>
              </w:rPr>
            </w:pPr>
            <w:r>
              <w:rPr>
                <w:spacing w:val="-2"/>
                <w:sz w:val="18"/>
              </w:rPr>
              <w:t>指因疾病或意外伤害导致两肢或两肢以上肢体机能永久完全丧失。肢体机能永久完全丧失，指疾</w:t>
            </w:r>
            <w:r>
              <w:rPr>
                <w:spacing w:val="-13"/>
                <w:sz w:val="18"/>
              </w:rPr>
              <w:t>病确诊 </w:t>
            </w:r>
            <w:r>
              <w:rPr>
                <w:sz w:val="18"/>
              </w:rPr>
              <w:t>180</w:t>
            </w:r>
            <w:r>
              <w:rPr>
                <w:spacing w:val="-11"/>
                <w:sz w:val="18"/>
              </w:rPr>
              <w:t> 天后或意外伤害发生 </w:t>
            </w:r>
            <w:r>
              <w:rPr>
                <w:sz w:val="18"/>
              </w:rPr>
              <w:t>180</w:t>
            </w:r>
            <w:r>
              <w:rPr>
                <w:spacing w:val="-10"/>
                <w:sz w:val="18"/>
              </w:rPr>
              <w:t> 天后，每肢三大关节中的两大关节仍然完全僵硬，或不能随意识活动。</w:t>
            </w:r>
          </w:p>
        </w:tc>
      </w:tr>
      <w:tr>
        <w:trPr>
          <w:trHeight w:val="548" w:hRule="atLeast"/>
        </w:trPr>
        <w:tc>
          <w:tcPr>
            <w:tcW w:w="2241" w:type="dxa"/>
          </w:tcPr>
          <w:p>
            <w:pPr>
              <w:pStyle w:val="TableParagraph"/>
              <w:spacing w:before="109"/>
              <w:ind w:left="200"/>
              <w:rPr>
                <w:b/>
                <w:sz w:val="21"/>
              </w:rPr>
            </w:pPr>
            <w:r>
              <w:rPr>
                <w:b/>
                <w:sz w:val="21"/>
              </w:rPr>
              <w:t>16. 心脏瓣膜手术</w:t>
            </w:r>
          </w:p>
        </w:tc>
        <w:tc>
          <w:tcPr>
            <w:tcW w:w="7903" w:type="dxa"/>
          </w:tcPr>
          <w:p>
            <w:pPr>
              <w:pStyle w:val="TableParagraph"/>
              <w:spacing w:before="129"/>
              <w:ind w:left="143"/>
              <w:rPr>
                <w:sz w:val="18"/>
              </w:rPr>
            </w:pPr>
            <w:r>
              <w:rPr>
                <w:sz w:val="18"/>
              </w:rPr>
              <w:t>指为治疗心脏瓣膜疾病，实际实施了开胸进行的心脏瓣膜置换或修复的手术。</w:t>
            </w:r>
          </w:p>
        </w:tc>
      </w:tr>
      <w:tr>
        <w:trPr>
          <w:trHeight w:val="1292" w:hRule="atLeast"/>
        </w:trPr>
        <w:tc>
          <w:tcPr>
            <w:tcW w:w="2241" w:type="dxa"/>
          </w:tcPr>
          <w:p>
            <w:pPr>
              <w:pStyle w:val="TableParagraph"/>
              <w:spacing w:line="273" w:lineRule="auto" w:before="100"/>
              <w:ind w:left="619" w:right="140" w:hanging="420"/>
              <w:rPr>
                <w:b/>
                <w:sz w:val="21"/>
              </w:rPr>
            </w:pPr>
            <w:r>
              <w:rPr>
                <w:b/>
                <w:sz w:val="21"/>
              </w:rPr>
              <w:t>17. 严重阿尔茨海默病</w:t>
            </w:r>
          </w:p>
        </w:tc>
        <w:tc>
          <w:tcPr>
            <w:tcW w:w="7903" w:type="dxa"/>
          </w:tcPr>
          <w:p>
            <w:pPr>
              <w:pStyle w:val="TableParagraph"/>
              <w:spacing w:line="310" w:lineRule="atLeast" w:before="47"/>
              <w:ind w:left="143" w:right="232"/>
              <w:jc w:val="both"/>
              <w:rPr>
                <w:sz w:val="18"/>
              </w:rPr>
            </w:pPr>
            <w:r>
              <w:rPr>
                <w:spacing w:val="-4"/>
                <w:sz w:val="18"/>
              </w:rPr>
              <w:t>指因大脑进行性、不可逆性改变导致智能严重衰退或丧失，临床表现为明显的认知能力障碍、行</w:t>
            </w:r>
            <w:r>
              <w:rPr>
                <w:sz w:val="18"/>
              </w:rPr>
              <w:t>为异常和社交能力减退，其日常生活必须持续受到他人监护。须由头颅断层扫描</w:t>
            </w:r>
            <w:r>
              <w:rPr>
                <w:spacing w:val="6"/>
                <w:sz w:val="18"/>
              </w:rPr>
              <w:t>（</w:t>
            </w:r>
            <w:r>
              <w:rPr>
                <w:spacing w:val="-2"/>
                <w:sz w:val="18"/>
              </w:rPr>
              <w:t>C</w:t>
            </w:r>
            <w:r>
              <w:rPr>
                <w:spacing w:val="3"/>
                <w:sz w:val="18"/>
              </w:rPr>
              <w:t>T</w:t>
            </w:r>
            <w:r>
              <w:rPr>
                <w:spacing w:val="-89"/>
                <w:sz w:val="18"/>
              </w:rPr>
              <w:t>）</w:t>
            </w:r>
            <w:r>
              <w:rPr>
                <w:sz w:val="18"/>
              </w:rPr>
              <w:t>、核磁共</w:t>
            </w:r>
            <w:r>
              <w:rPr>
                <w:spacing w:val="-3"/>
                <w:sz w:val="18"/>
              </w:rPr>
              <w:t>振检查</w:t>
            </w:r>
            <w:r>
              <w:rPr>
                <w:sz w:val="18"/>
              </w:rPr>
              <w:t>（MRI）</w:t>
            </w:r>
            <w:r>
              <w:rPr>
                <w:spacing w:val="-2"/>
                <w:sz w:val="18"/>
              </w:rPr>
              <w:t>或正电子发射断层扫描</w:t>
            </w:r>
            <w:r>
              <w:rPr>
                <w:sz w:val="18"/>
              </w:rPr>
              <w:t>（PET）</w:t>
            </w:r>
            <w:r>
              <w:rPr>
                <w:spacing w:val="-3"/>
                <w:sz w:val="18"/>
              </w:rPr>
              <w:t>等影像学检查证实，且自主生活能力完全丧失，无法独立完成六项基本日常生活活动中的三项或三项以上。</w:t>
            </w:r>
          </w:p>
        </w:tc>
      </w:tr>
    </w:tbl>
    <w:p>
      <w:pPr>
        <w:spacing w:after="0" w:line="310" w:lineRule="atLeast"/>
        <w:jc w:val="both"/>
        <w:rPr>
          <w:sz w:val="18"/>
        </w:rPr>
        <w:sectPr>
          <w:pgSz w:w="11910" w:h="16840"/>
          <w:pgMar w:header="857" w:footer="976" w:top="1040" w:bottom="1160" w:left="900" w:right="64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958"/>
      </w:tblGrid>
      <w:tr>
        <w:trPr>
          <w:trHeight w:val="716" w:hRule="atLeast"/>
        </w:trPr>
        <w:tc>
          <w:tcPr>
            <w:tcW w:w="2241" w:type="dxa"/>
            <w:tcBorders>
              <w:top w:val="single" w:sz="6" w:space="0" w:color="000000"/>
            </w:tcBorders>
          </w:tcPr>
          <w:p>
            <w:pPr>
              <w:pStyle w:val="TableParagraph"/>
              <w:rPr>
                <w:rFonts w:ascii="Times New Roman"/>
                <w:sz w:val="18"/>
              </w:rPr>
            </w:pPr>
          </w:p>
        </w:tc>
        <w:tc>
          <w:tcPr>
            <w:tcW w:w="7958" w:type="dxa"/>
            <w:tcBorders>
              <w:top w:val="single" w:sz="6" w:space="0" w:color="000000"/>
            </w:tcBorders>
          </w:tcPr>
          <w:p>
            <w:pPr>
              <w:pStyle w:val="TableParagraph"/>
              <w:spacing w:before="8"/>
              <w:rPr>
                <w:rFonts w:ascii="Times New Roman"/>
                <w:sz w:val="26"/>
              </w:rPr>
            </w:pPr>
          </w:p>
          <w:p>
            <w:pPr>
              <w:pStyle w:val="TableParagraph"/>
              <w:spacing w:before="1"/>
              <w:ind w:left="143"/>
              <w:rPr>
                <w:sz w:val="18"/>
              </w:rPr>
            </w:pPr>
            <w:r>
              <w:rPr>
                <w:sz w:val="18"/>
              </w:rPr>
              <w:t>神经官能症和精神疾病不在保障范围内。</w:t>
            </w:r>
          </w:p>
        </w:tc>
      </w:tr>
      <w:tr>
        <w:trPr>
          <w:trHeight w:val="2099" w:hRule="atLeast"/>
        </w:trPr>
        <w:tc>
          <w:tcPr>
            <w:tcW w:w="2241" w:type="dxa"/>
          </w:tcPr>
          <w:p>
            <w:pPr>
              <w:pStyle w:val="TableParagraph"/>
              <w:spacing w:before="109"/>
              <w:ind w:left="200"/>
              <w:rPr>
                <w:b/>
                <w:sz w:val="21"/>
              </w:rPr>
            </w:pPr>
            <w:r>
              <w:rPr>
                <w:b/>
                <w:sz w:val="21"/>
              </w:rPr>
              <w:t>18. 严重脑损伤</w:t>
            </w:r>
          </w:p>
        </w:tc>
        <w:tc>
          <w:tcPr>
            <w:tcW w:w="7958" w:type="dxa"/>
          </w:tcPr>
          <w:p>
            <w:pPr>
              <w:pStyle w:val="TableParagraph"/>
              <w:spacing w:line="316" w:lineRule="auto" w:before="129"/>
              <w:ind w:left="143" w:right="288"/>
              <w:jc w:val="both"/>
              <w:rPr>
                <w:sz w:val="18"/>
              </w:rPr>
            </w:pPr>
            <w:r>
              <w:rPr>
                <w:spacing w:val="-4"/>
                <w:sz w:val="18"/>
              </w:rPr>
              <w:t>指因头部遭受机械性外力，引起脑重要部位损伤，导致神经系统永久性的功能障碍。须由头颅断</w:t>
            </w:r>
            <w:r>
              <w:rPr>
                <w:spacing w:val="0"/>
                <w:sz w:val="18"/>
              </w:rPr>
              <w:t>层扫描</w:t>
            </w:r>
            <w:r>
              <w:rPr>
                <w:spacing w:val="1"/>
                <w:sz w:val="18"/>
              </w:rPr>
              <w:t>（</w:t>
            </w:r>
            <w:r>
              <w:rPr>
                <w:spacing w:val="-2"/>
                <w:sz w:val="18"/>
              </w:rPr>
              <w:t>C</w:t>
            </w:r>
            <w:r>
              <w:rPr>
                <w:spacing w:val="2"/>
                <w:sz w:val="18"/>
              </w:rPr>
              <w:t>T</w:t>
            </w:r>
            <w:r>
              <w:rPr>
                <w:spacing w:val="-92"/>
                <w:sz w:val="18"/>
              </w:rPr>
              <w:t>）</w:t>
            </w:r>
            <w:r>
              <w:rPr>
                <w:sz w:val="18"/>
              </w:rPr>
              <w:t>、核磁共振检查</w:t>
            </w:r>
            <w:r>
              <w:rPr>
                <w:spacing w:val="0"/>
                <w:sz w:val="18"/>
              </w:rPr>
              <w:t>（M</w:t>
            </w:r>
            <w:r>
              <w:rPr>
                <w:spacing w:val="-2"/>
                <w:sz w:val="18"/>
              </w:rPr>
              <w:t>R</w:t>
            </w:r>
            <w:r>
              <w:rPr>
                <w:spacing w:val="2"/>
                <w:sz w:val="18"/>
              </w:rPr>
              <w:t>I</w:t>
            </w:r>
            <w:r>
              <w:rPr>
                <w:sz w:val="18"/>
              </w:rPr>
              <w:t>）或正电子发射断层扫描</w:t>
            </w:r>
            <w:r>
              <w:rPr>
                <w:spacing w:val="1"/>
                <w:sz w:val="18"/>
              </w:rPr>
              <w:t>（</w:t>
            </w:r>
            <w:r>
              <w:rPr>
                <w:spacing w:val="0"/>
                <w:sz w:val="18"/>
              </w:rPr>
              <w:t>P</w:t>
            </w:r>
            <w:r>
              <w:rPr>
                <w:spacing w:val="-2"/>
                <w:sz w:val="18"/>
              </w:rPr>
              <w:t>E</w:t>
            </w:r>
            <w:r>
              <w:rPr>
                <w:spacing w:val="2"/>
                <w:sz w:val="18"/>
              </w:rPr>
              <w:t>T</w:t>
            </w:r>
            <w:r>
              <w:rPr>
                <w:sz w:val="18"/>
              </w:rPr>
              <w:t>）等影像学检查证实。神经系</w:t>
            </w:r>
            <w:r>
              <w:rPr>
                <w:spacing w:val="-3"/>
                <w:sz w:val="18"/>
              </w:rPr>
              <w:t>统永久性的功能障碍，指脑损伤 </w:t>
            </w:r>
            <w:r>
              <w:rPr>
                <w:sz w:val="18"/>
              </w:rPr>
              <w:t>180</w:t>
            </w:r>
            <w:r>
              <w:rPr>
                <w:spacing w:val="-7"/>
                <w:sz w:val="18"/>
              </w:rPr>
              <w:t> 天后，仍遗留下列一种或一种以上障碍：</w:t>
            </w:r>
          </w:p>
          <w:p>
            <w:pPr>
              <w:pStyle w:val="TableParagraph"/>
              <w:numPr>
                <w:ilvl w:val="0"/>
                <w:numId w:val="17"/>
              </w:numPr>
              <w:tabs>
                <w:tab w:pos="540" w:val="left" w:leader="none"/>
              </w:tabs>
              <w:spacing w:line="240" w:lineRule="auto" w:before="18" w:after="0"/>
              <w:ind w:left="539" w:right="0" w:hanging="396"/>
              <w:jc w:val="both"/>
              <w:rPr>
                <w:sz w:val="18"/>
              </w:rPr>
            </w:pPr>
            <w:r>
              <w:rPr>
                <w:sz w:val="18"/>
              </w:rPr>
              <w:t>一肢或一肢以上肢体机能完全丧失；</w:t>
            </w:r>
          </w:p>
          <w:p>
            <w:pPr>
              <w:pStyle w:val="TableParagraph"/>
              <w:numPr>
                <w:ilvl w:val="0"/>
                <w:numId w:val="17"/>
              </w:numPr>
              <w:tabs>
                <w:tab w:pos="540" w:val="left" w:leader="none"/>
              </w:tabs>
              <w:spacing w:line="240" w:lineRule="auto" w:before="76" w:after="0"/>
              <w:ind w:left="539" w:right="0" w:hanging="396"/>
              <w:jc w:val="both"/>
              <w:rPr>
                <w:sz w:val="18"/>
              </w:rPr>
            </w:pPr>
            <w:r>
              <w:rPr>
                <w:sz w:val="18"/>
              </w:rPr>
              <w:t>语言能力或咀嚼吞咽能力完全丧失；</w:t>
            </w:r>
          </w:p>
          <w:p>
            <w:pPr>
              <w:pStyle w:val="TableParagraph"/>
              <w:numPr>
                <w:ilvl w:val="0"/>
                <w:numId w:val="17"/>
              </w:numPr>
              <w:tabs>
                <w:tab w:pos="540" w:val="left" w:leader="none"/>
              </w:tabs>
              <w:spacing w:line="240" w:lineRule="auto" w:before="76" w:after="0"/>
              <w:ind w:left="539" w:right="0" w:hanging="396"/>
              <w:jc w:val="both"/>
              <w:rPr>
                <w:sz w:val="18"/>
              </w:rPr>
            </w:pPr>
            <w:r>
              <w:rPr>
                <w:sz w:val="18"/>
              </w:rPr>
              <w:t>自主生活能力完全丧失，无法独立完成六项基本日常生活活动中的三项或三项以上。</w:t>
            </w:r>
          </w:p>
        </w:tc>
      </w:tr>
      <w:tr>
        <w:trPr>
          <w:trHeight w:val="1476" w:hRule="atLeast"/>
        </w:trPr>
        <w:tc>
          <w:tcPr>
            <w:tcW w:w="2241" w:type="dxa"/>
          </w:tcPr>
          <w:p>
            <w:pPr>
              <w:pStyle w:val="TableParagraph"/>
              <w:spacing w:before="110"/>
              <w:ind w:left="200"/>
              <w:rPr>
                <w:b/>
                <w:sz w:val="21"/>
              </w:rPr>
            </w:pPr>
            <w:r>
              <w:rPr>
                <w:b/>
                <w:sz w:val="21"/>
              </w:rPr>
              <w:t>19. 严重帕金森病</w:t>
            </w:r>
          </w:p>
        </w:tc>
        <w:tc>
          <w:tcPr>
            <w:tcW w:w="7958" w:type="dxa"/>
          </w:tcPr>
          <w:p>
            <w:pPr>
              <w:pStyle w:val="TableParagraph"/>
              <w:spacing w:before="130"/>
              <w:ind w:left="143"/>
              <w:rPr>
                <w:sz w:val="18"/>
              </w:rPr>
            </w:pPr>
            <w:r>
              <w:rPr>
                <w:sz w:val="18"/>
              </w:rPr>
              <w:t>是一种中枢神经系统的退行性疾病，临床表现为震颤麻痹、共济失调等。须满足下列全部条件：</w:t>
            </w:r>
          </w:p>
          <w:p>
            <w:pPr>
              <w:pStyle w:val="TableParagraph"/>
              <w:numPr>
                <w:ilvl w:val="0"/>
                <w:numId w:val="18"/>
              </w:numPr>
              <w:tabs>
                <w:tab w:pos="506" w:val="left" w:leader="none"/>
              </w:tabs>
              <w:spacing w:line="240" w:lineRule="auto" w:before="75" w:after="0"/>
              <w:ind w:left="143" w:right="0" w:firstLine="0"/>
              <w:jc w:val="left"/>
              <w:rPr>
                <w:sz w:val="18"/>
              </w:rPr>
            </w:pPr>
            <w:r>
              <w:rPr>
                <w:sz w:val="18"/>
              </w:rPr>
              <w:t>药物治疗无法控制病情；</w:t>
            </w:r>
          </w:p>
          <w:p>
            <w:pPr>
              <w:pStyle w:val="TableParagraph"/>
              <w:numPr>
                <w:ilvl w:val="0"/>
                <w:numId w:val="18"/>
              </w:numPr>
              <w:tabs>
                <w:tab w:pos="506" w:val="left" w:leader="none"/>
              </w:tabs>
              <w:spacing w:line="316" w:lineRule="auto" w:before="75" w:after="0"/>
              <w:ind w:left="143" w:right="792" w:firstLine="0"/>
              <w:jc w:val="left"/>
              <w:rPr>
                <w:sz w:val="18"/>
              </w:rPr>
            </w:pPr>
            <w:r>
              <w:rPr>
                <w:spacing w:val="-1"/>
                <w:sz w:val="18"/>
              </w:rPr>
              <w:t>自主生活能力完全丧失，无法独立完成六项基本日常生活活动中的三项或三项以上。继发性帕金森综合征不在保障范围内。</w:t>
            </w:r>
          </w:p>
        </w:tc>
      </w:tr>
      <w:tr>
        <w:trPr>
          <w:trHeight w:val="851" w:hRule="atLeast"/>
        </w:trPr>
        <w:tc>
          <w:tcPr>
            <w:tcW w:w="2241" w:type="dxa"/>
          </w:tcPr>
          <w:p>
            <w:pPr>
              <w:pStyle w:val="TableParagraph"/>
              <w:spacing w:before="110"/>
              <w:ind w:left="200"/>
              <w:rPr>
                <w:b/>
                <w:sz w:val="21"/>
              </w:rPr>
            </w:pPr>
            <w:r>
              <w:rPr>
                <w:b/>
                <w:sz w:val="21"/>
              </w:rPr>
              <w:t>20. 严重Ⅲ度烧伤</w:t>
            </w:r>
          </w:p>
        </w:tc>
        <w:tc>
          <w:tcPr>
            <w:tcW w:w="7958" w:type="dxa"/>
          </w:tcPr>
          <w:p>
            <w:pPr>
              <w:pStyle w:val="TableParagraph"/>
              <w:spacing w:line="316" w:lineRule="auto" w:before="131"/>
              <w:ind w:left="143" w:right="284"/>
              <w:rPr>
                <w:sz w:val="18"/>
              </w:rPr>
            </w:pPr>
            <w:r>
              <w:rPr>
                <w:spacing w:val="-4"/>
                <w:sz w:val="18"/>
              </w:rPr>
              <w:t>指烧伤程度为Ⅲ度，且Ⅲ度烧伤面积达到全身体表面积的 </w:t>
            </w:r>
            <w:r>
              <w:rPr>
                <w:sz w:val="18"/>
              </w:rPr>
              <w:t>20</w:t>
            </w:r>
            <w:r>
              <w:rPr>
                <w:spacing w:val="-15"/>
                <w:sz w:val="18"/>
              </w:rPr>
              <w:t>％或 </w:t>
            </w:r>
            <w:r>
              <w:rPr>
                <w:sz w:val="18"/>
              </w:rPr>
              <w:t>20</w:t>
            </w:r>
            <w:r>
              <w:rPr>
                <w:spacing w:val="-5"/>
                <w:sz w:val="18"/>
              </w:rPr>
              <w:t>％以上。体表面积根据 《中国新九分法》计算。</w:t>
            </w:r>
          </w:p>
        </w:tc>
      </w:tr>
      <w:tr>
        <w:trPr>
          <w:trHeight w:val="1162" w:hRule="atLeast"/>
        </w:trPr>
        <w:tc>
          <w:tcPr>
            <w:tcW w:w="2241" w:type="dxa"/>
          </w:tcPr>
          <w:p>
            <w:pPr>
              <w:pStyle w:val="TableParagraph"/>
              <w:spacing w:line="273" w:lineRule="auto" w:before="109"/>
              <w:ind w:left="619" w:right="140" w:hanging="420"/>
              <w:rPr>
                <w:b/>
                <w:sz w:val="21"/>
              </w:rPr>
            </w:pPr>
            <w:r>
              <w:rPr>
                <w:b/>
                <w:sz w:val="21"/>
              </w:rPr>
              <w:t>21. 严重原发性肺动脉高压</w:t>
            </w:r>
          </w:p>
        </w:tc>
        <w:tc>
          <w:tcPr>
            <w:tcW w:w="7958" w:type="dxa"/>
          </w:tcPr>
          <w:p>
            <w:pPr>
              <w:pStyle w:val="TableParagraph"/>
              <w:spacing w:line="316" w:lineRule="auto" w:before="129"/>
              <w:ind w:left="143" w:right="287"/>
              <w:jc w:val="both"/>
              <w:rPr>
                <w:sz w:val="18"/>
              </w:rPr>
            </w:pPr>
            <w:r>
              <w:rPr>
                <w:spacing w:val="-3"/>
                <w:sz w:val="18"/>
              </w:rPr>
              <w:t>指不明原因的肺动脉压力持续性增高，进行性发展而导致的慢性疾病，已经造成永久不可逆性的</w:t>
            </w:r>
            <w:r>
              <w:rPr>
                <w:spacing w:val="-4"/>
                <w:sz w:val="18"/>
              </w:rPr>
              <w:t>体力活动能力受限，达到美国纽约心脏病学会心功能状态分级 </w:t>
            </w:r>
            <w:r>
              <w:rPr>
                <w:sz w:val="18"/>
              </w:rPr>
              <w:t>IV</w:t>
            </w:r>
            <w:r>
              <w:rPr>
                <w:spacing w:val="-4"/>
                <w:sz w:val="18"/>
              </w:rPr>
              <w:t> 级，且静息状态下肺动脉平均</w:t>
            </w:r>
            <w:r>
              <w:rPr>
                <w:spacing w:val="-15"/>
                <w:sz w:val="18"/>
              </w:rPr>
              <w:t>压超过 </w:t>
            </w:r>
            <w:r>
              <w:rPr>
                <w:sz w:val="18"/>
              </w:rPr>
              <w:t>30mmHg。</w:t>
            </w:r>
          </w:p>
        </w:tc>
      </w:tr>
      <w:tr>
        <w:trPr>
          <w:trHeight w:val="1162" w:hRule="atLeast"/>
        </w:trPr>
        <w:tc>
          <w:tcPr>
            <w:tcW w:w="2241" w:type="dxa"/>
          </w:tcPr>
          <w:p>
            <w:pPr>
              <w:pStyle w:val="TableParagraph"/>
              <w:spacing w:line="273" w:lineRule="auto" w:before="110"/>
              <w:ind w:left="619" w:right="140" w:hanging="420"/>
              <w:rPr>
                <w:b/>
                <w:sz w:val="21"/>
              </w:rPr>
            </w:pPr>
            <w:r>
              <w:rPr>
                <w:b/>
                <w:sz w:val="21"/>
              </w:rPr>
              <w:t>22. 严重运动神经元病</w:t>
            </w:r>
          </w:p>
        </w:tc>
        <w:tc>
          <w:tcPr>
            <w:tcW w:w="7958" w:type="dxa"/>
          </w:tcPr>
          <w:p>
            <w:pPr>
              <w:pStyle w:val="TableParagraph"/>
              <w:spacing w:line="316" w:lineRule="auto" w:before="130"/>
              <w:ind w:left="143" w:right="197"/>
              <w:rPr>
                <w:sz w:val="18"/>
              </w:rPr>
            </w:pPr>
            <w:r>
              <w:rPr>
                <w:spacing w:val="-5"/>
                <w:sz w:val="18"/>
              </w:rPr>
              <w:t>是一组中枢神经系统运动神经元的进行性变性疾病，包括进行性脊肌萎缩症、进行性延髓麻痹症、</w:t>
            </w:r>
            <w:r>
              <w:rPr>
                <w:spacing w:val="-8"/>
                <w:sz w:val="18"/>
              </w:rPr>
              <w:t>原发性侧索硬化症、肌萎缩性侧索硬化症。须满足自主生活能力完全丧失，无法独立完成六项基本日常生活活动中的三项或三项以上的条件。</w:t>
            </w:r>
          </w:p>
        </w:tc>
      </w:tr>
      <w:tr>
        <w:trPr>
          <w:trHeight w:val="1162" w:hRule="atLeast"/>
        </w:trPr>
        <w:tc>
          <w:tcPr>
            <w:tcW w:w="2241" w:type="dxa"/>
          </w:tcPr>
          <w:p>
            <w:pPr>
              <w:pStyle w:val="TableParagraph"/>
              <w:spacing w:before="109"/>
              <w:ind w:left="200"/>
              <w:rPr>
                <w:b/>
                <w:sz w:val="21"/>
              </w:rPr>
            </w:pPr>
            <w:r>
              <w:rPr>
                <w:b/>
                <w:sz w:val="21"/>
              </w:rPr>
              <w:t>23. 语言能力丧失</w:t>
            </w:r>
          </w:p>
        </w:tc>
        <w:tc>
          <w:tcPr>
            <w:tcW w:w="7958" w:type="dxa"/>
          </w:tcPr>
          <w:p>
            <w:pPr>
              <w:pStyle w:val="TableParagraph"/>
              <w:spacing w:line="316" w:lineRule="auto" w:before="129"/>
              <w:ind w:left="143" w:right="287"/>
              <w:rPr>
                <w:sz w:val="18"/>
              </w:rPr>
            </w:pPr>
            <w:r>
              <w:rPr>
                <w:spacing w:val="-1"/>
                <w:sz w:val="18"/>
              </w:rPr>
              <w:t>指因疾病或意外伤害导致完全丧失语言能力，经过积极治疗至少 </w:t>
            </w:r>
            <w:r>
              <w:rPr>
                <w:sz w:val="18"/>
              </w:rPr>
              <w:t>12</w:t>
            </w:r>
            <w:r>
              <w:rPr>
                <w:spacing w:val="-6"/>
                <w:sz w:val="18"/>
              </w:rPr>
              <w:t> 个月</w:t>
            </w:r>
            <w:r>
              <w:rPr>
                <w:sz w:val="18"/>
              </w:rPr>
              <w:t>（</w:t>
            </w:r>
            <w:r>
              <w:rPr>
                <w:spacing w:val="-1"/>
                <w:sz w:val="18"/>
              </w:rPr>
              <w:t>声带完全切除不受此时间限制</w:t>
            </w:r>
            <w:r>
              <w:rPr>
                <w:spacing w:val="-92"/>
                <w:sz w:val="18"/>
              </w:rPr>
              <w:t>）</w:t>
            </w:r>
            <w:r>
              <w:rPr>
                <w:sz w:val="18"/>
              </w:rPr>
              <w:t>，仍无法通过现有医疗手段恢复。</w:t>
            </w:r>
          </w:p>
          <w:p>
            <w:pPr>
              <w:pStyle w:val="TableParagraph"/>
              <w:spacing w:before="18"/>
              <w:ind w:left="143"/>
              <w:rPr>
                <w:sz w:val="18"/>
              </w:rPr>
            </w:pPr>
            <w:r>
              <w:rPr>
                <w:sz w:val="18"/>
              </w:rPr>
              <w:t>精神心理因素所致的语言能力丧失不在保障范围内。</w:t>
            </w:r>
          </w:p>
        </w:tc>
      </w:tr>
      <w:tr>
        <w:trPr>
          <w:trHeight w:val="2411" w:hRule="atLeast"/>
        </w:trPr>
        <w:tc>
          <w:tcPr>
            <w:tcW w:w="2241" w:type="dxa"/>
          </w:tcPr>
          <w:p>
            <w:pPr>
              <w:pStyle w:val="TableParagraph"/>
              <w:spacing w:line="273" w:lineRule="auto" w:before="110"/>
              <w:ind w:left="619" w:right="140" w:hanging="420"/>
              <w:rPr>
                <w:b/>
                <w:sz w:val="21"/>
              </w:rPr>
            </w:pPr>
            <w:r>
              <w:rPr>
                <w:b/>
                <w:sz w:val="21"/>
              </w:rPr>
              <w:t>24. 重型再生障碍性贫血</w:t>
            </w:r>
          </w:p>
        </w:tc>
        <w:tc>
          <w:tcPr>
            <w:tcW w:w="7958" w:type="dxa"/>
          </w:tcPr>
          <w:p>
            <w:pPr>
              <w:pStyle w:val="TableParagraph"/>
              <w:spacing w:line="316" w:lineRule="auto" w:before="130"/>
              <w:ind w:left="143" w:right="233"/>
              <w:rPr>
                <w:sz w:val="18"/>
              </w:rPr>
            </w:pPr>
            <w:r>
              <w:rPr>
                <w:sz w:val="18"/>
              </w:rPr>
              <w:t>指因骨髓造血功能慢性持续性衰竭导致的贫血、中性粒细胞减少及血小板减少，须满足以下全部条件：</w:t>
            </w:r>
          </w:p>
          <w:p>
            <w:pPr>
              <w:pStyle w:val="TableParagraph"/>
              <w:numPr>
                <w:ilvl w:val="0"/>
                <w:numId w:val="19"/>
              </w:numPr>
              <w:tabs>
                <w:tab w:pos="506" w:val="left" w:leader="none"/>
              </w:tabs>
              <w:spacing w:line="240" w:lineRule="auto" w:before="18" w:after="0"/>
              <w:ind w:left="505" w:right="0" w:hanging="362"/>
              <w:jc w:val="left"/>
              <w:rPr>
                <w:sz w:val="18"/>
              </w:rPr>
            </w:pPr>
            <w:r>
              <w:rPr>
                <w:spacing w:val="-1"/>
                <w:sz w:val="18"/>
              </w:rPr>
              <w:t>骨髓穿刺检查或骨髓活检结果支持诊断；</w:t>
            </w:r>
          </w:p>
          <w:p>
            <w:pPr>
              <w:pStyle w:val="TableParagraph"/>
              <w:numPr>
                <w:ilvl w:val="0"/>
                <w:numId w:val="19"/>
              </w:numPr>
              <w:tabs>
                <w:tab w:pos="506" w:val="left" w:leader="none"/>
              </w:tabs>
              <w:spacing w:line="240" w:lineRule="auto" w:before="76" w:after="0"/>
              <w:ind w:left="505" w:right="0" w:hanging="362"/>
              <w:jc w:val="left"/>
              <w:rPr>
                <w:sz w:val="18"/>
              </w:rPr>
            </w:pPr>
            <w:r>
              <w:rPr>
                <w:spacing w:val="-1"/>
                <w:sz w:val="18"/>
              </w:rPr>
              <w:t>外周血象必须具备以下三项条件：</w:t>
            </w:r>
          </w:p>
          <w:p>
            <w:pPr>
              <w:pStyle w:val="TableParagraph"/>
              <w:spacing w:before="76"/>
              <w:ind w:left="354"/>
              <w:rPr>
                <w:sz w:val="18"/>
              </w:rPr>
            </w:pPr>
            <w:r>
              <w:rPr>
                <w:sz w:val="18"/>
              </w:rPr>
              <w:t>① 中性粒细胞绝对值≤0.5×109/L ；</w:t>
            </w:r>
          </w:p>
          <w:p>
            <w:pPr>
              <w:pStyle w:val="TableParagraph"/>
              <w:spacing w:before="76"/>
              <w:ind w:left="354"/>
              <w:rPr>
                <w:sz w:val="18"/>
              </w:rPr>
            </w:pPr>
            <w:r>
              <w:rPr>
                <w:sz w:val="18"/>
              </w:rPr>
              <w:t>② 网织红细胞＜1%；</w:t>
            </w:r>
          </w:p>
          <w:p>
            <w:pPr>
              <w:pStyle w:val="TableParagraph"/>
              <w:spacing w:before="76"/>
              <w:ind w:left="354"/>
              <w:rPr>
                <w:sz w:val="18"/>
              </w:rPr>
            </w:pPr>
            <w:r>
              <w:rPr>
                <w:sz w:val="18"/>
              </w:rPr>
              <w:t>③ 血小板绝对值≤20×109/L。</w:t>
            </w:r>
          </w:p>
        </w:tc>
      </w:tr>
      <w:tr>
        <w:trPr>
          <w:trHeight w:val="1163" w:hRule="atLeast"/>
        </w:trPr>
        <w:tc>
          <w:tcPr>
            <w:tcW w:w="2241" w:type="dxa"/>
          </w:tcPr>
          <w:p>
            <w:pPr>
              <w:pStyle w:val="TableParagraph"/>
              <w:spacing w:before="109"/>
              <w:ind w:left="200"/>
              <w:rPr>
                <w:b/>
                <w:sz w:val="21"/>
              </w:rPr>
            </w:pPr>
            <w:r>
              <w:rPr>
                <w:b/>
                <w:sz w:val="21"/>
              </w:rPr>
              <w:t>25. 主动脉手术</w:t>
            </w:r>
          </w:p>
        </w:tc>
        <w:tc>
          <w:tcPr>
            <w:tcW w:w="7958" w:type="dxa"/>
          </w:tcPr>
          <w:p>
            <w:pPr>
              <w:pStyle w:val="TableParagraph"/>
              <w:spacing w:line="316" w:lineRule="auto" w:before="129"/>
              <w:ind w:left="143" w:right="252"/>
              <w:rPr>
                <w:sz w:val="18"/>
              </w:rPr>
            </w:pPr>
            <w:r>
              <w:rPr>
                <w:sz w:val="18"/>
              </w:rPr>
              <w:t>指为治疗主动脉疾病，实际实施了开胸或开腹进行的切除、置换、修补病损主动脉血管的手术。主动脉指胸主动脉和腹主动脉，不包括胸主动脉和腹主动脉的分支血管。</w:t>
            </w:r>
          </w:p>
          <w:p>
            <w:pPr>
              <w:pStyle w:val="TableParagraph"/>
              <w:spacing w:before="18"/>
              <w:ind w:left="143"/>
              <w:rPr>
                <w:sz w:val="18"/>
              </w:rPr>
            </w:pPr>
            <w:r>
              <w:rPr>
                <w:sz w:val="18"/>
              </w:rPr>
              <w:t>动脉内血管成形术不在保障范围内。</w:t>
            </w:r>
          </w:p>
        </w:tc>
      </w:tr>
      <w:tr>
        <w:trPr>
          <w:trHeight w:val="1614" w:hRule="atLeast"/>
        </w:trPr>
        <w:tc>
          <w:tcPr>
            <w:tcW w:w="2241" w:type="dxa"/>
          </w:tcPr>
          <w:p>
            <w:pPr>
              <w:pStyle w:val="TableParagraph"/>
              <w:spacing w:before="110"/>
              <w:ind w:left="200"/>
              <w:rPr>
                <w:b/>
                <w:sz w:val="21"/>
              </w:rPr>
            </w:pPr>
            <w:r>
              <w:rPr>
                <w:b/>
                <w:sz w:val="21"/>
              </w:rPr>
              <w:t>26. 植物人状态</w:t>
            </w:r>
          </w:p>
        </w:tc>
        <w:tc>
          <w:tcPr>
            <w:tcW w:w="7958" w:type="dxa"/>
          </w:tcPr>
          <w:p>
            <w:pPr>
              <w:pStyle w:val="TableParagraph"/>
              <w:spacing w:line="316" w:lineRule="auto" w:before="130"/>
              <w:ind w:left="143" w:right="285"/>
              <w:jc w:val="both"/>
              <w:rPr>
                <w:sz w:val="18"/>
              </w:rPr>
            </w:pPr>
            <w:r>
              <w:rPr>
                <w:sz w:val="18"/>
              </w:rPr>
              <w:t>指脑皮质广泛性坏死而导致对自身及周边的认知能力完全丧失,但脑干功能依然存在。必须由本公司认可的神经专科医生明确诊断,并有头颅断层扫描</w:t>
            </w:r>
            <w:r>
              <w:rPr>
                <w:spacing w:val="2"/>
                <w:sz w:val="18"/>
              </w:rPr>
              <w:t>（</w:t>
            </w:r>
            <w:r>
              <w:rPr>
                <w:spacing w:val="-2"/>
                <w:sz w:val="18"/>
              </w:rPr>
              <w:t>C</w:t>
            </w:r>
            <w:r>
              <w:rPr>
                <w:spacing w:val="2"/>
                <w:sz w:val="18"/>
              </w:rPr>
              <w:t>T</w:t>
            </w:r>
            <w:r>
              <w:rPr>
                <w:spacing w:val="-92"/>
                <w:sz w:val="18"/>
              </w:rPr>
              <w:t>）</w:t>
            </w:r>
            <w:r>
              <w:rPr>
                <w:sz w:val="18"/>
              </w:rPr>
              <w:t>，核磁共振检查</w:t>
            </w:r>
            <w:r>
              <w:rPr>
                <w:spacing w:val="2"/>
                <w:sz w:val="18"/>
              </w:rPr>
              <w:t>（</w:t>
            </w:r>
            <w:r>
              <w:rPr>
                <w:spacing w:val="-2"/>
                <w:sz w:val="18"/>
              </w:rPr>
              <w:t>MR</w:t>
            </w:r>
            <w:r>
              <w:rPr>
                <w:spacing w:val="2"/>
                <w:sz w:val="18"/>
              </w:rPr>
              <w:t>I</w:t>
            </w:r>
            <w:r>
              <w:rPr>
                <w:sz w:val="18"/>
              </w:rPr>
              <w:t>）或正电子发射断层扫描（PET）</w:t>
            </w:r>
            <w:r>
              <w:rPr>
                <w:spacing w:val="-1"/>
                <w:sz w:val="18"/>
              </w:rPr>
              <w:t>等影像学检查证实。</w:t>
            </w:r>
          </w:p>
          <w:p>
            <w:pPr>
              <w:pStyle w:val="TableParagraph"/>
              <w:spacing w:before="18"/>
              <w:ind w:left="143"/>
              <w:jc w:val="both"/>
              <w:rPr>
                <w:sz w:val="18"/>
              </w:rPr>
            </w:pPr>
            <w:r>
              <w:rPr>
                <w:sz w:val="18"/>
              </w:rPr>
              <w:t>上述情况必须有超过 30 天的病历记录加以证实。</w:t>
            </w:r>
          </w:p>
          <w:p>
            <w:pPr>
              <w:pStyle w:val="TableParagraph"/>
              <w:spacing w:line="216" w:lineRule="exact" w:before="76"/>
              <w:ind w:left="143"/>
              <w:jc w:val="both"/>
              <w:rPr>
                <w:sz w:val="18"/>
              </w:rPr>
            </w:pPr>
            <w:r>
              <w:rPr>
                <w:sz w:val="18"/>
              </w:rPr>
              <w:t>由于酗酒或滥用药物所致的植物人状态不在保障范围内。</w:t>
            </w:r>
          </w:p>
        </w:tc>
      </w:tr>
    </w:tbl>
    <w:p>
      <w:pPr>
        <w:spacing w:after="0" w:line="216" w:lineRule="exact"/>
        <w:jc w:val="both"/>
        <w:rPr>
          <w:sz w:val="18"/>
        </w:rPr>
        <w:sectPr>
          <w:pgSz w:w="11910" w:h="16840"/>
          <w:pgMar w:header="857" w:footer="976" w:top="1040" w:bottom="1160" w:left="900" w:right="58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903"/>
      </w:tblGrid>
      <w:tr>
        <w:trPr>
          <w:trHeight w:val="1340" w:hRule="atLeast"/>
        </w:trPr>
        <w:tc>
          <w:tcPr>
            <w:tcW w:w="2241" w:type="dxa"/>
            <w:tcBorders>
              <w:top w:val="single" w:sz="6" w:space="0" w:color="000000"/>
            </w:tcBorders>
          </w:tcPr>
          <w:p>
            <w:pPr>
              <w:pStyle w:val="TableParagraph"/>
              <w:spacing w:before="11"/>
              <w:rPr>
                <w:rFonts w:ascii="Times New Roman"/>
                <w:sz w:val="24"/>
              </w:rPr>
            </w:pPr>
          </w:p>
          <w:p>
            <w:pPr>
              <w:pStyle w:val="TableParagraph"/>
              <w:spacing w:line="273" w:lineRule="auto"/>
              <w:ind w:left="619" w:right="140" w:hanging="420"/>
              <w:rPr>
                <w:b/>
                <w:sz w:val="21"/>
              </w:rPr>
            </w:pPr>
            <w:r>
              <w:rPr>
                <w:b/>
                <w:sz w:val="21"/>
              </w:rPr>
              <w:t>27. 严重性溃疡性结肠炎</w:t>
            </w:r>
          </w:p>
        </w:tc>
        <w:tc>
          <w:tcPr>
            <w:tcW w:w="7903" w:type="dxa"/>
            <w:tcBorders>
              <w:top w:val="single" w:sz="6" w:space="0" w:color="000000"/>
            </w:tcBorders>
          </w:tcPr>
          <w:p>
            <w:pPr>
              <w:pStyle w:val="TableParagraph"/>
              <w:spacing w:before="8"/>
              <w:rPr>
                <w:rFonts w:ascii="Times New Roman"/>
                <w:sz w:val="26"/>
              </w:rPr>
            </w:pPr>
          </w:p>
          <w:p>
            <w:pPr>
              <w:pStyle w:val="TableParagraph"/>
              <w:spacing w:line="319" w:lineRule="auto" w:before="1"/>
              <w:ind w:left="143" w:right="235"/>
              <w:jc w:val="both"/>
              <w:rPr>
                <w:sz w:val="18"/>
              </w:rPr>
            </w:pPr>
            <w:r>
              <w:rPr>
                <w:spacing w:val="-2"/>
                <w:sz w:val="18"/>
              </w:rPr>
              <w:t>指伴有致命性电解质紊乱的急性暴发性溃疡性结肠炎，病变累及全结肠，表现为严重的血便和系</w:t>
            </w:r>
            <w:r>
              <w:rPr>
                <w:spacing w:val="-6"/>
                <w:sz w:val="18"/>
              </w:rPr>
              <w:t>统性症状体征，治疗通常采取全结肠切除和回肠造瘘术。溃疡性结肠炎必须根据组织病理学特点诊断，并且被保险人已经接受了结肠切除和回肠造瘘术。</w:t>
            </w:r>
          </w:p>
        </w:tc>
      </w:tr>
      <w:tr>
        <w:trPr>
          <w:trHeight w:val="2410" w:hRule="atLeast"/>
        </w:trPr>
        <w:tc>
          <w:tcPr>
            <w:tcW w:w="2241" w:type="dxa"/>
          </w:tcPr>
          <w:p>
            <w:pPr>
              <w:pStyle w:val="TableParagraph"/>
              <w:spacing w:before="109"/>
              <w:ind w:left="200"/>
              <w:rPr>
                <w:b/>
                <w:sz w:val="21"/>
              </w:rPr>
            </w:pPr>
            <w:r>
              <w:rPr>
                <w:b/>
                <w:sz w:val="21"/>
              </w:rPr>
              <w:t>28. 多发性硬化</w:t>
            </w:r>
          </w:p>
        </w:tc>
        <w:tc>
          <w:tcPr>
            <w:tcW w:w="7903" w:type="dxa"/>
          </w:tcPr>
          <w:p>
            <w:pPr>
              <w:pStyle w:val="TableParagraph"/>
              <w:spacing w:line="316" w:lineRule="auto" w:before="129"/>
              <w:ind w:left="143" w:right="232"/>
              <w:jc w:val="both"/>
              <w:rPr>
                <w:sz w:val="18"/>
              </w:rPr>
            </w:pPr>
            <w:r>
              <w:rPr>
                <w:spacing w:val="-2"/>
                <w:sz w:val="18"/>
              </w:rPr>
              <w:t>指因中枢神经系统脱髓鞘而导致的不可逆的身体部位的功能障碍，必须由本公司认可的神经科专</w:t>
            </w:r>
            <w:r>
              <w:rPr>
                <w:spacing w:val="-4"/>
                <w:sz w:val="18"/>
              </w:rPr>
              <w:t>科医生明确诊断，并有 </w:t>
            </w:r>
            <w:r>
              <w:rPr>
                <w:sz w:val="18"/>
              </w:rPr>
              <w:t>CT</w:t>
            </w:r>
            <w:r>
              <w:rPr>
                <w:spacing w:val="-5"/>
                <w:sz w:val="18"/>
              </w:rPr>
              <w:t> 或核磁共振检查结果诊断报告。所谓不可逆的身体部位功能障碍指初</w:t>
            </w:r>
            <w:r>
              <w:rPr>
                <w:spacing w:val="-9"/>
                <w:sz w:val="18"/>
              </w:rPr>
              <w:t>次诊断为功能障碍后需持续 </w:t>
            </w:r>
            <w:r>
              <w:rPr>
                <w:sz w:val="18"/>
              </w:rPr>
              <w:t>180</w:t>
            </w:r>
            <w:r>
              <w:rPr>
                <w:spacing w:val="-10"/>
                <w:sz w:val="18"/>
              </w:rPr>
              <w:t> 天以上。</w:t>
            </w:r>
          </w:p>
          <w:p>
            <w:pPr>
              <w:pStyle w:val="TableParagraph"/>
              <w:spacing w:before="18"/>
              <w:ind w:left="143"/>
              <w:jc w:val="both"/>
              <w:rPr>
                <w:sz w:val="18"/>
              </w:rPr>
            </w:pPr>
            <w:r>
              <w:rPr>
                <w:sz w:val="18"/>
              </w:rPr>
              <w:t>由本公司认可的神经科专科医生提供的明确诊断必须包含以下全部三项内容：</w:t>
            </w:r>
          </w:p>
          <w:p>
            <w:pPr>
              <w:pStyle w:val="TableParagraph"/>
              <w:numPr>
                <w:ilvl w:val="0"/>
                <w:numId w:val="20"/>
              </w:numPr>
              <w:tabs>
                <w:tab w:pos="540" w:val="left" w:leader="none"/>
              </w:tabs>
              <w:spacing w:line="240" w:lineRule="auto" w:before="76" w:after="0"/>
              <w:ind w:left="539" w:right="0" w:hanging="396"/>
              <w:jc w:val="both"/>
              <w:rPr>
                <w:sz w:val="18"/>
              </w:rPr>
            </w:pPr>
            <w:r>
              <w:rPr>
                <w:sz w:val="18"/>
              </w:rPr>
              <w:t>明确出现因视神经、脑干和脊髓损伤而导致的临床表现；</w:t>
            </w:r>
          </w:p>
          <w:p>
            <w:pPr>
              <w:pStyle w:val="TableParagraph"/>
              <w:numPr>
                <w:ilvl w:val="0"/>
                <w:numId w:val="20"/>
              </w:numPr>
              <w:tabs>
                <w:tab w:pos="540" w:val="left" w:leader="none"/>
              </w:tabs>
              <w:spacing w:line="240" w:lineRule="auto" w:before="76" w:after="0"/>
              <w:ind w:left="539" w:right="0" w:hanging="396"/>
              <w:jc w:val="both"/>
              <w:rPr>
                <w:sz w:val="18"/>
              </w:rPr>
            </w:pPr>
            <w:r>
              <w:rPr>
                <w:sz w:val="18"/>
              </w:rPr>
              <w:t>散在的身体损害的多样性；</w:t>
            </w:r>
          </w:p>
          <w:p>
            <w:pPr>
              <w:pStyle w:val="TableParagraph"/>
              <w:numPr>
                <w:ilvl w:val="0"/>
                <w:numId w:val="20"/>
              </w:numPr>
              <w:tabs>
                <w:tab w:pos="540" w:val="left" w:leader="none"/>
              </w:tabs>
              <w:spacing w:line="240" w:lineRule="auto" w:before="76" w:after="0"/>
              <w:ind w:left="539" w:right="0" w:hanging="396"/>
              <w:jc w:val="both"/>
              <w:rPr>
                <w:sz w:val="18"/>
              </w:rPr>
            </w:pPr>
            <w:r>
              <w:rPr>
                <w:sz w:val="18"/>
              </w:rPr>
              <w:t>有明确的上述症状及神经损伤反复恶化、减轻的病史纪录。</w:t>
            </w:r>
          </w:p>
        </w:tc>
      </w:tr>
      <w:tr>
        <w:trPr>
          <w:trHeight w:val="2100" w:hRule="atLeast"/>
        </w:trPr>
        <w:tc>
          <w:tcPr>
            <w:tcW w:w="2241" w:type="dxa"/>
          </w:tcPr>
          <w:p>
            <w:pPr>
              <w:pStyle w:val="TableParagraph"/>
              <w:spacing w:line="273" w:lineRule="auto" w:before="110"/>
              <w:ind w:left="619" w:right="140" w:hanging="420"/>
              <w:rPr>
                <w:b/>
                <w:sz w:val="21"/>
              </w:rPr>
            </w:pPr>
            <w:r>
              <w:rPr>
                <w:b/>
                <w:sz w:val="21"/>
              </w:rPr>
              <w:t>29. 急性出血坏死性胰腺炎</w:t>
            </w:r>
          </w:p>
        </w:tc>
        <w:tc>
          <w:tcPr>
            <w:tcW w:w="7903" w:type="dxa"/>
          </w:tcPr>
          <w:p>
            <w:pPr>
              <w:pStyle w:val="TableParagraph"/>
              <w:spacing w:line="319" w:lineRule="auto" w:before="130"/>
              <w:ind w:left="143" w:right="178"/>
              <w:rPr>
                <w:sz w:val="18"/>
              </w:rPr>
            </w:pPr>
            <w:r>
              <w:rPr>
                <w:sz w:val="18"/>
              </w:rPr>
              <w:t>急性胰脏实质性发炎及坏死，局灶性消化酵素胰脏脂肪坏死以及血管坏死导致出血，并符合下列所有条件</w:t>
            </w:r>
          </w:p>
          <w:p>
            <w:pPr>
              <w:pStyle w:val="TableParagraph"/>
              <w:numPr>
                <w:ilvl w:val="0"/>
                <w:numId w:val="21"/>
              </w:numPr>
              <w:tabs>
                <w:tab w:pos="564" w:val="left" w:leader="none"/>
              </w:tabs>
              <w:spacing w:line="240" w:lineRule="auto" w:before="16" w:after="0"/>
              <w:ind w:left="563" w:right="0" w:hanging="420"/>
              <w:jc w:val="left"/>
              <w:rPr>
                <w:sz w:val="18"/>
              </w:rPr>
            </w:pPr>
            <w:r>
              <w:rPr>
                <w:sz w:val="18"/>
              </w:rPr>
              <w:t>必需经由外科开腹手术清除坏死的组织、病灶或实施胰脏切除术；</w:t>
            </w:r>
          </w:p>
          <w:p>
            <w:pPr>
              <w:pStyle w:val="TableParagraph"/>
              <w:numPr>
                <w:ilvl w:val="0"/>
                <w:numId w:val="21"/>
              </w:numPr>
              <w:tabs>
                <w:tab w:pos="564" w:val="left" w:leader="none"/>
              </w:tabs>
              <w:spacing w:line="240" w:lineRule="auto" w:before="76" w:after="0"/>
              <w:ind w:left="563" w:right="0" w:hanging="420"/>
              <w:jc w:val="left"/>
              <w:rPr>
                <w:sz w:val="18"/>
              </w:rPr>
            </w:pPr>
            <w:r>
              <w:rPr>
                <w:sz w:val="18"/>
              </w:rPr>
              <w:t>必需由本公司认可的普通外科学专科医生以组织病理学的特征来确诊；</w:t>
            </w:r>
          </w:p>
          <w:p>
            <w:pPr>
              <w:pStyle w:val="TableParagraph"/>
              <w:spacing w:line="316" w:lineRule="auto" w:before="76"/>
              <w:ind w:left="143" w:right="195"/>
              <w:rPr>
                <w:sz w:val="18"/>
              </w:rPr>
            </w:pPr>
            <w:r>
              <w:rPr>
                <w:sz w:val="18"/>
              </w:rPr>
              <w:t>任何直接地或间接地、完全地或部分地由酗酒或滥用药物导致的急性出血坏死性胰腺炎或经腹腔镜手术进行的治疗均不在保障范围内。</w:t>
            </w:r>
          </w:p>
        </w:tc>
      </w:tr>
      <w:tr>
        <w:trPr>
          <w:trHeight w:val="2411" w:hRule="atLeast"/>
        </w:trPr>
        <w:tc>
          <w:tcPr>
            <w:tcW w:w="2241" w:type="dxa"/>
          </w:tcPr>
          <w:p>
            <w:pPr>
              <w:pStyle w:val="TableParagraph"/>
              <w:spacing w:before="110"/>
              <w:ind w:left="200"/>
              <w:rPr>
                <w:b/>
                <w:sz w:val="21"/>
              </w:rPr>
            </w:pPr>
            <w:r>
              <w:rPr>
                <w:b/>
                <w:sz w:val="21"/>
              </w:rPr>
              <w:t>30. 重症肌无力</w:t>
            </w:r>
          </w:p>
        </w:tc>
        <w:tc>
          <w:tcPr>
            <w:tcW w:w="7903" w:type="dxa"/>
          </w:tcPr>
          <w:p>
            <w:pPr>
              <w:pStyle w:val="TableParagraph"/>
              <w:spacing w:line="316" w:lineRule="auto" w:before="130"/>
              <w:ind w:left="143" w:right="233"/>
              <w:jc w:val="both"/>
              <w:rPr>
                <w:sz w:val="18"/>
              </w:rPr>
            </w:pPr>
            <w:r>
              <w:rPr>
                <w:spacing w:val="-2"/>
                <w:sz w:val="18"/>
              </w:rPr>
              <w:t>是指一种神经与肌肉接头部位传递障碍的自身免疫性疾病，临床特征是局部或全身横纹肌于活动</w:t>
            </w:r>
            <w:r>
              <w:rPr>
                <w:spacing w:val="-6"/>
                <w:sz w:val="18"/>
              </w:rPr>
              <w:t>时易于疲劳无力，颅神经眼外肌最易累及，也可涉及呼吸肌、下肢近端肌群乃至全身肌肉，须经本公司认可的神经科医师确诊。其诊断必须同时具有下列情况：</w:t>
            </w:r>
          </w:p>
          <w:p>
            <w:pPr>
              <w:pStyle w:val="TableParagraph"/>
              <w:numPr>
                <w:ilvl w:val="0"/>
                <w:numId w:val="22"/>
              </w:numPr>
              <w:tabs>
                <w:tab w:pos="564" w:val="left" w:leader="none"/>
              </w:tabs>
              <w:spacing w:line="240" w:lineRule="auto" w:before="18" w:after="0"/>
              <w:ind w:left="563" w:right="0" w:hanging="420"/>
              <w:jc w:val="left"/>
              <w:rPr>
                <w:sz w:val="18"/>
              </w:rPr>
            </w:pPr>
            <w:r>
              <w:rPr>
                <w:sz w:val="18"/>
              </w:rPr>
              <w:t>经药物、胸腺手术治疗一年以上无法控制病情，丧失正常工作能力；</w:t>
            </w:r>
          </w:p>
          <w:p>
            <w:pPr>
              <w:pStyle w:val="TableParagraph"/>
              <w:numPr>
                <w:ilvl w:val="0"/>
                <w:numId w:val="22"/>
              </w:numPr>
              <w:tabs>
                <w:tab w:pos="564" w:val="left" w:leader="none"/>
              </w:tabs>
              <w:spacing w:line="316" w:lineRule="auto" w:before="76" w:after="0"/>
              <w:ind w:left="563" w:right="228" w:hanging="420"/>
              <w:jc w:val="left"/>
              <w:rPr>
                <w:sz w:val="18"/>
              </w:rPr>
            </w:pPr>
            <w:r>
              <w:rPr>
                <w:sz w:val="18"/>
              </w:rPr>
              <w:t>出现眼睑下垂，或延髓肌受累引起的构音困难、进食呛咳，或由于肌无力累及延髓肌、呼吸肌而致机体呼吸功能不正常的危急状态即肌无力危象；</w:t>
            </w:r>
          </w:p>
          <w:p>
            <w:pPr>
              <w:pStyle w:val="TableParagraph"/>
              <w:numPr>
                <w:ilvl w:val="0"/>
                <w:numId w:val="22"/>
              </w:numPr>
              <w:tabs>
                <w:tab w:pos="564" w:val="left" w:leader="none"/>
              </w:tabs>
              <w:spacing w:line="240" w:lineRule="auto" w:before="19" w:after="0"/>
              <w:ind w:left="563" w:right="0" w:hanging="420"/>
              <w:jc w:val="both"/>
              <w:rPr>
                <w:sz w:val="18"/>
              </w:rPr>
            </w:pPr>
            <w:r>
              <w:rPr>
                <w:sz w:val="18"/>
              </w:rPr>
              <w:t>症状缓解、复发及恶化交替出现，临床接受新斯的明等抗胆碱酯酶药物治疗的病史。</w:t>
            </w:r>
          </w:p>
        </w:tc>
      </w:tr>
      <w:tr>
        <w:trPr>
          <w:trHeight w:val="2098" w:hRule="atLeast"/>
        </w:trPr>
        <w:tc>
          <w:tcPr>
            <w:tcW w:w="2241" w:type="dxa"/>
          </w:tcPr>
          <w:p>
            <w:pPr>
              <w:pStyle w:val="TableParagraph"/>
              <w:spacing w:before="109"/>
              <w:ind w:left="200"/>
              <w:rPr>
                <w:b/>
                <w:sz w:val="21"/>
              </w:rPr>
            </w:pPr>
            <w:r>
              <w:rPr>
                <w:b/>
                <w:sz w:val="21"/>
              </w:rPr>
              <w:t>31. 终末期肺病</w:t>
            </w:r>
          </w:p>
        </w:tc>
        <w:tc>
          <w:tcPr>
            <w:tcW w:w="7903" w:type="dxa"/>
          </w:tcPr>
          <w:p>
            <w:pPr>
              <w:pStyle w:val="TableParagraph"/>
              <w:spacing w:line="316" w:lineRule="auto" w:before="129"/>
              <w:ind w:left="143" w:right="176"/>
              <w:rPr>
                <w:sz w:val="18"/>
              </w:rPr>
            </w:pPr>
            <w:r>
              <w:rPr>
                <w:sz w:val="18"/>
              </w:rPr>
              <w:t>由本公司认可的呼吸专科医生确诊被保险人患有终末期肺病而出现慢性呼吸功能衰竭，其诊断标准包括以下各项：</w:t>
            </w:r>
          </w:p>
          <w:p>
            <w:pPr>
              <w:pStyle w:val="TableParagraph"/>
              <w:numPr>
                <w:ilvl w:val="0"/>
                <w:numId w:val="23"/>
              </w:numPr>
              <w:tabs>
                <w:tab w:pos="598" w:val="left" w:leader="none"/>
              </w:tabs>
              <w:spacing w:line="240" w:lineRule="auto" w:before="18" w:after="0"/>
              <w:ind w:left="597" w:right="0" w:hanging="454"/>
              <w:jc w:val="left"/>
              <w:rPr>
                <w:sz w:val="18"/>
              </w:rPr>
            </w:pPr>
            <w:r>
              <w:rPr>
                <w:spacing w:val="-8"/>
                <w:sz w:val="18"/>
              </w:rPr>
              <w:t>肺功能测试其 </w:t>
            </w:r>
            <w:r>
              <w:rPr>
                <w:sz w:val="18"/>
              </w:rPr>
              <w:t>FEVl</w:t>
            </w:r>
            <w:r>
              <w:rPr>
                <w:spacing w:val="-16"/>
                <w:sz w:val="18"/>
              </w:rPr>
              <w:t> 持续低于 </w:t>
            </w:r>
            <w:r>
              <w:rPr>
                <w:sz w:val="18"/>
              </w:rPr>
              <w:t>0.75</w:t>
            </w:r>
            <w:r>
              <w:rPr>
                <w:spacing w:val="-15"/>
                <w:sz w:val="18"/>
              </w:rPr>
              <w:t> 升；</w:t>
            </w:r>
          </w:p>
          <w:p>
            <w:pPr>
              <w:pStyle w:val="TableParagraph"/>
              <w:numPr>
                <w:ilvl w:val="0"/>
                <w:numId w:val="23"/>
              </w:numPr>
              <w:tabs>
                <w:tab w:pos="598" w:val="left" w:leader="none"/>
              </w:tabs>
              <w:spacing w:line="240" w:lineRule="auto" w:before="76" w:after="0"/>
              <w:ind w:left="597" w:right="0" w:hanging="454"/>
              <w:jc w:val="left"/>
              <w:rPr>
                <w:sz w:val="18"/>
              </w:rPr>
            </w:pPr>
            <w:r>
              <w:rPr>
                <w:spacing w:val="-1"/>
                <w:sz w:val="18"/>
              </w:rPr>
              <w:t>病人缺氧必须广泛而持续地进行输氧治疗；</w:t>
            </w:r>
          </w:p>
          <w:p>
            <w:pPr>
              <w:pStyle w:val="TableParagraph"/>
              <w:numPr>
                <w:ilvl w:val="0"/>
                <w:numId w:val="23"/>
              </w:numPr>
              <w:tabs>
                <w:tab w:pos="598" w:val="left" w:leader="none"/>
              </w:tabs>
              <w:spacing w:line="240" w:lineRule="auto" w:before="76" w:after="0"/>
              <w:ind w:left="597" w:right="0" w:hanging="454"/>
              <w:jc w:val="left"/>
              <w:rPr>
                <w:sz w:val="18"/>
              </w:rPr>
            </w:pPr>
            <w:r>
              <w:rPr>
                <w:spacing w:val="-5"/>
                <w:sz w:val="18"/>
              </w:rPr>
              <w:t>动脉血气分析氧分压低于 </w:t>
            </w:r>
            <w:r>
              <w:rPr>
                <w:sz w:val="18"/>
              </w:rPr>
              <w:t>55mmHg。</w:t>
            </w:r>
          </w:p>
          <w:p>
            <w:pPr>
              <w:pStyle w:val="TableParagraph"/>
              <w:spacing w:before="76"/>
              <w:ind w:left="143"/>
              <w:rPr>
                <w:sz w:val="18"/>
              </w:rPr>
            </w:pPr>
            <w:r>
              <w:rPr>
                <w:sz w:val="18"/>
              </w:rPr>
              <w:t>理赔时必须提供以上各项中相应的医院证明文件或检查报告。</w:t>
            </w:r>
          </w:p>
        </w:tc>
      </w:tr>
      <w:tr>
        <w:trPr>
          <w:trHeight w:val="2099" w:hRule="atLeast"/>
        </w:trPr>
        <w:tc>
          <w:tcPr>
            <w:tcW w:w="2241" w:type="dxa"/>
          </w:tcPr>
          <w:p>
            <w:pPr>
              <w:pStyle w:val="TableParagraph"/>
              <w:spacing w:before="110"/>
              <w:ind w:left="200"/>
              <w:rPr>
                <w:b/>
                <w:sz w:val="21"/>
              </w:rPr>
            </w:pPr>
            <w:r>
              <w:rPr>
                <w:b/>
                <w:sz w:val="21"/>
              </w:rPr>
              <w:t>32. 1 型糖尿病</w:t>
            </w:r>
          </w:p>
        </w:tc>
        <w:tc>
          <w:tcPr>
            <w:tcW w:w="7903" w:type="dxa"/>
          </w:tcPr>
          <w:p>
            <w:pPr>
              <w:pStyle w:val="TableParagraph"/>
              <w:spacing w:line="316" w:lineRule="auto" w:before="130"/>
              <w:ind w:left="143" w:right="232"/>
              <w:jc w:val="both"/>
              <w:rPr>
                <w:sz w:val="18"/>
              </w:rPr>
            </w:pPr>
            <w:r>
              <w:rPr>
                <w:spacing w:val="-1"/>
                <w:sz w:val="18"/>
              </w:rPr>
              <w:t>指由于胰岛素分泌绝对不足引起的以血浆葡萄糖水平增高为特征的代谢内分泌疾病，并需持续性</w:t>
            </w:r>
            <w:r>
              <w:rPr>
                <w:spacing w:val="-4"/>
                <w:sz w:val="18"/>
              </w:rPr>
              <w:t>地依赖外源性胰岛素治疗，须由本公司认可的内分泌科专科医生确诊并在本合同保险责任有效期内，满足下述至少一个条件：</w:t>
            </w:r>
          </w:p>
          <w:p>
            <w:pPr>
              <w:pStyle w:val="TableParagraph"/>
              <w:numPr>
                <w:ilvl w:val="0"/>
                <w:numId w:val="24"/>
              </w:numPr>
              <w:tabs>
                <w:tab w:pos="506" w:val="left" w:leader="none"/>
              </w:tabs>
              <w:spacing w:line="240" w:lineRule="auto" w:before="18" w:after="0"/>
              <w:ind w:left="505" w:right="0" w:hanging="362"/>
              <w:jc w:val="both"/>
              <w:rPr>
                <w:sz w:val="18"/>
              </w:rPr>
            </w:pPr>
            <w:r>
              <w:rPr>
                <w:spacing w:val="-1"/>
                <w:sz w:val="18"/>
              </w:rPr>
              <w:t>本公司认可的内分泌医生或者眼科专科医生确诊已出现增殖性视网膜病变；</w:t>
            </w:r>
          </w:p>
          <w:p>
            <w:pPr>
              <w:pStyle w:val="TableParagraph"/>
              <w:numPr>
                <w:ilvl w:val="0"/>
                <w:numId w:val="24"/>
              </w:numPr>
              <w:tabs>
                <w:tab w:pos="506" w:val="left" w:leader="none"/>
              </w:tabs>
              <w:spacing w:line="240" w:lineRule="auto" w:before="75" w:after="0"/>
              <w:ind w:left="505" w:right="0" w:hanging="362"/>
              <w:jc w:val="both"/>
              <w:rPr>
                <w:sz w:val="18"/>
              </w:rPr>
            </w:pPr>
            <w:r>
              <w:rPr>
                <w:spacing w:val="-1"/>
                <w:sz w:val="18"/>
              </w:rPr>
              <w:t>须植入心脏起搏器治疗心脏病；</w:t>
            </w:r>
          </w:p>
          <w:p>
            <w:pPr>
              <w:pStyle w:val="TableParagraph"/>
              <w:numPr>
                <w:ilvl w:val="0"/>
                <w:numId w:val="24"/>
              </w:numPr>
              <w:tabs>
                <w:tab w:pos="506" w:val="left" w:leader="none"/>
              </w:tabs>
              <w:spacing w:line="240" w:lineRule="auto" w:before="75" w:after="0"/>
              <w:ind w:left="505" w:right="0" w:hanging="362"/>
              <w:jc w:val="both"/>
              <w:rPr>
                <w:sz w:val="18"/>
              </w:rPr>
            </w:pPr>
            <w:r>
              <w:rPr>
                <w:spacing w:val="-1"/>
                <w:sz w:val="18"/>
              </w:rPr>
              <w:t>因糖尿病足趾坏疽需切除一只或以上脚趾。</w:t>
            </w:r>
          </w:p>
        </w:tc>
      </w:tr>
      <w:tr>
        <w:trPr>
          <w:trHeight w:val="1300" w:hRule="atLeast"/>
        </w:trPr>
        <w:tc>
          <w:tcPr>
            <w:tcW w:w="2241" w:type="dxa"/>
          </w:tcPr>
          <w:p>
            <w:pPr>
              <w:pStyle w:val="TableParagraph"/>
              <w:spacing w:line="273" w:lineRule="auto" w:before="109"/>
              <w:ind w:left="619" w:right="140" w:hanging="420"/>
              <w:rPr>
                <w:b/>
                <w:sz w:val="21"/>
              </w:rPr>
            </w:pPr>
            <w:r>
              <w:rPr>
                <w:b/>
                <w:sz w:val="21"/>
              </w:rPr>
              <w:t>33. 严重类风湿性关节炎</w:t>
            </w:r>
          </w:p>
        </w:tc>
        <w:tc>
          <w:tcPr>
            <w:tcW w:w="7903" w:type="dxa"/>
          </w:tcPr>
          <w:p>
            <w:pPr>
              <w:pStyle w:val="TableParagraph"/>
              <w:spacing w:line="316" w:lineRule="auto" w:before="129"/>
              <w:ind w:left="143" w:right="197"/>
              <w:jc w:val="both"/>
              <w:rPr>
                <w:sz w:val="18"/>
              </w:rPr>
            </w:pPr>
            <w:r>
              <w:rPr>
                <w:sz w:val="18"/>
              </w:rPr>
              <w:t>是指广泛的慢性渐进性的关节损害，伴有明显的关节畸形，至少累及三个或三个以上关节（如： 手，腕，肘，髋，膝，踝关节</w:t>
            </w:r>
            <w:r>
              <w:rPr>
                <w:spacing w:val="-92"/>
                <w:sz w:val="18"/>
              </w:rPr>
              <w:t>）</w:t>
            </w:r>
            <w:r>
              <w:rPr>
                <w:sz w:val="18"/>
              </w:rPr>
              <w:t>。此疾病必须已经导致了自主生活能力完全丧失，不能独立完成六项基本日常生活活动中的三项或三项以上的情形。</w:t>
            </w:r>
          </w:p>
          <w:p>
            <w:pPr>
              <w:pStyle w:val="TableParagraph"/>
              <w:spacing w:line="216" w:lineRule="exact" w:before="18"/>
              <w:ind w:left="143"/>
              <w:jc w:val="both"/>
              <w:rPr>
                <w:sz w:val="18"/>
              </w:rPr>
            </w:pPr>
            <w:r>
              <w:rPr>
                <w:sz w:val="18"/>
              </w:rPr>
              <w:t>上述疾病需由专科医生确诊，并提供相应医疗记录以证实上述病情已经存在至少 3 个月。</w:t>
            </w:r>
          </w:p>
        </w:tc>
      </w:tr>
    </w:tbl>
    <w:p>
      <w:pPr>
        <w:spacing w:after="0" w:line="216" w:lineRule="exact"/>
        <w:jc w:val="both"/>
        <w:rPr>
          <w:sz w:val="18"/>
        </w:rPr>
        <w:sectPr>
          <w:pgSz w:w="11910" w:h="16840"/>
          <w:pgMar w:header="857" w:footer="976" w:top="1040" w:bottom="1160" w:left="900" w:right="640"/>
        </w:sectPr>
      </w:pPr>
    </w:p>
    <w:p>
      <w:pPr>
        <w:pStyle w:val="BodyText"/>
        <w:rPr>
          <w:rFonts w:ascii="Times New Roman"/>
          <w:sz w:val="4"/>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1"/>
        <w:gridCol w:w="7866"/>
      </w:tblGrid>
      <w:tr>
        <w:trPr>
          <w:trHeight w:val="1652" w:hRule="atLeast"/>
        </w:trPr>
        <w:tc>
          <w:tcPr>
            <w:tcW w:w="2241" w:type="dxa"/>
            <w:tcBorders>
              <w:top w:val="single" w:sz="6" w:space="0" w:color="000000"/>
            </w:tcBorders>
          </w:tcPr>
          <w:p>
            <w:pPr>
              <w:pStyle w:val="TableParagraph"/>
              <w:spacing w:before="11"/>
              <w:rPr>
                <w:rFonts w:ascii="Times New Roman"/>
                <w:sz w:val="24"/>
              </w:rPr>
            </w:pPr>
          </w:p>
          <w:p>
            <w:pPr>
              <w:pStyle w:val="TableParagraph"/>
              <w:ind w:left="200"/>
              <w:rPr>
                <w:b/>
                <w:sz w:val="21"/>
              </w:rPr>
            </w:pPr>
            <w:r>
              <w:rPr>
                <w:b/>
                <w:sz w:val="21"/>
              </w:rPr>
              <w:t>34. 肾髓质囊性病</w:t>
            </w:r>
          </w:p>
        </w:tc>
        <w:tc>
          <w:tcPr>
            <w:tcW w:w="7866" w:type="dxa"/>
            <w:tcBorders>
              <w:top w:val="single" w:sz="6" w:space="0" w:color="000000"/>
            </w:tcBorders>
          </w:tcPr>
          <w:p>
            <w:pPr>
              <w:pStyle w:val="TableParagraph"/>
              <w:spacing w:before="8"/>
              <w:rPr>
                <w:rFonts w:ascii="Times New Roman"/>
                <w:sz w:val="26"/>
              </w:rPr>
            </w:pPr>
          </w:p>
          <w:p>
            <w:pPr>
              <w:pStyle w:val="TableParagraph"/>
              <w:spacing w:before="1"/>
              <w:ind w:left="143"/>
              <w:rPr>
                <w:sz w:val="18"/>
              </w:rPr>
            </w:pPr>
            <w:r>
              <w:rPr>
                <w:sz w:val="18"/>
              </w:rPr>
              <w:t>肾髓质囊性病的诊断必须同时符合下列要求：</w:t>
            </w:r>
          </w:p>
          <w:p>
            <w:pPr>
              <w:pStyle w:val="TableParagraph"/>
              <w:numPr>
                <w:ilvl w:val="0"/>
                <w:numId w:val="25"/>
              </w:numPr>
              <w:tabs>
                <w:tab w:pos="564" w:val="left" w:leader="none"/>
              </w:tabs>
              <w:spacing w:line="240" w:lineRule="auto" w:before="77" w:after="0"/>
              <w:ind w:left="563" w:right="0" w:hanging="420"/>
              <w:jc w:val="left"/>
              <w:rPr>
                <w:sz w:val="18"/>
              </w:rPr>
            </w:pPr>
            <w:r>
              <w:rPr>
                <w:sz w:val="18"/>
              </w:rPr>
              <w:t>肾髓质有囊肿、肾小管萎缩及间质纤维化等病理改变；</w:t>
            </w:r>
          </w:p>
          <w:p>
            <w:pPr>
              <w:pStyle w:val="TableParagraph"/>
              <w:numPr>
                <w:ilvl w:val="0"/>
                <w:numId w:val="25"/>
              </w:numPr>
              <w:tabs>
                <w:tab w:pos="564" w:val="left" w:leader="none"/>
              </w:tabs>
              <w:spacing w:line="240" w:lineRule="auto" w:before="76" w:after="0"/>
              <w:ind w:left="563" w:right="0" w:hanging="420"/>
              <w:jc w:val="left"/>
              <w:rPr>
                <w:sz w:val="18"/>
              </w:rPr>
            </w:pPr>
            <w:r>
              <w:rPr>
                <w:sz w:val="18"/>
              </w:rPr>
              <w:t>贫血、多尿及肾功能衰竭等临床表现；</w:t>
            </w:r>
          </w:p>
          <w:p>
            <w:pPr>
              <w:pStyle w:val="TableParagraph"/>
              <w:numPr>
                <w:ilvl w:val="0"/>
                <w:numId w:val="25"/>
              </w:numPr>
              <w:tabs>
                <w:tab w:pos="564" w:val="left" w:leader="none"/>
              </w:tabs>
              <w:spacing w:line="240" w:lineRule="auto" w:before="76" w:after="0"/>
              <w:ind w:left="563" w:right="0" w:hanging="420"/>
              <w:jc w:val="left"/>
              <w:rPr>
                <w:sz w:val="18"/>
              </w:rPr>
            </w:pPr>
            <w:r>
              <w:rPr>
                <w:sz w:val="18"/>
              </w:rPr>
              <w:t>诊断须由肾组织活检确定。</w:t>
            </w:r>
          </w:p>
        </w:tc>
      </w:tr>
      <w:tr>
        <w:trPr>
          <w:trHeight w:val="1301" w:hRule="atLeast"/>
        </w:trPr>
        <w:tc>
          <w:tcPr>
            <w:tcW w:w="2241" w:type="dxa"/>
          </w:tcPr>
          <w:p>
            <w:pPr>
              <w:pStyle w:val="TableParagraph"/>
              <w:spacing w:line="273" w:lineRule="auto" w:before="109"/>
              <w:ind w:left="619" w:right="140" w:hanging="420"/>
              <w:rPr>
                <w:b/>
                <w:sz w:val="21"/>
              </w:rPr>
            </w:pPr>
            <w:r>
              <w:rPr>
                <w:b/>
                <w:sz w:val="21"/>
              </w:rPr>
              <w:t>35. 意外伤害导致面部整形手术</w:t>
            </w:r>
          </w:p>
        </w:tc>
        <w:tc>
          <w:tcPr>
            <w:tcW w:w="7866" w:type="dxa"/>
          </w:tcPr>
          <w:p>
            <w:pPr>
              <w:pStyle w:val="TableParagraph"/>
              <w:spacing w:line="310" w:lineRule="atLeast" w:before="55"/>
              <w:ind w:left="143" w:right="196"/>
              <w:jc w:val="both"/>
              <w:rPr>
                <w:sz w:val="18"/>
              </w:rPr>
            </w:pPr>
            <w:r>
              <w:rPr>
                <w:spacing w:val="-3"/>
                <w:sz w:val="18"/>
              </w:rPr>
              <w:t>因意外伤害导致颈部以上的颜面部形态和结构的严重缺陷、缺失、损害或变形，必须立刻住院治</w:t>
            </w:r>
            <w:r>
              <w:rPr>
                <w:spacing w:val="-6"/>
                <w:sz w:val="18"/>
              </w:rPr>
              <w:t>疗，经过我们认可的医疗机构的整形专科医师确诊，并已经接受了以修补和重建为目的的颜面部</w:t>
            </w:r>
            <w:r>
              <w:rPr>
                <w:spacing w:val="-9"/>
                <w:sz w:val="18"/>
              </w:rPr>
              <w:t>整形手术治疗，切除毁损组织进行修复和再造，以矫正面部畸形和缺损。由于美容手术失败导致的损害不在本保障责任范围之内。</w:t>
            </w:r>
          </w:p>
        </w:tc>
      </w:tr>
    </w:tbl>
    <w:p>
      <w:pPr>
        <w:spacing w:after="0" w:line="310" w:lineRule="atLeast"/>
        <w:jc w:val="both"/>
        <w:rPr>
          <w:sz w:val="18"/>
        </w:rPr>
        <w:sectPr>
          <w:pgSz w:w="11910" w:h="16840"/>
          <w:pgMar w:header="857" w:footer="976" w:top="1040" w:bottom="1160" w:left="900" w:right="680"/>
        </w:sectPr>
      </w:pPr>
    </w:p>
    <w:p>
      <w:pPr>
        <w:pStyle w:val="BodyText"/>
        <w:spacing w:before="11"/>
        <w:rPr>
          <w:rFonts w:ascii="Times New Roman"/>
          <w:sz w:val="3"/>
        </w:rPr>
      </w:pPr>
    </w:p>
    <w:p>
      <w:pPr>
        <w:pStyle w:val="BodyText"/>
        <w:spacing w:line="20" w:lineRule="exact"/>
        <w:ind w:left="366"/>
        <w:rPr>
          <w:rFonts w:ascii="Times New Roman"/>
          <w:sz w:val="2"/>
        </w:rPr>
      </w:pPr>
      <w:r>
        <w:rPr>
          <w:rFonts w:ascii="Times New Roman"/>
          <w:spacing w:val="5"/>
          <w:sz w:val="2"/>
        </w:rPr>
        <w:t> </w:t>
      </w:r>
      <w:r>
        <w:rPr>
          <w:rFonts w:ascii="Times New Roman"/>
          <w:spacing w:val="5"/>
          <w:sz w:val="2"/>
        </w:rPr>
        <w:pict>
          <v:group style="width:479.3pt;height:.75pt;mso-position-horizontal-relative:char;mso-position-vertical-relative:line" coordorigin="0,0" coordsize="9586,15">
            <v:line style="position:absolute" from="0,7" to="9585,7" stroked="true" strokeweight=".72pt" strokecolor="#000000">
              <v:stroke dashstyle="solid"/>
            </v:line>
          </v:group>
        </w:pict>
      </w:r>
      <w:r>
        <w:rPr>
          <w:rFonts w:ascii="Times New Roman"/>
          <w:spacing w:val="5"/>
          <w:sz w:val="2"/>
        </w:rPr>
      </w:r>
    </w:p>
    <w:p>
      <w:pPr>
        <w:pStyle w:val="BodyText"/>
        <w:spacing w:before="5"/>
        <w:rPr>
          <w:rFonts w:ascii="Times New Roman"/>
          <w:sz w:val="21"/>
        </w:rPr>
      </w:pPr>
    </w:p>
    <w:p>
      <w:pPr>
        <w:pStyle w:val="Heading2"/>
        <w:spacing w:line="518" w:lineRule="auto" w:before="36"/>
        <w:ind w:left="403" w:right="3702" w:firstLine="3286"/>
      </w:pPr>
      <w:r>
        <w:rPr/>
        <w:t>附表二：特定少儿重大疾病说明特定少儿重大疾病：指下列疾病或手术之一</w:t>
      </w:r>
    </w:p>
    <w:p>
      <w:pPr>
        <w:pStyle w:val="BodyText"/>
        <w:spacing w:before="4"/>
        <w:rPr>
          <w:b/>
          <w:sz w:val="10"/>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7719"/>
      </w:tblGrid>
      <w:tr>
        <w:trPr>
          <w:trHeight w:val="2254" w:hRule="atLeast"/>
        </w:trPr>
        <w:tc>
          <w:tcPr>
            <w:tcW w:w="2399" w:type="dxa"/>
          </w:tcPr>
          <w:p>
            <w:pPr>
              <w:pStyle w:val="TableParagraph"/>
              <w:tabs>
                <w:tab w:pos="619" w:val="left" w:leader="none"/>
              </w:tabs>
              <w:spacing w:line="211" w:lineRule="exact"/>
              <w:ind w:left="200"/>
              <w:rPr>
                <w:b/>
                <w:sz w:val="21"/>
              </w:rPr>
            </w:pPr>
            <w:r>
              <w:rPr>
                <w:b/>
                <w:sz w:val="21"/>
              </w:rPr>
              <w:t>1.</w:t>
              <w:tab/>
              <w:t>严重哮喘</w:t>
            </w:r>
          </w:p>
        </w:tc>
        <w:tc>
          <w:tcPr>
            <w:tcW w:w="7719" w:type="dxa"/>
          </w:tcPr>
          <w:p>
            <w:pPr>
              <w:pStyle w:val="TableParagraph"/>
              <w:spacing w:line="192" w:lineRule="exact"/>
              <w:ind w:left="107"/>
              <w:rPr>
                <w:sz w:val="18"/>
              </w:rPr>
            </w:pPr>
            <w:r>
              <w:rPr>
                <w:sz w:val="18"/>
              </w:rPr>
              <w:t>指一种反复发作的严重支气管阻塞性疾病，经本公司认可的儿科专科医生确诊，且必须符合下</w:t>
            </w:r>
          </w:p>
          <w:p>
            <w:pPr>
              <w:pStyle w:val="TableParagraph"/>
              <w:spacing w:before="76"/>
              <w:ind w:left="107"/>
              <w:rPr>
                <w:sz w:val="18"/>
              </w:rPr>
            </w:pPr>
            <w:r>
              <w:rPr>
                <w:sz w:val="18"/>
              </w:rPr>
              <w:t>列全部标准：</w:t>
            </w:r>
          </w:p>
          <w:p>
            <w:pPr>
              <w:pStyle w:val="TableParagraph"/>
              <w:numPr>
                <w:ilvl w:val="0"/>
                <w:numId w:val="26"/>
              </w:numPr>
              <w:tabs>
                <w:tab w:pos="528" w:val="left" w:leader="none"/>
              </w:tabs>
              <w:spacing w:line="240" w:lineRule="auto" w:before="76" w:after="0"/>
              <w:ind w:left="527" w:right="0" w:hanging="420"/>
              <w:jc w:val="left"/>
              <w:rPr>
                <w:sz w:val="18"/>
              </w:rPr>
            </w:pPr>
            <w:r>
              <w:rPr>
                <w:sz w:val="18"/>
              </w:rPr>
              <w:t>过去两年中有哮喘持续状态病史，曾因哮喘持续状态住院治疗，并提供完整住院记录；</w:t>
            </w:r>
          </w:p>
          <w:p>
            <w:pPr>
              <w:pStyle w:val="TableParagraph"/>
              <w:numPr>
                <w:ilvl w:val="0"/>
                <w:numId w:val="26"/>
              </w:numPr>
              <w:tabs>
                <w:tab w:pos="528" w:val="left" w:leader="none"/>
              </w:tabs>
              <w:spacing w:line="240" w:lineRule="auto" w:before="76" w:after="0"/>
              <w:ind w:left="527" w:right="0" w:hanging="420"/>
              <w:jc w:val="left"/>
              <w:rPr>
                <w:sz w:val="18"/>
              </w:rPr>
            </w:pPr>
            <w:r>
              <w:rPr>
                <w:sz w:val="18"/>
              </w:rPr>
              <w:t>身体活动耐受能力显著且持续下降；</w:t>
            </w:r>
          </w:p>
          <w:p>
            <w:pPr>
              <w:pStyle w:val="TableParagraph"/>
              <w:numPr>
                <w:ilvl w:val="0"/>
                <w:numId w:val="26"/>
              </w:numPr>
              <w:tabs>
                <w:tab w:pos="528" w:val="left" w:leader="none"/>
              </w:tabs>
              <w:spacing w:line="240" w:lineRule="auto" w:before="76" w:after="0"/>
              <w:ind w:left="527" w:right="0" w:hanging="420"/>
              <w:jc w:val="left"/>
              <w:rPr>
                <w:sz w:val="18"/>
              </w:rPr>
            </w:pPr>
            <w:r>
              <w:rPr>
                <w:sz w:val="18"/>
              </w:rPr>
              <w:t>慢性肺部过度膨涨充气导致的胸廓畸形；</w:t>
            </w:r>
          </w:p>
          <w:p>
            <w:pPr>
              <w:pStyle w:val="TableParagraph"/>
              <w:numPr>
                <w:ilvl w:val="0"/>
                <w:numId w:val="26"/>
              </w:numPr>
              <w:tabs>
                <w:tab w:pos="528" w:val="left" w:leader="none"/>
              </w:tabs>
              <w:spacing w:line="240" w:lineRule="auto" w:before="76" w:after="0"/>
              <w:ind w:left="527" w:right="0" w:hanging="420"/>
              <w:jc w:val="left"/>
              <w:rPr>
                <w:sz w:val="18"/>
              </w:rPr>
            </w:pPr>
            <w:r>
              <w:rPr>
                <w:sz w:val="18"/>
              </w:rPr>
              <w:t>在家中需要医生处方的氧气治疗法</w:t>
            </w:r>
          </w:p>
          <w:p>
            <w:pPr>
              <w:pStyle w:val="TableParagraph"/>
              <w:numPr>
                <w:ilvl w:val="0"/>
                <w:numId w:val="26"/>
              </w:numPr>
              <w:tabs>
                <w:tab w:pos="528" w:val="left" w:leader="none"/>
              </w:tabs>
              <w:spacing w:line="240" w:lineRule="auto" w:before="76" w:after="0"/>
              <w:ind w:left="527" w:right="0" w:hanging="420"/>
              <w:jc w:val="left"/>
              <w:rPr>
                <w:sz w:val="18"/>
              </w:rPr>
            </w:pPr>
            <w:r>
              <w:rPr>
                <w:spacing w:val="-3"/>
                <w:sz w:val="18"/>
              </w:rPr>
              <w:t>持续日常服用口服类固醇激素治疗持续至少 </w:t>
            </w:r>
            <w:r>
              <w:rPr>
                <w:sz w:val="18"/>
              </w:rPr>
              <w:t>180</w:t>
            </w:r>
            <w:r>
              <w:rPr>
                <w:spacing w:val="-16"/>
                <w:sz w:val="18"/>
              </w:rPr>
              <w:t> 天。</w:t>
            </w:r>
          </w:p>
        </w:tc>
      </w:tr>
      <w:tr>
        <w:trPr>
          <w:trHeight w:val="1806" w:hRule="atLeast"/>
        </w:trPr>
        <w:tc>
          <w:tcPr>
            <w:tcW w:w="2399" w:type="dxa"/>
          </w:tcPr>
          <w:p>
            <w:pPr>
              <w:pStyle w:val="TableParagraph"/>
              <w:tabs>
                <w:tab w:pos="619" w:val="left" w:leader="none"/>
              </w:tabs>
              <w:spacing w:before="132"/>
              <w:ind w:left="200"/>
              <w:rPr>
                <w:b/>
                <w:sz w:val="21"/>
              </w:rPr>
            </w:pPr>
            <w:r>
              <w:rPr>
                <w:rFonts w:ascii="Times New Roman" w:eastAsia="Times New Roman"/>
                <w:b/>
                <w:sz w:val="21"/>
              </w:rPr>
              <w:t>2.</w:t>
              <w:tab/>
            </w:r>
            <w:r>
              <w:rPr>
                <w:b/>
                <w:sz w:val="21"/>
              </w:rPr>
              <w:t>白血病</w:t>
            </w:r>
          </w:p>
        </w:tc>
        <w:tc>
          <w:tcPr>
            <w:tcW w:w="7719" w:type="dxa"/>
          </w:tcPr>
          <w:p>
            <w:pPr>
              <w:pStyle w:val="TableParagraph"/>
              <w:spacing w:line="319" w:lineRule="auto" w:before="153"/>
              <w:ind w:left="107" w:right="200"/>
              <w:jc w:val="both"/>
              <w:rPr>
                <w:sz w:val="18"/>
              </w:rPr>
            </w:pPr>
            <w:r>
              <w:rPr>
                <w:sz w:val="18"/>
              </w:rPr>
              <w:t>白血病是一种造血系统的恶性肿瘤，其主要表现为白血病细胞在骨髓或其他造血组织中大量克隆、异常增生，大量聚集的白细胞抑制正常造血并浸润全身器官和组织。伴有外周血白细胞有质和量的变化，必须依据骨髓的活组织检查和周围血象由本公司认可的专科医生（儿科、血液科或肿瘤科）确诊。</w:t>
            </w:r>
          </w:p>
          <w:p>
            <w:pPr>
              <w:pStyle w:val="TableParagraph"/>
              <w:spacing w:before="17"/>
              <w:ind w:left="107"/>
              <w:jc w:val="both"/>
              <w:rPr>
                <w:sz w:val="18"/>
              </w:rPr>
            </w:pPr>
            <w:r>
              <w:rPr>
                <w:sz w:val="18"/>
              </w:rPr>
              <w:t>相当于 Binet 分期方案 A 期程度的慢性淋巴细胞白血病不在保障范围内。</w:t>
            </w:r>
          </w:p>
        </w:tc>
      </w:tr>
      <w:tr>
        <w:trPr>
          <w:trHeight w:val="1786" w:hRule="atLeast"/>
        </w:trPr>
        <w:tc>
          <w:tcPr>
            <w:tcW w:w="2399" w:type="dxa"/>
          </w:tcPr>
          <w:p>
            <w:pPr>
              <w:pStyle w:val="TableParagraph"/>
              <w:tabs>
                <w:tab w:pos="619" w:val="left" w:leader="none"/>
              </w:tabs>
              <w:spacing w:line="264" w:lineRule="auto" w:before="112"/>
              <w:ind w:left="620" w:right="106" w:hanging="420"/>
              <w:rPr>
                <w:b/>
                <w:sz w:val="21"/>
              </w:rPr>
            </w:pPr>
            <w:r>
              <w:rPr>
                <w:rFonts w:ascii="Times New Roman" w:eastAsia="Times New Roman"/>
                <w:b/>
                <w:sz w:val="21"/>
              </w:rPr>
              <w:t>3.</w:t>
              <w:tab/>
            </w:r>
            <w:r>
              <w:rPr>
                <w:b/>
                <w:sz w:val="21"/>
              </w:rPr>
              <w:t>全身型幼年类风 </w:t>
            </w:r>
            <w:r>
              <w:rPr>
                <w:b/>
                <w:spacing w:val="-4"/>
                <w:sz w:val="21"/>
              </w:rPr>
              <w:t>湿性关节炎</w:t>
            </w:r>
            <w:r>
              <w:rPr>
                <w:b/>
                <w:sz w:val="21"/>
              </w:rPr>
              <w:t>（</w:t>
            </w:r>
            <w:r>
              <w:rPr>
                <w:b/>
                <w:spacing w:val="-2"/>
                <w:sz w:val="21"/>
              </w:rPr>
              <w:t>期蒂尔氏病）</w:t>
            </w:r>
          </w:p>
        </w:tc>
        <w:tc>
          <w:tcPr>
            <w:tcW w:w="7719" w:type="dxa"/>
          </w:tcPr>
          <w:p>
            <w:pPr>
              <w:pStyle w:val="TableParagraph"/>
              <w:spacing w:line="316" w:lineRule="auto" w:before="133"/>
              <w:ind w:left="107" w:right="199"/>
              <w:jc w:val="both"/>
              <w:rPr>
                <w:sz w:val="18"/>
              </w:rPr>
            </w:pPr>
            <w:r>
              <w:rPr>
                <w:sz w:val="18"/>
              </w:rPr>
              <w:t>指小儿及青少年时期的一种全身结缔组织病。可表现为弛张热、皮疹、关节炎、脾肿大、淋巴结肿大、浆膜炎、体重减轻、中性粒细胞增多等，全身症状可以先于关节炎出现。本病须经本公司认可的儿科类风湿病专科医生确诊，须满足下列全部条件：</w:t>
            </w:r>
          </w:p>
          <w:p>
            <w:pPr>
              <w:pStyle w:val="TableParagraph"/>
              <w:numPr>
                <w:ilvl w:val="0"/>
                <w:numId w:val="27"/>
              </w:numPr>
              <w:tabs>
                <w:tab w:pos="528" w:val="left" w:leader="none"/>
              </w:tabs>
              <w:spacing w:line="240" w:lineRule="auto" w:before="19" w:after="0"/>
              <w:ind w:left="527" w:right="0" w:hanging="420"/>
              <w:jc w:val="both"/>
              <w:rPr>
                <w:sz w:val="18"/>
              </w:rPr>
            </w:pPr>
            <w:r>
              <w:rPr>
                <w:spacing w:val="-6"/>
                <w:sz w:val="18"/>
              </w:rPr>
              <w:t>确诊且症状持续 </w:t>
            </w:r>
            <w:r>
              <w:rPr>
                <w:sz w:val="18"/>
              </w:rPr>
              <w:t>180</w:t>
            </w:r>
            <w:r>
              <w:rPr>
                <w:spacing w:val="-10"/>
                <w:sz w:val="18"/>
              </w:rPr>
              <w:t> 天以上；</w:t>
            </w:r>
          </w:p>
          <w:p>
            <w:pPr>
              <w:pStyle w:val="TableParagraph"/>
              <w:numPr>
                <w:ilvl w:val="0"/>
                <w:numId w:val="27"/>
              </w:numPr>
              <w:tabs>
                <w:tab w:pos="528" w:val="left" w:leader="none"/>
              </w:tabs>
              <w:spacing w:line="240" w:lineRule="auto" w:before="76" w:after="0"/>
              <w:ind w:left="527" w:right="0" w:hanging="420"/>
              <w:jc w:val="both"/>
              <w:rPr>
                <w:sz w:val="18"/>
              </w:rPr>
            </w:pPr>
            <w:r>
              <w:rPr>
                <w:sz w:val="18"/>
              </w:rPr>
              <w:t>已接受至少一侧膝关节或髋关节的置换手术。</w:t>
            </w:r>
          </w:p>
        </w:tc>
      </w:tr>
      <w:tr>
        <w:trPr>
          <w:trHeight w:val="1475" w:hRule="atLeast"/>
        </w:trPr>
        <w:tc>
          <w:tcPr>
            <w:tcW w:w="2399" w:type="dxa"/>
          </w:tcPr>
          <w:p>
            <w:pPr>
              <w:pStyle w:val="TableParagraph"/>
              <w:tabs>
                <w:tab w:pos="619" w:val="left" w:leader="none"/>
              </w:tabs>
              <w:spacing w:before="113"/>
              <w:ind w:left="200"/>
              <w:rPr>
                <w:b/>
                <w:sz w:val="21"/>
              </w:rPr>
            </w:pPr>
            <w:r>
              <w:rPr>
                <w:rFonts w:ascii="Times New Roman" w:eastAsia="Times New Roman"/>
                <w:b/>
                <w:sz w:val="21"/>
              </w:rPr>
              <w:t>4.</w:t>
              <w:tab/>
            </w:r>
            <w:r>
              <w:rPr>
                <w:b/>
                <w:sz w:val="21"/>
              </w:rPr>
              <w:t>严重心肌炎</w:t>
            </w:r>
          </w:p>
        </w:tc>
        <w:tc>
          <w:tcPr>
            <w:tcW w:w="7719" w:type="dxa"/>
          </w:tcPr>
          <w:p>
            <w:pPr>
              <w:pStyle w:val="TableParagraph"/>
              <w:spacing w:line="319" w:lineRule="auto" w:before="134"/>
              <w:ind w:left="107" w:right="198"/>
              <w:rPr>
                <w:sz w:val="18"/>
              </w:rPr>
            </w:pPr>
            <w:r>
              <w:rPr>
                <w:spacing w:val="-2"/>
                <w:sz w:val="18"/>
              </w:rPr>
              <w:t>心肌的严重感染而导致至少持续 </w:t>
            </w:r>
            <w:r>
              <w:rPr>
                <w:sz w:val="18"/>
              </w:rPr>
              <w:t>6</w:t>
            </w:r>
            <w:r>
              <w:rPr>
                <w:spacing w:val="-6"/>
                <w:sz w:val="18"/>
              </w:rPr>
              <w:t> 个月的心功能损害。严重心功能损害还必须具备如下全部条件：</w:t>
            </w:r>
          </w:p>
          <w:p>
            <w:pPr>
              <w:pStyle w:val="TableParagraph"/>
              <w:numPr>
                <w:ilvl w:val="0"/>
                <w:numId w:val="28"/>
              </w:numPr>
              <w:tabs>
                <w:tab w:pos="528" w:val="left" w:leader="none"/>
              </w:tabs>
              <w:spacing w:line="240" w:lineRule="auto" w:before="17" w:after="0"/>
              <w:ind w:left="527" w:right="0" w:hanging="420"/>
              <w:jc w:val="left"/>
              <w:rPr>
                <w:sz w:val="18"/>
              </w:rPr>
            </w:pPr>
            <w:r>
              <w:rPr>
                <w:spacing w:val="-3"/>
                <w:sz w:val="18"/>
              </w:rPr>
              <w:t>左室腔扩大至少达到正常值上限的 </w:t>
            </w:r>
            <w:r>
              <w:rPr>
                <w:sz w:val="18"/>
              </w:rPr>
              <w:t>120%；</w:t>
            </w:r>
          </w:p>
          <w:p>
            <w:pPr>
              <w:pStyle w:val="TableParagraph"/>
              <w:numPr>
                <w:ilvl w:val="0"/>
                <w:numId w:val="28"/>
              </w:numPr>
              <w:tabs>
                <w:tab w:pos="528" w:val="left" w:leader="none"/>
              </w:tabs>
              <w:spacing w:line="240" w:lineRule="auto" w:before="76" w:after="0"/>
              <w:ind w:left="527" w:right="0" w:hanging="420"/>
              <w:jc w:val="left"/>
              <w:rPr>
                <w:sz w:val="18"/>
              </w:rPr>
            </w:pPr>
            <w:r>
              <w:rPr>
                <w:spacing w:val="-4"/>
                <w:sz w:val="18"/>
              </w:rPr>
              <w:t>左室射血分数持续性低于 </w:t>
            </w:r>
            <w:r>
              <w:rPr>
                <w:sz w:val="18"/>
              </w:rPr>
              <w:t>40%。</w:t>
            </w:r>
          </w:p>
        </w:tc>
      </w:tr>
      <w:tr>
        <w:trPr>
          <w:trHeight w:val="1162" w:hRule="atLeast"/>
        </w:trPr>
        <w:tc>
          <w:tcPr>
            <w:tcW w:w="2399" w:type="dxa"/>
          </w:tcPr>
          <w:p>
            <w:pPr>
              <w:pStyle w:val="TableParagraph"/>
              <w:tabs>
                <w:tab w:pos="619" w:val="left" w:leader="none"/>
              </w:tabs>
              <w:spacing w:line="256" w:lineRule="auto" w:before="112"/>
              <w:ind w:left="620" w:right="298" w:hanging="420"/>
              <w:rPr>
                <w:b/>
                <w:sz w:val="21"/>
              </w:rPr>
            </w:pPr>
            <w:r>
              <w:rPr>
                <w:rFonts w:ascii="Times New Roman" w:eastAsia="Times New Roman"/>
                <w:b/>
                <w:sz w:val="21"/>
              </w:rPr>
              <w:t>5.</w:t>
              <w:tab/>
            </w:r>
            <w:r>
              <w:rPr>
                <w:b/>
                <w:sz w:val="21"/>
              </w:rPr>
              <w:t>严重肠道疾病并 发症</w:t>
            </w:r>
          </w:p>
        </w:tc>
        <w:tc>
          <w:tcPr>
            <w:tcW w:w="7719" w:type="dxa"/>
          </w:tcPr>
          <w:p>
            <w:pPr>
              <w:pStyle w:val="TableParagraph"/>
              <w:spacing w:before="133"/>
              <w:ind w:left="107"/>
              <w:rPr>
                <w:sz w:val="18"/>
              </w:rPr>
            </w:pPr>
            <w:r>
              <w:rPr>
                <w:sz w:val="18"/>
              </w:rPr>
              <w:t>严重肠道疾病或外伤导致小肠损害并发症，满足以下所有条件：</w:t>
            </w:r>
          </w:p>
          <w:p>
            <w:pPr>
              <w:pStyle w:val="TableParagraph"/>
              <w:numPr>
                <w:ilvl w:val="0"/>
                <w:numId w:val="29"/>
              </w:numPr>
              <w:tabs>
                <w:tab w:pos="528" w:val="left" w:leader="none"/>
              </w:tabs>
              <w:spacing w:line="240" w:lineRule="auto" w:before="76" w:after="0"/>
              <w:ind w:left="527" w:right="0" w:hanging="420"/>
              <w:jc w:val="left"/>
              <w:rPr>
                <w:sz w:val="18"/>
              </w:rPr>
            </w:pPr>
            <w:r>
              <w:rPr>
                <w:sz w:val="18"/>
              </w:rPr>
              <w:t>经开腹手术切除了至少三分之二长度的小肠；</w:t>
            </w:r>
          </w:p>
          <w:p>
            <w:pPr>
              <w:pStyle w:val="TableParagraph"/>
              <w:numPr>
                <w:ilvl w:val="0"/>
                <w:numId w:val="29"/>
              </w:numPr>
              <w:tabs>
                <w:tab w:pos="528" w:val="left" w:leader="none"/>
              </w:tabs>
              <w:spacing w:line="240" w:lineRule="auto" w:before="76" w:after="0"/>
              <w:ind w:left="527" w:right="0" w:hanging="420"/>
              <w:jc w:val="left"/>
              <w:rPr>
                <w:sz w:val="18"/>
              </w:rPr>
            </w:pPr>
            <w:r>
              <w:rPr>
                <w:sz w:val="18"/>
              </w:rPr>
              <w:t>完全肠外营养支持三个月以上。</w:t>
            </w:r>
          </w:p>
        </w:tc>
      </w:tr>
      <w:tr>
        <w:trPr>
          <w:trHeight w:val="1787" w:hRule="atLeast"/>
        </w:trPr>
        <w:tc>
          <w:tcPr>
            <w:tcW w:w="2399" w:type="dxa"/>
          </w:tcPr>
          <w:p>
            <w:pPr>
              <w:pStyle w:val="TableParagraph"/>
              <w:tabs>
                <w:tab w:pos="619" w:val="left" w:leader="none"/>
              </w:tabs>
              <w:spacing w:before="113"/>
              <w:ind w:left="200"/>
              <w:rPr>
                <w:b/>
                <w:sz w:val="21"/>
              </w:rPr>
            </w:pPr>
            <w:r>
              <w:rPr>
                <w:rFonts w:ascii="Times New Roman" w:eastAsia="Times New Roman"/>
                <w:b/>
                <w:sz w:val="21"/>
              </w:rPr>
              <w:t>6.</w:t>
              <w:tab/>
            </w:r>
            <w:r>
              <w:rPr>
                <w:b/>
                <w:sz w:val="21"/>
              </w:rPr>
              <w:t>重症手足口病</w:t>
            </w:r>
          </w:p>
        </w:tc>
        <w:tc>
          <w:tcPr>
            <w:tcW w:w="7719" w:type="dxa"/>
          </w:tcPr>
          <w:p>
            <w:pPr>
              <w:pStyle w:val="TableParagraph"/>
              <w:spacing w:line="316" w:lineRule="auto" w:before="134"/>
              <w:ind w:left="107" w:right="198"/>
              <w:rPr>
                <w:sz w:val="18"/>
              </w:rPr>
            </w:pPr>
            <w:r>
              <w:rPr>
                <w:sz w:val="18"/>
              </w:rPr>
              <w:t>由肠道病毒引起的急性传染病，主要症状表现为手、足、口腔等部位的斑丘疹、疱疹。经本公司认可的儿科专科医生确诊为患有手足口病，并伴有下列三项中任意一项并发症：</w:t>
            </w:r>
          </w:p>
          <w:p>
            <w:pPr>
              <w:pStyle w:val="TableParagraph"/>
              <w:numPr>
                <w:ilvl w:val="0"/>
                <w:numId w:val="30"/>
              </w:numPr>
              <w:tabs>
                <w:tab w:pos="528" w:val="left" w:leader="none"/>
              </w:tabs>
              <w:spacing w:line="240" w:lineRule="auto" w:before="19" w:after="0"/>
              <w:ind w:left="527" w:right="0" w:hanging="420"/>
              <w:jc w:val="left"/>
              <w:rPr>
                <w:sz w:val="18"/>
              </w:rPr>
            </w:pPr>
            <w:r>
              <w:rPr>
                <w:sz w:val="18"/>
              </w:rPr>
              <w:t>有脑膜炎或脑炎并发症，且导致意识障碍或瘫痪的临床表现及实验室检查证据；</w:t>
            </w:r>
          </w:p>
          <w:p>
            <w:pPr>
              <w:pStyle w:val="TableParagraph"/>
              <w:numPr>
                <w:ilvl w:val="0"/>
                <w:numId w:val="30"/>
              </w:numPr>
              <w:tabs>
                <w:tab w:pos="528" w:val="left" w:leader="none"/>
              </w:tabs>
              <w:spacing w:line="240" w:lineRule="auto" w:before="76" w:after="0"/>
              <w:ind w:left="527" w:right="0" w:hanging="420"/>
              <w:jc w:val="left"/>
              <w:rPr>
                <w:sz w:val="18"/>
              </w:rPr>
            </w:pPr>
            <w:r>
              <w:rPr>
                <w:sz w:val="18"/>
              </w:rPr>
              <w:t>有肺炎或肺水肿并发症，且导致呼吸衰竭的临床表现及实验室检查证据；</w:t>
            </w:r>
          </w:p>
          <w:p>
            <w:pPr>
              <w:pStyle w:val="TableParagraph"/>
              <w:numPr>
                <w:ilvl w:val="0"/>
                <w:numId w:val="30"/>
              </w:numPr>
              <w:tabs>
                <w:tab w:pos="528" w:val="left" w:leader="none"/>
              </w:tabs>
              <w:spacing w:line="240" w:lineRule="auto" w:before="76" w:after="0"/>
              <w:ind w:left="527" w:right="0" w:hanging="420"/>
              <w:jc w:val="left"/>
              <w:rPr>
                <w:sz w:val="18"/>
              </w:rPr>
            </w:pPr>
            <w:r>
              <w:rPr>
                <w:sz w:val="18"/>
              </w:rPr>
              <w:t>有心肌炎并发症，且导致心脏扩大或心力衰竭的临床表现及实验室检查证据；</w:t>
            </w:r>
          </w:p>
        </w:tc>
      </w:tr>
      <w:tr>
        <w:trPr>
          <w:trHeight w:val="1474" w:hRule="atLeast"/>
        </w:trPr>
        <w:tc>
          <w:tcPr>
            <w:tcW w:w="2399" w:type="dxa"/>
          </w:tcPr>
          <w:p>
            <w:pPr>
              <w:pStyle w:val="TableParagraph"/>
              <w:tabs>
                <w:tab w:pos="619" w:val="left" w:leader="none"/>
              </w:tabs>
              <w:spacing w:before="112"/>
              <w:ind w:left="200"/>
              <w:rPr>
                <w:b/>
                <w:sz w:val="21"/>
              </w:rPr>
            </w:pPr>
            <w:r>
              <w:rPr>
                <w:rFonts w:ascii="Times New Roman" w:eastAsia="Times New Roman"/>
                <w:b/>
                <w:sz w:val="21"/>
              </w:rPr>
              <w:t>7.</w:t>
              <w:tab/>
            </w:r>
            <w:r>
              <w:rPr>
                <w:b/>
                <w:sz w:val="21"/>
              </w:rPr>
              <w:t>急性脊髓灰质炎</w:t>
            </w:r>
          </w:p>
        </w:tc>
        <w:tc>
          <w:tcPr>
            <w:tcW w:w="7719" w:type="dxa"/>
          </w:tcPr>
          <w:p>
            <w:pPr>
              <w:pStyle w:val="TableParagraph"/>
              <w:spacing w:line="316" w:lineRule="auto" w:before="133"/>
              <w:ind w:left="107" w:right="199"/>
              <w:rPr>
                <w:sz w:val="18"/>
              </w:rPr>
            </w:pPr>
            <w:r>
              <w:rPr>
                <w:sz w:val="18"/>
              </w:rPr>
              <w:t>指由于脊髓灰质炎病毒感染所导致的运动功能障碍或呼吸功能减弱的瘫痪性疾病。诊断必须由本公司认可的神经科专科医生确诊，且必须满足下列全部条件：</w:t>
            </w:r>
          </w:p>
          <w:p>
            <w:pPr>
              <w:pStyle w:val="TableParagraph"/>
              <w:numPr>
                <w:ilvl w:val="0"/>
                <w:numId w:val="31"/>
              </w:numPr>
              <w:tabs>
                <w:tab w:pos="528" w:val="left" w:leader="none"/>
              </w:tabs>
              <w:spacing w:line="240" w:lineRule="auto" w:before="19" w:after="0"/>
              <w:ind w:left="527" w:right="0" w:hanging="420"/>
              <w:jc w:val="left"/>
              <w:rPr>
                <w:sz w:val="18"/>
              </w:rPr>
            </w:pPr>
            <w:r>
              <w:rPr>
                <w:sz w:val="18"/>
              </w:rPr>
              <w:t>必须提供脊髓灰质炎病毒感染的检查报告，如脑脊液检查或血清学抗体检查报告；</w:t>
            </w:r>
          </w:p>
          <w:p>
            <w:pPr>
              <w:pStyle w:val="TableParagraph"/>
              <w:numPr>
                <w:ilvl w:val="0"/>
                <w:numId w:val="31"/>
              </w:numPr>
              <w:tabs>
                <w:tab w:pos="528" w:val="left" w:leader="none"/>
              </w:tabs>
              <w:spacing w:line="240" w:lineRule="auto" w:before="76" w:after="0"/>
              <w:ind w:left="527" w:right="0" w:hanging="420"/>
              <w:jc w:val="left"/>
              <w:rPr>
                <w:sz w:val="18"/>
              </w:rPr>
            </w:pPr>
            <w:r>
              <w:rPr>
                <w:sz w:val="18"/>
              </w:rPr>
              <w:t>一肢或一肢以上肢体机能永久完全丧失。</w:t>
            </w:r>
          </w:p>
        </w:tc>
      </w:tr>
      <w:tr>
        <w:trPr>
          <w:trHeight w:val="681" w:hRule="atLeast"/>
        </w:trPr>
        <w:tc>
          <w:tcPr>
            <w:tcW w:w="2399" w:type="dxa"/>
          </w:tcPr>
          <w:p>
            <w:pPr>
              <w:pStyle w:val="TableParagraph"/>
              <w:tabs>
                <w:tab w:pos="619" w:val="left" w:leader="none"/>
              </w:tabs>
              <w:spacing w:before="113"/>
              <w:ind w:left="200"/>
              <w:rPr>
                <w:b/>
                <w:sz w:val="21"/>
              </w:rPr>
            </w:pPr>
            <w:r>
              <w:rPr>
                <w:rFonts w:ascii="Times New Roman" w:eastAsia="Times New Roman"/>
                <w:b/>
                <w:sz w:val="21"/>
              </w:rPr>
              <w:t>8.</w:t>
              <w:tab/>
            </w:r>
            <w:r>
              <w:rPr>
                <w:b/>
                <w:sz w:val="21"/>
              </w:rPr>
              <w:t>严重川崎病</w:t>
            </w:r>
          </w:p>
        </w:tc>
        <w:tc>
          <w:tcPr>
            <w:tcW w:w="7719" w:type="dxa"/>
          </w:tcPr>
          <w:p>
            <w:pPr>
              <w:pStyle w:val="TableParagraph"/>
              <w:spacing w:line="310" w:lineRule="atLeast" w:before="59"/>
              <w:ind w:left="107" w:right="130"/>
              <w:rPr>
                <w:sz w:val="18"/>
              </w:rPr>
            </w:pPr>
            <w:r>
              <w:rPr>
                <w:sz w:val="18"/>
              </w:rPr>
              <w:t>是指原因不明的系统性血管炎,本病必须由本公司认可的儿科专科医生确诊，同时必须有血管造影或超声心动图检查证实，并必须满足下列全部条件：</w:t>
            </w:r>
          </w:p>
        </w:tc>
      </w:tr>
    </w:tbl>
    <w:p>
      <w:pPr>
        <w:spacing w:after="0" w:line="310" w:lineRule="atLeast"/>
        <w:rPr>
          <w:sz w:val="18"/>
        </w:rPr>
        <w:sectPr>
          <w:pgSz w:w="11910" w:h="16840"/>
          <w:pgMar w:header="857" w:footer="976" w:top="1040" w:bottom="1160" w:left="900" w:right="660"/>
        </w:sectPr>
      </w:pPr>
    </w:p>
    <w:p>
      <w:pPr>
        <w:pStyle w:val="BodyText"/>
        <w:spacing w:before="7"/>
        <w:rPr>
          <w:b/>
          <w:sz w:val="3"/>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9"/>
        <w:gridCol w:w="7719"/>
      </w:tblGrid>
      <w:tr>
        <w:trPr>
          <w:trHeight w:val="1025" w:hRule="atLeast"/>
        </w:trPr>
        <w:tc>
          <w:tcPr>
            <w:tcW w:w="2399" w:type="dxa"/>
            <w:tcBorders>
              <w:top w:val="single" w:sz="6" w:space="0" w:color="000000"/>
            </w:tcBorders>
          </w:tcPr>
          <w:p>
            <w:pPr>
              <w:pStyle w:val="TableParagraph"/>
              <w:rPr>
                <w:rFonts w:ascii="Times New Roman"/>
                <w:sz w:val="18"/>
              </w:rPr>
            </w:pPr>
          </w:p>
        </w:tc>
        <w:tc>
          <w:tcPr>
            <w:tcW w:w="7719" w:type="dxa"/>
            <w:tcBorders>
              <w:top w:val="single" w:sz="6" w:space="0" w:color="000000"/>
            </w:tcBorders>
          </w:tcPr>
          <w:p>
            <w:pPr>
              <w:pStyle w:val="TableParagraph"/>
              <w:spacing w:before="6"/>
              <w:rPr>
                <w:b/>
                <w:sz w:val="23"/>
              </w:rPr>
            </w:pPr>
          </w:p>
          <w:p>
            <w:pPr>
              <w:pStyle w:val="TableParagraph"/>
              <w:numPr>
                <w:ilvl w:val="0"/>
                <w:numId w:val="32"/>
              </w:numPr>
              <w:tabs>
                <w:tab w:pos="528" w:val="left" w:leader="none"/>
              </w:tabs>
              <w:spacing w:line="240" w:lineRule="auto" w:before="1" w:after="0"/>
              <w:ind w:left="527" w:right="0" w:hanging="420"/>
              <w:jc w:val="left"/>
              <w:rPr>
                <w:sz w:val="18"/>
              </w:rPr>
            </w:pPr>
            <w:r>
              <w:rPr>
                <w:sz w:val="18"/>
              </w:rPr>
              <w:t>超声心动图显示川崎病并发冠状动脉瘤或心脏瓣膜异常；</w:t>
            </w:r>
          </w:p>
          <w:p>
            <w:pPr>
              <w:pStyle w:val="TableParagraph"/>
              <w:numPr>
                <w:ilvl w:val="0"/>
                <w:numId w:val="32"/>
              </w:numPr>
              <w:tabs>
                <w:tab w:pos="528" w:val="left" w:leader="none"/>
              </w:tabs>
              <w:spacing w:line="240" w:lineRule="auto" w:before="77" w:after="0"/>
              <w:ind w:left="527" w:right="0" w:hanging="420"/>
              <w:jc w:val="left"/>
              <w:rPr>
                <w:sz w:val="18"/>
              </w:rPr>
            </w:pPr>
            <w:r>
              <w:rPr>
                <w:sz w:val="18"/>
              </w:rPr>
              <w:t>已接受了针对川崎病并发冠状动脉瘤或心脏瓣膜异常所进行的手术治疗。</w:t>
            </w:r>
          </w:p>
        </w:tc>
      </w:tr>
      <w:tr>
        <w:trPr>
          <w:trHeight w:val="1162" w:hRule="atLeast"/>
        </w:trPr>
        <w:tc>
          <w:tcPr>
            <w:tcW w:w="2399" w:type="dxa"/>
          </w:tcPr>
          <w:p>
            <w:pPr>
              <w:pStyle w:val="TableParagraph"/>
              <w:tabs>
                <w:tab w:pos="619" w:val="left" w:leader="none"/>
              </w:tabs>
              <w:spacing w:line="256" w:lineRule="auto" w:before="112"/>
              <w:ind w:left="620" w:right="106" w:hanging="420"/>
              <w:rPr>
                <w:b/>
                <w:sz w:val="21"/>
              </w:rPr>
            </w:pPr>
            <w:r>
              <w:rPr>
                <w:rFonts w:ascii="Times New Roman" w:eastAsia="Times New Roman"/>
                <w:b/>
                <w:sz w:val="21"/>
              </w:rPr>
              <w:t>9.</w:t>
              <w:tab/>
            </w:r>
            <w:r>
              <w:rPr>
                <w:b/>
                <w:spacing w:val="-3"/>
                <w:sz w:val="21"/>
              </w:rPr>
              <w:t>肝豆状核变性（</w:t>
            </w:r>
            <w:r>
              <w:rPr>
                <w:b/>
                <w:sz w:val="21"/>
              </w:rPr>
              <w:t>威 尔逊氏病）</w:t>
            </w:r>
          </w:p>
        </w:tc>
        <w:tc>
          <w:tcPr>
            <w:tcW w:w="7719" w:type="dxa"/>
          </w:tcPr>
          <w:p>
            <w:pPr>
              <w:pStyle w:val="TableParagraph"/>
              <w:spacing w:line="316" w:lineRule="auto" w:before="133"/>
              <w:ind w:left="107" w:right="203"/>
              <w:jc w:val="both"/>
              <w:rPr>
                <w:sz w:val="18"/>
              </w:rPr>
            </w:pPr>
            <w:r>
              <w:rPr>
                <w:sz w:val="18"/>
              </w:rPr>
              <w:t>肝豆状核变性（威尔逊氏病）是一种可能危及生命的铜代谢疾病，以铜沉积造成的渐进性肝功能损害及神经功能恶化为特征。必须由本公司认可医院的专科注册医生通过肝脏活组织检查结果确定诊断并配合螯合剂治疗持续至少 6 个月。</w:t>
            </w:r>
          </w:p>
        </w:tc>
      </w:tr>
      <w:tr>
        <w:trPr>
          <w:trHeight w:val="1617" w:hRule="atLeast"/>
        </w:trPr>
        <w:tc>
          <w:tcPr>
            <w:tcW w:w="2399" w:type="dxa"/>
          </w:tcPr>
          <w:p>
            <w:pPr>
              <w:pStyle w:val="TableParagraph"/>
              <w:spacing w:line="256" w:lineRule="auto" w:before="113"/>
              <w:ind w:left="620" w:right="298" w:hanging="420"/>
              <w:rPr>
                <w:b/>
                <w:sz w:val="21"/>
              </w:rPr>
            </w:pPr>
            <w:r>
              <w:rPr>
                <w:rFonts w:ascii="Times New Roman" w:eastAsia="Times New Roman"/>
                <w:b/>
                <w:sz w:val="21"/>
              </w:rPr>
              <w:t>10. </w:t>
            </w:r>
            <w:r>
              <w:rPr>
                <w:b/>
                <w:sz w:val="21"/>
              </w:rPr>
              <w:t>婴儿进行性脊肌萎缩症</w:t>
            </w:r>
          </w:p>
        </w:tc>
        <w:tc>
          <w:tcPr>
            <w:tcW w:w="7719" w:type="dxa"/>
          </w:tcPr>
          <w:p>
            <w:pPr>
              <w:pStyle w:val="TableParagraph"/>
              <w:spacing w:line="316" w:lineRule="auto" w:before="134"/>
              <w:ind w:left="107" w:right="203"/>
              <w:rPr>
                <w:sz w:val="18"/>
              </w:rPr>
            </w:pPr>
            <w:r>
              <w:rPr>
                <w:sz w:val="18"/>
              </w:rPr>
              <w:t>该病是累及脊髓前角细胞及延髓运动核的神经元退行性变性病。在出生后两年内出现的脊髓和脑干颅神经前角细胞进行性机能障碍，伴随肌肉无力和延髓机能障碍。</w:t>
            </w:r>
          </w:p>
          <w:p>
            <w:pPr>
              <w:pStyle w:val="TableParagraph"/>
              <w:spacing w:line="316" w:lineRule="auto" w:before="19"/>
              <w:ind w:left="107" w:right="130"/>
              <w:rPr>
                <w:sz w:val="18"/>
              </w:rPr>
            </w:pPr>
            <w:r>
              <w:rPr>
                <w:sz w:val="18"/>
              </w:rPr>
              <w:t>该病必须经由神经科医师通过肌肉活检而确诊。理赔时必须提供肌肉活检的病理报告。其它类型的脊肌萎缩症如Ⅱ型中间型进行性脊肌萎缩症，Ⅲ型少年型脊肌萎缩症(Kugelberg-Welander</w:t>
            </w:r>
          </w:p>
          <w:p>
            <w:pPr>
              <w:pStyle w:val="TableParagraph"/>
              <w:spacing w:line="216" w:lineRule="exact" w:before="19"/>
              <w:ind w:left="107"/>
              <w:rPr>
                <w:sz w:val="18"/>
              </w:rPr>
            </w:pPr>
            <w:r>
              <w:rPr>
                <w:sz w:val="18"/>
              </w:rPr>
              <w:t>氏病)不在本保障范围之内。</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5"/>
        </w:rPr>
      </w:pPr>
    </w:p>
    <w:p>
      <w:pPr>
        <w:pStyle w:val="BodyText"/>
        <w:spacing w:before="44"/>
        <w:ind w:left="403"/>
      </w:pPr>
      <w:r>
        <w:rPr/>
        <w:t>注：</w:t>
      </w:r>
    </w:p>
    <w:p>
      <w:pPr>
        <w:pStyle w:val="ListParagraph"/>
        <w:numPr>
          <w:ilvl w:val="0"/>
          <w:numId w:val="33"/>
        </w:numPr>
        <w:tabs>
          <w:tab w:pos="823" w:val="left" w:leader="none"/>
          <w:tab w:pos="824" w:val="left" w:leader="none"/>
        </w:tabs>
        <w:spacing w:line="240" w:lineRule="auto" w:before="76" w:after="0"/>
        <w:ind w:left="823" w:right="0" w:hanging="420"/>
        <w:jc w:val="left"/>
        <w:rPr>
          <w:sz w:val="18"/>
        </w:rPr>
      </w:pPr>
      <w:r>
        <w:rPr>
          <w:sz w:val="18"/>
        </w:rPr>
        <w:t>专科医生</w:t>
      </w:r>
    </w:p>
    <w:p>
      <w:pPr>
        <w:pStyle w:val="BodyText"/>
        <w:spacing w:before="76"/>
        <w:ind w:left="823"/>
      </w:pPr>
      <w:r>
        <w:rPr/>
        <w:t>专科医生应当同时满足以下四项资格条件：</w:t>
      </w:r>
    </w:p>
    <w:p>
      <w:pPr>
        <w:pStyle w:val="ListParagraph"/>
        <w:numPr>
          <w:ilvl w:val="1"/>
          <w:numId w:val="33"/>
        </w:numPr>
        <w:tabs>
          <w:tab w:pos="1244" w:val="left" w:leader="none"/>
        </w:tabs>
        <w:spacing w:line="240" w:lineRule="auto" w:before="76" w:after="0"/>
        <w:ind w:left="1243" w:right="0" w:hanging="444"/>
        <w:jc w:val="left"/>
        <w:rPr>
          <w:sz w:val="18"/>
        </w:rPr>
      </w:pPr>
      <w:r>
        <w:rPr>
          <w:spacing w:val="-5"/>
          <w:sz w:val="18"/>
        </w:rPr>
        <w:t>具有有效的中华人民共和国《医师资格证书》；</w:t>
      </w:r>
    </w:p>
    <w:p>
      <w:pPr>
        <w:pStyle w:val="ListParagraph"/>
        <w:numPr>
          <w:ilvl w:val="1"/>
          <w:numId w:val="33"/>
        </w:numPr>
        <w:tabs>
          <w:tab w:pos="1244" w:val="left" w:leader="none"/>
        </w:tabs>
        <w:spacing w:line="240" w:lineRule="auto" w:before="76" w:after="0"/>
        <w:ind w:left="1243" w:right="0" w:hanging="444"/>
        <w:jc w:val="left"/>
        <w:rPr>
          <w:sz w:val="18"/>
        </w:rPr>
      </w:pPr>
      <w:r>
        <w:rPr>
          <w:spacing w:val="-5"/>
          <w:sz w:val="18"/>
        </w:rPr>
        <w:t>具有有效的中华人民共和国《医师执业证书》，并按期到相关部门登记注册；</w:t>
      </w:r>
    </w:p>
    <w:p>
      <w:pPr>
        <w:pStyle w:val="ListParagraph"/>
        <w:numPr>
          <w:ilvl w:val="1"/>
          <w:numId w:val="33"/>
        </w:numPr>
        <w:tabs>
          <w:tab w:pos="1244" w:val="left" w:leader="none"/>
        </w:tabs>
        <w:spacing w:line="240" w:lineRule="auto" w:before="76" w:after="0"/>
        <w:ind w:left="1243" w:right="0" w:hanging="444"/>
        <w:jc w:val="left"/>
        <w:rPr>
          <w:sz w:val="18"/>
        </w:rPr>
      </w:pPr>
      <w:r>
        <w:rPr>
          <w:spacing w:val="-3"/>
          <w:sz w:val="18"/>
        </w:rPr>
        <w:t>具有有效的中华人民共和国主治医师或主治医师以上职称的《医师职称证书》；</w:t>
      </w:r>
    </w:p>
    <w:p>
      <w:pPr>
        <w:pStyle w:val="ListParagraph"/>
        <w:numPr>
          <w:ilvl w:val="1"/>
          <w:numId w:val="33"/>
        </w:numPr>
        <w:tabs>
          <w:tab w:pos="1244" w:val="left" w:leader="none"/>
        </w:tabs>
        <w:spacing w:line="240" w:lineRule="auto" w:before="76" w:after="0"/>
        <w:ind w:left="1243" w:right="0" w:hanging="444"/>
        <w:jc w:val="left"/>
        <w:rPr>
          <w:sz w:val="18"/>
        </w:rPr>
      </w:pPr>
      <w:r>
        <w:rPr>
          <w:sz w:val="18"/>
        </w:rPr>
        <w:t>在二级或二级以上医院的相应科室从事临床工作三年以上。</w:t>
      </w:r>
    </w:p>
    <w:p>
      <w:pPr>
        <w:pStyle w:val="ListParagraph"/>
        <w:numPr>
          <w:ilvl w:val="0"/>
          <w:numId w:val="33"/>
        </w:numPr>
        <w:tabs>
          <w:tab w:pos="823" w:val="left" w:leader="none"/>
          <w:tab w:pos="824" w:val="left" w:leader="none"/>
        </w:tabs>
        <w:spacing w:line="240" w:lineRule="auto" w:before="76" w:after="0"/>
        <w:ind w:left="823" w:right="0" w:hanging="420"/>
        <w:jc w:val="left"/>
        <w:rPr>
          <w:sz w:val="18"/>
        </w:rPr>
      </w:pPr>
      <w:r>
        <w:rPr>
          <w:sz w:val="18"/>
        </w:rPr>
        <w:t>肢体机能完全丧失</w:t>
      </w:r>
    </w:p>
    <w:p>
      <w:pPr>
        <w:pStyle w:val="BodyText"/>
        <w:spacing w:before="77"/>
        <w:ind w:left="823"/>
      </w:pPr>
      <w:r>
        <w:rPr/>
        <w:t>指肢体的三大关节中的两大关节僵硬，或不能随意识活动。肢体是指包括肩关节的整个上肢或包括髋关节的整个下肢。</w:t>
      </w:r>
    </w:p>
    <w:p>
      <w:pPr>
        <w:pStyle w:val="ListParagraph"/>
        <w:numPr>
          <w:ilvl w:val="0"/>
          <w:numId w:val="33"/>
        </w:numPr>
        <w:tabs>
          <w:tab w:pos="823" w:val="left" w:leader="none"/>
          <w:tab w:pos="824" w:val="left" w:leader="none"/>
        </w:tabs>
        <w:spacing w:line="240" w:lineRule="auto" w:before="76" w:after="0"/>
        <w:ind w:left="823" w:right="0" w:hanging="420"/>
        <w:jc w:val="left"/>
        <w:rPr>
          <w:sz w:val="18"/>
        </w:rPr>
      </w:pPr>
      <w:r>
        <w:rPr>
          <w:sz w:val="18"/>
        </w:rPr>
        <w:t>咀嚼吞咽能力完全丧失</w:t>
      </w:r>
    </w:p>
    <w:p>
      <w:pPr>
        <w:pStyle w:val="BodyText"/>
        <w:spacing w:before="76"/>
        <w:ind w:left="823"/>
      </w:pPr>
      <w:r>
        <w:rPr/>
        <w:t>指因牙齿以外的原因导致器质障碍或机能障碍，以致不能作咀嚼吞咽运动，除流质食物外不能摄取或吞咽的状态。</w:t>
      </w:r>
    </w:p>
    <w:p>
      <w:pPr>
        <w:pStyle w:val="ListParagraph"/>
        <w:numPr>
          <w:ilvl w:val="0"/>
          <w:numId w:val="33"/>
        </w:numPr>
        <w:tabs>
          <w:tab w:pos="823" w:val="left" w:leader="none"/>
          <w:tab w:pos="824" w:val="left" w:leader="none"/>
        </w:tabs>
        <w:spacing w:line="240" w:lineRule="auto" w:before="76" w:after="0"/>
        <w:ind w:left="823" w:right="0" w:hanging="420"/>
        <w:jc w:val="left"/>
        <w:rPr>
          <w:sz w:val="18"/>
        </w:rPr>
      </w:pPr>
      <w:r>
        <w:rPr>
          <w:sz w:val="18"/>
        </w:rPr>
        <w:t>语言能力完全丧失</w:t>
      </w:r>
    </w:p>
    <w:p>
      <w:pPr>
        <w:pStyle w:val="BodyText"/>
        <w:spacing w:line="316" w:lineRule="auto" w:before="76"/>
        <w:ind w:left="823" w:right="341"/>
      </w:pPr>
      <w:r>
        <w:rPr/>
        <w:t>指无法发出四种语音（包括口唇音、齿舌音、口盖音和喉头音）中的任何三种、或声带全部切除，或因大脑语言中枢受伤害而患失语症。</w:t>
      </w:r>
    </w:p>
    <w:p>
      <w:pPr>
        <w:pStyle w:val="ListParagraph"/>
        <w:numPr>
          <w:ilvl w:val="0"/>
          <w:numId w:val="33"/>
        </w:numPr>
        <w:tabs>
          <w:tab w:pos="823" w:val="left" w:leader="none"/>
          <w:tab w:pos="824" w:val="left" w:leader="none"/>
        </w:tabs>
        <w:spacing w:line="240" w:lineRule="auto" w:before="19" w:after="0"/>
        <w:ind w:left="823" w:right="0" w:hanging="420"/>
        <w:jc w:val="left"/>
        <w:rPr>
          <w:sz w:val="18"/>
        </w:rPr>
      </w:pPr>
      <w:r>
        <w:rPr>
          <w:sz w:val="18"/>
        </w:rPr>
        <w:t>六项基本日常生活活动</w:t>
      </w:r>
    </w:p>
    <w:p>
      <w:pPr>
        <w:pStyle w:val="ListParagraph"/>
        <w:numPr>
          <w:ilvl w:val="1"/>
          <w:numId w:val="33"/>
        </w:numPr>
        <w:tabs>
          <w:tab w:pos="1244" w:val="left" w:leader="none"/>
        </w:tabs>
        <w:spacing w:line="240" w:lineRule="auto" w:before="76" w:after="0"/>
        <w:ind w:left="1243" w:right="0" w:hanging="444"/>
        <w:jc w:val="left"/>
        <w:rPr>
          <w:sz w:val="18"/>
        </w:rPr>
      </w:pPr>
      <w:r>
        <w:rPr>
          <w:sz w:val="18"/>
        </w:rPr>
        <w:t>穿衣：自己能够穿衣及脱衣；</w:t>
      </w:r>
    </w:p>
    <w:p>
      <w:pPr>
        <w:pStyle w:val="ListParagraph"/>
        <w:numPr>
          <w:ilvl w:val="1"/>
          <w:numId w:val="33"/>
        </w:numPr>
        <w:tabs>
          <w:tab w:pos="1244" w:val="left" w:leader="none"/>
        </w:tabs>
        <w:spacing w:line="240" w:lineRule="auto" w:before="76" w:after="0"/>
        <w:ind w:left="1243" w:right="0" w:hanging="444"/>
        <w:jc w:val="left"/>
        <w:rPr>
          <w:sz w:val="18"/>
        </w:rPr>
      </w:pPr>
      <w:r>
        <w:rPr>
          <w:sz w:val="18"/>
        </w:rPr>
        <w:t>移动：自己从一个房间到另一个房间；</w:t>
      </w:r>
    </w:p>
    <w:p>
      <w:pPr>
        <w:pStyle w:val="ListParagraph"/>
        <w:numPr>
          <w:ilvl w:val="1"/>
          <w:numId w:val="33"/>
        </w:numPr>
        <w:tabs>
          <w:tab w:pos="1244" w:val="left" w:leader="none"/>
        </w:tabs>
        <w:spacing w:line="240" w:lineRule="auto" w:before="76" w:after="0"/>
        <w:ind w:left="1243" w:right="0" w:hanging="444"/>
        <w:jc w:val="left"/>
        <w:rPr>
          <w:sz w:val="18"/>
        </w:rPr>
      </w:pPr>
      <w:r>
        <w:rPr>
          <w:sz w:val="18"/>
        </w:rPr>
        <w:t>行动：自己上下床或上下轮椅；</w:t>
      </w:r>
    </w:p>
    <w:p>
      <w:pPr>
        <w:pStyle w:val="ListParagraph"/>
        <w:numPr>
          <w:ilvl w:val="1"/>
          <w:numId w:val="33"/>
        </w:numPr>
        <w:tabs>
          <w:tab w:pos="1244" w:val="left" w:leader="none"/>
        </w:tabs>
        <w:spacing w:line="240" w:lineRule="auto" w:before="76" w:after="0"/>
        <w:ind w:left="1243" w:right="0" w:hanging="444"/>
        <w:jc w:val="left"/>
        <w:rPr>
          <w:sz w:val="18"/>
        </w:rPr>
      </w:pPr>
      <w:r>
        <w:rPr>
          <w:sz w:val="18"/>
        </w:rPr>
        <w:t>如厕：自己控制进行大小便；</w:t>
      </w:r>
    </w:p>
    <w:p>
      <w:pPr>
        <w:pStyle w:val="ListParagraph"/>
        <w:numPr>
          <w:ilvl w:val="1"/>
          <w:numId w:val="33"/>
        </w:numPr>
        <w:tabs>
          <w:tab w:pos="1244" w:val="left" w:leader="none"/>
        </w:tabs>
        <w:spacing w:line="240" w:lineRule="auto" w:before="77" w:after="0"/>
        <w:ind w:left="1243" w:right="0" w:hanging="444"/>
        <w:jc w:val="left"/>
        <w:rPr>
          <w:sz w:val="18"/>
        </w:rPr>
      </w:pPr>
      <w:r>
        <w:rPr>
          <w:sz w:val="18"/>
        </w:rPr>
        <w:t>进食：自己从已准备好的碗或碟中取食物放入口中；</w:t>
      </w:r>
    </w:p>
    <w:p>
      <w:pPr>
        <w:pStyle w:val="ListParagraph"/>
        <w:numPr>
          <w:ilvl w:val="1"/>
          <w:numId w:val="33"/>
        </w:numPr>
        <w:tabs>
          <w:tab w:pos="1244" w:val="left" w:leader="none"/>
        </w:tabs>
        <w:spacing w:line="240" w:lineRule="auto" w:before="76" w:after="0"/>
        <w:ind w:left="1243" w:right="0" w:hanging="444"/>
        <w:jc w:val="left"/>
        <w:rPr>
          <w:sz w:val="18"/>
        </w:rPr>
      </w:pPr>
      <w:r>
        <w:rPr>
          <w:sz w:val="18"/>
        </w:rPr>
        <w:t>洗澡：自己进行淋浴或盆浴。</w:t>
      </w:r>
    </w:p>
    <w:p>
      <w:pPr>
        <w:pStyle w:val="ListParagraph"/>
        <w:numPr>
          <w:ilvl w:val="0"/>
          <w:numId w:val="33"/>
        </w:numPr>
        <w:tabs>
          <w:tab w:pos="823" w:val="left" w:leader="none"/>
          <w:tab w:pos="824" w:val="left" w:leader="none"/>
        </w:tabs>
        <w:spacing w:line="240" w:lineRule="auto" w:before="76" w:after="0"/>
        <w:ind w:left="823" w:right="0" w:hanging="420"/>
        <w:jc w:val="left"/>
        <w:rPr>
          <w:sz w:val="18"/>
        </w:rPr>
      </w:pPr>
      <w:r>
        <w:rPr>
          <w:sz w:val="18"/>
        </w:rPr>
        <w:t>永久不可逆</w:t>
      </w:r>
    </w:p>
    <w:p>
      <w:pPr>
        <w:pStyle w:val="BodyText"/>
        <w:spacing w:before="76"/>
        <w:ind w:left="823"/>
      </w:pPr>
      <w:r>
        <w:rPr/>
        <w:t>指自疾病确诊或意外伤害发生之日起，经过积极治疗 180 天后，仍无法通过现有医疗手段恢复。</w:t>
      </w:r>
    </w:p>
    <w:sectPr>
      <w:pgSz w:w="11910" w:h="16840"/>
      <w:pgMar w:header="857" w:footer="976" w:top="1040" w:bottom="1160" w:left="90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6.589996pt;margin-top:782.115967pt;width:33.7pt;height:12pt;mso-position-horizontal-relative:page;mso-position-vertical-relative:page;z-index:-29992" type="#_x0000_t202" filled="false" stroked="false">
          <v:textbox inset="0,0,0,0">
            <w:txbxContent>
              <w:p>
                <w:pPr>
                  <w:pStyle w:val="BodyText"/>
                  <w:spacing w:line="219" w:lineRule="exact"/>
                  <w:ind w:left="20"/>
                </w:pPr>
                <w:r>
                  <w:rPr>
                    <w:spacing w:val="-23"/>
                  </w:rPr>
                  <w:t>第 </w:t>
                </w:r>
                <w:r>
                  <w:rPr/>
                  <w:fldChar w:fldCharType="begin"/>
                </w:r>
                <w:r>
                  <w:rPr>
                    <w:rFonts w:ascii="Times New Roman" w:eastAsia="Times New Roman"/>
                  </w:rPr>
                  <w:instrText> PAGE </w:instrText>
                </w:r>
                <w:r>
                  <w:rPr/>
                  <w:fldChar w:fldCharType="separate"/>
                </w:r>
                <w:r>
                  <w:rPr/>
                  <w:t>10</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183998pt;margin-top:42.865608pt;width:201.05pt;height:11pt;mso-position-horizontal-relative:page;mso-position-vertical-relative:page;z-index:-30040" type="#_x0000_t202" filled="false" stroked="false">
          <v:textbox inset="0,0,0,0">
            <w:txbxContent>
              <w:p>
                <w:pPr>
                  <w:pStyle w:val="BodyText"/>
                  <w:spacing w:line="200" w:lineRule="exact"/>
                  <w:ind w:left="20"/>
                </w:pPr>
                <w:r>
                  <w:rPr/>
                  <w:t>民生附加卓悦英才少儿豁免保费重大疾病保险条款</w:t>
                </w:r>
              </w:p>
            </w:txbxContent>
          </v:textbox>
          <w10:wrap type="none"/>
        </v:shape>
      </w:pict>
    </w:r>
    <w:r>
      <w:rPr/>
      <w:pict>
        <v:shape style="position:absolute;margin-left:432.059998pt;margin-top:42.865608pt;width:110.45pt;height:11pt;mso-position-horizontal-relative:page;mso-position-vertical-relative:page;z-index:-30016"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9968" from="63.743999pt,55.559982pt" to="543.003999pt,55.559982pt" stroked="true" strokeweight=".72pt" strokecolor="#000000">
          <v:stroke dashstyle="solid"/>
          <w10:wrap type="none"/>
        </v:line>
      </w:pict>
    </w:r>
    <w:r>
      <w:rPr/>
      <w:pict>
        <v:shape style="position:absolute;margin-left:64.183998pt;margin-top:42.865608pt;width:201.05pt;height:11pt;mso-position-horizontal-relative:page;mso-position-vertical-relative:page;z-index:-29944" type="#_x0000_t202" filled="false" stroked="false">
          <v:textbox inset="0,0,0,0">
            <w:txbxContent>
              <w:p>
                <w:pPr>
                  <w:pStyle w:val="BodyText"/>
                  <w:spacing w:line="200" w:lineRule="exact"/>
                  <w:ind w:left="20"/>
                </w:pPr>
                <w:r>
                  <w:rPr/>
                  <w:t>民生附加卓悦英才少儿豁免保费重大疾病保险条款</w:t>
                </w:r>
              </w:p>
            </w:txbxContent>
          </v:textbox>
          <w10:wrap type="none"/>
        </v:shape>
      </w:pict>
    </w:r>
    <w:r>
      <w:rPr/>
      <w:pict>
        <v:shape style="position:absolute;margin-left:432.059998pt;margin-top:42.865608pt;width:110.45pt;height:11pt;mso-position-horizontal-relative:page;mso-position-vertical-relative:page;z-index:-29920"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2.865608pt;width:201.05pt;height:11pt;mso-position-horizontal-relative:page;mso-position-vertical-relative:page;z-index:-29896" type="#_x0000_t202" filled="false" stroked="false">
          <v:textbox inset="0,0,0,0">
            <w:txbxContent>
              <w:p>
                <w:pPr>
                  <w:pStyle w:val="BodyText"/>
                  <w:spacing w:line="200" w:lineRule="exact"/>
                  <w:ind w:left="20"/>
                </w:pPr>
                <w:r>
                  <w:rPr/>
                  <w:t>民生附加卓悦英才少儿豁免保费重大疾病保险条款</w:t>
                </w:r>
              </w:p>
            </w:txbxContent>
          </v:textbox>
          <w10:wrap type="none"/>
        </v:shape>
      </w:pict>
    </w:r>
    <w:r>
      <w:rPr/>
      <w:pict>
        <v:shape style="position:absolute;margin-left:432.059998pt;margin-top:42.865608pt;width:110.45pt;height:11pt;mso-position-horizontal-relative:page;mso-position-vertical-relative:page;z-index:-29872"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2">
    <w:multiLevelType w:val="hybridMultilevel"/>
    <w:lvl w:ilvl="0">
      <w:start w:val="1"/>
      <w:numFmt w:val="decimal"/>
      <w:lvlText w:val="%1"/>
      <w:lvlJc w:val="left"/>
      <w:pPr>
        <w:ind w:left="823" w:hanging="420"/>
        <w:jc w:val="left"/>
      </w:pPr>
      <w:rPr>
        <w:rFonts w:hint="default" w:ascii="宋体" w:hAnsi="宋体" w:eastAsia="宋体" w:cs="宋体"/>
        <w:w w:val="100"/>
        <w:sz w:val="18"/>
        <w:szCs w:val="18"/>
      </w:rPr>
    </w:lvl>
    <w:lvl w:ilvl="1">
      <w:start w:val="1"/>
      <w:numFmt w:val="decimal"/>
      <w:lvlText w:val="(%2)"/>
      <w:lvlJc w:val="left"/>
      <w:pPr>
        <w:ind w:left="1243" w:hanging="444"/>
        <w:jc w:val="left"/>
      </w:pPr>
      <w:rPr>
        <w:rFonts w:hint="default" w:ascii="宋体" w:hAnsi="宋体" w:eastAsia="宋体" w:cs="宋体"/>
        <w:spacing w:val="-92"/>
        <w:w w:val="100"/>
        <w:sz w:val="18"/>
        <w:szCs w:val="18"/>
      </w:rPr>
    </w:lvl>
    <w:lvl w:ilvl="2">
      <w:start w:val="0"/>
      <w:numFmt w:val="bullet"/>
      <w:lvlText w:val="•"/>
      <w:lvlJc w:val="left"/>
      <w:pPr>
        <w:ind w:left="2251" w:hanging="444"/>
      </w:pPr>
      <w:rPr>
        <w:rFonts w:hint="default"/>
      </w:rPr>
    </w:lvl>
    <w:lvl w:ilvl="3">
      <w:start w:val="0"/>
      <w:numFmt w:val="bullet"/>
      <w:lvlText w:val="•"/>
      <w:lvlJc w:val="left"/>
      <w:pPr>
        <w:ind w:left="3263" w:hanging="444"/>
      </w:pPr>
      <w:rPr>
        <w:rFonts w:hint="default"/>
      </w:rPr>
    </w:lvl>
    <w:lvl w:ilvl="4">
      <w:start w:val="0"/>
      <w:numFmt w:val="bullet"/>
      <w:lvlText w:val="•"/>
      <w:lvlJc w:val="left"/>
      <w:pPr>
        <w:ind w:left="4275" w:hanging="444"/>
      </w:pPr>
      <w:rPr>
        <w:rFonts w:hint="default"/>
      </w:rPr>
    </w:lvl>
    <w:lvl w:ilvl="5">
      <w:start w:val="0"/>
      <w:numFmt w:val="bullet"/>
      <w:lvlText w:val="•"/>
      <w:lvlJc w:val="left"/>
      <w:pPr>
        <w:ind w:left="5287" w:hanging="444"/>
      </w:pPr>
      <w:rPr>
        <w:rFonts w:hint="default"/>
      </w:rPr>
    </w:lvl>
    <w:lvl w:ilvl="6">
      <w:start w:val="0"/>
      <w:numFmt w:val="bullet"/>
      <w:lvlText w:val="•"/>
      <w:lvlJc w:val="left"/>
      <w:pPr>
        <w:ind w:left="6299" w:hanging="444"/>
      </w:pPr>
      <w:rPr>
        <w:rFonts w:hint="default"/>
      </w:rPr>
    </w:lvl>
    <w:lvl w:ilvl="7">
      <w:start w:val="0"/>
      <w:numFmt w:val="bullet"/>
      <w:lvlText w:val="•"/>
      <w:lvlJc w:val="left"/>
      <w:pPr>
        <w:ind w:left="7310" w:hanging="444"/>
      </w:pPr>
      <w:rPr>
        <w:rFonts w:hint="default"/>
      </w:rPr>
    </w:lvl>
    <w:lvl w:ilvl="8">
      <w:start w:val="0"/>
      <w:numFmt w:val="bullet"/>
      <w:lvlText w:val="•"/>
      <w:lvlJc w:val="left"/>
      <w:pPr>
        <w:ind w:left="8322" w:hanging="444"/>
      </w:pPr>
      <w:rPr>
        <w:rFonts w:hint="default"/>
      </w:rPr>
    </w:lvl>
  </w:abstractNum>
  <w:abstractNum w:abstractNumId="31">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30">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29">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28">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27">
    <w:multiLevelType w:val="hybridMultilevel"/>
    <w:lvl w:ilvl="0">
      <w:start w:val="1"/>
      <w:numFmt w:val="decimal"/>
      <w:lvlText w:val="(%1)"/>
      <w:lvlJc w:val="left"/>
      <w:pPr>
        <w:ind w:left="527" w:hanging="420"/>
        <w:jc w:val="left"/>
      </w:pPr>
      <w:rPr>
        <w:rFonts w:hint="default" w:ascii="宋体" w:hAnsi="宋体" w:eastAsia="宋体" w:cs="宋体"/>
        <w:spacing w:val="-44"/>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26">
    <w:multiLevelType w:val="hybridMultilevel"/>
    <w:lvl w:ilvl="0">
      <w:start w:val="1"/>
      <w:numFmt w:val="decimal"/>
      <w:lvlText w:val="(%1)"/>
      <w:lvlJc w:val="left"/>
      <w:pPr>
        <w:ind w:left="527" w:hanging="420"/>
        <w:jc w:val="left"/>
      </w:pPr>
      <w:rPr>
        <w:rFonts w:hint="default" w:ascii="宋体" w:hAnsi="宋体" w:eastAsia="宋体" w:cs="宋体"/>
        <w:spacing w:val="-45"/>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25">
    <w:multiLevelType w:val="hybridMultilevel"/>
    <w:lvl w:ilvl="0">
      <w:start w:val="1"/>
      <w:numFmt w:val="decimal"/>
      <w:lvlText w:val="(%1)"/>
      <w:lvlJc w:val="left"/>
      <w:pPr>
        <w:ind w:left="527" w:hanging="420"/>
        <w:jc w:val="left"/>
      </w:pPr>
      <w:rPr>
        <w:rFonts w:hint="default" w:ascii="宋体" w:hAnsi="宋体" w:eastAsia="宋体" w:cs="宋体"/>
        <w:spacing w:val="-33"/>
        <w:w w:val="100"/>
        <w:sz w:val="18"/>
        <w:szCs w:val="18"/>
      </w:rPr>
    </w:lvl>
    <w:lvl w:ilvl="1">
      <w:start w:val="0"/>
      <w:numFmt w:val="bullet"/>
      <w:lvlText w:val="•"/>
      <w:lvlJc w:val="left"/>
      <w:pPr>
        <w:ind w:left="1239" w:hanging="420"/>
      </w:pPr>
      <w:rPr>
        <w:rFonts w:hint="default"/>
      </w:rPr>
    </w:lvl>
    <w:lvl w:ilvl="2">
      <w:start w:val="0"/>
      <w:numFmt w:val="bullet"/>
      <w:lvlText w:val="•"/>
      <w:lvlJc w:val="left"/>
      <w:pPr>
        <w:ind w:left="1959" w:hanging="420"/>
      </w:pPr>
      <w:rPr>
        <w:rFonts w:hint="default"/>
      </w:rPr>
    </w:lvl>
    <w:lvl w:ilvl="3">
      <w:start w:val="0"/>
      <w:numFmt w:val="bullet"/>
      <w:lvlText w:val="•"/>
      <w:lvlJc w:val="left"/>
      <w:pPr>
        <w:ind w:left="2679" w:hanging="420"/>
      </w:pPr>
      <w:rPr>
        <w:rFonts w:hint="default"/>
      </w:rPr>
    </w:lvl>
    <w:lvl w:ilvl="4">
      <w:start w:val="0"/>
      <w:numFmt w:val="bullet"/>
      <w:lvlText w:val="•"/>
      <w:lvlJc w:val="left"/>
      <w:pPr>
        <w:ind w:left="3399" w:hanging="420"/>
      </w:pPr>
      <w:rPr>
        <w:rFonts w:hint="default"/>
      </w:rPr>
    </w:lvl>
    <w:lvl w:ilvl="5">
      <w:start w:val="0"/>
      <w:numFmt w:val="bullet"/>
      <w:lvlText w:val="•"/>
      <w:lvlJc w:val="left"/>
      <w:pPr>
        <w:ind w:left="4119" w:hanging="420"/>
      </w:pPr>
      <w:rPr>
        <w:rFonts w:hint="default"/>
      </w:rPr>
    </w:lvl>
    <w:lvl w:ilvl="6">
      <w:start w:val="0"/>
      <w:numFmt w:val="bullet"/>
      <w:lvlText w:val="•"/>
      <w:lvlJc w:val="left"/>
      <w:pPr>
        <w:ind w:left="4839" w:hanging="420"/>
      </w:pPr>
      <w:rPr>
        <w:rFonts w:hint="default"/>
      </w:rPr>
    </w:lvl>
    <w:lvl w:ilvl="7">
      <w:start w:val="0"/>
      <w:numFmt w:val="bullet"/>
      <w:lvlText w:val="•"/>
      <w:lvlJc w:val="left"/>
      <w:pPr>
        <w:ind w:left="5559" w:hanging="420"/>
      </w:pPr>
      <w:rPr>
        <w:rFonts w:hint="default"/>
      </w:rPr>
    </w:lvl>
    <w:lvl w:ilvl="8">
      <w:start w:val="0"/>
      <w:numFmt w:val="bullet"/>
      <w:lvlText w:val="•"/>
      <w:lvlJc w:val="left"/>
      <w:pPr>
        <w:ind w:left="6279" w:hanging="420"/>
      </w:pPr>
      <w:rPr>
        <w:rFonts w:hint="default"/>
      </w:rPr>
    </w:lvl>
  </w:abstractNum>
  <w:abstractNum w:abstractNumId="24">
    <w:multiLevelType w:val="hybridMultilevel"/>
    <w:lvl w:ilvl="0">
      <w:start w:val="1"/>
      <w:numFmt w:val="decimal"/>
      <w:lvlText w:val="(%1)"/>
      <w:lvlJc w:val="left"/>
      <w:pPr>
        <w:ind w:left="563" w:hanging="420"/>
        <w:jc w:val="left"/>
      </w:pPr>
      <w:rPr>
        <w:rFonts w:hint="default" w:ascii="宋体" w:hAnsi="宋体" w:eastAsia="宋体" w:cs="宋体"/>
        <w:spacing w:val="-33"/>
        <w:w w:val="100"/>
        <w:sz w:val="18"/>
        <w:szCs w:val="18"/>
      </w:rPr>
    </w:lvl>
    <w:lvl w:ilvl="1">
      <w:start w:val="0"/>
      <w:numFmt w:val="bullet"/>
      <w:lvlText w:val="•"/>
      <w:lvlJc w:val="left"/>
      <w:pPr>
        <w:ind w:left="1290" w:hanging="420"/>
      </w:pPr>
      <w:rPr>
        <w:rFonts w:hint="default"/>
      </w:rPr>
    </w:lvl>
    <w:lvl w:ilvl="2">
      <w:start w:val="0"/>
      <w:numFmt w:val="bullet"/>
      <w:lvlText w:val="•"/>
      <w:lvlJc w:val="left"/>
      <w:pPr>
        <w:ind w:left="2021" w:hanging="420"/>
      </w:pPr>
      <w:rPr>
        <w:rFonts w:hint="default"/>
      </w:rPr>
    </w:lvl>
    <w:lvl w:ilvl="3">
      <w:start w:val="0"/>
      <w:numFmt w:val="bullet"/>
      <w:lvlText w:val="•"/>
      <w:lvlJc w:val="left"/>
      <w:pPr>
        <w:ind w:left="2751" w:hanging="420"/>
      </w:pPr>
      <w:rPr>
        <w:rFonts w:hint="default"/>
      </w:rPr>
    </w:lvl>
    <w:lvl w:ilvl="4">
      <w:start w:val="0"/>
      <w:numFmt w:val="bullet"/>
      <w:lvlText w:val="•"/>
      <w:lvlJc w:val="left"/>
      <w:pPr>
        <w:ind w:left="3482" w:hanging="420"/>
      </w:pPr>
      <w:rPr>
        <w:rFonts w:hint="default"/>
      </w:rPr>
    </w:lvl>
    <w:lvl w:ilvl="5">
      <w:start w:val="0"/>
      <w:numFmt w:val="bullet"/>
      <w:lvlText w:val="•"/>
      <w:lvlJc w:val="left"/>
      <w:pPr>
        <w:ind w:left="4213" w:hanging="420"/>
      </w:pPr>
      <w:rPr>
        <w:rFonts w:hint="default"/>
      </w:rPr>
    </w:lvl>
    <w:lvl w:ilvl="6">
      <w:start w:val="0"/>
      <w:numFmt w:val="bullet"/>
      <w:lvlText w:val="•"/>
      <w:lvlJc w:val="left"/>
      <w:pPr>
        <w:ind w:left="4943" w:hanging="420"/>
      </w:pPr>
      <w:rPr>
        <w:rFonts w:hint="default"/>
      </w:rPr>
    </w:lvl>
    <w:lvl w:ilvl="7">
      <w:start w:val="0"/>
      <w:numFmt w:val="bullet"/>
      <w:lvlText w:val="•"/>
      <w:lvlJc w:val="left"/>
      <w:pPr>
        <w:ind w:left="5674" w:hanging="420"/>
      </w:pPr>
      <w:rPr>
        <w:rFonts w:hint="default"/>
      </w:rPr>
    </w:lvl>
    <w:lvl w:ilvl="8">
      <w:start w:val="0"/>
      <w:numFmt w:val="bullet"/>
      <w:lvlText w:val="•"/>
      <w:lvlJc w:val="left"/>
      <w:pPr>
        <w:ind w:left="6404" w:hanging="420"/>
      </w:pPr>
      <w:rPr>
        <w:rFonts w:hint="default"/>
      </w:rPr>
    </w:lvl>
  </w:abstractNum>
  <w:abstractNum w:abstractNumId="23">
    <w:multiLevelType w:val="hybridMultilevel"/>
    <w:lvl w:ilvl="0">
      <w:start w:val="1"/>
      <w:numFmt w:val="decimal"/>
      <w:lvlText w:val="(%1)"/>
      <w:lvlJc w:val="left"/>
      <w:pPr>
        <w:ind w:left="505" w:hanging="363"/>
        <w:jc w:val="left"/>
      </w:pPr>
      <w:rPr>
        <w:rFonts w:hint="default" w:ascii="宋体" w:hAnsi="宋体" w:eastAsia="宋体" w:cs="宋体"/>
        <w:spacing w:val="-2"/>
        <w:w w:val="100"/>
        <w:sz w:val="18"/>
        <w:szCs w:val="18"/>
      </w:rPr>
    </w:lvl>
    <w:lvl w:ilvl="1">
      <w:start w:val="0"/>
      <w:numFmt w:val="bullet"/>
      <w:lvlText w:val="•"/>
      <w:lvlJc w:val="left"/>
      <w:pPr>
        <w:ind w:left="1240" w:hanging="363"/>
      </w:pPr>
      <w:rPr>
        <w:rFonts w:hint="default"/>
      </w:rPr>
    </w:lvl>
    <w:lvl w:ilvl="2">
      <w:start w:val="0"/>
      <w:numFmt w:val="bullet"/>
      <w:lvlText w:val="•"/>
      <w:lvlJc w:val="left"/>
      <w:pPr>
        <w:ind w:left="1980" w:hanging="363"/>
      </w:pPr>
      <w:rPr>
        <w:rFonts w:hint="default"/>
      </w:rPr>
    </w:lvl>
    <w:lvl w:ilvl="3">
      <w:start w:val="0"/>
      <w:numFmt w:val="bullet"/>
      <w:lvlText w:val="•"/>
      <w:lvlJc w:val="left"/>
      <w:pPr>
        <w:ind w:left="2720" w:hanging="363"/>
      </w:pPr>
      <w:rPr>
        <w:rFonts w:hint="default"/>
      </w:rPr>
    </w:lvl>
    <w:lvl w:ilvl="4">
      <w:start w:val="0"/>
      <w:numFmt w:val="bullet"/>
      <w:lvlText w:val="•"/>
      <w:lvlJc w:val="left"/>
      <w:pPr>
        <w:ind w:left="3461" w:hanging="363"/>
      </w:pPr>
      <w:rPr>
        <w:rFonts w:hint="default"/>
      </w:rPr>
    </w:lvl>
    <w:lvl w:ilvl="5">
      <w:start w:val="0"/>
      <w:numFmt w:val="bullet"/>
      <w:lvlText w:val="•"/>
      <w:lvlJc w:val="left"/>
      <w:pPr>
        <w:ind w:left="4201" w:hanging="363"/>
      </w:pPr>
      <w:rPr>
        <w:rFonts w:hint="default"/>
      </w:rPr>
    </w:lvl>
    <w:lvl w:ilvl="6">
      <w:start w:val="0"/>
      <w:numFmt w:val="bullet"/>
      <w:lvlText w:val="•"/>
      <w:lvlJc w:val="left"/>
      <w:pPr>
        <w:ind w:left="4941" w:hanging="363"/>
      </w:pPr>
      <w:rPr>
        <w:rFonts w:hint="default"/>
      </w:rPr>
    </w:lvl>
    <w:lvl w:ilvl="7">
      <w:start w:val="0"/>
      <w:numFmt w:val="bullet"/>
      <w:lvlText w:val="•"/>
      <w:lvlJc w:val="left"/>
      <w:pPr>
        <w:ind w:left="5682" w:hanging="363"/>
      </w:pPr>
      <w:rPr>
        <w:rFonts w:hint="default"/>
      </w:rPr>
    </w:lvl>
    <w:lvl w:ilvl="8">
      <w:start w:val="0"/>
      <w:numFmt w:val="bullet"/>
      <w:lvlText w:val="•"/>
      <w:lvlJc w:val="left"/>
      <w:pPr>
        <w:ind w:left="6422" w:hanging="363"/>
      </w:pPr>
      <w:rPr>
        <w:rFonts w:hint="default"/>
      </w:rPr>
    </w:lvl>
  </w:abstractNum>
  <w:abstractNum w:abstractNumId="22">
    <w:multiLevelType w:val="hybridMultilevel"/>
    <w:lvl w:ilvl="0">
      <w:start w:val="1"/>
      <w:numFmt w:val="decimal"/>
      <w:lvlText w:val="(%1)"/>
      <w:lvlJc w:val="left"/>
      <w:pPr>
        <w:ind w:left="597" w:hanging="454"/>
        <w:jc w:val="left"/>
      </w:pPr>
      <w:rPr>
        <w:rFonts w:hint="default" w:ascii="宋体" w:hAnsi="宋体" w:eastAsia="宋体" w:cs="宋体"/>
        <w:spacing w:val="-45"/>
        <w:w w:val="100"/>
        <w:sz w:val="18"/>
        <w:szCs w:val="18"/>
      </w:rPr>
    </w:lvl>
    <w:lvl w:ilvl="1">
      <w:start w:val="0"/>
      <w:numFmt w:val="bullet"/>
      <w:lvlText w:val="•"/>
      <w:lvlJc w:val="left"/>
      <w:pPr>
        <w:ind w:left="1330" w:hanging="454"/>
      </w:pPr>
      <w:rPr>
        <w:rFonts w:hint="default"/>
      </w:rPr>
    </w:lvl>
    <w:lvl w:ilvl="2">
      <w:start w:val="0"/>
      <w:numFmt w:val="bullet"/>
      <w:lvlText w:val="•"/>
      <w:lvlJc w:val="left"/>
      <w:pPr>
        <w:ind w:left="2060" w:hanging="454"/>
      </w:pPr>
      <w:rPr>
        <w:rFonts w:hint="default"/>
      </w:rPr>
    </w:lvl>
    <w:lvl w:ilvl="3">
      <w:start w:val="0"/>
      <w:numFmt w:val="bullet"/>
      <w:lvlText w:val="•"/>
      <w:lvlJc w:val="left"/>
      <w:pPr>
        <w:ind w:left="2790" w:hanging="454"/>
      </w:pPr>
      <w:rPr>
        <w:rFonts w:hint="default"/>
      </w:rPr>
    </w:lvl>
    <w:lvl w:ilvl="4">
      <w:start w:val="0"/>
      <w:numFmt w:val="bullet"/>
      <w:lvlText w:val="•"/>
      <w:lvlJc w:val="left"/>
      <w:pPr>
        <w:ind w:left="3521" w:hanging="454"/>
      </w:pPr>
      <w:rPr>
        <w:rFonts w:hint="default"/>
      </w:rPr>
    </w:lvl>
    <w:lvl w:ilvl="5">
      <w:start w:val="0"/>
      <w:numFmt w:val="bullet"/>
      <w:lvlText w:val="•"/>
      <w:lvlJc w:val="left"/>
      <w:pPr>
        <w:ind w:left="4251" w:hanging="454"/>
      </w:pPr>
      <w:rPr>
        <w:rFonts w:hint="default"/>
      </w:rPr>
    </w:lvl>
    <w:lvl w:ilvl="6">
      <w:start w:val="0"/>
      <w:numFmt w:val="bullet"/>
      <w:lvlText w:val="•"/>
      <w:lvlJc w:val="left"/>
      <w:pPr>
        <w:ind w:left="4981" w:hanging="454"/>
      </w:pPr>
      <w:rPr>
        <w:rFonts w:hint="default"/>
      </w:rPr>
    </w:lvl>
    <w:lvl w:ilvl="7">
      <w:start w:val="0"/>
      <w:numFmt w:val="bullet"/>
      <w:lvlText w:val="•"/>
      <w:lvlJc w:val="left"/>
      <w:pPr>
        <w:ind w:left="5712" w:hanging="454"/>
      </w:pPr>
      <w:rPr>
        <w:rFonts w:hint="default"/>
      </w:rPr>
    </w:lvl>
    <w:lvl w:ilvl="8">
      <w:start w:val="0"/>
      <w:numFmt w:val="bullet"/>
      <w:lvlText w:val="•"/>
      <w:lvlJc w:val="left"/>
      <w:pPr>
        <w:ind w:left="6442" w:hanging="454"/>
      </w:pPr>
      <w:rPr>
        <w:rFonts w:hint="default"/>
      </w:rPr>
    </w:lvl>
  </w:abstractNum>
  <w:abstractNum w:abstractNumId="21">
    <w:multiLevelType w:val="hybridMultilevel"/>
    <w:lvl w:ilvl="0">
      <w:start w:val="1"/>
      <w:numFmt w:val="decimal"/>
      <w:lvlText w:val="(%1)"/>
      <w:lvlJc w:val="left"/>
      <w:pPr>
        <w:ind w:left="563" w:hanging="420"/>
        <w:jc w:val="left"/>
      </w:pPr>
      <w:rPr>
        <w:rFonts w:hint="default" w:ascii="宋体" w:hAnsi="宋体" w:eastAsia="宋体" w:cs="宋体"/>
        <w:spacing w:val="-33"/>
        <w:w w:val="100"/>
        <w:sz w:val="18"/>
        <w:szCs w:val="18"/>
      </w:rPr>
    </w:lvl>
    <w:lvl w:ilvl="1">
      <w:start w:val="0"/>
      <w:numFmt w:val="bullet"/>
      <w:lvlText w:val="•"/>
      <w:lvlJc w:val="left"/>
      <w:pPr>
        <w:ind w:left="1294" w:hanging="420"/>
      </w:pPr>
      <w:rPr>
        <w:rFonts w:hint="default"/>
      </w:rPr>
    </w:lvl>
    <w:lvl w:ilvl="2">
      <w:start w:val="0"/>
      <w:numFmt w:val="bullet"/>
      <w:lvlText w:val="•"/>
      <w:lvlJc w:val="left"/>
      <w:pPr>
        <w:ind w:left="2028" w:hanging="420"/>
      </w:pPr>
      <w:rPr>
        <w:rFonts w:hint="default"/>
      </w:rPr>
    </w:lvl>
    <w:lvl w:ilvl="3">
      <w:start w:val="0"/>
      <w:numFmt w:val="bullet"/>
      <w:lvlText w:val="•"/>
      <w:lvlJc w:val="left"/>
      <w:pPr>
        <w:ind w:left="2762" w:hanging="420"/>
      </w:pPr>
      <w:rPr>
        <w:rFonts w:hint="default"/>
      </w:rPr>
    </w:lvl>
    <w:lvl w:ilvl="4">
      <w:start w:val="0"/>
      <w:numFmt w:val="bullet"/>
      <w:lvlText w:val="•"/>
      <w:lvlJc w:val="left"/>
      <w:pPr>
        <w:ind w:left="3497" w:hanging="420"/>
      </w:pPr>
      <w:rPr>
        <w:rFonts w:hint="default"/>
      </w:rPr>
    </w:lvl>
    <w:lvl w:ilvl="5">
      <w:start w:val="0"/>
      <w:numFmt w:val="bullet"/>
      <w:lvlText w:val="•"/>
      <w:lvlJc w:val="left"/>
      <w:pPr>
        <w:ind w:left="4231" w:hanging="420"/>
      </w:pPr>
      <w:rPr>
        <w:rFonts w:hint="default"/>
      </w:rPr>
    </w:lvl>
    <w:lvl w:ilvl="6">
      <w:start w:val="0"/>
      <w:numFmt w:val="bullet"/>
      <w:lvlText w:val="•"/>
      <w:lvlJc w:val="left"/>
      <w:pPr>
        <w:ind w:left="4965" w:hanging="420"/>
      </w:pPr>
      <w:rPr>
        <w:rFonts w:hint="default"/>
      </w:rPr>
    </w:lvl>
    <w:lvl w:ilvl="7">
      <w:start w:val="0"/>
      <w:numFmt w:val="bullet"/>
      <w:lvlText w:val="•"/>
      <w:lvlJc w:val="left"/>
      <w:pPr>
        <w:ind w:left="5700" w:hanging="420"/>
      </w:pPr>
      <w:rPr>
        <w:rFonts w:hint="default"/>
      </w:rPr>
    </w:lvl>
    <w:lvl w:ilvl="8">
      <w:start w:val="0"/>
      <w:numFmt w:val="bullet"/>
      <w:lvlText w:val="•"/>
      <w:lvlJc w:val="left"/>
      <w:pPr>
        <w:ind w:left="6434" w:hanging="420"/>
      </w:pPr>
      <w:rPr>
        <w:rFonts w:hint="default"/>
      </w:rPr>
    </w:lvl>
  </w:abstractNum>
  <w:abstractNum w:abstractNumId="20">
    <w:multiLevelType w:val="hybridMultilevel"/>
    <w:lvl w:ilvl="0">
      <w:start w:val="1"/>
      <w:numFmt w:val="decimal"/>
      <w:lvlText w:val="(%1)"/>
      <w:lvlJc w:val="left"/>
      <w:pPr>
        <w:ind w:left="563" w:hanging="420"/>
        <w:jc w:val="left"/>
      </w:pPr>
      <w:rPr>
        <w:rFonts w:hint="default" w:ascii="宋体" w:hAnsi="宋体" w:eastAsia="宋体" w:cs="宋体"/>
        <w:spacing w:val="-33"/>
        <w:w w:val="100"/>
        <w:sz w:val="18"/>
        <w:szCs w:val="18"/>
      </w:rPr>
    </w:lvl>
    <w:lvl w:ilvl="1">
      <w:start w:val="0"/>
      <w:numFmt w:val="bullet"/>
      <w:lvlText w:val="•"/>
      <w:lvlJc w:val="left"/>
      <w:pPr>
        <w:ind w:left="1294" w:hanging="420"/>
      </w:pPr>
      <w:rPr>
        <w:rFonts w:hint="default"/>
      </w:rPr>
    </w:lvl>
    <w:lvl w:ilvl="2">
      <w:start w:val="0"/>
      <w:numFmt w:val="bullet"/>
      <w:lvlText w:val="•"/>
      <w:lvlJc w:val="left"/>
      <w:pPr>
        <w:ind w:left="2028" w:hanging="420"/>
      </w:pPr>
      <w:rPr>
        <w:rFonts w:hint="default"/>
      </w:rPr>
    </w:lvl>
    <w:lvl w:ilvl="3">
      <w:start w:val="0"/>
      <w:numFmt w:val="bullet"/>
      <w:lvlText w:val="•"/>
      <w:lvlJc w:val="left"/>
      <w:pPr>
        <w:ind w:left="2762" w:hanging="420"/>
      </w:pPr>
      <w:rPr>
        <w:rFonts w:hint="default"/>
      </w:rPr>
    </w:lvl>
    <w:lvl w:ilvl="4">
      <w:start w:val="0"/>
      <w:numFmt w:val="bullet"/>
      <w:lvlText w:val="•"/>
      <w:lvlJc w:val="left"/>
      <w:pPr>
        <w:ind w:left="3497" w:hanging="420"/>
      </w:pPr>
      <w:rPr>
        <w:rFonts w:hint="default"/>
      </w:rPr>
    </w:lvl>
    <w:lvl w:ilvl="5">
      <w:start w:val="0"/>
      <w:numFmt w:val="bullet"/>
      <w:lvlText w:val="•"/>
      <w:lvlJc w:val="left"/>
      <w:pPr>
        <w:ind w:left="4231" w:hanging="420"/>
      </w:pPr>
      <w:rPr>
        <w:rFonts w:hint="default"/>
      </w:rPr>
    </w:lvl>
    <w:lvl w:ilvl="6">
      <w:start w:val="0"/>
      <w:numFmt w:val="bullet"/>
      <w:lvlText w:val="•"/>
      <w:lvlJc w:val="left"/>
      <w:pPr>
        <w:ind w:left="4965" w:hanging="420"/>
      </w:pPr>
      <w:rPr>
        <w:rFonts w:hint="default"/>
      </w:rPr>
    </w:lvl>
    <w:lvl w:ilvl="7">
      <w:start w:val="0"/>
      <w:numFmt w:val="bullet"/>
      <w:lvlText w:val="•"/>
      <w:lvlJc w:val="left"/>
      <w:pPr>
        <w:ind w:left="5700" w:hanging="420"/>
      </w:pPr>
      <w:rPr>
        <w:rFonts w:hint="default"/>
      </w:rPr>
    </w:lvl>
    <w:lvl w:ilvl="8">
      <w:start w:val="0"/>
      <w:numFmt w:val="bullet"/>
      <w:lvlText w:val="•"/>
      <w:lvlJc w:val="left"/>
      <w:pPr>
        <w:ind w:left="6434" w:hanging="420"/>
      </w:pPr>
      <w:rPr>
        <w:rFonts w:hint="default"/>
      </w:rPr>
    </w:lvl>
  </w:abstractNum>
  <w:abstractNum w:abstractNumId="19">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18">
    <w:multiLevelType w:val="hybridMultilevel"/>
    <w:lvl w:ilvl="0">
      <w:start w:val="1"/>
      <w:numFmt w:val="decimal"/>
      <w:lvlText w:val="(%1)"/>
      <w:lvlJc w:val="left"/>
      <w:pPr>
        <w:ind w:left="505" w:hanging="363"/>
        <w:jc w:val="left"/>
      </w:pPr>
      <w:rPr>
        <w:rFonts w:hint="default" w:ascii="宋体" w:hAnsi="宋体" w:eastAsia="宋体" w:cs="宋体"/>
        <w:spacing w:val="-3"/>
        <w:w w:val="100"/>
        <w:sz w:val="18"/>
        <w:szCs w:val="18"/>
      </w:rPr>
    </w:lvl>
    <w:lvl w:ilvl="1">
      <w:start w:val="0"/>
      <w:numFmt w:val="bullet"/>
      <w:lvlText w:val="•"/>
      <w:lvlJc w:val="left"/>
      <w:pPr>
        <w:ind w:left="1245" w:hanging="363"/>
      </w:pPr>
      <w:rPr>
        <w:rFonts w:hint="default"/>
      </w:rPr>
    </w:lvl>
    <w:lvl w:ilvl="2">
      <w:start w:val="0"/>
      <w:numFmt w:val="bullet"/>
      <w:lvlText w:val="•"/>
      <w:lvlJc w:val="left"/>
      <w:pPr>
        <w:ind w:left="1991" w:hanging="363"/>
      </w:pPr>
      <w:rPr>
        <w:rFonts w:hint="default"/>
      </w:rPr>
    </w:lvl>
    <w:lvl w:ilvl="3">
      <w:start w:val="0"/>
      <w:numFmt w:val="bullet"/>
      <w:lvlText w:val="•"/>
      <w:lvlJc w:val="left"/>
      <w:pPr>
        <w:ind w:left="2737" w:hanging="363"/>
      </w:pPr>
      <w:rPr>
        <w:rFonts w:hint="default"/>
      </w:rPr>
    </w:lvl>
    <w:lvl w:ilvl="4">
      <w:start w:val="0"/>
      <w:numFmt w:val="bullet"/>
      <w:lvlText w:val="•"/>
      <w:lvlJc w:val="left"/>
      <w:pPr>
        <w:ind w:left="3483" w:hanging="363"/>
      </w:pPr>
      <w:rPr>
        <w:rFonts w:hint="default"/>
      </w:rPr>
    </w:lvl>
    <w:lvl w:ilvl="5">
      <w:start w:val="0"/>
      <w:numFmt w:val="bullet"/>
      <w:lvlText w:val="•"/>
      <w:lvlJc w:val="left"/>
      <w:pPr>
        <w:ind w:left="4229" w:hanging="363"/>
      </w:pPr>
      <w:rPr>
        <w:rFonts w:hint="default"/>
      </w:rPr>
    </w:lvl>
    <w:lvl w:ilvl="6">
      <w:start w:val="0"/>
      <w:numFmt w:val="bullet"/>
      <w:lvlText w:val="•"/>
      <w:lvlJc w:val="left"/>
      <w:pPr>
        <w:ind w:left="4974" w:hanging="363"/>
      </w:pPr>
      <w:rPr>
        <w:rFonts w:hint="default"/>
      </w:rPr>
    </w:lvl>
    <w:lvl w:ilvl="7">
      <w:start w:val="0"/>
      <w:numFmt w:val="bullet"/>
      <w:lvlText w:val="•"/>
      <w:lvlJc w:val="left"/>
      <w:pPr>
        <w:ind w:left="5720" w:hanging="363"/>
      </w:pPr>
      <w:rPr>
        <w:rFonts w:hint="default"/>
      </w:rPr>
    </w:lvl>
    <w:lvl w:ilvl="8">
      <w:start w:val="0"/>
      <w:numFmt w:val="bullet"/>
      <w:lvlText w:val="•"/>
      <w:lvlJc w:val="left"/>
      <w:pPr>
        <w:ind w:left="6466" w:hanging="363"/>
      </w:pPr>
      <w:rPr>
        <w:rFonts w:hint="default"/>
      </w:rPr>
    </w:lvl>
  </w:abstractNum>
  <w:abstractNum w:abstractNumId="17">
    <w:multiLevelType w:val="hybridMultilevel"/>
    <w:lvl w:ilvl="0">
      <w:start w:val="1"/>
      <w:numFmt w:val="decimal"/>
      <w:lvlText w:val="(%1)"/>
      <w:lvlJc w:val="left"/>
      <w:pPr>
        <w:ind w:left="143" w:hanging="363"/>
        <w:jc w:val="left"/>
      </w:pPr>
      <w:rPr>
        <w:rFonts w:hint="default" w:ascii="宋体" w:hAnsi="宋体" w:eastAsia="宋体" w:cs="宋体"/>
        <w:spacing w:val="0"/>
        <w:w w:val="100"/>
        <w:sz w:val="18"/>
        <w:szCs w:val="18"/>
      </w:rPr>
    </w:lvl>
    <w:lvl w:ilvl="1">
      <w:start w:val="0"/>
      <w:numFmt w:val="bullet"/>
      <w:lvlText w:val="•"/>
      <w:lvlJc w:val="left"/>
      <w:pPr>
        <w:ind w:left="921" w:hanging="363"/>
      </w:pPr>
      <w:rPr>
        <w:rFonts w:hint="default"/>
      </w:rPr>
    </w:lvl>
    <w:lvl w:ilvl="2">
      <w:start w:val="0"/>
      <w:numFmt w:val="bullet"/>
      <w:lvlText w:val="•"/>
      <w:lvlJc w:val="left"/>
      <w:pPr>
        <w:ind w:left="1703" w:hanging="363"/>
      </w:pPr>
      <w:rPr>
        <w:rFonts w:hint="default"/>
      </w:rPr>
    </w:lvl>
    <w:lvl w:ilvl="3">
      <w:start w:val="0"/>
      <w:numFmt w:val="bullet"/>
      <w:lvlText w:val="•"/>
      <w:lvlJc w:val="left"/>
      <w:pPr>
        <w:ind w:left="2485" w:hanging="363"/>
      </w:pPr>
      <w:rPr>
        <w:rFonts w:hint="default"/>
      </w:rPr>
    </w:lvl>
    <w:lvl w:ilvl="4">
      <w:start w:val="0"/>
      <w:numFmt w:val="bullet"/>
      <w:lvlText w:val="•"/>
      <w:lvlJc w:val="left"/>
      <w:pPr>
        <w:ind w:left="3267" w:hanging="363"/>
      </w:pPr>
      <w:rPr>
        <w:rFonts w:hint="default"/>
      </w:rPr>
    </w:lvl>
    <w:lvl w:ilvl="5">
      <w:start w:val="0"/>
      <w:numFmt w:val="bullet"/>
      <w:lvlText w:val="•"/>
      <w:lvlJc w:val="left"/>
      <w:pPr>
        <w:ind w:left="4049" w:hanging="363"/>
      </w:pPr>
      <w:rPr>
        <w:rFonts w:hint="default"/>
      </w:rPr>
    </w:lvl>
    <w:lvl w:ilvl="6">
      <w:start w:val="0"/>
      <w:numFmt w:val="bullet"/>
      <w:lvlText w:val="•"/>
      <w:lvlJc w:val="left"/>
      <w:pPr>
        <w:ind w:left="4830" w:hanging="363"/>
      </w:pPr>
      <w:rPr>
        <w:rFonts w:hint="default"/>
      </w:rPr>
    </w:lvl>
    <w:lvl w:ilvl="7">
      <w:start w:val="0"/>
      <w:numFmt w:val="bullet"/>
      <w:lvlText w:val="•"/>
      <w:lvlJc w:val="left"/>
      <w:pPr>
        <w:ind w:left="5612" w:hanging="363"/>
      </w:pPr>
      <w:rPr>
        <w:rFonts w:hint="default"/>
      </w:rPr>
    </w:lvl>
    <w:lvl w:ilvl="8">
      <w:start w:val="0"/>
      <w:numFmt w:val="bullet"/>
      <w:lvlText w:val="•"/>
      <w:lvlJc w:val="left"/>
      <w:pPr>
        <w:ind w:left="6394" w:hanging="363"/>
      </w:pPr>
      <w:rPr>
        <w:rFonts w:hint="default"/>
      </w:rPr>
    </w:lvl>
  </w:abstractNum>
  <w:abstractNum w:abstractNumId="16">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81" w:hanging="396"/>
      </w:pPr>
      <w:rPr>
        <w:rFonts w:hint="default"/>
      </w:rPr>
    </w:lvl>
    <w:lvl w:ilvl="2">
      <w:start w:val="0"/>
      <w:numFmt w:val="bullet"/>
      <w:lvlText w:val="•"/>
      <w:lvlJc w:val="left"/>
      <w:pPr>
        <w:ind w:left="2023" w:hanging="396"/>
      </w:pPr>
      <w:rPr>
        <w:rFonts w:hint="default"/>
      </w:rPr>
    </w:lvl>
    <w:lvl w:ilvl="3">
      <w:start w:val="0"/>
      <w:numFmt w:val="bullet"/>
      <w:lvlText w:val="•"/>
      <w:lvlJc w:val="left"/>
      <w:pPr>
        <w:ind w:left="2765" w:hanging="396"/>
      </w:pPr>
      <w:rPr>
        <w:rFonts w:hint="default"/>
      </w:rPr>
    </w:lvl>
    <w:lvl w:ilvl="4">
      <w:start w:val="0"/>
      <w:numFmt w:val="bullet"/>
      <w:lvlText w:val="•"/>
      <w:lvlJc w:val="left"/>
      <w:pPr>
        <w:ind w:left="3507" w:hanging="396"/>
      </w:pPr>
      <w:rPr>
        <w:rFonts w:hint="default"/>
      </w:rPr>
    </w:lvl>
    <w:lvl w:ilvl="5">
      <w:start w:val="0"/>
      <w:numFmt w:val="bullet"/>
      <w:lvlText w:val="•"/>
      <w:lvlJc w:val="left"/>
      <w:pPr>
        <w:ind w:left="4249" w:hanging="396"/>
      </w:pPr>
      <w:rPr>
        <w:rFonts w:hint="default"/>
      </w:rPr>
    </w:lvl>
    <w:lvl w:ilvl="6">
      <w:start w:val="0"/>
      <w:numFmt w:val="bullet"/>
      <w:lvlText w:val="•"/>
      <w:lvlJc w:val="left"/>
      <w:pPr>
        <w:ind w:left="4990" w:hanging="396"/>
      </w:pPr>
      <w:rPr>
        <w:rFonts w:hint="default"/>
      </w:rPr>
    </w:lvl>
    <w:lvl w:ilvl="7">
      <w:start w:val="0"/>
      <w:numFmt w:val="bullet"/>
      <w:lvlText w:val="•"/>
      <w:lvlJc w:val="left"/>
      <w:pPr>
        <w:ind w:left="5732" w:hanging="396"/>
      </w:pPr>
      <w:rPr>
        <w:rFonts w:hint="default"/>
      </w:rPr>
    </w:lvl>
    <w:lvl w:ilvl="8">
      <w:start w:val="0"/>
      <w:numFmt w:val="bullet"/>
      <w:lvlText w:val="•"/>
      <w:lvlJc w:val="left"/>
      <w:pPr>
        <w:ind w:left="6474" w:hanging="396"/>
      </w:pPr>
      <w:rPr>
        <w:rFonts w:hint="default"/>
      </w:rPr>
    </w:lvl>
  </w:abstractNum>
  <w:abstractNum w:abstractNumId="15">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14">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13">
    <w:multiLevelType w:val="hybridMultilevel"/>
    <w:lvl w:ilvl="0">
      <w:start w:val="1"/>
      <w:numFmt w:val="decimal"/>
      <w:lvlText w:val="(%1)"/>
      <w:lvlJc w:val="left"/>
      <w:pPr>
        <w:ind w:left="143" w:hanging="396"/>
        <w:jc w:val="left"/>
      </w:pPr>
      <w:rPr>
        <w:rFonts w:hint="default" w:ascii="宋体" w:hAnsi="宋体" w:eastAsia="宋体" w:cs="宋体"/>
        <w:spacing w:val="0"/>
        <w:w w:val="100"/>
        <w:sz w:val="18"/>
        <w:szCs w:val="18"/>
      </w:rPr>
    </w:lvl>
    <w:lvl w:ilvl="1">
      <w:start w:val="0"/>
      <w:numFmt w:val="bullet"/>
      <w:lvlText w:val="•"/>
      <w:lvlJc w:val="left"/>
      <w:pPr>
        <w:ind w:left="916" w:hanging="396"/>
      </w:pPr>
      <w:rPr>
        <w:rFonts w:hint="default"/>
      </w:rPr>
    </w:lvl>
    <w:lvl w:ilvl="2">
      <w:start w:val="0"/>
      <w:numFmt w:val="bullet"/>
      <w:lvlText w:val="•"/>
      <w:lvlJc w:val="left"/>
      <w:pPr>
        <w:ind w:left="1692" w:hanging="396"/>
      </w:pPr>
      <w:rPr>
        <w:rFonts w:hint="default"/>
      </w:rPr>
    </w:lvl>
    <w:lvl w:ilvl="3">
      <w:start w:val="0"/>
      <w:numFmt w:val="bullet"/>
      <w:lvlText w:val="•"/>
      <w:lvlJc w:val="left"/>
      <w:pPr>
        <w:ind w:left="2468" w:hanging="396"/>
      </w:pPr>
      <w:rPr>
        <w:rFonts w:hint="default"/>
      </w:rPr>
    </w:lvl>
    <w:lvl w:ilvl="4">
      <w:start w:val="0"/>
      <w:numFmt w:val="bullet"/>
      <w:lvlText w:val="•"/>
      <w:lvlJc w:val="left"/>
      <w:pPr>
        <w:ind w:left="3245" w:hanging="396"/>
      </w:pPr>
      <w:rPr>
        <w:rFonts w:hint="default"/>
      </w:rPr>
    </w:lvl>
    <w:lvl w:ilvl="5">
      <w:start w:val="0"/>
      <w:numFmt w:val="bullet"/>
      <w:lvlText w:val="•"/>
      <w:lvlJc w:val="left"/>
      <w:pPr>
        <w:ind w:left="4021" w:hanging="396"/>
      </w:pPr>
      <w:rPr>
        <w:rFonts w:hint="default"/>
      </w:rPr>
    </w:lvl>
    <w:lvl w:ilvl="6">
      <w:start w:val="0"/>
      <w:numFmt w:val="bullet"/>
      <w:lvlText w:val="•"/>
      <w:lvlJc w:val="left"/>
      <w:pPr>
        <w:ind w:left="4797" w:hanging="396"/>
      </w:pPr>
      <w:rPr>
        <w:rFonts w:hint="default"/>
      </w:rPr>
    </w:lvl>
    <w:lvl w:ilvl="7">
      <w:start w:val="0"/>
      <w:numFmt w:val="bullet"/>
      <w:lvlText w:val="•"/>
      <w:lvlJc w:val="left"/>
      <w:pPr>
        <w:ind w:left="5574" w:hanging="396"/>
      </w:pPr>
      <w:rPr>
        <w:rFonts w:hint="default"/>
      </w:rPr>
    </w:lvl>
    <w:lvl w:ilvl="8">
      <w:start w:val="0"/>
      <w:numFmt w:val="bullet"/>
      <w:lvlText w:val="•"/>
      <w:lvlJc w:val="left"/>
      <w:pPr>
        <w:ind w:left="6350" w:hanging="396"/>
      </w:pPr>
      <w:rPr>
        <w:rFonts w:hint="default"/>
      </w:rPr>
    </w:lvl>
  </w:abstractNum>
  <w:abstractNum w:abstractNumId="12">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11">
    <w:multiLevelType w:val="hybridMultilevel"/>
    <w:lvl w:ilvl="0">
      <w:start w:val="3"/>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76" w:hanging="396"/>
      </w:pPr>
      <w:rPr>
        <w:rFonts w:hint="default"/>
      </w:rPr>
    </w:lvl>
    <w:lvl w:ilvl="2">
      <w:start w:val="0"/>
      <w:numFmt w:val="bullet"/>
      <w:lvlText w:val="•"/>
      <w:lvlJc w:val="left"/>
      <w:pPr>
        <w:ind w:left="2012" w:hanging="396"/>
      </w:pPr>
      <w:rPr>
        <w:rFonts w:hint="default"/>
      </w:rPr>
    </w:lvl>
    <w:lvl w:ilvl="3">
      <w:start w:val="0"/>
      <w:numFmt w:val="bullet"/>
      <w:lvlText w:val="•"/>
      <w:lvlJc w:val="left"/>
      <w:pPr>
        <w:ind w:left="2748" w:hanging="396"/>
      </w:pPr>
      <w:rPr>
        <w:rFonts w:hint="default"/>
      </w:rPr>
    </w:lvl>
    <w:lvl w:ilvl="4">
      <w:start w:val="0"/>
      <w:numFmt w:val="bullet"/>
      <w:lvlText w:val="•"/>
      <w:lvlJc w:val="left"/>
      <w:pPr>
        <w:ind w:left="3485" w:hanging="396"/>
      </w:pPr>
      <w:rPr>
        <w:rFonts w:hint="default"/>
      </w:rPr>
    </w:lvl>
    <w:lvl w:ilvl="5">
      <w:start w:val="0"/>
      <w:numFmt w:val="bullet"/>
      <w:lvlText w:val="•"/>
      <w:lvlJc w:val="left"/>
      <w:pPr>
        <w:ind w:left="4221" w:hanging="396"/>
      </w:pPr>
      <w:rPr>
        <w:rFonts w:hint="default"/>
      </w:rPr>
    </w:lvl>
    <w:lvl w:ilvl="6">
      <w:start w:val="0"/>
      <w:numFmt w:val="bullet"/>
      <w:lvlText w:val="•"/>
      <w:lvlJc w:val="left"/>
      <w:pPr>
        <w:ind w:left="4957" w:hanging="396"/>
      </w:pPr>
      <w:rPr>
        <w:rFonts w:hint="default"/>
      </w:rPr>
    </w:lvl>
    <w:lvl w:ilvl="7">
      <w:start w:val="0"/>
      <w:numFmt w:val="bullet"/>
      <w:lvlText w:val="•"/>
      <w:lvlJc w:val="left"/>
      <w:pPr>
        <w:ind w:left="5694" w:hanging="396"/>
      </w:pPr>
      <w:rPr>
        <w:rFonts w:hint="default"/>
      </w:rPr>
    </w:lvl>
    <w:lvl w:ilvl="8">
      <w:start w:val="0"/>
      <w:numFmt w:val="bullet"/>
      <w:lvlText w:val="•"/>
      <w:lvlJc w:val="left"/>
      <w:pPr>
        <w:ind w:left="6430" w:hanging="396"/>
      </w:pPr>
      <w:rPr>
        <w:rFonts w:hint="default"/>
      </w:rPr>
    </w:lvl>
  </w:abstractNum>
  <w:abstractNum w:abstractNumId="10">
    <w:multiLevelType w:val="hybridMultilevel"/>
    <w:lvl w:ilvl="0">
      <w:start w:val="1"/>
      <w:numFmt w:val="decimal"/>
      <w:lvlText w:val="(%1)"/>
      <w:lvlJc w:val="left"/>
      <w:pPr>
        <w:ind w:left="539" w:hanging="396"/>
        <w:jc w:val="left"/>
      </w:pPr>
      <w:rPr>
        <w:rFonts w:hint="default" w:ascii="宋体" w:hAnsi="宋体" w:eastAsia="宋体" w:cs="宋体"/>
        <w:spacing w:val="0"/>
        <w:w w:val="100"/>
        <w:sz w:val="18"/>
        <w:szCs w:val="18"/>
      </w:rPr>
    </w:lvl>
    <w:lvl w:ilvl="1">
      <w:start w:val="0"/>
      <w:numFmt w:val="bullet"/>
      <w:lvlText w:val="•"/>
      <w:lvlJc w:val="left"/>
      <w:pPr>
        <w:ind w:left="1281" w:hanging="396"/>
      </w:pPr>
      <w:rPr>
        <w:rFonts w:hint="default"/>
      </w:rPr>
    </w:lvl>
    <w:lvl w:ilvl="2">
      <w:start w:val="0"/>
      <w:numFmt w:val="bullet"/>
      <w:lvlText w:val="•"/>
      <w:lvlJc w:val="left"/>
      <w:pPr>
        <w:ind w:left="2023" w:hanging="396"/>
      </w:pPr>
      <w:rPr>
        <w:rFonts w:hint="default"/>
      </w:rPr>
    </w:lvl>
    <w:lvl w:ilvl="3">
      <w:start w:val="0"/>
      <w:numFmt w:val="bullet"/>
      <w:lvlText w:val="•"/>
      <w:lvlJc w:val="left"/>
      <w:pPr>
        <w:ind w:left="2765" w:hanging="396"/>
      </w:pPr>
      <w:rPr>
        <w:rFonts w:hint="default"/>
      </w:rPr>
    </w:lvl>
    <w:lvl w:ilvl="4">
      <w:start w:val="0"/>
      <w:numFmt w:val="bullet"/>
      <w:lvlText w:val="•"/>
      <w:lvlJc w:val="left"/>
      <w:pPr>
        <w:ind w:left="3507" w:hanging="396"/>
      </w:pPr>
      <w:rPr>
        <w:rFonts w:hint="default"/>
      </w:rPr>
    </w:lvl>
    <w:lvl w:ilvl="5">
      <w:start w:val="0"/>
      <w:numFmt w:val="bullet"/>
      <w:lvlText w:val="•"/>
      <w:lvlJc w:val="left"/>
      <w:pPr>
        <w:ind w:left="4249" w:hanging="396"/>
      </w:pPr>
      <w:rPr>
        <w:rFonts w:hint="default"/>
      </w:rPr>
    </w:lvl>
    <w:lvl w:ilvl="6">
      <w:start w:val="0"/>
      <w:numFmt w:val="bullet"/>
      <w:lvlText w:val="•"/>
      <w:lvlJc w:val="left"/>
      <w:pPr>
        <w:ind w:left="4991" w:hanging="396"/>
      </w:pPr>
      <w:rPr>
        <w:rFonts w:hint="default"/>
      </w:rPr>
    </w:lvl>
    <w:lvl w:ilvl="7">
      <w:start w:val="0"/>
      <w:numFmt w:val="bullet"/>
      <w:lvlText w:val="•"/>
      <w:lvlJc w:val="left"/>
      <w:pPr>
        <w:ind w:left="5733" w:hanging="396"/>
      </w:pPr>
      <w:rPr>
        <w:rFonts w:hint="default"/>
      </w:rPr>
    </w:lvl>
    <w:lvl w:ilvl="8">
      <w:start w:val="0"/>
      <w:numFmt w:val="bullet"/>
      <w:lvlText w:val="•"/>
      <w:lvlJc w:val="left"/>
      <w:pPr>
        <w:ind w:left="6475" w:hanging="396"/>
      </w:pPr>
      <w:rPr>
        <w:rFonts w:hint="default"/>
      </w:rPr>
    </w:lvl>
  </w:abstractNum>
  <w:abstractNum w:abstractNumId="9">
    <w:multiLevelType w:val="hybridMultilevel"/>
    <w:lvl w:ilvl="0">
      <w:start w:val="1"/>
      <w:numFmt w:val="decimal"/>
      <w:lvlText w:val="(%1)"/>
      <w:lvlJc w:val="left"/>
      <w:pPr>
        <w:ind w:left="505" w:hanging="363"/>
        <w:jc w:val="left"/>
      </w:pPr>
      <w:rPr>
        <w:rFonts w:hint="default" w:ascii="宋体" w:hAnsi="宋体" w:eastAsia="宋体" w:cs="宋体"/>
        <w:spacing w:val="-92"/>
        <w:w w:val="100"/>
        <w:sz w:val="18"/>
        <w:szCs w:val="18"/>
      </w:rPr>
    </w:lvl>
    <w:lvl w:ilvl="1">
      <w:start w:val="0"/>
      <w:numFmt w:val="bullet"/>
      <w:lvlText w:val="•"/>
      <w:lvlJc w:val="left"/>
      <w:pPr>
        <w:ind w:left="1245" w:hanging="363"/>
      </w:pPr>
      <w:rPr>
        <w:rFonts w:hint="default"/>
      </w:rPr>
    </w:lvl>
    <w:lvl w:ilvl="2">
      <w:start w:val="0"/>
      <w:numFmt w:val="bullet"/>
      <w:lvlText w:val="•"/>
      <w:lvlJc w:val="left"/>
      <w:pPr>
        <w:ind w:left="1991" w:hanging="363"/>
      </w:pPr>
      <w:rPr>
        <w:rFonts w:hint="default"/>
      </w:rPr>
    </w:lvl>
    <w:lvl w:ilvl="3">
      <w:start w:val="0"/>
      <w:numFmt w:val="bullet"/>
      <w:lvlText w:val="•"/>
      <w:lvlJc w:val="left"/>
      <w:pPr>
        <w:ind w:left="2737" w:hanging="363"/>
      </w:pPr>
      <w:rPr>
        <w:rFonts w:hint="default"/>
      </w:rPr>
    </w:lvl>
    <w:lvl w:ilvl="4">
      <w:start w:val="0"/>
      <w:numFmt w:val="bullet"/>
      <w:lvlText w:val="•"/>
      <w:lvlJc w:val="left"/>
      <w:pPr>
        <w:ind w:left="3483" w:hanging="363"/>
      </w:pPr>
      <w:rPr>
        <w:rFonts w:hint="default"/>
      </w:rPr>
    </w:lvl>
    <w:lvl w:ilvl="5">
      <w:start w:val="0"/>
      <w:numFmt w:val="bullet"/>
      <w:lvlText w:val="•"/>
      <w:lvlJc w:val="left"/>
      <w:pPr>
        <w:ind w:left="4229" w:hanging="363"/>
      </w:pPr>
      <w:rPr>
        <w:rFonts w:hint="default"/>
      </w:rPr>
    </w:lvl>
    <w:lvl w:ilvl="6">
      <w:start w:val="0"/>
      <w:numFmt w:val="bullet"/>
      <w:lvlText w:val="•"/>
      <w:lvlJc w:val="left"/>
      <w:pPr>
        <w:ind w:left="4975" w:hanging="363"/>
      </w:pPr>
      <w:rPr>
        <w:rFonts w:hint="default"/>
      </w:rPr>
    </w:lvl>
    <w:lvl w:ilvl="7">
      <w:start w:val="0"/>
      <w:numFmt w:val="bullet"/>
      <w:lvlText w:val="•"/>
      <w:lvlJc w:val="left"/>
      <w:pPr>
        <w:ind w:left="5721" w:hanging="363"/>
      </w:pPr>
      <w:rPr>
        <w:rFonts w:hint="default"/>
      </w:rPr>
    </w:lvl>
    <w:lvl w:ilvl="8">
      <w:start w:val="0"/>
      <w:numFmt w:val="bullet"/>
      <w:lvlText w:val="•"/>
      <w:lvlJc w:val="left"/>
      <w:pPr>
        <w:ind w:left="6467" w:hanging="363"/>
      </w:pPr>
      <w:rPr>
        <w:rFonts w:hint="default"/>
      </w:rPr>
    </w:lvl>
  </w:abstractNum>
  <w:abstractNum w:abstractNumId="8">
    <w:multiLevelType w:val="hybridMultilevel"/>
    <w:lvl w:ilvl="0">
      <w:start w:val="1"/>
      <w:numFmt w:val="decimal"/>
      <w:lvlText w:val="(%1)"/>
      <w:lvlJc w:val="left"/>
      <w:pPr>
        <w:ind w:left="505" w:hanging="363"/>
        <w:jc w:val="left"/>
      </w:pPr>
      <w:rPr>
        <w:rFonts w:hint="default" w:ascii="宋体" w:hAnsi="宋体" w:eastAsia="宋体" w:cs="宋体"/>
        <w:spacing w:val="-3"/>
        <w:w w:val="100"/>
        <w:sz w:val="18"/>
        <w:szCs w:val="18"/>
      </w:rPr>
    </w:lvl>
    <w:lvl w:ilvl="1">
      <w:start w:val="0"/>
      <w:numFmt w:val="bullet"/>
      <w:lvlText w:val="•"/>
      <w:lvlJc w:val="left"/>
      <w:pPr>
        <w:ind w:left="1245" w:hanging="363"/>
      </w:pPr>
      <w:rPr>
        <w:rFonts w:hint="default"/>
      </w:rPr>
    </w:lvl>
    <w:lvl w:ilvl="2">
      <w:start w:val="0"/>
      <w:numFmt w:val="bullet"/>
      <w:lvlText w:val="•"/>
      <w:lvlJc w:val="left"/>
      <w:pPr>
        <w:ind w:left="1991" w:hanging="363"/>
      </w:pPr>
      <w:rPr>
        <w:rFonts w:hint="default"/>
      </w:rPr>
    </w:lvl>
    <w:lvl w:ilvl="3">
      <w:start w:val="0"/>
      <w:numFmt w:val="bullet"/>
      <w:lvlText w:val="•"/>
      <w:lvlJc w:val="left"/>
      <w:pPr>
        <w:ind w:left="2737" w:hanging="363"/>
      </w:pPr>
      <w:rPr>
        <w:rFonts w:hint="default"/>
      </w:rPr>
    </w:lvl>
    <w:lvl w:ilvl="4">
      <w:start w:val="0"/>
      <w:numFmt w:val="bullet"/>
      <w:lvlText w:val="•"/>
      <w:lvlJc w:val="left"/>
      <w:pPr>
        <w:ind w:left="3483" w:hanging="363"/>
      </w:pPr>
      <w:rPr>
        <w:rFonts w:hint="default"/>
      </w:rPr>
    </w:lvl>
    <w:lvl w:ilvl="5">
      <w:start w:val="0"/>
      <w:numFmt w:val="bullet"/>
      <w:lvlText w:val="•"/>
      <w:lvlJc w:val="left"/>
      <w:pPr>
        <w:ind w:left="4229" w:hanging="363"/>
      </w:pPr>
      <w:rPr>
        <w:rFonts w:hint="default"/>
      </w:rPr>
    </w:lvl>
    <w:lvl w:ilvl="6">
      <w:start w:val="0"/>
      <w:numFmt w:val="bullet"/>
      <w:lvlText w:val="•"/>
      <w:lvlJc w:val="left"/>
      <w:pPr>
        <w:ind w:left="4975" w:hanging="363"/>
      </w:pPr>
      <w:rPr>
        <w:rFonts w:hint="default"/>
      </w:rPr>
    </w:lvl>
    <w:lvl w:ilvl="7">
      <w:start w:val="0"/>
      <w:numFmt w:val="bullet"/>
      <w:lvlText w:val="•"/>
      <w:lvlJc w:val="left"/>
      <w:pPr>
        <w:ind w:left="5721" w:hanging="363"/>
      </w:pPr>
      <w:rPr>
        <w:rFonts w:hint="default"/>
      </w:rPr>
    </w:lvl>
    <w:lvl w:ilvl="8">
      <w:start w:val="0"/>
      <w:numFmt w:val="bullet"/>
      <w:lvlText w:val="•"/>
      <w:lvlJc w:val="left"/>
      <w:pPr>
        <w:ind w:left="6467" w:hanging="363"/>
      </w:pPr>
      <w:rPr>
        <w:rFonts w:hint="default"/>
      </w:rPr>
    </w:lvl>
  </w:abstractNum>
  <w:abstractNum w:abstractNumId="7">
    <w:multiLevelType w:val="hybridMultilevel"/>
    <w:lvl w:ilvl="0">
      <w:start w:val="1"/>
      <w:numFmt w:val="decimal"/>
      <w:lvlText w:val="(%1)"/>
      <w:lvlJc w:val="left"/>
      <w:pPr>
        <w:ind w:left="563" w:hanging="420"/>
        <w:jc w:val="left"/>
      </w:pPr>
      <w:rPr>
        <w:rFonts w:hint="default" w:ascii="宋体" w:hAnsi="宋体" w:eastAsia="宋体" w:cs="宋体"/>
        <w:spacing w:val="-33"/>
        <w:w w:val="100"/>
        <w:sz w:val="18"/>
        <w:szCs w:val="18"/>
      </w:rPr>
    </w:lvl>
    <w:lvl w:ilvl="1">
      <w:start w:val="0"/>
      <w:numFmt w:val="bullet"/>
      <w:lvlText w:val="•"/>
      <w:lvlJc w:val="left"/>
      <w:pPr>
        <w:ind w:left="1299" w:hanging="420"/>
      </w:pPr>
      <w:rPr>
        <w:rFonts w:hint="default"/>
      </w:rPr>
    </w:lvl>
    <w:lvl w:ilvl="2">
      <w:start w:val="0"/>
      <w:numFmt w:val="bullet"/>
      <w:lvlText w:val="•"/>
      <w:lvlJc w:val="left"/>
      <w:pPr>
        <w:ind w:left="2039" w:hanging="420"/>
      </w:pPr>
      <w:rPr>
        <w:rFonts w:hint="default"/>
      </w:rPr>
    </w:lvl>
    <w:lvl w:ilvl="3">
      <w:start w:val="0"/>
      <w:numFmt w:val="bullet"/>
      <w:lvlText w:val="•"/>
      <w:lvlJc w:val="left"/>
      <w:pPr>
        <w:ind w:left="2779" w:hanging="420"/>
      </w:pPr>
      <w:rPr>
        <w:rFonts w:hint="default"/>
      </w:rPr>
    </w:lvl>
    <w:lvl w:ilvl="4">
      <w:start w:val="0"/>
      <w:numFmt w:val="bullet"/>
      <w:lvlText w:val="•"/>
      <w:lvlJc w:val="left"/>
      <w:pPr>
        <w:ind w:left="3519" w:hanging="420"/>
      </w:pPr>
      <w:rPr>
        <w:rFonts w:hint="default"/>
      </w:rPr>
    </w:lvl>
    <w:lvl w:ilvl="5">
      <w:start w:val="0"/>
      <w:numFmt w:val="bullet"/>
      <w:lvlText w:val="•"/>
      <w:lvlJc w:val="left"/>
      <w:pPr>
        <w:ind w:left="4259" w:hanging="420"/>
      </w:pPr>
      <w:rPr>
        <w:rFonts w:hint="default"/>
      </w:rPr>
    </w:lvl>
    <w:lvl w:ilvl="6">
      <w:start w:val="0"/>
      <w:numFmt w:val="bullet"/>
      <w:lvlText w:val="•"/>
      <w:lvlJc w:val="left"/>
      <w:pPr>
        <w:ind w:left="4999" w:hanging="420"/>
      </w:pPr>
      <w:rPr>
        <w:rFonts w:hint="default"/>
      </w:rPr>
    </w:lvl>
    <w:lvl w:ilvl="7">
      <w:start w:val="0"/>
      <w:numFmt w:val="bullet"/>
      <w:lvlText w:val="•"/>
      <w:lvlJc w:val="left"/>
      <w:pPr>
        <w:ind w:left="5739" w:hanging="420"/>
      </w:pPr>
      <w:rPr>
        <w:rFonts w:hint="default"/>
      </w:rPr>
    </w:lvl>
    <w:lvl w:ilvl="8">
      <w:start w:val="0"/>
      <w:numFmt w:val="bullet"/>
      <w:lvlText w:val="•"/>
      <w:lvlJc w:val="left"/>
      <w:pPr>
        <w:ind w:left="6479" w:hanging="420"/>
      </w:pPr>
      <w:rPr>
        <w:rFonts w:hint="default"/>
      </w:rPr>
    </w:lvl>
  </w:abstractNum>
  <w:abstractNum w:abstractNumId="6">
    <w:multiLevelType w:val="hybridMultilevel"/>
    <w:lvl w:ilvl="0">
      <w:start w:val="1"/>
      <w:numFmt w:val="decimal"/>
      <w:lvlText w:val="(%1)"/>
      <w:lvlJc w:val="left"/>
      <w:pPr>
        <w:ind w:left="477" w:hanging="370"/>
        <w:jc w:val="left"/>
      </w:pPr>
      <w:rPr>
        <w:rFonts w:hint="default" w:ascii="宋体" w:hAnsi="宋体" w:eastAsia="宋体" w:cs="宋体"/>
        <w:spacing w:val="0"/>
        <w:w w:val="100"/>
        <w:sz w:val="18"/>
        <w:szCs w:val="18"/>
      </w:rPr>
    </w:lvl>
    <w:lvl w:ilvl="1">
      <w:start w:val="0"/>
      <w:numFmt w:val="bullet"/>
      <w:lvlText w:val="•"/>
      <w:lvlJc w:val="left"/>
      <w:pPr>
        <w:ind w:left="1160" w:hanging="370"/>
      </w:pPr>
      <w:rPr>
        <w:rFonts w:hint="default"/>
      </w:rPr>
    </w:lvl>
    <w:lvl w:ilvl="2">
      <w:start w:val="0"/>
      <w:numFmt w:val="bullet"/>
      <w:lvlText w:val="•"/>
      <w:lvlJc w:val="left"/>
      <w:pPr>
        <w:ind w:left="1841" w:hanging="370"/>
      </w:pPr>
      <w:rPr>
        <w:rFonts w:hint="default"/>
      </w:rPr>
    </w:lvl>
    <w:lvl w:ilvl="3">
      <w:start w:val="0"/>
      <w:numFmt w:val="bullet"/>
      <w:lvlText w:val="•"/>
      <w:lvlJc w:val="left"/>
      <w:pPr>
        <w:ind w:left="2522" w:hanging="370"/>
      </w:pPr>
      <w:rPr>
        <w:rFonts w:hint="default"/>
      </w:rPr>
    </w:lvl>
    <w:lvl w:ilvl="4">
      <w:start w:val="0"/>
      <w:numFmt w:val="bullet"/>
      <w:lvlText w:val="•"/>
      <w:lvlJc w:val="left"/>
      <w:pPr>
        <w:ind w:left="3203" w:hanging="370"/>
      </w:pPr>
      <w:rPr>
        <w:rFonts w:hint="default"/>
      </w:rPr>
    </w:lvl>
    <w:lvl w:ilvl="5">
      <w:start w:val="0"/>
      <w:numFmt w:val="bullet"/>
      <w:lvlText w:val="•"/>
      <w:lvlJc w:val="left"/>
      <w:pPr>
        <w:ind w:left="3884" w:hanging="370"/>
      </w:pPr>
      <w:rPr>
        <w:rFonts w:hint="default"/>
      </w:rPr>
    </w:lvl>
    <w:lvl w:ilvl="6">
      <w:start w:val="0"/>
      <w:numFmt w:val="bullet"/>
      <w:lvlText w:val="•"/>
      <w:lvlJc w:val="left"/>
      <w:pPr>
        <w:ind w:left="4564" w:hanging="370"/>
      </w:pPr>
      <w:rPr>
        <w:rFonts w:hint="default"/>
      </w:rPr>
    </w:lvl>
    <w:lvl w:ilvl="7">
      <w:start w:val="0"/>
      <w:numFmt w:val="bullet"/>
      <w:lvlText w:val="•"/>
      <w:lvlJc w:val="left"/>
      <w:pPr>
        <w:ind w:left="5245" w:hanging="370"/>
      </w:pPr>
      <w:rPr>
        <w:rFonts w:hint="default"/>
      </w:rPr>
    </w:lvl>
    <w:lvl w:ilvl="8">
      <w:start w:val="0"/>
      <w:numFmt w:val="bullet"/>
      <w:lvlText w:val="•"/>
      <w:lvlJc w:val="left"/>
      <w:pPr>
        <w:ind w:left="5926" w:hanging="370"/>
      </w:pPr>
      <w:rPr>
        <w:rFonts w:hint="default"/>
      </w:rPr>
    </w:lvl>
  </w:abstractNum>
  <w:abstractNum w:abstractNumId="5">
    <w:multiLevelType w:val="hybridMultilevel"/>
    <w:lvl w:ilvl="0">
      <w:start w:val="1"/>
      <w:numFmt w:val="decimal"/>
      <w:lvlText w:val="(%1)"/>
      <w:lvlJc w:val="left"/>
      <w:pPr>
        <w:ind w:left="477" w:hanging="370"/>
        <w:jc w:val="left"/>
      </w:pPr>
      <w:rPr>
        <w:rFonts w:hint="default" w:ascii="宋体" w:hAnsi="宋体" w:eastAsia="宋体" w:cs="宋体"/>
        <w:spacing w:val="0"/>
        <w:w w:val="100"/>
        <w:sz w:val="18"/>
        <w:szCs w:val="18"/>
      </w:rPr>
    </w:lvl>
    <w:lvl w:ilvl="1">
      <w:start w:val="0"/>
      <w:numFmt w:val="bullet"/>
      <w:lvlText w:val="•"/>
      <w:lvlJc w:val="left"/>
      <w:pPr>
        <w:ind w:left="1160" w:hanging="370"/>
      </w:pPr>
      <w:rPr>
        <w:rFonts w:hint="default"/>
      </w:rPr>
    </w:lvl>
    <w:lvl w:ilvl="2">
      <w:start w:val="0"/>
      <w:numFmt w:val="bullet"/>
      <w:lvlText w:val="•"/>
      <w:lvlJc w:val="left"/>
      <w:pPr>
        <w:ind w:left="1841" w:hanging="370"/>
      </w:pPr>
      <w:rPr>
        <w:rFonts w:hint="default"/>
      </w:rPr>
    </w:lvl>
    <w:lvl w:ilvl="3">
      <w:start w:val="0"/>
      <w:numFmt w:val="bullet"/>
      <w:lvlText w:val="•"/>
      <w:lvlJc w:val="left"/>
      <w:pPr>
        <w:ind w:left="2522" w:hanging="370"/>
      </w:pPr>
      <w:rPr>
        <w:rFonts w:hint="default"/>
      </w:rPr>
    </w:lvl>
    <w:lvl w:ilvl="4">
      <w:start w:val="0"/>
      <w:numFmt w:val="bullet"/>
      <w:lvlText w:val="•"/>
      <w:lvlJc w:val="left"/>
      <w:pPr>
        <w:ind w:left="3203" w:hanging="370"/>
      </w:pPr>
      <w:rPr>
        <w:rFonts w:hint="default"/>
      </w:rPr>
    </w:lvl>
    <w:lvl w:ilvl="5">
      <w:start w:val="0"/>
      <w:numFmt w:val="bullet"/>
      <w:lvlText w:val="•"/>
      <w:lvlJc w:val="left"/>
      <w:pPr>
        <w:ind w:left="3884" w:hanging="370"/>
      </w:pPr>
      <w:rPr>
        <w:rFonts w:hint="default"/>
      </w:rPr>
    </w:lvl>
    <w:lvl w:ilvl="6">
      <w:start w:val="0"/>
      <w:numFmt w:val="bullet"/>
      <w:lvlText w:val="•"/>
      <w:lvlJc w:val="left"/>
      <w:pPr>
        <w:ind w:left="4564" w:hanging="370"/>
      </w:pPr>
      <w:rPr>
        <w:rFonts w:hint="default"/>
      </w:rPr>
    </w:lvl>
    <w:lvl w:ilvl="7">
      <w:start w:val="0"/>
      <w:numFmt w:val="bullet"/>
      <w:lvlText w:val="•"/>
      <w:lvlJc w:val="left"/>
      <w:pPr>
        <w:ind w:left="5245" w:hanging="370"/>
      </w:pPr>
      <w:rPr>
        <w:rFonts w:hint="default"/>
      </w:rPr>
    </w:lvl>
    <w:lvl w:ilvl="8">
      <w:start w:val="0"/>
      <w:numFmt w:val="bullet"/>
      <w:lvlText w:val="•"/>
      <w:lvlJc w:val="left"/>
      <w:pPr>
        <w:ind w:left="5926" w:hanging="370"/>
      </w:pPr>
      <w:rPr>
        <w:rFonts w:hint="default"/>
      </w:rPr>
    </w:lvl>
  </w:abstractNum>
  <w:abstractNum w:abstractNumId="4">
    <w:multiLevelType w:val="hybridMultilevel"/>
    <w:lvl w:ilvl="0">
      <w:start w:val="1"/>
      <w:numFmt w:val="decimal"/>
      <w:lvlText w:val="(%1)"/>
      <w:lvlJc w:val="left"/>
      <w:pPr>
        <w:ind w:left="589" w:hanging="413"/>
        <w:jc w:val="left"/>
      </w:pPr>
      <w:rPr>
        <w:rFonts w:hint="default" w:ascii="宋体" w:hAnsi="宋体" w:eastAsia="宋体" w:cs="宋体"/>
        <w:spacing w:val="-40"/>
        <w:w w:val="100"/>
        <w:sz w:val="18"/>
        <w:szCs w:val="18"/>
      </w:rPr>
    </w:lvl>
    <w:lvl w:ilvl="1">
      <w:start w:val="0"/>
      <w:numFmt w:val="bullet"/>
      <w:lvlText w:val="•"/>
      <w:lvlJc w:val="left"/>
      <w:pPr>
        <w:ind w:left="1273" w:hanging="413"/>
      </w:pPr>
      <w:rPr>
        <w:rFonts w:hint="default"/>
      </w:rPr>
    </w:lvl>
    <w:lvl w:ilvl="2">
      <w:start w:val="0"/>
      <w:numFmt w:val="bullet"/>
      <w:lvlText w:val="•"/>
      <w:lvlJc w:val="left"/>
      <w:pPr>
        <w:ind w:left="1967" w:hanging="413"/>
      </w:pPr>
      <w:rPr>
        <w:rFonts w:hint="default"/>
      </w:rPr>
    </w:lvl>
    <w:lvl w:ilvl="3">
      <w:start w:val="0"/>
      <w:numFmt w:val="bullet"/>
      <w:lvlText w:val="•"/>
      <w:lvlJc w:val="left"/>
      <w:pPr>
        <w:ind w:left="2661" w:hanging="413"/>
      </w:pPr>
      <w:rPr>
        <w:rFonts w:hint="default"/>
      </w:rPr>
    </w:lvl>
    <w:lvl w:ilvl="4">
      <w:start w:val="0"/>
      <w:numFmt w:val="bullet"/>
      <w:lvlText w:val="•"/>
      <w:lvlJc w:val="left"/>
      <w:pPr>
        <w:ind w:left="3355" w:hanging="413"/>
      </w:pPr>
      <w:rPr>
        <w:rFonts w:hint="default"/>
      </w:rPr>
    </w:lvl>
    <w:lvl w:ilvl="5">
      <w:start w:val="0"/>
      <w:numFmt w:val="bullet"/>
      <w:lvlText w:val="•"/>
      <w:lvlJc w:val="left"/>
      <w:pPr>
        <w:ind w:left="4049" w:hanging="413"/>
      </w:pPr>
      <w:rPr>
        <w:rFonts w:hint="default"/>
      </w:rPr>
    </w:lvl>
    <w:lvl w:ilvl="6">
      <w:start w:val="0"/>
      <w:numFmt w:val="bullet"/>
      <w:lvlText w:val="•"/>
      <w:lvlJc w:val="left"/>
      <w:pPr>
        <w:ind w:left="4742" w:hanging="413"/>
      </w:pPr>
      <w:rPr>
        <w:rFonts w:hint="default"/>
      </w:rPr>
    </w:lvl>
    <w:lvl w:ilvl="7">
      <w:start w:val="0"/>
      <w:numFmt w:val="bullet"/>
      <w:lvlText w:val="•"/>
      <w:lvlJc w:val="left"/>
      <w:pPr>
        <w:ind w:left="5436" w:hanging="413"/>
      </w:pPr>
      <w:rPr>
        <w:rFonts w:hint="default"/>
      </w:rPr>
    </w:lvl>
    <w:lvl w:ilvl="8">
      <w:start w:val="0"/>
      <w:numFmt w:val="bullet"/>
      <w:lvlText w:val="•"/>
      <w:lvlJc w:val="left"/>
      <w:pPr>
        <w:ind w:left="6130" w:hanging="413"/>
      </w:pPr>
      <w:rPr>
        <w:rFonts w:hint="default"/>
      </w:rPr>
    </w:lvl>
  </w:abstractNum>
  <w:abstractNum w:abstractNumId="3">
    <w:multiLevelType w:val="hybridMultilevel"/>
    <w:lvl w:ilvl="0">
      <w:start w:val="3"/>
      <w:numFmt w:val="decimal"/>
      <w:lvlText w:val="%1"/>
      <w:lvlJc w:val="left"/>
      <w:pPr>
        <w:ind w:left="2545" w:hanging="668"/>
        <w:jc w:val="left"/>
      </w:pPr>
      <w:rPr>
        <w:rFonts w:hint="default"/>
      </w:rPr>
    </w:lvl>
    <w:lvl w:ilvl="1">
      <w:start w:val="1"/>
      <w:numFmt w:val="decimal"/>
      <w:lvlText w:val="%1.%2"/>
      <w:lvlJc w:val="left"/>
      <w:pPr>
        <w:ind w:left="2545" w:hanging="668"/>
        <w:jc w:val="left"/>
      </w:pPr>
      <w:rPr>
        <w:rFonts w:hint="default" w:ascii="宋体" w:hAnsi="宋体" w:eastAsia="宋体" w:cs="宋体"/>
        <w:b/>
        <w:bCs/>
        <w:w w:val="99"/>
        <w:sz w:val="21"/>
        <w:szCs w:val="21"/>
      </w:rPr>
    </w:lvl>
    <w:lvl w:ilvl="2">
      <w:start w:val="0"/>
      <w:numFmt w:val="bullet"/>
      <w:lvlText w:val="•"/>
      <w:lvlJc w:val="left"/>
      <w:pPr>
        <w:ind w:left="2497" w:hanging="668"/>
      </w:pPr>
      <w:rPr>
        <w:rFonts w:hint="default"/>
      </w:rPr>
    </w:lvl>
    <w:lvl w:ilvl="3">
      <w:start w:val="0"/>
      <w:numFmt w:val="bullet"/>
      <w:lvlText w:val="•"/>
      <w:lvlJc w:val="left"/>
      <w:pPr>
        <w:ind w:left="2476" w:hanging="668"/>
      </w:pPr>
      <w:rPr>
        <w:rFonts w:hint="default"/>
      </w:rPr>
    </w:lvl>
    <w:lvl w:ilvl="4">
      <w:start w:val="0"/>
      <w:numFmt w:val="bullet"/>
      <w:lvlText w:val="•"/>
      <w:lvlJc w:val="left"/>
      <w:pPr>
        <w:ind w:left="2455" w:hanging="668"/>
      </w:pPr>
      <w:rPr>
        <w:rFonts w:hint="default"/>
      </w:rPr>
    </w:lvl>
    <w:lvl w:ilvl="5">
      <w:start w:val="0"/>
      <w:numFmt w:val="bullet"/>
      <w:lvlText w:val="•"/>
      <w:lvlJc w:val="left"/>
      <w:pPr>
        <w:ind w:left="2434" w:hanging="668"/>
      </w:pPr>
      <w:rPr>
        <w:rFonts w:hint="default"/>
      </w:rPr>
    </w:lvl>
    <w:lvl w:ilvl="6">
      <w:start w:val="0"/>
      <w:numFmt w:val="bullet"/>
      <w:lvlText w:val="•"/>
      <w:lvlJc w:val="left"/>
      <w:pPr>
        <w:ind w:left="2413" w:hanging="668"/>
      </w:pPr>
      <w:rPr>
        <w:rFonts w:hint="default"/>
      </w:rPr>
    </w:lvl>
    <w:lvl w:ilvl="7">
      <w:start w:val="0"/>
      <w:numFmt w:val="bullet"/>
      <w:lvlText w:val="•"/>
      <w:lvlJc w:val="left"/>
      <w:pPr>
        <w:ind w:left="2391" w:hanging="668"/>
      </w:pPr>
      <w:rPr>
        <w:rFonts w:hint="default"/>
      </w:rPr>
    </w:lvl>
    <w:lvl w:ilvl="8">
      <w:start w:val="0"/>
      <w:numFmt w:val="bullet"/>
      <w:lvlText w:val="•"/>
      <w:lvlJc w:val="left"/>
      <w:pPr>
        <w:ind w:left="2370" w:hanging="668"/>
      </w:pPr>
      <w:rPr>
        <w:rFonts w:hint="default"/>
      </w:rPr>
    </w:lvl>
  </w:abstractNum>
  <w:abstractNum w:abstractNumId="2">
    <w:multiLevelType w:val="hybridMultilevel"/>
    <w:lvl w:ilvl="0">
      <w:start w:val="2"/>
      <w:numFmt w:val="decimal"/>
      <w:lvlText w:val="%1"/>
      <w:lvlJc w:val="left"/>
      <w:pPr>
        <w:ind w:left="890" w:hanging="668"/>
        <w:jc w:val="left"/>
      </w:pPr>
      <w:rPr>
        <w:rFonts w:hint="default"/>
      </w:rPr>
    </w:lvl>
    <w:lvl w:ilvl="1">
      <w:start w:val="1"/>
      <w:numFmt w:val="decimal"/>
      <w:lvlText w:val="%1.%2"/>
      <w:lvlJc w:val="left"/>
      <w:pPr>
        <w:ind w:left="2545" w:hanging="668"/>
        <w:jc w:val="left"/>
      </w:pPr>
      <w:rPr>
        <w:rFonts w:hint="default" w:ascii="宋体" w:hAnsi="宋体" w:eastAsia="宋体" w:cs="宋体"/>
        <w:b/>
        <w:bCs/>
        <w:w w:val="99"/>
        <w:sz w:val="21"/>
        <w:szCs w:val="21"/>
      </w:rPr>
    </w:lvl>
    <w:lvl w:ilvl="2">
      <w:start w:val="0"/>
      <w:numFmt w:val="bullet"/>
      <w:lvlText w:val="•"/>
      <w:lvlJc w:val="left"/>
      <w:pPr>
        <w:ind w:left="3356" w:hanging="668"/>
      </w:pPr>
      <w:rPr>
        <w:rFonts w:hint="default"/>
      </w:rPr>
    </w:lvl>
    <w:lvl w:ilvl="3">
      <w:start w:val="0"/>
      <w:numFmt w:val="bullet"/>
      <w:lvlText w:val="•"/>
      <w:lvlJc w:val="left"/>
      <w:pPr>
        <w:ind w:left="4172" w:hanging="668"/>
      </w:pPr>
      <w:rPr>
        <w:rFonts w:hint="default"/>
      </w:rPr>
    </w:lvl>
    <w:lvl w:ilvl="4">
      <w:start w:val="0"/>
      <w:numFmt w:val="bullet"/>
      <w:lvlText w:val="•"/>
      <w:lvlJc w:val="left"/>
      <w:pPr>
        <w:ind w:left="4988" w:hanging="668"/>
      </w:pPr>
      <w:rPr>
        <w:rFonts w:hint="default"/>
      </w:rPr>
    </w:lvl>
    <w:lvl w:ilvl="5">
      <w:start w:val="0"/>
      <w:numFmt w:val="bullet"/>
      <w:lvlText w:val="•"/>
      <w:lvlJc w:val="left"/>
      <w:pPr>
        <w:ind w:left="5805" w:hanging="668"/>
      </w:pPr>
      <w:rPr>
        <w:rFonts w:hint="default"/>
      </w:rPr>
    </w:lvl>
    <w:lvl w:ilvl="6">
      <w:start w:val="0"/>
      <w:numFmt w:val="bullet"/>
      <w:lvlText w:val="•"/>
      <w:lvlJc w:val="left"/>
      <w:pPr>
        <w:ind w:left="6621" w:hanging="668"/>
      </w:pPr>
      <w:rPr>
        <w:rFonts w:hint="default"/>
      </w:rPr>
    </w:lvl>
    <w:lvl w:ilvl="7">
      <w:start w:val="0"/>
      <w:numFmt w:val="bullet"/>
      <w:lvlText w:val="•"/>
      <w:lvlJc w:val="left"/>
      <w:pPr>
        <w:ind w:left="7437" w:hanging="668"/>
      </w:pPr>
      <w:rPr>
        <w:rFonts w:hint="default"/>
      </w:rPr>
    </w:lvl>
    <w:lvl w:ilvl="8">
      <w:start w:val="0"/>
      <w:numFmt w:val="bullet"/>
      <w:lvlText w:val="•"/>
      <w:lvlJc w:val="left"/>
      <w:pPr>
        <w:ind w:left="8253" w:hanging="668"/>
      </w:pPr>
      <w:rPr>
        <w:rFonts w:hint="default"/>
      </w:rPr>
    </w:lvl>
  </w:abstractNum>
  <w:abstractNum w:abstractNumId="1">
    <w:multiLevelType w:val="hybridMultilevel"/>
    <w:lvl w:ilvl="0">
      <w:start w:val="1"/>
      <w:numFmt w:val="decimal"/>
      <w:lvlText w:val="%1"/>
      <w:lvlJc w:val="left"/>
      <w:pPr>
        <w:ind w:left="2545" w:hanging="668"/>
        <w:jc w:val="left"/>
      </w:pPr>
      <w:rPr>
        <w:rFonts w:hint="default"/>
      </w:rPr>
    </w:lvl>
    <w:lvl w:ilvl="1">
      <w:start w:val="1"/>
      <w:numFmt w:val="decimal"/>
      <w:lvlText w:val="%1.%2"/>
      <w:lvlJc w:val="left"/>
      <w:pPr>
        <w:ind w:left="2545" w:hanging="668"/>
        <w:jc w:val="left"/>
      </w:pPr>
      <w:rPr>
        <w:rFonts w:hint="default" w:ascii="宋体" w:hAnsi="宋体" w:eastAsia="宋体" w:cs="宋体"/>
        <w:b/>
        <w:bCs/>
        <w:w w:val="99"/>
        <w:sz w:val="21"/>
        <w:szCs w:val="21"/>
      </w:rPr>
    </w:lvl>
    <w:lvl w:ilvl="2">
      <w:start w:val="0"/>
      <w:numFmt w:val="bullet"/>
      <w:lvlText w:val="•"/>
      <w:lvlJc w:val="left"/>
      <w:pPr>
        <w:ind w:left="4009" w:hanging="668"/>
      </w:pPr>
      <w:rPr>
        <w:rFonts w:hint="default"/>
      </w:rPr>
    </w:lvl>
    <w:lvl w:ilvl="3">
      <w:start w:val="0"/>
      <w:numFmt w:val="bullet"/>
      <w:lvlText w:val="•"/>
      <w:lvlJc w:val="left"/>
      <w:pPr>
        <w:ind w:left="4743" w:hanging="668"/>
      </w:pPr>
      <w:rPr>
        <w:rFonts w:hint="default"/>
      </w:rPr>
    </w:lvl>
    <w:lvl w:ilvl="4">
      <w:start w:val="0"/>
      <w:numFmt w:val="bullet"/>
      <w:lvlText w:val="•"/>
      <w:lvlJc w:val="left"/>
      <w:pPr>
        <w:ind w:left="5478" w:hanging="668"/>
      </w:pPr>
      <w:rPr>
        <w:rFonts w:hint="default"/>
      </w:rPr>
    </w:lvl>
    <w:lvl w:ilvl="5">
      <w:start w:val="0"/>
      <w:numFmt w:val="bullet"/>
      <w:lvlText w:val="•"/>
      <w:lvlJc w:val="left"/>
      <w:pPr>
        <w:ind w:left="6213" w:hanging="668"/>
      </w:pPr>
      <w:rPr>
        <w:rFonts w:hint="default"/>
      </w:rPr>
    </w:lvl>
    <w:lvl w:ilvl="6">
      <w:start w:val="0"/>
      <w:numFmt w:val="bullet"/>
      <w:lvlText w:val="•"/>
      <w:lvlJc w:val="left"/>
      <w:pPr>
        <w:ind w:left="6947" w:hanging="668"/>
      </w:pPr>
      <w:rPr>
        <w:rFonts w:hint="default"/>
      </w:rPr>
    </w:lvl>
    <w:lvl w:ilvl="7">
      <w:start w:val="0"/>
      <w:numFmt w:val="bullet"/>
      <w:lvlText w:val="•"/>
      <w:lvlJc w:val="left"/>
      <w:pPr>
        <w:ind w:left="7682" w:hanging="668"/>
      </w:pPr>
      <w:rPr>
        <w:rFonts w:hint="default"/>
      </w:rPr>
    </w:lvl>
    <w:lvl w:ilvl="8">
      <w:start w:val="0"/>
      <w:numFmt w:val="bullet"/>
      <w:lvlText w:val="•"/>
      <w:lvlJc w:val="left"/>
      <w:pPr>
        <w:ind w:left="8417" w:hanging="668"/>
      </w:pPr>
      <w:rPr>
        <w:rFonts w:hint="default"/>
      </w:rPr>
    </w:lvl>
  </w:abstractNum>
  <w:abstractNum w:abstractNumId="0">
    <w:multiLevelType w:val="hybridMultilevel"/>
    <w:lvl w:ilvl="0">
      <w:start w:val="0"/>
      <w:numFmt w:val="bullet"/>
      <w:lvlText w:val=""/>
      <w:lvlJc w:val="left"/>
      <w:pPr>
        <w:ind w:left="1809" w:hanging="440"/>
      </w:pPr>
      <w:rPr>
        <w:rFonts w:hint="default" w:ascii="Wingdings" w:hAnsi="Wingdings" w:eastAsia="Wingdings" w:cs="Wingdings"/>
        <w:w w:val="100"/>
        <w:sz w:val="21"/>
        <w:szCs w:val="21"/>
      </w:rPr>
    </w:lvl>
    <w:lvl w:ilvl="1">
      <w:start w:val="0"/>
      <w:numFmt w:val="bullet"/>
      <w:lvlText w:val="•"/>
      <w:lvlJc w:val="left"/>
      <w:pPr>
        <w:ind w:left="2600" w:hanging="440"/>
      </w:pPr>
      <w:rPr>
        <w:rFonts w:hint="default"/>
      </w:rPr>
    </w:lvl>
    <w:lvl w:ilvl="2">
      <w:start w:val="0"/>
      <w:numFmt w:val="bullet"/>
      <w:lvlText w:val="•"/>
      <w:lvlJc w:val="left"/>
      <w:pPr>
        <w:ind w:left="3401" w:hanging="440"/>
      </w:pPr>
      <w:rPr>
        <w:rFonts w:hint="default"/>
      </w:rPr>
    </w:lvl>
    <w:lvl w:ilvl="3">
      <w:start w:val="0"/>
      <w:numFmt w:val="bullet"/>
      <w:lvlText w:val="•"/>
      <w:lvlJc w:val="left"/>
      <w:pPr>
        <w:ind w:left="4201" w:hanging="440"/>
      </w:pPr>
      <w:rPr>
        <w:rFonts w:hint="default"/>
      </w:rPr>
    </w:lvl>
    <w:lvl w:ilvl="4">
      <w:start w:val="0"/>
      <w:numFmt w:val="bullet"/>
      <w:lvlText w:val="•"/>
      <w:lvlJc w:val="left"/>
      <w:pPr>
        <w:ind w:left="5002" w:hanging="440"/>
      </w:pPr>
      <w:rPr>
        <w:rFonts w:hint="default"/>
      </w:rPr>
    </w:lvl>
    <w:lvl w:ilvl="5">
      <w:start w:val="0"/>
      <w:numFmt w:val="bullet"/>
      <w:lvlText w:val="•"/>
      <w:lvlJc w:val="left"/>
      <w:pPr>
        <w:ind w:left="5803" w:hanging="440"/>
      </w:pPr>
      <w:rPr>
        <w:rFonts w:hint="default"/>
      </w:rPr>
    </w:lvl>
    <w:lvl w:ilvl="6">
      <w:start w:val="0"/>
      <w:numFmt w:val="bullet"/>
      <w:lvlText w:val="•"/>
      <w:lvlJc w:val="left"/>
      <w:pPr>
        <w:ind w:left="6603" w:hanging="440"/>
      </w:pPr>
      <w:rPr>
        <w:rFonts w:hint="default"/>
      </w:rPr>
    </w:lvl>
    <w:lvl w:ilvl="7">
      <w:start w:val="0"/>
      <w:numFmt w:val="bullet"/>
      <w:lvlText w:val="•"/>
      <w:lvlJc w:val="left"/>
      <w:pPr>
        <w:ind w:left="7404" w:hanging="440"/>
      </w:pPr>
      <w:rPr>
        <w:rFonts w:hint="default"/>
      </w:rPr>
    </w:lvl>
    <w:lvl w:ilvl="8">
      <w:start w:val="0"/>
      <w:numFmt w:val="bullet"/>
      <w:lvlText w:val="•"/>
      <w:lvlJc w:val="left"/>
      <w:pPr>
        <w:ind w:left="8205" w:hanging="440"/>
      </w:pPr>
      <w:rPr>
        <w:rFonts w:hint="default"/>
      </w:rPr>
    </w:lvl>
  </w:abstract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spacing w:before="14"/>
      <w:ind w:left="2153" w:right="2069"/>
      <w:jc w:val="center"/>
      <w:outlineLvl w:val="1"/>
    </w:pPr>
    <w:rPr>
      <w:rFonts w:ascii="宋体" w:hAnsi="宋体" w:eastAsia="宋体" w:cs="宋体"/>
      <w:b/>
      <w:bCs/>
      <w:sz w:val="28"/>
      <w:szCs w:val="28"/>
    </w:rPr>
  </w:style>
  <w:style w:styleId="Heading2" w:type="paragraph">
    <w:name w:val="Heading 2"/>
    <w:basedOn w:val="Normal"/>
    <w:uiPriority w:val="1"/>
    <w:qFormat/>
    <w:pPr>
      <w:spacing w:before="37"/>
      <w:ind w:left="1809"/>
      <w:outlineLvl w:val="2"/>
    </w:pPr>
    <w:rPr>
      <w:rFonts w:ascii="宋体" w:hAnsi="宋体" w:eastAsia="宋体" w:cs="宋体"/>
      <w:b/>
      <w:bCs/>
      <w:sz w:val="21"/>
      <w:szCs w:val="21"/>
    </w:rPr>
  </w:style>
  <w:style w:styleId="Heading3" w:type="paragraph">
    <w:name w:val="Heading 3"/>
    <w:basedOn w:val="Normal"/>
    <w:uiPriority w:val="1"/>
    <w:qFormat/>
    <w:pPr>
      <w:spacing w:before="76"/>
      <w:ind w:left="2545"/>
      <w:outlineLvl w:val="3"/>
    </w:pPr>
    <w:rPr>
      <w:rFonts w:ascii="宋体" w:hAnsi="宋体" w:eastAsia="宋体" w:cs="宋体"/>
      <w:b/>
      <w:bCs/>
      <w:sz w:val="18"/>
      <w:szCs w:val="18"/>
    </w:rPr>
  </w:style>
  <w:style w:styleId="ListParagraph" w:type="paragraph">
    <w:name w:val="List Paragraph"/>
    <w:basedOn w:val="Normal"/>
    <w:uiPriority w:val="1"/>
    <w:qFormat/>
    <w:pPr>
      <w:spacing w:before="76"/>
      <w:ind w:left="1243" w:hanging="2322"/>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ULIC</dc:creator>
  <dc:title>ULIC</dc:title>
  <dcterms:created xsi:type="dcterms:W3CDTF">2018-10-19T22:28:06Z</dcterms:created>
  <dcterms:modified xsi:type="dcterms:W3CDTF">2018-10-19T22:28:06Z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2015-11-06T00:00:00Z</vt:filetime>
  </property>
  <property fmtid="{D5CDD505-2E9C-101B-9397-08002B2CF9AE}" pid="3" name="Creator">
    <vt:lpwstr>Microsoft® Office Word 2007</vt:lpwstr>
  </property>
  <property fmtid="{D5CDD505-2E9C-101B-9397-08002B2CF9AE}" pid="4" name="LastSaved">
    <vt:filetime>2018-10-19T00:00:00Z</vt:filetime>
  </property>
</Properties>
</file>