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5725241</wp:posOffset>
            </wp:positionH>
            <wp:positionV relativeFrom="paragraph">
              <wp:posOffset>232048</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北大方正人寿[2013]疾病保险 016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911" w:right="0" w:firstLine="0"/>
        <w:jc w:val="center"/>
        <w:rPr>
          <w:b/>
          <w:sz w:val="24"/>
        </w:rPr>
      </w:pPr>
      <w:r>
        <w:rPr>
          <w:b/>
          <w:w w:val="95"/>
          <w:sz w:val="24"/>
        </w:rPr>
        <w:t>北大方正人寿保险有限公司瑞康重大疾病保险条款</w:t>
      </w:r>
    </w:p>
    <w:p>
      <w:pPr>
        <w:spacing w:line="330" w:lineRule="exact" w:before="0"/>
        <w:ind w:left="2909" w:right="0" w:firstLine="0"/>
        <w:jc w:val="center"/>
        <w:rPr>
          <w:b/>
          <w:sz w:val="24"/>
        </w:rPr>
      </w:pPr>
      <w:r>
        <w:rPr>
          <w:b/>
          <w:sz w:val="24"/>
        </w:rPr>
        <w:t>（</w:t>
      </w:r>
      <w:r>
        <w:rPr>
          <w:rFonts w:ascii="Times New Roman" w:eastAsia="Times New Roman"/>
          <w:b/>
          <w:sz w:val="24"/>
        </w:rPr>
        <w:t>2013 </w:t>
      </w:r>
      <w:r>
        <w:rPr>
          <w:b/>
          <w:sz w:val="24"/>
        </w:rPr>
        <w:t>年 </w:t>
      </w:r>
      <w:r>
        <w:rPr>
          <w:rFonts w:ascii="Times New Roman" w:eastAsia="Times New Roman"/>
          <w:b/>
          <w:sz w:val="24"/>
        </w:rPr>
        <w:t>11 </w:t>
      </w:r>
      <w:r>
        <w:rPr>
          <w:b/>
          <w:sz w:val="24"/>
        </w:rPr>
        <w:t>月）</w:t>
      </w:r>
    </w:p>
    <w:p>
      <w:pPr>
        <w:pStyle w:val="BodyText"/>
        <w:ind w:left="0"/>
        <w:rPr>
          <w:b/>
          <w:sz w:val="26"/>
        </w:rPr>
      </w:pPr>
    </w:p>
    <w:p>
      <w:pPr>
        <w:pStyle w:val="BodyText"/>
        <w:spacing w:before="3"/>
        <w:ind w:left="0"/>
        <w:rPr>
          <w:b/>
          <w:sz w:val="22"/>
        </w:rPr>
      </w:pPr>
    </w:p>
    <w:p>
      <w:pPr>
        <w:spacing w:before="0"/>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1"/>
      </w:pPr>
      <w:r>
        <w:rPr/>
        <w:t>请扫描以查询验证条款</w:t>
      </w:r>
    </w:p>
    <w:p>
      <w:pPr>
        <w:spacing w:after="0"/>
        <w:sectPr>
          <w:type w:val="continuous"/>
          <w:pgSz w:w="11960" w:h="16850"/>
          <w:pgMar w:top="280" w:bottom="1200" w:left="1600" w:right="760"/>
          <w:cols w:num="2" w:equalWidth="0">
            <w:col w:w="5794" w:space="40"/>
            <w:col w:w="3766"/>
          </w:cols>
        </w:sectPr>
      </w:pPr>
    </w:p>
    <w:p>
      <w:pPr>
        <w:pStyle w:val="BodyText"/>
        <w:spacing w:before="9"/>
        <w:ind w:left="0"/>
        <w:rPr>
          <w:sz w:val="9"/>
        </w:rPr>
      </w:pPr>
    </w:p>
    <w:sdt>
      <w:sdtPr>
        <w:docPartObj>
          <w:docPartGallery w:val="Table of Contents"/>
          <w:docPartUnique/>
        </w:docPartObj>
      </w:sdtPr>
      <w:sdtEndPr/>
      <w:sdtContent>
        <w:p>
          <w:pPr>
            <w:pStyle w:val="TOC1"/>
            <w:tabs>
              <w:tab w:pos="8863" w:val="right" w:leader="middleDot"/>
            </w:tabs>
            <w:spacing w:before="50"/>
            <w:rPr>
              <w:rFonts w:ascii="Times New Roman" w:hAnsi="Times New Roman" w:eastAsia="Times New Roman"/>
            </w:rPr>
          </w:pPr>
          <w:r>
            <w:rPr/>
            <w:t>第一部分</w:t>
          </w:r>
          <w:r>
            <w:rPr>
              <w:spacing w:val="-51"/>
            </w:rPr>
            <w:t> </w:t>
          </w:r>
          <w:r>
            <w:rPr>
              <w:rFonts w:ascii="Calibri" w:hAnsi="Calibri" w:eastAsia="Calibri"/>
            </w:rPr>
            <w:t>······</w:t>
          </w:r>
          <w:r>
            <w:rPr>
              <w:rFonts w:ascii="Calibri" w:hAnsi="Calibri" w:eastAsia="Calibri"/>
              <w:spacing w:val="-24"/>
            </w:rPr>
            <w:t> </w:t>
          </w:r>
          <w:r>
            <w:rPr/>
            <w:t>您（投保人）与我们（北大方正人寿保险有限公司）的合同</w:t>
            <w:tab/>
          </w:r>
          <w:r>
            <w:rPr>
              <w:rFonts w:ascii="Times New Roman" w:hAnsi="Times New Roman" w:eastAsia="Times New Roman"/>
              <w:spacing w:val="-6"/>
            </w:rPr>
            <w:t>3·····</w:t>
          </w:r>
        </w:p>
        <w:p>
          <w:pPr>
            <w:pStyle w:val="TOC2"/>
            <w:tabs>
              <w:tab w:pos="1361" w:val="left" w:leader="none"/>
              <w:tab w:pos="8595" w:val="right" w:leader="middleDot"/>
            </w:tabs>
            <w:spacing w:before="173"/>
            <w:rPr>
              <w:rFonts w:ascii="Times New Roman" w:hAnsi="Times New Roman" w:eastAsia="Times New Roman"/>
              <w:b/>
            </w:rPr>
          </w:pPr>
          <w:r>
            <w:rPr/>
            <w:t>第一条</w:t>
            <w:tab/>
            <w:t>合同的构成</w:t>
            <w:tab/>
          </w:r>
          <w:r>
            <w:rPr>
              <w:rFonts w:ascii="Times New Roman" w:hAnsi="Times New Roman" w:eastAsia="Times New Roman"/>
              <w:spacing w:val="-29"/>
            </w:rPr>
            <w:t>3</w:t>
          </w:r>
          <w:r>
            <w:rPr>
              <w:rFonts w:ascii="Times New Roman" w:hAnsi="Times New Roman" w:eastAsia="Times New Roman"/>
              <w:b/>
              <w:spacing w:val="-29"/>
            </w:rPr>
            <w:t>·</w:t>
          </w:r>
        </w:p>
        <w:p>
          <w:pPr>
            <w:pStyle w:val="TOC2"/>
            <w:tabs>
              <w:tab w:pos="1361" w:val="left" w:leader="none"/>
              <w:tab w:pos="8654" w:val="right" w:leader="middleDot"/>
            </w:tabs>
            <w:spacing w:before="63"/>
            <w:rPr>
              <w:rFonts w:ascii="Times New Roman" w:hAnsi="Times New Roman" w:eastAsia="Times New Roman"/>
            </w:rPr>
          </w:pPr>
          <w:r>
            <w:rPr/>
            <w:t>第二条</w:t>
            <w:tab/>
            <w:t>投保范围</w:t>
            <w:tab/>
          </w:r>
          <w:r>
            <w:rPr>
              <w:rFonts w:ascii="Times New Roman" w:hAnsi="Times New Roman" w:eastAsia="Times New Roman"/>
              <w:spacing w:val="-20"/>
            </w:rPr>
            <w:t>3··</w:t>
          </w:r>
        </w:p>
        <w:p>
          <w:pPr>
            <w:pStyle w:val="TOC2"/>
            <w:tabs>
              <w:tab w:pos="1361" w:val="left" w:leader="none"/>
              <w:tab w:pos="8654" w:val="right" w:leader="middleDot"/>
            </w:tabs>
            <w:rPr>
              <w:rFonts w:ascii="Times New Roman" w:hAnsi="Times New Roman" w:eastAsia="Times New Roman"/>
            </w:rPr>
          </w:pPr>
          <w:hyperlink w:history="true" w:anchor="_TOC_250018">
            <w:r>
              <w:rPr/>
              <w:t>第三条</w:t>
              <w:tab/>
              <w:t>保险期间</w:t>
              <w:tab/>
            </w:r>
            <w:r>
              <w:rPr>
                <w:rFonts w:ascii="Times New Roman" w:hAnsi="Times New Roman" w:eastAsia="Times New Roman"/>
                <w:spacing w:val="-20"/>
              </w:rPr>
              <w:t>3··</w:t>
            </w:r>
          </w:hyperlink>
        </w:p>
        <w:p>
          <w:pPr>
            <w:pStyle w:val="TOC2"/>
            <w:tabs>
              <w:tab w:pos="1361" w:val="left" w:leader="none"/>
              <w:tab w:pos="8952" w:val="right" w:leader="middleDot"/>
            </w:tabs>
            <w:rPr>
              <w:rFonts w:ascii="Times New Roman" w:hAnsi="Times New Roman" w:eastAsia="Times New Roman"/>
            </w:rPr>
          </w:pPr>
          <w:r>
            <w:rPr/>
            <w:t>第四条</w:t>
            <w:tab/>
            <w:t>保险责任的开始</w:t>
            <w:tab/>
          </w:r>
          <w:r>
            <w:rPr>
              <w:rFonts w:ascii="Times New Roman" w:hAnsi="Times New Roman" w:eastAsia="Times New Roman"/>
              <w:spacing w:val="-8"/>
            </w:rPr>
            <w:t>3·······</w:t>
          </w:r>
        </w:p>
        <w:p>
          <w:pPr>
            <w:pStyle w:val="TOC2"/>
            <w:tabs>
              <w:tab w:pos="1361" w:val="left" w:leader="none"/>
              <w:tab w:pos="8714" w:val="right" w:leader="middleDot"/>
            </w:tabs>
            <w:rPr>
              <w:rFonts w:ascii="Times New Roman" w:hAnsi="Times New Roman" w:eastAsia="Times New Roman"/>
            </w:rPr>
          </w:pPr>
          <w:hyperlink w:history="true" w:anchor="_TOC_250017">
            <w:r>
              <w:rPr/>
              <w:t>第五条</w:t>
              <w:tab/>
              <w:t>犹豫期</w:t>
              <w:tab/>
            </w:r>
            <w:r>
              <w:rPr>
                <w:rFonts w:ascii="Times New Roman" w:hAnsi="Times New Roman" w:eastAsia="Times New Roman"/>
                <w:spacing w:val="-15"/>
              </w:rPr>
              <w:t>3···</w:t>
            </w:r>
          </w:hyperlink>
        </w:p>
        <w:p>
          <w:pPr>
            <w:pStyle w:val="TOC1"/>
            <w:tabs>
              <w:tab w:pos="8724" w:val="right" w:leader="middleDot"/>
            </w:tabs>
            <w:rPr>
              <w:rFonts w:ascii="Times New Roman" w:hAnsi="Times New Roman" w:eastAsia="Times New Roman"/>
            </w:rPr>
          </w:pPr>
          <w:hyperlink w:history="true" w:anchor="_TOC_250016">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3···</w:t>
            </w:r>
          </w:hyperlink>
        </w:p>
        <w:p>
          <w:pPr>
            <w:pStyle w:val="TOC2"/>
            <w:tabs>
              <w:tab w:pos="1361" w:val="left" w:leader="none"/>
              <w:tab w:pos="8770" w:val="right" w:leader="middleDot"/>
            </w:tabs>
            <w:spacing w:before="173"/>
            <w:rPr>
              <w:rFonts w:ascii="Times New Roman" w:hAnsi="Times New Roman" w:eastAsia="Times New Roman"/>
            </w:rPr>
          </w:pPr>
          <w:hyperlink w:history="true" w:anchor="_TOC_250015">
            <w:r>
              <w:rPr/>
              <w:t>第六条</w:t>
              <w:tab/>
              <w:t>基本保险金额</w:t>
              <w:tab/>
            </w:r>
            <w:r>
              <w:rPr>
                <w:rFonts w:ascii="Times New Roman" w:hAnsi="Times New Roman" w:eastAsia="Times New Roman"/>
                <w:spacing w:val="-13"/>
              </w:rPr>
              <w:t>3····</w:t>
            </w:r>
          </w:hyperlink>
        </w:p>
        <w:p>
          <w:pPr>
            <w:pStyle w:val="TOC2"/>
            <w:tabs>
              <w:tab w:pos="1361" w:val="left" w:leader="none"/>
              <w:tab w:pos="8654" w:val="right" w:leader="middleDot"/>
            </w:tabs>
            <w:rPr>
              <w:rFonts w:ascii="Times New Roman" w:hAnsi="Times New Roman" w:eastAsia="Times New Roman"/>
            </w:rPr>
          </w:pPr>
          <w:hyperlink w:history="true" w:anchor="_TOC_250014">
            <w:r>
              <w:rPr/>
              <w:t>第七条</w:t>
              <w:tab/>
              <w:t>保险责任</w:t>
              <w:tab/>
            </w:r>
            <w:r>
              <w:rPr>
                <w:rFonts w:ascii="Times New Roman" w:hAnsi="Times New Roman" w:eastAsia="Times New Roman"/>
                <w:spacing w:val="-20"/>
              </w:rPr>
              <w:t>3··</w:t>
            </w:r>
          </w:hyperlink>
        </w:p>
        <w:p>
          <w:pPr>
            <w:pStyle w:val="TOC2"/>
            <w:tabs>
              <w:tab w:pos="1361" w:val="left" w:leader="none"/>
              <w:tab w:pos="8654" w:val="right" w:leader="middleDot"/>
            </w:tabs>
            <w:rPr>
              <w:rFonts w:ascii="Times New Roman" w:hAnsi="Times New Roman" w:eastAsia="Times New Roman"/>
            </w:rPr>
          </w:pPr>
          <w:hyperlink w:history="true" w:anchor="_TOC_250013">
            <w:r>
              <w:rPr/>
              <w:t>第八条</w:t>
              <w:tab/>
              <w:t>责任免除</w:t>
              <w:tab/>
            </w:r>
            <w:r>
              <w:rPr>
                <w:rFonts w:ascii="Times New Roman" w:hAnsi="Times New Roman" w:eastAsia="Times New Roman"/>
                <w:spacing w:val="-20"/>
              </w:rPr>
              <w:t>3··</w:t>
            </w:r>
          </w:hyperlink>
        </w:p>
        <w:p>
          <w:pPr>
            <w:pStyle w:val="TOC1"/>
            <w:tabs>
              <w:tab w:pos="8907" w:val="right" w:leader="middleDot"/>
            </w:tabs>
            <w:rPr>
              <w:rFonts w:ascii="Times New Roman" w:hAnsi="Times New Roman" w:eastAsia="Times New Roman"/>
            </w:rPr>
          </w:pPr>
          <w:hyperlink w:history="true" w:anchor="_TOC_250012">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4······</w:t>
            </w:r>
          </w:hyperlink>
        </w:p>
        <w:p>
          <w:pPr>
            <w:pStyle w:val="TOC2"/>
            <w:tabs>
              <w:tab w:pos="1361" w:val="left" w:leader="none"/>
              <w:tab w:pos="8833" w:val="right" w:leader="middleDot"/>
            </w:tabs>
            <w:spacing w:before="173"/>
            <w:rPr>
              <w:rFonts w:ascii="Times New Roman" w:hAnsi="Times New Roman" w:eastAsia="Times New Roman"/>
            </w:rPr>
          </w:pPr>
          <w:hyperlink w:history="true" w:anchor="_TOC_250011">
            <w:r>
              <w:rPr/>
              <w:t>第九条</w:t>
              <w:tab/>
              <w:t>受益人的指定和变更</w:t>
              <w:tab/>
            </w:r>
            <w:r>
              <w:rPr>
                <w:rFonts w:ascii="Times New Roman" w:hAnsi="Times New Roman" w:eastAsia="Times New Roman"/>
                <w:spacing w:val="-11"/>
              </w:rPr>
              <w:t>4·····</w:t>
            </w:r>
          </w:hyperlink>
        </w:p>
        <w:p>
          <w:pPr>
            <w:pStyle w:val="TOC2"/>
            <w:tabs>
              <w:tab w:pos="1361" w:val="left" w:leader="none"/>
              <w:tab w:pos="8952" w:val="right" w:leader="middleDot"/>
            </w:tabs>
            <w:spacing w:before="63"/>
            <w:rPr>
              <w:rFonts w:ascii="Times New Roman" w:hAnsi="Times New Roman" w:eastAsia="Times New Roman"/>
            </w:rPr>
          </w:pPr>
          <w:r>
            <w:rPr/>
            <w:t>第十条</w:t>
            <w:tab/>
            <w:t>保险事故的通知</w:t>
            <w:tab/>
          </w:r>
          <w:r>
            <w:rPr>
              <w:rFonts w:ascii="Times New Roman" w:hAnsi="Times New Roman" w:eastAsia="Times New Roman"/>
              <w:spacing w:val="-8"/>
            </w:rPr>
            <w:t>4·······</w:t>
          </w:r>
        </w:p>
        <w:p>
          <w:pPr>
            <w:pStyle w:val="TOC2"/>
            <w:tabs>
              <w:tab w:pos="1361" w:val="left" w:leader="none"/>
              <w:tab w:pos="8654" w:val="right" w:leader="middleDot"/>
            </w:tabs>
            <w:spacing w:before="63"/>
            <w:rPr>
              <w:rFonts w:ascii="Times New Roman" w:hAnsi="Times New Roman" w:eastAsia="Times New Roman"/>
            </w:rPr>
          </w:pPr>
          <w:r>
            <w:rPr/>
            <w:t>第十一条</w:t>
            <w:tab/>
            <w:t>申请资料</w:t>
            <w:tab/>
          </w:r>
          <w:r>
            <w:rPr>
              <w:rFonts w:ascii="Times New Roman" w:hAnsi="Times New Roman" w:eastAsia="Times New Roman"/>
              <w:spacing w:val="-20"/>
            </w:rPr>
            <w:t>4··</w:t>
          </w:r>
        </w:p>
        <w:p>
          <w:pPr>
            <w:pStyle w:val="TOC2"/>
            <w:tabs>
              <w:tab w:pos="1361" w:val="left" w:leader="none"/>
              <w:tab w:pos="8770" w:val="right" w:leader="middleDot"/>
            </w:tabs>
            <w:spacing w:before="63"/>
            <w:rPr>
              <w:rFonts w:ascii="Times New Roman" w:hAnsi="Times New Roman" w:eastAsia="Times New Roman"/>
            </w:rPr>
          </w:pPr>
          <w:r>
            <w:rPr/>
            <w:t>第十二条</w:t>
            <w:tab/>
            <w:t>保险金的给付</w:t>
            <w:tab/>
          </w:r>
          <w:r>
            <w:rPr>
              <w:rFonts w:ascii="Times New Roman" w:hAnsi="Times New Roman" w:eastAsia="Times New Roman"/>
              <w:spacing w:val="-13"/>
            </w:rPr>
            <w:t>4····</w:t>
          </w:r>
        </w:p>
        <w:p>
          <w:pPr>
            <w:pStyle w:val="TOC2"/>
            <w:tabs>
              <w:tab w:pos="1361" w:val="left" w:leader="none"/>
              <w:tab w:pos="8654" w:val="right" w:leader="middleDot"/>
            </w:tabs>
            <w:spacing w:before="63"/>
            <w:rPr>
              <w:rFonts w:ascii="Times New Roman" w:hAnsi="Times New Roman" w:eastAsia="Times New Roman"/>
            </w:rPr>
          </w:pPr>
          <w:hyperlink w:history="true" w:anchor="_TOC_250010">
            <w:r>
              <w:rPr/>
              <w:t>第十三条</w:t>
              <w:tab/>
              <w:t>诉讼时效</w:t>
              <w:tab/>
            </w:r>
            <w:r>
              <w:rPr>
                <w:rFonts w:ascii="Times New Roman" w:hAnsi="Times New Roman" w:eastAsia="Times New Roman"/>
                <w:spacing w:val="-20"/>
              </w:rPr>
              <w:t>5··</w:t>
            </w:r>
          </w:hyperlink>
        </w:p>
        <w:p>
          <w:pPr>
            <w:pStyle w:val="TOC1"/>
            <w:tabs>
              <w:tab w:pos="8724" w:val="right" w:leader="middleDot"/>
            </w:tabs>
            <w:spacing w:before="183"/>
            <w:rPr>
              <w:rFonts w:ascii="Times New Roman" w:hAnsi="Times New Roman" w:eastAsia="Times New Roman"/>
            </w:rPr>
          </w:pPr>
          <w:hyperlink w:history="true" w:anchor="_TOC_250009">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5···</w:t>
            </w:r>
          </w:hyperlink>
        </w:p>
        <w:p>
          <w:pPr>
            <w:pStyle w:val="TOC2"/>
            <w:tabs>
              <w:tab w:pos="1361" w:val="left" w:leader="none"/>
              <w:tab w:pos="8770" w:val="right" w:leader="middleDot"/>
            </w:tabs>
            <w:spacing w:before="173"/>
            <w:rPr>
              <w:rFonts w:ascii="Times New Roman" w:hAnsi="Times New Roman" w:eastAsia="Times New Roman"/>
            </w:rPr>
          </w:pPr>
          <w:hyperlink w:history="true" w:anchor="_TOC_250008">
            <w:r>
              <w:rPr/>
              <w:t>第十四条</w:t>
              <w:tab/>
              <w:t>保险费的交纳</w:t>
              <w:tab/>
            </w:r>
            <w:r>
              <w:rPr>
                <w:rFonts w:ascii="Times New Roman" w:hAnsi="Times New Roman" w:eastAsia="Times New Roman"/>
                <w:spacing w:val="-13"/>
              </w:rPr>
              <w:t>5····</w:t>
            </w:r>
          </w:hyperlink>
        </w:p>
        <w:p>
          <w:pPr>
            <w:pStyle w:val="TOC2"/>
            <w:tabs>
              <w:tab w:pos="1361" w:val="left" w:leader="none"/>
              <w:tab w:pos="8952" w:val="right" w:leader="middleDot"/>
            </w:tabs>
            <w:rPr>
              <w:rFonts w:ascii="Times New Roman" w:hAnsi="Times New Roman" w:eastAsia="Times New Roman"/>
            </w:rPr>
          </w:pPr>
          <w:hyperlink w:history="true" w:anchor="_TOC_250007">
            <w:r>
              <w:rPr/>
              <w:t>第十五条</w:t>
              <w:tab/>
              <w:t>保险费率的调整</w:t>
              <w:tab/>
            </w:r>
            <w:r>
              <w:rPr>
                <w:rFonts w:ascii="Times New Roman" w:hAnsi="Times New Roman" w:eastAsia="Times New Roman"/>
                <w:spacing w:val="-8"/>
              </w:rPr>
              <w:t>5·······</w:t>
            </w:r>
          </w:hyperlink>
        </w:p>
        <w:p>
          <w:pPr>
            <w:pStyle w:val="TOC2"/>
            <w:tabs>
              <w:tab w:pos="1361" w:val="left" w:leader="none"/>
              <w:tab w:pos="8714" w:val="right" w:leader="middleDot"/>
            </w:tabs>
            <w:rPr>
              <w:rFonts w:ascii="Times New Roman" w:hAnsi="Times New Roman" w:eastAsia="Times New Roman"/>
            </w:rPr>
          </w:pPr>
          <w:hyperlink w:history="true" w:anchor="_TOC_250006">
            <w:r>
              <w:rPr/>
              <w:t>第十六条</w:t>
              <w:tab/>
              <w:t>宽限期</w:t>
              <w:tab/>
            </w:r>
            <w:r>
              <w:rPr>
                <w:rFonts w:ascii="Times New Roman" w:hAnsi="Times New Roman" w:eastAsia="Times New Roman"/>
                <w:spacing w:val="-15"/>
              </w:rPr>
              <w:t>5···</w:t>
            </w:r>
          </w:hyperlink>
        </w:p>
        <w:p>
          <w:pPr>
            <w:pStyle w:val="TOC1"/>
            <w:tabs>
              <w:tab w:pos="8595" w:val="right" w:leader="middleDot"/>
            </w:tabs>
            <w:rPr>
              <w:rFonts w:ascii="Times New Roman" w:hAnsi="Times New Roman" w:eastAsia="Times New Roman"/>
              <w:b/>
            </w:rPr>
          </w:pPr>
          <w:hyperlink w:history="true" w:anchor="_TOC_250005">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2"/>
            <w:tabs>
              <w:tab w:pos="1361" w:val="left" w:leader="none"/>
              <w:tab w:pos="8654" w:val="right" w:leader="middleDot"/>
            </w:tabs>
            <w:spacing w:before="173"/>
            <w:rPr>
              <w:rFonts w:ascii="Times New Roman" w:hAnsi="Times New Roman" w:eastAsia="Times New Roman"/>
            </w:rPr>
          </w:pPr>
          <w:hyperlink w:history="true" w:anchor="_TOC_250004">
            <w:r>
              <w:rPr/>
              <w:t>第十七条</w:t>
              <w:tab/>
              <w:t>现金价值</w:t>
              <w:tab/>
            </w:r>
            <w:r>
              <w:rPr>
                <w:rFonts w:ascii="Times New Roman" w:hAnsi="Times New Roman" w:eastAsia="Times New Roman"/>
                <w:spacing w:val="-20"/>
              </w:rPr>
              <w:t>5··</w:t>
            </w:r>
          </w:hyperlink>
        </w:p>
        <w:p>
          <w:pPr>
            <w:pStyle w:val="TOC2"/>
            <w:tabs>
              <w:tab w:pos="1361" w:val="left" w:leader="none"/>
              <w:tab w:pos="8952" w:val="right" w:leader="middleDot"/>
            </w:tabs>
            <w:rPr>
              <w:rFonts w:ascii="Times New Roman" w:hAnsi="Times New Roman" w:eastAsia="Times New Roman"/>
            </w:rPr>
          </w:pPr>
          <w:r>
            <w:rPr/>
            <w:t>第十八条</w:t>
            <w:tab/>
            <w:t>合同效力的中止</w:t>
            <w:tab/>
          </w:r>
          <w:r>
            <w:rPr>
              <w:rFonts w:ascii="Times New Roman" w:hAnsi="Times New Roman" w:eastAsia="Times New Roman"/>
              <w:spacing w:val="-8"/>
            </w:rPr>
            <w:t>5·······</w:t>
          </w:r>
        </w:p>
        <w:p>
          <w:pPr>
            <w:pStyle w:val="TOC2"/>
            <w:tabs>
              <w:tab w:pos="1361" w:val="left" w:leader="none"/>
              <w:tab w:pos="8863" w:val="right" w:leader="middleDot"/>
            </w:tabs>
            <w:rPr>
              <w:rFonts w:ascii="Times New Roman" w:hAnsi="Times New Roman" w:eastAsia="Times New Roman"/>
            </w:rPr>
          </w:pPr>
          <w:hyperlink w:history="true" w:anchor="_TOC_250003">
            <w:r>
              <w:rPr>
                <w:w w:val="100"/>
              </w:rPr>
              <w:t>第十九条</w:t>
              <w:tab/>
              <w:t>合同效力的恢</w:t>
            </w:r>
            <w:r>
              <w:rPr>
                <w:spacing w:val="-1"/>
                <w:w w:val="100"/>
              </w:rPr>
              <w:t>复（</w:t>
            </w:r>
            <w:r>
              <w:rPr>
                <w:w w:val="100"/>
              </w:rPr>
              <w:t>以下简</w:t>
            </w:r>
            <w:r>
              <w:rPr>
                <w:spacing w:val="-1"/>
                <w:w w:val="100"/>
              </w:rPr>
              <w:t>称“</w:t>
            </w:r>
            <w:r>
              <w:rPr>
                <w:w w:val="100"/>
              </w:rPr>
              <w:t>复</w:t>
            </w:r>
            <w:r>
              <w:rPr>
                <w:spacing w:val="-1"/>
                <w:w w:val="100"/>
              </w:rPr>
              <w:t>效</w:t>
            </w:r>
            <w:r>
              <w:rPr>
                <w:spacing w:val="-92"/>
                <w:w w:val="100"/>
              </w:rPr>
              <w:t>”</w:t>
            </w:r>
            <w:r>
              <w:rPr>
                <w:w w:val="100"/>
              </w:rPr>
              <w:t>）</w:t>
            </w:r>
            <w:r>
              <w:rPr>
                <w:rFonts w:ascii="Times New Roman" w:hAnsi="Times New Roman" w:eastAsia="Times New Roman"/>
                <w:w w:val="100"/>
              </w:rPr>
              <w:t> </w:t>
              <w:tab/>
            </w:r>
            <w:r>
              <w:rPr>
                <w:rFonts w:ascii="Times New Roman" w:hAnsi="Times New Roman" w:eastAsia="Times New Roman"/>
                <w:spacing w:val="-32"/>
                <w:w w:val="100"/>
              </w:rPr>
              <w:t>5</w:t>
            </w:r>
            <w:r>
              <w:rPr>
                <w:rFonts w:ascii="Times New Roman" w:hAnsi="Times New Roman" w:eastAsia="Times New Roman"/>
                <w:w w:val="100"/>
              </w:rPr>
              <w:t>·····</w:t>
            </w:r>
          </w:hyperlink>
        </w:p>
        <w:p>
          <w:pPr>
            <w:pStyle w:val="TOC1"/>
            <w:tabs>
              <w:tab w:pos="8724" w:val="right" w:leader="middleDot"/>
            </w:tabs>
            <w:rPr>
              <w:rFonts w:ascii="Times New Roman" w:hAnsi="Times New Roman" w:eastAsia="Times New Roman"/>
            </w:rPr>
          </w:pPr>
          <w:hyperlink w:history="true" w:anchor="_TOC_250002">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5···</w:t>
            </w:r>
          </w:hyperlink>
        </w:p>
        <w:p>
          <w:pPr>
            <w:pStyle w:val="TOC2"/>
            <w:tabs>
              <w:tab w:pos="1361" w:val="left" w:leader="none"/>
              <w:tab w:pos="8773" w:val="right" w:leader="middleDot"/>
            </w:tabs>
            <w:spacing w:before="172"/>
            <w:rPr>
              <w:rFonts w:ascii="Times New Roman" w:hAnsi="Times New Roman" w:eastAsia="Times New Roman"/>
            </w:rPr>
          </w:pPr>
          <w:hyperlink w:history="true" w:anchor="_TOC_250001">
            <w:r>
              <w:rPr/>
              <w:t>第二十条</w:t>
              <w:tab/>
              <w:t>您主动解除合同的权利</w:t>
              <w:tab/>
            </w:r>
            <w:r>
              <w:rPr>
                <w:rFonts w:ascii="Times New Roman" w:hAnsi="Times New Roman" w:eastAsia="Times New Roman"/>
                <w:spacing w:val="-13"/>
              </w:rPr>
              <w:t>6····</w:t>
            </w:r>
          </w:hyperlink>
        </w:p>
        <w:p>
          <w:pPr>
            <w:pStyle w:val="TOC2"/>
            <w:tabs>
              <w:tab w:pos="8952" w:val="right" w:leader="middleDot"/>
            </w:tabs>
            <w:rPr>
              <w:rFonts w:ascii="Times New Roman" w:hAnsi="Times New Roman" w:eastAsia="Times New Roman"/>
            </w:rPr>
          </w:pPr>
          <w:r>
            <w:rPr/>
            <w:t>第二十一条</w:t>
          </w:r>
          <w:r>
            <w:rPr>
              <w:spacing w:val="57"/>
            </w:rPr>
            <w:t> </w:t>
          </w:r>
          <w:r>
            <w:rPr/>
            <w:t>合同效力的终止</w:t>
            <w:tab/>
          </w:r>
          <w:r>
            <w:rPr>
              <w:rFonts w:ascii="Times New Roman" w:hAnsi="Times New Roman" w:eastAsia="Times New Roman"/>
              <w:spacing w:val="-8"/>
            </w:rPr>
            <w:t>6·······</w:t>
          </w:r>
        </w:p>
        <w:p>
          <w:pPr>
            <w:pStyle w:val="TOC1"/>
            <w:tabs>
              <w:tab w:pos="8848" w:val="right" w:leader="middleDot"/>
            </w:tabs>
            <w:rPr>
              <w:rFonts w:ascii="Times New Roman" w:hAnsi="Times New Roman" w:eastAsia="Times New Roman"/>
            </w:rPr>
          </w:pPr>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6·····</w:t>
          </w:r>
        </w:p>
        <w:p>
          <w:pPr>
            <w:pStyle w:val="TOC2"/>
            <w:tabs>
              <w:tab w:pos="8833" w:val="right" w:leader="middleDot"/>
            </w:tabs>
            <w:spacing w:before="172"/>
            <w:rPr>
              <w:rFonts w:ascii="Times New Roman" w:hAnsi="Times New Roman" w:eastAsia="Times New Roman"/>
            </w:rPr>
          </w:pPr>
          <w:r>
            <w:rPr/>
            <w:t>第二十二条</w:t>
          </w:r>
          <w:r>
            <w:rPr>
              <w:spacing w:val="57"/>
            </w:rPr>
            <w:t> </w:t>
          </w:r>
          <w:r>
            <w:rPr/>
            <w:t>明确说明与如实告知</w:t>
            <w:tab/>
          </w:r>
          <w:r>
            <w:rPr>
              <w:rFonts w:ascii="Times New Roman" w:hAnsi="Times New Roman" w:eastAsia="Times New Roman"/>
              <w:spacing w:val="-11"/>
            </w:rPr>
            <w:t>6·····</w:t>
          </w:r>
        </w:p>
        <w:p>
          <w:pPr>
            <w:pStyle w:val="TOC2"/>
            <w:tabs>
              <w:tab w:pos="8714" w:val="right" w:leader="middleDot"/>
            </w:tabs>
            <w:rPr>
              <w:rFonts w:ascii="Times New Roman" w:hAnsi="Times New Roman" w:eastAsia="Times New Roman"/>
            </w:rPr>
          </w:pPr>
          <w:hyperlink w:history="true" w:anchor="_TOC_250000">
            <w:r>
              <w:rPr/>
              <w:t>第二十三条</w:t>
            </w:r>
            <w:r>
              <w:rPr>
                <w:spacing w:val="57"/>
              </w:rPr>
              <w:t> </w:t>
            </w:r>
            <w:r>
              <w:rPr/>
              <w:t>本公司合同解除权的限制</w:t>
              <w:tab/>
            </w:r>
            <w:r>
              <w:rPr>
                <w:rFonts w:ascii="Times New Roman" w:hAnsi="Times New Roman" w:eastAsia="Times New Roman"/>
                <w:spacing w:val="-15"/>
              </w:rPr>
              <w:t>6···</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BodyText"/>
        <w:tabs>
          <w:tab w:pos="8595" w:val="right" w:leader="middleDot"/>
        </w:tabs>
        <w:spacing w:before="112"/>
        <w:ind w:left="312"/>
        <w:rPr>
          <w:rFonts w:ascii="Times New Roman" w:hAnsi="Times New Roman" w:eastAsia="Times New Roman"/>
          <w:b/>
        </w:rPr>
      </w:pPr>
      <w:r>
        <w:rPr/>
        <w:t>第二十四条</w:t>
      </w:r>
      <w:r>
        <w:rPr>
          <w:spacing w:val="57"/>
        </w:rPr>
        <w:t> </w:t>
      </w:r>
      <w:r>
        <w:rPr/>
        <w:t>可转换权益</w:t>
        <w:tab/>
      </w:r>
      <w:r>
        <w:rPr>
          <w:rFonts w:ascii="Times New Roman" w:hAnsi="Times New Roman" w:eastAsia="Times New Roman"/>
          <w:spacing w:val="-29"/>
        </w:rPr>
        <w:t>6</w:t>
      </w:r>
      <w:r>
        <w:rPr>
          <w:rFonts w:ascii="Times New Roman" w:hAnsi="Times New Roman" w:eastAsia="Times New Roman"/>
          <w:b/>
          <w:spacing w:val="-29"/>
        </w:rPr>
        <w:t>·</w:t>
      </w:r>
    </w:p>
    <w:p>
      <w:pPr>
        <w:pStyle w:val="BodyText"/>
        <w:tabs>
          <w:tab w:pos="8833" w:val="right" w:leader="middleDot"/>
        </w:tabs>
        <w:spacing w:before="63"/>
        <w:ind w:left="312"/>
        <w:rPr>
          <w:rFonts w:ascii="Times New Roman" w:hAnsi="Times New Roman" w:eastAsia="Times New Roman"/>
        </w:rPr>
      </w:pPr>
      <w:r>
        <w:rPr/>
        <w:t>第二十五条</w:t>
      </w:r>
      <w:r>
        <w:rPr>
          <w:spacing w:val="57"/>
        </w:rPr>
        <w:t> </w:t>
      </w:r>
      <w:r>
        <w:rPr/>
        <w:t>变更合同内容的权利</w:t>
        <w:tab/>
      </w:r>
      <w:r>
        <w:rPr>
          <w:rFonts w:ascii="Times New Roman" w:hAnsi="Times New Roman" w:eastAsia="Times New Roman"/>
          <w:spacing w:val="-11"/>
        </w:rPr>
        <w:t>6·····</w:t>
      </w:r>
    </w:p>
    <w:p>
      <w:pPr>
        <w:pStyle w:val="BodyText"/>
        <w:tabs>
          <w:tab w:pos="8595" w:val="right" w:leader="middleDot"/>
        </w:tabs>
        <w:spacing w:before="63"/>
        <w:ind w:left="312"/>
        <w:rPr>
          <w:rFonts w:ascii="Times New Roman" w:hAnsi="Times New Roman" w:eastAsia="Times New Roman"/>
          <w:b/>
        </w:rPr>
      </w:pPr>
      <w:r>
        <w:rPr/>
        <w:t>第二十六条</w:t>
      </w:r>
      <w:r>
        <w:rPr>
          <w:spacing w:val="56"/>
        </w:rPr>
        <w:t> </w:t>
      </w:r>
      <w:r>
        <w:rPr/>
        <w:t>年龄、性别的确定和错误处理</w:t>
        <w:tab/>
      </w:r>
      <w:r>
        <w:rPr>
          <w:rFonts w:ascii="Times New Roman" w:hAnsi="Times New Roman" w:eastAsia="Times New Roman"/>
          <w:spacing w:val="-29"/>
        </w:rPr>
        <w:t>6</w:t>
      </w:r>
      <w:r>
        <w:rPr>
          <w:rFonts w:ascii="Times New Roman" w:hAnsi="Times New Roman" w:eastAsia="Times New Roman"/>
          <w:b/>
          <w:spacing w:val="-29"/>
        </w:rPr>
        <w:t>·</w:t>
      </w:r>
    </w:p>
    <w:p>
      <w:pPr>
        <w:pStyle w:val="BodyText"/>
        <w:tabs>
          <w:tab w:pos="8654" w:val="right" w:leader="middleDot"/>
        </w:tabs>
        <w:spacing w:before="63"/>
        <w:ind w:left="312"/>
        <w:rPr>
          <w:rFonts w:ascii="Times New Roman" w:hAnsi="Times New Roman" w:eastAsia="Times New Roman"/>
        </w:rPr>
      </w:pPr>
      <w:r>
        <w:rPr/>
        <w:t>第二十七条</w:t>
      </w:r>
      <w:r>
        <w:rPr>
          <w:spacing w:val="57"/>
        </w:rPr>
        <w:t> </w:t>
      </w:r>
      <w:r>
        <w:rPr/>
        <w:t>未还款项</w:t>
        <w:tab/>
      </w:r>
      <w:r>
        <w:rPr>
          <w:rFonts w:ascii="Times New Roman" w:hAnsi="Times New Roman" w:eastAsia="Times New Roman"/>
          <w:spacing w:val="-20"/>
        </w:rPr>
        <w:t>7··</w:t>
      </w:r>
    </w:p>
    <w:p>
      <w:pPr>
        <w:pStyle w:val="BodyText"/>
        <w:tabs>
          <w:tab w:pos="8952" w:val="right" w:leader="middleDot"/>
        </w:tabs>
        <w:spacing w:before="63"/>
        <w:ind w:left="312"/>
        <w:rPr>
          <w:rFonts w:ascii="Times New Roman" w:hAnsi="Times New Roman" w:eastAsia="Times New Roman"/>
        </w:rPr>
      </w:pPr>
      <w:r>
        <w:rPr/>
        <w:t>第二十八条</w:t>
      </w:r>
      <w:r>
        <w:rPr>
          <w:spacing w:val="57"/>
        </w:rPr>
        <w:t> </w:t>
      </w:r>
      <w:r>
        <w:rPr/>
        <w:t>地址变更的通知</w:t>
        <w:tab/>
      </w:r>
      <w:r>
        <w:rPr>
          <w:rFonts w:ascii="Times New Roman" w:hAnsi="Times New Roman" w:eastAsia="Times New Roman"/>
          <w:spacing w:val="-8"/>
        </w:rPr>
        <w:t>7·······</w:t>
      </w:r>
    </w:p>
    <w:p>
      <w:pPr>
        <w:pStyle w:val="BodyText"/>
        <w:tabs>
          <w:tab w:pos="8654" w:val="right" w:leader="middleDot"/>
        </w:tabs>
        <w:spacing w:before="63"/>
        <w:ind w:left="312"/>
        <w:rPr>
          <w:rFonts w:ascii="Times New Roman" w:hAnsi="Times New Roman" w:eastAsia="Times New Roman"/>
        </w:rPr>
      </w:pPr>
      <w:r>
        <w:rPr/>
        <w:t>第二十九条</w:t>
      </w:r>
      <w:r>
        <w:rPr>
          <w:spacing w:val="57"/>
        </w:rPr>
        <w:t> </w:t>
      </w:r>
      <w:r>
        <w:rPr/>
        <w:t>争议处理</w:t>
        <w:tab/>
      </w:r>
      <w:r>
        <w:rPr>
          <w:rFonts w:ascii="Times New Roman" w:hAnsi="Times New Roman" w:eastAsia="Times New Roman"/>
          <w:spacing w:val="-20"/>
        </w:rPr>
        <w:t>7··</w:t>
      </w:r>
    </w:p>
    <w:p>
      <w:pPr>
        <w:pStyle w:val="BodyText"/>
        <w:tabs>
          <w:tab w:pos="8833" w:val="right" w:leader="middleDot"/>
        </w:tabs>
        <w:spacing w:before="183"/>
        <w:ind w:left="101"/>
        <w:rPr>
          <w:rFonts w:ascii="Times New Roman" w:hAnsi="Times New Roman" w:eastAsia="Times New Roman"/>
        </w:rPr>
      </w:pPr>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7·····</w:t>
      </w:r>
    </w:p>
    <w:p>
      <w:pPr>
        <w:spacing w:after="0"/>
        <w:rPr>
          <w:rFonts w:ascii="Times New Roman" w:hAnsi="Times New Roman" w:eastAsia="Times New Roman"/>
        </w:rPr>
        <w:sectPr>
          <w:pgSz w:w="11960" w:h="16850"/>
          <w:pgMar w:header="0" w:footer="1001" w:top="1600" w:bottom="1200" w:left="1600" w:right="1280"/>
        </w:sectPr>
      </w:pPr>
    </w:p>
    <w:p>
      <w:pPr>
        <w:pStyle w:val="Heading1"/>
        <w:tabs>
          <w:tab w:pos="1361" w:val="left" w:leader="none"/>
          <w:tab w:pos="2909" w:val="left" w:leader="none"/>
        </w:tabs>
        <w:spacing w:line="439" w:lineRule="auto" w:before="112"/>
        <w:ind w:right="1116" w:firstLine="1007"/>
      </w:pPr>
      <w:r>
        <w:rPr/>
        <w:t>第一部分</w:t>
        <w:tab/>
      </w:r>
      <w:r>
        <w:rPr>
          <w:spacing w:val="-1"/>
          <w:w w:val="95"/>
        </w:rPr>
        <w:t>您（投</w:t>
      </w:r>
      <w:r>
        <w:rPr>
          <w:w w:val="95"/>
        </w:rPr>
        <w:t>保人）与我们（北大方正人寿保险有限公司）的合同   </w:t>
      </w:r>
      <w:r>
        <w:rPr/>
        <w:t>第一条</w:t>
        <w:tab/>
      </w:r>
      <w:r>
        <w:rPr>
          <w:w w:val="95"/>
        </w:rPr>
        <w:t>合同的构成</w:t>
      </w:r>
    </w:p>
    <w:p>
      <w:pPr>
        <w:pStyle w:val="BodyText"/>
        <w:spacing w:line="316" w:lineRule="auto" w:before="47"/>
        <w:ind w:left="101" w:right="105"/>
      </w:pPr>
      <w:r>
        <w:rPr>
          <w:spacing w:val="-2"/>
          <w:w w:val="100"/>
        </w:rPr>
        <w:t>本保险合同</w:t>
      </w:r>
      <w:r>
        <w:rPr>
          <w:spacing w:val="-1"/>
          <w:w w:val="100"/>
        </w:rPr>
        <w:t>（</w:t>
      </w:r>
      <w:r>
        <w:rPr>
          <w:spacing w:val="-12"/>
          <w:w w:val="100"/>
        </w:rPr>
        <w:t>以下简称“本合同”</w:t>
      </w:r>
      <w:r>
        <w:rPr>
          <w:spacing w:val="-8"/>
          <w:w w:val="100"/>
        </w:rPr>
        <w:t>）</w:t>
      </w:r>
      <w:r>
        <w:rPr>
          <w:spacing w:val="-5"/>
          <w:w w:val="100"/>
        </w:rPr>
        <w:t>由保险单或其他保险凭证及所附条款、投保单、申请书、声明、批注及其</w:t>
      </w:r>
      <w:r>
        <w:rPr>
          <w:spacing w:val="-1"/>
        </w:rPr>
        <w:t>他约定您和我们之间权利义务关系的书面文件构成。</w:t>
      </w:r>
    </w:p>
    <w:p>
      <w:pPr>
        <w:tabs>
          <w:tab w:pos="1361" w:val="left" w:leader="none"/>
        </w:tabs>
        <w:spacing w:line="415" w:lineRule="auto" w:before="18"/>
        <w:ind w:left="101" w:right="6383" w:firstLine="0"/>
        <w:jc w:val="left"/>
        <w:rPr>
          <w:b/>
          <w:sz w:val="18"/>
        </w:rPr>
      </w:pPr>
      <w:r>
        <w:rPr>
          <w:sz w:val="18"/>
        </w:rPr>
        <w:t>本合同的英文简称为</w:t>
      </w:r>
      <w:r>
        <w:rPr>
          <w:spacing w:val="-47"/>
          <w:sz w:val="18"/>
        </w:rPr>
        <w:t> </w:t>
      </w:r>
      <w:r>
        <w:rPr>
          <w:rFonts w:ascii="Times New Roman" w:eastAsia="Times New Roman"/>
          <w:sz w:val="18"/>
        </w:rPr>
        <w:t>BDD</w:t>
      </w:r>
      <w:r>
        <w:rPr>
          <w:sz w:val="18"/>
        </w:rPr>
        <w:t>。</w:t>
      </w:r>
      <w:r>
        <w:rPr>
          <w:b/>
          <w:sz w:val="18"/>
        </w:rPr>
        <w:t>第二条</w:t>
        <w:tab/>
      </w:r>
      <w:r>
        <w:rPr>
          <w:b/>
          <w:w w:val="95"/>
          <w:sz w:val="18"/>
        </w:rPr>
        <w:t>投保范围</w:t>
      </w:r>
    </w:p>
    <w:p>
      <w:pPr>
        <w:spacing w:line="103" w:lineRule="exact" w:before="36"/>
        <w:ind w:left="3701" w:right="0" w:firstLine="0"/>
        <w:jc w:val="left"/>
        <w:rPr>
          <w:b/>
          <w:sz w:val="12"/>
        </w:rPr>
      </w:pPr>
      <w:r>
        <w:rPr>
          <w:b/>
          <w:sz w:val="12"/>
        </w:rPr>
        <w:t>释义 1</w:t>
      </w:r>
    </w:p>
    <w:p>
      <w:pPr>
        <w:pStyle w:val="BodyText"/>
        <w:tabs>
          <w:tab w:pos="4063" w:val="left" w:leader="none"/>
        </w:tabs>
        <w:spacing w:line="182" w:lineRule="exact"/>
        <w:ind w:left="101"/>
      </w:pPr>
      <w:r>
        <w:rPr/>
        <w:t>本合同接受的被保险人的投保年龄为十八</w:t>
      </w:r>
      <w:r>
        <w:rPr>
          <w:b/>
        </w:rPr>
        <w:t>周岁</w:t>
        <w:tab/>
      </w:r>
      <w:r>
        <w:rPr>
          <w:spacing w:val="-1"/>
        </w:rPr>
        <w:t>至</w:t>
      </w:r>
      <w:r>
        <w:rPr/>
        <w:t>五十</w:t>
      </w:r>
      <w:r>
        <w:rPr>
          <w:spacing w:val="-3"/>
        </w:rPr>
        <w:t>五</w:t>
      </w:r>
      <w:r>
        <w:rPr/>
        <w:t>周岁。</w:t>
      </w:r>
    </w:p>
    <w:p>
      <w:pPr>
        <w:pStyle w:val="BodyText"/>
        <w:spacing w:before="4"/>
        <w:ind w:left="0"/>
        <w:rPr>
          <w:sz w:val="13"/>
        </w:rPr>
      </w:pPr>
    </w:p>
    <w:p>
      <w:pPr>
        <w:pStyle w:val="Heading1"/>
        <w:tabs>
          <w:tab w:pos="1361" w:val="left" w:leader="none"/>
        </w:tabs>
      </w:pPr>
      <w:bookmarkStart w:name="_TOC_250018" w:id="1"/>
      <w:r>
        <w:rPr/>
        <w:t>第三条</w:t>
        <w:tab/>
      </w:r>
      <w:bookmarkEnd w:id="1"/>
      <w:r>
        <w:rPr>
          <w:w w:val="95"/>
        </w:rPr>
        <w:t>保险期间</w:t>
      </w:r>
    </w:p>
    <w:p>
      <w:pPr>
        <w:pStyle w:val="BodyText"/>
        <w:spacing w:before="12"/>
        <w:ind w:left="0"/>
        <w:rPr>
          <w:b/>
          <w:sz w:val="14"/>
        </w:rPr>
      </w:pPr>
    </w:p>
    <w:p>
      <w:pPr>
        <w:tabs>
          <w:tab w:pos="1361" w:val="left" w:leader="none"/>
        </w:tabs>
        <w:spacing w:line="439" w:lineRule="auto" w:before="0"/>
        <w:ind w:left="101" w:right="6086" w:firstLine="0"/>
        <w:jc w:val="left"/>
        <w:rPr>
          <w:b/>
          <w:sz w:val="18"/>
        </w:rPr>
      </w:pPr>
      <w:r>
        <w:rPr>
          <w:sz w:val="18"/>
        </w:rPr>
        <w:t>本合同的保险期间为二十年。 </w:t>
      </w:r>
      <w:r>
        <w:rPr>
          <w:b/>
          <w:sz w:val="18"/>
        </w:rPr>
        <w:t>第四条</w:t>
        <w:tab/>
      </w:r>
      <w:r>
        <w:rPr>
          <w:b/>
          <w:w w:val="95"/>
          <w:sz w:val="18"/>
        </w:rPr>
        <w:t>保险责任的开始</w:t>
      </w:r>
    </w:p>
    <w:p>
      <w:pPr>
        <w:pStyle w:val="BodyText"/>
        <w:spacing w:before="46"/>
        <w:ind w:left="101"/>
        <w:rPr>
          <w:b/>
        </w:rPr>
      </w:pPr>
      <w:r>
        <w:rPr/>
        <w:t>在我们同意承保、签发正式保险合同并收到您交付的首期保险费的条件下，我们所承担的保险责任自</w:t>
      </w:r>
      <w:r>
        <w:rPr>
          <w:b/>
        </w:rPr>
        <w:t>本合同</w:t>
      </w:r>
    </w:p>
    <w:p>
      <w:pPr>
        <w:spacing w:line="103" w:lineRule="exact" w:before="47"/>
        <w:ind w:left="641" w:right="0" w:firstLine="0"/>
        <w:jc w:val="left"/>
        <w:rPr>
          <w:b/>
          <w:sz w:val="12"/>
        </w:rPr>
      </w:pPr>
      <w:r>
        <w:rPr>
          <w:b/>
          <w:sz w:val="12"/>
        </w:rPr>
        <w:t>释义 2</w:t>
      </w:r>
    </w:p>
    <w:p>
      <w:pPr>
        <w:pStyle w:val="BodyText"/>
        <w:tabs>
          <w:tab w:pos="1046" w:val="left" w:leader="none"/>
        </w:tabs>
        <w:spacing w:line="182" w:lineRule="exact"/>
        <w:ind w:left="101"/>
      </w:pPr>
      <w:r>
        <w:rPr>
          <w:b/>
        </w:rPr>
        <w:t>生效日</w:t>
        <w:tab/>
      </w:r>
      <w:r>
        <w:rPr>
          <w:spacing w:val="-1"/>
        </w:rPr>
        <w:t>的次日零时</w:t>
      </w:r>
      <w:r>
        <w:rPr/>
        <w:t>开始</w:t>
      </w:r>
      <w:r>
        <w:rPr>
          <w:spacing w:val="-3"/>
        </w:rPr>
        <w:t>，</w:t>
      </w:r>
      <w:r>
        <w:rPr/>
        <w:t>至本合同约定情形发生时终止。如果我们已经同意承保并签发保险合同，但因</w:t>
      </w:r>
    </w:p>
    <w:p>
      <w:pPr>
        <w:pStyle w:val="BodyText"/>
        <w:spacing w:line="316" w:lineRule="auto" w:before="55"/>
        <w:ind w:left="101" w:right="108"/>
      </w:pPr>
      <w:r>
        <w:rPr/>
        <w:t>为您的原因导致我们未能在和您约定的时间内收到首期保险费的，本合同自始不生效，我们自始不承担保险责任，您应当将我们签发的保险合同返还给我们。</w:t>
      </w:r>
    </w:p>
    <w:p>
      <w:pPr>
        <w:pStyle w:val="Heading1"/>
        <w:tabs>
          <w:tab w:pos="1361" w:val="left" w:leader="none"/>
        </w:tabs>
        <w:spacing w:before="138"/>
      </w:pPr>
      <w:bookmarkStart w:name="_TOC_250017" w:id="2"/>
      <w:r>
        <w:rPr/>
        <w:t>第五条</w:t>
        <w:tab/>
      </w:r>
      <w:bookmarkEnd w:id="2"/>
      <w:r>
        <w:rPr>
          <w:w w:val="95"/>
        </w:rPr>
        <w:t>犹豫期</w:t>
      </w:r>
    </w:p>
    <w:p>
      <w:pPr>
        <w:pStyle w:val="BodyText"/>
        <w:spacing w:before="12"/>
        <w:ind w:left="0"/>
        <w:rPr>
          <w:b/>
          <w:sz w:val="14"/>
        </w:rPr>
      </w:pPr>
    </w:p>
    <w:p>
      <w:pPr>
        <w:pStyle w:val="BodyText"/>
        <w:spacing w:before="1"/>
        <w:ind w:left="101"/>
      </w:pPr>
      <w:r>
        <w:rPr/>
        <w:t>您收到本合同并书面签收之日起，我们给予您十日的犹豫期，以便您在此期间浏览本合同。</w:t>
      </w:r>
    </w:p>
    <w:p>
      <w:pPr>
        <w:pStyle w:val="BodyText"/>
        <w:spacing w:line="316" w:lineRule="auto" w:before="76"/>
        <w:ind w:left="101" w:right="108"/>
      </w:pPr>
      <w:r>
        <w:rPr/>
        <w:t>如果您确定本合同与您的需求不相符，您可以在犹豫期内以书面形式向我们提出解除本合同的申请，同时提供您的身份证明复印件，并退还本合同及首期保险费发票原件。</w:t>
      </w:r>
    </w:p>
    <w:p>
      <w:pPr>
        <w:pStyle w:val="BodyText"/>
        <w:spacing w:line="316" w:lineRule="auto" w:before="18"/>
        <w:ind w:left="101" w:right="108"/>
      </w:pPr>
      <w:r>
        <w:rPr/>
        <w:t>自我们收到您解除本合同的书面申请之日起，本合同正式解除，我们自始不承担保险责任。我们将在扣除十元合同工本费后无息退还已收全部保险费。如果被保险人曾接受过我们的体检，体检费用须自行承担。</w:t>
      </w:r>
    </w:p>
    <w:p>
      <w:pPr>
        <w:pStyle w:val="Heading1"/>
        <w:tabs>
          <w:tab w:pos="1799" w:val="left" w:leader="none"/>
        </w:tabs>
        <w:spacing w:before="18"/>
        <w:ind w:left="0" w:right="6"/>
        <w:jc w:val="center"/>
      </w:pPr>
      <w:bookmarkStart w:name="_TOC_250016" w:id="3"/>
      <w:r>
        <w:rPr/>
        <w:t>第二部分</w:t>
        <w:tab/>
      </w:r>
      <w:bookmarkEnd w:id="3"/>
      <w:r>
        <w:rPr>
          <w:w w:val="95"/>
        </w:rPr>
        <w:t>我们提供的保障</w:t>
      </w:r>
    </w:p>
    <w:p>
      <w:pPr>
        <w:pStyle w:val="BodyText"/>
        <w:spacing w:before="12"/>
        <w:ind w:left="0"/>
        <w:rPr>
          <w:b/>
          <w:sz w:val="14"/>
        </w:rPr>
      </w:pPr>
    </w:p>
    <w:p>
      <w:pPr>
        <w:pStyle w:val="Heading1"/>
        <w:tabs>
          <w:tab w:pos="1361" w:val="left" w:leader="none"/>
        </w:tabs>
      </w:pPr>
      <w:bookmarkStart w:name="_TOC_250015" w:id="4"/>
      <w:r>
        <w:rPr/>
        <w:t>第六条</w:t>
        <w:tab/>
      </w:r>
      <w:bookmarkEnd w:id="4"/>
      <w:r>
        <w:rPr>
          <w:w w:val="95"/>
        </w:rPr>
        <w:t>基本保险金额</w:t>
      </w:r>
    </w:p>
    <w:p>
      <w:pPr>
        <w:pStyle w:val="BodyText"/>
        <w:spacing w:before="12"/>
        <w:ind w:left="0"/>
        <w:rPr>
          <w:b/>
          <w:sz w:val="14"/>
        </w:rPr>
      </w:pPr>
    </w:p>
    <w:p>
      <w:pPr>
        <w:pStyle w:val="BodyText"/>
        <w:spacing w:line="316" w:lineRule="auto"/>
        <w:ind w:left="101" w:right="108"/>
      </w:pPr>
      <w:r>
        <w:rPr/>
        <w:t>本合同的基本保险金额由您在投保时与我们约定并在保险单或批注上载明。如果该金额因本合同其他条款的约定而发生变更，则以变更后的金额为基本保险金额。</w:t>
      </w:r>
    </w:p>
    <w:p>
      <w:pPr>
        <w:pStyle w:val="Heading1"/>
        <w:tabs>
          <w:tab w:pos="1361" w:val="left" w:leader="none"/>
        </w:tabs>
        <w:spacing w:before="138"/>
      </w:pPr>
      <w:bookmarkStart w:name="_TOC_250014" w:id="5"/>
      <w:r>
        <w:rPr/>
        <w:t>第七条</w:t>
        <w:tab/>
      </w:r>
      <w:bookmarkEnd w:id="5"/>
      <w:r>
        <w:rPr>
          <w:w w:val="95"/>
        </w:rPr>
        <w:t>保险责任</w:t>
      </w:r>
    </w:p>
    <w:p>
      <w:pPr>
        <w:pStyle w:val="BodyText"/>
        <w:spacing w:before="13"/>
        <w:ind w:left="0"/>
        <w:rPr>
          <w:b/>
          <w:sz w:val="14"/>
        </w:rPr>
      </w:pPr>
    </w:p>
    <w:p>
      <w:pPr>
        <w:pStyle w:val="BodyText"/>
        <w:ind w:left="101"/>
      </w:pPr>
      <w:r>
        <w:rPr/>
        <w:t>在本合同的有效保险期间内，我们将承担下列保险责任：</w:t>
      </w:r>
    </w:p>
    <w:p>
      <w:pPr>
        <w:pStyle w:val="Heading1"/>
        <w:spacing w:line="316" w:lineRule="auto" w:before="76"/>
        <w:ind w:right="681"/>
        <w:rPr>
          <w:b w:val="0"/>
        </w:rPr>
      </w:pPr>
      <w:r>
        <w:rPr>
          <w:w w:val="95"/>
        </w:rPr>
        <w:t>等待期：本合同生效日或最后复效日（以较迟者为准）起一百八十天内(含第一百八十天)为等待期。   </w:t>
      </w:r>
      <w:r>
        <w:rPr>
          <w:b w:val="0"/>
        </w:rPr>
        <w:t>重大疾病保险金</w:t>
      </w:r>
    </w:p>
    <w:p>
      <w:pPr>
        <w:tabs>
          <w:tab w:pos="1101" w:val="left" w:leader="none"/>
        </w:tabs>
        <w:spacing w:line="94" w:lineRule="exact" w:before="0"/>
        <w:ind w:left="0" w:right="1305" w:firstLine="0"/>
        <w:jc w:val="center"/>
        <w:rPr>
          <w:b/>
          <w:sz w:val="12"/>
        </w:rPr>
      </w:pPr>
      <w:r>
        <w:rPr>
          <w:b/>
          <w:sz w:val="12"/>
        </w:rPr>
        <w:t>释义</w:t>
      </w:r>
      <w:r>
        <w:rPr>
          <w:b/>
          <w:spacing w:val="-21"/>
          <w:sz w:val="12"/>
        </w:rPr>
        <w:t> </w:t>
      </w:r>
      <w:r>
        <w:rPr>
          <w:b/>
          <w:sz w:val="12"/>
        </w:rPr>
        <w:t>3</w:t>
        <w:tab/>
        <w:t>释义</w:t>
      </w:r>
      <w:r>
        <w:rPr>
          <w:b/>
          <w:spacing w:val="-22"/>
          <w:sz w:val="12"/>
        </w:rPr>
        <w:t> </w:t>
      </w:r>
      <w:r>
        <w:rPr>
          <w:b/>
          <w:sz w:val="12"/>
        </w:rPr>
        <w:t>4</w:t>
      </w:r>
    </w:p>
    <w:p>
      <w:pPr>
        <w:pStyle w:val="BodyText"/>
        <w:tabs>
          <w:tab w:pos="3365" w:val="left" w:leader="none"/>
          <w:tab w:pos="4466" w:val="left" w:leader="none"/>
        </w:tabs>
        <w:spacing w:line="182" w:lineRule="exact"/>
        <w:ind w:left="101"/>
      </w:pPr>
      <w:r>
        <w:rPr/>
        <w:t>如果被保险人在等待期内，首次</w:t>
      </w:r>
      <w:r>
        <w:rPr>
          <w:b/>
        </w:rPr>
        <w:t>发病</w:t>
        <w:tab/>
      </w:r>
      <w:r>
        <w:rPr/>
        <w:t>并</w:t>
      </w:r>
      <w:r>
        <w:rPr>
          <w:spacing w:val="-3"/>
        </w:rPr>
        <w:t>经</w:t>
      </w:r>
      <w:r>
        <w:rPr>
          <w:b/>
        </w:rPr>
        <w:t>医生</w:t>
        <w:tab/>
      </w:r>
      <w:r>
        <w:rPr/>
        <w:t>确</w:t>
      </w:r>
      <w:r>
        <w:rPr>
          <w:spacing w:val="-3"/>
        </w:rPr>
        <w:t>诊</w:t>
      </w:r>
      <w:r>
        <w:rPr/>
        <w:t>初次患有本合同内所界定的重大疾病中的任何一</w:t>
      </w:r>
    </w:p>
    <w:p>
      <w:pPr>
        <w:spacing w:line="103" w:lineRule="exact" w:before="26"/>
        <w:ind w:left="0" w:right="251" w:firstLine="0"/>
        <w:jc w:val="center"/>
        <w:rPr>
          <w:b/>
          <w:sz w:val="12"/>
        </w:rPr>
      </w:pPr>
      <w:r>
        <w:rPr>
          <w:b/>
          <w:sz w:val="12"/>
        </w:rPr>
        <w:t>释义 5</w:t>
      </w:r>
    </w:p>
    <w:p>
      <w:pPr>
        <w:tabs>
          <w:tab w:pos="4394" w:val="left" w:leader="none"/>
        </w:tabs>
        <w:spacing w:line="182" w:lineRule="exact" w:before="0"/>
        <w:ind w:left="101" w:right="0" w:firstLine="0"/>
        <w:jc w:val="left"/>
        <w:rPr>
          <w:sz w:val="18"/>
        </w:rPr>
      </w:pPr>
      <w:r>
        <w:rPr>
          <w:sz w:val="18"/>
        </w:rPr>
        <w:t>种疾病，我们将无息返还本合同</w:t>
      </w:r>
      <w:r>
        <w:rPr>
          <w:b/>
          <w:sz w:val="18"/>
        </w:rPr>
        <w:t>所有已交的保险费</w:t>
        <w:tab/>
      </w:r>
      <w:r>
        <w:rPr>
          <w:spacing w:val="-1"/>
          <w:sz w:val="18"/>
        </w:rPr>
        <w:t>，</w:t>
      </w:r>
      <w:r>
        <w:rPr>
          <w:spacing w:val="-3"/>
          <w:sz w:val="18"/>
        </w:rPr>
        <w:t>同</w:t>
      </w:r>
      <w:r>
        <w:rPr>
          <w:spacing w:val="-1"/>
          <w:sz w:val="18"/>
        </w:rPr>
        <w:t>时</w:t>
      </w:r>
      <w:r>
        <w:rPr>
          <w:sz w:val="18"/>
        </w:rPr>
        <w:t>本合同终止。</w:t>
      </w:r>
    </w:p>
    <w:p>
      <w:pPr>
        <w:pStyle w:val="BodyText"/>
        <w:spacing w:line="316" w:lineRule="auto" w:before="55"/>
        <w:ind w:left="101" w:right="108"/>
      </w:pPr>
      <w:r>
        <w:rPr/>
        <w:t>如果被保险人在等待期后，首次发病并经医生确诊初次患有本合同内所界定的重大疾病中的任何一种疾病， 我们将按基本保险金额给付重大疾病保险金，同时本合同终止。</w:t>
      </w:r>
    </w:p>
    <w:p>
      <w:pPr>
        <w:spacing w:line="94" w:lineRule="exact" w:before="0"/>
        <w:ind w:left="0" w:right="251" w:firstLine="0"/>
        <w:jc w:val="center"/>
        <w:rPr>
          <w:b/>
          <w:sz w:val="12"/>
        </w:rPr>
      </w:pPr>
      <w:r>
        <w:rPr>
          <w:b/>
          <w:sz w:val="12"/>
        </w:rPr>
        <w:t>释义 6</w:t>
      </w:r>
    </w:p>
    <w:p>
      <w:pPr>
        <w:pStyle w:val="BodyText"/>
        <w:tabs>
          <w:tab w:pos="4425" w:val="left" w:leader="none"/>
        </w:tabs>
        <w:spacing w:line="182" w:lineRule="exact"/>
        <w:ind w:left="101"/>
      </w:pPr>
      <w:r>
        <w:rPr/>
        <w:t>如果该重大疾病是由于被保险人遭受</w:t>
      </w:r>
      <w:r>
        <w:rPr>
          <w:b/>
        </w:rPr>
        <w:t>意外伤害事故</w:t>
        <w:tab/>
      </w:r>
      <w:r>
        <w:rPr>
          <w:spacing w:val="-1"/>
        </w:rPr>
        <w:t>引</w:t>
      </w:r>
      <w:r>
        <w:rPr>
          <w:spacing w:val="-3"/>
        </w:rPr>
        <w:t>起</w:t>
      </w:r>
      <w:r>
        <w:rPr>
          <w:spacing w:val="-1"/>
        </w:rPr>
        <w:t>的，</w:t>
      </w:r>
      <w:r>
        <w:rPr/>
        <w:t>则无须受等待期的限制。</w:t>
      </w:r>
    </w:p>
    <w:p>
      <w:pPr>
        <w:pStyle w:val="BodyText"/>
        <w:spacing w:before="4"/>
        <w:ind w:left="0"/>
        <w:rPr>
          <w:sz w:val="13"/>
        </w:rPr>
      </w:pPr>
    </w:p>
    <w:p>
      <w:pPr>
        <w:pStyle w:val="Heading1"/>
        <w:tabs>
          <w:tab w:pos="1361" w:val="left" w:leader="none"/>
        </w:tabs>
      </w:pPr>
      <w:bookmarkStart w:name="_TOC_250013" w:id="6"/>
      <w:r>
        <w:rPr/>
        <w:t>第八条</w:t>
        <w:tab/>
      </w:r>
      <w:bookmarkEnd w:id="6"/>
      <w:r>
        <w:rPr>
          <w:w w:val="95"/>
        </w:rPr>
        <w:t>责任免除</w:t>
      </w:r>
    </w:p>
    <w:p>
      <w:pPr>
        <w:pStyle w:val="BodyText"/>
        <w:spacing w:before="12"/>
        <w:ind w:left="0"/>
        <w:rPr>
          <w:b/>
          <w:sz w:val="14"/>
        </w:rPr>
      </w:pPr>
    </w:p>
    <w:p>
      <w:pPr>
        <w:spacing w:before="0"/>
        <w:ind w:left="101" w:right="0" w:firstLine="0"/>
        <w:jc w:val="left"/>
        <w:rPr>
          <w:b/>
          <w:sz w:val="18"/>
        </w:rPr>
      </w:pPr>
      <w:r>
        <w:rPr>
          <w:b/>
          <w:sz w:val="18"/>
        </w:rPr>
        <w:t>因下列情形之一导致被保险人初次患有本合同内所界定的重大疾病的，我们不承担给付重大疾病保险金的责</w:t>
      </w:r>
    </w:p>
    <w:p>
      <w:pPr>
        <w:spacing w:after="0"/>
        <w:jc w:val="left"/>
        <w:rPr>
          <w:sz w:val="18"/>
        </w:rPr>
        <w:sectPr>
          <w:pgSz w:w="11960" w:h="16850"/>
          <w:pgMar w:header="0" w:footer="1001" w:top="1600" w:bottom="1200" w:left="1600" w:right="1640"/>
        </w:sectPr>
      </w:pPr>
    </w:p>
    <w:p>
      <w:pPr>
        <w:spacing w:before="112"/>
        <w:ind w:left="101" w:right="0" w:firstLine="0"/>
        <w:jc w:val="left"/>
        <w:rPr>
          <w:b/>
          <w:sz w:val="18"/>
        </w:rPr>
      </w:pPr>
      <w:r>
        <w:rPr>
          <w:b/>
          <w:w w:val="95"/>
          <w:sz w:val="18"/>
        </w:rPr>
        <w:t>任：</w:t>
      </w:r>
    </w:p>
    <w:p>
      <w:pPr>
        <w:spacing w:before="76"/>
        <w:ind w:left="10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689" w:firstLine="0"/>
        <w:jc w:val="center"/>
        <w:rPr>
          <w:b/>
          <w:sz w:val="12"/>
        </w:rPr>
      </w:pPr>
      <w:r>
        <w:rPr>
          <w:b/>
          <w:sz w:val="12"/>
        </w:rPr>
        <w:t>释义 7</w:t>
      </w:r>
    </w:p>
    <w:p>
      <w:pPr>
        <w:pStyle w:val="Heading1"/>
        <w:tabs>
          <w:tab w:pos="3225" w:val="left" w:leader="none"/>
        </w:tabs>
        <w:spacing w:line="196" w:lineRule="exact"/>
      </w:pPr>
      <w:r>
        <w:rPr/>
        <w:t>（</w:t>
      </w:r>
      <w:r>
        <w:rPr>
          <w:rFonts w:ascii="Times New Roman" w:eastAsia="Times New Roman"/>
        </w:rPr>
        <w:t>3</w:t>
      </w:r>
      <w:r>
        <w:rPr/>
        <w:t>）被保险人主动吸食或注射毒品</w:t>
        <w:tab/>
        <w:t>；</w:t>
      </w:r>
    </w:p>
    <w:p>
      <w:pPr>
        <w:tabs>
          <w:tab w:pos="4305" w:val="left" w:leader="none"/>
          <w:tab w:pos="6288" w:val="left" w:leader="none"/>
          <w:tab w:pos="7428" w:val="left" w:leader="none"/>
        </w:tabs>
        <w:spacing w:line="103" w:lineRule="exact" w:before="13"/>
        <w:ind w:left="1992" w:right="0" w:firstLine="0"/>
        <w:jc w:val="left"/>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1"/>
          <w:sz w:val="12"/>
        </w:rPr>
        <w:t> </w:t>
      </w:r>
      <w:r>
        <w:rPr>
          <w:b/>
          <w:sz w:val="12"/>
        </w:rPr>
        <w:t>10</w:t>
        <w:tab/>
        <w:t>释义</w:t>
      </w:r>
      <w:r>
        <w:rPr>
          <w:b/>
          <w:spacing w:val="-32"/>
          <w:sz w:val="12"/>
        </w:rPr>
        <w:t> </w:t>
      </w:r>
      <w:r>
        <w:rPr>
          <w:b/>
          <w:sz w:val="12"/>
        </w:rPr>
        <w:t>11</w:t>
      </w:r>
    </w:p>
    <w:p>
      <w:pPr>
        <w:pStyle w:val="Heading1"/>
        <w:tabs>
          <w:tab w:pos="2323" w:val="left" w:leader="none"/>
          <w:tab w:pos="4668" w:val="left" w:leader="none"/>
          <w:tab w:pos="6710" w:val="left" w:leader="none"/>
          <w:tab w:pos="7819"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t>的机</w:t>
      </w:r>
      <w:r>
        <w:rPr>
          <w:spacing w:val="-3"/>
        </w:rPr>
        <w:t>动</w:t>
      </w:r>
      <w:r>
        <w:rPr/>
        <w:t>车</w:t>
        <w:tab/>
        <w:t>；</w:t>
      </w:r>
    </w:p>
    <w:p>
      <w:pPr>
        <w:tabs>
          <w:tab w:pos="2622" w:val="left" w:leader="none"/>
        </w:tabs>
        <w:spacing w:line="103" w:lineRule="exact" w:before="13"/>
        <w:ind w:left="0" w:right="181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2383" w:val="left" w:leader="none"/>
          <w:tab w:pos="500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 </w:t>
      </w:r>
      <w:r>
        <w:rPr>
          <w:rFonts w:ascii="Times New Roman" w:eastAsia="Times New Roman"/>
          <w:spacing w:val="-5"/>
          <w:w w:val="100"/>
        </w:rPr>
        <w:t> </w:t>
      </w:r>
      <w:r>
        <w:rPr>
          <w:w w:val="99"/>
        </w:rPr>
        <w:t>呈阳</w:t>
      </w:r>
      <w:r>
        <w:rPr>
          <w:spacing w:val="-1"/>
          <w:w w:val="99"/>
        </w:rPr>
        <w:t>性</w:t>
      </w:r>
      <w:r>
        <w:rPr>
          <w:spacing w:val="-92"/>
          <w:w w:val="99"/>
        </w:rPr>
        <w:t>）</w:t>
      </w:r>
      <w:r>
        <w:rPr>
          <w:w w:val="99"/>
        </w:rPr>
        <w:t>；</w:t>
      </w:r>
    </w:p>
    <w:p>
      <w:pPr>
        <w:spacing w:line="103" w:lineRule="exact" w:before="13"/>
        <w:ind w:left="0" w:right="1909" w:firstLine="0"/>
        <w:jc w:val="center"/>
        <w:rPr>
          <w:b/>
          <w:sz w:val="12"/>
        </w:rPr>
      </w:pPr>
      <w:r>
        <w:rPr>
          <w:b/>
          <w:sz w:val="12"/>
        </w:rPr>
        <w:t>释义 14</w:t>
      </w:r>
    </w:p>
    <w:p>
      <w:pPr>
        <w:pStyle w:val="Heading1"/>
        <w:tabs>
          <w:tab w:pos="3677" w:val="left" w:leader="none"/>
        </w:tabs>
        <w:spacing w:line="196" w:lineRule="exact"/>
      </w:pPr>
      <w:r>
        <w:rPr/>
        <w:t>（</w:t>
      </w:r>
      <w:r>
        <w:rPr>
          <w:rFonts w:ascii="Times New Roman" w:eastAsia="Times New Roman"/>
        </w:rPr>
        <w:t>6</w:t>
      </w:r>
      <w:r>
        <w:rPr/>
        <w:t>）战争、军事行动、暴乱、恐怖活动</w:t>
        <w:tab/>
      </w:r>
      <w:r>
        <w:rPr>
          <w:spacing w:val="-1"/>
          <w:w w:val="95"/>
        </w:rPr>
        <w:t>或</w:t>
      </w:r>
      <w:r>
        <w:rPr>
          <w:w w:val="95"/>
        </w:rPr>
        <w:t>武装叛乱；</w:t>
      </w:r>
    </w:p>
    <w:p>
      <w:pPr>
        <w:spacing w:before="41"/>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420" w:firstLine="0"/>
        <w:jc w:val="center"/>
        <w:rPr>
          <w:b/>
          <w:sz w:val="12"/>
        </w:rPr>
      </w:pPr>
      <w:r>
        <w:rPr>
          <w:b/>
          <w:sz w:val="12"/>
        </w:rPr>
        <w:t>释义</w:t>
      </w:r>
      <w:r>
        <w:rPr>
          <w:b/>
          <w:spacing w:val="-31"/>
          <w:sz w:val="12"/>
        </w:rPr>
        <w:t> </w:t>
      </w:r>
      <w:r>
        <w:rPr>
          <w:b/>
          <w:sz w:val="12"/>
        </w:rPr>
        <w:t>15</w:t>
        <w:tab/>
        <w:t>释义</w:t>
      </w:r>
      <w:r>
        <w:rPr>
          <w:b/>
          <w:spacing w:val="-32"/>
          <w:sz w:val="12"/>
        </w:rPr>
        <w:t> </w:t>
      </w:r>
      <w:r>
        <w:rPr>
          <w:b/>
          <w:sz w:val="12"/>
        </w:rPr>
        <w:t>16</w:t>
      </w:r>
    </w:p>
    <w:p>
      <w:pPr>
        <w:pStyle w:val="Heading1"/>
        <w:tabs>
          <w:tab w:pos="1843" w:val="left" w:leader="none"/>
          <w:tab w:pos="493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7" w:lineRule="auto" w:before="41"/>
        <w:ind w:left="101" w:right="112"/>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）情形之一，导致被保险人初次患有本合同内所界定的重大疾病中的任何一种疾病的， 我们不承担重大疾病保险金给付责任。但符合本合同内重大疾病释义中所界定的“经输血导致的艾滋病病毒</w:t>
      </w:r>
      <w:r>
        <w:rPr>
          <w:spacing w:val="-9"/>
        </w:rPr>
        <w:t>感染”不受上述情形</w:t>
      </w:r>
      <w:r>
        <w:rPr>
          <w:spacing w:val="-12"/>
        </w:rPr>
        <w:t>（</w:t>
      </w:r>
      <w:r>
        <w:rPr>
          <w:rFonts w:ascii="Times New Roman" w:hAnsi="Times New Roman" w:eastAsia="Times New Roman"/>
          <w:spacing w:val="-12"/>
        </w:rPr>
        <w:t>5</w:t>
      </w:r>
      <w:r>
        <w:rPr>
          <w:spacing w:val="-12"/>
        </w:rPr>
        <w:t>）</w:t>
      </w:r>
      <w:r>
        <w:rPr>
          <w:spacing w:val="-10"/>
        </w:rPr>
        <w:t>的限制；符合本合同内重大疾病释义中所界定的“肌营养不良症”不受上述情形</w:t>
      </w:r>
      <w:r>
        <w:rPr/>
        <w:t>（</w:t>
      </w:r>
      <w:r>
        <w:rPr>
          <w:rFonts w:ascii="Times New Roman" w:hAnsi="Times New Roman" w:eastAsia="Times New Roman"/>
        </w:rPr>
        <w:t>8</w:t>
      </w:r>
      <w:r>
        <w:rPr/>
        <w:t>） </w:t>
      </w:r>
      <w:r>
        <w:rPr>
          <w:spacing w:val="-1"/>
        </w:rPr>
        <w:t>的限制。</w:t>
      </w:r>
    </w:p>
    <w:p>
      <w:pPr>
        <w:pStyle w:val="Heading1"/>
        <w:tabs>
          <w:tab w:pos="4440" w:val="left" w:leader="none"/>
        </w:tabs>
        <w:spacing w:before="25"/>
        <w:ind w:left="2640"/>
      </w:pPr>
      <w:bookmarkStart w:name="_TOC_250012" w:id="7"/>
      <w:r>
        <w:rPr/>
        <w:t>第三部分</w:t>
        <w:tab/>
      </w:r>
      <w:bookmarkEnd w:id="7"/>
      <w:r>
        <w:rPr>
          <w:w w:val="95"/>
        </w:rPr>
        <w:t>如何申请领取保险金</w:t>
      </w:r>
    </w:p>
    <w:p>
      <w:pPr>
        <w:pStyle w:val="BodyText"/>
        <w:spacing w:before="12"/>
        <w:ind w:left="0"/>
        <w:rPr>
          <w:b/>
          <w:sz w:val="14"/>
        </w:rPr>
      </w:pPr>
    </w:p>
    <w:p>
      <w:pPr>
        <w:pStyle w:val="Heading1"/>
        <w:tabs>
          <w:tab w:pos="1361" w:val="left" w:leader="none"/>
        </w:tabs>
      </w:pPr>
      <w:bookmarkStart w:name="_TOC_250011" w:id="8"/>
      <w:r>
        <w:rPr/>
        <w:t>第九条</w:t>
        <w:tab/>
      </w:r>
      <w:bookmarkEnd w:id="8"/>
      <w:r>
        <w:rPr>
          <w:w w:val="95"/>
        </w:rPr>
        <w:t>受益人的指定和变更</w:t>
      </w:r>
    </w:p>
    <w:p>
      <w:pPr>
        <w:pStyle w:val="BodyText"/>
        <w:spacing w:before="12"/>
        <w:ind w:left="0"/>
        <w:rPr>
          <w:b/>
          <w:sz w:val="14"/>
        </w:rPr>
      </w:pPr>
    </w:p>
    <w:p>
      <w:pPr>
        <w:tabs>
          <w:tab w:pos="1361" w:val="left" w:leader="none"/>
        </w:tabs>
        <w:spacing w:line="439" w:lineRule="auto" w:before="0"/>
        <w:ind w:left="101" w:right="5288" w:firstLine="0"/>
        <w:jc w:val="left"/>
        <w:rPr>
          <w:b/>
          <w:sz w:val="18"/>
        </w:rPr>
      </w:pPr>
      <w:r>
        <w:rPr>
          <w:sz w:val="18"/>
        </w:rPr>
        <w:t>重大疾病保险金的受益人为被保险人本人。</w:t>
      </w:r>
      <w:r>
        <w:rPr>
          <w:b/>
          <w:sz w:val="18"/>
        </w:rPr>
        <w:t>第十条</w:t>
        <w:tab/>
      </w:r>
      <w:r>
        <w:rPr>
          <w:b/>
          <w:w w:val="95"/>
          <w:sz w:val="18"/>
        </w:rPr>
        <w:t>保险事故的通知</w:t>
      </w:r>
    </w:p>
    <w:p>
      <w:pPr>
        <w:spacing w:line="103" w:lineRule="exact" w:before="18"/>
        <w:ind w:left="3521" w:right="0" w:firstLine="0"/>
        <w:jc w:val="left"/>
        <w:rPr>
          <w:b/>
          <w:sz w:val="12"/>
        </w:rPr>
      </w:pPr>
      <w:r>
        <w:rPr>
          <w:b/>
          <w:sz w:val="12"/>
        </w:rPr>
        <w:t>释义 17</w:t>
      </w:r>
    </w:p>
    <w:p>
      <w:pPr>
        <w:pStyle w:val="BodyText"/>
        <w:tabs>
          <w:tab w:pos="3945" w:val="left" w:leader="none"/>
        </w:tabs>
        <w:spacing w:line="182" w:lineRule="exact"/>
        <w:ind w:left="101"/>
      </w:pPr>
      <w:r>
        <w:rPr/>
        <w:t>您、被保险人或受益人应当在知道</w:t>
      </w:r>
      <w:r>
        <w:rPr>
          <w:b/>
        </w:rPr>
        <w:t>保险事故</w:t>
        <w:tab/>
      </w:r>
      <w:r>
        <w:rPr>
          <w:spacing w:val="-1"/>
        </w:rPr>
        <w:t>发</w:t>
      </w:r>
      <w:r>
        <w:rPr/>
        <w:t>生之日</w:t>
      </w:r>
      <w:r>
        <w:rPr>
          <w:spacing w:val="-3"/>
        </w:rPr>
        <w:t>起</w:t>
      </w:r>
      <w:r>
        <w:rPr/>
        <w:t>十日内通知我们。</w:t>
      </w:r>
    </w:p>
    <w:p>
      <w:pPr>
        <w:pStyle w:val="BodyText"/>
        <w:spacing w:line="316" w:lineRule="auto" w:before="55"/>
        <w:ind w:left="101" w:right="208"/>
        <w:jc w:val="both"/>
      </w:pPr>
      <w:r>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tabs>
          <w:tab w:pos="1361" w:val="left" w:leader="none"/>
        </w:tabs>
        <w:spacing w:line="439" w:lineRule="auto" w:before="138"/>
        <w:ind w:left="101" w:right="6728" w:firstLine="0"/>
        <w:jc w:val="left"/>
        <w:rPr>
          <w:sz w:val="18"/>
        </w:rPr>
      </w:pPr>
      <w:r>
        <w:rPr>
          <w:b/>
          <w:sz w:val="18"/>
        </w:rPr>
        <w:t>第十一条</w:t>
        <w:tab/>
      </w:r>
      <w:r>
        <w:rPr>
          <w:b/>
          <w:w w:val="95"/>
          <w:sz w:val="18"/>
        </w:rPr>
        <w:t>申请资料 </w:t>
      </w:r>
      <w:r>
        <w:rPr>
          <w:sz w:val="18"/>
        </w:rPr>
        <w:t>重大疾病保险金的申请</w:t>
      </w:r>
    </w:p>
    <w:p>
      <w:pPr>
        <w:pStyle w:val="BodyText"/>
        <w:spacing w:line="163" w:lineRule="exact"/>
        <w:ind w:left="101"/>
        <w:jc w:val="both"/>
      </w:pPr>
      <w:r>
        <w:rPr/>
        <w:t>在符合保险责任有关规定的条件下，由重大疾病保险金受益人作为申请人填写申请书，并凭下列证明、资料</w:t>
      </w:r>
    </w:p>
    <w:p>
      <w:pPr>
        <w:pStyle w:val="BodyText"/>
        <w:spacing w:before="77"/>
        <w:ind w:left="101"/>
        <w:jc w:val="both"/>
      </w:pPr>
      <w:r>
        <w:rPr/>
        <w:t>的原件向我们申请给付保险金：</w:t>
      </w:r>
    </w:p>
    <w:p>
      <w:pPr>
        <w:pStyle w:val="BodyText"/>
        <w:spacing w:before="76"/>
        <w:ind w:left="101"/>
        <w:jc w:val="both"/>
      </w:pPr>
      <w:r>
        <w:rPr/>
        <w:t>（</w:t>
      </w:r>
      <w:r>
        <w:rPr>
          <w:rFonts w:ascii="Times New Roman" w:eastAsia="Times New Roman"/>
        </w:rPr>
        <w:t>1</w:t>
      </w:r>
      <w:r>
        <w:rPr/>
        <w:t>）申请书；</w:t>
      </w:r>
    </w:p>
    <w:p>
      <w:pPr>
        <w:pStyle w:val="BodyText"/>
        <w:spacing w:before="62"/>
        <w:ind w:left="101"/>
        <w:jc w:val="both"/>
      </w:pPr>
      <w:r>
        <w:rPr/>
        <w:t>（</w:t>
      </w:r>
      <w:r>
        <w:rPr>
          <w:rFonts w:ascii="Times New Roman" w:eastAsia="Times New Roman"/>
        </w:rPr>
        <w:t>2</w:t>
      </w:r>
      <w:r>
        <w:rPr/>
        <w:t>）保险合同；</w:t>
      </w:r>
    </w:p>
    <w:p>
      <w:pPr>
        <w:pStyle w:val="BodyText"/>
        <w:spacing w:before="62"/>
        <w:ind w:left="101"/>
        <w:jc w:val="both"/>
      </w:pPr>
      <w:r>
        <w:rPr/>
        <w:t>（</w:t>
      </w:r>
      <w:r>
        <w:rPr>
          <w:rFonts w:ascii="Times New Roman" w:eastAsia="Times New Roman"/>
        </w:rPr>
        <w:t>3</w:t>
      </w:r>
      <w:r>
        <w:rPr/>
        <w:t>）受益人户籍证明及身份证明；</w:t>
      </w:r>
    </w:p>
    <w:p>
      <w:pPr>
        <w:spacing w:line="103" w:lineRule="exact" w:before="34"/>
        <w:ind w:left="2357" w:right="0" w:firstLine="0"/>
        <w:jc w:val="left"/>
        <w:rPr>
          <w:b/>
          <w:sz w:val="12"/>
        </w:rPr>
      </w:pPr>
      <w:r>
        <w:rPr>
          <w:b/>
          <w:sz w:val="12"/>
        </w:rPr>
        <w:t>释义 18</w:t>
      </w:r>
    </w:p>
    <w:p>
      <w:pPr>
        <w:spacing w:line="196" w:lineRule="exact" w:before="0"/>
        <w:ind w:left="101" w:right="0" w:firstLine="0"/>
        <w:jc w:val="both"/>
        <w:rPr>
          <w:sz w:val="18"/>
        </w:rPr>
      </w:pPr>
      <w:r>
        <w:rPr>
          <w:sz w:val="18"/>
        </w:rPr>
        <w:t>（</w:t>
      </w:r>
      <w:r>
        <w:rPr>
          <w:rFonts w:ascii="Times New Roman" w:eastAsia="Times New Roman"/>
          <w:sz w:val="18"/>
        </w:rPr>
        <w:t>4</w:t>
      </w:r>
      <w:r>
        <w:rPr>
          <w:sz w:val="18"/>
        </w:rPr>
        <w:t>）</w:t>
      </w:r>
      <w:r>
        <w:rPr>
          <w:b/>
          <w:sz w:val="18"/>
        </w:rPr>
        <w:t>我们指定或认可的医院     </w:t>
      </w:r>
      <w:r>
        <w:rPr>
          <w:sz w:val="18"/>
        </w:rPr>
        <w:t>出具的附有被保险人完整病历、病理、血液及其它科学方法检验报告的诊</w:t>
      </w:r>
    </w:p>
    <w:p>
      <w:pPr>
        <w:pStyle w:val="BodyText"/>
        <w:spacing w:before="41"/>
        <w:ind w:left="101"/>
        <w:jc w:val="both"/>
      </w:pPr>
      <w:r>
        <w:rPr/>
        <w:t>断证明文件；</w:t>
      </w:r>
    </w:p>
    <w:p>
      <w:pPr>
        <w:pStyle w:val="BodyText"/>
        <w:spacing w:before="76"/>
        <w:ind w:left="101"/>
        <w:jc w:val="both"/>
      </w:pPr>
      <w:r>
        <w:rPr/>
        <w:t>（</w:t>
      </w:r>
      <w:r>
        <w:rPr>
          <w:rFonts w:ascii="Times New Roman" w:eastAsia="Times New Roman"/>
        </w:rPr>
        <w:t>5</w:t>
      </w:r>
      <w:r>
        <w:rPr/>
        <w:t>）所能提供的与确认保险事故的性质、原因等有关的其他证明和资料。</w:t>
      </w:r>
    </w:p>
    <w:p>
      <w:pPr>
        <w:tabs>
          <w:tab w:pos="1361" w:val="left" w:leader="none"/>
        </w:tabs>
        <w:spacing w:line="439" w:lineRule="auto" w:before="63"/>
        <w:ind w:left="101" w:right="1689" w:firstLine="0"/>
        <w:jc w:val="left"/>
        <w:rPr>
          <w:b/>
          <w:sz w:val="18"/>
        </w:rPr>
      </w:pPr>
      <w:r>
        <w:rPr>
          <w:sz w:val="18"/>
        </w:rPr>
        <w:t>以上证明和资料不完整的，我们将及时一次性以书面形式向您告知需要补充的有关材料。</w:t>
      </w:r>
      <w:r>
        <w:rPr>
          <w:b/>
          <w:sz w:val="18"/>
        </w:rPr>
        <w:t>第十二条</w:t>
        <w:tab/>
      </w:r>
      <w:r>
        <w:rPr>
          <w:b/>
          <w:w w:val="95"/>
          <w:sz w:val="18"/>
        </w:rPr>
        <w:t>保险金的给付</w:t>
      </w:r>
    </w:p>
    <w:p>
      <w:pPr>
        <w:pStyle w:val="BodyText"/>
        <w:spacing w:line="316" w:lineRule="auto" w:before="47"/>
        <w:ind w:left="101" w:right="208"/>
      </w:pPr>
      <w:r>
        <w:rPr/>
        <w:t>我们收到申请人的保险金给付申请书及上述有关证明和资料后，将在五个工作日内作出核定，情形复杂的， 我们将在三十日内作出核定，但是对于下列情形，我们将在六十日内作出核定：</w:t>
      </w:r>
    </w:p>
    <w:p>
      <w:pPr>
        <w:pStyle w:val="ListParagraph"/>
        <w:numPr>
          <w:ilvl w:val="0"/>
          <w:numId w:val="1"/>
        </w:numPr>
        <w:tabs>
          <w:tab w:pos="644" w:val="left" w:leader="none"/>
        </w:tabs>
        <w:spacing w:line="240" w:lineRule="auto" w:before="18" w:after="0"/>
        <w:ind w:left="643" w:right="0" w:hanging="542"/>
        <w:jc w:val="both"/>
        <w:rPr>
          <w:sz w:val="18"/>
        </w:rPr>
      </w:pPr>
      <w:r>
        <w:rPr>
          <w:spacing w:val="-2"/>
          <w:sz w:val="18"/>
        </w:rPr>
        <w:t>须由鉴定机构进行鉴定的；</w:t>
      </w:r>
    </w:p>
    <w:p>
      <w:pPr>
        <w:pStyle w:val="ListParagraph"/>
        <w:numPr>
          <w:ilvl w:val="0"/>
          <w:numId w:val="1"/>
        </w:numPr>
        <w:tabs>
          <w:tab w:pos="644" w:val="left" w:leader="none"/>
        </w:tabs>
        <w:spacing w:line="240" w:lineRule="auto" w:before="62" w:after="0"/>
        <w:ind w:left="643" w:right="0" w:hanging="542"/>
        <w:jc w:val="both"/>
        <w:rPr>
          <w:sz w:val="18"/>
        </w:rPr>
      </w:pPr>
      <w:r>
        <w:rPr>
          <w:spacing w:val="-2"/>
          <w:sz w:val="18"/>
        </w:rPr>
        <w:t>涉及调查与核实您未如实告知的情况的；</w:t>
      </w:r>
    </w:p>
    <w:p>
      <w:pPr>
        <w:pStyle w:val="ListParagraph"/>
        <w:numPr>
          <w:ilvl w:val="0"/>
          <w:numId w:val="1"/>
        </w:numPr>
        <w:tabs>
          <w:tab w:pos="644" w:val="left" w:leader="none"/>
        </w:tabs>
        <w:spacing w:line="240" w:lineRule="auto" w:before="62" w:after="0"/>
        <w:ind w:left="643" w:right="0" w:hanging="542"/>
        <w:jc w:val="both"/>
        <w:rPr>
          <w:sz w:val="18"/>
        </w:rPr>
      </w:pPr>
      <w:r>
        <w:rPr>
          <w:spacing w:val="-2"/>
          <w:sz w:val="18"/>
        </w:rPr>
        <w:t>保险事故发生在投保所在地地级人民政府行政区划以外的地区的。</w:t>
      </w:r>
    </w:p>
    <w:p>
      <w:pPr>
        <w:spacing w:after="0" w:line="240" w:lineRule="auto"/>
        <w:jc w:val="both"/>
        <w:rPr>
          <w:sz w:val="18"/>
        </w:rPr>
        <w:sectPr>
          <w:pgSz w:w="11960" w:h="16850"/>
          <w:pgMar w:header="0" w:footer="1001" w:top="1600" w:bottom="1200" w:left="1600" w:right="1540"/>
        </w:sectPr>
      </w:pPr>
    </w:p>
    <w:p>
      <w:pPr>
        <w:pStyle w:val="BodyText"/>
        <w:spacing w:line="316" w:lineRule="auto" w:before="112"/>
        <w:ind w:left="101" w:right="1409"/>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9"/>
        <w:ind w:left="101" w:right="108"/>
      </w:pPr>
      <w:r>
        <w:rPr/>
        <w:t>对不属于保险责任的，我们将自作出核定之日起三日内向申请人发出拒绝给付保险金通知书并说明理由。 如果在六十日内对属于保险责任而给付保险金的数额不能确定的，根据已有证明和资料，我们按可以确定的</w:t>
      </w:r>
      <w:r>
        <w:rPr>
          <w:spacing w:val="-1"/>
        </w:rPr>
        <w:t>数额先予以支付，最终确定给付保险金的数额后，给付相应的差额。</w:t>
      </w:r>
    </w:p>
    <w:p>
      <w:pPr>
        <w:pStyle w:val="Heading1"/>
        <w:tabs>
          <w:tab w:pos="1361" w:val="left" w:leader="none"/>
        </w:tabs>
        <w:spacing w:before="139"/>
      </w:pPr>
      <w:bookmarkStart w:name="_TOC_250010" w:id="9"/>
      <w:r>
        <w:rPr/>
        <w:t>第十三条</w:t>
        <w:tab/>
      </w:r>
      <w:bookmarkEnd w:id="9"/>
      <w:r>
        <w:rPr>
          <w:w w:val="95"/>
        </w:rPr>
        <w:t>诉讼时效</w:t>
      </w:r>
    </w:p>
    <w:p>
      <w:pPr>
        <w:pStyle w:val="BodyText"/>
        <w:ind w:left="0"/>
        <w:rPr>
          <w:b/>
          <w:sz w:val="15"/>
        </w:rPr>
      </w:pPr>
    </w:p>
    <w:p>
      <w:pPr>
        <w:pStyle w:val="BodyText"/>
        <w:spacing w:line="316" w:lineRule="auto"/>
        <w:ind w:left="101" w:right="108"/>
      </w:pPr>
      <w:r>
        <w:rPr/>
        <w:t>被保险人或受益人向我们请求给付保险金的诉讼时效期间为二年，自其知道或者应当知道保险事故发生之日起计算。</w:t>
      </w:r>
    </w:p>
    <w:p>
      <w:pPr>
        <w:pStyle w:val="Heading1"/>
        <w:tabs>
          <w:tab w:pos="4620" w:val="left" w:leader="none"/>
        </w:tabs>
        <w:spacing w:before="18"/>
        <w:ind w:left="2820"/>
      </w:pPr>
      <w:bookmarkStart w:name="_TOC_250009" w:id="10"/>
      <w:r>
        <w:rPr/>
        <w:t>第四部分</w:t>
        <w:tab/>
      </w:r>
      <w:bookmarkEnd w:id="10"/>
      <w:r>
        <w:rPr>
          <w:w w:val="95"/>
        </w:rPr>
        <w:t>如何交纳保险费</w:t>
      </w:r>
    </w:p>
    <w:p>
      <w:pPr>
        <w:pStyle w:val="BodyText"/>
        <w:spacing w:before="7"/>
        <w:ind w:left="0"/>
        <w:rPr>
          <w:b/>
          <w:sz w:val="11"/>
        </w:rPr>
      </w:pPr>
    </w:p>
    <w:p>
      <w:pPr>
        <w:pStyle w:val="Heading1"/>
        <w:tabs>
          <w:tab w:pos="1361" w:val="left" w:leader="none"/>
        </w:tabs>
        <w:spacing w:before="45"/>
      </w:pPr>
      <w:bookmarkStart w:name="_TOC_250008" w:id="11"/>
      <w:r>
        <w:rPr/>
        <w:t>第十四条</w:t>
        <w:tab/>
      </w:r>
      <w:bookmarkEnd w:id="11"/>
      <w:r>
        <w:rPr>
          <w:w w:val="95"/>
        </w:rPr>
        <w:t>保险费的交纳</w:t>
      </w:r>
    </w:p>
    <w:p>
      <w:pPr>
        <w:pStyle w:val="BodyText"/>
        <w:ind w:left="0"/>
        <w:rPr>
          <w:b/>
          <w:sz w:val="15"/>
        </w:rPr>
      </w:pPr>
    </w:p>
    <w:p>
      <w:pPr>
        <w:pStyle w:val="BodyText"/>
        <w:spacing w:line="316" w:lineRule="auto"/>
        <w:ind w:left="101" w:right="108"/>
        <w:jc w:val="both"/>
      </w:pPr>
      <w:r>
        <w:rPr/>
        <w:t>本合同保险费的交费期限分十年交清、二十年交清两种。您可以按照本合同约定选择其中一种交费方式向我们支付保险费。在您支付首期保险费后，请按保险单或保险合同批注上所约定的交费方式和日期支付其余各期的保险费。</w:t>
      </w:r>
    </w:p>
    <w:p>
      <w:pPr>
        <w:pStyle w:val="Heading1"/>
        <w:tabs>
          <w:tab w:pos="1361" w:val="left" w:leader="none"/>
        </w:tabs>
        <w:spacing w:before="138"/>
      </w:pPr>
      <w:bookmarkStart w:name="_TOC_250007" w:id="12"/>
      <w:r>
        <w:rPr/>
        <w:t>第十五条</w:t>
        <w:tab/>
      </w:r>
      <w:bookmarkEnd w:id="12"/>
      <w:r>
        <w:rPr>
          <w:w w:val="95"/>
        </w:rPr>
        <w:t>保险费率的调整</w:t>
      </w:r>
    </w:p>
    <w:p>
      <w:pPr>
        <w:pStyle w:val="BodyText"/>
        <w:spacing w:before="12"/>
        <w:ind w:left="0"/>
        <w:rPr>
          <w:b/>
          <w:sz w:val="14"/>
        </w:rPr>
      </w:pPr>
    </w:p>
    <w:p>
      <w:pPr>
        <w:pStyle w:val="BodyText"/>
        <w:spacing w:line="316" w:lineRule="auto"/>
        <w:ind w:left="101" w:right="108"/>
      </w:pPr>
      <w:r>
        <w:rPr/>
        <w:t>当本合同内所界定的疾病的发生率或相关的医疗技术发生重大改变时，我们有权提高或降低本产品的保险费率。费率的调整针对同一性别或同一年龄的所有被保险人。我们进行保险费率调整后，您须自调整后的第一</w:t>
      </w:r>
    </w:p>
    <w:p>
      <w:pPr>
        <w:spacing w:line="94" w:lineRule="exact" w:before="0"/>
        <w:ind w:left="1543" w:right="0" w:firstLine="0"/>
        <w:jc w:val="left"/>
        <w:rPr>
          <w:b/>
          <w:sz w:val="12"/>
        </w:rPr>
      </w:pPr>
      <w:r>
        <w:rPr>
          <w:b/>
          <w:sz w:val="12"/>
        </w:rPr>
        <w:t>释义 20</w:t>
      </w:r>
    </w:p>
    <w:p>
      <w:pPr>
        <w:tabs>
          <w:tab w:pos="1966" w:val="left" w:leader="none"/>
        </w:tabs>
        <w:spacing w:line="182" w:lineRule="exact" w:before="0"/>
        <w:ind w:left="101" w:right="0" w:firstLine="0"/>
        <w:jc w:val="left"/>
        <w:rPr>
          <w:sz w:val="18"/>
        </w:rPr>
      </w:pPr>
      <w:r>
        <w:rPr>
          <w:sz w:val="18"/>
        </w:rPr>
        <w:t>个</w:t>
      </w:r>
      <w:r>
        <w:rPr>
          <w:b/>
          <w:sz w:val="18"/>
        </w:rPr>
        <w:t>保险合同周年日</w:t>
        <w:tab/>
      </w:r>
      <w:r>
        <w:rPr>
          <w:spacing w:val="-1"/>
          <w:sz w:val="18"/>
        </w:rPr>
        <w:t>起，</w:t>
      </w:r>
      <w:r>
        <w:rPr>
          <w:spacing w:val="-3"/>
          <w:sz w:val="18"/>
        </w:rPr>
        <w:t>按</w:t>
      </w:r>
      <w:r>
        <w:rPr>
          <w:spacing w:val="-1"/>
          <w:sz w:val="18"/>
        </w:rPr>
        <w:t>照</w:t>
      </w:r>
      <w:r>
        <w:rPr>
          <w:sz w:val="18"/>
        </w:rPr>
        <w:t>调整后的保险费率交纳本合同相应的保险费。</w:t>
      </w:r>
    </w:p>
    <w:p>
      <w:pPr>
        <w:pStyle w:val="BodyText"/>
        <w:spacing w:before="4"/>
        <w:ind w:left="0"/>
        <w:rPr>
          <w:sz w:val="13"/>
        </w:rPr>
      </w:pPr>
    </w:p>
    <w:p>
      <w:pPr>
        <w:pStyle w:val="Heading1"/>
        <w:tabs>
          <w:tab w:pos="1361" w:val="left" w:leader="none"/>
        </w:tabs>
      </w:pPr>
      <w:bookmarkStart w:name="_TOC_250006" w:id="13"/>
      <w:r>
        <w:rPr/>
        <w:t>第十六条</w:t>
        <w:tab/>
      </w:r>
      <w:bookmarkEnd w:id="13"/>
      <w:r>
        <w:rPr>
          <w:w w:val="95"/>
        </w:rPr>
        <w:t>宽限期</w:t>
      </w:r>
    </w:p>
    <w:p>
      <w:pPr>
        <w:pStyle w:val="BodyText"/>
        <w:ind w:left="0"/>
        <w:rPr>
          <w:b/>
          <w:sz w:val="15"/>
        </w:rPr>
      </w:pPr>
    </w:p>
    <w:p>
      <w:pPr>
        <w:pStyle w:val="BodyText"/>
        <w:spacing w:line="316" w:lineRule="auto"/>
        <w:ind w:left="101" w:right="10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Heading1"/>
        <w:tabs>
          <w:tab w:pos="1799" w:val="left" w:leader="none"/>
        </w:tabs>
        <w:spacing w:before="18"/>
        <w:ind w:left="0" w:right="6"/>
        <w:jc w:val="center"/>
      </w:pPr>
      <w:bookmarkStart w:name="_TOC_250005" w:id="14"/>
      <w:r>
        <w:rPr/>
        <w:t>第五部分</w:t>
        <w:tab/>
      </w:r>
      <w:bookmarkEnd w:id="14"/>
      <w:r>
        <w:rPr>
          <w:w w:val="95"/>
        </w:rPr>
        <w:t>现金价值权益</w:t>
      </w:r>
    </w:p>
    <w:p>
      <w:pPr>
        <w:pStyle w:val="BodyText"/>
        <w:spacing w:before="12"/>
        <w:ind w:left="0"/>
        <w:rPr>
          <w:b/>
          <w:sz w:val="14"/>
        </w:rPr>
      </w:pPr>
    </w:p>
    <w:p>
      <w:pPr>
        <w:pStyle w:val="Heading1"/>
        <w:jc w:val="both"/>
      </w:pPr>
      <w:bookmarkStart w:name="_TOC_250004" w:id="15"/>
      <w:bookmarkEnd w:id="15"/>
      <w:r>
        <w:rPr/>
        <w:t>第十七条     现金价值</w:t>
      </w:r>
    </w:p>
    <w:p>
      <w:pPr>
        <w:pStyle w:val="BodyText"/>
        <w:spacing w:before="10"/>
        <w:ind w:left="0"/>
        <w:rPr>
          <w:b/>
          <w:sz w:val="12"/>
        </w:rPr>
      </w:pPr>
    </w:p>
    <w:p>
      <w:pPr>
        <w:spacing w:line="103" w:lineRule="exact" w:before="0"/>
        <w:ind w:left="1259" w:right="6" w:firstLine="0"/>
        <w:jc w:val="center"/>
        <w:rPr>
          <w:b/>
          <w:sz w:val="12"/>
        </w:rPr>
      </w:pPr>
      <w:r>
        <w:rPr>
          <w:b/>
          <w:sz w:val="12"/>
        </w:rPr>
        <w:t>释义 21</w:t>
      </w:r>
    </w:p>
    <w:p>
      <w:pPr>
        <w:pStyle w:val="BodyText"/>
        <w:spacing w:line="182" w:lineRule="exact"/>
        <w:ind w:left="101"/>
        <w:jc w:val="both"/>
      </w:pPr>
      <w:r>
        <w:rPr/>
        <w:t>我们会在保险单或批注上载明本合同保单年度末的</w:t>
      </w:r>
      <w:r>
        <w:rPr>
          <w:b/>
        </w:rPr>
        <w:t>现金价值    </w:t>
      </w:r>
      <w:r>
        <w:rPr/>
        <w:t>。现金价值可能因为其他条款的约定发生变</w:t>
      </w:r>
    </w:p>
    <w:p>
      <w:pPr>
        <w:tabs>
          <w:tab w:pos="1361" w:val="left" w:leader="none"/>
        </w:tabs>
        <w:spacing w:line="439" w:lineRule="auto" w:before="55"/>
        <w:ind w:left="101" w:right="3748" w:firstLine="0"/>
        <w:jc w:val="left"/>
        <w:rPr>
          <w:b/>
          <w:sz w:val="18"/>
        </w:rPr>
      </w:pPr>
      <w:r>
        <w:rPr>
          <w:sz w:val="18"/>
        </w:rPr>
        <w:t>更。如果您需要了解保单年度内的现金价值，可向我们查询。</w:t>
      </w:r>
      <w:r>
        <w:rPr>
          <w:b/>
          <w:sz w:val="18"/>
        </w:rPr>
        <w:t>第十八条</w:t>
        <w:tab/>
      </w:r>
      <w:r>
        <w:rPr>
          <w:b/>
          <w:w w:val="95"/>
          <w:sz w:val="18"/>
        </w:rPr>
        <w:t>合同效力的中止</w:t>
      </w:r>
    </w:p>
    <w:p>
      <w:pPr>
        <w:pStyle w:val="BodyText"/>
        <w:spacing w:line="316" w:lineRule="auto" w:before="46"/>
        <w:ind w:left="101" w:right="108"/>
      </w:pPr>
      <w:r>
        <w:rPr/>
        <w:t>如果您没有在宽限期内交纳到期应交的保险费，本合同自宽限期满的次日零时起效力中止。本合同效力中止期间，我们不承担保险责任。</w:t>
      </w:r>
    </w:p>
    <w:p>
      <w:pPr>
        <w:pStyle w:val="Heading1"/>
        <w:tabs>
          <w:tab w:pos="1361" w:val="left" w:leader="none"/>
        </w:tabs>
        <w:spacing w:before="138"/>
      </w:pPr>
      <w:bookmarkStart w:name="_TOC_250003" w:id="16"/>
      <w:r>
        <w:rPr/>
        <w:t>第十九条</w:t>
        <w:tab/>
      </w:r>
      <w:r>
        <w:rPr>
          <w:spacing w:val="-1"/>
          <w:w w:val="95"/>
        </w:rPr>
        <w:t>合同效力</w:t>
      </w:r>
      <w:bookmarkEnd w:id="16"/>
      <w:r>
        <w:rPr>
          <w:w w:val="95"/>
        </w:rPr>
        <w:t>的恢复（以下简称“复效”）</w:t>
      </w:r>
    </w:p>
    <w:p>
      <w:pPr>
        <w:pStyle w:val="BodyText"/>
        <w:spacing w:before="12"/>
        <w:ind w:left="0"/>
        <w:rPr>
          <w:b/>
          <w:sz w:val="14"/>
        </w:rPr>
      </w:pPr>
    </w:p>
    <w:p>
      <w:pPr>
        <w:pStyle w:val="BodyText"/>
        <w:spacing w:line="288" w:lineRule="auto" w:before="1"/>
        <w:ind w:left="101" w:right="108"/>
      </w:pPr>
      <w:r>
        <w:rPr/>
        <w:t>本合同效力中止后二年内，您可以申请复效。您应填写复效申请书，并按我们的规定提供健康声明书或体检报告书。经我们审核同意，自您补交本合同所有</w:t>
      </w:r>
      <w:r>
        <w:rPr>
          <w:b/>
        </w:rPr>
        <w:t>未偿还欠款</w:t>
      </w:r>
      <w:r>
        <w:rPr>
          <w:b/>
          <w:position w:val="12"/>
          <w:sz w:val="12"/>
        </w:rPr>
        <w:t>释义 22 </w:t>
      </w:r>
      <w:r>
        <w:rPr/>
        <w:t>后的次日零时起，本合同效力恢复。</w:t>
      </w:r>
    </w:p>
    <w:p>
      <w:pPr>
        <w:pStyle w:val="BodyText"/>
        <w:spacing w:line="316" w:lineRule="auto" w:before="5"/>
        <w:ind w:left="101" w:right="108"/>
      </w:pPr>
      <w:r>
        <w:rPr/>
        <w:t>自本合同效力中止之日起二年内，如果您未提出复效申请或复效申请未经过我们审核同意，本合同自中止二年期限届满的次日零时起效力终止，我们将退还本合同在效力中止时的现金价值。</w:t>
      </w:r>
    </w:p>
    <w:p>
      <w:pPr>
        <w:pStyle w:val="Heading1"/>
        <w:tabs>
          <w:tab w:pos="1799" w:val="left" w:leader="none"/>
        </w:tabs>
        <w:spacing w:before="18"/>
        <w:ind w:left="0" w:right="6"/>
        <w:jc w:val="center"/>
      </w:pPr>
      <w:bookmarkStart w:name="_TOC_250002" w:id="17"/>
      <w:r>
        <w:rPr/>
        <w:t>第六部分</w:t>
        <w:tab/>
      </w:r>
      <w:bookmarkEnd w:id="17"/>
      <w:r>
        <w:rPr>
          <w:w w:val="95"/>
        </w:rPr>
        <w:t>合同效力的终止</w:t>
      </w:r>
    </w:p>
    <w:p>
      <w:pPr>
        <w:spacing w:after="0"/>
        <w:jc w:val="center"/>
        <w:sectPr>
          <w:pgSz w:w="11960" w:h="16850"/>
          <w:pgMar w:header="0" w:footer="1001" w:top="1600" w:bottom="1200" w:left="1600" w:right="1640"/>
        </w:sectPr>
      </w:pPr>
    </w:p>
    <w:p>
      <w:pPr>
        <w:pStyle w:val="Heading1"/>
        <w:tabs>
          <w:tab w:pos="1361" w:val="left" w:leader="none"/>
        </w:tabs>
        <w:spacing w:before="112"/>
      </w:pPr>
      <w:bookmarkStart w:name="_TOC_250001" w:id="18"/>
      <w:r>
        <w:rPr/>
        <w:t>第二十条</w:t>
        <w:tab/>
      </w:r>
      <w:bookmarkEnd w:id="18"/>
      <w:r>
        <w:rPr>
          <w:w w:val="95"/>
        </w:rPr>
        <w:t>您主动解除合同的权利</w:t>
      </w:r>
    </w:p>
    <w:p>
      <w:pPr>
        <w:pStyle w:val="BodyText"/>
        <w:ind w:left="0"/>
        <w:rPr>
          <w:b/>
          <w:sz w:val="15"/>
        </w:rPr>
      </w:pPr>
    </w:p>
    <w:p>
      <w:pPr>
        <w:pStyle w:val="BodyText"/>
        <w:ind w:left="101"/>
      </w:pPr>
      <w:r>
        <w:rPr/>
        <w:t>本合同犹豫期过后，您仍可以书面通知我们要求解除本合同，并应提供下列证明和资料：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）本合同原件；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108"/>
      </w:pPr>
      <w:r>
        <w:rPr/>
        <w:t>如果您要求解除本合同，本合同的保险责任将自我们收到终止保险合同的书面申请之次日零时起终止。我们将于收到上述证明和资料之日起三十日内退还本合同的现金价值。</w:t>
      </w:r>
    </w:p>
    <w:p>
      <w:pPr>
        <w:tabs>
          <w:tab w:pos="1361" w:val="left" w:leader="none"/>
        </w:tabs>
        <w:spacing w:line="439" w:lineRule="auto" w:before="18"/>
        <w:ind w:left="101" w:right="5548" w:firstLine="0"/>
        <w:jc w:val="left"/>
        <w:rPr>
          <w:b/>
          <w:sz w:val="18"/>
        </w:rPr>
      </w:pPr>
      <w:r>
        <w:rPr>
          <w:sz w:val="18"/>
        </w:rPr>
        <w:t>您犹豫期后解除合同会遭受一定损失。</w:t>
      </w:r>
      <w:r>
        <w:rPr>
          <w:b/>
          <w:sz w:val="18"/>
        </w:rPr>
        <w:t>第二十一条</w:t>
        <w:tab/>
      </w:r>
      <w:r>
        <w:rPr>
          <w:b/>
          <w:w w:val="95"/>
          <w:sz w:val="18"/>
        </w:rPr>
        <w:t>合同效力的终止</w:t>
      </w:r>
    </w:p>
    <w:p>
      <w:pPr>
        <w:pStyle w:val="BodyText"/>
        <w:spacing w:before="47"/>
        <w:ind w:left="101"/>
      </w:pPr>
      <w:r>
        <w:rPr/>
        <w:t>本合同发生下列情况之一时将会自动终止：</w:t>
      </w:r>
    </w:p>
    <w:p>
      <w:pPr>
        <w:pStyle w:val="BodyText"/>
        <w:spacing w:before="76"/>
        <w:ind w:left="101"/>
      </w:pPr>
      <w:r>
        <w:rPr/>
        <w:t>（</w:t>
      </w:r>
      <w:r>
        <w:rPr>
          <w:rFonts w:ascii="Times New Roman" w:eastAsia="Times New Roman"/>
        </w:rPr>
        <w:t>1</w:t>
      </w:r>
      <w:r>
        <w:rPr/>
        <w:t>）本合同被撤销、解除，或发生其他效力终止的情况；</w:t>
      </w:r>
    </w:p>
    <w:p>
      <w:pPr>
        <w:pStyle w:val="BodyText"/>
        <w:spacing w:before="62"/>
        <w:ind w:left="101"/>
      </w:pPr>
      <w:r>
        <w:rPr/>
        <w:t>（</w:t>
      </w:r>
      <w:r>
        <w:rPr>
          <w:rFonts w:ascii="Times New Roman" w:eastAsia="Times New Roman"/>
        </w:rPr>
        <w:t>2</w:t>
      </w:r>
      <w:r>
        <w:rPr/>
        <w:t>）因出现本合同其他条款所列情况而终止。</w:t>
      </w:r>
    </w:p>
    <w:p>
      <w:pPr>
        <w:pStyle w:val="Heading1"/>
        <w:tabs>
          <w:tab w:pos="1361" w:val="left" w:leader="none"/>
          <w:tab w:pos="4351" w:val="left" w:leader="none"/>
        </w:tabs>
        <w:spacing w:line="439" w:lineRule="auto" w:before="62"/>
        <w:ind w:right="2556" w:firstLine="2450"/>
      </w:pPr>
      <w:r>
        <w:rPr/>
        <w:t>第七部分</w:t>
        <w:tab/>
      </w:r>
      <w:r>
        <w:rPr>
          <w:w w:val="95"/>
        </w:rPr>
        <w:t>您必须了解的其他事项 </w:t>
      </w:r>
      <w:r>
        <w:rPr/>
        <w:t>第二十二条</w:t>
        <w:tab/>
      </w:r>
      <w:r>
        <w:rPr>
          <w:w w:val="95"/>
        </w:rPr>
        <w:t>明确说明与如实告知</w:t>
      </w:r>
    </w:p>
    <w:p>
      <w:pPr>
        <w:pStyle w:val="BodyText"/>
        <w:spacing w:line="316" w:lineRule="auto" w:before="46"/>
        <w:ind w:left="101" w:right="108"/>
        <w:jc w:val="both"/>
      </w:pPr>
      <w:r>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108"/>
      </w:pPr>
      <w:r>
        <w:rPr/>
        <w:t>您故意或者因重大过失未履行前款规定的如实告知义务，足以影响我们决定是否同意承保或者提高保险费率的，我们有权解除本合同。</w:t>
      </w:r>
    </w:p>
    <w:p>
      <w:pPr>
        <w:pStyle w:val="BodyText"/>
        <w:spacing w:line="316" w:lineRule="auto" w:before="19"/>
        <w:ind w:left="101" w:right="108"/>
      </w:pPr>
      <w:r>
        <w:rPr/>
        <w:t>您故意不履行如实告知义务，我们对于本合同解除前发生的保险事故，不承担赔偿或者给付保险金的责任， 并不退还保险费。</w:t>
      </w:r>
    </w:p>
    <w:p>
      <w:pPr>
        <w:pStyle w:val="BodyText"/>
        <w:spacing w:line="316" w:lineRule="auto" w:before="19"/>
        <w:ind w:left="101" w:right="108"/>
      </w:pPr>
      <w:r>
        <w:rPr/>
        <w:t>您因重大过失没能履行如实告知义务，对保险事故的发生有严重影响的，我们对解除本合同前发生的保险事故，不承担赔偿或给付保险金的责任，但应当退还保险费。</w:t>
      </w:r>
    </w:p>
    <w:p>
      <w:pPr>
        <w:pStyle w:val="Heading1"/>
        <w:tabs>
          <w:tab w:pos="1361" w:val="left" w:leader="none"/>
        </w:tabs>
        <w:spacing w:before="139"/>
      </w:pPr>
      <w:bookmarkStart w:name="_TOC_250000" w:id="19"/>
      <w:r>
        <w:rPr/>
        <w:t>第二十三条</w:t>
        <w:tab/>
      </w:r>
      <w:bookmarkEnd w:id="19"/>
      <w:r>
        <w:rPr>
          <w:w w:val="95"/>
        </w:rPr>
        <w:t>本公司合同解除权的限制</w:t>
      </w:r>
    </w:p>
    <w:p>
      <w:pPr>
        <w:pStyle w:val="BodyText"/>
        <w:ind w:left="0"/>
        <w:rPr>
          <w:b/>
          <w:sz w:val="15"/>
        </w:rPr>
      </w:pPr>
    </w:p>
    <w:p>
      <w:pPr>
        <w:pStyle w:val="BodyText"/>
        <w:spacing w:line="300" w:lineRule="auto"/>
        <w:ind w:left="101" w:right="103"/>
      </w:pPr>
      <w:r>
        <w:rPr>
          <w:spacing w:val="-5"/>
        </w:rPr>
        <w:t>前条规定的合同解除权，自我们知道有解除事由之日起，超过 </w:t>
      </w:r>
      <w:r>
        <w:rPr>
          <w:rFonts w:ascii="Times New Roman" w:eastAsia="Times New Roman"/>
        </w:rPr>
        <w:t>30 </w:t>
      </w:r>
      <w:r>
        <w:rPr>
          <w:spacing w:val="-3"/>
        </w:rPr>
        <w:t>日不行使而消灭。自本合同成立之日起超过</w:t>
      </w:r>
      <w:r>
        <w:rPr>
          <w:spacing w:val="-1"/>
        </w:rPr>
        <w:t>两年的，我们不得解除合同；发生保险事故的，我们承担给付保险金的责任。</w:t>
      </w:r>
    </w:p>
    <w:p>
      <w:pPr>
        <w:pStyle w:val="BodyText"/>
        <w:spacing w:line="316" w:lineRule="auto" w:before="31"/>
        <w:ind w:left="101" w:right="108"/>
      </w:pPr>
      <w:r>
        <w:rPr/>
        <w:t>我们在合同订立时已经知道您未如实告知的情况的，我们不得解除合同；发生保险事故的，我们承担给付保险金的责任。</w:t>
      </w:r>
    </w:p>
    <w:p>
      <w:pPr>
        <w:pStyle w:val="Heading1"/>
        <w:tabs>
          <w:tab w:pos="1361" w:val="left" w:leader="none"/>
        </w:tabs>
        <w:spacing w:before="138"/>
      </w:pPr>
      <w:r>
        <w:rPr/>
        <w:t>第二十四条</w:t>
        <w:tab/>
      </w:r>
      <w:r>
        <w:rPr>
          <w:w w:val="95"/>
        </w:rPr>
        <w:t>可转换权益</w:t>
      </w:r>
    </w:p>
    <w:p>
      <w:pPr>
        <w:pStyle w:val="BodyText"/>
        <w:spacing w:before="12"/>
        <w:ind w:left="0"/>
        <w:rPr>
          <w:b/>
          <w:sz w:val="14"/>
        </w:rPr>
      </w:pPr>
    </w:p>
    <w:p>
      <w:pPr>
        <w:tabs>
          <w:tab w:pos="1361" w:val="left" w:leader="none"/>
        </w:tabs>
        <w:spacing w:line="439" w:lineRule="auto" w:before="0"/>
        <w:ind w:left="101" w:right="1409" w:firstLine="0"/>
        <w:jc w:val="left"/>
        <w:rPr>
          <w:b/>
          <w:sz w:val="18"/>
        </w:rPr>
      </w:pPr>
      <w:r>
        <w:rPr>
          <w:sz w:val="18"/>
        </w:rPr>
        <w:t>您或者受益人有权根据我们的转换规定将本合同转换为我们当时正在售卖的其他保险产品。</w:t>
      </w:r>
      <w:r>
        <w:rPr>
          <w:b/>
          <w:sz w:val="18"/>
        </w:rPr>
        <w:t>第二十五条</w:t>
        <w:tab/>
      </w:r>
      <w:r>
        <w:rPr>
          <w:b/>
          <w:w w:val="95"/>
          <w:sz w:val="18"/>
        </w:rPr>
        <w:t>变更合同内容的权利</w:t>
      </w:r>
    </w:p>
    <w:p>
      <w:pPr>
        <w:pStyle w:val="BodyText"/>
        <w:spacing w:line="316" w:lineRule="auto" w:before="46"/>
        <w:ind w:left="101" w:right="110"/>
      </w:pPr>
      <w:r>
        <w:rPr/>
        <w:t>在本合同有效期内，经您和我们协商，可以变更本合同的有关内容。您提出变更申请后，应当由我们在原保险单或其他保险凭证上加以批注或附贴批单，或由您和我们订立变更的书面协议后，才能生效。</w:t>
      </w:r>
    </w:p>
    <w:p>
      <w:pPr>
        <w:pStyle w:val="Heading1"/>
        <w:tabs>
          <w:tab w:pos="1361" w:val="left" w:leader="none"/>
        </w:tabs>
        <w:spacing w:before="138"/>
      </w:pPr>
      <w:r>
        <w:rPr/>
        <w:t>第二十六条</w:t>
        <w:tab/>
      </w:r>
      <w:r>
        <w:rPr>
          <w:w w:val="95"/>
        </w:rPr>
        <w:t>年龄、性别的确定和错误处理</w:t>
      </w:r>
    </w:p>
    <w:p>
      <w:pPr>
        <w:pStyle w:val="BodyText"/>
        <w:spacing w:before="12"/>
        <w:ind w:left="0"/>
        <w:rPr>
          <w:b/>
          <w:sz w:val="14"/>
        </w:rPr>
      </w:pPr>
    </w:p>
    <w:p>
      <w:pPr>
        <w:pStyle w:val="BodyText"/>
        <w:spacing w:line="316" w:lineRule="auto" w:before="1"/>
        <w:ind w:left="101" w:right="110"/>
      </w:pPr>
      <w:r>
        <w:rPr/>
        <w:t>被保险人的投保年龄以法定身份证明文件中记载的周岁年龄计算。您在申请投保时，应在投保单上填明被保险人的真实年龄及性别，如果发生错误我们会按照下列规定办理：</w:t>
      </w:r>
    </w:p>
    <w:p>
      <w:pPr>
        <w:spacing w:after="0" w:line="316" w:lineRule="auto"/>
        <w:sectPr>
          <w:pgSz w:w="11960" w:h="16850"/>
          <w:pgMar w:header="0" w:footer="1001" w:top="1600" w:bottom="1200" w:left="1600" w:right="1640"/>
        </w:sectPr>
      </w:pPr>
    </w:p>
    <w:p>
      <w:pPr>
        <w:pStyle w:val="BodyText"/>
        <w:spacing w:before="112"/>
        <w:ind w:left="101"/>
      </w:pPr>
      <w:r>
        <w:rPr/>
        <w:t>一、 如果您申报的被保险人年龄或性别不真实，并且其真实年龄不符合本合同约定的年龄限制，在保险事故</w:t>
      </w:r>
    </w:p>
    <w:p>
      <w:pPr>
        <w:spacing w:line="103" w:lineRule="exact" w:before="48"/>
        <w:ind w:left="0" w:right="512" w:firstLine="0"/>
        <w:jc w:val="right"/>
        <w:rPr>
          <w:b/>
          <w:sz w:val="12"/>
        </w:rPr>
      </w:pPr>
      <w:r>
        <w:rPr>
          <w:b/>
          <w:sz w:val="12"/>
        </w:rPr>
        <w:t>释义 23</w:t>
      </w:r>
    </w:p>
    <w:p>
      <w:pPr>
        <w:pStyle w:val="BodyText"/>
        <w:tabs>
          <w:tab w:pos="8248" w:val="left" w:leader="none"/>
        </w:tabs>
        <w:spacing w:line="182" w:lineRule="exact"/>
        <w:ind w:left="101"/>
      </w:pPr>
      <w:r>
        <w:rPr/>
        <w:t>发生之前我们有权解除本合同</w:t>
      </w:r>
      <w:r>
        <w:rPr>
          <w:spacing w:val="-5"/>
        </w:rPr>
        <w:t>，</w:t>
      </w:r>
      <w:r>
        <w:rPr/>
        <w:t>并向您退还本合同的现金价值</w:t>
      </w:r>
      <w:r>
        <w:rPr>
          <w:spacing w:val="-5"/>
        </w:rPr>
        <w:t>。</w:t>
      </w:r>
      <w:r>
        <w:rPr/>
        <w:t>我们行使合同解除权适</w:t>
      </w:r>
      <w:r>
        <w:rPr>
          <w:spacing w:val="-5"/>
        </w:rPr>
        <w:t>用</w:t>
      </w:r>
      <w:r>
        <w:rPr/>
        <w:t>“</w:t>
      </w:r>
      <w:r>
        <w:rPr>
          <w:b/>
        </w:rPr>
        <w:t>本公司</w:t>
        <w:tab/>
      </w:r>
      <w:r>
        <w:rPr/>
        <w:t>合同</w:t>
      </w:r>
    </w:p>
    <w:p>
      <w:pPr>
        <w:pStyle w:val="BodyText"/>
        <w:spacing w:before="55"/>
        <w:ind w:left="101"/>
      </w:pPr>
      <w:r>
        <w:rPr/>
        <w:t>解除权的限制”的规定。</w:t>
      </w:r>
    </w:p>
    <w:p>
      <w:pPr>
        <w:pStyle w:val="BodyText"/>
        <w:spacing w:line="316" w:lineRule="auto" w:before="76"/>
        <w:ind w:left="101" w:right="123"/>
        <w:jc w:val="both"/>
      </w:pPr>
      <w:r>
        <w:rPr>
          <w:spacing w:val="-6"/>
        </w:rPr>
        <w:t>二、 如果您申报的被保险人年龄或性别不真实，致使您实际交纳的保险费少于应交的保险费，我们有权更正并要求您补交保险费。如果已经发生保险事故，我们将按实交保险费和应交保险费的比例重新计算实际应给</w:t>
      </w:r>
      <w:r>
        <w:rPr>
          <w:spacing w:val="-1"/>
        </w:rPr>
        <w:t>付的保险金。</w:t>
      </w:r>
    </w:p>
    <w:p>
      <w:pPr>
        <w:pStyle w:val="BodyText"/>
        <w:spacing w:line="316" w:lineRule="auto" w:before="18"/>
        <w:ind w:left="101" w:right="123"/>
      </w:pPr>
      <w:r>
        <w:rPr>
          <w:spacing w:val="-6"/>
        </w:rPr>
        <w:t>三、 如果您申报的被保险人年龄或性别不真实，致使您实际交纳的保险费多于应交的保险费，我们将无息退</w:t>
      </w:r>
      <w:r>
        <w:rPr>
          <w:spacing w:val="-1"/>
        </w:rPr>
        <w:t>还多收的保险费，而您购买的基本保险金额维持不变。</w:t>
      </w:r>
    </w:p>
    <w:p>
      <w:pPr>
        <w:pStyle w:val="Heading1"/>
        <w:tabs>
          <w:tab w:pos="1361" w:val="left" w:leader="none"/>
        </w:tabs>
        <w:spacing w:before="138"/>
      </w:pPr>
      <w:r>
        <w:rPr/>
        <w:t>第二十七条</w:t>
        <w:tab/>
      </w:r>
      <w:r>
        <w:rPr>
          <w:w w:val="95"/>
        </w:rPr>
        <w:t>未还款项</w:t>
      </w:r>
    </w:p>
    <w:p>
      <w:pPr>
        <w:pStyle w:val="BodyText"/>
        <w:spacing w:before="12"/>
        <w:ind w:left="0"/>
        <w:rPr>
          <w:b/>
          <w:sz w:val="14"/>
        </w:rPr>
      </w:pPr>
    </w:p>
    <w:p>
      <w:pPr>
        <w:pStyle w:val="BodyText"/>
        <w:spacing w:line="316" w:lineRule="auto" w:before="1"/>
        <w:ind w:left="101" w:right="12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Heading1"/>
        <w:tabs>
          <w:tab w:pos="1361" w:val="left" w:leader="none"/>
        </w:tabs>
        <w:spacing w:before="139"/>
      </w:pPr>
      <w:r>
        <w:rPr/>
        <w:t>第二十八条</w:t>
        <w:tab/>
      </w:r>
      <w:r>
        <w:rPr>
          <w:w w:val="95"/>
        </w:rPr>
        <w:t>地址变更的通知</w:t>
      </w:r>
    </w:p>
    <w:p>
      <w:pPr>
        <w:pStyle w:val="BodyText"/>
        <w:ind w:left="0"/>
        <w:rPr>
          <w:b/>
          <w:sz w:val="15"/>
        </w:rPr>
      </w:pPr>
    </w:p>
    <w:p>
      <w:pPr>
        <w:pStyle w:val="BodyText"/>
        <w:spacing w:line="316" w:lineRule="auto"/>
        <w:ind w:left="101" w:right="128"/>
      </w:pPr>
      <w:r>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pStyle w:val="Heading1"/>
        <w:tabs>
          <w:tab w:pos="1361" w:val="left" w:leader="none"/>
        </w:tabs>
        <w:spacing w:before="138"/>
      </w:pPr>
      <w:r>
        <w:rPr/>
        <w:t>第二十九条</w:t>
        <w:tab/>
      </w:r>
      <w:r>
        <w:rPr>
          <w:w w:val="95"/>
        </w:rPr>
        <w:t>争议处理</w:t>
      </w:r>
    </w:p>
    <w:p>
      <w:pPr>
        <w:pStyle w:val="BodyText"/>
        <w:spacing w:before="12"/>
        <w:ind w:left="0"/>
        <w:rPr>
          <w:b/>
          <w:sz w:val="14"/>
        </w:rPr>
      </w:pPr>
    </w:p>
    <w:p>
      <w:pPr>
        <w:pStyle w:val="BodyText"/>
        <w:ind w:left="101"/>
      </w:pPr>
      <w:r>
        <w:rPr/>
        <w:t>合同争议解决方式由当事人在合同约定时从下列两种方式中选择一种：</w:t>
      </w:r>
    </w:p>
    <w:p>
      <w:pPr>
        <w:pStyle w:val="BodyText"/>
        <w:spacing w:before="76"/>
        <w:ind w:left="101"/>
      </w:pPr>
      <w:r>
        <w:rPr>
          <w:rFonts w:ascii="Times New Roman" w:eastAsia="Times New Roman"/>
        </w:rPr>
        <w:t>( </w:t>
      </w:r>
      <w:r>
        <w:rPr/>
        <w:t>一 </w:t>
      </w:r>
      <w:r>
        <w:rPr>
          <w:rFonts w:ascii="Times New Roman" w:eastAsia="Times New Roman"/>
        </w:rPr>
        <w:t>) </w:t>
      </w:r>
      <w:r>
        <w:rPr/>
        <w:t>因履行本合同发生的争议，由当事人协商解决，协商不成的，提交仲裁委员会仲裁；</w:t>
      </w:r>
    </w:p>
    <w:p>
      <w:pPr>
        <w:pStyle w:val="BodyText"/>
        <w:spacing w:before="63"/>
        <w:ind w:left="101"/>
      </w:pPr>
      <w:r>
        <w:rPr>
          <w:rFonts w:ascii="Times New Roman" w:eastAsia="Times New Roman"/>
        </w:rPr>
        <w:t>( </w:t>
      </w:r>
      <w:r>
        <w:rPr/>
        <w:t>二 </w:t>
      </w:r>
      <w:r>
        <w:rPr>
          <w:rFonts w:ascii="Times New Roman" w:eastAsia="Times New Roman"/>
        </w:rPr>
        <w:t>) </w:t>
      </w:r>
      <w:r>
        <w:rPr/>
        <w:t>因履行本合同发生的争议，由当事人协商解决，协商不成的，依法向人民法院起诉。</w:t>
      </w:r>
    </w:p>
    <w:p>
      <w:pPr>
        <w:pStyle w:val="Heading1"/>
        <w:tabs>
          <w:tab w:pos="1799" w:val="left" w:leader="none"/>
        </w:tabs>
        <w:spacing w:before="63"/>
        <w:ind w:left="0" w:right="26"/>
        <w:jc w:val="center"/>
      </w:pPr>
      <w:r>
        <w:rPr/>
        <w:t>第八部分</w:t>
        <w:tab/>
      </w:r>
      <w:r>
        <w:rPr>
          <w:w w:val="95"/>
        </w:rPr>
        <w:t>释义</w:t>
      </w:r>
    </w:p>
    <w:p>
      <w:pPr>
        <w:pStyle w:val="BodyText"/>
        <w:tabs>
          <w:tab w:pos="2340" w:val="left" w:leader="none"/>
        </w:tabs>
        <w:spacing w:line="234" w:lineRule="exact" w:before="38"/>
        <w:ind w:left="101"/>
      </w:pPr>
      <w:r>
        <w:rPr/>
        <w:t>释义</w:t>
      </w:r>
      <w:r>
        <w:rPr>
          <w:spacing w:val="-45"/>
        </w:rPr>
        <w:t> </w:t>
      </w:r>
      <w:r>
        <w:rPr/>
        <w:t>1、周岁</w:t>
        <w:tab/>
        <w:t>:</w:t>
      </w:r>
      <w:r>
        <w:rPr>
          <w:spacing w:val="17"/>
        </w:rPr>
        <w:t> </w:t>
      </w:r>
      <w:r>
        <w:rPr/>
        <w:t>以法定身份证明文件中记载的出生日期为计算基础计算的年龄。</w:t>
      </w:r>
    </w:p>
    <w:p>
      <w:pPr>
        <w:pStyle w:val="BodyText"/>
        <w:tabs>
          <w:tab w:pos="2340" w:val="left" w:leader="none"/>
        </w:tabs>
        <w:ind w:right="109" w:hanging="2439"/>
      </w:pPr>
      <w:r>
        <w:rPr/>
        <w:t>释义</w:t>
      </w:r>
      <w:r>
        <w:rPr>
          <w:spacing w:val="-45"/>
        </w:rPr>
        <w:t> </w:t>
      </w:r>
      <w:r>
        <w:rPr/>
        <w:t>2、本合同生效日</w:t>
        <w:tab/>
        <w:t>:</w:t>
      </w:r>
      <w:r>
        <w:rPr>
          <w:spacing w:val="15"/>
        </w:rPr>
        <w:t> </w:t>
      </w:r>
      <w:r>
        <w:rPr/>
        <w:t>是指在我们同意承保</w:t>
      </w:r>
      <w:r>
        <w:rPr>
          <w:spacing w:val="-20"/>
        </w:rPr>
        <w:t>、</w:t>
      </w:r>
      <w:r>
        <w:rPr/>
        <w:t>签发保险合同并收到您交付的首期保险费的条件下</w:t>
      </w:r>
      <w:r>
        <w:rPr>
          <w:spacing w:val="-20"/>
        </w:rPr>
        <w:t>，</w:t>
      </w:r>
      <w:r>
        <w:rPr/>
        <w:t>本</w:t>
      </w:r>
      <w:r>
        <w:rPr>
          <w:spacing w:val="-1"/>
        </w:rPr>
        <w:t>合同开</w:t>
      </w:r>
      <w:r>
        <w:rPr/>
        <w:t>始生效的日期。此日期载明于保险合同首页上。</w:t>
      </w:r>
    </w:p>
    <w:p>
      <w:pPr>
        <w:pStyle w:val="BodyText"/>
        <w:tabs>
          <w:tab w:pos="2340" w:val="left" w:leader="none"/>
        </w:tabs>
        <w:ind w:right="111" w:hanging="2439"/>
      </w:pPr>
      <w:r>
        <w:rPr/>
        <w:t>释义</w:t>
      </w:r>
      <w:r>
        <w:rPr>
          <w:spacing w:val="-45"/>
        </w:rPr>
        <w:t> </w:t>
      </w:r>
      <w:r>
        <w:rPr/>
        <w:t>3、发病</w:t>
        <w:tab/>
        <w:t>:</w:t>
      </w:r>
      <w:r>
        <w:rPr>
          <w:spacing w:val="17"/>
        </w:rPr>
        <w:t> </w:t>
      </w:r>
      <w:r>
        <w:rPr/>
        <w:t>指被保险人出现本合同所界定疾病的前兆或异常的身体状况</w:t>
      </w:r>
      <w:r>
        <w:rPr>
          <w:spacing w:val="-41"/>
        </w:rPr>
        <w:t>，</w:t>
      </w:r>
      <w:r>
        <w:rPr/>
        <w:t>或已经显现足以</w:t>
      </w:r>
      <w:r>
        <w:rPr>
          <w:spacing w:val="-1"/>
        </w:rPr>
        <w:t>使一般</w:t>
      </w:r>
      <w:r>
        <w:rPr/>
        <w:t>人士引起注意并寻求诊断、治疗或护理的病症。</w:t>
      </w:r>
    </w:p>
    <w:p>
      <w:pPr>
        <w:pStyle w:val="BodyText"/>
        <w:tabs>
          <w:tab w:pos="2340" w:val="left" w:leader="none"/>
        </w:tabs>
        <w:ind w:right="11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且为本合同所界定的医院</w:t>
      </w:r>
      <w:r>
        <w:rPr>
          <w:spacing w:val="-1"/>
        </w:rPr>
        <w:t>之正式</w:t>
      </w:r>
      <w:r>
        <w:rPr/>
        <w:t>注册医生，但不包括被保险人本人及其直系亲属。</w:t>
      </w:r>
    </w:p>
    <w:p>
      <w:pPr>
        <w:pStyle w:val="BodyText"/>
        <w:ind w:right="69" w:hanging="2439"/>
      </w:pPr>
      <w:r>
        <w:rPr/>
        <w:t>释义 5、所有已交的保险费 : 是指以本合同的基本保险金额为基础计算的，截至我们给付保险金时，本合同下所有应交已交的保险费总额。</w:t>
      </w:r>
    </w:p>
    <w:p>
      <w:pPr>
        <w:pStyle w:val="BodyText"/>
        <w:tabs>
          <w:tab w:pos="2340" w:val="left" w:leader="none"/>
        </w:tabs>
        <w:ind w:right="108" w:hanging="2439"/>
      </w:pPr>
      <w:r>
        <w:rPr/>
        <w:t>释义</w:t>
      </w:r>
      <w:r>
        <w:rPr>
          <w:spacing w:val="-45"/>
        </w:rPr>
        <w:t> </w:t>
      </w:r>
      <w:r>
        <w:rPr/>
        <w:t>6、意外伤害事故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ind w:right="109" w:hanging="2439"/>
        <w:jc w:val="both"/>
      </w:pPr>
      <w:r>
        <w:rPr/>
        <w:t>释义</w:t>
      </w:r>
      <w:r>
        <w:rPr>
          <w:spacing w:val="-45"/>
        </w:rPr>
        <w:t> </w:t>
      </w:r>
      <w:r>
        <w:rPr/>
        <w:t>7、毒品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1"/>
        <w:ind w:right="109" w:hanging="2439"/>
        <w:jc w:val="both"/>
      </w:pPr>
      <w:r>
        <w:rPr>
          <w:spacing w:val="-16"/>
        </w:rPr>
        <w:t>释义 </w:t>
      </w:r>
      <w:r>
        <w:rPr/>
        <w:t>8</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5" w:lineRule="exact"/>
        <w:ind w:left="101"/>
      </w:pPr>
      <w:r>
        <w:rPr/>
        <w:t>释义 9、无合法有效驾驶证驾: 指下列情形之一：</w:t>
      </w:r>
    </w:p>
    <w:p>
      <w:pPr>
        <w:pStyle w:val="BodyText"/>
        <w:tabs>
          <w:tab w:pos="2539" w:val="left" w:leader="none"/>
        </w:tabs>
        <w:spacing w:line="232" w:lineRule="exact"/>
        <w:ind w:left="101"/>
      </w:pPr>
      <w:r>
        <w:rPr/>
        <w:t>驶</w:t>
        <w:tab/>
        <w:t>1.没有驾驶证驾驶；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ind w:right="56"/>
      </w:pPr>
      <w:r>
        <w:rPr/>
        <w:t>5.持学习驾驶证学习驾车时，无教练员随车指导，或不按指定时间、路线学习驾车；</w:t>
      </w:r>
    </w:p>
    <w:p>
      <w:pPr>
        <w:pStyle w:val="BodyText"/>
        <w:spacing w:line="233" w:lineRule="exact" w:before="1"/>
      </w:pPr>
      <w:r>
        <w:rPr/>
        <w:t>6.公安交通管理部门规定的其他无有效驾驶证驾驶的情况。</w:t>
      </w:r>
    </w:p>
    <w:p>
      <w:pPr>
        <w:pStyle w:val="BodyText"/>
        <w:tabs>
          <w:tab w:pos="2340" w:val="left" w:leader="none"/>
        </w:tabs>
        <w:spacing w:line="235" w:lineRule="exact"/>
        <w:ind w:left="101"/>
      </w:pPr>
      <w:r>
        <w:rPr/>
        <w:t>释义</w:t>
      </w:r>
      <w:r>
        <w:rPr>
          <w:spacing w:val="-45"/>
        </w:rPr>
        <w:t> </w:t>
      </w:r>
      <w:r>
        <w:rPr/>
        <w:t>10、无有效行驶证</w:t>
        <w:tab/>
        <w:t>:</w:t>
      </w:r>
      <w:r>
        <w:rPr>
          <w:spacing w:val="17"/>
        </w:rPr>
        <w:t> </w:t>
      </w:r>
      <w:r>
        <w:rPr/>
        <w:t>指下列情形之一：</w:t>
      </w:r>
    </w:p>
    <w:p>
      <w:pPr>
        <w:spacing w:after="0" w:line="235" w:lineRule="exact"/>
        <w:sectPr>
          <w:pgSz w:w="11960" w:h="16850"/>
          <w:pgMar w:header="0" w:footer="1001" w:top="1600" w:bottom="1200" w:left="1600" w:right="1620"/>
        </w:sectPr>
      </w:pPr>
    </w:p>
    <w:p>
      <w:pPr>
        <w:pStyle w:val="BodyText"/>
        <w:spacing w:line="234" w:lineRule="exact" w:before="73"/>
      </w:pPr>
      <w:r>
        <w:rPr/>
        <w:t>1.机动车被依法注销登记的；</w:t>
      </w:r>
    </w:p>
    <w:p>
      <w:pPr>
        <w:pStyle w:val="BodyText"/>
        <w:spacing w:line="234" w:lineRule="exact"/>
      </w:pPr>
      <w:r>
        <w:rPr/>
        <w:t>2.未依法按时进行或通过机动车安全技术检验。</w:t>
      </w:r>
    </w:p>
    <w:p>
      <w:pPr>
        <w:pStyle w:val="BodyText"/>
        <w:tabs>
          <w:tab w:pos="2340" w:val="left" w:leader="none"/>
        </w:tabs>
        <w:spacing w:line="237" w:lineRule="auto" w:before="2"/>
        <w:ind w:right="191" w:hanging="2439"/>
      </w:pPr>
      <w:r>
        <w:rPr/>
        <w:t>释义</w:t>
      </w:r>
      <w:r>
        <w:rPr>
          <w:spacing w:val="-45"/>
        </w:rPr>
        <w:t> </w:t>
      </w:r>
      <w:r>
        <w:rPr/>
        <w:t>11、机动车</w:t>
        <w:tab/>
        <w:t>:</w:t>
      </w:r>
      <w:r>
        <w:rPr>
          <w:spacing w:val="16"/>
        </w:rPr>
        <w:t> </w:t>
      </w:r>
      <w:r>
        <w:rPr/>
        <w:t>指以动力装置驱动或者牵引</w:t>
      </w:r>
      <w:r>
        <w:rPr>
          <w:spacing w:val="-41"/>
        </w:rPr>
        <w:t>，</w:t>
      </w:r>
      <w:r>
        <w:rPr/>
        <w:t>供人员乘用或者用于运送物品以及进行工程专项</w:t>
      </w:r>
      <w:r>
        <w:rPr>
          <w:spacing w:val="-1"/>
        </w:rPr>
        <w:t>作</w:t>
      </w:r>
      <w:r>
        <w:rPr/>
        <w:t>业的轮式车辆。</w:t>
      </w:r>
    </w:p>
    <w:p>
      <w:pPr>
        <w:pStyle w:val="BodyText"/>
        <w:tabs>
          <w:tab w:pos="2340" w:val="left" w:leader="none"/>
        </w:tabs>
        <w:spacing w:line="237" w:lineRule="auto" w:before="1"/>
        <w:ind w:left="101" w:right="282"/>
      </w:pPr>
      <w:r>
        <w:rPr/>
        <w:t>释义</w:t>
      </w:r>
      <w:r>
        <w:rPr>
          <w:spacing w:val="-45"/>
        </w:rPr>
        <w:t> </w:t>
      </w:r>
      <w:r>
        <w:rPr/>
        <w:t>12、艾滋病</w:t>
        <w:tab/>
        <w:t>:</w:t>
      </w:r>
      <w:r>
        <w:rPr>
          <w:spacing w:val="17"/>
        </w:rPr>
        <w:t> </w:t>
      </w:r>
      <w:r>
        <w:rPr/>
        <w:t>指人类免疫缺陷病毒引起的获得性免疫缺陷综合征简称，英文缩写为</w:t>
      </w:r>
      <w:r>
        <w:rPr>
          <w:spacing w:val="-46"/>
        </w:rPr>
        <w:t> </w:t>
      </w:r>
      <w:r>
        <w:rPr/>
        <w:t>AIDS。释义</w:t>
      </w:r>
      <w:r>
        <w:rPr>
          <w:spacing w:val="-45"/>
        </w:rPr>
        <w:t> </w:t>
      </w:r>
      <w:r>
        <w:rPr/>
        <w:t>13、艾滋病病毒</w:t>
        <w:tab/>
        <w:t>:</w:t>
      </w:r>
      <w:r>
        <w:rPr>
          <w:spacing w:val="18"/>
        </w:rPr>
        <w:t> </w:t>
      </w:r>
      <w:r>
        <w:rPr/>
        <w:t>指人类免疫缺陷病毒,英文缩写为</w:t>
      </w:r>
      <w:r>
        <w:rPr>
          <w:spacing w:val="-45"/>
        </w:rPr>
        <w:t> </w:t>
      </w:r>
      <w:r>
        <w:rPr/>
        <w:t>HIV。</w:t>
      </w:r>
    </w:p>
    <w:p>
      <w:pPr>
        <w:pStyle w:val="BodyText"/>
        <w:tabs>
          <w:tab w:pos="2340" w:val="left" w:leader="none"/>
        </w:tabs>
        <w:spacing w:line="237" w:lineRule="auto" w:before="1"/>
        <w:ind w:right="189" w:hanging="2439"/>
      </w:pPr>
      <w:r>
        <w:rPr/>
        <w:t>释义</w:t>
      </w:r>
      <w:r>
        <w:rPr>
          <w:spacing w:val="-45"/>
        </w:rPr>
        <w:t> </w:t>
      </w:r>
      <w:r>
        <w:rPr/>
        <w:t>14、恐怖活动</w:t>
        <w:tab/>
        <w:t>:</w:t>
      </w:r>
      <w:r>
        <w:rPr>
          <w:spacing w:val="13"/>
        </w:rPr>
        <w:t> </w:t>
      </w:r>
      <w:r>
        <w:rPr/>
        <w:t>指为达到政治</w:t>
      </w:r>
      <w:r>
        <w:rPr>
          <w:spacing w:val="-8"/>
        </w:rPr>
        <w:t>、</w:t>
      </w:r>
      <w:r>
        <w:rPr/>
        <w:t>宗教和意识形态的目的</w:t>
      </w:r>
      <w:r>
        <w:rPr>
          <w:spacing w:val="-8"/>
        </w:rPr>
        <w:t>，</w:t>
      </w:r>
      <w:r>
        <w:rPr/>
        <w:t>使用爆炸</w:t>
      </w:r>
      <w:r>
        <w:rPr>
          <w:spacing w:val="-8"/>
        </w:rPr>
        <w:t>、</w:t>
      </w:r>
      <w:r>
        <w:rPr/>
        <w:t>杀人</w:t>
      </w:r>
      <w:r>
        <w:rPr>
          <w:spacing w:val="-10"/>
        </w:rPr>
        <w:t>、</w:t>
      </w:r>
      <w:r>
        <w:rPr/>
        <w:t>放火</w:t>
      </w:r>
      <w:r>
        <w:rPr>
          <w:spacing w:val="-8"/>
        </w:rPr>
        <w:t>、</w:t>
      </w:r>
      <w:r>
        <w:rPr/>
        <w:t>绑架等手段</w:t>
      </w:r>
      <w:r>
        <w:rPr>
          <w:spacing w:val="-1"/>
        </w:rPr>
        <w:t>伤害人身或</w:t>
      </w:r>
      <w:r>
        <w:rPr/>
        <w:t>者损坏财产，恐吓和威胁政府、普通民众的行为。</w:t>
      </w:r>
    </w:p>
    <w:p>
      <w:pPr>
        <w:pStyle w:val="BodyText"/>
        <w:tabs>
          <w:tab w:pos="2340" w:val="left" w:leader="none"/>
        </w:tabs>
        <w:spacing w:line="237" w:lineRule="auto" w:before="1"/>
        <w:ind w:right="191" w:hanging="2439"/>
      </w:pPr>
      <w:r>
        <w:rPr/>
        <w:t>释义</w:t>
      </w:r>
      <w:r>
        <w:rPr>
          <w:spacing w:val="-45"/>
        </w:rPr>
        <w:t> </w:t>
      </w:r>
      <w:r>
        <w:rPr/>
        <w:t>15、遗传性疾病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病，通常</w:t>
      </w:r>
      <w:r>
        <w:rPr/>
        <w:t>具有由亲代传至后代的垂直传递的特征。</w:t>
      </w:r>
    </w:p>
    <w:p>
      <w:pPr>
        <w:pStyle w:val="BodyText"/>
        <w:spacing w:line="235" w:lineRule="exact"/>
        <w:ind w:left="101"/>
      </w:pPr>
      <w:r>
        <w:rPr/>
        <w:t>释义 16、先天性畸形、变形: 指被保险人出生时就具有的畸形、变形或染色体异常。先天性畸形、变形和染</w:t>
      </w:r>
    </w:p>
    <w:p>
      <w:pPr>
        <w:spacing w:after="0" w:line="235" w:lineRule="exact"/>
        <w:sectPr>
          <w:pgSz w:w="11960" w:h="16850"/>
          <w:pgMar w:header="0" w:footer="1001" w:top="1600" w:bottom="1200" w:left="1600" w:right="1540"/>
        </w:sectPr>
      </w:pPr>
    </w:p>
    <w:p>
      <w:pPr>
        <w:pStyle w:val="BodyText"/>
        <w:spacing w:line="233" w:lineRule="exact"/>
        <w:ind w:left="101"/>
      </w:pPr>
      <w:r>
        <w:rPr/>
        <w:t>或染色体异常</w:t>
      </w:r>
    </w:p>
    <w:p>
      <w:pPr>
        <w:pStyle w:val="BodyText"/>
        <w:ind w:left="101" w:right="279"/>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540"/>
          <w:cols w:num="2" w:equalWidth="0">
            <w:col w:w="1182" w:space="1256"/>
            <w:col w:w="6382"/>
          </w:cols>
        </w:sectPr>
      </w:pPr>
    </w:p>
    <w:p>
      <w:pPr>
        <w:pStyle w:val="BodyText"/>
        <w:tabs>
          <w:tab w:pos="2340" w:val="left" w:leader="none"/>
        </w:tabs>
        <w:spacing w:line="235" w:lineRule="exact"/>
        <w:ind w:left="101"/>
      </w:pPr>
      <w:r>
        <w:rPr/>
        <w:t>释义</w:t>
      </w:r>
      <w:r>
        <w:rPr>
          <w:spacing w:val="-45"/>
        </w:rPr>
        <w:t> </w:t>
      </w:r>
      <w:r>
        <w:rPr/>
        <w:t>17、保险事故</w:t>
        <w:tab/>
        <w:t>:</w:t>
      </w:r>
      <w:r>
        <w:rPr>
          <w:spacing w:val="17"/>
        </w:rPr>
        <w:t> </w:t>
      </w:r>
      <w:r>
        <w:rPr/>
        <w:t>是指本合同约定的保险责任范围内的事故。</w:t>
      </w:r>
    </w:p>
    <w:p>
      <w:pPr>
        <w:pStyle w:val="BodyText"/>
        <w:ind w:left="101"/>
      </w:pPr>
      <w:r>
        <w:rPr/>
        <w:t>释义 18、我们指定或认可的: 1.我们将在批注中列明指定的医院名单，并保留对上述医院名单做出调整的权</w:t>
      </w:r>
    </w:p>
    <w:p>
      <w:pPr>
        <w:pStyle w:val="BodyText"/>
        <w:tabs>
          <w:tab w:pos="2539" w:val="left" w:leader="none"/>
        </w:tabs>
        <w:ind w:right="189" w:hanging="2439"/>
      </w:pPr>
      <w:r>
        <w:rPr/>
        <w:t>医院</w:t>
        <w:tab/>
      </w:r>
      <w:r>
        <w:rPr>
          <w:spacing w:val="-1"/>
        </w:rPr>
        <w:t>利</w:t>
      </w:r>
      <w:r>
        <w:rPr>
          <w:spacing w:val="-20"/>
        </w:rPr>
        <w:t>。</w:t>
      </w:r>
      <w:r>
        <w:rPr>
          <w:spacing w:val="-1"/>
        </w:rPr>
        <w:t>我</w:t>
      </w:r>
      <w:r>
        <w:rPr/>
        <w:t>们指定的医院范围将以最新调整的医院名单范围为准</w:t>
      </w:r>
      <w:r>
        <w:rPr>
          <w:spacing w:val="-20"/>
        </w:rPr>
        <w:t>，</w:t>
      </w:r>
      <w:r>
        <w:rPr/>
        <w:t>该名单可通过本</w:t>
      </w:r>
      <w:r>
        <w:rPr>
          <w:spacing w:val="-1"/>
        </w:rPr>
        <w:t>公</w:t>
      </w:r>
      <w:r>
        <w:rPr/>
        <w:t>司网站和客户服务电话查询。</w:t>
      </w:r>
    </w:p>
    <w:p>
      <w:pPr>
        <w:pStyle w:val="BodyText"/>
        <w:ind w:right="136"/>
      </w:pPr>
      <w:r>
        <w:rPr/>
        <w:t>2.我们指定的医院均指医院本院，不包括所属的指导或教学医院分院、社区医疗服务点、外设门诊部及合作医院。</w:t>
      </w:r>
    </w:p>
    <w:p>
      <w:pPr>
        <w:pStyle w:val="BodyText"/>
        <w:ind w:right="136"/>
      </w:pPr>
      <w:r>
        <w:rPr/>
        <w:t>3.如果被保险人因紧急情况需要就近抢救，可不受我们指定医院的限制，但病情稳定后应转入我们指定的医院。</w:t>
      </w:r>
    </w:p>
    <w:p>
      <w:pPr>
        <w:pStyle w:val="BodyText"/>
        <w:ind w:right="135"/>
      </w:pPr>
      <w:r>
        <w:rPr/>
        <w:t>4.如果被保险人在批注中列明医院所在地以外的地区就诊，须选择我们认可的医院。其标准须符合本合同中对“医院”的释义。</w:t>
      </w:r>
    </w:p>
    <w:p>
      <w:pPr>
        <w:pStyle w:val="BodyText"/>
        <w:ind w:right="136"/>
      </w:pPr>
      <w:r>
        <w:rPr/>
        <w:t>5.如果本保险合同中无指定医院名单批注，被保险人就诊须选择我们认可的医院。其标准须符合本合同中对“医院”的释义。</w:t>
      </w:r>
    </w:p>
    <w:p>
      <w:pPr>
        <w:pStyle w:val="BodyText"/>
        <w:tabs>
          <w:tab w:pos="2340" w:val="left" w:leader="none"/>
        </w:tabs>
        <w:spacing w:line="237" w:lineRule="auto" w:before="2"/>
        <w:ind w:right="191" w:hanging="2439"/>
      </w:pPr>
      <w:r>
        <w:rPr/>
        <w:t>释义</w:t>
      </w:r>
      <w:r>
        <w:rPr>
          <w:spacing w:val="-45"/>
        </w:rPr>
        <w:t> </w:t>
      </w:r>
      <w:r>
        <w:rPr/>
        <w:t>19、医院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33" w:lineRule="exact"/>
        <w:ind w:left="101"/>
      </w:pPr>
      <w:r>
        <w:rPr/>
        <w:t>释义</w:t>
      </w:r>
      <w:r>
        <w:rPr>
          <w:spacing w:val="-45"/>
        </w:rPr>
        <w:t> </w:t>
      </w:r>
      <w:r>
        <w:rPr/>
        <w:t>20、保险合同周年日</w:t>
        <w:tab/>
        <w:t>:</w:t>
      </w:r>
      <w:r>
        <w:rPr>
          <w:spacing w:val="17"/>
        </w:rPr>
        <w:t> </w:t>
      </w:r>
      <w:r>
        <w:rPr/>
        <w:t>是指本合同生效日起的周年日期。</w:t>
      </w:r>
    </w:p>
    <w:p>
      <w:pPr>
        <w:pStyle w:val="BodyText"/>
        <w:tabs>
          <w:tab w:pos="2340" w:val="left" w:leader="none"/>
        </w:tabs>
        <w:spacing w:line="237" w:lineRule="auto" w:before="2"/>
        <w:ind w:right="189" w:hanging="2439"/>
      </w:pPr>
      <w:r>
        <w:rPr/>
        <w:t>释义</w:t>
      </w:r>
      <w:r>
        <w:rPr>
          <w:spacing w:val="-45"/>
        </w:rPr>
        <w:t> </w:t>
      </w:r>
      <w:r>
        <w:rPr/>
        <w:t>21、现金价值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tabs>
          <w:tab w:pos="2340" w:val="left" w:leader="none"/>
        </w:tabs>
        <w:spacing w:line="237" w:lineRule="auto" w:before="1"/>
        <w:ind w:right="191" w:hanging="2439"/>
      </w:pPr>
      <w:r>
        <w:rPr/>
        <w:t>释义</w:t>
      </w:r>
      <w:r>
        <w:rPr>
          <w:spacing w:val="-45"/>
        </w:rPr>
        <w:t> </w:t>
      </w:r>
      <w:r>
        <w:rPr/>
        <w:t>22、未偿还欠款</w:t>
        <w:tab/>
        <w:t>:</w:t>
      </w:r>
      <w:r>
        <w:rPr>
          <w:spacing w:val="17"/>
        </w:rPr>
        <w:t> </w:t>
      </w:r>
      <w:r>
        <w:rPr/>
        <w:t>是指欠交的保险费</w:t>
      </w:r>
      <w:r>
        <w:rPr>
          <w:spacing w:val="-34"/>
        </w:rPr>
        <w:t>、</w:t>
      </w:r>
      <w:r>
        <w:rPr/>
        <w:t>保险费自动垫交的金</w:t>
      </w:r>
      <w:r>
        <w:rPr>
          <w:spacing w:val="-34"/>
        </w:rPr>
        <w:t>额</w:t>
      </w:r>
      <w:r>
        <w:rPr/>
        <w:t>（如适用者</w:t>
      </w:r>
      <w:r>
        <w:rPr>
          <w:spacing w:val="-92"/>
        </w:rPr>
        <w:t>）</w:t>
      </w:r>
      <w:r>
        <w:rPr>
          <w:spacing w:val="-34"/>
        </w:rPr>
        <w:t>、</w:t>
      </w:r>
      <w:r>
        <w:rPr/>
        <w:t>保单贷款的金</w:t>
      </w:r>
      <w:r>
        <w:rPr>
          <w:spacing w:val="-34"/>
        </w:rPr>
        <w:t>额</w:t>
      </w:r>
      <w:r>
        <w:rPr/>
        <w:t>（如</w:t>
      </w:r>
      <w:r>
        <w:rPr>
          <w:spacing w:val="-1"/>
        </w:rPr>
        <w:t>适用者</w:t>
      </w:r>
      <w:r>
        <w:rPr/>
        <w:t>）及前述三者的累积利息。</w:t>
      </w:r>
    </w:p>
    <w:p>
      <w:pPr>
        <w:pStyle w:val="BodyText"/>
        <w:tabs>
          <w:tab w:pos="2340" w:val="left" w:leader="none"/>
        </w:tabs>
        <w:spacing w:line="234" w:lineRule="exact"/>
        <w:ind w:left="101"/>
      </w:pPr>
      <w:r>
        <w:rPr/>
        <w:t>释义</w:t>
      </w:r>
      <w:r>
        <w:rPr>
          <w:spacing w:val="-45"/>
        </w:rPr>
        <w:t> </w:t>
      </w:r>
      <w:r>
        <w:rPr/>
        <w:t>23、本公司</w:t>
        <w:tab/>
        <w:t>:</w:t>
      </w:r>
      <w:r>
        <w:rPr>
          <w:spacing w:val="17"/>
        </w:rPr>
        <w:t> </w:t>
      </w:r>
      <w:r>
        <w:rPr/>
        <w:t>是指北大方正人寿保险有限公司。</w:t>
      </w:r>
    </w:p>
    <w:p>
      <w:pPr>
        <w:pStyle w:val="BodyText"/>
        <w:ind w:left="101" w:right="186"/>
      </w:pPr>
      <w:r>
        <w:rPr/>
        <w:t>重大疾病是指下列任何一种疾病，被保险人发生符合以下疾病定义所述条件的疾病，应当由专科医生明确诊断，且被保险人需从确诊之日起三十天后仍然生存，方符合理赔条件。</w:t>
      </w:r>
    </w:p>
    <w:p>
      <w:pPr>
        <w:pStyle w:val="BodyText"/>
        <w:tabs>
          <w:tab w:pos="2340" w:val="left" w:leader="none"/>
        </w:tabs>
        <w:spacing w:line="237" w:lineRule="auto"/>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37" w:lineRule="auto" w:before="1"/>
        <w:ind w:right="3928"/>
      </w:pPr>
      <w:r>
        <w:rPr/>
        <w:t>（ICD-10）的恶性肿瘤范畴。下列疾病不在保障范围内：</w:t>
      </w:r>
    </w:p>
    <w:p>
      <w:pPr>
        <w:pStyle w:val="BodyText"/>
        <w:spacing w:line="234"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spacing w:line="234" w:lineRule="exact"/>
      </w:pPr>
      <w:r>
        <w:rPr/>
        <w:t>6.感染艾滋病病毒或患艾滋病期间所患恶性肿瘤。</w:t>
      </w:r>
    </w:p>
    <w:p>
      <w:pPr>
        <w:pStyle w:val="BodyText"/>
        <w:tabs>
          <w:tab w:pos="2340" w:val="left" w:leader="none"/>
        </w:tabs>
        <w:spacing w:line="237" w:lineRule="auto" w:before="1"/>
        <w:ind w:right="191" w:hanging="2439"/>
      </w:pPr>
      <w:r>
        <w:rPr/>
        <w:t>2、急性心肌梗塞</w:t>
        <w:tab/>
        <w:t>：</w:t>
      </w:r>
      <w:r>
        <w:rPr>
          <w:spacing w:val="-72"/>
        </w:rPr>
        <w:t> </w:t>
      </w:r>
      <w:r>
        <w:rPr/>
        <w:t>指因冠状动脉阻塞导致的相应区域供血不足造成部分心肌坏死</w:t>
      </w:r>
      <w:r>
        <w:rPr>
          <w:spacing w:val="-41"/>
        </w:rPr>
        <w:t>。</w:t>
      </w:r>
      <w:r>
        <w:rPr/>
        <w:t>须满足下列至</w:t>
      </w:r>
      <w:r>
        <w:rPr>
          <w:spacing w:val="-1"/>
        </w:rPr>
        <w:t>少</w:t>
      </w:r>
      <w:r>
        <w:rPr/>
        <w:t>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1"/>
        <w:ind w:right="188"/>
      </w:pPr>
      <w:r>
        <w:rPr/>
        <w:t>3.心肌酶或肌钙蛋白有诊断意义的升高，或呈符合急性心肌梗塞的动态性变化；</w:t>
      </w:r>
    </w:p>
    <w:p>
      <w:pPr>
        <w:spacing w:after="0" w:line="237" w:lineRule="auto"/>
        <w:sectPr>
          <w:type w:val="continuous"/>
          <w:pgSz w:w="11960" w:h="16850"/>
          <w:pgMar w:top="280" w:bottom="1200" w:left="1600" w:right="1540"/>
        </w:sectPr>
      </w:pPr>
    </w:p>
    <w:p>
      <w:pPr>
        <w:pStyle w:val="BodyText"/>
        <w:spacing w:line="234" w:lineRule="exact" w:before="73"/>
      </w:pPr>
      <w:r>
        <w:rPr/>
        <w:t>4.发病 90 天后，经检查证实左心室功能降低，如左心室射血分数低于 50%。</w:t>
      </w:r>
    </w:p>
    <w:p>
      <w:pPr>
        <w:pStyle w:val="BodyText"/>
        <w:spacing w:line="237" w:lineRule="auto"/>
        <w:ind w:right="109" w:hanging="2439"/>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1"/>
        <w:ind w:right="56"/>
      </w:pPr>
      <w:r>
        <w:rPr/>
        <w:t>3.自主生活能力完全丧失，无法独立完成六项基本日常生活活动中的三项或三项以上。</w:t>
      </w:r>
    </w:p>
    <w:p>
      <w:pPr>
        <w:pStyle w:val="BodyText"/>
        <w:spacing w:line="235" w:lineRule="exact"/>
        <w:ind w:left="101"/>
      </w:pPr>
      <w:r>
        <w:rPr/>
        <w:t>4</w:t>
      </w:r>
      <w:r>
        <w:rPr>
          <w:spacing w:val="-10"/>
        </w:rPr>
        <w:t>、重大器官移植术或造血干： 重大器官移植术，指因相应器官功能衰竭，已经实施了肾脏、肝脏、心脏或肺</w:t>
      </w:r>
    </w:p>
    <w:p>
      <w:pPr>
        <w:spacing w:after="0" w:line="235" w:lineRule="exact"/>
        <w:sectPr>
          <w:pgSz w:w="11960" w:h="16850"/>
          <w:pgMar w:header="0" w:footer="1001" w:top="1600" w:bottom="1200" w:left="1600" w:right="1620"/>
        </w:sectPr>
      </w:pPr>
    </w:p>
    <w:p>
      <w:pPr>
        <w:pStyle w:val="BodyText"/>
        <w:spacing w:line="233" w:lineRule="exact"/>
        <w:ind w:left="101"/>
      </w:pPr>
      <w:r>
        <w:rPr/>
        <w:t>细胞移植术</w:t>
      </w:r>
    </w:p>
    <w:p>
      <w:pPr>
        <w:pStyle w:val="BodyText"/>
        <w:spacing w:line="233" w:lineRule="exact"/>
        <w:ind w:left="101"/>
      </w:pPr>
      <w:r>
        <w:rPr/>
        <w:br w:type="column"/>
      </w:r>
      <w:r>
        <w:rPr/>
        <w:t>脏的异体移植手术。</w:t>
      </w:r>
    </w:p>
    <w:p>
      <w:pPr>
        <w:pStyle w:val="BodyText"/>
        <w:spacing w:line="237" w:lineRule="auto" w:before="2"/>
        <w:ind w:left="101" w:right="10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1002" w:space="1436"/>
            <w:col w:w="6302"/>
          </w:cols>
        </w:sectPr>
      </w:pPr>
    </w:p>
    <w:p>
      <w:pPr>
        <w:pStyle w:val="BodyText"/>
        <w:spacing w:line="233" w:lineRule="exact"/>
        <w:ind w:left="101"/>
      </w:pPr>
      <w:r>
        <w:rPr/>
        <w:t>5、冠状动脉搭桥术（或称冠：指为治疗严重的冠心病，实际实施了开胸进行的冠状动脉血管旁路移植的手</w:t>
      </w:r>
    </w:p>
    <w:p>
      <w:pPr>
        <w:spacing w:after="0" w:line="233" w:lineRule="exact"/>
        <w:sectPr>
          <w:type w:val="continuous"/>
          <w:pgSz w:w="11960" w:h="16850"/>
          <w:pgMar w:top="280" w:bottom="1200" w:left="1600" w:right="1620"/>
        </w:sectPr>
      </w:pPr>
    </w:p>
    <w:p>
      <w:pPr>
        <w:pStyle w:val="BodyText"/>
        <w:spacing w:line="235" w:lineRule="exact"/>
        <w:ind w:left="101"/>
      </w:pPr>
      <w:r>
        <w:rPr/>
        <w:t>状动脉旁路移植术）</w:t>
      </w:r>
    </w:p>
    <w:p>
      <w:pPr>
        <w:spacing w:line="234" w:lineRule="exact" w:before="0"/>
        <w:ind w:left="101" w:right="0" w:firstLine="0"/>
        <w:jc w:val="left"/>
        <w:rPr>
          <w:sz w:val="18"/>
        </w:rPr>
      </w:pPr>
      <w:r>
        <w:rPr/>
        <w:br w:type="column"/>
      </w:r>
      <w:r>
        <w:rPr>
          <w:sz w:val="18"/>
        </w:rPr>
        <w:t>术。</w:t>
      </w:r>
    </w:p>
    <w:p>
      <w:pPr>
        <w:pStyle w:val="BodyText"/>
        <w:ind w:left="101" w:right="54"/>
      </w:pPr>
      <w:r>
        <w:rPr/>
        <w:t>冠状动脉支架植入术、心导管球囊扩张术、激光射频技术及其它非开胸的介入手术、腔镜手术不在保障范围内。</w:t>
      </w:r>
    </w:p>
    <w:p>
      <w:pPr>
        <w:spacing w:after="0"/>
        <w:sectPr>
          <w:type w:val="continuous"/>
          <w:pgSz w:w="11960" w:h="16850"/>
          <w:pgMar w:top="280" w:bottom="1200" w:left="1600" w:right="1620"/>
          <w:cols w:num="2" w:equalWidth="0">
            <w:col w:w="1722" w:space="716"/>
            <w:col w:w="6302"/>
          </w:cols>
        </w:sectPr>
      </w:pPr>
    </w:p>
    <w:p>
      <w:pPr>
        <w:pStyle w:val="BodyText"/>
        <w:spacing w:line="234" w:lineRule="exact"/>
        <w:ind w:left="101"/>
      </w:pPr>
      <w:r>
        <w:rPr/>
        <w:t>6、终末期肾病（或称慢性肾： 指双肾功能慢性不可逆性衰竭，达到尿毒症期，经诊断后已经进行了至少 90</w:t>
      </w:r>
    </w:p>
    <w:p>
      <w:pPr>
        <w:pStyle w:val="BodyText"/>
        <w:tabs>
          <w:tab w:pos="2539" w:val="left" w:leader="none"/>
        </w:tabs>
        <w:spacing w:line="235" w:lineRule="exact"/>
        <w:ind w:left="101"/>
      </w:pPr>
      <w:r>
        <w:rPr/>
        <w:t>功能衰竭尿毒症期）</w:t>
        <w:tab/>
      </w:r>
      <w:r>
        <w:rPr>
          <w:spacing w:val="-1"/>
        </w:rPr>
        <w:t>天</w:t>
      </w:r>
      <w:r>
        <w:rPr/>
        <w:t>的规律性透析治疗或实施了肾脏移植手术。</w:t>
      </w:r>
    </w:p>
    <w:p>
      <w:pPr>
        <w:pStyle w:val="BodyText"/>
        <w:ind w:right="111" w:hanging="2439"/>
        <w:jc w:val="both"/>
      </w:pPr>
      <w:r>
        <w:rPr/>
        <w:t>7、多个肢体缺失        ： 指因疾病或意外伤害导致两个或两个以上肢体自腕关节或踝关节近端（靠近躯干端）以上完全性断离。</w:t>
      </w:r>
    </w:p>
    <w:p>
      <w:pPr>
        <w:pStyle w:val="BodyText"/>
        <w:ind w:right="10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40" w:val="left" w:leader="none"/>
        </w:tabs>
        <w:ind w:right="10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ind w:left="101"/>
      </w:pPr>
      <w:r>
        <w:rPr/>
        <w:t>10、慢性肝功能衰竭失代偿： 指因慢性肝脏疾病导致肝功能衰竭。须满足下列全部条件：</w:t>
      </w:r>
    </w:p>
    <w:p>
      <w:pPr>
        <w:pStyle w:val="BodyText"/>
        <w:tabs>
          <w:tab w:pos="2539" w:val="left" w:leader="none"/>
        </w:tabs>
        <w:spacing w:line="233" w:lineRule="exact"/>
        <w:ind w:left="101"/>
      </w:pPr>
      <w:r>
        <w:rPr/>
        <w:t>期</w:t>
        <w:tab/>
        <w:t>1.持续性黄疸；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2"/>
        <w:ind w:right="1870"/>
      </w:pPr>
      <w:r>
        <w:rPr/>
        <w:t>4.</w:t>
      </w:r>
      <w:r>
        <w:rPr>
          <w:spacing w:val="-1"/>
        </w:rPr>
        <w:t>充血性脾肿大伴脾功能亢进或食管胃底静脉曲张。 因酗酒或药物滥用导致的肝功能衰竭不在保障范围内。</w:t>
      </w:r>
    </w:p>
    <w:p>
      <w:pPr>
        <w:pStyle w:val="BodyText"/>
        <w:spacing w:line="235" w:lineRule="exact"/>
        <w:ind w:left="101"/>
      </w:pPr>
      <w:r>
        <w:rPr/>
        <w:t>11、脑炎后遗症或脑膜炎后： 指因患脑炎或脑膜炎导致的神经系统永久性的功能障碍。神经系统永久性的功</w:t>
      </w:r>
    </w:p>
    <w:p>
      <w:pPr>
        <w:pStyle w:val="BodyText"/>
        <w:tabs>
          <w:tab w:pos="2539" w:val="left" w:leader="none"/>
        </w:tabs>
        <w:spacing w:line="233" w:lineRule="exact"/>
        <w:ind w:left="10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56"/>
      </w:pPr>
      <w:r>
        <w:rPr/>
        <w:t>3.自主生活能力完全丧失，无法独立完成六项基本日常生活活动中的三项或三项以上。</w:t>
      </w:r>
    </w:p>
    <w:p>
      <w:pPr>
        <w:pStyle w:val="BodyText"/>
        <w:tabs>
          <w:tab w:pos="2340" w:val="left" w:leader="none"/>
        </w:tabs>
        <w:spacing w:line="237" w:lineRule="auto" w:before="2"/>
        <w:ind w:right="106" w:hanging="2439"/>
        <w:jc w:val="both"/>
      </w:pPr>
      <w:r>
        <w:rPr/>
        <w:t>12、深度昏迷</w:t>
        <w:tab/>
        <w:t>：</w:t>
      </w:r>
      <w:r>
        <w:rPr>
          <w:spacing w:val="-34"/>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22"/>
        </w:rPr>
        <w:t> </w:t>
      </w:r>
      <w:r>
        <w:rPr/>
        <w:t>coma</w:t>
      </w:r>
      <w:r>
        <w:rPr>
          <w:spacing w:val="-22"/>
        </w:rPr>
        <w:t> </w:t>
      </w:r>
      <w:r>
        <w:rPr/>
        <w:t>scale）结果为</w:t>
      </w:r>
      <w:r>
        <w:rPr>
          <w:spacing w:val="-49"/>
        </w:rPr>
        <w:t> </w:t>
      </w:r>
      <w:r>
        <w:rPr/>
        <w:t>5</w:t>
      </w:r>
      <w:r>
        <w:rPr>
          <w:spacing w:val="-46"/>
        </w:rPr>
        <w:t> </w:t>
      </w:r>
      <w:r>
        <w:rPr>
          <w:spacing w:val="-3"/>
        </w:rPr>
        <w:t>分</w:t>
      </w:r>
      <w:r>
        <w:rPr/>
        <w:t>或</w:t>
      </w:r>
      <w:r>
        <w:rPr>
          <w:spacing w:val="-47"/>
        </w:rPr>
        <w:t> </w:t>
      </w:r>
      <w:r>
        <w:rPr/>
        <w:t>5</w:t>
      </w:r>
      <w:r>
        <w:rPr>
          <w:spacing w:val="-46"/>
        </w:rPr>
        <w:t> </w:t>
      </w:r>
      <w:r>
        <w:rPr/>
        <w:t>分以下，且已经持续使用呼吸机及其它生命维持系统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40" w:val="left" w:leader="none"/>
        </w:tabs>
        <w:spacing w:line="237" w:lineRule="auto" w:before="2"/>
        <w:ind w:right="109" w:hanging="2439"/>
        <w:jc w:val="both"/>
      </w:pPr>
      <w:r>
        <w:rPr/>
        <w:t>13、双耳失聪</w:t>
        <w:tab/>
        <w:t>：</w:t>
      </w:r>
      <w:r>
        <w:rPr>
          <w:spacing w:val="-72"/>
        </w:rPr>
        <w:t> </w:t>
      </w:r>
      <w:r>
        <w:rPr/>
        <w:t>指因疾病或意外伤害导致双耳听力永久不可逆性丧失</w:t>
      </w:r>
      <w:r>
        <w:rPr>
          <w:spacing w:val="-44"/>
        </w:rPr>
        <w:t>，</w:t>
      </w:r>
      <w:r>
        <w:rPr/>
        <w:t>在</w:t>
      </w:r>
      <w:r>
        <w:rPr>
          <w:spacing w:val="-47"/>
        </w:rPr>
        <w:t> </w:t>
      </w:r>
      <w:r>
        <w:rPr/>
        <w:t>500</w:t>
      </w:r>
      <w:r>
        <w:rPr>
          <w:spacing w:val="-46"/>
        </w:rPr>
        <w:t> </w:t>
      </w:r>
      <w:r>
        <w:rPr/>
        <w:t>赫兹</w:t>
      </w:r>
      <w:r>
        <w:rPr>
          <w:spacing w:val="-44"/>
        </w:rPr>
        <w:t>、</w:t>
      </w:r>
      <w:r>
        <w:rPr/>
        <w:t>1000</w:t>
      </w:r>
      <w:r>
        <w:rPr>
          <w:spacing w:val="-46"/>
        </w:rPr>
        <w:t> </w:t>
      </w:r>
      <w:r>
        <w:rPr/>
        <w:t>赫兹和</w:t>
      </w:r>
      <w:r>
        <w:rPr>
          <w:spacing w:val="-46"/>
        </w:rPr>
        <w:t> </w:t>
      </w:r>
      <w:r>
        <w:rPr/>
        <w:t>2000</w:t>
      </w:r>
      <w:r>
        <w:rPr>
          <w:spacing w:val="-45"/>
        </w:rPr>
        <w:t> </w:t>
      </w:r>
      <w:r>
        <w:rPr/>
        <w:t>赫兹语音频率下</w:t>
      </w:r>
      <w:r>
        <w:rPr>
          <w:spacing w:val="-15"/>
        </w:rPr>
        <w:t>，</w:t>
      </w:r>
      <w:r>
        <w:rPr/>
        <w:t>平</w:t>
      </w:r>
      <w:r>
        <w:rPr>
          <w:spacing w:val="-3"/>
        </w:rPr>
        <w:t>均</w:t>
      </w:r>
      <w:r>
        <w:rPr/>
        <w:t>听阈大于</w:t>
      </w:r>
      <w:r>
        <w:rPr>
          <w:spacing w:val="-46"/>
        </w:rPr>
        <w:t> </w:t>
      </w:r>
      <w:r>
        <w:rPr/>
        <w:t>90</w:t>
      </w:r>
      <w:r>
        <w:rPr>
          <w:spacing w:val="-45"/>
        </w:rPr>
        <w:t>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tabs>
          <w:tab w:pos="2340" w:val="left" w:leader="none"/>
        </w:tabs>
        <w:ind w:right="111" w:hanging="2439"/>
        <w:jc w:val="both"/>
      </w:pPr>
      <w:r>
        <w:rPr/>
        <w:t>14、双目失明</w:t>
        <w:tab/>
        <w:t>：</w:t>
      </w:r>
      <w:r>
        <w:rPr>
          <w:spacing w:val="-73"/>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3" w:lineRule="exact" w:before="2"/>
      </w:pPr>
      <w:r>
        <w:rPr/>
        <w:t>1.眼球缺失或摘除；</w:t>
      </w:r>
    </w:p>
    <w:p>
      <w:pPr>
        <w:spacing w:after="0" w:line="233" w:lineRule="exact"/>
        <w:sectPr>
          <w:type w:val="continuous"/>
          <w:pgSz w:w="11960" w:h="16850"/>
          <w:pgMar w:top="280" w:bottom="1200" w:left="1600" w:right="1620"/>
        </w:sectPr>
      </w:pPr>
    </w:p>
    <w:p>
      <w:pPr>
        <w:pStyle w:val="BodyText"/>
        <w:spacing w:line="237" w:lineRule="auto" w:before="76"/>
        <w:ind w:right="189"/>
      </w:pPr>
      <w:r>
        <w:rPr/>
        <w:t>2.</w:t>
      </w:r>
      <w:r>
        <w:rPr>
          <w:spacing w:val="2"/>
        </w:rPr>
        <w:t>矫正视力低于 </w:t>
      </w:r>
      <w:r>
        <w:rPr/>
        <w:t>0.02（采用国际标准视力表，如果使用其它视力表应进行换</w:t>
      </w:r>
      <w:r>
        <w:rPr>
          <w:spacing w:val="-1"/>
          <w:w w:val="100"/>
        </w:rPr>
        <w:t>算</w:t>
      </w:r>
      <w:r>
        <w:rPr>
          <w:spacing w:val="-92"/>
          <w:w w:val="100"/>
        </w:rPr>
        <w:t>）</w:t>
      </w:r>
      <w:r>
        <w:rPr>
          <w:w w:val="100"/>
        </w:rPr>
        <w:t>；</w:t>
      </w:r>
    </w:p>
    <w:p>
      <w:pPr>
        <w:pStyle w:val="BodyText"/>
        <w:spacing w:line="234" w:lineRule="exact"/>
      </w:pPr>
      <w:r>
        <w:rPr/>
        <w:t>3.视野半径小于 5 度。</w:t>
      </w:r>
    </w:p>
    <w:p>
      <w:pPr>
        <w:pStyle w:val="BodyText"/>
        <w:tabs>
          <w:tab w:pos="2340" w:val="left" w:leader="none"/>
        </w:tabs>
        <w:spacing w:line="237" w:lineRule="auto" w:before="1"/>
        <w:ind w:right="191" w:hanging="2439"/>
        <w:jc w:val="both"/>
      </w:pPr>
      <w:r>
        <w:rPr/>
        <w:t>15、瘫痪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line="234" w:lineRule="exact"/>
        <w:ind w:left="101"/>
      </w:pPr>
      <w:r>
        <w:rPr/>
        <w:t>16、心脏瓣膜手术</w:t>
        <w:tab/>
        <w:t>：</w:t>
      </w:r>
      <w:r>
        <w:rPr>
          <w:spacing w:val="-74"/>
        </w:rPr>
        <w:t> </w:t>
      </w:r>
      <w:r>
        <w:rPr/>
        <w:t>指为治疗心脏瓣膜疾病，实际实施了开胸进行的心脏瓣膜置换或修复的手术。</w:t>
      </w:r>
    </w:p>
    <w:p>
      <w:pPr>
        <w:pStyle w:val="BodyText"/>
        <w:tabs>
          <w:tab w:pos="2340" w:val="left" w:leader="none"/>
        </w:tabs>
        <w:spacing w:line="237" w:lineRule="auto" w:before="1"/>
        <w:ind w:right="100" w:hanging="2439"/>
      </w:pPr>
      <w:r>
        <w:rPr/>
        <w:t>17、严重阿尔茨海默病</w:t>
        <w:tab/>
        <w:t>：</w:t>
      </w:r>
      <w:r>
        <w:rPr>
          <w:spacing w:val="-74"/>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4" w:lineRule="exact"/>
      </w:pPr>
      <w:r>
        <w:rPr/>
        <w:t>神经官能症和精神疾病不在保障范围内。</w:t>
      </w:r>
    </w:p>
    <w:p>
      <w:pPr>
        <w:pStyle w:val="BodyText"/>
        <w:tabs>
          <w:tab w:pos="2340" w:val="left" w:leader="none"/>
        </w:tabs>
        <w:ind w:right="188" w:hanging="2439"/>
        <w:jc w:val="both"/>
      </w:pPr>
      <w:r>
        <w:rPr/>
        <w:t>18、严重脑损伤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before="1"/>
      </w:pPr>
      <w:r>
        <w:rPr/>
        <w:t>1.一肢或一肢以上肢体机能完全丧失；</w:t>
      </w:r>
    </w:p>
    <w:p>
      <w:pPr>
        <w:pStyle w:val="BodyText"/>
        <w:spacing w:line="234" w:lineRule="exact"/>
      </w:pPr>
      <w:r>
        <w:rPr/>
        <w:t>2.语言能力或咀嚼吞咽能力完全丧失；</w:t>
      </w:r>
    </w:p>
    <w:p>
      <w:pPr>
        <w:pStyle w:val="BodyText"/>
        <w:ind w:right="136"/>
      </w:pPr>
      <w:r>
        <w:rPr/>
        <w:t>3.自主生活能力完全丧失，无法独立完成六项基本日常生活活动中的三项或三项以上。</w:t>
      </w:r>
    </w:p>
    <w:p>
      <w:pPr>
        <w:pStyle w:val="BodyText"/>
        <w:ind w:right="191" w:hanging="2439"/>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3" w:lineRule="exact" w:before="1"/>
      </w:pPr>
      <w:r>
        <w:rPr/>
        <w:t>1.药物治疗无法控制病情；</w:t>
      </w:r>
    </w:p>
    <w:p>
      <w:pPr>
        <w:pStyle w:val="BodyText"/>
        <w:spacing w:line="237" w:lineRule="auto" w:before="1"/>
        <w:ind w:right="136"/>
      </w:pPr>
      <w:r>
        <w:rPr/>
        <w:t>2.自主生活能力完全丧失，无法独立完成六项基本日常生活活动中的三项或三项以上。</w:t>
      </w:r>
    </w:p>
    <w:p>
      <w:pPr>
        <w:pStyle w:val="BodyText"/>
        <w:spacing w:line="234" w:lineRule="exact"/>
      </w:pPr>
      <w:r>
        <w:rPr/>
        <w:t>继发性帕金森综合征不在保障范围内。</w:t>
      </w:r>
    </w:p>
    <w:p>
      <w:pPr>
        <w:pStyle w:val="BodyText"/>
        <w:ind w:right="277" w:hanging="2439"/>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ind w:right="189" w:hanging="2439"/>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1"/>
        <w:ind w:right="150" w:hanging="2439"/>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before="1"/>
        <w:ind w:right="189" w:hanging="2439"/>
        <w:jc w:val="both"/>
      </w:pPr>
      <w:r>
        <w:rPr/>
        <w:t>23</w:t>
      </w:r>
      <w:r>
        <w:rPr>
          <w:spacing w:val="-2"/>
        </w:rPr>
        <w:t>、语言能力丧失 ： 指因疾病或意外伤害导致完全丧失语言能力，经过积极治疗至少 </w:t>
      </w:r>
      <w:r>
        <w:rPr/>
        <w:t>12</w:t>
      </w:r>
      <w:r>
        <w:rPr>
          <w:spacing w:val="-8"/>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4" w:lineRule="exact"/>
      </w:pPr>
      <w:r>
        <w:rPr/>
        <w:t>精神心理因素所致的语言能力丧失不在保障范围内。</w:t>
      </w:r>
    </w:p>
    <w:p>
      <w:pPr>
        <w:pStyle w:val="BodyText"/>
        <w:ind w:right="197" w:hanging="2439"/>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before="1"/>
      </w:pPr>
      <w:r>
        <w:rPr/>
        <w:t>1.骨髓穿刺检查或骨髓活检结果支持诊断；</w:t>
      </w:r>
    </w:p>
    <w:p>
      <w:pPr>
        <w:pStyle w:val="BodyText"/>
        <w:spacing w:line="234" w:lineRule="exact"/>
      </w:pPr>
      <w:r>
        <w:rPr/>
        <w:t>2.外周血象须具备以下三项条件：</w:t>
      </w:r>
    </w:p>
    <w:p>
      <w:pPr>
        <w:pStyle w:val="BodyText"/>
        <w:spacing w:line="234" w:lineRule="exact"/>
      </w:pPr>
      <w:r>
        <w:rPr/>
        <w:t>(1)中性粒细胞绝对值≤0.5×10</w:t>
      </w:r>
      <w:r>
        <w:rPr>
          <w:position w:val="9"/>
          <w:sz w:val="9"/>
        </w:rPr>
        <w:t>9</w:t>
      </w:r>
      <w:r>
        <w:rPr/>
        <w:t>/L；</w:t>
      </w:r>
    </w:p>
    <w:p>
      <w:pPr>
        <w:pStyle w:val="BodyText"/>
        <w:spacing w:line="234" w:lineRule="exact"/>
      </w:pPr>
      <w:r>
        <w:rPr/>
        <w:t>(2)网织红细胞＜1%；</w:t>
      </w:r>
    </w:p>
    <w:p>
      <w:pPr>
        <w:pStyle w:val="BodyText"/>
        <w:spacing w:line="234" w:lineRule="exact"/>
      </w:pPr>
      <w:r>
        <w:rPr/>
        <w:t>(3)血小板绝对值≤20×10</w:t>
      </w:r>
      <w:r>
        <w:rPr>
          <w:position w:val="9"/>
          <w:sz w:val="9"/>
        </w:rPr>
        <w:t>9</w:t>
      </w:r>
      <w:r>
        <w:rPr/>
        <w:t>/L。</w:t>
      </w:r>
    </w:p>
    <w:p>
      <w:pPr>
        <w:pStyle w:val="BodyText"/>
        <w:tabs>
          <w:tab w:pos="2340" w:val="left" w:leader="none"/>
        </w:tabs>
        <w:spacing w:line="237" w:lineRule="auto" w:before="2"/>
        <w:ind w:right="188" w:hanging="2439"/>
        <w:jc w:val="both"/>
      </w:pPr>
      <w:r>
        <w:rPr/>
        <w:t>25、主动脉手术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237" w:lineRule="auto" w:before="2"/>
        <w:ind w:left="101" w:right="187"/>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line="237" w:lineRule="auto" w:before="1"/>
        <w:ind w:right="189" w:hanging="2439"/>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4" w:lineRule="exact"/>
      </w:pPr>
      <w:r>
        <w:rPr/>
        <w:t>1.肺功能测试其 FEV1 持续低于 1 升。</w:t>
      </w:r>
    </w:p>
    <w:p>
      <w:pPr>
        <w:pStyle w:val="BodyText"/>
        <w:spacing w:line="234" w:lineRule="exact"/>
      </w:pPr>
      <w:r>
        <w:rPr/>
        <w:t>2.病人血氧不足必须持续地进行输氧治疗。</w:t>
      </w:r>
    </w:p>
    <w:p>
      <w:pPr>
        <w:spacing w:after="0" w:line="234" w:lineRule="exact"/>
        <w:sectPr>
          <w:footerReference w:type="default" r:id="rId7"/>
          <w:pgSz w:w="11960" w:h="16850"/>
          <w:pgMar w:footer="1001" w:header="0" w:top="1600" w:bottom="1200" w:left="1600" w:right="1540"/>
          <w:pgNumType w:start="10"/>
        </w:sectPr>
      </w:pPr>
    </w:p>
    <w:p>
      <w:pPr>
        <w:pStyle w:val="BodyText"/>
        <w:spacing w:line="234" w:lineRule="exact" w:before="73"/>
      </w:pPr>
      <w:r>
        <w:rPr/>
        <w:t>3.动脉血气分析氧分压等于或低于 55mmHg。</w:t>
      </w:r>
    </w:p>
    <w:p>
      <w:pPr>
        <w:pStyle w:val="BodyText"/>
        <w:spacing w:line="234" w:lineRule="exact"/>
      </w:pPr>
      <w:r>
        <w:rPr/>
        <w:t>4.休息时出现呼吸困难。</w:t>
      </w:r>
    </w:p>
    <w:p>
      <w:pPr>
        <w:pStyle w:val="BodyText"/>
        <w:spacing w:line="237" w:lineRule="auto" w:before="2"/>
        <w:ind w:right="149" w:hanging="2439"/>
        <w:jc w:val="both"/>
      </w:pPr>
      <w:r>
        <w:rPr/>
        <w:t>27</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8"/>
        </w:rPr>
        <w:t>鞘症状和运动及感觉功能障碍的证据并有 </w:t>
      </w:r>
      <w:r>
        <w:rPr/>
        <w:t>MRI</w:t>
      </w:r>
      <w:r>
        <w:rPr>
          <w:spacing w:val="-11"/>
        </w:rPr>
        <w:t> 和脑脊液检查的典型改变。多发</w:t>
      </w:r>
      <w:r>
        <w:rPr/>
        <w:t>性硬化症必须造成神经系统永久性功能损害并且已导致被保险人自主生活能</w:t>
      </w:r>
      <w:r>
        <w:rPr>
          <w:spacing w:val="-7"/>
        </w:rPr>
        <w:t>力完全丧失，无法独立完成六项基本日常生活活动中的三项或三项以上持续达</w:t>
      </w:r>
    </w:p>
    <w:p>
      <w:pPr>
        <w:pStyle w:val="BodyText"/>
        <w:spacing w:line="233" w:lineRule="exact"/>
      </w:pPr>
      <w:r>
        <w:rPr/>
        <w:t>180 天以上。</w:t>
      </w:r>
    </w:p>
    <w:p>
      <w:pPr>
        <w:pStyle w:val="BodyText"/>
        <w:spacing w:line="237" w:lineRule="auto" w:before="3"/>
        <w:ind w:right="151" w:hanging="2439"/>
        <w:jc w:val="both"/>
      </w:pPr>
      <w:r>
        <w:rPr/>
        <w:t>28</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BodyText"/>
        <w:spacing w:line="234" w:lineRule="exact"/>
      </w:pPr>
      <w:r>
        <w:rPr/>
        <w:t>1.肌电图显示典型肌营养不良症的阳性改变；</w:t>
      </w:r>
    </w:p>
    <w:p>
      <w:pPr>
        <w:pStyle w:val="BodyText"/>
        <w:spacing w:line="234" w:lineRule="exact"/>
      </w:pPr>
      <w:r>
        <w:rPr/>
        <w:t>2.血清肌酸磷酸激酶（CPK）升高</w:t>
      </w:r>
    </w:p>
    <w:p>
      <w:pPr>
        <w:pStyle w:val="BodyText"/>
        <w:spacing w:line="237" w:lineRule="auto" w:before="2"/>
        <w:ind w:right="147"/>
      </w:pPr>
      <w:r>
        <w:rPr/>
        <w:t>3.肌肉活检的病理学诊断符合肌营养不良症的肌肉细胞变性、坏死等阳性改变。</w:t>
      </w:r>
    </w:p>
    <w:p>
      <w:pPr>
        <w:pStyle w:val="BodyText"/>
        <w:spacing w:line="237" w:lineRule="auto" w:before="1"/>
        <w:ind w:right="149"/>
      </w:pPr>
      <w:r>
        <w:rPr/>
        <w:t>4.</w:t>
      </w:r>
      <w:r>
        <w:rPr>
          <w:spacing w:val="-10"/>
        </w:rPr>
        <w:t>疾病确诊 </w:t>
      </w:r>
      <w:r>
        <w:rPr/>
        <w:t>180</w:t>
      </w:r>
      <w:r>
        <w:rPr>
          <w:spacing w:val="-10"/>
        </w:rPr>
        <w:t> 天以后，被保险人仍完全丧失独立生活能力，无法独立完成六项基本日常生活活动中的三项或三项以上</w:t>
      </w:r>
    </w:p>
    <w:p>
      <w:pPr>
        <w:pStyle w:val="BodyText"/>
        <w:spacing w:line="235" w:lineRule="exact"/>
        <w:ind w:left="101"/>
      </w:pPr>
      <w:r>
        <w:rPr/>
        <w:t>29、经输血导致的艾滋病病：被保险人感染上人类免疫缺陷病毒（HIV）并且符合下列所有条件：</w:t>
      </w:r>
    </w:p>
    <w:p>
      <w:pPr>
        <w:spacing w:after="0" w:line="235" w:lineRule="exact"/>
        <w:sectPr>
          <w:pgSz w:w="11960" w:h="16850"/>
          <w:pgMar w:header="0" w:footer="1001" w:top="1600" w:bottom="1200" w:left="1600" w:right="1580"/>
        </w:sectPr>
      </w:pPr>
    </w:p>
    <w:p>
      <w:pPr>
        <w:pStyle w:val="BodyText"/>
        <w:spacing w:line="233" w:lineRule="exact"/>
        <w:ind w:left="101"/>
      </w:pPr>
      <w:r>
        <w:rPr/>
        <w:t>毒感染</w:t>
      </w:r>
    </w:p>
    <w:p>
      <w:pPr>
        <w:pStyle w:val="BodyText"/>
        <w:ind w:left="101" w:right="103"/>
      </w:pPr>
      <w:r>
        <w:rPr/>
        <w:br w:type="column"/>
      </w:r>
      <w:r>
        <w:rPr/>
        <w:t>1.在保障起始日或复效日之后，被保险人因治疗必需而接受输血，并且因输血而感染 HIV；</w:t>
      </w:r>
    </w:p>
    <w:p>
      <w:pPr>
        <w:pStyle w:val="BodyText"/>
        <w:ind w:left="101" w:right="110"/>
      </w:pPr>
      <w:r>
        <w:rPr/>
        <w:t>2.提供输血治疗的输血中心或医院出具该项输血感染属医疗责任事故的报告， 或者法院终审判决为医疗责任；</w:t>
      </w:r>
    </w:p>
    <w:p>
      <w:pPr>
        <w:pStyle w:val="BodyText"/>
        <w:spacing w:line="233" w:lineRule="exact"/>
        <w:ind w:left="101"/>
      </w:pPr>
      <w:r>
        <w:rPr/>
        <w:t>3.提供输血治疗的输血中心或医院必须拥有合法经营执照；</w:t>
      </w:r>
    </w:p>
    <w:p>
      <w:pPr>
        <w:pStyle w:val="BodyText"/>
        <w:spacing w:line="234" w:lineRule="exact"/>
        <w:ind w:left="101"/>
      </w:pPr>
      <w:r>
        <w:rPr/>
        <w:t>4.受感染的被保险人不是血友病患者；</w:t>
      </w:r>
    </w:p>
    <w:p>
      <w:pPr>
        <w:pStyle w:val="BodyText"/>
        <w:ind w:left="101" w:right="14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sectPr>
          <w:type w:val="continuous"/>
          <w:pgSz w:w="11960" w:h="16850"/>
          <w:pgMar w:top="280" w:bottom="1200" w:left="1600" w:right="1580"/>
          <w:cols w:num="2" w:equalWidth="0">
            <w:col w:w="642" w:space="1796"/>
            <w:col w:w="6342"/>
          </w:cols>
        </w:sectPr>
      </w:pPr>
    </w:p>
    <w:p>
      <w:pPr>
        <w:pStyle w:val="BodyText"/>
        <w:spacing w:line="237" w:lineRule="auto"/>
        <w:ind w:right="149" w:hanging="2439"/>
        <w:jc w:val="both"/>
      </w:pPr>
      <w:r>
        <w:rPr/>
        <w:t>30</w:t>
      </w:r>
      <w:r>
        <w:rPr>
          <w:spacing w:val="-2"/>
        </w:rPr>
        <w:t>、原发性心肌病       ：是指不明原因引起的一类心肌病变，包括原发性扩张型心肌病、原发性肥厚型</w:t>
      </w:r>
      <w:r>
        <w:rPr>
          <w:spacing w:val="-5"/>
        </w:rPr>
        <w:t>心肌病及原发性限制型心肌病三种，病变必须已造成事实上心室功能障碍而出</w:t>
      </w:r>
      <w:r>
        <w:rPr>
          <w:spacing w:val="-6"/>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pStyle w:val="BodyText"/>
        <w:tabs>
          <w:tab w:pos="2350" w:val="left" w:leader="none"/>
        </w:tabs>
        <w:spacing w:line="237" w:lineRule="auto"/>
        <w:ind w:right="148" w:hanging="2439"/>
        <w:jc w:val="both"/>
      </w:pPr>
      <w:r>
        <w:rPr/>
        <w:t>31、硬皮病</w:t>
        <w:tab/>
      </w:r>
      <w:r>
        <w:rPr>
          <w:spacing w:val="6"/>
        </w:rPr>
        <w:t>：</w:t>
      </w:r>
      <w:r>
        <w:rPr/>
        <w:t>是一种以皮肤</w:t>
      </w:r>
      <w:r>
        <w:rPr>
          <w:spacing w:val="-20"/>
        </w:rPr>
        <w:t>、</w:t>
      </w:r>
      <w:r>
        <w:rPr/>
        <w:t>血管和内脏器官的进行性</w:t>
      </w:r>
      <w:r>
        <w:rPr>
          <w:spacing w:val="-20"/>
        </w:rPr>
        <w:t>、</w:t>
      </w:r>
      <w:r>
        <w:rPr/>
        <w:t>弥漫性纤维化为特点的系统性结缔组织病</w:t>
      </w:r>
      <w:r>
        <w:rPr>
          <w:spacing w:val="-41"/>
        </w:rPr>
        <w:t>。</w:t>
      </w:r>
      <w:r>
        <w:rPr/>
        <w:t>须经专科医生根据组织活检和血清学检查结果作出明确诊断并提供下</w:t>
      </w:r>
      <w:r>
        <w:rPr>
          <w:spacing w:val="-1"/>
        </w:rPr>
        <w:t>列</w:t>
      </w:r>
      <w:r>
        <w:rPr/>
        <w:t>一项或一项以上内脏器官受累的检查报告及诊疗记录：</w:t>
      </w:r>
    </w:p>
    <w:p>
      <w:pPr>
        <w:pStyle w:val="BodyText"/>
        <w:spacing w:line="234" w:lineRule="exact"/>
      </w:pPr>
      <w:r>
        <w:rPr/>
        <w:t>肺脏：肺纤维化，已经发展为肺动脉高压、肺心病；</w:t>
      </w:r>
    </w:p>
    <w:p>
      <w:pPr>
        <w:pStyle w:val="BodyText"/>
        <w:ind w:right="290"/>
      </w:pPr>
      <w:r>
        <w:rPr/>
        <w:t>心脏：心室功能受损，至少达到美国纽约心脏病学会心功能状态分级Ⅲ级； 肾脏：肾脏受损，已经出现肾功能不全。</w:t>
      </w:r>
    </w:p>
    <w:p>
      <w:pPr>
        <w:pStyle w:val="BodyText"/>
        <w:spacing w:line="233" w:lineRule="exact" w:before="2"/>
      </w:pPr>
      <w:r>
        <w:rPr/>
        <w:t>下列疾病不在保障范围内：</w:t>
      </w:r>
    </w:p>
    <w:p>
      <w:pPr>
        <w:pStyle w:val="BodyText"/>
        <w:spacing w:line="234" w:lineRule="exact"/>
      </w:pPr>
      <w:r>
        <w:rPr>
          <w:spacing w:val="0"/>
          <w:w w:val="100"/>
        </w:rPr>
        <w:t>1.</w:t>
      </w:r>
      <w:r>
        <w:rPr>
          <w:spacing w:val="-1"/>
          <w:w w:val="100"/>
        </w:rPr>
        <w:t>局部性硬皮病（</w:t>
      </w:r>
      <w:r>
        <w:rPr>
          <w:spacing w:val="-2"/>
          <w:w w:val="100"/>
        </w:rPr>
        <w:t>如：带状硬皮病、硬斑病</w:t>
      </w:r>
      <w:r>
        <w:rPr>
          <w:spacing w:val="-92"/>
          <w:w w:val="100"/>
        </w:rPr>
        <w:t>）</w:t>
      </w:r>
      <w:r>
        <w:rPr>
          <w:w w:val="100"/>
        </w:rPr>
        <w:t>；</w:t>
      </w:r>
    </w:p>
    <w:p>
      <w:pPr>
        <w:pStyle w:val="BodyText"/>
        <w:spacing w:line="234" w:lineRule="exact"/>
      </w:pPr>
      <w:r>
        <w:rPr/>
        <w:t>2.嗜酸性粒细胞性筋膜炎；</w:t>
      </w:r>
    </w:p>
    <w:p>
      <w:pPr>
        <w:pStyle w:val="BodyText"/>
        <w:spacing w:line="234" w:lineRule="exact"/>
      </w:pPr>
      <w:r>
        <w:rPr/>
        <w:t>3.CREST 综合征。</w:t>
      </w:r>
    </w:p>
    <w:p>
      <w:pPr>
        <w:pStyle w:val="BodyText"/>
        <w:tabs>
          <w:tab w:pos="2350" w:val="left" w:leader="none"/>
        </w:tabs>
        <w:spacing w:line="234" w:lineRule="exact"/>
        <w:ind w:left="101"/>
      </w:pPr>
      <w:r>
        <w:rPr/>
        <w:t>32、肾髓质囊性病</w:t>
        <w:tab/>
      </w:r>
      <w:r>
        <w:rPr>
          <w:spacing w:val="7"/>
        </w:rPr>
        <w:t>：</w:t>
      </w:r>
      <w:r>
        <w:rPr/>
        <w:t>肾髓质囊性病的诊断必须同时符合下列要求：</w:t>
      </w:r>
    </w:p>
    <w:p>
      <w:pPr>
        <w:pStyle w:val="BodyText"/>
        <w:spacing w:line="234" w:lineRule="exact"/>
      </w:pPr>
      <w:r>
        <w:rPr/>
        <w:t>1.肾髓质有囊肿、肾小管萎缩及间质纤维化等病理改变；</w:t>
      </w:r>
    </w:p>
    <w:p>
      <w:pPr>
        <w:pStyle w:val="BodyText"/>
        <w:spacing w:line="234" w:lineRule="exact"/>
      </w:pPr>
      <w:r>
        <w:rPr/>
        <w:t>2.贫血、多尿及肾功能衰竭等临床表现；</w:t>
      </w:r>
    </w:p>
    <w:p>
      <w:pPr>
        <w:pStyle w:val="BodyText"/>
        <w:spacing w:line="234" w:lineRule="exact"/>
      </w:pPr>
      <w:r>
        <w:rPr/>
        <w:t>3.诊断须由肾组织活检确定。</w:t>
      </w:r>
    </w:p>
    <w:p>
      <w:pPr>
        <w:pStyle w:val="BodyText"/>
        <w:tabs>
          <w:tab w:pos="2350" w:val="left" w:leader="none"/>
        </w:tabs>
        <w:ind w:right="151" w:hanging="2439"/>
        <w:jc w:val="both"/>
      </w:pPr>
      <w:r>
        <w:rPr/>
        <w:t>33、植物人状态</w:t>
        <w:tab/>
      </w:r>
      <w:r>
        <w:rPr>
          <w:spacing w:val="7"/>
        </w:rPr>
        <w:t>：</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ind w:right="146" w:hanging="2439"/>
        <w:jc w:val="both"/>
      </w:pPr>
      <w:r>
        <w:rPr/>
        <w:t>34</w:t>
      </w:r>
      <w:r>
        <w:rPr>
          <w:spacing w:val="-2"/>
        </w:rPr>
        <w:t>、慢性复发性胰腺炎   ：有腹痛等典型症状的胰腺炎反复发作超过三次以上，导致胰腺进行性破坏，并</w:t>
      </w:r>
      <w:r>
        <w:rPr>
          <w:spacing w:val="-6"/>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line="237" w:lineRule="auto" w:before="1"/>
        <w:ind w:right="149" w:hanging="2439"/>
        <w:jc w:val="both"/>
      </w:pPr>
      <w:r>
        <w:rPr/>
        <w:t>35、急性脊髓灰质炎      ：是指由于急性脊髓灰质炎病毒感染所导致的运动功能障碍或呼吸功能减弱的</w:t>
      </w:r>
      <w:r>
        <w:rPr>
          <w:spacing w:val="-6"/>
        </w:rPr>
        <w:t>瘫痪性疾病。诊断必须由本公司认可的神经科专科医生确诊并提供相关的脊髓灰质炎病毒感染的证据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spacing w:after="0" w:line="237" w:lineRule="auto"/>
        <w:jc w:val="both"/>
        <w:sectPr>
          <w:type w:val="continuous"/>
          <w:pgSz w:w="11960" w:h="16850"/>
          <w:pgMar w:top="280" w:bottom="1200" w:left="1600" w:right="1580"/>
        </w:sectPr>
      </w:pPr>
    </w:p>
    <w:p>
      <w:pPr>
        <w:pStyle w:val="BodyText"/>
        <w:spacing w:before="112"/>
        <w:ind w:left="101"/>
      </w:pPr>
      <w:r>
        <w:rPr/>
        <w:t>重大疾病定义的释义：</w:t>
      </w:r>
    </w:p>
    <w:p>
      <w:pPr>
        <w:pStyle w:val="BodyText"/>
        <w:tabs>
          <w:tab w:pos="2340" w:val="left" w:leader="none"/>
        </w:tabs>
        <w:spacing w:line="234" w:lineRule="exact" w:before="38"/>
        <w:ind w:left="10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spacing w:line="234" w:lineRule="exact"/>
      </w:pPr>
      <w:r>
        <w:rPr>
          <w:spacing w:val="-1"/>
        </w:rPr>
        <w:t>2.</w:t>
      </w:r>
      <w:r>
        <w:rPr>
          <w:spacing w:val="-8"/>
        </w:rPr>
        <w:t>具有有效的中华人民共和国《医师执业证书》，并按期到相关部门登记注册；</w:t>
      </w:r>
    </w:p>
    <w:p>
      <w:pPr>
        <w:pStyle w:val="BodyText"/>
        <w:ind w:right="133"/>
      </w:pPr>
      <w:r>
        <w:rPr/>
        <w:t>3.具有有效的中华人民共和国主治医师或主治医师以上职称的《医师职称证书》；</w:t>
      </w:r>
    </w:p>
    <w:p>
      <w:pPr>
        <w:pStyle w:val="BodyText"/>
        <w:tabs>
          <w:tab w:pos="2340" w:val="left" w:leader="none"/>
        </w:tabs>
        <w:ind w:left="101" w:right="1410" w:firstLine="2438"/>
      </w:pPr>
      <w:r>
        <w:rPr/>
        <w:t>4.在二级或二级以上医院的</w:t>
      </w:r>
      <w:r>
        <w:rPr>
          <w:spacing w:val="-3"/>
        </w:rPr>
        <w:t>相</w:t>
      </w:r>
      <w:r>
        <w:rPr/>
        <w:t>应科室从事临床工作三年以上。六项基本日常生活活动</w:t>
        <w:tab/>
        <w:t>：</w:t>
      </w:r>
      <w:r>
        <w:rPr>
          <w:spacing w:val="-72"/>
        </w:rPr>
        <w:t> </w:t>
      </w:r>
      <w:r>
        <w:rPr/>
        <w:t>六项基本日常生活活动是指：</w:t>
      </w:r>
    </w:p>
    <w:p>
      <w:pPr>
        <w:pStyle w:val="BodyText"/>
        <w:spacing w:line="233"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spacing w:line="234" w:lineRule="exact"/>
      </w:pPr>
      <w:r>
        <w:rPr/>
        <w:t>6.洗澡：自己进行淋浴或盆浴。</w:t>
      </w:r>
    </w:p>
    <w:p>
      <w:pPr>
        <w:pStyle w:val="BodyText"/>
        <w:spacing w:line="234" w:lineRule="exact"/>
      </w:pPr>
      <w:r>
        <w:rPr/>
        <w:t>申请理赔时，须提供理赔当时的诊断及检查证据。</w:t>
      </w:r>
    </w:p>
    <w:p>
      <w:pPr>
        <w:pStyle w:val="BodyText"/>
        <w:tabs>
          <w:tab w:pos="2340" w:val="left" w:leader="none"/>
        </w:tabs>
        <w:spacing w:line="237" w:lineRule="auto" w:before="2"/>
        <w:ind w:right="191" w:hanging="2439"/>
      </w:pPr>
      <w:r>
        <w:rPr/>
        <w:t>肢体机能完全丧失</w:t>
        <w:tab/>
        <w:t>：</w:t>
      </w:r>
      <w:r>
        <w:rPr>
          <w:spacing w:val="-74"/>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101"/>
      </w:pPr>
      <w:r>
        <w:rPr/>
        <w:t>语言能力或咀嚼吞咽能力完： 语言能力完全丧失，指无法发出四种语音（包括口唇音、齿舌音、口盖音和喉</w:t>
      </w:r>
    </w:p>
    <w:p>
      <w:pPr>
        <w:spacing w:after="0"/>
        <w:sectPr>
          <w:pgSz w:w="11960" w:h="16850"/>
          <w:pgMar w:header="0" w:footer="1001" w:top="1600" w:bottom="1200" w:left="1600" w:right="1540"/>
        </w:sectPr>
      </w:pPr>
    </w:p>
    <w:p>
      <w:pPr>
        <w:pStyle w:val="BodyText"/>
        <w:spacing w:line="232" w:lineRule="exact"/>
        <w:ind w:left="101"/>
      </w:pPr>
      <w:r>
        <w:rPr/>
        <w:t>全丧失</w:t>
      </w:r>
    </w:p>
    <w:p>
      <w:pPr>
        <w:pStyle w:val="BodyText"/>
        <w:spacing w:line="237" w:lineRule="auto"/>
        <w:ind w:left="10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796"/>
            <w:col w:w="6382"/>
          </w:cols>
        </w:sectPr>
      </w:pPr>
    </w:p>
    <w:p>
      <w:pPr>
        <w:pStyle w:val="BodyText"/>
        <w:tabs>
          <w:tab w:pos="2340" w:val="left" w:leader="none"/>
        </w:tabs>
        <w:spacing w:line="237" w:lineRule="auto" w:before="3"/>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16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314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3" w:hanging="543"/>
        <w:jc w:val="left"/>
      </w:pPr>
      <w:rPr>
        <w:rFonts w:hint="default" w:ascii="宋体" w:hAnsi="宋体" w:eastAsia="宋体" w:cs="宋体"/>
        <w:spacing w:val="-1"/>
        <w:w w:val="100"/>
        <w:sz w:val="18"/>
        <w:szCs w:val="18"/>
      </w:rPr>
    </w:lvl>
    <w:lvl w:ilvl="1">
      <w:start w:val="0"/>
      <w:numFmt w:val="bullet"/>
      <w:lvlText w:val="•"/>
      <w:lvlJc w:val="left"/>
      <w:pPr>
        <w:ind w:left="2720" w:hanging="543"/>
      </w:pPr>
      <w:rPr>
        <w:rFonts w:hint="default"/>
      </w:rPr>
    </w:lvl>
    <w:lvl w:ilvl="2">
      <w:start w:val="0"/>
      <w:numFmt w:val="bullet"/>
      <w:lvlText w:val="•"/>
      <w:lvlJc w:val="left"/>
      <w:pPr>
        <w:ind w:left="3396" w:hanging="543"/>
      </w:pPr>
      <w:rPr>
        <w:rFonts w:hint="default"/>
      </w:rPr>
    </w:lvl>
    <w:lvl w:ilvl="3">
      <w:start w:val="0"/>
      <w:numFmt w:val="bullet"/>
      <w:lvlText w:val="•"/>
      <w:lvlJc w:val="left"/>
      <w:pPr>
        <w:ind w:left="4073" w:hanging="543"/>
      </w:pPr>
      <w:rPr>
        <w:rFonts w:hint="default"/>
      </w:rPr>
    </w:lvl>
    <w:lvl w:ilvl="4">
      <w:start w:val="0"/>
      <w:numFmt w:val="bullet"/>
      <w:lvlText w:val="•"/>
      <w:lvlJc w:val="left"/>
      <w:pPr>
        <w:ind w:left="4750" w:hanging="543"/>
      </w:pPr>
      <w:rPr>
        <w:rFonts w:hint="default"/>
      </w:rPr>
    </w:lvl>
    <w:lvl w:ilvl="5">
      <w:start w:val="0"/>
      <w:numFmt w:val="bullet"/>
      <w:lvlText w:val="•"/>
      <w:lvlJc w:val="left"/>
      <w:pPr>
        <w:ind w:left="5427" w:hanging="543"/>
      </w:pPr>
      <w:rPr>
        <w:rFonts w:hint="default"/>
      </w:rPr>
    </w:lvl>
    <w:lvl w:ilvl="6">
      <w:start w:val="0"/>
      <w:numFmt w:val="bullet"/>
      <w:lvlText w:val="•"/>
      <w:lvlJc w:val="left"/>
      <w:pPr>
        <w:ind w:left="6104" w:hanging="543"/>
      </w:pPr>
      <w:rPr>
        <w:rFonts w:hint="default"/>
      </w:rPr>
    </w:lvl>
    <w:lvl w:ilvl="7">
      <w:start w:val="0"/>
      <w:numFmt w:val="bullet"/>
      <w:lvlText w:val="•"/>
      <w:lvlJc w:val="left"/>
      <w:pPr>
        <w:ind w:left="6781" w:hanging="543"/>
      </w:pPr>
      <w:rPr>
        <w:rFonts w:hint="default"/>
      </w:rPr>
    </w:lvl>
    <w:lvl w:ilvl="8">
      <w:start w:val="0"/>
      <w:numFmt w:val="bullet"/>
      <w:lvlText w:val="•"/>
      <w:lvlJc w:val="left"/>
      <w:pPr>
        <w:ind w:left="7458"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left="101"/>
    </w:pPr>
    <w:rPr>
      <w:rFonts w:ascii="宋体" w:hAnsi="宋体" w:eastAsia="宋体" w:cs="宋体"/>
      <w:sz w:val="18"/>
      <w:szCs w:val="18"/>
    </w:rPr>
  </w:style>
  <w:style w:styleId="TOC2" w:type="paragraph">
    <w:name w:val="TOC 2"/>
    <w:basedOn w:val="Normal"/>
    <w:uiPriority w:val="1"/>
    <w:qFormat/>
    <w:pPr>
      <w:spacing w:before="62"/>
      <w:ind w:left="312"/>
    </w:pPr>
    <w:rPr>
      <w:rFonts w:ascii="宋体" w:hAnsi="宋体" w:eastAsia="宋体" w:cs="宋体"/>
      <w:sz w:val="18"/>
      <w:szCs w:val="18"/>
    </w:rPr>
  </w:style>
  <w:style w:styleId="BodyText" w:type="paragraph">
    <w:name w:val="Body Text"/>
    <w:basedOn w:val="Normal"/>
    <w:uiPriority w:val="1"/>
    <w:qFormat/>
    <w:pPr>
      <w:ind w:left="253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before="62"/>
      <w:ind w:left="643" w:hanging="542"/>
      <w:jc w:val="both"/>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2018-10-19T22:28:31Z</dcterms:created>
  <dcterms:modified xsi:type="dcterms:W3CDTF">2018-10-19T22:28:31Z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