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4"/>
        <w:ind w:left="0" w:right="0" w:firstLine="0"/>
        <w:jc w:val="right"/>
        <w:rPr>
          <w:rFonts w:ascii="微软雅黑" w:eastAsia="微软雅黑" w:hint="eastAsia"/>
          <w:b/>
          <w:sz w:val="32"/>
        </w:rPr>
      </w:pPr>
      <w:r>
        <w:rPr>
          <w:rFonts w:ascii="微软雅黑" w:eastAsia="微软雅黑" w:hint="eastAsia"/>
          <w:b/>
          <w:sz w:val="32"/>
        </w:rPr>
        <w:t>阅  读  指 引</w:t>
      </w:r>
    </w:p>
    <w:p>
      <w:pPr>
        <w:spacing w:before="53"/>
        <w:ind w:left="1761" w:right="0" w:firstLine="0"/>
        <w:jc w:val="left"/>
        <w:rPr>
          <w:sz w:val="16"/>
        </w:rPr>
      </w:pPr>
      <w:r>
        <w:rPr/>
        <w:br w:type="column"/>
      </w:r>
      <w:r>
        <w:rPr>
          <w:w w:val="95"/>
          <w:sz w:val="16"/>
        </w:rPr>
        <w:t>民生保险[2009]疾病保险073号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5987" w:space="40"/>
            <w:col w:w="4003"/>
          </w:cols>
        </w:sectPr>
      </w:pPr>
    </w:p>
    <w:p>
      <w:pPr>
        <w:pStyle w:val="BodyText"/>
        <w:rPr>
          <w:sz w:val="12"/>
        </w:rPr>
      </w:pPr>
    </w:p>
    <w:p>
      <w:pPr>
        <w:spacing w:line="298" w:lineRule="exact" w:before="35"/>
        <w:ind w:left="1629" w:right="0" w:firstLine="0"/>
        <w:jc w:val="left"/>
        <w:rPr>
          <w:b/>
          <w:sz w:val="21"/>
        </w:rPr>
      </w:pPr>
      <w:r>
        <w:rPr/>
        <w:drawing>
          <wp:anchor distT="0" distB="0" distL="0" distR="0" allowOverlap="1" layoutInCell="1" locked="0" behindDoc="0" simplePos="0" relativeHeight="1072">
            <wp:simplePos x="0" y="0"/>
            <wp:positionH relativeFrom="page">
              <wp:posOffset>6268365</wp:posOffset>
            </wp:positionH>
            <wp:positionV relativeFrom="paragraph">
              <wp:posOffset>-455829</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投</w:t>
      </w:r>
      <w:r>
        <w:rPr>
          <w:spacing w:val="-63"/>
          <w:w w:val="95"/>
          <w:position w:val="-7"/>
          <w:sz w:val="21"/>
        </w:rPr>
        <w:t>．</w:t>
      </w:r>
      <w:r>
        <w:rPr>
          <w:b/>
          <w:spacing w:val="-148"/>
          <w:w w:val="95"/>
          <w:sz w:val="21"/>
        </w:rPr>
        <w:t>保</w:t>
      </w:r>
      <w:r>
        <w:rPr>
          <w:spacing w:val="-63"/>
          <w:w w:val="95"/>
          <w:position w:val="-7"/>
          <w:sz w:val="21"/>
        </w:rPr>
        <w:t>．</w:t>
      </w:r>
      <w:r>
        <w:rPr>
          <w:b/>
          <w:spacing w:val="-147"/>
          <w:w w:val="95"/>
          <w:sz w:val="21"/>
        </w:rPr>
        <w:t>人</w:t>
      </w:r>
      <w:r>
        <w:rPr>
          <w:spacing w:val="-63"/>
          <w:w w:val="95"/>
          <w:position w:val="-7"/>
          <w:sz w:val="21"/>
        </w:rPr>
        <w:t>．</w:t>
      </w:r>
      <w:r>
        <w:rPr>
          <w:b/>
          <w:spacing w:val="-147"/>
          <w:w w:val="95"/>
          <w:sz w:val="21"/>
        </w:rPr>
        <w:t>理</w:t>
      </w:r>
      <w:r>
        <w:rPr>
          <w:spacing w:val="-63"/>
          <w:w w:val="95"/>
          <w:position w:val="-7"/>
          <w:sz w:val="21"/>
        </w:rPr>
        <w:t>．</w:t>
      </w:r>
      <w:r>
        <w:rPr>
          <w:b/>
          <w:spacing w:val="-147"/>
          <w:w w:val="95"/>
          <w:sz w:val="21"/>
        </w:rPr>
        <w:t>解</w:t>
      </w:r>
      <w:r>
        <w:rPr>
          <w:spacing w:val="-63"/>
          <w:w w:val="95"/>
          <w:position w:val="-7"/>
          <w:sz w:val="21"/>
        </w:rPr>
        <w:t>．</w:t>
      </w:r>
      <w:r>
        <w:rPr>
          <w:b/>
          <w:spacing w:val="-148"/>
          <w:w w:val="95"/>
          <w:sz w:val="21"/>
        </w:rPr>
        <w:t>条</w:t>
      </w:r>
      <w:r>
        <w:rPr>
          <w:spacing w:val="-63"/>
          <w:w w:val="95"/>
          <w:position w:val="-7"/>
          <w:sz w:val="21"/>
        </w:rPr>
        <w:t>．</w:t>
      </w:r>
      <w:r>
        <w:rPr>
          <w:b/>
          <w:spacing w:val="-148"/>
          <w:w w:val="95"/>
          <w:sz w:val="21"/>
        </w:rPr>
        <w:t>款</w:t>
      </w:r>
      <w:r>
        <w:rPr>
          <w:spacing w:val="-31"/>
          <w:w w:val="95"/>
          <w:position w:val="-7"/>
          <w:sz w:val="21"/>
        </w:rPr>
        <w:t>．</w:t>
      </w:r>
      <w:r>
        <w:rPr>
          <w:b/>
          <w:spacing w:val="-89"/>
          <w:w w:val="95"/>
          <w:sz w:val="21"/>
        </w:rPr>
        <w:t>，对</w:t>
      </w:r>
      <w:r>
        <w:rPr>
          <w:spacing w:val="-63"/>
          <w:w w:val="95"/>
          <w:position w:val="-7"/>
          <w:sz w:val="21"/>
        </w:rPr>
        <w:t>．</w:t>
      </w:r>
      <w:r>
        <w:rPr>
          <w:b/>
          <w:spacing w:val="-147"/>
          <w:w w:val="95"/>
          <w:sz w:val="21"/>
        </w:rPr>
        <w:t>本</w:t>
      </w:r>
      <w:r>
        <w:rPr>
          <w:spacing w:val="-63"/>
          <w:w w:val="95"/>
          <w:position w:val="-7"/>
          <w:sz w:val="21"/>
        </w:rPr>
        <w:t>．</w:t>
      </w:r>
      <w:r>
        <w:rPr>
          <w:b/>
          <w:spacing w:val="-148"/>
          <w:w w:val="95"/>
          <w:sz w:val="21"/>
        </w:rPr>
        <w:t>附</w:t>
      </w:r>
      <w:r>
        <w:rPr>
          <w:spacing w:val="-63"/>
          <w:w w:val="95"/>
          <w:position w:val="-7"/>
          <w:sz w:val="21"/>
        </w:rPr>
        <w:t>．</w:t>
      </w:r>
      <w:r>
        <w:rPr>
          <w:b/>
          <w:spacing w:val="-148"/>
          <w:w w:val="95"/>
          <w:sz w:val="21"/>
        </w:rPr>
        <w:t>加</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7"/>
          <w:w w:val="95"/>
          <w:sz w:val="21"/>
        </w:rPr>
        <w:t>内</w:t>
      </w:r>
      <w:r>
        <w:rPr>
          <w:spacing w:val="-63"/>
          <w:w w:val="95"/>
          <w:position w:val="-7"/>
          <w:sz w:val="21"/>
        </w:rPr>
        <w:t>．</w:t>
      </w:r>
      <w:r>
        <w:rPr>
          <w:b/>
          <w:spacing w:val="-148"/>
          <w:w w:val="95"/>
          <w:sz w:val="21"/>
        </w:rPr>
        <w:t>容</w:t>
      </w:r>
      <w:r>
        <w:rPr>
          <w:spacing w:val="-63"/>
          <w:w w:val="95"/>
          <w:position w:val="-7"/>
          <w:sz w:val="21"/>
        </w:rPr>
        <w:t>．</w:t>
      </w:r>
      <w:r>
        <w:rPr>
          <w:b/>
          <w:spacing w:val="-148"/>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7"/>
          <w:w w:val="95"/>
          <w:sz w:val="21"/>
        </w:rPr>
        <w:t>以</w:t>
      </w:r>
      <w:r>
        <w:rPr>
          <w:spacing w:val="-63"/>
          <w:w w:val="95"/>
          <w:position w:val="-7"/>
          <w:sz w:val="21"/>
        </w:rPr>
        <w:t>．</w:t>
      </w:r>
      <w:r>
        <w:rPr>
          <w:b/>
          <w:spacing w:val="-149"/>
          <w:w w:val="95"/>
          <w:sz w:val="21"/>
        </w:rPr>
        <w:t>条</w:t>
      </w:r>
      <w:r>
        <w:rPr>
          <w:spacing w:val="-62"/>
          <w:w w:val="95"/>
          <w:position w:val="-7"/>
          <w:sz w:val="21"/>
        </w:rPr>
        <w:t>．</w:t>
      </w:r>
      <w:r>
        <w:rPr>
          <w:b/>
          <w:spacing w:val="-149"/>
          <w:w w:val="95"/>
          <w:sz w:val="21"/>
        </w:rPr>
        <w:t>款</w:t>
      </w:r>
      <w:r>
        <w:rPr>
          <w:spacing w:val="-62"/>
          <w:w w:val="95"/>
          <w:position w:val="-7"/>
          <w:sz w:val="21"/>
        </w:rPr>
        <w:t>．</w:t>
      </w:r>
      <w:r>
        <w:rPr>
          <w:b/>
          <w:spacing w:val="-147"/>
          <w:w w:val="95"/>
          <w:sz w:val="21"/>
        </w:rPr>
        <w:t>为</w:t>
      </w:r>
      <w:r>
        <w:rPr>
          <w:spacing w:val="-62"/>
          <w:w w:val="95"/>
          <w:position w:val="-7"/>
          <w:sz w:val="21"/>
        </w:rPr>
        <w:t>．</w:t>
      </w:r>
      <w:r>
        <w:rPr>
          <w:b/>
          <w:spacing w:val="-147"/>
          <w:w w:val="95"/>
          <w:sz w:val="21"/>
        </w:rPr>
        <w:t>准</w:t>
      </w:r>
      <w:r>
        <w:rPr>
          <w:spacing w:val="-63"/>
          <w:w w:val="95"/>
          <w:position w:val="-7"/>
          <w:sz w:val="21"/>
        </w:rPr>
        <w:t>．</w:t>
      </w:r>
      <w:r>
        <w:rPr>
          <w:b/>
          <w:w w:val="95"/>
          <w:sz w:val="21"/>
        </w:rPr>
        <w:t>。</w:t>
      </w:r>
    </w:p>
    <w:p>
      <w:pPr>
        <w:spacing w:line="152" w:lineRule="exact" w:before="0"/>
        <w:ind w:left="0" w:right="145" w:firstLine="0"/>
        <w:jc w:val="right"/>
        <w:rPr>
          <w:sz w:val="16"/>
        </w:rPr>
      </w:pPr>
      <w:r>
        <w:rPr>
          <w:sz w:val="16"/>
        </w:rPr>
        <w:t>请扫描以查询验证条款</w:t>
      </w:r>
    </w:p>
    <w:p>
      <w:pPr>
        <w:pStyle w:val="BodyText"/>
        <w:spacing w:before="6"/>
        <w:rPr>
          <w:sz w:val="28"/>
        </w:rPr>
      </w:pPr>
    </w:p>
    <w:p>
      <w:pPr>
        <w:pStyle w:val="Heading1"/>
        <w:tabs>
          <w:tab w:pos="1382" w:val="left" w:leader="none"/>
        </w:tabs>
        <w:spacing w:line="682" w:lineRule="exact"/>
        <w:ind w:left="371"/>
      </w:pPr>
      <w:r>
        <w:rPr/>
        <w:drawing>
          <wp:anchor distT="0" distB="0" distL="0" distR="0" allowOverlap="1" layoutInCell="1" locked="0" behindDoc="1" simplePos="0" relativeHeight="268395815">
            <wp:simplePos x="0" y="0"/>
            <wp:positionH relativeFrom="page">
              <wp:posOffset>684058</wp:posOffset>
            </wp:positionH>
            <wp:positionV relativeFrom="paragraph">
              <wp:posOffset>-72954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投保人拥有的重要权益</w:t>
      </w:r>
    </w:p>
    <w:p>
      <w:pPr>
        <w:pStyle w:val="ListParagraph"/>
        <w:numPr>
          <w:ilvl w:val="0"/>
          <w:numId w:val="1"/>
        </w:numPr>
        <w:tabs>
          <w:tab w:pos="1783" w:val="left" w:leader="none"/>
          <w:tab w:pos="1784" w:val="left" w:leader="none"/>
        </w:tabs>
        <w:spacing w:line="256" w:lineRule="exact" w:before="0" w:after="0"/>
        <w:ind w:left="1783" w:right="0" w:hanging="440"/>
        <w:jc w:val="left"/>
        <w:rPr>
          <w:b/>
          <w:sz w:val="21"/>
        </w:rPr>
      </w:pPr>
      <w:r>
        <w:rPr>
          <w:b/>
          <w:w w:val="95"/>
          <w:sz w:val="21"/>
        </w:rPr>
        <w:t>被保险人享受本附加保险合同提供的保障………………………………第2.2条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投保人应当特别注意的事项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退保会给投保人造成一定的损失，请投保人慎重决策…………………第5.1条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投保人或被保险人有及时向我们通知保险事故的责任…………………第3.2条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4" w:val="left" w:leader="none"/>
          <w:tab w:pos="1785" w:val="left" w:leader="none"/>
        </w:tabs>
        <w:spacing w:line="268" w:lineRule="exact" w:before="36" w:after="0"/>
        <w:ind w:left="1784" w:right="0" w:hanging="441"/>
        <w:jc w:val="left"/>
        <w:rPr>
          <w:b/>
          <w:sz w:val="21"/>
        </w:rPr>
      </w:pPr>
      <w:r>
        <w:rPr>
          <w:b/>
          <w:spacing w:val="-1"/>
          <w:sz w:val="21"/>
        </w:rPr>
        <w:t>本公司对一些重要术语进行了解释，请投保人注意……………………第 </w:t>
      </w:r>
      <w:r>
        <w:rPr>
          <w:b/>
          <w:sz w:val="21"/>
        </w:rPr>
        <w:t>7</w:t>
      </w:r>
      <w:r>
        <w:rPr>
          <w:b/>
          <w:spacing w:val="-7"/>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条款是保险合同的重要内容，为充分保障投保人的权益，请投保人仔细阅读本条款。</w:t>
      </w:r>
    </w:p>
    <w:p>
      <w:pPr>
        <w:tabs>
          <w:tab w:pos="1382" w:val="left" w:leader="none"/>
        </w:tabs>
        <w:spacing w:line="613"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613" w:lineRule="exact"/>
        <w:jc w:val="left"/>
        <w:rPr>
          <w:sz w:val="21"/>
        </w:rPr>
        <w:sectPr>
          <w:type w:val="continuous"/>
          <w:pgSz w:w="11910" w:h="16840"/>
          <w:pgMar w:top="1040" w:bottom="1180" w:left="960" w:right="920"/>
        </w:sectPr>
      </w:pPr>
    </w:p>
    <w:p>
      <w:pPr>
        <w:pStyle w:val="BodyText"/>
        <w:spacing w:before="6"/>
        <w:rPr>
          <w:b/>
          <w:sz w:val="29"/>
        </w:rPr>
      </w:pPr>
      <w:r>
        <w:rPr/>
        <w:pict>
          <v:line style="position:absolute;mso-position-horizontal-relative:page;mso-position-vertical-relative:page;z-index:-39664" from="63.720001pt,55.619999pt" to="543.000001pt,55.619999pt" stroked="true" strokeweight=".72pt" strokecolor="#000000">
            <v:stroke dashstyle="solid"/>
            <w10:wrap type="none"/>
          </v:line>
        </w:pict>
      </w:r>
    </w:p>
    <w:p>
      <w:pPr>
        <w:pStyle w:val="Heading1"/>
        <w:ind w:left="1524" w:right="1470"/>
        <w:jc w:val="center"/>
      </w:pPr>
      <w:r>
        <w:rPr>
          <w:w w:val="95"/>
        </w:rPr>
        <w:t>1.保险合同</w:t>
      </w:r>
    </w:p>
    <w:p>
      <w:pPr>
        <w:pStyle w:val="ListParagraph"/>
        <w:numPr>
          <w:ilvl w:val="1"/>
          <w:numId w:val="2"/>
        </w:numPr>
        <w:tabs>
          <w:tab w:pos="2149" w:val="left" w:leader="none"/>
        </w:tabs>
        <w:spacing w:line="240" w:lineRule="auto" w:before="37" w:after="0"/>
        <w:ind w:left="2148" w:right="0" w:hanging="420"/>
        <w:jc w:val="left"/>
        <w:rPr>
          <w:sz w:val="21"/>
        </w:rPr>
      </w:pPr>
      <w:r>
        <w:rPr>
          <w:spacing w:val="-1"/>
          <w:sz w:val="21"/>
        </w:rPr>
        <w:t>合同构成</w:t>
      </w:r>
    </w:p>
    <w:p>
      <w:pPr>
        <w:pStyle w:val="ListParagraph"/>
        <w:numPr>
          <w:ilvl w:val="1"/>
          <w:numId w:val="2"/>
        </w:numPr>
        <w:tabs>
          <w:tab w:pos="2149" w:val="left" w:leader="none"/>
        </w:tabs>
        <w:spacing w:line="240" w:lineRule="auto" w:before="37" w:after="0"/>
        <w:ind w:left="2148" w:right="0" w:hanging="420"/>
        <w:jc w:val="left"/>
        <w:rPr>
          <w:sz w:val="21"/>
        </w:rPr>
      </w:pPr>
      <w:r>
        <w:rPr>
          <w:spacing w:val="-1"/>
          <w:sz w:val="21"/>
        </w:rPr>
        <w:t>合同成立与生效</w:t>
      </w:r>
    </w:p>
    <w:p>
      <w:pPr>
        <w:pStyle w:val="ListParagraph"/>
        <w:numPr>
          <w:ilvl w:val="1"/>
          <w:numId w:val="2"/>
        </w:numPr>
        <w:tabs>
          <w:tab w:pos="2149" w:val="left" w:leader="none"/>
        </w:tabs>
        <w:spacing w:line="240" w:lineRule="auto" w:before="37" w:after="0"/>
        <w:ind w:left="2148" w:right="0" w:hanging="420"/>
        <w:jc w:val="left"/>
        <w:rPr>
          <w:sz w:val="21"/>
        </w:rPr>
      </w:pPr>
      <w:r>
        <w:rPr>
          <w:spacing w:val="-1"/>
          <w:sz w:val="21"/>
        </w:rPr>
        <w:t>保险期间</w:t>
      </w:r>
    </w:p>
    <w:p>
      <w:pPr>
        <w:pStyle w:val="BodyText"/>
        <w:spacing w:before="8"/>
        <w:rPr>
          <w:sz w:val="26"/>
        </w:rPr>
      </w:pPr>
    </w:p>
    <w:p>
      <w:pPr>
        <w:pStyle w:val="Heading1"/>
        <w:ind w:left="1518"/>
      </w:pPr>
      <w:r>
        <w:rPr>
          <w:w w:val="95"/>
        </w:rPr>
        <w:t>2.我们提供的保障</w:t>
      </w:r>
    </w:p>
    <w:p>
      <w:pPr>
        <w:pStyle w:val="ListParagraph"/>
        <w:numPr>
          <w:ilvl w:val="1"/>
          <w:numId w:val="3"/>
        </w:numPr>
        <w:tabs>
          <w:tab w:pos="2149" w:val="left" w:leader="none"/>
        </w:tabs>
        <w:spacing w:line="240" w:lineRule="auto" w:before="36" w:after="0"/>
        <w:ind w:left="2148" w:right="0" w:hanging="420"/>
        <w:jc w:val="left"/>
        <w:rPr>
          <w:sz w:val="21"/>
        </w:rPr>
      </w:pPr>
      <w:r>
        <w:rPr>
          <w:spacing w:val="-1"/>
          <w:sz w:val="21"/>
        </w:rPr>
        <w:t>保险金额</w:t>
      </w:r>
    </w:p>
    <w:p>
      <w:pPr>
        <w:pStyle w:val="ListParagraph"/>
        <w:numPr>
          <w:ilvl w:val="1"/>
          <w:numId w:val="3"/>
        </w:numPr>
        <w:tabs>
          <w:tab w:pos="2149" w:val="left" w:leader="none"/>
        </w:tabs>
        <w:spacing w:line="240" w:lineRule="auto" w:before="36" w:after="0"/>
        <w:ind w:left="2148" w:right="0" w:hanging="420"/>
        <w:jc w:val="left"/>
        <w:rPr>
          <w:sz w:val="21"/>
        </w:rPr>
      </w:pPr>
      <w:r>
        <w:rPr>
          <w:spacing w:val="-1"/>
          <w:sz w:val="21"/>
        </w:rPr>
        <w:t>保险责任</w:t>
      </w:r>
    </w:p>
    <w:p>
      <w:pPr>
        <w:pStyle w:val="ListParagraph"/>
        <w:numPr>
          <w:ilvl w:val="1"/>
          <w:numId w:val="3"/>
        </w:numPr>
        <w:tabs>
          <w:tab w:pos="2149" w:val="left" w:leader="none"/>
        </w:tabs>
        <w:spacing w:line="240" w:lineRule="auto" w:before="36" w:after="0"/>
        <w:ind w:left="2148" w:right="0" w:hanging="420"/>
        <w:jc w:val="left"/>
        <w:rPr>
          <w:sz w:val="21"/>
        </w:rPr>
      </w:pPr>
      <w:r>
        <w:rPr>
          <w:spacing w:val="-1"/>
          <w:sz w:val="21"/>
        </w:rPr>
        <w:t>责任免除</w:t>
      </w:r>
    </w:p>
    <w:p>
      <w:pPr>
        <w:pStyle w:val="ListParagraph"/>
        <w:numPr>
          <w:ilvl w:val="1"/>
          <w:numId w:val="3"/>
        </w:numPr>
        <w:tabs>
          <w:tab w:pos="2149" w:val="left" w:leader="none"/>
        </w:tabs>
        <w:spacing w:line="240" w:lineRule="auto" w:before="36" w:after="0"/>
        <w:ind w:left="2148" w:right="0" w:hanging="420"/>
        <w:jc w:val="left"/>
        <w:rPr>
          <w:sz w:val="21"/>
        </w:rPr>
      </w:pPr>
      <w:r>
        <w:rPr>
          <w:spacing w:val="-1"/>
          <w:sz w:val="21"/>
        </w:rPr>
        <w:t>责任终止</w:t>
      </w:r>
    </w:p>
    <w:p>
      <w:pPr>
        <w:pStyle w:val="BodyText"/>
        <w:spacing w:before="8"/>
        <w:rPr>
          <w:sz w:val="26"/>
        </w:rPr>
      </w:pPr>
    </w:p>
    <w:p>
      <w:pPr>
        <w:pStyle w:val="Heading1"/>
        <w:numPr>
          <w:ilvl w:val="0"/>
          <w:numId w:val="4"/>
        </w:numPr>
        <w:tabs>
          <w:tab w:pos="1851" w:val="left" w:leader="none"/>
        </w:tabs>
        <w:spacing w:line="240" w:lineRule="auto" w:before="0" w:after="0"/>
        <w:ind w:left="1850" w:right="0" w:hanging="332"/>
        <w:jc w:val="left"/>
      </w:pPr>
      <w:r>
        <w:rPr>
          <w:w w:val="95"/>
        </w:rPr>
        <w:t>如何申请领取保险金</w:t>
      </w:r>
    </w:p>
    <w:p>
      <w:pPr>
        <w:pStyle w:val="ListParagraph"/>
        <w:numPr>
          <w:ilvl w:val="1"/>
          <w:numId w:val="4"/>
        </w:numPr>
        <w:tabs>
          <w:tab w:pos="2149" w:val="left" w:leader="none"/>
        </w:tabs>
        <w:spacing w:line="240" w:lineRule="auto" w:before="37" w:after="0"/>
        <w:ind w:left="2148" w:right="0" w:hanging="420"/>
        <w:jc w:val="left"/>
        <w:rPr>
          <w:sz w:val="21"/>
        </w:rPr>
      </w:pPr>
      <w:r>
        <w:rPr>
          <w:spacing w:val="-1"/>
          <w:sz w:val="21"/>
        </w:rPr>
        <w:t>受益人的指定和变更</w:t>
      </w:r>
    </w:p>
    <w:p>
      <w:pPr>
        <w:pStyle w:val="ListParagraph"/>
        <w:numPr>
          <w:ilvl w:val="1"/>
          <w:numId w:val="4"/>
        </w:numPr>
        <w:tabs>
          <w:tab w:pos="2149" w:val="left" w:leader="none"/>
        </w:tabs>
        <w:spacing w:line="240" w:lineRule="auto" w:before="37" w:after="0"/>
        <w:ind w:left="2148" w:right="0" w:hanging="420"/>
        <w:jc w:val="left"/>
        <w:rPr>
          <w:sz w:val="21"/>
        </w:rPr>
      </w:pPr>
      <w:r>
        <w:rPr>
          <w:spacing w:val="-1"/>
          <w:sz w:val="21"/>
        </w:rPr>
        <w:t>保险事故通知</w:t>
      </w:r>
    </w:p>
    <w:p>
      <w:pPr>
        <w:pStyle w:val="ListParagraph"/>
        <w:numPr>
          <w:ilvl w:val="1"/>
          <w:numId w:val="4"/>
        </w:numPr>
        <w:tabs>
          <w:tab w:pos="2149" w:val="left" w:leader="none"/>
        </w:tabs>
        <w:spacing w:line="240" w:lineRule="auto" w:before="37" w:after="0"/>
        <w:ind w:left="2148" w:right="0" w:hanging="420"/>
        <w:jc w:val="left"/>
        <w:rPr>
          <w:sz w:val="21"/>
        </w:rPr>
      </w:pPr>
      <w:r>
        <w:rPr>
          <w:spacing w:val="-1"/>
          <w:sz w:val="21"/>
        </w:rPr>
        <w:t>保险金的申请</w:t>
      </w:r>
    </w:p>
    <w:p>
      <w:pPr>
        <w:pStyle w:val="ListParagraph"/>
        <w:numPr>
          <w:ilvl w:val="1"/>
          <w:numId w:val="4"/>
        </w:numPr>
        <w:tabs>
          <w:tab w:pos="2149" w:val="left" w:leader="none"/>
        </w:tabs>
        <w:spacing w:line="240" w:lineRule="auto" w:before="37" w:after="0"/>
        <w:ind w:left="2148" w:right="0" w:hanging="420"/>
        <w:jc w:val="left"/>
        <w:rPr>
          <w:sz w:val="21"/>
        </w:rPr>
      </w:pPr>
      <w:r>
        <w:rPr>
          <w:spacing w:val="-1"/>
          <w:sz w:val="21"/>
        </w:rPr>
        <w:t>保险金的给付</w:t>
      </w:r>
    </w:p>
    <w:p>
      <w:pPr>
        <w:pStyle w:val="ListParagraph"/>
        <w:numPr>
          <w:ilvl w:val="1"/>
          <w:numId w:val="4"/>
        </w:numPr>
        <w:tabs>
          <w:tab w:pos="2149" w:val="left" w:leader="none"/>
        </w:tabs>
        <w:spacing w:line="240" w:lineRule="auto" w:before="37" w:after="0"/>
        <w:ind w:left="2148" w:right="0" w:hanging="420"/>
        <w:jc w:val="left"/>
        <w:rPr>
          <w:sz w:val="21"/>
        </w:rPr>
      </w:pPr>
      <w:r>
        <w:rPr>
          <w:spacing w:val="-1"/>
          <w:sz w:val="21"/>
        </w:rPr>
        <w:t>诉讼时效</w:t>
      </w:r>
    </w:p>
    <w:p>
      <w:pPr>
        <w:pStyle w:val="BodyText"/>
        <w:spacing w:before="8"/>
        <w:rPr>
          <w:sz w:val="26"/>
        </w:rPr>
      </w:pPr>
    </w:p>
    <w:p>
      <w:pPr>
        <w:pStyle w:val="Heading1"/>
        <w:ind w:left="1518"/>
      </w:pPr>
      <w:r>
        <w:rPr>
          <w:w w:val="95"/>
        </w:rPr>
        <w:t>4.如何交付保险费</w:t>
      </w:r>
    </w:p>
    <w:p>
      <w:pPr>
        <w:spacing w:before="36"/>
        <w:ind w:left="1728" w:right="0" w:firstLine="0"/>
        <w:jc w:val="left"/>
        <w:rPr>
          <w:sz w:val="21"/>
        </w:rPr>
      </w:pPr>
      <w:r>
        <w:rPr>
          <w:sz w:val="21"/>
        </w:rPr>
        <w:t>4.1 保险费的交付</w:t>
      </w:r>
    </w:p>
    <w:p>
      <w:pPr>
        <w:pStyle w:val="Heading1"/>
        <w:spacing w:line="209" w:lineRule="exact"/>
        <w:ind w:left="1077"/>
      </w:pPr>
      <w:r>
        <w:rPr>
          <w:b w:val="0"/>
        </w:rPr>
        <w:br w:type="column"/>
      </w:r>
      <w:r>
        <w:rPr>
          <w:w w:val="95"/>
        </w:rPr>
        <w:t>5.如何解除保险合同</w:t>
      </w:r>
    </w:p>
    <w:p>
      <w:pPr>
        <w:spacing w:before="37"/>
        <w:ind w:left="1288" w:right="0" w:firstLine="0"/>
        <w:jc w:val="left"/>
        <w:rPr>
          <w:sz w:val="21"/>
        </w:rPr>
      </w:pPr>
      <w:r>
        <w:rPr>
          <w:sz w:val="21"/>
        </w:rPr>
        <w:t>5.1 投保人解除合同的手续及风险</w:t>
      </w:r>
    </w:p>
    <w:p>
      <w:pPr>
        <w:pStyle w:val="BodyText"/>
        <w:spacing w:before="8"/>
        <w:rPr>
          <w:sz w:val="26"/>
        </w:rPr>
      </w:pPr>
    </w:p>
    <w:p>
      <w:pPr>
        <w:pStyle w:val="Heading1"/>
        <w:ind w:left="1077"/>
      </w:pPr>
      <w:r>
        <w:rPr>
          <w:w w:val="95"/>
        </w:rPr>
        <w:t>6.其他需要关注的事项</w:t>
      </w:r>
    </w:p>
    <w:p>
      <w:pPr>
        <w:pStyle w:val="ListParagraph"/>
        <w:numPr>
          <w:ilvl w:val="1"/>
          <w:numId w:val="5"/>
        </w:numPr>
        <w:tabs>
          <w:tab w:pos="1708" w:val="left" w:leader="none"/>
        </w:tabs>
        <w:spacing w:line="240" w:lineRule="auto" w:before="36" w:after="0"/>
        <w:ind w:left="1707" w:right="0" w:hanging="420"/>
        <w:jc w:val="left"/>
        <w:rPr>
          <w:sz w:val="21"/>
        </w:rPr>
      </w:pPr>
      <w:r>
        <w:rPr>
          <w:spacing w:val="-1"/>
          <w:sz w:val="21"/>
        </w:rPr>
        <w:t>投保范围</w:t>
      </w:r>
    </w:p>
    <w:p>
      <w:pPr>
        <w:pStyle w:val="ListParagraph"/>
        <w:numPr>
          <w:ilvl w:val="1"/>
          <w:numId w:val="5"/>
        </w:numPr>
        <w:tabs>
          <w:tab w:pos="1708" w:val="left" w:leader="none"/>
        </w:tabs>
        <w:spacing w:line="240" w:lineRule="auto" w:before="36" w:after="0"/>
        <w:ind w:left="1707" w:right="0" w:hanging="420"/>
        <w:jc w:val="left"/>
        <w:rPr>
          <w:sz w:val="21"/>
        </w:rPr>
      </w:pPr>
      <w:r>
        <w:rPr>
          <w:spacing w:val="-1"/>
          <w:sz w:val="21"/>
        </w:rPr>
        <w:t>被保险人变动</w:t>
      </w:r>
    </w:p>
    <w:p>
      <w:pPr>
        <w:pStyle w:val="ListParagraph"/>
        <w:numPr>
          <w:ilvl w:val="1"/>
          <w:numId w:val="5"/>
        </w:numPr>
        <w:tabs>
          <w:tab w:pos="1708" w:val="left" w:leader="none"/>
        </w:tabs>
        <w:spacing w:line="240" w:lineRule="auto" w:before="36" w:after="0"/>
        <w:ind w:left="1707" w:right="0" w:hanging="420"/>
        <w:jc w:val="left"/>
        <w:rPr>
          <w:sz w:val="21"/>
        </w:rPr>
      </w:pPr>
      <w:r>
        <w:rPr>
          <w:spacing w:val="-1"/>
          <w:sz w:val="21"/>
        </w:rPr>
        <w:t>合同内容变更</w:t>
      </w:r>
    </w:p>
    <w:p>
      <w:pPr>
        <w:pStyle w:val="ListParagraph"/>
        <w:numPr>
          <w:ilvl w:val="1"/>
          <w:numId w:val="5"/>
        </w:numPr>
        <w:tabs>
          <w:tab w:pos="1708" w:val="left" w:leader="none"/>
        </w:tabs>
        <w:spacing w:line="240" w:lineRule="auto" w:before="36" w:after="0"/>
        <w:ind w:left="1707" w:right="0" w:hanging="420"/>
        <w:jc w:val="left"/>
        <w:rPr>
          <w:sz w:val="21"/>
        </w:rPr>
      </w:pPr>
      <w:r>
        <w:rPr>
          <w:spacing w:val="-1"/>
          <w:sz w:val="21"/>
        </w:rPr>
        <w:t>年龄计算与错误处理</w:t>
      </w:r>
    </w:p>
    <w:p>
      <w:pPr>
        <w:pStyle w:val="BodyText"/>
        <w:spacing w:before="8"/>
        <w:rPr>
          <w:sz w:val="26"/>
        </w:rPr>
      </w:pPr>
    </w:p>
    <w:p>
      <w:pPr>
        <w:pStyle w:val="Heading1"/>
        <w:ind w:left="1077"/>
      </w:pPr>
      <w:r>
        <w:rPr>
          <w:w w:val="95"/>
        </w:rPr>
        <w:t>7.释义</w:t>
      </w:r>
    </w:p>
    <w:p>
      <w:pPr>
        <w:pStyle w:val="ListParagraph"/>
        <w:numPr>
          <w:ilvl w:val="1"/>
          <w:numId w:val="6"/>
        </w:numPr>
        <w:tabs>
          <w:tab w:pos="1709" w:val="left" w:leader="none"/>
        </w:tabs>
        <w:spacing w:line="240" w:lineRule="auto" w:before="37" w:after="0"/>
        <w:ind w:left="1708" w:right="0" w:hanging="421"/>
        <w:jc w:val="left"/>
        <w:rPr>
          <w:sz w:val="21"/>
        </w:rPr>
      </w:pPr>
      <w:r>
        <w:rPr>
          <w:sz w:val="21"/>
        </w:rPr>
        <w:t>发病</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指定或认可的医疗机构</w:t>
      </w:r>
    </w:p>
    <w:p>
      <w:pPr>
        <w:pStyle w:val="ListParagraph"/>
        <w:numPr>
          <w:ilvl w:val="1"/>
          <w:numId w:val="6"/>
        </w:numPr>
        <w:tabs>
          <w:tab w:pos="1708" w:val="left" w:leader="none"/>
        </w:tabs>
        <w:spacing w:line="240" w:lineRule="auto" w:before="37" w:after="0"/>
        <w:ind w:left="1707" w:right="0" w:hanging="420"/>
        <w:jc w:val="left"/>
        <w:rPr>
          <w:sz w:val="21"/>
        </w:rPr>
      </w:pPr>
      <w:r>
        <w:rPr>
          <w:sz w:val="21"/>
        </w:rPr>
        <w:t>毒品</w:t>
      </w:r>
    </w:p>
    <w:p>
      <w:pPr>
        <w:pStyle w:val="ListParagraph"/>
        <w:numPr>
          <w:ilvl w:val="1"/>
          <w:numId w:val="6"/>
        </w:numPr>
        <w:tabs>
          <w:tab w:pos="1708" w:val="left" w:leader="none"/>
        </w:tabs>
        <w:spacing w:line="240" w:lineRule="auto" w:before="37" w:after="0"/>
        <w:ind w:left="1707" w:right="0" w:hanging="421"/>
        <w:jc w:val="left"/>
        <w:rPr>
          <w:sz w:val="21"/>
        </w:rPr>
      </w:pPr>
      <w:r>
        <w:rPr>
          <w:spacing w:val="-1"/>
          <w:sz w:val="21"/>
        </w:rPr>
        <w:t>酒后驾驶</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无合法有效驾驶证驾驶</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无有效行驶证</w:t>
      </w:r>
    </w:p>
    <w:p>
      <w:pPr>
        <w:pStyle w:val="ListParagraph"/>
        <w:numPr>
          <w:ilvl w:val="1"/>
          <w:numId w:val="6"/>
        </w:numPr>
        <w:tabs>
          <w:tab w:pos="1709" w:val="left" w:leader="none"/>
        </w:tabs>
        <w:spacing w:line="240" w:lineRule="auto" w:before="37" w:after="0"/>
        <w:ind w:left="1708" w:right="0" w:hanging="421"/>
        <w:jc w:val="left"/>
        <w:rPr>
          <w:sz w:val="21"/>
        </w:rPr>
      </w:pPr>
      <w:r>
        <w:rPr>
          <w:spacing w:val="-1"/>
          <w:sz w:val="21"/>
        </w:rPr>
        <w:t>艾滋病</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艾滋病病毒</w:t>
      </w:r>
    </w:p>
    <w:p>
      <w:pPr>
        <w:pStyle w:val="ListParagraph"/>
        <w:numPr>
          <w:ilvl w:val="1"/>
          <w:numId w:val="6"/>
        </w:numPr>
        <w:tabs>
          <w:tab w:pos="1708" w:val="left" w:leader="none"/>
        </w:tabs>
        <w:spacing w:line="240" w:lineRule="auto" w:before="37" w:after="0"/>
        <w:ind w:left="1707" w:right="0" w:hanging="420"/>
        <w:jc w:val="left"/>
        <w:rPr>
          <w:sz w:val="21"/>
        </w:rPr>
      </w:pPr>
      <w:r>
        <w:rPr>
          <w:spacing w:val="-1"/>
          <w:sz w:val="21"/>
        </w:rPr>
        <w:t>未满期净保险费</w:t>
      </w:r>
    </w:p>
    <w:p>
      <w:pPr>
        <w:pStyle w:val="ListParagraph"/>
        <w:numPr>
          <w:ilvl w:val="1"/>
          <w:numId w:val="6"/>
        </w:numPr>
        <w:tabs>
          <w:tab w:pos="1813" w:val="left" w:leader="none"/>
        </w:tabs>
        <w:spacing w:line="240" w:lineRule="auto" w:before="37" w:after="0"/>
        <w:ind w:left="1812" w:right="0" w:hanging="525"/>
        <w:jc w:val="left"/>
        <w:rPr>
          <w:sz w:val="21"/>
        </w:rPr>
      </w:pPr>
      <w:r>
        <w:rPr>
          <w:spacing w:val="-1"/>
          <w:sz w:val="21"/>
        </w:rPr>
        <w:t>有效身份证件</w:t>
      </w:r>
    </w:p>
    <w:p>
      <w:pPr>
        <w:pStyle w:val="ListParagraph"/>
        <w:numPr>
          <w:ilvl w:val="1"/>
          <w:numId w:val="6"/>
        </w:numPr>
        <w:tabs>
          <w:tab w:pos="1813" w:val="left" w:leader="none"/>
        </w:tabs>
        <w:spacing w:line="240" w:lineRule="auto" w:before="37" w:after="0"/>
        <w:ind w:left="1812" w:right="0" w:hanging="525"/>
        <w:jc w:val="left"/>
        <w:rPr>
          <w:sz w:val="21"/>
        </w:rPr>
      </w:pPr>
      <w:r>
        <w:rPr>
          <w:spacing w:val="-1"/>
          <w:sz w:val="21"/>
        </w:rPr>
        <w:t>未满期保险费</w:t>
      </w:r>
    </w:p>
    <w:p>
      <w:pPr>
        <w:pStyle w:val="ListParagraph"/>
        <w:numPr>
          <w:ilvl w:val="1"/>
          <w:numId w:val="6"/>
        </w:numPr>
        <w:tabs>
          <w:tab w:pos="1813" w:val="left" w:leader="none"/>
        </w:tabs>
        <w:spacing w:line="240" w:lineRule="auto" w:before="37" w:after="0"/>
        <w:ind w:left="1812" w:right="0" w:hanging="525"/>
        <w:jc w:val="left"/>
        <w:rPr>
          <w:sz w:val="21"/>
        </w:rPr>
      </w:pPr>
      <w:r>
        <w:rPr>
          <w:spacing w:val="-1"/>
          <w:sz w:val="21"/>
        </w:rPr>
        <w:t>净保险费</w:t>
      </w:r>
    </w:p>
    <w:p>
      <w:pPr>
        <w:spacing w:after="0" w:line="240" w:lineRule="auto"/>
        <w:jc w:val="left"/>
        <w:rPr>
          <w:sz w:val="21"/>
        </w:rPr>
        <w:sectPr>
          <w:type w:val="continuous"/>
          <w:pgSz w:w="11910" w:h="16840"/>
          <w:pgMar w:top="1040" w:bottom="1180" w:left="960" w:right="920"/>
          <w:cols w:num="2" w:equalWidth="0">
            <w:col w:w="4038" w:space="40"/>
            <w:col w:w="5952"/>
          </w:cols>
        </w:sectPr>
      </w:pPr>
    </w:p>
    <w:p>
      <w:pPr>
        <w:pStyle w:val="BodyText"/>
        <w:rPr>
          <w:rFonts w:ascii="Times New Roman"/>
          <w:sz w:val="20"/>
        </w:rPr>
      </w:pPr>
    </w:p>
    <w:p>
      <w:pPr>
        <w:pStyle w:val="BodyText"/>
        <w:spacing w:before="5" w:after="1"/>
        <w:rPr>
          <w:rFonts w:ascii="Times New Roman"/>
          <w:sz w:val="2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55"/>
        <w:gridCol w:w="7243"/>
      </w:tblGrid>
      <w:tr>
        <w:trPr>
          <w:trHeight w:val="1015"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line="280" w:lineRule="exact"/>
              <w:ind w:left="544" w:right="2918"/>
              <w:jc w:val="center"/>
              <w:rPr>
                <w:b/>
                <w:sz w:val="28"/>
              </w:rPr>
            </w:pPr>
            <w:r>
              <w:rPr>
                <w:b/>
                <w:w w:val="95"/>
                <w:sz w:val="28"/>
              </w:rPr>
              <w:t>民生人寿保险股份有限公司</w:t>
            </w:r>
          </w:p>
          <w:p>
            <w:pPr>
              <w:pStyle w:val="TableParagraph"/>
              <w:spacing w:before="4"/>
              <w:rPr>
                <w:rFonts w:ascii="Times New Roman"/>
                <w:sz w:val="22"/>
              </w:rPr>
            </w:pPr>
          </w:p>
          <w:p>
            <w:pPr>
              <w:pStyle w:val="TableParagraph"/>
              <w:ind w:left="544" w:right="2919"/>
              <w:jc w:val="center"/>
              <w:rPr>
                <w:b/>
                <w:sz w:val="28"/>
              </w:rPr>
            </w:pPr>
            <w:r>
              <w:rPr>
                <w:b/>
                <w:w w:val="95"/>
                <w:sz w:val="28"/>
              </w:rPr>
              <w:t>附加重大疾病团体疾病保险条款</w:t>
            </w:r>
          </w:p>
        </w:tc>
      </w:tr>
      <w:tr>
        <w:trPr>
          <w:trHeight w:val="1135" w:hRule="atLeast"/>
        </w:trPr>
        <w:tc>
          <w:tcPr>
            <w:tcW w:w="9625" w:type="dxa"/>
            <w:gridSpan w:val="3"/>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18"/>
              </w:rPr>
            </w:pPr>
          </w:p>
          <w:p>
            <w:pPr>
              <w:pStyle w:val="TableParagraph"/>
              <w:ind w:left="108"/>
              <w:rPr>
                <w:sz w:val="21"/>
              </w:rPr>
            </w:pPr>
            <w:r>
              <w:rPr>
                <w:spacing w:val="-20"/>
                <w:sz w:val="21"/>
              </w:rPr>
              <w:t>在本条款中，“我们”、“本公司”均指民生人寿保险股份有限公司</w:t>
            </w:r>
          </w:p>
        </w:tc>
      </w:tr>
      <w:tr>
        <w:trPr>
          <w:trHeight w:val="712" w:hRule="atLeast"/>
        </w:trPr>
        <w:tc>
          <w:tcPr>
            <w:tcW w:w="627" w:type="dxa"/>
            <w:tcBorders>
              <w:bottom w:val="single" w:sz="4" w:space="0" w:color="000000"/>
            </w:tcBorders>
          </w:tcPr>
          <w:p>
            <w:pPr>
              <w:pStyle w:val="TableParagraph"/>
              <w:spacing w:line="646" w:lineRule="exact"/>
              <w:ind w:left="108"/>
              <w:rPr>
                <w:rFonts w:ascii="Yu Gothic"/>
                <w:b/>
                <w:sz w:val="40"/>
              </w:rPr>
            </w:pPr>
            <w:r>
              <w:rPr>
                <w:rFonts w:ascii="Yu Gothic"/>
                <w:b/>
                <w:w w:val="155"/>
                <w:sz w:val="40"/>
              </w:rPr>
              <w:t>0</w:t>
            </w:r>
          </w:p>
        </w:tc>
        <w:tc>
          <w:tcPr>
            <w:tcW w:w="1755" w:type="dxa"/>
            <w:tcBorders>
              <w:bottom w:val="single" w:sz="4" w:space="0" w:color="000000"/>
            </w:tcBorders>
          </w:tcPr>
          <w:p>
            <w:pPr>
              <w:pStyle w:val="TableParagraph"/>
              <w:spacing w:before="206"/>
              <w:ind w:left="162"/>
              <w:rPr>
                <w:b/>
                <w:sz w:val="24"/>
              </w:rPr>
            </w:pPr>
            <w:r>
              <w:rPr>
                <w:b/>
                <w:w w:val="95"/>
                <w:sz w:val="24"/>
              </w:rPr>
              <w:t>保险合同</w:t>
            </w:r>
          </w:p>
        </w:tc>
        <w:tc>
          <w:tcPr>
            <w:tcW w:w="7243" w:type="dxa"/>
            <w:tcBorders>
              <w:bottom w:val="single" w:sz="4" w:space="0" w:color="000000"/>
            </w:tcBorders>
          </w:tcPr>
          <w:p>
            <w:pPr>
              <w:pStyle w:val="TableParagraph"/>
              <w:rPr>
                <w:rFonts w:ascii="Times New Roman"/>
                <w:sz w:val="18"/>
              </w:rPr>
            </w:pPr>
          </w:p>
        </w:tc>
      </w:tr>
      <w:tr>
        <w:trPr>
          <w:trHeight w:val="1153" w:hRule="atLeast"/>
        </w:trPr>
        <w:tc>
          <w:tcPr>
            <w:tcW w:w="627" w:type="dxa"/>
            <w:tcBorders>
              <w:top w:val="single" w:sz="4" w:space="0" w:color="000000"/>
            </w:tcBorders>
          </w:tcPr>
          <w:p>
            <w:pPr>
              <w:pStyle w:val="TableParagraph"/>
              <w:spacing w:before="6"/>
              <w:rPr>
                <w:rFonts w:ascii="Times New Roman"/>
                <w:sz w:val="17"/>
              </w:rPr>
            </w:pPr>
          </w:p>
          <w:p>
            <w:pPr>
              <w:pStyle w:val="TableParagraph"/>
              <w:ind w:left="108"/>
              <w:rPr>
                <w:b/>
                <w:sz w:val="21"/>
              </w:rPr>
            </w:pPr>
            <w:r>
              <w:rPr>
                <w:b/>
                <w:sz w:val="21"/>
              </w:rPr>
              <w:t>1.1</w:t>
            </w:r>
          </w:p>
        </w:tc>
        <w:tc>
          <w:tcPr>
            <w:tcW w:w="1755"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合同构成</w:t>
            </w:r>
          </w:p>
        </w:tc>
        <w:tc>
          <w:tcPr>
            <w:tcW w:w="7243" w:type="dxa"/>
            <w:tcBorders>
              <w:top w:val="single" w:sz="4" w:space="0" w:color="000000"/>
            </w:tcBorders>
          </w:tcPr>
          <w:p>
            <w:pPr>
              <w:pStyle w:val="TableParagraph"/>
              <w:spacing w:line="310" w:lineRule="atLeast" w:before="153"/>
              <w:ind w:left="116" w:right="102"/>
              <w:jc w:val="both"/>
              <w:rPr>
                <w:sz w:val="18"/>
              </w:rPr>
            </w:pPr>
            <w:r>
              <w:rPr>
                <w:spacing w:val="-2"/>
                <w:sz w:val="18"/>
              </w:rPr>
              <w:t>本附加保险合同附加于团体人身保险合同</w:t>
            </w:r>
            <w:r>
              <w:rPr>
                <w:sz w:val="18"/>
              </w:rPr>
              <w:t>（以下简称主合同</w:t>
            </w:r>
            <w:r>
              <w:rPr>
                <w:spacing w:val="-90"/>
                <w:sz w:val="18"/>
              </w:rPr>
              <w:t>）</w:t>
            </w:r>
            <w:r>
              <w:rPr>
                <w:spacing w:val="-9"/>
                <w:sz w:val="18"/>
              </w:rPr>
              <w:t>。主合同所附条款、投保单及与本附加合同有关的其他投保文件、合法有效的声明、批注和其他书面协议，凡与本附加合同相关者，均为本附加合同的构成部分。</w:t>
            </w:r>
          </w:p>
        </w:tc>
      </w:tr>
      <w:tr>
        <w:trPr>
          <w:trHeight w:val="417"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10"/>
              <w:ind w:left="116"/>
              <w:rPr>
                <w:sz w:val="18"/>
              </w:rPr>
            </w:pPr>
            <w:r>
              <w:rPr>
                <w:sz w:val="18"/>
              </w:rPr>
              <w:t>除本附加合同另有约定外，主合同条款适用于本附加合同。</w:t>
            </w:r>
          </w:p>
        </w:tc>
      </w:tr>
      <w:tr>
        <w:trPr>
          <w:trHeight w:val="752" w:hRule="atLeast"/>
        </w:trPr>
        <w:tc>
          <w:tcPr>
            <w:tcW w:w="9625" w:type="dxa"/>
            <w:gridSpan w:val="3"/>
          </w:tcPr>
          <w:p>
            <w:pPr>
              <w:pStyle w:val="TableParagraph"/>
              <w:tabs>
                <w:tab w:pos="789" w:val="left" w:leader="none"/>
                <w:tab w:pos="2498" w:val="left" w:leader="none"/>
              </w:tabs>
              <w:spacing w:line="295" w:lineRule="auto" w:before="106"/>
              <w:ind w:left="2498" w:right="98" w:hanging="2391"/>
              <w:rPr>
                <w:sz w:val="18"/>
              </w:rPr>
            </w:pPr>
            <w:r>
              <w:rPr>
                <w:b/>
                <w:sz w:val="21"/>
              </w:rPr>
              <w:t>1.2</w:t>
              <w:tab/>
              <w:t>合同成立与生效</w:t>
              <w:tab/>
            </w:r>
            <w:r>
              <w:rPr>
                <w:position w:val="1"/>
                <w:sz w:val="18"/>
              </w:rPr>
              <w:t>自投保人提出保险申请，本公司同意承保，本合同成立。合同成立日期在保险单上载明。</w:t>
            </w:r>
            <w:r>
              <w:rPr>
                <w:sz w:val="18"/>
              </w:rPr>
              <w:t>本合同自本公司同意承保、收取保险费并签发保险单开始生效，具体生效日以保险单载明</w:t>
            </w:r>
          </w:p>
        </w:tc>
      </w:tr>
      <w:tr>
        <w:trPr>
          <w:trHeight w:val="929"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3"/>
              <w:ind w:left="116"/>
              <w:rPr>
                <w:sz w:val="18"/>
              </w:rPr>
            </w:pPr>
            <w:r>
              <w:rPr>
                <w:sz w:val="18"/>
              </w:rPr>
              <w:t>的日期为准。我们自生效日零时起开始承担本合同约定的保险责任。</w:t>
            </w:r>
          </w:p>
          <w:p>
            <w:pPr>
              <w:pStyle w:val="TableParagraph"/>
              <w:spacing w:line="310" w:lineRule="atLeast" w:before="1"/>
              <w:ind w:left="116" w:right="98"/>
              <w:rPr>
                <w:sz w:val="18"/>
              </w:rPr>
            </w:pPr>
            <w:r>
              <w:rPr>
                <w:sz w:val="18"/>
              </w:rPr>
              <w:t>本合同生效日以后每年的对应日是保险单周年日。保险单年度、保险单月份、保险费到期日和保险单满期日均以该日期计算。</w:t>
            </w:r>
          </w:p>
        </w:tc>
      </w:tr>
      <w:tr>
        <w:trPr>
          <w:trHeight w:val="417"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10"/>
              <w:ind w:left="116"/>
              <w:rPr>
                <w:sz w:val="18"/>
              </w:rPr>
            </w:pPr>
            <w:r>
              <w:rPr>
                <w:sz w:val="18"/>
              </w:rPr>
              <w:t>如果当月无对应的同一天，则以该月最后一日作为对应日。</w:t>
            </w:r>
          </w:p>
        </w:tc>
      </w:tr>
      <w:tr>
        <w:trPr>
          <w:trHeight w:val="752" w:hRule="atLeast"/>
        </w:trPr>
        <w:tc>
          <w:tcPr>
            <w:tcW w:w="9625" w:type="dxa"/>
            <w:gridSpan w:val="3"/>
          </w:tcPr>
          <w:p>
            <w:pPr>
              <w:pStyle w:val="TableParagraph"/>
              <w:tabs>
                <w:tab w:pos="789" w:val="left" w:leader="none"/>
                <w:tab w:pos="2498" w:val="left" w:leader="none"/>
              </w:tabs>
              <w:spacing w:line="295" w:lineRule="auto" w:before="106"/>
              <w:ind w:left="2498" w:right="104" w:hanging="2391"/>
              <w:rPr>
                <w:sz w:val="18"/>
              </w:rPr>
            </w:pPr>
            <w:r>
              <w:rPr>
                <w:b/>
                <w:sz w:val="21"/>
              </w:rPr>
              <w:t>1.3</w:t>
              <w:tab/>
              <w:t>保险期间</w:t>
              <w:tab/>
            </w:r>
            <w:r>
              <w:rPr>
                <w:position w:val="1"/>
                <w:sz w:val="18"/>
              </w:rPr>
              <w:t>本附加合同保险期间由投保人和本公司约定，最长不超过一年。投保人可于本附加合同满</w:t>
            </w:r>
            <w:r>
              <w:rPr>
                <w:sz w:val="18"/>
              </w:rPr>
              <w:t>期日或以前申请续保本附加合同，经本公司同意且投保人交付续保保险费后，本附加合同</w:t>
            </w:r>
          </w:p>
        </w:tc>
      </w:tr>
      <w:tr>
        <w:trPr>
          <w:trHeight w:val="929"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3"/>
              <w:ind w:left="116"/>
              <w:rPr>
                <w:sz w:val="18"/>
              </w:rPr>
            </w:pPr>
            <w:r>
              <w:rPr>
                <w:sz w:val="18"/>
              </w:rPr>
              <w:t>持续有效。</w:t>
            </w:r>
          </w:p>
          <w:p>
            <w:pPr>
              <w:pStyle w:val="TableParagraph"/>
              <w:spacing w:line="310" w:lineRule="atLeast" w:before="1"/>
              <w:ind w:left="116" w:right="99"/>
              <w:rPr>
                <w:sz w:val="18"/>
              </w:rPr>
            </w:pPr>
            <w:r>
              <w:rPr>
                <w:spacing w:val="-3"/>
                <w:sz w:val="18"/>
              </w:rPr>
              <w:t>如果被保险人在续保前的保险期间超过九十天,则续保后可免观察期；如果该被保险人在续保前的保险期间不足九十天,则需要在续保后补齐上述天数。</w:t>
            </w:r>
          </w:p>
        </w:tc>
      </w:tr>
      <w:tr>
        <w:trPr>
          <w:trHeight w:val="442"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10"/>
              <w:ind w:left="116"/>
              <w:rPr>
                <w:sz w:val="18"/>
              </w:rPr>
            </w:pPr>
            <w:r>
              <w:rPr>
                <w:sz w:val="18"/>
              </w:rPr>
              <w:t>未连续续保本附加合同的投保人申请续保时将视为重新投保。</w:t>
            </w:r>
          </w:p>
        </w:tc>
      </w:tr>
      <w:tr>
        <w:trPr>
          <w:trHeight w:val="719" w:hRule="atLeast"/>
        </w:trPr>
        <w:tc>
          <w:tcPr>
            <w:tcW w:w="627" w:type="dxa"/>
            <w:tcBorders>
              <w:bottom w:val="single" w:sz="4" w:space="0" w:color="000000"/>
            </w:tcBorders>
          </w:tcPr>
          <w:p>
            <w:pPr>
              <w:pStyle w:val="TableParagraph"/>
              <w:spacing w:line="653" w:lineRule="exact"/>
              <w:ind w:left="108"/>
              <w:rPr>
                <w:rFonts w:ascii="Yu Gothic"/>
                <w:b/>
                <w:sz w:val="40"/>
              </w:rPr>
            </w:pPr>
            <w:r>
              <w:rPr>
                <w:rFonts w:ascii="Yu Gothic"/>
                <w:b/>
                <w:w w:val="155"/>
                <w:sz w:val="40"/>
              </w:rPr>
              <w:t>4</w:t>
            </w:r>
          </w:p>
        </w:tc>
        <w:tc>
          <w:tcPr>
            <w:tcW w:w="8998" w:type="dxa"/>
            <w:gridSpan w:val="2"/>
            <w:tcBorders>
              <w:bottom w:val="single" w:sz="4" w:space="0" w:color="000000"/>
            </w:tcBorders>
          </w:tcPr>
          <w:p>
            <w:pPr>
              <w:pStyle w:val="TableParagraph"/>
              <w:spacing w:before="212"/>
              <w:ind w:left="162"/>
              <w:rPr>
                <w:b/>
                <w:sz w:val="24"/>
              </w:rPr>
            </w:pPr>
            <w:r>
              <w:rPr>
                <w:b/>
                <w:w w:val="95"/>
                <w:sz w:val="24"/>
              </w:rPr>
              <w:t>我们提供的保障</w:t>
            </w:r>
          </w:p>
        </w:tc>
      </w:tr>
      <w:tr>
        <w:trPr>
          <w:trHeight w:val="642" w:hRule="atLeast"/>
        </w:trPr>
        <w:tc>
          <w:tcPr>
            <w:tcW w:w="627" w:type="dxa"/>
            <w:tcBorders>
              <w:top w:val="single" w:sz="4" w:space="0" w:color="000000"/>
            </w:tcBorders>
          </w:tcPr>
          <w:p>
            <w:pPr>
              <w:pStyle w:val="TableParagraph"/>
              <w:spacing w:before="7"/>
              <w:rPr>
                <w:rFonts w:ascii="Times New Roman"/>
                <w:sz w:val="17"/>
              </w:rPr>
            </w:pPr>
          </w:p>
          <w:p>
            <w:pPr>
              <w:pStyle w:val="TableParagraph"/>
              <w:spacing w:before="1"/>
              <w:ind w:left="108"/>
              <w:rPr>
                <w:b/>
                <w:sz w:val="21"/>
              </w:rPr>
            </w:pPr>
            <w:r>
              <w:rPr>
                <w:b/>
                <w:sz w:val="21"/>
              </w:rPr>
              <w:t>2.1</w:t>
            </w:r>
          </w:p>
        </w:tc>
        <w:tc>
          <w:tcPr>
            <w:tcW w:w="1755" w:type="dxa"/>
            <w:tcBorders>
              <w:top w:val="single" w:sz="4" w:space="0" w:color="000000"/>
            </w:tcBorders>
          </w:tcPr>
          <w:p>
            <w:pPr>
              <w:pStyle w:val="TableParagraph"/>
              <w:spacing w:before="7"/>
              <w:rPr>
                <w:rFonts w:ascii="Times New Roman"/>
                <w:sz w:val="17"/>
              </w:rPr>
            </w:pPr>
          </w:p>
          <w:p>
            <w:pPr>
              <w:pStyle w:val="TableParagraph"/>
              <w:spacing w:before="1"/>
              <w:ind w:left="162"/>
              <w:rPr>
                <w:b/>
                <w:sz w:val="21"/>
              </w:rPr>
            </w:pPr>
            <w:r>
              <w:rPr>
                <w:b/>
                <w:w w:val="95"/>
                <w:sz w:val="21"/>
              </w:rPr>
              <w:t>保险金额</w:t>
            </w:r>
          </w:p>
        </w:tc>
        <w:tc>
          <w:tcPr>
            <w:tcW w:w="7243" w:type="dxa"/>
            <w:tcBorders>
              <w:top w:val="single" w:sz="4" w:space="0" w:color="000000"/>
            </w:tcBorders>
          </w:tcPr>
          <w:p>
            <w:pPr>
              <w:pStyle w:val="TableParagraph"/>
              <w:spacing w:before="10"/>
              <w:rPr>
                <w:rFonts w:ascii="Times New Roman"/>
                <w:sz w:val="19"/>
              </w:rPr>
            </w:pPr>
          </w:p>
          <w:p>
            <w:pPr>
              <w:pStyle w:val="TableParagraph"/>
              <w:ind w:left="116"/>
              <w:rPr>
                <w:sz w:val="18"/>
              </w:rPr>
            </w:pPr>
            <w:r>
              <w:rPr>
                <w:sz w:val="18"/>
              </w:rPr>
              <w:t>本附加合同保险金额由投保人和本公司约定，并在保险单上载明。</w:t>
            </w:r>
          </w:p>
        </w:tc>
      </w:tr>
      <w:tr>
        <w:trPr>
          <w:trHeight w:val="538" w:hRule="atLeast"/>
        </w:trPr>
        <w:tc>
          <w:tcPr>
            <w:tcW w:w="627" w:type="dxa"/>
          </w:tcPr>
          <w:p>
            <w:pPr>
              <w:pStyle w:val="TableParagraph"/>
              <w:spacing w:before="99"/>
              <w:ind w:left="108"/>
              <w:rPr>
                <w:b/>
                <w:sz w:val="21"/>
              </w:rPr>
            </w:pPr>
            <w:r>
              <w:rPr>
                <w:b/>
                <w:sz w:val="21"/>
              </w:rPr>
              <w:t>2.2</w:t>
            </w:r>
          </w:p>
        </w:tc>
        <w:tc>
          <w:tcPr>
            <w:tcW w:w="1755" w:type="dxa"/>
          </w:tcPr>
          <w:p>
            <w:pPr>
              <w:pStyle w:val="TableParagraph"/>
              <w:spacing w:before="99"/>
              <w:ind w:left="162"/>
              <w:rPr>
                <w:b/>
                <w:sz w:val="21"/>
              </w:rPr>
            </w:pPr>
            <w:r>
              <w:rPr>
                <w:b/>
                <w:w w:val="95"/>
                <w:sz w:val="21"/>
              </w:rPr>
              <w:t>保险责任</w:t>
            </w:r>
          </w:p>
        </w:tc>
        <w:tc>
          <w:tcPr>
            <w:tcW w:w="7243" w:type="dxa"/>
          </w:tcPr>
          <w:p>
            <w:pPr>
              <w:pStyle w:val="TableParagraph"/>
              <w:spacing w:before="125"/>
              <w:ind w:left="116"/>
              <w:rPr>
                <w:sz w:val="18"/>
              </w:rPr>
            </w:pPr>
            <w:r>
              <w:rPr>
                <w:sz w:val="18"/>
              </w:rPr>
              <w:t>在本附加合同有效期内，本公司对被保险人承担下列保险责任：</w:t>
            </w:r>
          </w:p>
        </w:tc>
      </w:tr>
      <w:tr>
        <w:trPr>
          <w:trHeight w:val="1467" w:hRule="atLeast"/>
        </w:trPr>
        <w:tc>
          <w:tcPr>
            <w:tcW w:w="627" w:type="dxa"/>
          </w:tcPr>
          <w:p>
            <w:pPr>
              <w:pStyle w:val="TableParagraph"/>
              <w:rPr>
                <w:rFonts w:ascii="Times New Roman"/>
                <w:sz w:val="18"/>
              </w:rPr>
            </w:pPr>
          </w:p>
        </w:tc>
        <w:tc>
          <w:tcPr>
            <w:tcW w:w="1755" w:type="dxa"/>
          </w:tcPr>
          <w:p>
            <w:pPr>
              <w:pStyle w:val="TableParagraph"/>
              <w:spacing w:before="99"/>
              <w:ind w:left="162"/>
              <w:rPr>
                <w:b/>
                <w:sz w:val="21"/>
              </w:rPr>
            </w:pPr>
            <w:r>
              <w:rPr>
                <w:b/>
                <w:w w:val="95"/>
                <w:sz w:val="21"/>
              </w:rPr>
              <w:t>重大疾病保险金</w:t>
            </w:r>
          </w:p>
        </w:tc>
        <w:tc>
          <w:tcPr>
            <w:tcW w:w="7243" w:type="dxa"/>
          </w:tcPr>
          <w:p>
            <w:pPr>
              <w:pStyle w:val="TableParagraph"/>
              <w:spacing w:line="316" w:lineRule="auto" w:before="125"/>
              <w:ind w:left="116" w:right="98"/>
              <w:jc w:val="both"/>
              <w:rPr>
                <w:sz w:val="18"/>
              </w:rPr>
            </w:pPr>
            <w:r>
              <w:rPr>
                <w:sz w:val="18"/>
              </w:rPr>
              <w:t>若被保险人于本附加合同生效之日起九十天后首次</w:t>
            </w:r>
            <w:r>
              <w:rPr>
                <w:b/>
                <w:sz w:val="18"/>
              </w:rPr>
              <w:t>发病</w:t>
            </w:r>
            <w:r>
              <w:rPr>
                <w:sz w:val="18"/>
              </w:rPr>
              <w:t>（</w:t>
            </w:r>
            <w:r>
              <w:rPr>
                <w:spacing w:val="-24"/>
                <w:sz w:val="18"/>
              </w:rPr>
              <w:t>见 </w:t>
            </w:r>
            <w:r>
              <w:rPr>
                <w:sz w:val="18"/>
              </w:rPr>
              <w:t>7.1）并经本公司</w:t>
            </w:r>
            <w:r>
              <w:rPr>
                <w:b/>
                <w:sz w:val="18"/>
              </w:rPr>
              <w:t>指定或认可的医疗机构</w:t>
            </w:r>
            <w:r>
              <w:rPr>
                <w:sz w:val="18"/>
              </w:rPr>
              <w:t>（</w:t>
            </w:r>
            <w:r>
              <w:rPr>
                <w:spacing w:val="-24"/>
                <w:sz w:val="18"/>
              </w:rPr>
              <w:t>见 </w:t>
            </w:r>
            <w:r>
              <w:rPr>
                <w:sz w:val="18"/>
              </w:rPr>
              <w:t>7.2）确诊初次患上本附加合同附表（见附表一）中约定的重大疾病（无论一种或多种</w:t>
            </w:r>
            <w:r>
              <w:rPr>
                <w:spacing w:val="-66"/>
                <w:sz w:val="18"/>
              </w:rPr>
              <w:t>）</w:t>
            </w:r>
            <w:r>
              <w:rPr>
                <w:spacing w:val="-11"/>
                <w:sz w:val="18"/>
              </w:rPr>
              <w:t>，本公司按保险单所载明的保险金额给付重大疾病保险金，本附加合同对该被保险人的保险责任终止。</w:t>
            </w:r>
          </w:p>
        </w:tc>
      </w:tr>
      <w:tr>
        <w:trPr>
          <w:trHeight w:val="1927" w:hRule="atLeast"/>
        </w:trPr>
        <w:tc>
          <w:tcPr>
            <w:tcW w:w="9625" w:type="dxa"/>
            <w:gridSpan w:val="3"/>
          </w:tcPr>
          <w:p>
            <w:pPr>
              <w:pStyle w:val="TableParagraph"/>
              <w:tabs>
                <w:tab w:pos="788" w:val="left" w:leader="none"/>
                <w:tab w:pos="2498" w:val="left" w:leader="none"/>
              </w:tabs>
              <w:spacing w:before="106"/>
              <w:ind w:left="108"/>
              <w:rPr>
                <w:sz w:val="18"/>
              </w:rPr>
            </w:pPr>
            <w:r>
              <w:rPr>
                <w:b/>
                <w:sz w:val="21"/>
              </w:rPr>
              <w:t>2.3</w:t>
              <w:tab/>
              <w:t>责任免除</w:t>
              <w:tab/>
            </w:r>
            <w:r>
              <w:rPr>
                <w:position w:val="1"/>
                <w:sz w:val="18"/>
              </w:rPr>
              <w:t>被保险人因下列情形之一患本附加合同约定的重大疾病的，本公司不承担保险责任：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pacing w:val="0"/>
                <w:w w:val="99"/>
                <w:sz w:val="18"/>
              </w:rPr>
              <w:t>3</w:t>
            </w:r>
            <w:r>
              <w:rPr>
                <w:b/>
                <w:w w:val="99"/>
                <w:sz w:val="18"/>
              </w:rPr>
              <w:t>、</w:t>
            </w:r>
            <w:r>
              <w:rPr>
                <w:b/>
                <w:spacing w:val="-17"/>
                <w:sz w:val="18"/>
              </w:rPr>
              <w:t>  </w:t>
            </w:r>
            <w:r>
              <w:rPr>
                <w:b/>
                <w:spacing w:val="-1"/>
                <w:w w:val="99"/>
                <w:sz w:val="18"/>
              </w:rPr>
              <w:t>被保险人主动吸食或注射毒品</w:t>
            </w:r>
            <w:r>
              <w:rPr>
                <w:sz w:val="18"/>
              </w:rPr>
              <w:t>（</w:t>
            </w:r>
            <w:r>
              <w:rPr>
                <w:spacing w:val="-23"/>
                <w:sz w:val="18"/>
              </w:rPr>
              <w:t>见 </w:t>
            </w:r>
            <w:r>
              <w:rPr>
                <w:sz w:val="18"/>
              </w:rPr>
              <w:t>7.3</w:t>
            </w:r>
            <w:r>
              <w:rPr>
                <w:spacing w:val="-90"/>
                <w:sz w:val="18"/>
              </w:rPr>
              <w:t>）</w:t>
            </w:r>
            <w:r>
              <w:rPr>
                <w:b/>
                <w:w w:val="99"/>
                <w:sz w:val="18"/>
              </w:rPr>
              <w:t>；</w:t>
            </w:r>
          </w:p>
          <w:p>
            <w:pPr>
              <w:pStyle w:val="TableParagraph"/>
              <w:spacing w:before="76"/>
              <w:ind w:left="2498"/>
              <w:rPr>
                <w:b/>
                <w:sz w:val="18"/>
              </w:rPr>
            </w:pPr>
            <w:r>
              <w:rPr>
                <w:b/>
                <w:sz w:val="18"/>
              </w:rPr>
              <w:t>4、 被保险人自杀或故意自伤；</w:t>
            </w:r>
          </w:p>
          <w:p>
            <w:pPr>
              <w:pStyle w:val="TableParagraph"/>
              <w:spacing w:line="216" w:lineRule="exact" w:before="76"/>
              <w:ind w:left="2498"/>
              <w:rPr>
                <w:b/>
                <w:sz w:val="18"/>
              </w:rPr>
            </w:pPr>
            <w:r>
              <w:rPr>
                <w:b/>
                <w:spacing w:val="0"/>
                <w:w w:val="99"/>
                <w:sz w:val="18"/>
              </w:rPr>
              <w:t>5</w:t>
            </w:r>
            <w:r>
              <w:rPr>
                <w:b/>
                <w:w w:val="99"/>
                <w:sz w:val="18"/>
              </w:rPr>
              <w:t>、</w:t>
            </w:r>
            <w:r>
              <w:rPr>
                <w:b/>
                <w:spacing w:val="-17"/>
                <w:sz w:val="18"/>
              </w:rPr>
              <w:t>  </w:t>
            </w:r>
            <w:r>
              <w:rPr>
                <w:b/>
                <w:spacing w:val="-3"/>
                <w:w w:val="99"/>
                <w:sz w:val="18"/>
              </w:rPr>
              <w:t>被保险人酒后驾驶</w:t>
            </w:r>
            <w:r>
              <w:rPr>
                <w:sz w:val="18"/>
              </w:rPr>
              <w:t>（</w:t>
            </w:r>
            <w:r>
              <w:rPr>
                <w:spacing w:val="-23"/>
                <w:sz w:val="18"/>
              </w:rPr>
              <w:t>见 </w:t>
            </w:r>
            <w:r>
              <w:rPr>
                <w:sz w:val="18"/>
              </w:rPr>
              <w:t>7.4</w:t>
            </w:r>
            <w:r>
              <w:rPr>
                <w:spacing w:val="-92"/>
                <w:sz w:val="18"/>
              </w:rPr>
              <w:t>）</w:t>
            </w:r>
            <w:r>
              <w:rPr>
                <w:b/>
                <w:spacing w:val="-6"/>
                <w:w w:val="99"/>
                <w:sz w:val="18"/>
              </w:rPr>
              <w:t>、无合法有效驾驶证驾驶</w:t>
            </w:r>
            <w:r>
              <w:rPr>
                <w:spacing w:val="-2"/>
                <w:sz w:val="18"/>
              </w:rPr>
              <w:t>（</w:t>
            </w:r>
            <w:r>
              <w:rPr>
                <w:spacing w:val="-23"/>
                <w:sz w:val="18"/>
              </w:rPr>
              <w:t>见 </w:t>
            </w:r>
            <w:r>
              <w:rPr>
                <w:sz w:val="18"/>
              </w:rPr>
              <w:t>7.5</w:t>
            </w:r>
            <w:r>
              <w:rPr>
                <w:spacing w:val="-18"/>
                <w:sz w:val="18"/>
              </w:rPr>
              <w:t>）</w:t>
            </w:r>
            <w:r>
              <w:rPr>
                <w:b/>
                <w:spacing w:val="-1"/>
                <w:w w:val="99"/>
                <w:sz w:val="18"/>
              </w:rPr>
              <w:t>或驾驶无有效行驶证</w:t>
            </w:r>
          </w:p>
        </w:tc>
      </w:tr>
    </w:tbl>
    <w:p>
      <w:pPr>
        <w:spacing w:after="0" w:line="216" w:lineRule="exact"/>
        <w:rPr>
          <w:sz w:val="18"/>
        </w:rPr>
        <w:sectPr>
          <w:headerReference w:type="default" r:id="rId9"/>
          <w:pgSz w:w="11910" w:h="16840"/>
          <w:pgMar w:header="877" w:footer="981" w:top="1100" w:bottom="1180" w:left="1140" w:right="920"/>
        </w:sectPr>
      </w:pPr>
    </w:p>
    <w:p>
      <w:pPr>
        <w:pStyle w:val="BodyText"/>
        <w:rPr>
          <w:rFonts w:ascii="Times New Roman"/>
          <w:sz w:val="23"/>
        </w:rPr>
      </w:pPr>
      <w:r>
        <w:rPr/>
        <w:pict>
          <v:shape style="position:absolute;margin-left:62.580002pt;margin-top:89.824623pt;width:481.2pt;height:685.5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55"/>
                    <w:gridCol w:w="7243"/>
                  </w:tblGrid>
                  <w:tr>
                    <w:trPr>
                      <w:trHeight w:val="1025"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line="180" w:lineRule="exact"/>
                          <w:ind w:left="116"/>
                          <w:rPr>
                            <w:b/>
                            <w:sz w:val="18"/>
                          </w:rPr>
                        </w:pPr>
                        <w:r>
                          <w:rPr>
                            <w:b/>
                            <w:spacing w:val="0"/>
                            <w:w w:val="99"/>
                            <w:sz w:val="18"/>
                          </w:rPr>
                          <w:t>6</w:t>
                        </w:r>
                        <w:r>
                          <w:rPr>
                            <w:b/>
                            <w:w w:val="99"/>
                            <w:sz w:val="18"/>
                          </w:rPr>
                          <w:t>、</w:t>
                        </w:r>
                        <w:r>
                          <w:rPr>
                            <w:b/>
                            <w:spacing w:val="-17"/>
                            <w:sz w:val="18"/>
                          </w:rPr>
                          <w:t>  </w:t>
                        </w:r>
                        <w:r>
                          <w:rPr>
                            <w:b/>
                            <w:spacing w:val="-1"/>
                            <w:w w:val="99"/>
                            <w:sz w:val="18"/>
                          </w:rPr>
                          <w:t>被保险人患艾滋病</w:t>
                        </w:r>
                        <w:r>
                          <w:rPr>
                            <w:sz w:val="18"/>
                          </w:rPr>
                          <w:t>（</w:t>
                        </w:r>
                        <w:r>
                          <w:rPr>
                            <w:spacing w:val="-23"/>
                            <w:sz w:val="18"/>
                          </w:rPr>
                          <w:t>见 </w:t>
                        </w:r>
                        <w:r>
                          <w:rPr>
                            <w:sz w:val="18"/>
                          </w:rPr>
                          <w:t>7.7</w:t>
                        </w:r>
                        <w:r>
                          <w:rPr>
                            <w:spacing w:val="-90"/>
                            <w:sz w:val="18"/>
                          </w:rPr>
                          <w:t>）</w:t>
                        </w:r>
                        <w:r>
                          <w:rPr>
                            <w:b/>
                            <w:spacing w:val="0"/>
                            <w:w w:val="99"/>
                            <w:sz w:val="18"/>
                          </w:rPr>
                          <w:t>（A</w:t>
                        </w:r>
                        <w:r>
                          <w:rPr>
                            <w:b/>
                            <w:spacing w:val="-1"/>
                            <w:w w:val="99"/>
                            <w:sz w:val="18"/>
                          </w:rPr>
                          <w:t>I</w:t>
                        </w:r>
                        <w:r>
                          <w:rPr>
                            <w:b/>
                            <w:spacing w:val="0"/>
                            <w:w w:val="99"/>
                            <w:sz w:val="18"/>
                          </w:rPr>
                          <w:t>D</w:t>
                        </w:r>
                        <w:r>
                          <w:rPr>
                            <w:b/>
                            <w:spacing w:val="-1"/>
                            <w:w w:val="99"/>
                            <w:sz w:val="18"/>
                          </w:rPr>
                          <w:t>S</w:t>
                        </w:r>
                        <w:r>
                          <w:rPr>
                            <w:b/>
                            <w:spacing w:val="0"/>
                            <w:w w:val="99"/>
                            <w:sz w:val="18"/>
                          </w:rPr>
                          <w:t>）</w:t>
                        </w:r>
                        <w:r>
                          <w:rPr>
                            <w:b/>
                            <w:spacing w:val="-1"/>
                            <w:w w:val="99"/>
                            <w:sz w:val="18"/>
                          </w:rPr>
                          <w:t>或感染艾滋病病毒</w:t>
                        </w:r>
                        <w:r>
                          <w:rPr>
                            <w:sz w:val="18"/>
                          </w:rPr>
                          <w:t>（</w:t>
                        </w:r>
                        <w:r>
                          <w:rPr>
                            <w:spacing w:val="-23"/>
                            <w:sz w:val="18"/>
                          </w:rPr>
                          <w:t>见 </w:t>
                        </w:r>
                        <w:r>
                          <w:rPr>
                            <w:sz w:val="18"/>
                          </w:rPr>
                          <w:t>7.8</w:t>
                        </w:r>
                        <w:r>
                          <w:rPr>
                            <w:spacing w:val="-90"/>
                            <w:sz w:val="18"/>
                          </w:rPr>
                          <w:t>）</w:t>
                        </w:r>
                        <w:r>
                          <w:rPr>
                            <w:b/>
                            <w:spacing w:val="0"/>
                            <w:w w:val="99"/>
                            <w:sz w:val="18"/>
                          </w:rPr>
                          <w:t>（H</w:t>
                        </w:r>
                        <w:r>
                          <w:rPr>
                            <w:b/>
                            <w:spacing w:val="-1"/>
                            <w:w w:val="99"/>
                            <w:sz w:val="18"/>
                          </w:rPr>
                          <w:t>I</w:t>
                        </w:r>
                        <w:r>
                          <w:rPr>
                            <w:b/>
                            <w:w w:val="99"/>
                            <w:sz w:val="18"/>
                          </w:rPr>
                          <w:t>V</w:t>
                        </w:r>
                        <w:r>
                          <w:rPr>
                            <w:b/>
                            <w:spacing w:val="-44"/>
                            <w:sz w:val="18"/>
                          </w:rPr>
                          <w:t> </w:t>
                        </w:r>
                        <w:r>
                          <w:rPr>
                            <w:b/>
                            <w:spacing w:val="-1"/>
                            <w:w w:val="99"/>
                            <w:sz w:val="18"/>
                          </w:rPr>
                          <w:t>呈阳性</w:t>
                        </w:r>
                        <w:r>
                          <w:rPr>
                            <w:b/>
                            <w:spacing w:val="-89"/>
                            <w:w w:val="99"/>
                            <w:sz w:val="18"/>
                          </w:rPr>
                          <w:t>）</w:t>
                        </w:r>
                        <w:r>
                          <w:rPr>
                            <w:b/>
                            <w:w w:val="99"/>
                            <w:sz w:val="18"/>
                          </w:rPr>
                          <w:t>；</w:t>
                        </w:r>
                      </w:p>
                      <w:p>
                        <w:pPr>
                          <w:pStyle w:val="TableParagraph"/>
                          <w:spacing w:before="76"/>
                          <w:ind w:left="116"/>
                          <w:rPr>
                            <w:b/>
                            <w:sz w:val="18"/>
                          </w:rPr>
                        </w:pPr>
                        <w:r>
                          <w:rPr>
                            <w:b/>
                            <w:sz w:val="18"/>
                          </w:rPr>
                          <w:t>7、 战争、军事冲突、暴乱或武装叛乱；</w:t>
                        </w:r>
                      </w:p>
                      <w:p>
                        <w:pPr>
                          <w:pStyle w:val="TableParagraph"/>
                          <w:spacing w:before="76"/>
                          <w:ind w:left="116"/>
                          <w:rPr>
                            <w:b/>
                            <w:sz w:val="18"/>
                          </w:rPr>
                        </w:pPr>
                        <w:r>
                          <w:rPr>
                            <w:b/>
                            <w:sz w:val="18"/>
                          </w:rPr>
                          <w:t>8、 核爆炸、核辐射或核污染；</w:t>
                        </w:r>
                      </w:p>
                    </w:tc>
                  </w:tr>
                  <w:tr>
                    <w:trPr>
                      <w:trHeight w:val="1091"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line="310" w:lineRule="atLeast" w:before="92"/>
                          <w:ind w:left="116" w:right="99"/>
                          <w:jc w:val="both"/>
                          <w:rPr>
                            <w:sz w:val="18"/>
                          </w:rPr>
                        </w:pPr>
                        <w:r>
                          <w:rPr>
                            <w:spacing w:val="-7"/>
                            <w:sz w:val="18"/>
                          </w:rPr>
                          <w:t>发生上述第 </w:t>
                        </w:r>
                        <w:r>
                          <w:rPr>
                            <w:sz w:val="18"/>
                          </w:rPr>
                          <w:t>1</w:t>
                        </w:r>
                        <w:r>
                          <w:rPr>
                            <w:spacing w:val="-7"/>
                            <w:sz w:val="18"/>
                          </w:rPr>
                          <w:t> 项情形导致被保险人患本附加合同附表一中约定的重大疾病</w:t>
                        </w:r>
                        <w:r>
                          <w:rPr>
                            <w:sz w:val="18"/>
                          </w:rPr>
                          <w:t>（无论一种或多种）的，本公司对该被保险人的保险责任终止，本公司向其他权利人退还该被保险人的</w:t>
                        </w:r>
                        <w:r>
                          <w:rPr>
                            <w:b/>
                            <w:sz w:val="18"/>
                          </w:rPr>
                          <w:t>未</w:t>
                        </w:r>
                        <w:r>
                          <w:rPr>
                            <w:b/>
                            <w:spacing w:val="-1"/>
                            <w:w w:val="99"/>
                            <w:sz w:val="18"/>
                          </w:rPr>
                          <w:t>满期净保险费</w:t>
                        </w:r>
                        <w:r>
                          <w:rPr>
                            <w:sz w:val="18"/>
                          </w:rPr>
                          <w:t>（</w:t>
                        </w:r>
                        <w:r>
                          <w:rPr>
                            <w:spacing w:val="-23"/>
                            <w:sz w:val="18"/>
                          </w:rPr>
                          <w:t>见 </w:t>
                        </w:r>
                        <w:r>
                          <w:rPr>
                            <w:sz w:val="18"/>
                          </w:rPr>
                          <w:t>7.9</w:t>
                        </w:r>
                        <w:r>
                          <w:rPr>
                            <w:spacing w:val="-90"/>
                            <w:sz w:val="18"/>
                          </w:rPr>
                          <w:t>）</w:t>
                        </w:r>
                        <w:r>
                          <w:rPr>
                            <w:sz w:val="18"/>
                          </w:rPr>
                          <w:t>。</w:t>
                        </w:r>
                      </w:p>
                    </w:tc>
                  </w:tr>
                  <w:tr>
                    <w:trPr>
                      <w:trHeight w:val="1041"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line="316" w:lineRule="auto" w:before="10"/>
                          <w:ind w:left="116" w:right="98"/>
                          <w:rPr>
                            <w:sz w:val="18"/>
                          </w:rPr>
                        </w:pPr>
                        <w:r>
                          <w:rPr>
                            <w:sz w:val="18"/>
                          </w:rPr>
                          <w:t>发生上述其它情形导致被保险人患本附加合同附表一中约定的重大疾病（无论一种或多 种</w:t>
                        </w:r>
                        <w:r>
                          <w:rPr>
                            <w:spacing w:val="-66"/>
                            <w:sz w:val="18"/>
                          </w:rPr>
                          <w:t>）</w:t>
                        </w:r>
                        <w:r>
                          <w:rPr>
                            <w:spacing w:val="-11"/>
                            <w:sz w:val="18"/>
                          </w:rPr>
                          <w:t>，本公司对该被保险人的保险责任终止，本公司向投保人或其他权利人退还该被保险人的未满期净保险费。</w:t>
                        </w:r>
                      </w:p>
                    </w:tc>
                  </w:tr>
                  <w:tr>
                    <w:trPr>
                      <w:trHeight w:val="1213" w:hRule="atLeast"/>
                    </w:trPr>
                    <w:tc>
                      <w:tcPr>
                        <w:tcW w:w="9625" w:type="dxa"/>
                        <w:gridSpan w:val="3"/>
                      </w:tcPr>
                      <w:p>
                        <w:pPr>
                          <w:pStyle w:val="TableParagraph"/>
                          <w:tabs>
                            <w:tab w:pos="789" w:val="left" w:leader="none"/>
                            <w:tab w:pos="2498" w:val="left" w:leader="none"/>
                          </w:tabs>
                          <w:spacing w:before="106"/>
                          <w:ind w:left="108"/>
                          <w:rPr>
                            <w:sz w:val="18"/>
                          </w:rPr>
                        </w:pPr>
                        <w:r>
                          <w:rPr>
                            <w:b/>
                            <w:sz w:val="21"/>
                          </w:rPr>
                          <w:t>2.4</w:t>
                          <w:tab/>
                          <w:t>责任终止</w:t>
                          <w:tab/>
                        </w:r>
                        <w:r>
                          <w:rPr>
                            <w:position w:val="1"/>
                            <w:sz w:val="18"/>
                          </w:rPr>
                          <w:t>以下任何一种情况发生时，本附加合同效力即行终止：</w:t>
                        </w:r>
                      </w:p>
                      <w:p>
                        <w:pPr>
                          <w:pStyle w:val="TableParagraph"/>
                          <w:spacing w:before="62"/>
                          <w:ind w:left="2498"/>
                          <w:rPr>
                            <w:sz w:val="18"/>
                          </w:rPr>
                        </w:pPr>
                        <w:r>
                          <w:rPr>
                            <w:sz w:val="18"/>
                          </w:rPr>
                          <w:t>1、 主合同终止；</w:t>
                        </w:r>
                      </w:p>
                      <w:p>
                        <w:pPr>
                          <w:pStyle w:val="TableParagraph"/>
                          <w:spacing w:before="76"/>
                          <w:ind w:left="2498"/>
                          <w:rPr>
                            <w:sz w:val="18"/>
                          </w:rPr>
                        </w:pPr>
                        <w:r>
                          <w:rPr>
                            <w:sz w:val="18"/>
                          </w:rPr>
                          <w:t>2、 投保人在本附加合同满期日或以前未申请续保的；</w:t>
                        </w:r>
                      </w:p>
                    </w:tc>
                  </w:tr>
                  <w:tr>
                    <w:trPr>
                      <w:trHeight w:val="467"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9"/>
                          <w:rPr>
                            <w:sz w:val="12"/>
                          </w:rPr>
                        </w:pPr>
                      </w:p>
                      <w:p>
                        <w:pPr>
                          <w:pStyle w:val="TableParagraph"/>
                          <w:ind w:left="116"/>
                          <w:rPr>
                            <w:sz w:val="18"/>
                          </w:rPr>
                        </w:pPr>
                        <w:r>
                          <w:rPr>
                            <w:sz w:val="18"/>
                          </w:rPr>
                          <w:t>4、 本附加合同的累计给付达到保险单上载明的保险金额时。</w:t>
                        </w:r>
                      </w:p>
                    </w:tc>
                  </w:tr>
                  <w:tr>
                    <w:trPr>
                      <w:trHeight w:val="754"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line="316" w:lineRule="auto" w:before="10"/>
                          <w:ind w:left="116" w:right="104"/>
                          <w:rPr>
                            <w:sz w:val="18"/>
                          </w:rPr>
                        </w:pPr>
                        <w:r>
                          <w:rPr>
                            <w:sz w:val="18"/>
                          </w:rPr>
                          <w:t>因主合同终止而导致本附加合同终止时，如本附加合同未发生保险金给付，本公司退还本附加合同的未满期净保险费。</w:t>
                        </w:r>
                      </w:p>
                    </w:tc>
                  </w:tr>
                  <w:tr>
                    <w:trPr>
                      <w:trHeight w:val="719" w:hRule="atLeast"/>
                    </w:trPr>
                    <w:tc>
                      <w:tcPr>
                        <w:tcW w:w="627" w:type="dxa"/>
                        <w:tcBorders>
                          <w:bottom w:val="single" w:sz="4" w:space="0" w:color="000000"/>
                        </w:tcBorders>
                      </w:tcPr>
                      <w:p>
                        <w:pPr>
                          <w:pStyle w:val="TableParagraph"/>
                          <w:spacing w:line="653" w:lineRule="exact"/>
                          <w:ind w:left="108"/>
                          <w:rPr>
                            <w:rFonts w:ascii="Yu Gothic"/>
                            <w:b/>
                            <w:sz w:val="40"/>
                          </w:rPr>
                        </w:pPr>
                        <w:r>
                          <w:rPr>
                            <w:rFonts w:ascii="Yu Gothic"/>
                            <w:b/>
                            <w:w w:val="116"/>
                            <w:sz w:val="40"/>
                          </w:rPr>
                          <w:t>O</w:t>
                        </w:r>
                      </w:p>
                    </w:tc>
                    <w:tc>
                      <w:tcPr>
                        <w:tcW w:w="8998" w:type="dxa"/>
                        <w:gridSpan w:val="2"/>
                        <w:tcBorders>
                          <w:bottom w:val="single" w:sz="4" w:space="0" w:color="000000"/>
                        </w:tcBorders>
                      </w:tcPr>
                      <w:p>
                        <w:pPr>
                          <w:pStyle w:val="TableParagraph"/>
                          <w:spacing w:before="212"/>
                          <w:ind w:left="162"/>
                          <w:rPr>
                            <w:b/>
                            <w:sz w:val="24"/>
                          </w:rPr>
                        </w:pPr>
                        <w:r>
                          <w:rPr>
                            <w:b/>
                            <w:w w:val="95"/>
                            <w:sz w:val="24"/>
                          </w:rPr>
                          <w:t>如何申请领取保险金</w:t>
                        </w:r>
                      </w:p>
                    </w:tc>
                  </w:tr>
                  <w:tr>
                    <w:trPr>
                      <w:trHeight w:val="953" w:hRule="atLeast"/>
                    </w:trPr>
                    <w:tc>
                      <w:tcPr>
                        <w:tcW w:w="627" w:type="dxa"/>
                        <w:tcBorders>
                          <w:top w:val="single" w:sz="4" w:space="0" w:color="000000"/>
                        </w:tcBorders>
                      </w:tcPr>
                      <w:p>
                        <w:pPr>
                          <w:pStyle w:val="TableParagraph"/>
                          <w:spacing w:before="5"/>
                          <w:rPr>
                            <w:sz w:val="15"/>
                          </w:rPr>
                        </w:pPr>
                      </w:p>
                      <w:p>
                        <w:pPr>
                          <w:pStyle w:val="TableParagraph"/>
                          <w:spacing w:before="1"/>
                          <w:ind w:left="108"/>
                          <w:rPr>
                            <w:b/>
                            <w:sz w:val="21"/>
                          </w:rPr>
                        </w:pPr>
                        <w:r>
                          <w:rPr>
                            <w:b/>
                            <w:sz w:val="21"/>
                          </w:rPr>
                          <w:t>3.1</w:t>
                        </w:r>
                      </w:p>
                    </w:tc>
                    <w:tc>
                      <w:tcPr>
                        <w:tcW w:w="1755" w:type="dxa"/>
                        <w:tcBorders>
                          <w:top w:val="single" w:sz="4" w:space="0" w:color="000000"/>
                        </w:tcBorders>
                      </w:tcPr>
                      <w:p>
                        <w:pPr>
                          <w:pStyle w:val="TableParagraph"/>
                          <w:spacing w:before="5"/>
                          <w:rPr>
                            <w:sz w:val="15"/>
                          </w:rPr>
                        </w:pPr>
                      </w:p>
                      <w:p>
                        <w:pPr>
                          <w:pStyle w:val="TableParagraph"/>
                          <w:spacing w:line="273" w:lineRule="auto" w:before="1"/>
                          <w:ind w:left="162" w:right="115" w:hanging="1"/>
                          <w:rPr>
                            <w:b/>
                            <w:sz w:val="21"/>
                          </w:rPr>
                        </w:pPr>
                        <w:r>
                          <w:rPr>
                            <w:b/>
                            <w:sz w:val="21"/>
                          </w:rPr>
                          <w:t>受益人的指定和变更</w:t>
                        </w:r>
                      </w:p>
                    </w:tc>
                    <w:tc>
                      <w:tcPr>
                        <w:tcW w:w="7243" w:type="dxa"/>
                        <w:tcBorders>
                          <w:top w:val="single" w:sz="4" w:space="0" w:color="000000"/>
                        </w:tcBorders>
                      </w:tcPr>
                      <w:p>
                        <w:pPr>
                          <w:pStyle w:val="TableParagraph"/>
                          <w:spacing w:before="5"/>
                          <w:rPr>
                            <w:sz w:val="17"/>
                          </w:rPr>
                        </w:pPr>
                      </w:p>
                      <w:p>
                        <w:pPr>
                          <w:pStyle w:val="TableParagraph"/>
                          <w:ind w:left="116"/>
                          <w:rPr>
                            <w:sz w:val="18"/>
                          </w:rPr>
                        </w:pPr>
                        <w:r>
                          <w:rPr>
                            <w:sz w:val="18"/>
                          </w:rPr>
                          <w:t>本附加合同受益人为被保险人本人。</w:t>
                        </w:r>
                      </w:p>
                    </w:tc>
                  </w:tr>
                  <w:tr>
                    <w:trPr>
                      <w:trHeight w:val="1779" w:hRule="atLeast"/>
                    </w:trPr>
                    <w:tc>
                      <w:tcPr>
                        <w:tcW w:w="627" w:type="dxa"/>
                      </w:tcPr>
                      <w:p>
                        <w:pPr>
                          <w:pStyle w:val="TableParagraph"/>
                          <w:spacing w:before="99"/>
                          <w:ind w:left="108"/>
                          <w:rPr>
                            <w:b/>
                            <w:sz w:val="21"/>
                          </w:rPr>
                        </w:pPr>
                        <w:r>
                          <w:rPr>
                            <w:b/>
                            <w:sz w:val="21"/>
                          </w:rPr>
                          <w:t>3.2</w:t>
                        </w:r>
                      </w:p>
                    </w:tc>
                    <w:tc>
                      <w:tcPr>
                        <w:tcW w:w="1755" w:type="dxa"/>
                      </w:tcPr>
                      <w:p>
                        <w:pPr>
                          <w:pStyle w:val="TableParagraph"/>
                          <w:spacing w:before="99"/>
                          <w:ind w:left="162"/>
                          <w:rPr>
                            <w:b/>
                            <w:sz w:val="21"/>
                          </w:rPr>
                        </w:pPr>
                        <w:r>
                          <w:rPr>
                            <w:b/>
                            <w:w w:val="95"/>
                            <w:sz w:val="21"/>
                          </w:rPr>
                          <w:t>保险事故通知</w:t>
                        </w:r>
                      </w:p>
                    </w:tc>
                    <w:tc>
                      <w:tcPr>
                        <w:tcW w:w="7243" w:type="dxa"/>
                      </w:tcPr>
                      <w:p>
                        <w:pPr>
                          <w:pStyle w:val="TableParagraph"/>
                          <w:spacing w:line="316" w:lineRule="auto" w:before="125"/>
                          <w:ind w:left="116" w:right="104"/>
                          <w:jc w:val="both"/>
                          <w:rPr>
                            <w:sz w:val="18"/>
                          </w:rPr>
                        </w:pPr>
                        <w:r>
                          <w:rPr>
                            <w:sz w:val="18"/>
                          </w:rPr>
                          <w:t>投保人或被保险人或受益人知道保险事故发生后应当在十日内通知本公司。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本公司确定保险事故的性质、原因、损失程度的除外。</w:t>
                        </w:r>
                      </w:p>
                    </w:tc>
                  </w:tr>
                  <w:tr>
                    <w:trPr>
                      <w:trHeight w:val="2461" w:hRule="atLeast"/>
                    </w:trPr>
                    <w:tc>
                      <w:tcPr>
                        <w:tcW w:w="9625" w:type="dxa"/>
                        <w:gridSpan w:val="3"/>
                      </w:tcPr>
                      <w:p>
                        <w:pPr>
                          <w:pStyle w:val="TableParagraph"/>
                          <w:tabs>
                            <w:tab w:pos="789" w:val="left" w:leader="none"/>
                            <w:tab w:pos="2498" w:val="left" w:leader="none"/>
                          </w:tabs>
                          <w:spacing w:before="106"/>
                          <w:ind w:left="108"/>
                          <w:rPr>
                            <w:sz w:val="18"/>
                          </w:rPr>
                        </w:pPr>
                        <w:r>
                          <w:rPr>
                            <w:b/>
                            <w:sz w:val="21"/>
                          </w:rPr>
                          <w:t>3.3</w:t>
                          <w:tab/>
                          <w:t>保险金的申请</w:t>
                          <w:tab/>
                        </w:r>
                        <w:r>
                          <w:rPr>
                            <w:position w:val="1"/>
                            <w:sz w:val="18"/>
                          </w:rPr>
                          <w:t>被保险人申请重大疾病保险金时，须填写保险金给付申请书并提交下列证明材料：</w:t>
                        </w:r>
                      </w:p>
                      <w:p>
                        <w:pPr>
                          <w:pStyle w:val="TableParagraph"/>
                          <w:spacing w:before="62"/>
                          <w:ind w:left="2498"/>
                          <w:rPr>
                            <w:sz w:val="18"/>
                          </w:rPr>
                        </w:pPr>
                        <w:r>
                          <w:rPr>
                            <w:sz w:val="18"/>
                          </w:rPr>
                          <w:t>1、 保险合同；</w:t>
                        </w:r>
                      </w:p>
                      <w:p>
                        <w:pPr>
                          <w:pStyle w:val="TableParagraph"/>
                          <w:spacing w:before="76"/>
                          <w:ind w:left="2498"/>
                          <w:rPr>
                            <w:sz w:val="18"/>
                          </w:rPr>
                        </w:pPr>
                        <w:r>
                          <w:rPr>
                            <w:sz w:val="18"/>
                          </w:rPr>
                          <w:t>2</w:t>
                        </w:r>
                        <w:r>
                          <w:rPr>
                            <w:spacing w:val="-6"/>
                            <w:sz w:val="18"/>
                          </w:rPr>
                          <w:t>、  被保险人的</w:t>
                        </w:r>
                        <w:r>
                          <w:rPr>
                            <w:b/>
                            <w:w w:val="99"/>
                            <w:sz w:val="18"/>
                          </w:rPr>
                          <w:t>有效身份证件</w:t>
                        </w:r>
                        <w:r>
                          <w:rPr>
                            <w:spacing w:val="-2"/>
                            <w:sz w:val="18"/>
                          </w:rPr>
                          <w:t>（</w:t>
                        </w:r>
                        <w:r>
                          <w:rPr>
                            <w:spacing w:val="-23"/>
                            <w:sz w:val="18"/>
                          </w:rPr>
                          <w:t>见 </w:t>
                        </w:r>
                        <w:r>
                          <w:rPr>
                            <w:sz w:val="18"/>
                          </w:rPr>
                          <w:t>7.10</w:t>
                        </w:r>
                        <w:r>
                          <w:rPr>
                            <w:spacing w:val="-90"/>
                            <w:sz w:val="18"/>
                          </w:rPr>
                          <w:t>）</w:t>
                        </w:r>
                        <w:r>
                          <w:rPr>
                            <w:sz w:val="18"/>
                          </w:rPr>
                          <w:t>；</w:t>
                        </w:r>
                      </w:p>
                      <w:p>
                        <w:pPr>
                          <w:pStyle w:val="TableParagraph"/>
                          <w:spacing w:line="316" w:lineRule="auto" w:before="76"/>
                          <w:ind w:left="2498" w:right="99"/>
                          <w:rPr>
                            <w:sz w:val="18"/>
                          </w:rPr>
                        </w:pPr>
                        <w:r>
                          <w:rPr>
                            <w:sz w:val="18"/>
                          </w:rPr>
                          <w:t>3、 本公司指定或认可的医疗机构出具的附有病理检验、血液检验及其它与确诊疾病必须的科学方法检验报告的疾病诊断证明书；</w:t>
                        </w:r>
                      </w:p>
                      <w:p>
                        <w:pPr>
                          <w:pStyle w:val="TableParagraph"/>
                          <w:spacing w:line="316" w:lineRule="auto" w:before="19"/>
                          <w:ind w:left="2498" w:right="99"/>
                          <w:rPr>
                            <w:sz w:val="18"/>
                          </w:rPr>
                        </w:pPr>
                        <w:r>
                          <w:rPr>
                            <w:sz w:val="18"/>
                          </w:rPr>
                          <w:t>4、 投保人、被保险人或受益人所能提供的与确认保险事故的性质、原因等有关的其它证明文件和资料。</w:t>
                        </w:r>
                      </w:p>
                    </w:tc>
                  </w:tr>
                  <w:tr>
                    <w:trPr>
                      <w:trHeight w:val="468"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9"/>
                          <w:rPr>
                            <w:sz w:val="12"/>
                          </w:rPr>
                        </w:pPr>
                      </w:p>
                      <w:p>
                        <w:pPr>
                          <w:pStyle w:val="TableParagraph"/>
                          <w:ind w:left="116"/>
                          <w:rPr>
                            <w:sz w:val="18"/>
                          </w:rPr>
                        </w:pPr>
                        <w:r>
                          <w:rPr>
                            <w:sz w:val="18"/>
                          </w:rPr>
                          <w:t>如委托他人代为申领，还应提供授权委托书及受托人的有效身份证件。</w:t>
                        </w:r>
                      </w:p>
                    </w:tc>
                  </w:tr>
                  <w:tr>
                    <w:trPr>
                      <w:trHeight w:val="417" w:hRule="atLeast"/>
                    </w:trPr>
                    <w:tc>
                      <w:tcPr>
                        <w:tcW w:w="627" w:type="dxa"/>
                      </w:tcPr>
                      <w:p>
                        <w:pPr>
                          <w:pStyle w:val="TableParagraph"/>
                          <w:rPr>
                            <w:rFonts w:ascii="Times New Roman"/>
                            <w:sz w:val="18"/>
                          </w:rPr>
                        </w:pPr>
                      </w:p>
                    </w:tc>
                    <w:tc>
                      <w:tcPr>
                        <w:tcW w:w="1755" w:type="dxa"/>
                      </w:tcPr>
                      <w:p>
                        <w:pPr>
                          <w:pStyle w:val="TableParagraph"/>
                          <w:rPr>
                            <w:rFonts w:ascii="Times New Roman"/>
                            <w:sz w:val="18"/>
                          </w:rPr>
                        </w:pPr>
                      </w:p>
                    </w:tc>
                    <w:tc>
                      <w:tcPr>
                        <w:tcW w:w="7243" w:type="dxa"/>
                      </w:tcPr>
                      <w:p>
                        <w:pPr>
                          <w:pStyle w:val="TableParagraph"/>
                          <w:spacing w:before="10"/>
                          <w:ind w:left="116"/>
                          <w:rPr>
                            <w:sz w:val="18"/>
                          </w:rPr>
                        </w:pPr>
                        <w:r>
                          <w:rPr>
                            <w:sz w:val="18"/>
                          </w:rPr>
                          <w:t>以上证明和资料不完整的，本公司将及时一次性通知申请人补充提供有关证明和资料。</w:t>
                        </w:r>
                      </w:p>
                    </w:tc>
                  </w:tr>
                  <w:tr>
                    <w:trPr>
                      <w:trHeight w:val="1304" w:hRule="atLeast"/>
                    </w:trPr>
                    <w:tc>
                      <w:tcPr>
                        <w:tcW w:w="9625" w:type="dxa"/>
                        <w:gridSpan w:val="3"/>
                      </w:tcPr>
                      <w:p>
                        <w:pPr>
                          <w:pStyle w:val="TableParagraph"/>
                          <w:tabs>
                            <w:tab w:pos="789" w:val="left" w:leader="none"/>
                            <w:tab w:pos="2498" w:val="left" w:leader="none"/>
                          </w:tabs>
                          <w:spacing w:line="295" w:lineRule="auto" w:before="107"/>
                          <w:ind w:left="2498" w:right="98" w:hanging="2391"/>
                          <w:rPr>
                            <w:sz w:val="18"/>
                          </w:rPr>
                        </w:pPr>
                        <w:r>
                          <w:rPr>
                            <w:b/>
                            <w:sz w:val="21"/>
                          </w:rPr>
                          <w:t>3.4</w:t>
                          <w:tab/>
                          <w:t>保险金的给付</w:t>
                          <w:tab/>
                        </w:r>
                        <w:r>
                          <w:rPr>
                            <w:position w:val="1"/>
                            <w:sz w:val="18"/>
                          </w:rPr>
                          <w:t>本公司在收到保险金给付申请书及合同约定的证明和资料后，将在五日内作出核定；情形 </w:t>
                        </w:r>
                        <w:r>
                          <w:rPr>
                            <w:sz w:val="18"/>
                          </w:rPr>
                          <w:t>复杂的，在三十日内作出核定。</w:t>
                        </w:r>
                      </w:p>
                      <w:p>
                        <w:pPr>
                          <w:pStyle w:val="TableParagraph"/>
                          <w:spacing w:before="35"/>
                          <w:ind w:left="2498"/>
                          <w:rPr>
                            <w:sz w:val="18"/>
                          </w:rPr>
                        </w:pPr>
                        <w:r>
                          <w:rPr>
                            <w:sz w:val="18"/>
                          </w:rPr>
                          <w:t>对属于保险责任的，本公司在与受益人达成给付保险金的协议后十日内，履行给付保险金</w:t>
                        </w:r>
                      </w:p>
                      <w:p>
                        <w:pPr>
                          <w:pStyle w:val="TableParagraph"/>
                          <w:spacing w:line="216" w:lineRule="exact" w:before="76"/>
                          <w:ind w:left="2498"/>
                          <w:rPr>
                            <w:sz w:val="18"/>
                          </w:rPr>
                        </w:pPr>
                        <w:r>
                          <w:rPr>
                            <w:sz w:val="18"/>
                          </w:rPr>
                          <w:t>义务。</w:t>
                        </w:r>
                      </w:p>
                    </w:tc>
                  </w:tr>
                </w:tbl>
                <w:p>
                  <w:pPr>
                    <w:pStyle w:val="BodyText"/>
                  </w:pPr>
                </w:p>
              </w:txbxContent>
            </v:textbox>
            <w10:wrap type="none"/>
          </v:shape>
        </w:pict>
      </w:r>
    </w:p>
    <w:p>
      <w:pPr>
        <w:spacing w:before="45"/>
        <w:ind w:left="2610" w:right="0" w:firstLine="0"/>
        <w:jc w:val="left"/>
        <w:rPr>
          <w:b/>
          <w:sz w:val="18"/>
        </w:rPr>
      </w:pPr>
      <w:r>
        <w:rPr>
          <w:sz w:val="18"/>
        </w:rPr>
        <w:t>（见 7.6）</w:t>
      </w:r>
      <w:r>
        <w:rPr>
          <w:b/>
          <w:sz w:val="18"/>
        </w:rPr>
        <w:t>的机动车；</w:t>
      </w:r>
    </w:p>
    <w:p>
      <w:pPr>
        <w:pStyle w:val="BodyText"/>
        <w:rPr>
          <w:b/>
        </w:rPr>
      </w:pPr>
    </w:p>
    <w:p>
      <w:pPr>
        <w:pStyle w:val="BodyText"/>
        <w:rPr>
          <w:b/>
        </w:rPr>
      </w:pPr>
    </w:p>
    <w:p>
      <w:pPr>
        <w:pStyle w:val="BodyText"/>
        <w:rPr>
          <w:b/>
        </w:rPr>
      </w:pPr>
    </w:p>
    <w:p>
      <w:pPr>
        <w:pStyle w:val="BodyText"/>
        <w:spacing w:before="4"/>
        <w:rPr>
          <w:b/>
          <w:sz w:val="23"/>
        </w:rPr>
      </w:pPr>
    </w:p>
    <w:p>
      <w:pPr>
        <w:pStyle w:val="Heading2"/>
        <w:spacing w:before="1"/>
        <w:ind w:left="2610"/>
      </w:pPr>
      <w:r>
        <w:rPr>
          <w:rFonts w:ascii="Times New Roman" w:eastAsia="Times New Roman"/>
        </w:rPr>
        <w:t>9</w:t>
      </w:r>
      <w:r>
        <w:rPr/>
        <w:t>、 投保前确诊已患本附加合同约定的各项重大疾病之一。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6"/>
        </w:rPr>
      </w:pPr>
    </w:p>
    <w:p>
      <w:pPr>
        <w:pStyle w:val="BodyText"/>
        <w:ind w:left="2610"/>
      </w:pPr>
      <w:r>
        <w:rPr/>
        <w:t>3、 本公司不同意投保人续保本附加合同的；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p>
    <w:p>
      <w:pPr>
        <w:pStyle w:val="BodyText"/>
        <w:spacing w:before="1"/>
        <w:ind w:left="2609"/>
      </w:pPr>
      <w:r>
        <w:rPr/>
        <w:t>本公司如认为必要，可以对被保险人进行检查或鉴定。</w:t>
      </w:r>
    </w:p>
    <w:p>
      <w:pPr>
        <w:spacing w:after="0"/>
        <w:sectPr>
          <w:pgSz w:w="11910" w:h="16840"/>
          <w:pgMar w:header="877" w:footer="981" w:top="1100" w:bottom="1180" w:left="1140" w:right="920"/>
        </w:sectPr>
      </w:pPr>
    </w:p>
    <w:p>
      <w:pPr>
        <w:pStyle w:val="BodyText"/>
        <w:spacing w:before="3"/>
        <w:rPr>
          <w:sz w:val="20"/>
        </w:rPr>
      </w:pPr>
      <w:r>
        <w:rPr/>
        <w:pict>
          <v:shape style="position:absolute;margin-left:62.580002pt;margin-top:89.824623pt;width:481.2pt;height:688.35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649"/>
                    <w:gridCol w:w="7348"/>
                  </w:tblGrid>
                  <w:tr>
                    <w:trPr>
                      <w:trHeight w:val="557" w:hRule="atLeast"/>
                    </w:trPr>
                    <w:tc>
                      <w:tcPr>
                        <w:tcW w:w="627" w:type="dxa"/>
                      </w:tcPr>
                      <w:p>
                        <w:pPr>
                          <w:pStyle w:val="TableParagraph"/>
                          <w:rPr>
                            <w:rFonts w:ascii="Times New Roman"/>
                            <w:sz w:val="18"/>
                          </w:rPr>
                        </w:pPr>
                      </w:p>
                    </w:tc>
                    <w:tc>
                      <w:tcPr>
                        <w:tcW w:w="1649" w:type="dxa"/>
                      </w:tcPr>
                      <w:p>
                        <w:pPr>
                          <w:pStyle w:val="TableParagraph"/>
                          <w:rPr>
                            <w:rFonts w:ascii="Times New Roman"/>
                            <w:sz w:val="18"/>
                          </w:rPr>
                        </w:pPr>
                      </w:p>
                    </w:tc>
                    <w:tc>
                      <w:tcPr>
                        <w:tcW w:w="7348" w:type="dxa"/>
                      </w:tcPr>
                      <w:p>
                        <w:pPr>
                          <w:pStyle w:val="TableParagraph"/>
                          <w:spacing w:line="180" w:lineRule="exact"/>
                          <w:ind w:left="222"/>
                          <w:rPr>
                            <w:sz w:val="18"/>
                          </w:rPr>
                        </w:pPr>
                        <w:r>
                          <w:rPr>
                            <w:sz w:val="18"/>
                          </w:rPr>
                          <w:t>对不属于保险责任的，本公司自作出核定之日起三日内向受益人发出拒绝给付保险金通知</w:t>
                        </w:r>
                      </w:p>
                      <w:p>
                        <w:pPr>
                          <w:pStyle w:val="TableParagraph"/>
                          <w:spacing w:before="76"/>
                          <w:ind w:left="222"/>
                          <w:rPr>
                            <w:sz w:val="18"/>
                          </w:rPr>
                        </w:pPr>
                        <w:r>
                          <w:rPr>
                            <w:sz w:val="18"/>
                          </w:rPr>
                          <w:t>书并说明理由。</w:t>
                        </w:r>
                      </w:p>
                    </w:tc>
                  </w:tr>
                  <w:tr>
                    <w:trPr>
                      <w:trHeight w:val="1041" w:hRule="atLeast"/>
                    </w:trPr>
                    <w:tc>
                      <w:tcPr>
                        <w:tcW w:w="627" w:type="dxa"/>
                      </w:tcPr>
                      <w:p>
                        <w:pPr>
                          <w:pStyle w:val="TableParagraph"/>
                          <w:rPr>
                            <w:rFonts w:ascii="Times New Roman"/>
                            <w:sz w:val="18"/>
                          </w:rPr>
                        </w:pPr>
                      </w:p>
                    </w:tc>
                    <w:tc>
                      <w:tcPr>
                        <w:tcW w:w="1649" w:type="dxa"/>
                      </w:tcPr>
                      <w:p>
                        <w:pPr>
                          <w:pStyle w:val="TableParagraph"/>
                          <w:rPr>
                            <w:rFonts w:ascii="Times New Roman"/>
                            <w:sz w:val="18"/>
                          </w:rPr>
                        </w:pPr>
                      </w:p>
                    </w:tc>
                    <w:tc>
                      <w:tcPr>
                        <w:tcW w:w="7348" w:type="dxa"/>
                      </w:tcPr>
                      <w:p>
                        <w:pPr>
                          <w:pStyle w:val="TableParagraph"/>
                          <w:spacing w:line="316" w:lineRule="auto" w:before="10"/>
                          <w:ind w:left="222" w:right="103"/>
                          <w:jc w:val="both"/>
                          <w:rPr>
                            <w:sz w:val="18"/>
                          </w:rPr>
                        </w:pPr>
                        <w:r>
                          <w:rPr>
                            <w:sz w:val="18"/>
                          </w:rPr>
                          <w:t>本公司在收到保险金给付申请书及有关证明和资料之日起六十日内，对给付保险金的数额不能确定的，根据已有证明和资料可以确定的数额先予支付；本公司最终确定给付保险金的数额后，将支付相应的差额。</w:t>
                        </w:r>
                      </w:p>
                    </w:tc>
                  </w:tr>
                  <w:tr>
                    <w:trPr>
                      <w:trHeight w:val="876" w:hRule="atLeast"/>
                    </w:trPr>
                    <w:tc>
                      <w:tcPr>
                        <w:tcW w:w="627" w:type="dxa"/>
                      </w:tcPr>
                      <w:p>
                        <w:pPr>
                          <w:pStyle w:val="TableParagraph"/>
                          <w:spacing w:before="106"/>
                          <w:ind w:left="108"/>
                          <w:rPr>
                            <w:b/>
                            <w:sz w:val="21"/>
                          </w:rPr>
                        </w:pPr>
                        <w:r>
                          <w:rPr>
                            <w:b/>
                            <w:sz w:val="21"/>
                          </w:rPr>
                          <w:t>3.5</w:t>
                        </w:r>
                      </w:p>
                    </w:tc>
                    <w:tc>
                      <w:tcPr>
                        <w:tcW w:w="1649" w:type="dxa"/>
                      </w:tcPr>
                      <w:p>
                        <w:pPr>
                          <w:pStyle w:val="TableParagraph"/>
                          <w:spacing w:before="106"/>
                          <w:ind w:left="162"/>
                          <w:rPr>
                            <w:b/>
                            <w:sz w:val="21"/>
                          </w:rPr>
                        </w:pPr>
                        <w:r>
                          <w:rPr>
                            <w:b/>
                            <w:sz w:val="21"/>
                          </w:rPr>
                          <w:t>诉讼时效</w:t>
                        </w:r>
                      </w:p>
                    </w:tc>
                    <w:tc>
                      <w:tcPr>
                        <w:tcW w:w="7348" w:type="dxa"/>
                      </w:tcPr>
                      <w:p>
                        <w:pPr>
                          <w:pStyle w:val="TableParagraph"/>
                          <w:spacing w:line="316" w:lineRule="auto" w:before="132"/>
                          <w:ind w:left="222" w:right="103"/>
                          <w:rPr>
                            <w:sz w:val="18"/>
                          </w:rPr>
                        </w:pPr>
                        <w:r>
                          <w:rPr>
                            <w:sz w:val="18"/>
                          </w:rPr>
                          <w:t>本合同的被保险人或受益人向本公司请求给付保险金的诉讼时效期间为两年，自其知道或者应当知道保险事故发生之日起计算。</w:t>
                        </w:r>
                      </w:p>
                    </w:tc>
                  </w:tr>
                  <w:tr>
                    <w:trPr>
                      <w:trHeight w:val="719" w:hRule="atLeast"/>
                    </w:trPr>
                    <w:tc>
                      <w:tcPr>
                        <w:tcW w:w="627" w:type="dxa"/>
                        <w:tcBorders>
                          <w:bottom w:val="single" w:sz="4" w:space="0" w:color="000000"/>
                        </w:tcBorders>
                      </w:tcPr>
                      <w:p>
                        <w:pPr>
                          <w:pStyle w:val="TableParagraph"/>
                          <w:spacing w:line="653" w:lineRule="exact"/>
                          <w:ind w:left="108"/>
                          <w:rPr>
                            <w:rFonts w:ascii="Yu Gothic" w:hAnsi="Yu Gothic"/>
                            <w:b/>
                            <w:sz w:val="40"/>
                          </w:rPr>
                        </w:pPr>
                        <w:r>
                          <w:rPr>
                            <w:rFonts w:ascii="Yu Gothic" w:hAnsi="Yu Gothic"/>
                            <w:b/>
                            <w:w w:val="214"/>
                            <w:sz w:val="40"/>
                          </w:rPr>
                          <w:t>º</w:t>
                        </w:r>
                      </w:p>
                    </w:tc>
                    <w:tc>
                      <w:tcPr>
                        <w:tcW w:w="8997" w:type="dxa"/>
                        <w:gridSpan w:val="2"/>
                        <w:tcBorders>
                          <w:bottom w:val="single" w:sz="4" w:space="0" w:color="000000"/>
                        </w:tcBorders>
                      </w:tcPr>
                      <w:p>
                        <w:pPr>
                          <w:pStyle w:val="TableParagraph"/>
                          <w:spacing w:before="212"/>
                          <w:ind w:left="162"/>
                          <w:rPr>
                            <w:b/>
                            <w:sz w:val="24"/>
                          </w:rPr>
                        </w:pPr>
                        <w:r>
                          <w:rPr>
                            <w:b/>
                            <w:sz w:val="24"/>
                          </w:rPr>
                          <w:t>如何交付保险费</w:t>
                        </w:r>
                      </w:p>
                    </w:tc>
                  </w:tr>
                  <w:tr>
                    <w:trPr>
                      <w:trHeight w:val="971" w:hRule="atLeast"/>
                    </w:trPr>
                    <w:tc>
                      <w:tcPr>
                        <w:tcW w:w="627" w:type="dxa"/>
                        <w:tcBorders>
                          <w:top w:val="single" w:sz="4" w:space="0" w:color="000000"/>
                        </w:tcBorders>
                      </w:tcPr>
                      <w:p>
                        <w:pPr>
                          <w:pStyle w:val="TableParagraph"/>
                          <w:spacing w:before="5"/>
                          <w:rPr>
                            <w:sz w:val="15"/>
                          </w:rPr>
                        </w:pPr>
                      </w:p>
                      <w:p>
                        <w:pPr>
                          <w:pStyle w:val="TableParagraph"/>
                          <w:spacing w:before="1"/>
                          <w:ind w:left="108"/>
                          <w:rPr>
                            <w:b/>
                            <w:sz w:val="21"/>
                          </w:rPr>
                        </w:pPr>
                        <w:r>
                          <w:rPr>
                            <w:b/>
                            <w:sz w:val="21"/>
                          </w:rPr>
                          <w:t>4.1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保险费的交付</w:t>
                        </w:r>
                      </w:p>
                    </w:tc>
                    <w:tc>
                      <w:tcPr>
                        <w:tcW w:w="7348" w:type="dxa"/>
                        <w:tcBorders>
                          <w:top w:val="single" w:sz="4" w:space="0" w:color="000000"/>
                        </w:tcBorders>
                      </w:tcPr>
                      <w:p>
                        <w:pPr>
                          <w:pStyle w:val="TableParagraph"/>
                          <w:spacing w:before="5"/>
                          <w:rPr>
                            <w:sz w:val="17"/>
                          </w:rPr>
                        </w:pPr>
                      </w:p>
                      <w:p>
                        <w:pPr>
                          <w:pStyle w:val="TableParagraph"/>
                          <w:spacing w:line="316" w:lineRule="auto"/>
                          <w:ind w:left="222" w:right="103"/>
                          <w:rPr>
                            <w:sz w:val="18"/>
                          </w:rPr>
                        </w:pPr>
                        <w:r>
                          <w:rPr>
                            <w:sz w:val="18"/>
                          </w:rPr>
                          <w:t>保险费详见费率表，本附加合同保险费为一次交清。保险期间不满一年的，根据本合同所</w:t>
                        </w:r>
                        <w:r>
                          <w:rPr>
                            <w:w w:val="95"/>
                            <w:sz w:val="18"/>
                          </w:rPr>
                          <w:t>附</w:t>
                        </w:r>
                        <w:r>
                          <w:rPr>
                            <w:b/>
                            <w:w w:val="95"/>
                            <w:sz w:val="18"/>
                          </w:rPr>
                          <w:t>短期保险费费率比例表</w:t>
                        </w:r>
                        <w:r>
                          <w:rPr>
                            <w:w w:val="95"/>
                            <w:sz w:val="18"/>
                          </w:rPr>
                          <w:t>（见附表二）交付保险费。</w:t>
                        </w:r>
                      </w:p>
                    </w:tc>
                  </w:tr>
                  <w:tr>
                    <w:trPr>
                      <w:trHeight w:val="719" w:hRule="atLeast"/>
                    </w:trPr>
                    <w:tc>
                      <w:tcPr>
                        <w:tcW w:w="627" w:type="dxa"/>
                        <w:tcBorders>
                          <w:bottom w:val="single" w:sz="4" w:space="0" w:color="000000"/>
                        </w:tcBorders>
                      </w:tcPr>
                      <w:p>
                        <w:pPr>
                          <w:pStyle w:val="TableParagraph"/>
                          <w:spacing w:line="653" w:lineRule="exact"/>
                          <w:ind w:left="108"/>
                          <w:rPr>
                            <w:rFonts w:ascii="Yu Gothic"/>
                            <w:b/>
                            <w:sz w:val="40"/>
                          </w:rPr>
                        </w:pPr>
                        <w:r>
                          <w:rPr>
                            <w:rFonts w:ascii="Yu Gothic"/>
                            <w:b/>
                            <w:w w:val="155"/>
                            <w:sz w:val="40"/>
                          </w:rPr>
                          <w:t>6</w:t>
                        </w:r>
                      </w:p>
                    </w:tc>
                    <w:tc>
                      <w:tcPr>
                        <w:tcW w:w="8997" w:type="dxa"/>
                        <w:gridSpan w:val="2"/>
                        <w:tcBorders>
                          <w:bottom w:val="single" w:sz="4" w:space="0" w:color="000000"/>
                        </w:tcBorders>
                      </w:tcPr>
                      <w:p>
                        <w:pPr>
                          <w:pStyle w:val="TableParagraph"/>
                          <w:spacing w:before="212"/>
                          <w:ind w:left="162"/>
                          <w:rPr>
                            <w:b/>
                            <w:sz w:val="24"/>
                          </w:rPr>
                        </w:pPr>
                        <w:r>
                          <w:rPr>
                            <w:b/>
                            <w:w w:val="95"/>
                            <w:sz w:val="24"/>
                          </w:rPr>
                          <w:t>如何解除保险合同</w:t>
                        </w:r>
                      </w:p>
                    </w:tc>
                  </w:tr>
                  <w:tr>
                    <w:trPr>
                      <w:trHeight w:val="1933" w:hRule="atLeast"/>
                    </w:trPr>
                    <w:tc>
                      <w:tcPr>
                        <w:tcW w:w="9624" w:type="dxa"/>
                        <w:gridSpan w:val="3"/>
                        <w:tcBorders>
                          <w:top w:val="single" w:sz="4" w:space="0" w:color="000000"/>
                        </w:tcBorders>
                      </w:tcPr>
                      <w:p>
                        <w:pPr>
                          <w:pStyle w:val="TableParagraph"/>
                          <w:spacing w:before="5"/>
                          <w:rPr>
                            <w:sz w:val="15"/>
                          </w:rPr>
                        </w:pPr>
                      </w:p>
                      <w:p>
                        <w:pPr>
                          <w:pStyle w:val="TableParagraph"/>
                          <w:tabs>
                            <w:tab w:pos="789" w:val="left" w:leader="none"/>
                            <w:tab w:pos="2498" w:val="left" w:leader="none"/>
                          </w:tabs>
                          <w:spacing w:before="1"/>
                          <w:ind w:left="108"/>
                          <w:rPr>
                            <w:sz w:val="18"/>
                          </w:rPr>
                        </w:pPr>
                        <w:r>
                          <w:rPr>
                            <w:b/>
                            <w:sz w:val="21"/>
                          </w:rPr>
                          <w:t>5.1</w:t>
                          <w:tab/>
                          <w:t>投保人解除合同</w:t>
                          <w:tab/>
                        </w:r>
                        <w:r>
                          <w:rPr>
                            <w:position w:val="1"/>
                            <w:sz w:val="18"/>
                          </w:rPr>
                          <w:t>在本附加合同有效期内，如未发生保险金给付，投保人可以书面通知我们要求解除本附加</w:t>
                        </w:r>
                      </w:p>
                      <w:p>
                        <w:pPr>
                          <w:pStyle w:val="TableParagraph"/>
                          <w:tabs>
                            <w:tab w:pos="2498" w:val="left" w:leader="none"/>
                          </w:tabs>
                          <w:spacing w:before="37"/>
                          <w:ind w:left="789"/>
                          <w:rPr>
                            <w:sz w:val="18"/>
                          </w:rPr>
                        </w:pPr>
                        <w:r>
                          <w:rPr>
                            <w:b/>
                            <w:sz w:val="21"/>
                          </w:rPr>
                          <w:t>的手续及风险</w:t>
                          <w:tab/>
                        </w:r>
                        <w:r>
                          <w:rPr>
                            <w:position w:val="1"/>
                            <w:sz w:val="18"/>
                          </w:rPr>
                          <w:t>合同，自本公司收到合同解除申请书之日起，本合同效力即行终止。</w:t>
                        </w:r>
                      </w:p>
                      <w:p>
                        <w:pPr>
                          <w:pStyle w:val="TableParagraph"/>
                          <w:spacing w:before="62"/>
                          <w:ind w:left="2498"/>
                          <w:rPr>
                            <w:sz w:val="18"/>
                          </w:rPr>
                        </w:pPr>
                        <w:r>
                          <w:rPr>
                            <w:sz w:val="18"/>
                          </w:rPr>
                          <w:t>投保人解除本附加合同时，应填写合同解除申请书，并提供下列证明和资料：</w:t>
                        </w:r>
                      </w:p>
                      <w:p>
                        <w:pPr>
                          <w:pStyle w:val="TableParagraph"/>
                          <w:spacing w:before="76"/>
                          <w:ind w:left="2498"/>
                          <w:rPr>
                            <w:sz w:val="18"/>
                          </w:rPr>
                        </w:pPr>
                        <w:r>
                          <w:rPr>
                            <w:sz w:val="18"/>
                          </w:rPr>
                          <w:t>1、 保险合同；</w:t>
                        </w:r>
                      </w:p>
                      <w:p>
                        <w:pPr>
                          <w:pStyle w:val="TableParagraph"/>
                          <w:spacing w:before="76"/>
                          <w:ind w:left="2498"/>
                          <w:rPr>
                            <w:sz w:val="18"/>
                          </w:rPr>
                        </w:pPr>
                        <w:r>
                          <w:rPr>
                            <w:sz w:val="18"/>
                          </w:rPr>
                          <w:t>2、 投保人证明。</w:t>
                        </w:r>
                      </w:p>
                    </w:tc>
                  </w:tr>
                  <w:tr>
                    <w:trPr>
                      <w:trHeight w:val="468" w:hRule="atLeast"/>
                    </w:trPr>
                    <w:tc>
                      <w:tcPr>
                        <w:tcW w:w="627" w:type="dxa"/>
                      </w:tcPr>
                      <w:p>
                        <w:pPr>
                          <w:pStyle w:val="TableParagraph"/>
                          <w:rPr>
                            <w:rFonts w:ascii="Times New Roman"/>
                            <w:sz w:val="18"/>
                          </w:rPr>
                        </w:pPr>
                      </w:p>
                    </w:tc>
                    <w:tc>
                      <w:tcPr>
                        <w:tcW w:w="1649" w:type="dxa"/>
                      </w:tcPr>
                      <w:p>
                        <w:pPr>
                          <w:pStyle w:val="TableParagraph"/>
                          <w:rPr>
                            <w:rFonts w:ascii="Times New Roman"/>
                            <w:sz w:val="18"/>
                          </w:rPr>
                        </w:pPr>
                      </w:p>
                    </w:tc>
                    <w:tc>
                      <w:tcPr>
                        <w:tcW w:w="7348" w:type="dxa"/>
                      </w:tcPr>
                      <w:p>
                        <w:pPr>
                          <w:pStyle w:val="TableParagraph"/>
                          <w:spacing w:before="9"/>
                          <w:rPr>
                            <w:sz w:val="12"/>
                          </w:rPr>
                        </w:pPr>
                      </w:p>
                      <w:p>
                        <w:pPr>
                          <w:pStyle w:val="TableParagraph"/>
                          <w:ind w:left="222"/>
                          <w:rPr>
                            <w:sz w:val="18"/>
                          </w:rPr>
                        </w:pPr>
                        <w:r>
                          <w:rPr>
                            <w:sz w:val="18"/>
                          </w:rPr>
                          <w:t>投保人解除合同会遭受一定损失。</w:t>
                        </w:r>
                      </w:p>
                    </w:tc>
                  </w:tr>
                  <w:tr>
                    <w:trPr>
                      <w:trHeight w:val="443" w:hRule="atLeast"/>
                    </w:trPr>
                    <w:tc>
                      <w:tcPr>
                        <w:tcW w:w="627" w:type="dxa"/>
                      </w:tcPr>
                      <w:p>
                        <w:pPr>
                          <w:pStyle w:val="TableParagraph"/>
                          <w:rPr>
                            <w:rFonts w:ascii="Times New Roman"/>
                            <w:sz w:val="18"/>
                          </w:rPr>
                        </w:pPr>
                      </w:p>
                    </w:tc>
                    <w:tc>
                      <w:tcPr>
                        <w:tcW w:w="1649" w:type="dxa"/>
                      </w:tcPr>
                      <w:p>
                        <w:pPr>
                          <w:pStyle w:val="TableParagraph"/>
                          <w:rPr>
                            <w:rFonts w:ascii="Times New Roman"/>
                            <w:sz w:val="18"/>
                          </w:rPr>
                        </w:pPr>
                      </w:p>
                    </w:tc>
                    <w:tc>
                      <w:tcPr>
                        <w:tcW w:w="7348" w:type="dxa"/>
                      </w:tcPr>
                      <w:p>
                        <w:pPr>
                          <w:pStyle w:val="TableParagraph"/>
                          <w:spacing w:before="10"/>
                          <w:ind w:left="222"/>
                          <w:rPr>
                            <w:sz w:val="18"/>
                          </w:rPr>
                        </w:pPr>
                        <w:r>
                          <w:rPr>
                            <w:sz w:val="18"/>
                          </w:rPr>
                          <w:t>解除合同后，受益人不能对合同解除前发生的保险事故申请给付保险金。</w:t>
                        </w:r>
                      </w:p>
                    </w:tc>
                  </w:tr>
                  <w:tr>
                    <w:trPr>
                      <w:trHeight w:val="720" w:hRule="atLeast"/>
                    </w:trPr>
                    <w:tc>
                      <w:tcPr>
                        <w:tcW w:w="627" w:type="dxa"/>
                        <w:tcBorders>
                          <w:bottom w:val="single" w:sz="4" w:space="0" w:color="000000"/>
                        </w:tcBorders>
                      </w:tcPr>
                      <w:p>
                        <w:pPr>
                          <w:pStyle w:val="TableParagraph"/>
                          <w:spacing w:line="654" w:lineRule="exact"/>
                          <w:ind w:left="108"/>
                          <w:rPr>
                            <w:rFonts w:ascii="Yu Gothic" w:hAnsi="Yu Gothic"/>
                            <w:b/>
                            <w:sz w:val="40"/>
                          </w:rPr>
                        </w:pPr>
                        <w:r>
                          <w:rPr>
                            <w:rFonts w:ascii="Yu Gothic" w:hAnsi="Yu Gothic"/>
                            <w:b/>
                            <w:w w:val="89"/>
                            <w:sz w:val="40"/>
                          </w:rPr>
                          <w:t>◉</w:t>
                        </w:r>
                      </w:p>
                    </w:tc>
                    <w:tc>
                      <w:tcPr>
                        <w:tcW w:w="8997" w:type="dxa"/>
                        <w:gridSpan w:val="2"/>
                        <w:tcBorders>
                          <w:bottom w:val="single" w:sz="4" w:space="0" w:color="000000"/>
                        </w:tcBorders>
                      </w:tcPr>
                      <w:p>
                        <w:pPr>
                          <w:pStyle w:val="TableParagraph"/>
                          <w:spacing w:before="213"/>
                          <w:ind w:left="162"/>
                          <w:rPr>
                            <w:b/>
                            <w:sz w:val="24"/>
                          </w:rPr>
                        </w:pPr>
                        <w:r>
                          <w:rPr>
                            <w:b/>
                            <w:sz w:val="24"/>
                          </w:rPr>
                          <w:t>其他需要关注的事项</w:t>
                        </w:r>
                      </w:p>
                    </w:tc>
                  </w:tr>
                  <w:tr>
                    <w:trPr>
                      <w:trHeight w:val="641" w:hRule="atLeast"/>
                    </w:trPr>
                    <w:tc>
                      <w:tcPr>
                        <w:tcW w:w="627" w:type="dxa"/>
                        <w:tcBorders>
                          <w:top w:val="single" w:sz="4" w:space="0" w:color="000000"/>
                        </w:tcBorders>
                      </w:tcPr>
                      <w:p>
                        <w:pPr>
                          <w:pStyle w:val="TableParagraph"/>
                          <w:spacing w:before="5"/>
                          <w:rPr>
                            <w:sz w:val="15"/>
                          </w:rPr>
                        </w:pPr>
                      </w:p>
                      <w:p>
                        <w:pPr>
                          <w:pStyle w:val="TableParagraph"/>
                          <w:spacing w:before="1"/>
                          <w:ind w:left="108"/>
                          <w:rPr>
                            <w:b/>
                            <w:sz w:val="21"/>
                          </w:rPr>
                        </w:pPr>
                        <w:r>
                          <w:rPr>
                            <w:b/>
                            <w:sz w:val="21"/>
                          </w:rPr>
                          <w:t>6.1</w:t>
                        </w:r>
                      </w:p>
                    </w:tc>
                    <w:tc>
                      <w:tcPr>
                        <w:tcW w:w="1649"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投保范围</w:t>
                        </w:r>
                      </w:p>
                    </w:tc>
                    <w:tc>
                      <w:tcPr>
                        <w:tcW w:w="7348" w:type="dxa"/>
                        <w:tcBorders>
                          <w:top w:val="single" w:sz="4" w:space="0" w:color="000000"/>
                        </w:tcBorders>
                      </w:tcPr>
                      <w:p>
                        <w:pPr>
                          <w:pStyle w:val="TableParagraph"/>
                          <w:spacing w:before="5"/>
                          <w:rPr>
                            <w:sz w:val="17"/>
                          </w:rPr>
                        </w:pPr>
                      </w:p>
                      <w:p>
                        <w:pPr>
                          <w:pStyle w:val="TableParagraph"/>
                          <w:ind w:left="222"/>
                          <w:rPr>
                            <w:sz w:val="18"/>
                          </w:rPr>
                        </w:pPr>
                        <w:r>
                          <w:rPr>
                            <w:sz w:val="18"/>
                          </w:rPr>
                          <w:t>本附加合同的投保人、被保险人和主保险合同相同。</w:t>
                        </w:r>
                      </w:p>
                    </w:tc>
                  </w:tr>
                  <w:tr>
                    <w:trPr>
                      <w:trHeight w:val="433" w:hRule="atLeast"/>
                    </w:trPr>
                    <w:tc>
                      <w:tcPr>
                        <w:tcW w:w="9624" w:type="dxa"/>
                        <w:gridSpan w:val="3"/>
                      </w:tcPr>
                      <w:p>
                        <w:pPr>
                          <w:pStyle w:val="TableParagraph"/>
                          <w:tabs>
                            <w:tab w:pos="789" w:val="left" w:leader="none"/>
                            <w:tab w:pos="2498" w:val="left" w:leader="none"/>
                          </w:tabs>
                          <w:spacing w:before="99"/>
                          <w:ind w:left="108"/>
                          <w:rPr>
                            <w:sz w:val="18"/>
                          </w:rPr>
                        </w:pPr>
                        <w:r>
                          <w:rPr>
                            <w:b/>
                            <w:sz w:val="21"/>
                          </w:rPr>
                          <w:t>6.2</w:t>
                          <w:tab/>
                          <w:t>被保险人变动</w:t>
                          <w:tab/>
                        </w:r>
                        <w:r>
                          <w:rPr>
                            <w:position w:val="1"/>
                            <w:sz w:val="18"/>
                          </w:rPr>
                          <w:t>投保人申请增加或减少被保险人的，应书面向本公司提出申请：</w:t>
                        </w:r>
                      </w:p>
                    </w:tc>
                  </w:tr>
                  <w:tr>
                    <w:trPr>
                      <w:trHeight w:val="617" w:hRule="atLeast"/>
                    </w:trPr>
                    <w:tc>
                      <w:tcPr>
                        <w:tcW w:w="627" w:type="dxa"/>
                      </w:tcPr>
                      <w:p>
                        <w:pPr>
                          <w:pStyle w:val="TableParagraph"/>
                          <w:rPr>
                            <w:rFonts w:ascii="Times New Roman"/>
                            <w:sz w:val="18"/>
                          </w:rPr>
                        </w:pPr>
                      </w:p>
                    </w:tc>
                    <w:tc>
                      <w:tcPr>
                        <w:tcW w:w="1649" w:type="dxa"/>
                      </w:tcPr>
                      <w:p>
                        <w:pPr>
                          <w:pStyle w:val="TableParagraph"/>
                          <w:rPr>
                            <w:rFonts w:ascii="Times New Roman"/>
                            <w:sz w:val="18"/>
                          </w:rPr>
                        </w:pPr>
                      </w:p>
                    </w:tc>
                    <w:tc>
                      <w:tcPr>
                        <w:tcW w:w="7348" w:type="dxa"/>
                      </w:tcPr>
                      <w:p>
                        <w:pPr>
                          <w:pStyle w:val="TableParagraph"/>
                          <w:spacing w:before="3"/>
                          <w:ind w:left="222"/>
                          <w:rPr>
                            <w:sz w:val="18"/>
                          </w:rPr>
                        </w:pPr>
                        <w:r>
                          <w:rPr>
                            <w:sz w:val="18"/>
                          </w:rPr>
                          <w:t>1、 投保人申请增加被保险人的，经本公司审核同意并收取</w:t>
                        </w:r>
                        <w:r>
                          <w:rPr>
                            <w:b/>
                            <w:sz w:val="18"/>
                          </w:rPr>
                          <w:t>未满期保险费</w:t>
                        </w:r>
                        <w:r>
                          <w:rPr>
                            <w:sz w:val="18"/>
                          </w:rPr>
                          <w:t>（见 7.11）后，</w:t>
                        </w:r>
                      </w:p>
                      <w:p>
                        <w:pPr>
                          <w:pStyle w:val="TableParagraph"/>
                          <w:spacing w:before="76"/>
                          <w:ind w:left="222"/>
                          <w:rPr>
                            <w:sz w:val="18"/>
                          </w:rPr>
                        </w:pPr>
                        <w:r>
                          <w:rPr>
                            <w:sz w:val="18"/>
                          </w:rPr>
                          <w:t>本公司在收取保险费的次日起开始对增加的被保险人承担保险责任。</w:t>
                        </w:r>
                      </w:p>
                    </w:tc>
                  </w:tr>
                  <w:tr>
                    <w:trPr>
                      <w:trHeight w:val="1041" w:hRule="atLeast"/>
                    </w:trPr>
                    <w:tc>
                      <w:tcPr>
                        <w:tcW w:w="627" w:type="dxa"/>
                      </w:tcPr>
                      <w:p>
                        <w:pPr>
                          <w:pStyle w:val="TableParagraph"/>
                          <w:rPr>
                            <w:rFonts w:ascii="Times New Roman"/>
                            <w:sz w:val="18"/>
                          </w:rPr>
                        </w:pPr>
                      </w:p>
                    </w:tc>
                    <w:tc>
                      <w:tcPr>
                        <w:tcW w:w="1649" w:type="dxa"/>
                      </w:tcPr>
                      <w:p>
                        <w:pPr>
                          <w:pStyle w:val="TableParagraph"/>
                          <w:rPr>
                            <w:rFonts w:ascii="Times New Roman"/>
                            <w:sz w:val="18"/>
                          </w:rPr>
                        </w:pPr>
                      </w:p>
                    </w:tc>
                    <w:tc>
                      <w:tcPr>
                        <w:tcW w:w="7348" w:type="dxa"/>
                      </w:tcPr>
                      <w:p>
                        <w:pPr>
                          <w:pStyle w:val="TableParagraph"/>
                          <w:spacing w:line="316" w:lineRule="auto" w:before="10"/>
                          <w:ind w:left="222" w:right="98"/>
                          <w:jc w:val="both"/>
                          <w:rPr>
                            <w:sz w:val="18"/>
                          </w:rPr>
                        </w:pPr>
                        <w:r>
                          <w:rPr>
                            <w:sz w:val="18"/>
                          </w:rPr>
                          <w:t>2、 投保人申请减少被保险人的，保险人对该被保险人所承担的保险责任自接到投保人申请之日起终止，本公司向投保人退还该被保险人的未满期净保险费。如该被保险人已发生保险金给付，本公司不退还保险费。</w:t>
                        </w:r>
                      </w:p>
                    </w:tc>
                  </w:tr>
                  <w:tr>
                    <w:trPr>
                      <w:trHeight w:val="1205" w:hRule="atLeast"/>
                    </w:trPr>
                    <w:tc>
                      <w:tcPr>
                        <w:tcW w:w="627" w:type="dxa"/>
                      </w:tcPr>
                      <w:p>
                        <w:pPr>
                          <w:pStyle w:val="TableParagraph"/>
                          <w:spacing w:before="106"/>
                          <w:ind w:left="108"/>
                          <w:rPr>
                            <w:b/>
                            <w:sz w:val="21"/>
                          </w:rPr>
                        </w:pPr>
                        <w:r>
                          <w:rPr>
                            <w:b/>
                            <w:sz w:val="21"/>
                          </w:rPr>
                          <w:t>6.3</w:t>
                        </w:r>
                      </w:p>
                    </w:tc>
                    <w:tc>
                      <w:tcPr>
                        <w:tcW w:w="1649" w:type="dxa"/>
                      </w:tcPr>
                      <w:p>
                        <w:pPr>
                          <w:pStyle w:val="TableParagraph"/>
                          <w:spacing w:before="106"/>
                          <w:ind w:left="162"/>
                          <w:rPr>
                            <w:b/>
                            <w:sz w:val="21"/>
                          </w:rPr>
                        </w:pPr>
                        <w:r>
                          <w:rPr>
                            <w:b/>
                            <w:w w:val="95"/>
                            <w:sz w:val="21"/>
                          </w:rPr>
                          <w:t>合同内容变更</w:t>
                        </w:r>
                      </w:p>
                    </w:tc>
                    <w:tc>
                      <w:tcPr>
                        <w:tcW w:w="7348" w:type="dxa"/>
                      </w:tcPr>
                      <w:p>
                        <w:pPr>
                          <w:pStyle w:val="TableParagraph"/>
                          <w:spacing w:line="316" w:lineRule="auto" w:before="132"/>
                          <w:ind w:left="222" w:right="103"/>
                          <w:jc w:val="both"/>
                          <w:rPr>
                            <w:sz w:val="18"/>
                          </w:rPr>
                        </w:pPr>
                        <w:r>
                          <w:rPr>
                            <w:sz w:val="18"/>
                          </w:rPr>
                          <w:t>在本合同有效期内，经投保人与本公司协商一致，可以变更本合同有关内容，变更本合同的，应当由我们在保险单或者其他保险凭证上批注或者附贴批单，或者由投保人和我们订立变更的书面协议。</w:t>
                        </w:r>
                      </w:p>
                    </w:tc>
                  </w:tr>
                  <w:tr>
                    <w:trPr>
                      <w:trHeight w:val="1346" w:hRule="atLeast"/>
                    </w:trPr>
                    <w:tc>
                      <w:tcPr>
                        <w:tcW w:w="9624" w:type="dxa"/>
                        <w:gridSpan w:val="3"/>
                      </w:tcPr>
                      <w:p>
                        <w:pPr>
                          <w:pStyle w:val="TableParagraph"/>
                          <w:tabs>
                            <w:tab w:pos="789" w:val="left" w:leader="none"/>
                            <w:tab w:pos="2498" w:val="left" w:leader="none"/>
                          </w:tabs>
                          <w:spacing w:before="149"/>
                          <w:ind w:left="108"/>
                          <w:rPr>
                            <w:sz w:val="18"/>
                          </w:rPr>
                        </w:pPr>
                        <w:r>
                          <w:rPr>
                            <w:b/>
                            <w:sz w:val="21"/>
                          </w:rPr>
                          <w:t>6.4</w:t>
                          <w:tab/>
                          <w:t>年龄计算与错误</w:t>
                          <w:tab/>
                        </w:r>
                        <w:r>
                          <w:rPr>
                            <w:position w:val="1"/>
                            <w:sz w:val="18"/>
                          </w:rPr>
                          <w:t>投保人在申请投保时，应将与有效身份证件相符的被保险人的出生日期在投保单上填明，</w:t>
                        </w:r>
                      </w:p>
                      <w:p>
                        <w:pPr>
                          <w:pStyle w:val="TableParagraph"/>
                          <w:tabs>
                            <w:tab w:pos="2498" w:val="left" w:leader="none"/>
                          </w:tabs>
                          <w:spacing w:before="37"/>
                          <w:ind w:left="789"/>
                          <w:rPr>
                            <w:sz w:val="18"/>
                          </w:rPr>
                        </w:pPr>
                        <w:r>
                          <w:rPr>
                            <w:b/>
                            <w:sz w:val="21"/>
                          </w:rPr>
                          <w:t>处理</w:t>
                          <w:tab/>
                        </w:r>
                        <w:r>
                          <w:rPr>
                            <w:position w:val="1"/>
                            <w:sz w:val="18"/>
                          </w:rPr>
                          <w:t>若发生错误按下列规定办理：</w:t>
                        </w:r>
                      </w:p>
                      <w:p>
                        <w:pPr>
                          <w:pStyle w:val="TableParagraph"/>
                          <w:spacing w:line="312" w:lineRule="exact" w:before="23"/>
                          <w:ind w:left="2498" w:right="97"/>
                          <w:rPr>
                            <w:sz w:val="18"/>
                          </w:rPr>
                        </w:pPr>
                        <w:r>
                          <w:rPr>
                            <w:sz w:val="18"/>
                          </w:rPr>
                          <w:t>1</w:t>
                        </w:r>
                        <w:r>
                          <w:rPr>
                            <w:spacing w:val="-9"/>
                            <w:sz w:val="18"/>
                          </w:rPr>
                          <w:t>、真实投保年龄不符合本合同约定的投保年龄范围的，在保险事故发生之前本公司有权终止本合同对该被保险人的保险责任，并向投保人返还该被保险人的未满期净保险费。</w:t>
                        </w:r>
                      </w:p>
                    </w:tc>
                  </w:tr>
                </w:tbl>
                <w:p>
                  <w:pPr>
                    <w:pStyle w:val="BodyText"/>
                  </w:pPr>
                </w:p>
              </w:txbxContent>
            </v:textbox>
            <w10:wrap type="none"/>
          </v:shape>
        </w:pict>
      </w:r>
    </w:p>
    <w:p>
      <w:pPr>
        <w:pStyle w:val="BodyText"/>
        <w:spacing w:before="44"/>
        <w:ind w:left="2610"/>
      </w:pPr>
      <w:r>
        <w:rPr/>
        <w:t>本公司未及时履行前款规定义务的，除支付保险金外，应当赔偿受益人因此受到的损失。</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p>
    <w:p>
      <w:pPr>
        <w:pStyle w:val="BodyText"/>
        <w:ind w:left="2610"/>
      </w:pPr>
      <w:r>
        <w:rPr/>
        <w:t>本公司自收到上述证明和材料之日起三十日内，返还本附加合同的未满期净保险费。</w:t>
      </w:r>
    </w:p>
    <w:p>
      <w:pPr>
        <w:spacing w:after="0"/>
        <w:sectPr>
          <w:pgSz w:w="11910" w:h="16840"/>
          <w:pgMar w:header="877" w:footer="981" w:top="1100" w:bottom="1180" w:left="1140" w:right="920"/>
        </w:sectPr>
      </w:pPr>
    </w:p>
    <w:p>
      <w:pPr>
        <w:pStyle w:val="BodyText"/>
        <w:spacing w:before="3"/>
        <w:rPr>
          <w:sz w:val="20"/>
        </w:rPr>
      </w:pPr>
    </w:p>
    <w:p>
      <w:pPr>
        <w:pStyle w:val="BodyText"/>
        <w:spacing w:line="316" w:lineRule="auto" w:before="44"/>
        <w:ind w:left="2610" w:right="206"/>
        <w:jc w:val="both"/>
      </w:pPr>
      <w:r>
        <w:rPr/>
        <w:t>前款规定的不承担保险责任的权利，自我们知道有免责事由之日起，超过三十日不行使而消灭。</w:t>
      </w:r>
    </w:p>
    <w:p>
      <w:pPr>
        <w:pStyle w:val="BodyText"/>
        <w:spacing w:line="316" w:lineRule="auto" w:before="18"/>
        <w:ind w:left="2610" w:right="206"/>
        <w:jc w:val="both"/>
      </w:pPr>
      <w:r>
        <w:rPr/>
        <w:t>2</w:t>
      </w:r>
      <w:r>
        <w:rPr>
          <w:spacing w:val="-9"/>
        </w:rPr>
        <w:t>、投保人申报的被保险人年龄不真实，致使投保人实交保险费少于应交保险费的，本公司有权审核更正并要求投保人补交保险费；若补交保险费前已发生保险事故，本公司按照实交保险费与应交保险费的比例给付保险金。</w:t>
      </w:r>
    </w:p>
    <w:p>
      <w:pPr>
        <w:pStyle w:val="BodyText"/>
        <w:spacing w:line="316" w:lineRule="auto" w:before="18"/>
        <w:ind w:left="2610" w:right="208"/>
        <w:jc w:val="both"/>
      </w:pPr>
      <w:r>
        <w:rPr/>
        <w:t>3</w:t>
      </w:r>
      <w:r>
        <w:rPr>
          <w:spacing w:val="-9"/>
        </w:rPr>
        <w:t>、投保人申报的被保险人年龄不真实，致使投保人实交保险费多于应交保险费的，本公司将多收的保险费无息返还投保人。</w:t>
      </w:r>
    </w:p>
    <w:p>
      <w:pPr>
        <w:pStyle w:val="BodyText"/>
        <w:spacing w:before="7"/>
        <w:rPr>
          <w:sz w:val="21"/>
        </w:rPr>
      </w:pPr>
    </w:p>
    <w:p>
      <w:pPr>
        <w:tabs>
          <w:tab w:pos="901" w:val="left" w:leader="none"/>
        </w:tabs>
        <w:spacing w:line="556" w:lineRule="exact" w:before="0"/>
        <w:ind w:left="219" w:right="0" w:firstLine="0"/>
        <w:jc w:val="left"/>
        <w:rPr>
          <w:b/>
          <w:sz w:val="24"/>
        </w:rPr>
      </w:pPr>
      <w:r>
        <w:rPr/>
        <w:pict>
          <v:group style="position:absolute;margin-left:62.580002pt;margin-top:31.175013pt;width:481.2pt;height:.5pt;mso-position-horizontal-relative:page;mso-position-vertical-relative:paragraph;z-index:1144;mso-wrap-distance-left:0;mso-wrap-distance-right:0" coordorigin="1252,624" coordsize="9624,10">
            <v:line style="position:absolute" from="1252,628" to="3644,628" stroked="true" strokeweight=".48pt" strokecolor="#000000">
              <v:stroke dashstyle="solid"/>
            </v:line>
            <v:line style="position:absolute" from="3644,628" to="10876,628" stroked="true" strokeweight=".48pt" strokecolor="#000000">
              <v:stroke dashstyle="solid"/>
            </v:line>
            <w10:wrap type="topAndBottom"/>
          </v:group>
        </w:pict>
      </w:r>
      <w:r>
        <w:rPr>
          <w:rFonts w:ascii="Yu Gothic" w:eastAsia="Yu Gothic" w:hint="eastAsia"/>
          <w:b/>
          <w:w w:val="135"/>
          <w:position w:val="-3"/>
          <w:sz w:val="40"/>
        </w:rPr>
        <w:t>0</w:t>
        <w:tab/>
      </w:r>
      <w:r>
        <w:rPr>
          <w:b/>
          <w:sz w:val="24"/>
        </w:rPr>
        <w:t>释义</w:t>
      </w:r>
    </w:p>
    <w:p>
      <w:pPr>
        <w:pStyle w:val="BodyText"/>
        <w:spacing w:before="7"/>
        <w:rPr>
          <w:b/>
          <w:sz w:val="10"/>
        </w:rPr>
      </w:pPr>
    </w:p>
    <w:p>
      <w:pPr>
        <w:pStyle w:val="ListParagraph"/>
        <w:numPr>
          <w:ilvl w:val="1"/>
          <w:numId w:val="7"/>
        </w:numPr>
        <w:tabs>
          <w:tab w:pos="900" w:val="left" w:leader="none"/>
          <w:tab w:pos="901" w:val="left" w:leader="none"/>
          <w:tab w:pos="2609" w:val="left" w:leader="none"/>
        </w:tabs>
        <w:spacing w:line="295" w:lineRule="auto" w:before="35" w:after="0"/>
        <w:ind w:left="2610" w:right="212" w:hanging="2391"/>
        <w:jc w:val="left"/>
        <w:rPr>
          <w:sz w:val="18"/>
        </w:rPr>
      </w:pPr>
      <w:r>
        <w:rPr>
          <w:b/>
          <w:sz w:val="21"/>
        </w:rPr>
        <w:t>发病</w:t>
        <w:tab/>
      </w:r>
      <w:r>
        <w:rPr>
          <w:position w:val="1"/>
          <w:sz w:val="18"/>
        </w:rPr>
        <w:t>指被保险人出现本附加合同附表一所约定的重大疾病的前兆或异常的身体状况，或已经出</w:t>
      </w:r>
      <w:r>
        <w:rPr>
          <w:sz w:val="18"/>
        </w:rPr>
        <w:t>现足以使一般人士引起注意并寻求诊断、治疗或护理的病症。</w:t>
      </w:r>
    </w:p>
    <w:p>
      <w:pPr>
        <w:pStyle w:val="BodyText"/>
        <w:spacing w:before="4"/>
        <w:rPr>
          <w:sz w:val="15"/>
        </w:rPr>
      </w:pPr>
    </w:p>
    <w:p>
      <w:pPr>
        <w:spacing w:after="0"/>
        <w:rPr>
          <w:sz w:val="15"/>
        </w:rPr>
        <w:sectPr>
          <w:pgSz w:w="11910" w:h="16840"/>
          <w:pgMar w:header="877" w:footer="981" w:top="1100" w:bottom="1180" w:left="1140" w:right="920"/>
        </w:sectPr>
      </w:pPr>
    </w:p>
    <w:p>
      <w:pPr>
        <w:pStyle w:val="Heading1"/>
        <w:numPr>
          <w:ilvl w:val="1"/>
          <w:numId w:val="7"/>
        </w:numPr>
        <w:tabs>
          <w:tab w:pos="900" w:val="left" w:leader="none"/>
          <w:tab w:pos="901" w:val="left" w:leader="none"/>
        </w:tabs>
        <w:spacing w:line="240" w:lineRule="auto" w:before="36" w:after="0"/>
        <w:ind w:left="900" w:right="0" w:hanging="681"/>
        <w:jc w:val="left"/>
      </w:pPr>
      <w:r>
        <w:rPr>
          <w:w w:val="95"/>
        </w:rPr>
        <w:t>指定或认可的</w:t>
      </w:r>
    </w:p>
    <w:p>
      <w:pPr>
        <w:spacing w:before="37"/>
        <w:ind w:left="901" w:right="0" w:firstLine="0"/>
        <w:jc w:val="left"/>
        <w:rPr>
          <w:b/>
          <w:sz w:val="21"/>
        </w:rPr>
      </w:pPr>
      <w:r>
        <w:rPr>
          <w:b/>
          <w:sz w:val="21"/>
        </w:rPr>
        <w:t>医疗机构</w:t>
      </w:r>
    </w:p>
    <w:p>
      <w:pPr>
        <w:pStyle w:val="BodyText"/>
        <w:spacing w:line="316" w:lineRule="auto" w:before="61"/>
        <w:ind w:left="219" w:right="212"/>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140" w:right="920"/>
          <w:cols w:num="2" w:equalWidth="0">
            <w:col w:w="2165" w:space="225"/>
            <w:col w:w="7460"/>
          </w:cols>
        </w:sectPr>
      </w:pPr>
    </w:p>
    <w:p>
      <w:pPr>
        <w:pStyle w:val="BodyText"/>
        <w:spacing w:before="1"/>
        <w:rPr>
          <w:sz w:val="14"/>
        </w:rPr>
      </w:pPr>
    </w:p>
    <w:p>
      <w:pPr>
        <w:pStyle w:val="ListParagraph"/>
        <w:numPr>
          <w:ilvl w:val="1"/>
          <w:numId w:val="7"/>
        </w:numPr>
        <w:tabs>
          <w:tab w:pos="901" w:val="left" w:leader="none"/>
          <w:tab w:pos="2609" w:val="left" w:leader="none"/>
        </w:tabs>
        <w:spacing w:line="304" w:lineRule="auto" w:before="35" w:after="0"/>
        <w:ind w:left="2610" w:right="208" w:hanging="2391"/>
        <w:jc w:val="both"/>
        <w:rPr>
          <w:sz w:val="18"/>
        </w:rPr>
      </w:pPr>
      <w:r>
        <w:rPr>
          <w:b/>
          <w:sz w:val="21"/>
        </w:rPr>
        <w:t>毒品</w:t>
        <w:tab/>
      </w:r>
      <w:r>
        <w:rPr>
          <w:position w:val="1"/>
          <w:sz w:val="18"/>
        </w:rPr>
        <w:t>指中华人民共和国刑法规定的鸦片</w:t>
      </w:r>
      <w:r>
        <w:rPr>
          <w:spacing w:val="-15"/>
          <w:position w:val="1"/>
          <w:sz w:val="18"/>
        </w:rPr>
        <w:t>、</w:t>
      </w:r>
      <w:r>
        <w:rPr>
          <w:position w:val="1"/>
          <w:sz w:val="18"/>
        </w:rPr>
        <w:t>海洛因</w:t>
      </w:r>
      <w:r>
        <w:rPr>
          <w:spacing w:val="-15"/>
          <w:position w:val="1"/>
          <w:sz w:val="18"/>
        </w:rPr>
        <w:t>、</w:t>
      </w:r>
      <w:r>
        <w:rPr>
          <w:position w:val="1"/>
          <w:sz w:val="18"/>
        </w:rPr>
        <w:t>甲基苯丙</w:t>
      </w:r>
      <w:r>
        <w:rPr>
          <w:spacing w:val="-15"/>
          <w:position w:val="1"/>
          <w:sz w:val="18"/>
        </w:rPr>
        <w:t>胺</w:t>
      </w:r>
      <w:r>
        <w:rPr>
          <w:position w:val="1"/>
          <w:sz w:val="18"/>
        </w:rPr>
        <w:t>（冰毒</w:t>
      </w:r>
      <w:r>
        <w:rPr>
          <w:spacing w:val="-90"/>
          <w:position w:val="1"/>
          <w:sz w:val="18"/>
        </w:rPr>
        <w:t>）</w:t>
      </w:r>
      <w:r>
        <w:rPr>
          <w:spacing w:val="-15"/>
          <w:position w:val="1"/>
          <w:sz w:val="18"/>
        </w:rPr>
        <w:t>、</w:t>
      </w:r>
      <w:r>
        <w:rPr>
          <w:position w:val="1"/>
          <w:sz w:val="18"/>
        </w:rPr>
        <w:t>吗啡</w:t>
      </w:r>
      <w:r>
        <w:rPr>
          <w:spacing w:val="-15"/>
          <w:position w:val="1"/>
          <w:sz w:val="18"/>
        </w:rPr>
        <w:t>、</w:t>
      </w:r>
      <w:r>
        <w:rPr>
          <w:position w:val="1"/>
          <w:sz w:val="18"/>
        </w:rPr>
        <w:t>大麻</w:t>
      </w:r>
      <w:r>
        <w:rPr>
          <w:spacing w:val="-15"/>
          <w:position w:val="1"/>
          <w:sz w:val="18"/>
        </w:rPr>
        <w:t>、</w:t>
      </w:r>
      <w:r>
        <w:rPr>
          <w:position w:val="1"/>
          <w:sz w:val="18"/>
        </w:rPr>
        <w:t>可卡因以</w:t>
      </w:r>
      <w:r>
        <w:rPr>
          <w:sz w:val="18"/>
        </w:rPr>
        <w:t>及国家规定管制的其他能够使人形成瘾癖的麻醉药品和精神药品，但不包括由医生开具并遵医嘱使用的用于治疗疾病但含有毒品成分的处方药品。</w:t>
      </w:r>
    </w:p>
    <w:p>
      <w:pPr>
        <w:pStyle w:val="BodyText"/>
        <w:spacing w:before="7"/>
        <w:rPr>
          <w:sz w:val="17"/>
        </w:rPr>
      </w:pPr>
    </w:p>
    <w:p>
      <w:pPr>
        <w:pStyle w:val="ListParagraph"/>
        <w:numPr>
          <w:ilvl w:val="1"/>
          <w:numId w:val="7"/>
        </w:numPr>
        <w:tabs>
          <w:tab w:pos="902" w:val="left" w:leader="none"/>
        </w:tabs>
        <w:spacing w:line="304" w:lineRule="auto" w:before="0" w:after="0"/>
        <w:ind w:left="2610" w:right="212" w:hanging="2391"/>
        <w:jc w:val="both"/>
        <w:rPr>
          <w:sz w:val="18"/>
        </w:rPr>
      </w:pPr>
      <w:r>
        <w:rPr>
          <w:b/>
          <w:spacing w:val="0"/>
          <w:sz w:val="21"/>
        </w:rPr>
        <w:t>酒后驾驶       </w:t>
      </w:r>
      <w:r>
        <w:rPr>
          <w:position w:val="1"/>
          <w:sz w:val="18"/>
        </w:rPr>
        <w:t>指经检测或鉴定，发生事故时车辆驾驶人员每百毫升血液中的酒精含量或呼气酒精含量达</w:t>
      </w:r>
      <w:r>
        <w:rPr>
          <w:sz w:val="18"/>
        </w:rPr>
        <w:t>到或超过一定的标准，公安机关交通管理部门依据《道路交通安全法》的规定认定为饮酒后驾驶或醉酒后驾驶。</w:t>
      </w:r>
    </w:p>
    <w:p>
      <w:pPr>
        <w:pStyle w:val="BodyText"/>
        <w:spacing w:before="10"/>
        <w:rPr>
          <w:sz w:val="14"/>
        </w:rPr>
      </w:pPr>
    </w:p>
    <w:p>
      <w:pPr>
        <w:spacing w:after="0"/>
        <w:rPr>
          <w:sz w:val="14"/>
        </w:rPr>
        <w:sectPr>
          <w:type w:val="continuous"/>
          <w:pgSz w:w="11910" w:h="16840"/>
          <w:pgMar w:top="1040" w:bottom="1180" w:left="1140" w:right="920"/>
        </w:sectPr>
      </w:pPr>
    </w:p>
    <w:p>
      <w:pPr>
        <w:pStyle w:val="Heading1"/>
        <w:numPr>
          <w:ilvl w:val="1"/>
          <w:numId w:val="7"/>
        </w:numPr>
        <w:tabs>
          <w:tab w:pos="900" w:val="left" w:leader="none"/>
          <w:tab w:pos="901" w:val="left" w:leader="none"/>
        </w:tabs>
        <w:spacing w:line="273" w:lineRule="auto" w:before="35" w:after="0"/>
        <w:ind w:left="901" w:right="0" w:hanging="682"/>
        <w:jc w:val="left"/>
      </w:pPr>
      <w:r>
        <w:rPr>
          <w:w w:val="95"/>
        </w:rPr>
        <w:t>无合法有效驾驶</w:t>
      </w:r>
      <w:r>
        <w:rPr/>
        <w:t>证驾驶</w:t>
      </w:r>
    </w:p>
    <w:p>
      <w:pPr>
        <w:pStyle w:val="BodyText"/>
        <w:spacing w:before="61"/>
        <w:ind w:left="194"/>
      </w:pPr>
      <w:r>
        <w:rPr/>
        <w:br w:type="column"/>
      </w:r>
      <w:r>
        <w:rPr/>
        <w:t>指下列情形之一：</w:t>
      </w:r>
    </w:p>
    <w:p>
      <w:pPr>
        <w:pStyle w:val="BodyText"/>
        <w:spacing w:before="76"/>
        <w:ind w:left="194"/>
      </w:pPr>
      <w:r>
        <w:rPr/>
        <w:t>1、 没有取得驾驶资格；</w:t>
      </w:r>
    </w:p>
    <w:p>
      <w:pPr>
        <w:pStyle w:val="BodyText"/>
        <w:spacing w:before="76"/>
        <w:ind w:left="194"/>
      </w:pPr>
      <w:r>
        <w:rPr/>
        <w:t>2、 驾驶与驾驶证准驾车型不相符合的车辆；</w:t>
      </w:r>
    </w:p>
    <w:p>
      <w:pPr>
        <w:pStyle w:val="BodyText"/>
        <w:spacing w:before="76"/>
        <w:ind w:left="194"/>
      </w:pPr>
      <w:r>
        <w:rPr/>
        <w:t>3、 持审验不合格的驾驶证驾驶；</w:t>
      </w:r>
    </w:p>
    <w:p>
      <w:pPr>
        <w:pStyle w:val="BodyText"/>
        <w:spacing w:before="76"/>
        <w:ind w:left="194"/>
      </w:pPr>
      <w:r>
        <w:rPr/>
        <w:t>4、 持学习驾驶证学习驾车时，无教练员随车指导，或不按指定时间、路线学习驾车。</w:t>
      </w:r>
    </w:p>
    <w:p>
      <w:pPr>
        <w:spacing w:after="0"/>
        <w:sectPr>
          <w:type w:val="continuous"/>
          <w:pgSz w:w="11910" w:h="16840"/>
          <w:pgMar w:top="1040" w:bottom="1180" w:left="1140" w:right="920"/>
          <w:cols w:num="2" w:equalWidth="0">
            <w:col w:w="2376" w:space="40"/>
            <w:col w:w="7434"/>
          </w:cols>
        </w:sectPr>
      </w:pPr>
    </w:p>
    <w:p>
      <w:pPr>
        <w:pStyle w:val="BodyText"/>
        <w:spacing w:before="6"/>
      </w:pPr>
    </w:p>
    <w:p>
      <w:pPr>
        <w:pStyle w:val="ListParagraph"/>
        <w:numPr>
          <w:ilvl w:val="1"/>
          <w:numId w:val="7"/>
        </w:numPr>
        <w:tabs>
          <w:tab w:pos="900" w:val="left" w:leader="none"/>
          <w:tab w:pos="901" w:val="left" w:leader="none"/>
          <w:tab w:pos="2609" w:val="left" w:leader="none"/>
        </w:tabs>
        <w:spacing w:line="240" w:lineRule="auto" w:before="36" w:after="0"/>
        <w:ind w:left="900" w:right="0" w:hanging="681"/>
        <w:jc w:val="left"/>
        <w:rPr>
          <w:sz w:val="18"/>
        </w:rPr>
      </w:pPr>
      <w:r>
        <w:rPr>
          <w:b/>
          <w:sz w:val="21"/>
        </w:rPr>
        <w:t>无有效行驶证</w:t>
        <w:tab/>
      </w:r>
      <w:r>
        <w:rPr>
          <w:position w:val="1"/>
          <w:sz w:val="18"/>
        </w:rPr>
        <w:t>指下列情形之一：</w:t>
      </w:r>
    </w:p>
    <w:p>
      <w:pPr>
        <w:pStyle w:val="BodyText"/>
        <w:spacing w:before="62"/>
        <w:ind w:left="2610"/>
      </w:pPr>
      <w:r>
        <w:rPr/>
        <w:t>1、 机动车被依法注销登记的；</w:t>
      </w:r>
    </w:p>
    <w:p>
      <w:pPr>
        <w:pStyle w:val="BodyText"/>
        <w:spacing w:before="76"/>
        <w:ind w:left="2610"/>
      </w:pPr>
      <w:r>
        <w:rPr/>
        <w:t>2、 未依法按时进行或通过机动车安全技术检验。</w:t>
      </w:r>
    </w:p>
    <w:p>
      <w:pPr>
        <w:pStyle w:val="BodyText"/>
        <w:spacing w:before="3"/>
        <w:rPr>
          <w:sz w:val="21"/>
        </w:rPr>
      </w:pPr>
    </w:p>
    <w:p>
      <w:pPr>
        <w:pStyle w:val="ListParagraph"/>
        <w:numPr>
          <w:ilvl w:val="1"/>
          <w:numId w:val="7"/>
        </w:numPr>
        <w:tabs>
          <w:tab w:pos="900" w:val="left" w:leader="none"/>
          <w:tab w:pos="902" w:val="left" w:leader="none"/>
          <w:tab w:pos="2609" w:val="left" w:leader="none"/>
        </w:tabs>
        <w:spacing w:line="240" w:lineRule="auto" w:before="0" w:after="0"/>
        <w:ind w:left="901" w:right="0" w:hanging="682"/>
        <w:jc w:val="left"/>
        <w:rPr>
          <w:sz w:val="18"/>
        </w:rPr>
      </w:pPr>
      <w:r>
        <w:rPr>
          <w:b/>
          <w:sz w:val="21"/>
        </w:rPr>
        <w:t>艾滋病</w:t>
        <w:tab/>
      </w:r>
      <w:r>
        <w:rPr>
          <w:position w:val="1"/>
          <w:sz w:val="18"/>
        </w:rPr>
        <w:t>获得性免疫力缺乏综合症（AIDS）的简称。</w:t>
      </w:r>
    </w:p>
    <w:p>
      <w:pPr>
        <w:pStyle w:val="BodyText"/>
        <w:spacing w:before="2"/>
        <w:rPr>
          <w:sz w:val="20"/>
        </w:rPr>
      </w:pPr>
    </w:p>
    <w:p>
      <w:pPr>
        <w:pStyle w:val="ListParagraph"/>
        <w:numPr>
          <w:ilvl w:val="1"/>
          <w:numId w:val="7"/>
        </w:numPr>
        <w:tabs>
          <w:tab w:pos="901" w:val="left" w:leader="none"/>
        </w:tabs>
        <w:spacing w:line="304" w:lineRule="auto" w:before="0" w:after="0"/>
        <w:ind w:left="2610" w:right="207" w:hanging="2391"/>
        <w:jc w:val="both"/>
        <w:rPr>
          <w:sz w:val="18"/>
        </w:rPr>
      </w:pPr>
      <w:r>
        <w:rPr>
          <w:b/>
          <w:spacing w:val="0"/>
          <w:sz w:val="21"/>
        </w:rPr>
        <w:t>艾滋病病毒     </w:t>
      </w:r>
      <w:r>
        <w:rPr>
          <w:spacing w:val="-3"/>
          <w:position w:val="1"/>
          <w:sz w:val="18"/>
        </w:rPr>
        <w:t>获得性免疫力缺乏综合症病毒</w:t>
      </w:r>
      <w:r>
        <w:rPr>
          <w:spacing w:val="-6"/>
          <w:position w:val="1"/>
          <w:sz w:val="18"/>
        </w:rPr>
        <w:t>（HIV）的简称。获得性免疫力缺乏综合症的定义应按世界卫</w:t>
      </w:r>
      <w:r>
        <w:rPr>
          <w:spacing w:val="-6"/>
          <w:sz w:val="18"/>
        </w:rPr>
        <w:t>生组织制定的定义为准，如在血液样本中发现获得性免疫力缺乏综合症病毒或其抗体，则可认定为感染艾滋病或艾滋病病毒。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7"/>
        </w:numPr>
        <w:tabs>
          <w:tab w:pos="901" w:val="left" w:leader="none"/>
        </w:tabs>
        <w:spacing w:line="295" w:lineRule="auto" w:before="0" w:after="0"/>
        <w:ind w:left="2610" w:right="207" w:hanging="2391"/>
        <w:jc w:val="both"/>
        <w:rPr>
          <w:sz w:val="18"/>
        </w:rPr>
      </w:pPr>
      <w:r>
        <w:rPr>
          <w:b/>
          <w:spacing w:val="1"/>
          <w:sz w:val="21"/>
        </w:rPr>
        <w:t>未满期净保险费 </w:t>
      </w:r>
      <w:r>
        <w:rPr>
          <w:b/>
          <w:spacing w:val="-3"/>
          <w:position w:val="1"/>
          <w:sz w:val="18"/>
        </w:rPr>
        <w:t>净保险费</w:t>
      </w:r>
      <w:r>
        <w:rPr>
          <w:position w:val="1"/>
          <w:sz w:val="18"/>
        </w:rPr>
        <w:t>（</w:t>
      </w:r>
      <w:r>
        <w:rPr>
          <w:spacing w:val="-23"/>
          <w:position w:val="1"/>
          <w:sz w:val="18"/>
        </w:rPr>
        <w:t>见 </w:t>
      </w:r>
      <w:r>
        <w:rPr>
          <w:spacing w:val="-3"/>
          <w:position w:val="1"/>
          <w:sz w:val="18"/>
        </w:rPr>
        <w:t>7.12）×（1-</w:t>
      </w:r>
      <w:r>
        <w:rPr>
          <w:position w:val="1"/>
          <w:sz w:val="18"/>
        </w:rPr>
        <w:t>本附加合同已保障天数/本附加合同保险期间天数</w:t>
      </w:r>
      <w:r>
        <w:rPr>
          <w:spacing w:val="-90"/>
          <w:position w:val="1"/>
          <w:sz w:val="18"/>
        </w:rPr>
        <w:t>）</w:t>
      </w:r>
      <w:r>
        <w:rPr>
          <w:spacing w:val="-3"/>
          <w:position w:val="1"/>
          <w:sz w:val="18"/>
        </w:rPr>
        <w:t>。已保障天</w:t>
      </w:r>
      <w:r>
        <w:rPr>
          <w:spacing w:val="-3"/>
          <w:sz w:val="18"/>
        </w:rPr>
        <w:t>数不足一天的按一天计算。</w:t>
      </w:r>
    </w:p>
    <w:p>
      <w:pPr>
        <w:pStyle w:val="BodyText"/>
        <w:spacing w:before="1"/>
      </w:pPr>
    </w:p>
    <w:p>
      <w:pPr>
        <w:pStyle w:val="ListParagraph"/>
        <w:numPr>
          <w:ilvl w:val="1"/>
          <w:numId w:val="7"/>
        </w:numPr>
        <w:tabs>
          <w:tab w:pos="902" w:val="left" w:leader="none"/>
        </w:tabs>
        <w:spacing w:line="295" w:lineRule="auto" w:before="0" w:after="0"/>
        <w:ind w:left="2610" w:right="117" w:hanging="2391"/>
        <w:jc w:val="both"/>
        <w:rPr>
          <w:sz w:val="18"/>
        </w:rPr>
      </w:pPr>
      <w:r>
        <w:rPr>
          <w:b/>
          <w:spacing w:val="0"/>
          <w:sz w:val="21"/>
        </w:rPr>
        <w:t>有效身份证件   </w:t>
      </w:r>
      <w:r>
        <w:rPr>
          <w:spacing w:val="-5"/>
          <w:position w:val="1"/>
          <w:sz w:val="18"/>
        </w:rPr>
        <w:t>指由政府主管部门规定的证明其身份的证件，如：居民身份证、按规定可使用的有效护照、</w:t>
      </w:r>
      <w:r>
        <w:rPr>
          <w:spacing w:val="-5"/>
          <w:sz w:val="18"/>
        </w:rPr>
        <w:t>军官证、警官证、士兵证、户口簿等证件。</w:t>
      </w:r>
    </w:p>
    <w:p>
      <w:pPr>
        <w:spacing w:after="0" w:line="295" w:lineRule="auto"/>
        <w:jc w:val="both"/>
        <w:rPr>
          <w:sz w:val="18"/>
        </w:rPr>
        <w:sectPr>
          <w:type w:val="continuous"/>
          <w:pgSz w:w="11910" w:h="16840"/>
          <w:pgMar w:top="1040" w:bottom="1180" w:left="1140" w:right="920"/>
        </w:sectPr>
      </w:pPr>
    </w:p>
    <w:p>
      <w:pPr>
        <w:pStyle w:val="BodyText"/>
        <w:spacing w:before="7"/>
        <w:rPr>
          <w:sz w:val="19"/>
        </w:rPr>
      </w:pPr>
      <w:r>
        <w:rPr/>
        <w:pict>
          <v:shape style="position:absolute;margin-left:92.060204pt;margin-top:55.619999pt;width:450.95pt;height:85.75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7"/>
                    <w:gridCol w:w="7542"/>
                  </w:tblGrid>
                  <w:tr>
                    <w:trPr>
                      <w:trHeight w:val="1035" w:hRule="atLeast"/>
                    </w:trPr>
                    <w:tc>
                      <w:tcPr>
                        <w:tcW w:w="9019" w:type="dxa"/>
                        <w:gridSpan w:val="2"/>
                      </w:tcPr>
                      <w:p>
                        <w:pPr>
                          <w:pStyle w:val="TableParagraph"/>
                          <w:spacing w:before="3"/>
                          <w:rPr>
                            <w:b/>
                            <w:sz w:val="22"/>
                          </w:rPr>
                        </w:pPr>
                      </w:p>
                      <w:p>
                        <w:pPr>
                          <w:pStyle w:val="TableParagraph"/>
                          <w:tabs>
                            <w:tab w:pos="1908" w:val="left" w:leader="none"/>
                          </w:tabs>
                          <w:spacing w:line="295" w:lineRule="auto"/>
                          <w:ind w:left="1908" w:right="88" w:hanging="1709"/>
                          <w:rPr>
                            <w:sz w:val="18"/>
                          </w:rPr>
                        </w:pPr>
                        <w:r>
                          <w:rPr>
                            <w:b/>
                            <w:sz w:val="21"/>
                          </w:rPr>
                          <w:t>未满期保险费</w:t>
                          <w:tab/>
                        </w:r>
                        <w:r>
                          <w:rPr>
                            <w:position w:val="1"/>
                            <w:sz w:val="18"/>
                          </w:rPr>
                          <w:t>未满期保险费的计算公式为“保险费×（1－本附加合同已保障天数/本附加合同保险期间</w:t>
                        </w:r>
                        <w:r>
                          <w:rPr>
                            <w:sz w:val="18"/>
                          </w:rPr>
                          <w:t>天数）”；已经过天数不足一天的按一天计算。</w:t>
                        </w:r>
                      </w:p>
                    </w:tc>
                  </w:tr>
                  <w:tr>
                    <w:trPr>
                      <w:trHeight w:val="679" w:hRule="atLeast"/>
                    </w:trPr>
                    <w:tc>
                      <w:tcPr>
                        <w:tcW w:w="1477" w:type="dxa"/>
                      </w:tcPr>
                      <w:p>
                        <w:pPr>
                          <w:pStyle w:val="TableParagraph"/>
                          <w:spacing w:before="106"/>
                          <w:ind w:left="200"/>
                          <w:rPr>
                            <w:b/>
                            <w:sz w:val="21"/>
                          </w:rPr>
                        </w:pPr>
                        <w:r>
                          <w:rPr>
                            <w:b/>
                            <w:sz w:val="21"/>
                          </w:rPr>
                          <w:t>净保险费</w:t>
                        </w:r>
                      </w:p>
                    </w:tc>
                    <w:tc>
                      <w:tcPr>
                        <w:tcW w:w="7542" w:type="dxa"/>
                      </w:tcPr>
                      <w:p>
                        <w:pPr>
                          <w:pStyle w:val="TableParagraph"/>
                          <w:spacing w:line="310" w:lineRule="atLeast" w:before="57"/>
                          <w:ind w:left="431" w:right="88"/>
                          <w:rPr>
                            <w:sz w:val="18"/>
                          </w:rPr>
                        </w:pPr>
                        <w:r>
                          <w:rPr>
                            <w:sz w:val="18"/>
                          </w:rPr>
                          <w:t>指不包含公司营业费用、佣金等其他费用的保险费。除本合同另有约定外，其计算公式为“保险费×（1-25%</w:t>
                        </w:r>
                        <w:r>
                          <w:rPr>
                            <w:spacing w:val="-90"/>
                            <w:sz w:val="18"/>
                          </w:rPr>
                          <w:t>）”</w:t>
                        </w:r>
                        <w:r>
                          <w:rPr>
                            <w:sz w:val="18"/>
                          </w:rPr>
                          <w:t>。</w:t>
                        </w:r>
                      </w:p>
                    </w:tc>
                  </w:tr>
                </w:tbl>
                <w:p>
                  <w:pPr>
                    <w:pStyle w:val="BodyText"/>
                  </w:pPr>
                </w:p>
              </w:txbxContent>
            </v:textbox>
            <w10:wrap type="none"/>
          </v:shape>
        </w:pict>
      </w:r>
    </w:p>
    <w:p>
      <w:pPr>
        <w:pStyle w:val="ListParagraph"/>
        <w:numPr>
          <w:ilvl w:val="1"/>
          <w:numId w:val="7"/>
        </w:numPr>
        <w:tabs>
          <w:tab w:pos="624" w:val="left" w:leader="none"/>
        </w:tabs>
        <w:spacing w:line="240" w:lineRule="auto" w:before="35" w:after="0"/>
        <w:ind w:left="623" w:right="0" w:hanging="424"/>
        <w:jc w:val="left"/>
        <w:rPr>
          <w:sz w:val="21"/>
        </w:rPr>
      </w:pPr>
    </w:p>
    <w:p>
      <w:pPr>
        <w:pStyle w:val="BodyText"/>
        <w:rPr>
          <w:b/>
          <w:sz w:val="20"/>
        </w:rPr>
      </w:pPr>
    </w:p>
    <w:p>
      <w:pPr>
        <w:pStyle w:val="BodyText"/>
        <w:spacing w:before="12"/>
        <w:rPr>
          <w:b/>
          <w:sz w:val="23"/>
        </w:rPr>
      </w:pPr>
    </w:p>
    <w:p>
      <w:pPr>
        <w:pStyle w:val="ListParagraph"/>
        <w:numPr>
          <w:ilvl w:val="1"/>
          <w:numId w:val="7"/>
        </w:numPr>
        <w:tabs>
          <w:tab w:pos="625" w:val="left" w:leader="none"/>
        </w:tabs>
        <w:spacing w:line="240" w:lineRule="auto" w:before="1" w:after="0"/>
        <w:ind w:left="624" w:right="0" w:hanging="425"/>
        <w:jc w:val="left"/>
        <w:rPr>
          <w:sz w:val="21"/>
        </w:rPr>
      </w:pPr>
    </w:p>
    <w:p>
      <w:pPr>
        <w:spacing w:after="0" w:line="240" w:lineRule="auto"/>
        <w:jc w:val="left"/>
        <w:rPr>
          <w:sz w:val="21"/>
        </w:rPr>
        <w:sectPr>
          <w:pgSz w:w="11910" w:h="16840"/>
          <w:pgMar w:header="877" w:footer="981" w:top="1100" w:bottom="1180" w:left="1160" w:right="940"/>
        </w:sectPr>
      </w:pPr>
    </w:p>
    <w:p>
      <w:pPr>
        <w:pStyle w:val="BodyText"/>
        <w:spacing w:before="3"/>
        <w:rPr>
          <w:b/>
          <w:sz w:val="20"/>
        </w:rPr>
      </w:pPr>
      <w:r>
        <w:rPr/>
        <w:pict>
          <v:shape style="position:absolute;margin-left:49.279999pt;margin-top:89.824623pt;width:508.15pt;height:669.9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8001"/>
                  </w:tblGrid>
                  <w:tr>
                    <w:trPr>
                      <w:trHeight w:val="245" w:hRule="atLeast"/>
                    </w:trPr>
                    <w:tc>
                      <w:tcPr>
                        <w:tcW w:w="2161" w:type="dxa"/>
                      </w:tcPr>
                      <w:p>
                        <w:pPr>
                          <w:pStyle w:val="TableParagraph"/>
                          <w:rPr>
                            <w:rFonts w:ascii="Times New Roman"/>
                            <w:sz w:val="16"/>
                          </w:rPr>
                        </w:pPr>
                      </w:p>
                    </w:tc>
                    <w:tc>
                      <w:tcPr>
                        <w:tcW w:w="8001" w:type="dxa"/>
                      </w:tcPr>
                      <w:p>
                        <w:pPr>
                          <w:pStyle w:val="TableParagraph"/>
                          <w:spacing w:line="180" w:lineRule="exact"/>
                          <w:ind w:left="2588"/>
                          <w:rPr>
                            <w:b/>
                            <w:sz w:val="18"/>
                          </w:rPr>
                        </w:pPr>
                        <w:r>
                          <w:rPr>
                            <w:b/>
                            <w:w w:val="95"/>
                            <w:sz w:val="18"/>
                          </w:rPr>
                          <w:t>重大疾病说明</w:t>
                        </w:r>
                      </w:p>
                    </w:tc>
                  </w:tr>
                  <w:tr>
                    <w:trPr>
                      <w:trHeight w:val="2963" w:hRule="atLeast"/>
                    </w:trPr>
                    <w:tc>
                      <w:tcPr>
                        <w:tcW w:w="10162" w:type="dxa"/>
                        <w:gridSpan w:val="2"/>
                      </w:tcPr>
                      <w:p>
                        <w:pPr>
                          <w:pStyle w:val="TableParagraph"/>
                          <w:spacing w:before="10"/>
                          <w:ind w:left="318"/>
                          <w:rPr>
                            <w:b/>
                            <w:sz w:val="18"/>
                          </w:rPr>
                        </w:pPr>
                        <w:r>
                          <w:rPr>
                            <w:b/>
                            <w:w w:val="95"/>
                            <w:sz w:val="18"/>
                          </w:rPr>
                          <w:t>重大疾病：指下列疾病或手术之一</w:t>
                        </w:r>
                      </w:p>
                      <w:p>
                        <w:pPr>
                          <w:pStyle w:val="TableParagraph"/>
                          <w:spacing w:line="316" w:lineRule="auto" w:before="76"/>
                          <w:ind w:left="318" w:right="227"/>
                          <w:rPr>
                            <w:b/>
                            <w:sz w:val="18"/>
                          </w:rPr>
                        </w:pPr>
                        <w:r>
                          <w:rPr>
                            <w:b/>
                            <w:spacing w:val="-2"/>
                            <w:sz w:val="18"/>
                          </w:rPr>
                          <w:t>被保险人发生符合以下疾病</w:t>
                        </w:r>
                        <w:r>
                          <w:rPr>
                            <w:b/>
                            <w:sz w:val="18"/>
                          </w:rPr>
                          <w:t>（</w:t>
                        </w:r>
                        <w:r>
                          <w:rPr>
                            <w:b/>
                            <w:spacing w:val="-14"/>
                            <w:sz w:val="18"/>
                          </w:rPr>
                          <w:t>特指前 </w:t>
                        </w:r>
                        <w:r>
                          <w:rPr>
                            <w:b/>
                            <w:sz w:val="18"/>
                          </w:rPr>
                          <w:t>25</w:t>
                        </w:r>
                        <w:r>
                          <w:rPr>
                            <w:b/>
                            <w:spacing w:val="-10"/>
                            <w:sz w:val="18"/>
                          </w:rPr>
                          <w:t> 种定义在中国保险行业协会《重大疾病保险的疾病定义使用规范》中的重大疾病</w:t>
                        </w:r>
                        <w:r>
                          <w:rPr>
                            <w:b/>
                            <w:sz w:val="18"/>
                          </w:rPr>
                          <w:t>） 定义所述条件的重大疾病，须由专科医生</w:t>
                        </w:r>
                        <w:r>
                          <w:rPr>
                            <w:sz w:val="18"/>
                          </w:rPr>
                          <w:t>（</w:t>
                        </w:r>
                        <w:r>
                          <w:rPr>
                            <w:spacing w:val="-30"/>
                            <w:sz w:val="18"/>
                          </w:rPr>
                          <w:t>注 </w:t>
                        </w:r>
                        <w:r>
                          <w:rPr>
                            <w:sz w:val="18"/>
                          </w:rPr>
                          <w:t>1）</w:t>
                        </w:r>
                        <w:r>
                          <w:rPr>
                            <w:b/>
                            <w:sz w:val="18"/>
                          </w:rPr>
                          <w:t>明确诊断。</w:t>
                        </w:r>
                      </w:p>
                      <w:p>
                        <w:pPr>
                          <w:pStyle w:val="TableParagraph"/>
                          <w:tabs>
                            <w:tab w:pos="2617" w:val="left" w:leader="none"/>
                          </w:tabs>
                          <w:spacing w:line="316" w:lineRule="auto" w:before="19"/>
                          <w:ind w:left="2618" w:right="197" w:hanging="2419"/>
                          <w:jc w:val="both"/>
                          <w:rPr>
                            <w:sz w:val="18"/>
                          </w:rPr>
                        </w:pPr>
                        <w:r>
                          <w:rPr>
                            <w:b/>
                            <w:sz w:val="18"/>
                          </w:rPr>
                          <w:t>1. </w:t>
                        </w:r>
                        <w:r>
                          <w:rPr>
                            <w:b/>
                            <w:spacing w:val="55"/>
                            <w:sz w:val="18"/>
                          </w:rPr>
                          <w:t> </w:t>
                        </w: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9"/>
                          <w:ind w:left="2618"/>
                          <w:rPr>
                            <w:sz w:val="18"/>
                          </w:rPr>
                        </w:pPr>
                        <w:r>
                          <w:rPr>
                            <w:sz w:val="18"/>
                          </w:rPr>
                          <w:t>下列疾病不在保障范围内：</w:t>
                        </w:r>
                      </w:p>
                      <w:p>
                        <w:pPr>
                          <w:pStyle w:val="TableParagraph"/>
                          <w:spacing w:before="76"/>
                          <w:ind w:left="2618"/>
                          <w:rPr>
                            <w:sz w:val="18"/>
                          </w:rPr>
                        </w:pPr>
                        <w:r>
                          <w:rPr>
                            <w:sz w:val="18"/>
                          </w:rPr>
                          <w:t>（1）原位癌；</w:t>
                        </w:r>
                      </w:p>
                      <w:p>
                        <w:pPr>
                          <w:pStyle w:val="TableParagraph"/>
                          <w:spacing w:before="76"/>
                          <w:ind w:left="2618"/>
                          <w:rPr>
                            <w:sz w:val="18"/>
                          </w:rPr>
                        </w:pPr>
                        <w:r>
                          <w:rPr>
                            <w:sz w:val="18"/>
                          </w:rPr>
                          <w:t>（2）相当于Binet 分期方案A 期程度的慢性淋巴细胞白血病；</w:t>
                        </w:r>
                      </w:p>
                    </w:tc>
                  </w:tr>
                  <w:tr>
                    <w:trPr>
                      <w:trHeight w:val="467" w:hRule="atLeast"/>
                    </w:trPr>
                    <w:tc>
                      <w:tcPr>
                        <w:tcW w:w="2161" w:type="dxa"/>
                      </w:tcPr>
                      <w:p>
                        <w:pPr>
                          <w:pStyle w:val="TableParagraph"/>
                          <w:rPr>
                            <w:rFonts w:ascii="Times New Roman"/>
                            <w:sz w:val="16"/>
                          </w:rPr>
                        </w:pPr>
                      </w:p>
                    </w:tc>
                    <w:tc>
                      <w:tcPr>
                        <w:tcW w:w="8001" w:type="dxa"/>
                      </w:tcPr>
                      <w:p>
                        <w:pPr>
                          <w:pStyle w:val="TableParagraph"/>
                          <w:spacing w:before="9"/>
                          <w:rPr>
                            <w:sz w:val="12"/>
                          </w:rPr>
                        </w:pPr>
                      </w:p>
                      <w:p>
                        <w:pPr>
                          <w:pStyle w:val="TableParagraph"/>
                          <w:ind w:left="457"/>
                          <w:rPr>
                            <w:sz w:val="18"/>
                          </w:rPr>
                        </w:pPr>
                        <w:r>
                          <w:rPr>
                            <w:sz w:val="18"/>
                          </w:rPr>
                          <w:t>（4）皮肤癌（不包括恶性黑色素瘤及已发生转移的皮肤癌</w:t>
                        </w:r>
                        <w:r>
                          <w:rPr>
                            <w:spacing w:val="-90"/>
                            <w:sz w:val="18"/>
                          </w:rPr>
                          <w:t>）</w:t>
                        </w:r>
                        <w:r>
                          <w:rPr>
                            <w:sz w:val="18"/>
                          </w:rPr>
                          <w:t>；</w:t>
                        </w:r>
                      </w:p>
                    </w:tc>
                  </w:tr>
                  <w:tr>
                    <w:trPr>
                      <w:trHeight w:val="425" w:hRule="atLeast"/>
                    </w:trPr>
                    <w:tc>
                      <w:tcPr>
                        <w:tcW w:w="2161" w:type="dxa"/>
                      </w:tcPr>
                      <w:p>
                        <w:pPr>
                          <w:pStyle w:val="TableParagraph"/>
                          <w:rPr>
                            <w:rFonts w:ascii="Times New Roman"/>
                            <w:sz w:val="16"/>
                          </w:rPr>
                        </w:pPr>
                      </w:p>
                    </w:tc>
                    <w:tc>
                      <w:tcPr>
                        <w:tcW w:w="8001" w:type="dxa"/>
                      </w:tcPr>
                      <w:p>
                        <w:pPr>
                          <w:pStyle w:val="TableParagraph"/>
                          <w:spacing w:before="10"/>
                          <w:ind w:left="457"/>
                          <w:rPr>
                            <w:sz w:val="18"/>
                          </w:rPr>
                        </w:pPr>
                        <w:r>
                          <w:rPr>
                            <w:position w:val="1"/>
                            <w:sz w:val="18"/>
                          </w:rPr>
                          <w:t>（5）TNM分期为T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893" w:hRule="atLeast"/>
                    </w:trPr>
                    <w:tc>
                      <w:tcPr>
                        <w:tcW w:w="10162" w:type="dxa"/>
                        <w:gridSpan w:val="2"/>
                      </w:tcPr>
                      <w:p>
                        <w:pPr>
                          <w:pStyle w:val="TableParagraph"/>
                          <w:tabs>
                            <w:tab w:pos="620" w:val="left" w:leader="none"/>
                            <w:tab w:pos="2617" w:val="left" w:leader="none"/>
                          </w:tabs>
                          <w:spacing w:before="124"/>
                          <w:ind w:left="200"/>
                          <w:rPr>
                            <w:sz w:val="18"/>
                          </w:rPr>
                        </w:pPr>
                        <w:r>
                          <w:rPr>
                            <w:b/>
                            <w:sz w:val="18"/>
                          </w:rPr>
                          <w:t>2.</w:t>
                          <w:tab/>
                          <w:t>急性心肌梗塞</w:t>
                          <w:tab/>
                        </w:r>
                        <w:r>
                          <w:rPr>
                            <w:sz w:val="18"/>
                          </w:rPr>
                          <w:t>指因冠状动脉阻塞导致的相应区域供血不足造成部分心肌坏死。须满足下列至少三项条件：</w:t>
                        </w:r>
                      </w:p>
                      <w:p>
                        <w:pPr>
                          <w:pStyle w:val="TableParagraph"/>
                          <w:spacing w:before="76"/>
                          <w:ind w:left="2618"/>
                          <w:rPr>
                            <w:sz w:val="18"/>
                          </w:rPr>
                        </w:pPr>
                        <w:r>
                          <w:rPr>
                            <w:sz w:val="18"/>
                          </w:rPr>
                          <w:t>（1）典型临床表现，例如急性胸痛等；</w:t>
                        </w:r>
                      </w:p>
                    </w:tc>
                  </w:tr>
                  <w:tr>
                    <w:trPr>
                      <w:trHeight w:val="467" w:hRule="atLeast"/>
                    </w:trPr>
                    <w:tc>
                      <w:tcPr>
                        <w:tcW w:w="2161" w:type="dxa"/>
                      </w:tcPr>
                      <w:p>
                        <w:pPr>
                          <w:pStyle w:val="TableParagraph"/>
                          <w:rPr>
                            <w:rFonts w:ascii="Times New Roman"/>
                            <w:sz w:val="16"/>
                          </w:rPr>
                        </w:pPr>
                      </w:p>
                    </w:tc>
                    <w:tc>
                      <w:tcPr>
                        <w:tcW w:w="8001" w:type="dxa"/>
                      </w:tcPr>
                      <w:p>
                        <w:pPr>
                          <w:pStyle w:val="TableParagraph"/>
                          <w:spacing w:before="9"/>
                          <w:rPr>
                            <w:sz w:val="12"/>
                          </w:rPr>
                        </w:pPr>
                      </w:p>
                      <w:p>
                        <w:pPr>
                          <w:pStyle w:val="TableParagraph"/>
                          <w:ind w:left="457"/>
                          <w:rPr>
                            <w:sz w:val="18"/>
                          </w:rPr>
                        </w:pPr>
                        <w:r>
                          <w:rPr>
                            <w:sz w:val="18"/>
                          </w:rPr>
                          <w:t>（3）心肌酶或肌钙蛋白有诊断意义的升高，或呈符合急性心肌梗塞的动态性变化；</w:t>
                        </w:r>
                      </w:p>
                    </w:tc>
                  </w:tr>
                  <w:tr>
                    <w:trPr>
                      <w:trHeight w:val="425" w:hRule="atLeast"/>
                    </w:trPr>
                    <w:tc>
                      <w:tcPr>
                        <w:tcW w:w="2161" w:type="dxa"/>
                      </w:tcPr>
                      <w:p>
                        <w:pPr>
                          <w:pStyle w:val="TableParagraph"/>
                          <w:rPr>
                            <w:rFonts w:ascii="Times New Roman"/>
                            <w:sz w:val="16"/>
                          </w:rPr>
                        </w:pPr>
                      </w:p>
                    </w:tc>
                    <w:tc>
                      <w:tcPr>
                        <w:tcW w:w="8001" w:type="dxa"/>
                      </w:tcPr>
                      <w:p>
                        <w:pPr>
                          <w:pStyle w:val="TableParagraph"/>
                          <w:spacing w:before="10"/>
                          <w:ind w:left="457"/>
                          <w:rPr>
                            <w:sz w:val="18"/>
                          </w:rPr>
                        </w:pPr>
                        <w:r>
                          <w:rPr>
                            <w:sz w:val="18"/>
                          </w:rPr>
                          <w:t>（4）发病 90 天后，经检查证实左心室功能降低，如左心室射血分数低于 50%。</w:t>
                        </w:r>
                      </w:p>
                    </w:tc>
                  </w:tr>
                  <w:tr>
                    <w:trPr>
                      <w:trHeight w:val="1205" w:hRule="atLeast"/>
                    </w:trPr>
                    <w:tc>
                      <w:tcPr>
                        <w:tcW w:w="10162" w:type="dxa"/>
                        <w:gridSpan w:val="2"/>
                      </w:tcPr>
                      <w:p>
                        <w:pPr>
                          <w:pStyle w:val="TableParagraph"/>
                          <w:numPr>
                            <w:ilvl w:val="0"/>
                            <w:numId w:val="8"/>
                          </w:numPr>
                          <w:tabs>
                            <w:tab w:pos="620" w:val="left" w:leader="none"/>
                            <w:tab w:pos="621" w:val="left" w:leader="none"/>
                            <w:tab w:pos="2617" w:val="left" w:leader="none"/>
                          </w:tabs>
                          <w:spacing w:line="316" w:lineRule="auto" w:before="124" w:after="0"/>
                          <w:ind w:left="2618" w:right="198" w:hanging="2418"/>
                          <w:jc w:val="left"/>
                          <w:rPr>
                            <w:sz w:val="18"/>
                          </w:rPr>
                        </w:pPr>
                        <w:r>
                          <w:rPr>
                            <w:b/>
                            <w:sz w:val="18"/>
                          </w:rPr>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p>
                        <w:pPr>
                          <w:pStyle w:val="TableParagraph"/>
                          <w:numPr>
                            <w:ilvl w:val="1"/>
                            <w:numId w:val="8"/>
                          </w:numPr>
                          <w:tabs>
                            <w:tab w:pos="3038" w:val="left" w:leader="none"/>
                          </w:tabs>
                          <w:spacing w:line="240" w:lineRule="auto" w:before="19" w:after="0"/>
                          <w:ind w:left="3037" w:right="0" w:hanging="419"/>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tc>
                  </w:tr>
                  <w:tr>
                    <w:trPr>
                      <w:trHeight w:val="935" w:hRule="atLeast"/>
                    </w:trPr>
                    <w:tc>
                      <w:tcPr>
                        <w:tcW w:w="2161" w:type="dxa"/>
                      </w:tcPr>
                      <w:p>
                        <w:pPr>
                          <w:pStyle w:val="TableParagraph"/>
                          <w:rPr>
                            <w:rFonts w:ascii="Times New Roman"/>
                            <w:sz w:val="16"/>
                          </w:rPr>
                        </w:pPr>
                      </w:p>
                    </w:tc>
                    <w:tc>
                      <w:tcPr>
                        <w:tcW w:w="8001" w:type="dxa"/>
                      </w:tcPr>
                      <w:p>
                        <w:pPr>
                          <w:pStyle w:val="TableParagraph"/>
                          <w:spacing w:before="9"/>
                          <w:rPr>
                            <w:sz w:val="12"/>
                          </w:rPr>
                        </w:pPr>
                      </w:p>
                      <w:p>
                        <w:pPr>
                          <w:pStyle w:val="TableParagraph"/>
                          <w:spacing w:line="316" w:lineRule="auto"/>
                          <w:ind w:left="456" w:right="137"/>
                          <w:rPr>
                            <w:sz w:val="18"/>
                          </w:rPr>
                        </w:pPr>
                        <w:r>
                          <w:rPr>
                            <w:sz w:val="18"/>
                          </w:rPr>
                          <w:t>(3) 自主生活能力完全丧失，无法独立完成</w:t>
                        </w:r>
                        <w:r>
                          <w:rPr>
                            <w:b/>
                            <w:sz w:val="18"/>
                          </w:rPr>
                          <w:t>六项基本日常生活活动</w:t>
                        </w:r>
                        <w:r>
                          <w:rPr>
                            <w:sz w:val="18"/>
                          </w:rPr>
                          <w:t>（注 5）中的三项或三项以上。</w:t>
                        </w:r>
                      </w:p>
                    </w:tc>
                  </w:tr>
                  <w:tr>
                    <w:trPr>
                      <w:trHeight w:val="779" w:hRule="atLeast"/>
                    </w:trPr>
                    <w:tc>
                      <w:tcPr>
                        <w:tcW w:w="2161" w:type="dxa"/>
                      </w:tcPr>
                      <w:p>
                        <w:pPr>
                          <w:pStyle w:val="TableParagraph"/>
                          <w:tabs>
                            <w:tab w:pos="620" w:val="left" w:leader="none"/>
                          </w:tabs>
                          <w:spacing w:line="310" w:lineRule="atLeast" w:before="92"/>
                          <w:ind w:left="200" w:right="1" w:hanging="1"/>
                          <w:rPr>
                            <w:b/>
                            <w:sz w:val="18"/>
                          </w:rPr>
                        </w:pPr>
                        <w:r>
                          <w:rPr>
                            <w:b/>
                            <w:sz w:val="18"/>
                          </w:rPr>
                          <w:t>4.</w:t>
                          <w:tab/>
                        </w:r>
                        <w:r>
                          <w:rPr>
                            <w:b/>
                            <w:w w:val="95"/>
                            <w:sz w:val="18"/>
                          </w:rPr>
                          <w:t>重大器官移植术/造 干细胞移植术</w:t>
                        </w:r>
                      </w:p>
                    </w:tc>
                    <w:tc>
                      <w:tcPr>
                        <w:tcW w:w="8001" w:type="dxa"/>
                      </w:tcPr>
                      <w:p>
                        <w:pPr>
                          <w:pStyle w:val="TableParagraph"/>
                          <w:tabs>
                            <w:tab w:pos="456" w:val="left" w:leader="none"/>
                          </w:tabs>
                          <w:spacing w:line="310" w:lineRule="atLeast" w:before="92"/>
                          <w:ind w:left="457" w:right="199" w:hanging="463"/>
                          <w:rPr>
                            <w:sz w:val="18"/>
                          </w:rPr>
                        </w:pPr>
                        <w:r>
                          <w:rPr>
                            <w:b/>
                            <w:sz w:val="18"/>
                          </w:rPr>
                          <w:t>血</w:t>
                          <w:tab/>
                        </w:r>
                        <w:r>
                          <w:rPr>
                            <w:spacing w:val="-1"/>
                            <w:sz w:val="18"/>
                          </w:rPr>
                          <w:t>重大</w:t>
                        </w:r>
                        <w:r>
                          <w:rPr>
                            <w:sz w:val="18"/>
                          </w:rPr>
                          <w:t>器官移植术</w:t>
                        </w:r>
                        <w:r>
                          <w:rPr>
                            <w:spacing w:val="-10"/>
                            <w:sz w:val="18"/>
                          </w:rPr>
                          <w:t>，</w:t>
                        </w:r>
                        <w:r>
                          <w:rPr>
                            <w:sz w:val="18"/>
                          </w:rPr>
                          <w:t>指因相应器官功能衰竭</w:t>
                        </w:r>
                        <w:r>
                          <w:rPr>
                            <w:spacing w:val="-9"/>
                            <w:sz w:val="18"/>
                          </w:rPr>
                          <w:t>，</w:t>
                        </w:r>
                        <w:r>
                          <w:rPr>
                            <w:sz w:val="18"/>
                          </w:rPr>
                          <w:t>已经实施了肾脏</w:t>
                        </w:r>
                        <w:r>
                          <w:rPr>
                            <w:spacing w:val="-9"/>
                            <w:sz w:val="18"/>
                          </w:rPr>
                          <w:t>、</w:t>
                        </w:r>
                        <w:r>
                          <w:rPr>
                            <w:sz w:val="18"/>
                          </w:rPr>
                          <w:t>肝脏</w:t>
                        </w:r>
                        <w:r>
                          <w:rPr>
                            <w:spacing w:val="-10"/>
                            <w:sz w:val="18"/>
                          </w:rPr>
                          <w:t>、</w:t>
                        </w:r>
                        <w:r>
                          <w:rPr>
                            <w:sz w:val="18"/>
                          </w:rPr>
                          <w:t>心脏或肺脏的异体移植手术。</w:t>
                        </w:r>
                      </w:p>
                    </w:tc>
                  </w:tr>
                  <w:tr>
                    <w:trPr>
                      <w:trHeight w:val="737" w:hRule="atLeast"/>
                    </w:trPr>
                    <w:tc>
                      <w:tcPr>
                        <w:tcW w:w="2161" w:type="dxa"/>
                      </w:tcPr>
                      <w:p>
                        <w:pPr>
                          <w:pStyle w:val="TableParagraph"/>
                          <w:rPr>
                            <w:rFonts w:ascii="Times New Roman"/>
                            <w:sz w:val="16"/>
                          </w:rPr>
                        </w:pPr>
                      </w:p>
                    </w:tc>
                    <w:tc>
                      <w:tcPr>
                        <w:tcW w:w="8001" w:type="dxa"/>
                      </w:tcPr>
                      <w:p>
                        <w:pPr>
                          <w:pStyle w:val="TableParagraph"/>
                          <w:spacing w:line="316" w:lineRule="auto" w:before="10"/>
                          <w:ind w:left="457" w:right="147"/>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425" w:hRule="atLeast"/>
                    </w:trPr>
                    <w:tc>
                      <w:tcPr>
                        <w:tcW w:w="2161" w:type="dxa"/>
                      </w:tcPr>
                      <w:p>
                        <w:pPr>
                          <w:pStyle w:val="TableParagraph"/>
                          <w:tabs>
                            <w:tab w:pos="620" w:val="left" w:leader="none"/>
                          </w:tabs>
                          <w:spacing w:before="124"/>
                          <w:ind w:left="200"/>
                          <w:rPr>
                            <w:b/>
                            <w:sz w:val="18"/>
                          </w:rPr>
                        </w:pPr>
                        <w:r>
                          <w:rPr>
                            <w:b/>
                            <w:sz w:val="18"/>
                          </w:rPr>
                          <w:t>5.</w:t>
                          <w:tab/>
                        </w:r>
                        <w:r>
                          <w:rPr>
                            <w:b/>
                            <w:w w:val="95"/>
                            <w:sz w:val="18"/>
                          </w:rPr>
                          <w:t>冠状动脉搭桥术</w:t>
                        </w:r>
                      </w:p>
                    </w:tc>
                    <w:tc>
                      <w:tcPr>
                        <w:tcW w:w="8001" w:type="dxa"/>
                      </w:tcPr>
                      <w:p>
                        <w:pPr>
                          <w:pStyle w:val="TableParagraph"/>
                          <w:spacing w:before="124"/>
                          <w:ind w:left="457"/>
                          <w:rPr>
                            <w:sz w:val="18"/>
                          </w:rPr>
                        </w:pPr>
                        <w:r>
                          <w:rPr>
                            <w:sz w:val="18"/>
                          </w:rPr>
                          <w:t>指为治疗严重的冠心病，实际实施了开胸进行的冠状动脉血管旁路移植的手术。</w:t>
                        </w:r>
                      </w:p>
                    </w:tc>
                  </w:tr>
                  <w:tr>
                    <w:trPr>
                      <w:trHeight w:val="737" w:hRule="atLeast"/>
                    </w:trPr>
                    <w:tc>
                      <w:tcPr>
                        <w:tcW w:w="2161" w:type="dxa"/>
                      </w:tcPr>
                      <w:p>
                        <w:pPr>
                          <w:pStyle w:val="TableParagraph"/>
                          <w:rPr>
                            <w:rFonts w:ascii="Times New Roman"/>
                            <w:sz w:val="16"/>
                          </w:rPr>
                        </w:pPr>
                      </w:p>
                    </w:tc>
                    <w:tc>
                      <w:tcPr>
                        <w:tcW w:w="8001" w:type="dxa"/>
                      </w:tcPr>
                      <w:p>
                        <w:pPr>
                          <w:pStyle w:val="TableParagraph"/>
                          <w:spacing w:line="316" w:lineRule="auto" w:before="10"/>
                          <w:ind w:left="457" w:right="157"/>
                          <w:rPr>
                            <w:sz w:val="18"/>
                          </w:rPr>
                        </w:pPr>
                        <w:r>
                          <w:rPr>
                            <w:sz w:val="18"/>
                          </w:rPr>
                          <w:t>冠状动脉支架植入术、心导管球囊扩张术、激光射频技术及其它非开胸的介入手术、腔镜手术不在保障范围内。</w:t>
                        </w:r>
                      </w:p>
                    </w:tc>
                  </w:tr>
                  <w:tr>
                    <w:trPr>
                      <w:trHeight w:val="850" w:hRule="atLeast"/>
                    </w:trPr>
                    <w:tc>
                      <w:tcPr>
                        <w:tcW w:w="2161" w:type="dxa"/>
                      </w:tcPr>
                      <w:p>
                        <w:pPr>
                          <w:pStyle w:val="TableParagraph"/>
                          <w:tabs>
                            <w:tab w:pos="620" w:val="left" w:leader="none"/>
                          </w:tabs>
                          <w:spacing w:before="124"/>
                          <w:ind w:left="200"/>
                          <w:rPr>
                            <w:b/>
                            <w:sz w:val="18"/>
                          </w:rPr>
                        </w:pPr>
                        <w:r>
                          <w:rPr>
                            <w:b/>
                            <w:sz w:val="18"/>
                          </w:rPr>
                          <w:t>6.</w:t>
                          <w:tab/>
                        </w:r>
                        <w:r>
                          <w:rPr>
                            <w:b/>
                            <w:w w:val="95"/>
                            <w:sz w:val="18"/>
                          </w:rPr>
                          <w:t>终末期肾病</w:t>
                        </w:r>
                      </w:p>
                    </w:tc>
                    <w:tc>
                      <w:tcPr>
                        <w:tcW w:w="8001" w:type="dxa"/>
                      </w:tcPr>
                      <w:p>
                        <w:pPr>
                          <w:pStyle w:val="TableParagraph"/>
                          <w:spacing w:line="316" w:lineRule="auto" w:before="124"/>
                          <w:ind w:left="457" w:right="251"/>
                          <w:rPr>
                            <w:sz w:val="18"/>
                          </w:rPr>
                        </w:pPr>
                        <w:r>
                          <w:rPr>
                            <w:spacing w:val="-2"/>
                            <w:sz w:val="18"/>
                          </w:rPr>
                          <w:t>指双肾功能慢性不可逆性衰竭，达到尿毒症期，经诊断后已经进行了至少 </w:t>
                        </w:r>
                        <w:r>
                          <w:rPr>
                            <w:sz w:val="18"/>
                          </w:rPr>
                          <w:t>90</w:t>
                        </w:r>
                        <w:r>
                          <w:rPr>
                            <w:spacing w:val="-7"/>
                            <w:sz w:val="18"/>
                          </w:rPr>
                          <w:t> 天的规律性透析治疗或实施了肾脏移植手术。</w:t>
                        </w:r>
                      </w:p>
                    </w:tc>
                  </w:tr>
                  <w:tr>
                    <w:trPr>
                      <w:trHeight w:val="851" w:hRule="atLeast"/>
                    </w:trPr>
                    <w:tc>
                      <w:tcPr>
                        <w:tcW w:w="2161" w:type="dxa"/>
                      </w:tcPr>
                      <w:p>
                        <w:pPr>
                          <w:pStyle w:val="TableParagraph"/>
                          <w:tabs>
                            <w:tab w:pos="620" w:val="left" w:leader="none"/>
                          </w:tabs>
                          <w:spacing w:before="124"/>
                          <w:ind w:left="200"/>
                          <w:rPr>
                            <w:b/>
                            <w:sz w:val="18"/>
                          </w:rPr>
                        </w:pPr>
                        <w:r>
                          <w:rPr>
                            <w:b/>
                            <w:sz w:val="18"/>
                          </w:rPr>
                          <w:t>7.</w:t>
                          <w:tab/>
                        </w:r>
                        <w:r>
                          <w:rPr>
                            <w:b/>
                            <w:w w:val="95"/>
                            <w:sz w:val="18"/>
                          </w:rPr>
                          <w:t>多个肢体缺失</w:t>
                        </w:r>
                      </w:p>
                    </w:tc>
                    <w:tc>
                      <w:tcPr>
                        <w:tcW w:w="8001" w:type="dxa"/>
                      </w:tcPr>
                      <w:p>
                        <w:pPr>
                          <w:pStyle w:val="TableParagraph"/>
                          <w:spacing w:line="316" w:lineRule="auto" w:before="124"/>
                          <w:ind w:left="457" w:right="140"/>
                          <w:rPr>
                            <w:sz w:val="18"/>
                          </w:rPr>
                        </w:pPr>
                        <w:r>
                          <w:rPr>
                            <w:sz w:val="18"/>
                          </w:rPr>
                          <w:t>指因疾病或意外伤害导致两个或两个以上肢体自腕关节或踝关节近端（靠近躯干端）以上完全性断离。</w:t>
                        </w:r>
                      </w:p>
                    </w:tc>
                  </w:tr>
                  <w:tr>
                    <w:trPr>
                      <w:trHeight w:val="984" w:hRule="atLeast"/>
                    </w:trPr>
                    <w:tc>
                      <w:tcPr>
                        <w:tcW w:w="10162" w:type="dxa"/>
                        <w:gridSpan w:val="2"/>
                      </w:tcPr>
                      <w:p>
                        <w:pPr>
                          <w:pStyle w:val="TableParagraph"/>
                          <w:tabs>
                            <w:tab w:pos="620" w:val="left" w:leader="none"/>
                            <w:tab w:pos="2618" w:val="left" w:leader="none"/>
                          </w:tabs>
                          <w:spacing w:line="316" w:lineRule="auto" w:before="124"/>
                          <w:ind w:left="200" w:right="197" w:hanging="1"/>
                          <w:rPr>
                            <w:sz w:val="18"/>
                          </w:rPr>
                        </w:pPr>
                        <w:r>
                          <w:rPr>
                            <w:b/>
                            <w:sz w:val="18"/>
                          </w:rPr>
                          <w:t>8.</w:t>
                          <w:tab/>
                          <w:t>急性或亚急性重症肝</w:t>
                          <w:tab/>
                        </w:r>
                        <w:r>
                          <w:rPr>
                            <w:sz w:val="18"/>
                          </w:rPr>
                          <w:t>指因肝炎病毒感染引起肝组织弥漫性坏死</w:t>
                        </w:r>
                        <w:r>
                          <w:rPr>
                            <w:spacing w:val="-18"/>
                            <w:sz w:val="18"/>
                          </w:rPr>
                          <w:t>，</w:t>
                        </w:r>
                        <w:r>
                          <w:rPr>
                            <w:sz w:val="18"/>
                          </w:rPr>
                          <w:t>导致急性肝功能衰竭</w:t>
                        </w:r>
                        <w:r>
                          <w:rPr>
                            <w:spacing w:val="-18"/>
                            <w:sz w:val="18"/>
                          </w:rPr>
                          <w:t>，</w:t>
                        </w:r>
                        <w:r>
                          <w:rPr>
                            <w:sz w:val="18"/>
                          </w:rPr>
                          <w:t>且经血清学或病毒学检查证</w:t>
                        </w:r>
                        <w:r>
                          <w:rPr>
                            <w:b/>
                            <w:sz w:val="18"/>
                          </w:rPr>
                          <w:t>炎</w:t>
                          <w:tab/>
                          <w:tab/>
                        </w:r>
                        <w:r>
                          <w:rPr>
                            <w:sz w:val="18"/>
                          </w:rPr>
                          <w:t>实，并须满足下列全部条件：</w:t>
                        </w:r>
                      </w:p>
                      <w:p>
                        <w:pPr>
                          <w:pStyle w:val="TableParagraph"/>
                          <w:spacing w:line="216" w:lineRule="exact" w:before="18"/>
                          <w:ind w:left="2618"/>
                          <w:rPr>
                            <w:sz w:val="18"/>
                          </w:rPr>
                        </w:pPr>
                        <w:r>
                          <w:rPr>
                            <w:sz w:val="18"/>
                          </w:rPr>
                          <w:t>（1）重度黄疸或黄疸迅速加重；</w:t>
                        </w:r>
                      </w:p>
                    </w:tc>
                  </w:tr>
                </w:tbl>
                <w:p>
                  <w:pPr>
                    <w:pStyle w:val="BodyText"/>
                  </w:pPr>
                </w:p>
              </w:txbxContent>
            </v:textbox>
            <w10:wrap type="none"/>
          </v:shape>
        </w:pict>
      </w:r>
    </w:p>
    <w:p>
      <w:pPr>
        <w:pStyle w:val="Heading2"/>
        <w:ind w:left="424"/>
      </w:pPr>
      <w:r>
        <w:rPr>
          <w:w w:val="95"/>
        </w:rPr>
        <w:t>附表一：</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3"/>
        <w:ind w:left="2723"/>
      </w:pPr>
      <w:r>
        <w:rPr/>
        <w:t>（3）相当于Ann Arbor 分期方案I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（2）新近的心电图改变提示急性心肌梗塞；</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spacing w:before="0"/>
        <w:ind w:left="2723" w:right="0" w:firstLine="0"/>
        <w:jc w:val="left"/>
        <w:rPr>
          <w:sz w:val="18"/>
        </w:rPr>
      </w:pPr>
      <w:r>
        <w:rPr>
          <w:sz w:val="18"/>
        </w:rPr>
        <w:t>(2)</w:t>
      </w:r>
      <w:r>
        <w:rPr>
          <w:spacing w:val="-16"/>
          <w:sz w:val="18"/>
        </w:rPr>
        <w:t>  </w:t>
      </w: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p>
    <w:p>
      <w:pPr>
        <w:pStyle w:val="BodyText"/>
        <w:spacing w:before="1"/>
        <w:ind w:left="2723"/>
      </w:pPr>
      <w:r>
        <w:rPr/>
        <w:t>（2）肝性脑病；</w:t>
      </w:r>
    </w:p>
    <w:p>
      <w:pPr>
        <w:spacing w:after="0"/>
        <w:sectPr>
          <w:pgSz w:w="11910" w:h="16840"/>
          <w:pgMar w:header="877" w:footer="981" w:top="1100" w:bottom="1180" w:left="880" w:right="640"/>
        </w:sectPr>
      </w:pPr>
    </w:p>
    <w:p>
      <w:pPr>
        <w:pStyle w:val="BodyText"/>
        <w:rPr>
          <w:sz w:val="20"/>
        </w:rPr>
      </w:pPr>
      <w:r>
        <w:rPr/>
        <w:pict>
          <v:shape style="position:absolute;margin-left:49.280899pt;margin-top:55.259998pt;width:509.95pt;height:722.9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8038"/>
                  </w:tblGrid>
                  <w:tr>
                    <w:trPr>
                      <w:trHeight w:val="610" w:hRule="atLeast"/>
                    </w:trPr>
                    <w:tc>
                      <w:tcPr>
                        <w:tcW w:w="2161" w:type="dxa"/>
                        <w:tcBorders>
                          <w:top w:val="single" w:sz="6" w:space="0" w:color="000000"/>
                        </w:tcBorders>
                      </w:tcPr>
                      <w:p>
                        <w:pPr>
                          <w:pStyle w:val="TableParagraph"/>
                          <w:rPr>
                            <w:rFonts w:ascii="Times New Roman"/>
                            <w:sz w:val="18"/>
                          </w:rPr>
                        </w:pPr>
                      </w:p>
                    </w:tc>
                    <w:tc>
                      <w:tcPr>
                        <w:tcW w:w="8038" w:type="dxa"/>
                        <w:tcBorders>
                          <w:top w:val="single" w:sz="6" w:space="0" w:color="000000"/>
                        </w:tcBorders>
                      </w:tcPr>
                      <w:p>
                        <w:pPr>
                          <w:pStyle w:val="TableParagraph"/>
                          <w:spacing w:before="8"/>
                          <w:rPr>
                            <w:sz w:val="23"/>
                          </w:rPr>
                        </w:pPr>
                      </w:p>
                      <w:p>
                        <w:pPr>
                          <w:pStyle w:val="TableParagraph"/>
                          <w:ind w:left="456"/>
                          <w:rPr>
                            <w:sz w:val="18"/>
                          </w:rPr>
                        </w:pPr>
                        <w:r>
                          <w:rPr>
                            <w:sz w:val="18"/>
                          </w:rPr>
                          <w:t>（3）B 超或其他影像学检查显示肝脏体积急速萎缩；</w:t>
                        </w:r>
                      </w:p>
                    </w:tc>
                  </w:tr>
                  <w:tr>
                    <w:trPr>
                      <w:trHeight w:val="425" w:hRule="atLeast"/>
                    </w:trPr>
                    <w:tc>
                      <w:tcPr>
                        <w:tcW w:w="2161" w:type="dxa"/>
                      </w:tcPr>
                      <w:p>
                        <w:pPr>
                          <w:pStyle w:val="TableParagraph"/>
                          <w:rPr>
                            <w:rFonts w:ascii="Times New Roman"/>
                            <w:sz w:val="18"/>
                          </w:rPr>
                        </w:pPr>
                      </w:p>
                    </w:tc>
                    <w:tc>
                      <w:tcPr>
                        <w:tcW w:w="8038" w:type="dxa"/>
                      </w:tcPr>
                      <w:p>
                        <w:pPr>
                          <w:pStyle w:val="TableParagraph"/>
                          <w:spacing w:before="10"/>
                          <w:ind w:left="456"/>
                          <w:rPr>
                            <w:sz w:val="18"/>
                          </w:rPr>
                        </w:pPr>
                        <w:r>
                          <w:rPr>
                            <w:sz w:val="18"/>
                          </w:rPr>
                          <w:t>（4）肝功能指标进行性恶化。</w:t>
                        </w:r>
                      </w:p>
                    </w:tc>
                  </w:tr>
                  <w:tr>
                    <w:trPr>
                      <w:trHeight w:val="1205" w:hRule="atLeast"/>
                    </w:trPr>
                    <w:tc>
                      <w:tcPr>
                        <w:tcW w:w="10199" w:type="dxa"/>
                        <w:gridSpan w:val="2"/>
                      </w:tcPr>
                      <w:p>
                        <w:pPr>
                          <w:pStyle w:val="TableParagraph"/>
                          <w:tabs>
                            <w:tab w:pos="2617" w:val="left" w:leader="none"/>
                          </w:tabs>
                          <w:spacing w:line="316" w:lineRule="auto" w:before="124"/>
                          <w:ind w:left="2618" w:right="234" w:hanging="2419"/>
                          <w:jc w:val="both"/>
                          <w:rPr>
                            <w:sz w:val="18"/>
                          </w:rPr>
                        </w:pPr>
                        <w:r>
                          <w:rPr>
                            <w:b/>
                            <w:sz w:val="18"/>
                          </w:rPr>
                          <w:t>9. </w:t>
                        </w:r>
                        <w:r>
                          <w:rPr>
                            <w:b/>
                            <w:spacing w:val="55"/>
                            <w:sz w:val="18"/>
                          </w:rPr>
                          <w:t> </w:t>
                        </w: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tc>
                  </w:tr>
                  <w:tr>
                    <w:trPr>
                      <w:trHeight w:val="468" w:hRule="atLeast"/>
                    </w:trPr>
                    <w:tc>
                      <w:tcPr>
                        <w:tcW w:w="2161" w:type="dxa"/>
                      </w:tcPr>
                      <w:p>
                        <w:pPr>
                          <w:pStyle w:val="TableParagraph"/>
                          <w:rPr>
                            <w:rFonts w:ascii="Times New Roman"/>
                            <w:sz w:val="18"/>
                          </w:rPr>
                        </w:pPr>
                      </w:p>
                    </w:tc>
                    <w:tc>
                      <w:tcPr>
                        <w:tcW w:w="8038" w:type="dxa"/>
                      </w:tcPr>
                      <w:p>
                        <w:pPr>
                          <w:pStyle w:val="TableParagraph"/>
                          <w:spacing w:before="9"/>
                          <w:rPr>
                            <w:sz w:val="12"/>
                          </w:rPr>
                        </w:pPr>
                      </w:p>
                      <w:p>
                        <w:pPr>
                          <w:pStyle w:val="TableParagraph"/>
                          <w:ind w:left="457"/>
                          <w:rPr>
                            <w:sz w:val="18"/>
                          </w:rPr>
                        </w:pPr>
                        <w:r>
                          <w:rPr>
                            <w:sz w:val="18"/>
                          </w:rPr>
                          <w:t>（2）实际实施了对脑肿瘤进行的放射治疗。</w:t>
                        </w:r>
                      </w:p>
                    </w:tc>
                  </w:tr>
                  <w:tr>
                    <w:trPr>
                      <w:trHeight w:val="425" w:hRule="atLeast"/>
                    </w:trPr>
                    <w:tc>
                      <w:tcPr>
                        <w:tcW w:w="2161" w:type="dxa"/>
                      </w:tcPr>
                      <w:p>
                        <w:pPr>
                          <w:pStyle w:val="TableParagraph"/>
                          <w:rPr>
                            <w:rFonts w:ascii="Times New Roman"/>
                            <w:sz w:val="18"/>
                          </w:rPr>
                        </w:pPr>
                      </w:p>
                    </w:tc>
                    <w:tc>
                      <w:tcPr>
                        <w:tcW w:w="8038" w:type="dxa"/>
                      </w:tcPr>
                      <w:p>
                        <w:pPr>
                          <w:pStyle w:val="TableParagraph"/>
                          <w:spacing w:before="10"/>
                          <w:ind w:left="457"/>
                          <w:rPr>
                            <w:sz w:val="18"/>
                          </w:rPr>
                        </w:pPr>
                        <w:r>
                          <w:rPr>
                            <w:sz w:val="18"/>
                          </w:rPr>
                          <w:t>脑垂体瘤、脑囊肿、脑血管性疾病不在保障范围内。</w:t>
                        </w:r>
                      </w:p>
                    </w:tc>
                  </w:tr>
                  <w:tr>
                    <w:trPr>
                      <w:trHeight w:val="1205" w:hRule="atLeast"/>
                    </w:trPr>
                    <w:tc>
                      <w:tcPr>
                        <w:tcW w:w="10199" w:type="dxa"/>
                        <w:gridSpan w:val="2"/>
                      </w:tcPr>
                      <w:p>
                        <w:pPr>
                          <w:pStyle w:val="TableParagraph"/>
                          <w:tabs>
                            <w:tab w:pos="2617" w:val="left" w:leader="none"/>
                          </w:tabs>
                          <w:spacing w:line="316" w:lineRule="auto" w:before="124"/>
                          <w:ind w:left="200" w:right="2898"/>
                          <w:rPr>
                            <w:sz w:val="18"/>
                          </w:rPr>
                        </w:pPr>
                        <w:r>
                          <w:rPr>
                            <w:b/>
                            <w:sz w:val="18"/>
                          </w:rPr>
                          <w:t>10.</w:t>
                        </w:r>
                        <w:r>
                          <w:rPr>
                            <w:b/>
                            <w:spacing w:val="53"/>
                            <w:sz w:val="18"/>
                          </w:rPr>
                          <w:t> </w:t>
                        </w:r>
                        <w:r>
                          <w:rPr>
                            <w:b/>
                            <w:sz w:val="18"/>
                          </w:rPr>
                          <w:t>慢性肝功能衰竭失代</w:t>
                          <w:tab/>
                        </w:r>
                        <w:r>
                          <w:rPr>
                            <w:sz w:val="18"/>
                          </w:rPr>
                          <w:t>指因慢性肝脏疾病导致肝功能衰竭。须满足下列全部条件：</w:t>
                        </w:r>
                        <w:r>
                          <w:rPr>
                            <w:b/>
                            <w:sz w:val="18"/>
                          </w:rPr>
                          <w:t>偿期</w:t>
                          <w:tab/>
                        </w:r>
                        <w:r>
                          <w:rPr>
                            <w:sz w:val="18"/>
                          </w:rPr>
                          <w:t>（1）持续性黄疸；</w:t>
                        </w:r>
                      </w:p>
                      <w:p>
                        <w:pPr>
                          <w:pStyle w:val="TableParagraph"/>
                          <w:spacing w:before="19"/>
                          <w:ind w:left="2618"/>
                          <w:rPr>
                            <w:sz w:val="18"/>
                          </w:rPr>
                        </w:pPr>
                        <w:r>
                          <w:rPr>
                            <w:sz w:val="18"/>
                          </w:rPr>
                          <w:t>（2）腹水；</w:t>
                        </w:r>
                      </w:p>
                    </w:tc>
                  </w:tr>
                  <w:tr>
                    <w:trPr>
                      <w:trHeight w:val="467" w:hRule="atLeast"/>
                    </w:trPr>
                    <w:tc>
                      <w:tcPr>
                        <w:tcW w:w="2161" w:type="dxa"/>
                      </w:tcPr>
                      <w:p>
                        <w:pPr>
                          <w:pStyle w:val="TableParagraph"/>
                          <w:rPr>
                            <w:rFonts w:ascii="Times New Roman"/>
                            <w:sz w:val="18"/>
                          </w:rPr>
                        </w:pPr>
                      </w:p>
                    </w:tc>
                    <w:tc>
                      <w:tcPr>
                        <w:tcW w:w="8038" w:type="dxa"/>
                      </w:tcPr>
                      <w:p>
                        <w:pPr>
                          <w:pStyle w:val="TableParagraph"/>
                          <w:spacing w:before="9"/>
                          <w:rPr>
                            <w:sz w:val="12"/>
                          </w:rPr>
                        </w:pPr>
                      </w:p>
                      <w:p>
                        <w:pPr>
                          <w:pStyle w:val="TableParagraph"/>
                          <w:ind w:left="457"/>
                          <w:rPr>
                            <w:sz w:val="18"/>
                          </w:rPr>
                        </w:pPr>
                        <w:r>
                          <w:rPr>
                            <w:sz w:val="18"/>
                          </w:rPr>
                          <w:t>（4）充血性脾大伴脾功能亢进或食管胃底静脉曲张。</w:t>
                        </w:r>
                      </w:p>
                    </w:tc>
                  </w:tr>
                  <w:tr>
                    <w:trPr>
                      <w:trHeight w:val="425" w:hRule="atLeast"/>
                    </w:trPr>
                    <w:tc>
                      <w:tcPr>
                        <w:tcW w:w="2161" w:type="dxa"/>
                      </w:tcPr>
                      <w:p>
                        <w:pPr>
                          <w:pStyle w:val="TableParagraph"/>
                          <w:rPr>
                            <w:rFonts w:ascii="Times New Roman"/>
                            <w:sz w:val="18"/>
                          </w:rPr>
                        </w:pPr>
                      </w:p>
                    </w:tc>
                    <w:tc>
                      <w:tcPr>
                        <w:tcW w:w="8038" w:type="dxa"/>
                      </w:tcPr>
                      <w:p>
                        <w:pPr>
                          <w:pStyle w:val="TableParagraph"/>
                          <w:spacing w:before="10"/>
                          <w:ind w:left="457"/>
                          <w:rPr>
                            <w:sz w:val="18"/>
                          </w:rPr>
                        </w:pPr>
                        <w:r>
                          <w:rPr>
                            <w:sz w:val="18"/>
                          </w:rPr>
                          <w:t>因酗酒或药物滥用导致的肝功能衰竭不在保障范围内。</w:t>
                        </w:r>
                      </w:p>
                    </w:tc>
                  </w:tr>
                  <w:tr>
                    <w:trPr>
                      <w:trHeight w:val="893" w:hRule="atLeast"/>
                    </w:trPr>
                    <w:tc>
                      <w:tcPr>
                        <w:tcW w:w="10199" w:type="dxa"/>
                        <w:gridSpan w:val="2"/>
                      </w:tcPr>
                      <w:p>
                        <w:pPr>
                          <w:pStyle w:val="TableParagraph"/>
                          <w:tabs>
                            <w:tab w:pos="2617" w:val="left" w:leader="none"/>
                          </w:tabs>
                          <w:spacing w:line="316" w:lineRule="auto" w:before="124"/>
                          <w:ind w:left="200" w:right="234"/>
                          <w:rPr>
                            <w:sz w:val="18"/>
                          </w:rPr>
                        </w:pPr>
                        <w:r>
                          <w:rPr>
                            <w:b/>
                            <w:sz w:val="18"/>
                          </w:rPr>
                          <w:t>11.</w:t>
                        </w:r>
                        <w:r>
                          <w:rPr>
                            <w:b/>
                            <w:spacing w:val="53"/>
                            <w:sz w:val="18"/>
                          </w:rPr>
                          <w:t> </w:t>
                        </w:r>
                        <w:r>
                          <w:rPr>
                            <w:b/>
                            <w:sz w:val="18"/>
                          </w:rPr>
                          <w:t>脑炎后遗症或脑膜炎</w:t>
                          <w:tab/>
                        </w:r>
                        <w:r>
                          <w:rPr>
                            <w:sz w:val="18"/>
                          </w:rPr>
                          <w:t>指因患脑炎或脑膜炎导致的神经系统永久性的功能障碍</w:t>
                        </w:r>
                        <w:r>
                          <w:rPr>
                            <w:spacing w:val="-18"/>
                            <w:sz w:val="18"/>
                          </w:rPr>
                          <w:t>。</w:t>
                        </w:r>
                        <w:r>
                          <w:rPr>
                            <w:sz w:val="18"/>
                          </w:rPr>
                          <w:t>神经系统永久性的功能障碍</w:t>
                        </w:r>
                        <w:r>
                          <w:rPr>
                            <w:spacing w:val="-18"/>
                            <w:sz w:val="18"/>
                          </w:rPr>
                          <w:t>，</w:t>
                        </w:r>
                        <w:r>
                          <w:rPr>
                            <w:sz w:val="18"/>
                          </w:rPr>
                          <w:t>指疾病</w:t>
                        </w:r>
                        <w:r>
                          <w:rPr>
                            <w:b/>
                            <w:sz w:val="18"/>
                          </w:rPr>
                          <w:t>后遗症</w:t>
                          <w:tab/>
                        </w:r>
                        <w:r>
                          <w:rPr>
                            <w:sz w:val="18"/>
                          </w:rPr>
                          <w:t>确诊</w:t>
                        </w:r>
                        <w:r>
                          <w:rPr>
                            <w:spacing w:val="-46"/>
                            <w:sz w:val="18"/>
                          </w:rPr>
                          <w:t> </w:t>
                        </w:r>
                        <w:r>
                          <w:rPr>
                            <w:sz w:val="18"/>
                          </w:rPr>
                          <w:t>180</w:t>
                        </w:r>
                        <w:r>
                          <w:rPr>
                            <w:spacing w:val="-46"/>
                            <w:sz w:val="18"/>
                          </w:rPr>
                          <w:t> </w:t>
                        </w:r>
                        <w:r>
                          <w:rPr>
                            <w:sz w:val="18"/>
                          </w:rPr>
                          <w:t>天后，仍遗留下列一种或一种以上障碍：</w:t>
                        </w:r>
                      </w:p>
                    </w:tc>
                  </w:tr>
                  <w:tr>
                    <w:trPr>
                      <w:trHeight w:val="468" w:hRule="atLeast"/>
                    </w:trPr>
                    <w:tc>
                      <w:tcPr>
                        <w:tcW w:w="2161" w:type="dxa"/>
                      </w:tcPr>
                      <w:p>
                        <w:pPr>
                          <w:pStyle w:val="TableParagraph"/>
                          <w:rPr>
                            <w:rFonts w:ascii="Times New Roman"/>
                            <w:sz w:val="18"/>
                          </w:rPr>
                        </w:pPr>
                      </w:p>
                    </w:tc>
                    <w:tc>
                      <w:tcPr>
                        <w:tcW w:w="8038" w:type="dxa"/>
                      </w:tcPr>
                      <w:p>
                        <w:pPr>
                          <w:pStyle w:val="TableParagraph"/>
                          <w:spacing w:before="9"/>
                          <w:rPr>
                            <w:sz w:val="12"/>
                          </w:rPr>
                        </w:pPr>
                      </w:p>
                      <w:p>
                        <w:pPr>
                          <w:pStyle w:val="TableParagraph"/>
                          <w:ind w:left="457"/>
                          <w:rPr>
                            <w:sz w:val="18"/>
                          </w:rPr>
                        </w:pPr>
                        <w:r>
                          <w:rPr>
                            <w:sz w:val="18"/>
                          </w:rPr>
                          <w:t>（2）语言能力或咀嚼吞咽能力完全丧失；</w:t>
                        </w:r>
                      </w:p>
                    </w:tc>
                  </w:tr>
                  <w:tr>
                    <w:trPr>
                      <w:trHeight w:val="425" w:hRule="atLeast"/>
                    </w:trPr>
                    <w:tc>
                      <w:tcPr>
                        <w:tcW w:w="2161" w:type="dxa"/>
                      </w:tcPr>
                      <w:p>
                        <w:pPr>
                          <w:pStyle w:val="TableParagraph"/>
                          <w:rPr>
                            <w:rFonts w:ascii="Times New Roman"/>
                            <w:sz w:val="18"/>
                          </w:rPr>
                        </w:pPr>
                      </w:p>
                    </w:tc>
                    <w:tc>
                      <w:tcPr>
                        <w:tcW w:w="8038" w:type="dxa"/>
                      </w:tcPr>
                      <w:p>
                        <w:pPr>
                          <w:pStyle w:val="TableParagraph"/>
                          <w:spacing w:before="10"/>
                          <w:ind w:left="457"/>
                          <w:rPr>
                            <w:sz w:val="18"/>
                          </w:rPr>
                        </w:pPr>
                        <w:r>
                          <w:rPr>
                            <w:sz w:val="18"/>
                          </w:rPr>
                          <w:t>（3）自主生活能力完全丧失，无法独立完成六项基本日常生活活动中的三项或三项以上。</w:t>
                        </w:r>
                      </w:p>
                    </w:tc>
                  </w:tr>
                  <w:tr>
                    <w:trPr>
                      <w:trHeight w:val="1049" w:hRule="atLeast"/>
                    </w:trPr>
                    <w:tc>
                      <w:tcPr>
                        <w:tcW w:w="2161" w:type="dxa"/>
                      </w:tcPr>
                      <w:p>
                        <w:pPr>
                          <w:pStyle w:val="TableParagraph"/>
                          <w:spacing w:before="124"/>
                          <w:ind w:left="200"/>
                          <w:rPr>
                            <w:b/>
                            <w:sz w:val="18"/>
                          </w:rPr>
                        </w:pPr>
                        <w:r>
                          <w:rPr>
                            <w:b/>
                            <w:sz w:val="18"/>
                          </w:rPr>
                          <w:t>12. 深度昏迷</w:t>
                        </w:r>
                      </w:p>
                    </w:tc>
                    <w:tc>
                      <w:tcPr>
                        <w:tcW w:w="8038" w:type="dxa"/>
                      </w:tcPr>
                      <w:p>
                        <w:pPr>
                          <w:pStyle w:val="TableParagraph"/>
                          <w:spacing w:line="310" w:lineRule="atLeast" w:before="49"/>
                          <w:ind w:left="457" w:right="234"/>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w:t>
                        </w:r>
                        <w:r>
                          <w:rPr>
                            <w:spacing w:val="-15"/>
                            <w:sz w:val="18"/>
                          </w:rPr>
                          <w:t>维持系统 </w:t>
                        </w:r>
                        <w:r>
                          <w:rPr>
                            <w:sz w:val="18"/>
                          </w:rPr>
                          <w:t>96</w:t>
                        </w:r>
                        <w:r>
                          <w:rPr>
                            <w:spacing w:val="-9"/>
                            <w:sz w:val="18"/>
                          </w:rPr>
                          <w:t> 小时以上。</w:t>
                        </w:r>
                      </w:p>
                    </w:tc>
                  </w:tr>
                  <w:tr>
                    <w:trPr>
                      <w:trHeight w:val="425" w:hRule="atLeast"/>
                    </w:trPr>
                    <w:tc>
                      <w:tcPr>
                        <w:tcW w:w="2161" w:type="dxa"/>
                      </w:tcPr>
                      <w:p>
                        <w:pPr>
                          <w:pStyle w:val="TableParagraph"/>
                          <w:rPr>
                            <w:rFonts w:ascii="Times New Roman"/>
                            <w:sz w:val="18"/>
                          </w:rPr>
                        </w:pPr>
                      </w:p>
                    </w:tc>
                    <w:tc>
                      <w:tcPr>
                        <w:tcW w:w="8038" w:type="dxa"/>
                      </w:tcPr>
                      <w:p>
                        <w:pPr>
                          <w:pStyle w:val="TableParagraph"/>
                          <w:spacing w:before="10"/>
                          <w:ind w:left="457"/>
                          <w:rPr>
                            <w:sz w:val="18"/>
                          </w:rPr>
                        </w:pPr>
                        <w:r>
                          <w:rPr>
                            <w:sz w:val="18"/>
                          </w:rPr>
                          <w:t>因酗酒或药物滥用导致的深度昏迷不在保障范围内。</w:t>
                        </w:r>
                      </w:p>
                    </w:tc>
                  </w:tr>
                  <w:tr>
                    <w:trPr>
                      <w:trHeight w:val="1163" w:hRule="atLeast"/>
                    </w:trPr>
                    <w:tc>
                      <w:tcPr>
                        <w:tcW w:w="2161" w:type="dxa"/>
                      </w:tcPr>
                      <w:p>
                        <w:pPr>
                          <w:pStyle w:val="TableParagraph"/>
                          <w:spacing w:before="124"/>
                          <w:ind w:left="200"/>
                          <w:rPr>
                            <w:b/>
                            <w:sz w:val="18"/>
                          </w:rPr>
                        </w:pPr>
                        <w:r>
                          <w:rPr>
                            <w:b/>
                            <w:sz w:val="18"/>
                          </w:rPr>
                          <w:t>13. 双耳失聪</w:t>
                        </w:r>
                      </w:p>
                    </w:tc>
                    <w:tc>
                      <w:tcPr>
                        <w:tcW w:w="8038" w:type="dxa"/>
                      </w:tcPr>
                      <w:p>
                        <w:pPr>
                          <w:pStyle w:val="TableParagraph"/>
                          <w:spacing w:before="124"/>
                          <w:ind w:left="457"/>
                          <w:rPr>
                            <w:sz w:val="18"/>
                          </w:rPr>
                        </w:pPr>
                        <w:r>
                          <w:rPr>
                            <w:sz w:val="18"/>
                          </w:rPr>
                          <w:t>指因疾病或意外伤害导致双耳听力</w:t>
                        </w:r>
                        <w:r>
                          <w:rPr>
                            <w:b/>
                            <w:spacing w:val="-5"/>
                            <w:sz w:val="18"/>
                          </w:rPr>
                          <w:t>永久不可逆</w:t>
                        </w:r>
                        <w:r>
                          <w:rPr>
                            <w:sz w:val="18"/>
                          </w:rPr>
                          <w:t>（</w:t>
                        </w:r>
                        <w:r>
                          <w:rPr>
                            <w:spacing w:val="-24"/>
                            <w:sz w:val="18"/>
                          </w:rPr>
                          <w:t>注 </w:t>
                        </w:r>
                        <w:r>
                          <w:rPr>
                            <w:spacing w:val="-11"/>
                            <w:sz w:val="18"/>
                          </w:rPr>
                          <w:t>6）</w:t>
                        </w:r>
                        <w:r>
                          <w:rPr>
                            <w:spacing w:val="-12"/>
                            <w:sz w:val="18"/>
                          </w:rPr>
                          <w:t>性丧失，在 </w:t>
                        </w:r>
                        <w:r>
                          <w:rPr>
                            <w:sz w:val="18"/>
                          </w:rPr>
                          <w:t>500</w:t>
                        </w:r>
                        <w:r>
                          <w:rPr>
                            <w:spacing w:val="-18"/>
                            <w:sz w:val="18"/>
                          </w:rPr>
                          <w:t> 赫兹、</w:t>
                        </w:r>
                        <w:r>
                          <w:rPr>
                            <w:sz w:val="18"/>
                          </w:rPr>
                          <w:t>1000</w:t>
                        </w:r>
                        <w:r>
                          <w:rPr>
                            <w:spacing w:val="-19"/>
                            <w:sz w:val="18"/>
                          </w:rPr>
                          <w:t> 赫兹和 </w:t>
                        </w:r>
                        <w:r>
                          <w:rPr>
                            <w:sz w:val="18"/>
                          </w:rPr>
                          <w:t>2000</w:t>
                        </w:r>
                      </w:p>
                      <w:p>
                        <w:pPr>
                          <w:pStyle w:val="TableParagraph"/>
                          <w:spacing w:line="316" w:lineRule="auto" w:before="76"/>
                          <w:ind w:left="457" w:right="288"/>
                          <w:rPr>
                            <w:sz w:val="18"/>
                          </w:rPr>
                        </w:pPr>
                        <w:r>
                          <w:rPr>
                            <w:spacing w:val="-4"/>
                            <w:sz w:val="18"/>
                          </w:rPr>
                          <w:t>赫兹语音频率下，平均听阈大于 </w:t>
                        </w:r>
                        <w:r>
                          <w:rPr>
                            <w:sz w:val="18"/>
                          </w:rPr>
                          <w:t>90</w:t>
                        </w:r>
                        <w:r>
                          <w:rPr>
                            <w:spacing w:val="-7"/>
                            <w:sz w:val="18"/>
                          </w:rPr>
                          <w:t> 分贝，且经纯音听力测试、声导抗检测或听觉诱发电位检测等证实。</w:t>
                        </w:r>
                      </w:p>
                    </w:tc>
                  </w:tr>
                  <w:tr>
                    <w:trPr>
                      <w:trHeight w:val="894" w:hRule="atLeast"/>
                    </w:trPr>
                    <w:tc>
                      <w:tcPr>
                        <w:tcW w:w="10199" w:type="dxa"/>
                        <w:gridSpan w:val="2"/>
                      </w:tcPr>
                      <w:p>
                        <w:pPr>
                          <w:pStyle w:val="TableParagraph"/>
                          <w:tabs>
                            <w:tab w:pos="2617" w:val="left" w:leader="none"/>
                          </w:tabs>
                          <w:spacing w:line="316" w:lineRule="auto" w:before="124"/>
                          <w:ind w:left="2618" w:right="378" w:hanging="2418"/>
                          <w:rPr>
                            <w:sz w:val="18"/>
                          </w:rPr>
                        </w:pPr>
                        <w:r>
                          <w:rPr>
                            <w:b/>
                            <w:sz w:val="18"/>
                          </w:rPr>
                          <w:t>14.</w:t>
                        </w:r>
                        <w:r>
                          <w:rPr>
                            <w:b/>
                            <w:spacing w:val="55"/>
                            <w:sz w:val="18"/>
                          </w:rPr>
                          <w:t> </w:t>
                        </w:r>
                        <w:r>
                          <w:rPr>
                            <w:b/>
                            <w:sz w:val="18"/>
                          </w:rPr>
                          <w:t>双目失明</w:t>
                          <w:tab/>
                        </w:r>
                        <w:r>
                          <w:rPr>
                            <w:sz w:val="18"/>
                          </w:rPr>
                          <w:t>指因疾病或意外伤害导致双眼视力永久不可逆性丧失，双眼中较好眼须满足下列至少一项条件：</w:t>
                        </w:r>
                      </w:p>
                    </w:tc>
                  </w:tr>
                  <w:tr>
                    <w:trPr>
                      <w:trHeight w:val="468" w:hRule="atLeast"/>
                    </w:trPr>
                    <w:tc>
                      <w:tcPr>
                        <w:tcW w:w="2161" w:type="dxa"/>
                      </w:tcPr>
                      <w:p>
                        <w:pPr>
                          <w:pStyle w:val="TableParagraph"/>
                          <w:rPr>
                            <w:rFonts w:ascii="Times New Roman"/>
                            <w:sz w:val="18"/>
                          </w:rPr>
                        </w:pPr>
                      </w:p>
                    </w:tc>
                    <w:tc>
                      <w:tcPr>
                        <w:tcW w:w="8038" w:type="dxa"/>
                      </w:tcPr>
                      <w:p>
                        <w:pPr>
                          <w:pStyle w:val="TableParagraph"/>
                          <w:spacing w:before="9"/>
                          <w:rPr>
                            <w:sz w:val="12"/>
                          </w:rPr>
                        </w:pPr>
                      </w:p>
                      <w:p>
                        <w:pPr>
                          <w:pStyle w:val="TableParagraph"/>
                          <w:ind w:left="457"/>
                          <w:rPr>
                            <w:sz w:val="18"/>
                          </w:rPr>
                        </w:pPr>
                        <w:r>
                          <w:rPr>
                            <w:sz w:val="18"/>
                          </w:rPr>
                          <w:t>（2）</w:t>
                        </w:r>
                        <w:r>
                          <w:rPr>
                            <w:spacing w:val="-7"/>
                            <w:sz w:val="18"/>
                          </w:rPr>
                          <w:t>矫正视力低于 </w:t>
                        </w:r>
                        <w:r>
                          <w:rPr>
                            <w:sz w:val="18"/>
                          </w:rPr>
                          <w:t>0.02（采用国际标准视力表，如果使用其它视力表应进行换算</w:t>
                        </w:r>
                        <w:r>
                          <w:rPr>
                            <w:spacing w:val="-90"/>
                            <w:sz w:val="18"/>
                          </w:rPr>
                          <w:t>）</w:t>
                        </w:r>
                        <w:r>
                          <w:rPr>
                            <w:sz w:val="18"/>
                          </w:rPr>
                          <w:t>；</w:t>
                        </w:r>
                      </w:p>
                    </w:tc>
                  </w:tr>
                  <w:tr>
                    <w:trPr>
                      <w:trHeight w:val="425" w:hRule="atLeast"/>
                    </w:trPr>
                    <w:tc>
                      <w:tcPr>
                        <w:tcW w:w="2161" w:type="dxa"/>
                      </w:tcPr>
                      <w:p>
                        <w:pPr>
                          <w:pStyle w:val="TableParagraph"/>
                          <w:rPr>
                            <w:rFonts w:ascii="Times New Roman"/>
                            <w:sz w:val="18"/>
                          </w:rPr>
                        </w:pPr>
                      </w:p>
                    </w:tc>
                    <w:tc>
                      <w:tcPr>
                        <w:tcW w:w="8038" w:type="dxa"/>
                      </w:tcPr>
                      <w:p>
                        <w:pPr>
                          <w:pStyle w:val="TableParagraph"/>
                          <w:spacing w:before="10"/>
                          <w:ind w:left="457"/>
                          <w:rPr>
                            <w:sz w:val="18"/>
                          </w:rPr>
                        </w:pPr>
                        <w:r>
                          <w:rPr>
                            <w:sz w:val="18"/>
                          </w:rPr>
                          <w:t>（3）视野半径小于 5 度。</w:t>
                        </w:r>
                      </w:p>
                    </w:tc>
                  </w:tr>
                  <w:tr>
                    <w:trPr>
                      <w:trHeight w:val="1162" w:hRule="atLeast"/>
                    </w:trPr>
                    <w:tc>
                      <w:tcPr>
                        <w:tcW w:w="2161" w:type="dxa"/>
                      </w:tcPr>
                      <w:p>
                        <w:pPr>
                          <w:pStyle w:val="TableParagraph"/>
                          <w:spacing w:before="124"/>
                          <w:ind w:left="200"/>
                          <w:rPr>
                            <w:b/>
                            <w:sz w:val="18"/>
                          </w:rPr>
                        </w:pPr>
                        <w:r>
                          <w:rPr>
                            <w:b/>
                            <w:sz w:val="18"/>
                          </w:rPr>
                          <w:t>15. 瘫 痪</w:t>
                        </w:r>
                      </w:p>
                    </w:tc>
                    <w:tc>
                      <w:tcPr>
                        <w:tcW w:w="8038" w:type="dxa"/>
                      </w:tcPr>
                      <w:p>
                        <w:pPr>
                          <w:pStyle w:val="TableParagraph"/>
                          <w:spacing w:line="316" w:lineRule="auto" w:before="124"/>
                          <w:ind w:left="457" w:right="234"/>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1"/>
                            <w:sz w:val="18"/>
                          </w:rPr>
                          <w:t> 天后或意外伤害发生 </w:t>
                        </w:r>
                        <w:r>
                          <w:rPr>
                            <w:sz w:val="18"/>
                          </w:rPr>
                          <w:t>180</w:t>
                        </w:r>
                        <w:r>
                          <w:rPr>
                            <w:spacing w:val="-10"/>
                            <w:sz w:val="18"/>
                          </w:rPr>
                          <w:t> 天后，每肢三大关节中的两大关节仍然完全僵硬，或不能随意识活动。</w:t>
                        </w:r>
                      </w:p>
                    </w:tc>
                  </w:tr>
                  <w:tr>
                    <w:trPr>
                      <w:trHeight w:val="538" w:hRule="atLeast"/>
                    </w:trPr>
                    <w:tc>
                      <w:tcPr>
                        <w:tcW w:w="2161" w:type="dxa"/>
                      </w:tcPr>
                      <w:p>
                        <w:pPr>
                          <w:pStyle w:val="TableParagraph"/>
                          <w:spacing w:before="124"/>
                          <w:ind w:left="200"/>
                          <w:rPr>
                            <w:b/>
                            <w:sz w:val="18"/>
                          </w:rPr>
                        </w:pPr>
                        <w:r>
                          <w:rPr>
                            <w:b/>
                            <w:sz w:val="18"/>
                          </w:rPr>
                          <w:t>16. 心脏瓣膜手术</w:t>
                        </w:r>
                      </w:p>
                    </w:tc>
                    <w:tc>
                      <w:tcPr>
                        <w:tcW w:w="8038" w:type="dxa"/>
                      </w:tcPr>
                      <w:p>
                        <w:pPr>
                          <w:pStyle w:val="TableParagraph"/>
                          <w:spacing w:before="124"/>
                          <w:ind w:left="457"/>
                          <w:rPr>
                            <w:sz w:val="18"/>
                          </w:rPr>
                        </w:pPr>
                        <w:r>
                          <w:rPr>
                            <w:sz w:val="18"/>
                          </w:rPr>
                          <w:t>指为治疗心脏瓣膜疾病，实际实施了开胸进行的心脏瓣膜置换或修复的手术。</w:t>
                        </w:r>
                      </w:p>
                    </w:tc>
                  </w:tr>
                  <w:tr>
                    <w:trPr>
                      <w:trHeight w:val="1295" w:hRule="atLeast"/>
                    </w:trPr>
                    <w:tc>
                      <w:tcPr>
                        <w:tcW w:w="2161" w:type="dxa"/>
                      </w:tcPr>
                      <w:p>
                        <w:pPr>
                          <w:pStyle w:val="TableParagraph"/>
                          <w:spacing w:before="124"/>
                          <w:ind w:left="200"/>
                          <w:rPr>
                            <w:b/>
                            <w:sz w:val="18"/>
                          </w:rPr>
                        </w:pPr>
                        <w:r>
                          <w:rPr>
                            <w:b/>
                            <w:sz w:val="18"/>
                          </w:rPr>
                          <w:t>17. 严重阿尔茨海默病</w:t>
                        </w:r>
                      </w:p>
                    </w:tc>
                    <w:tc>
                      <w:tcPr>
                        <w:tcW w:w="8038" w:type="dxa"/>
                      </w:tcPr>
                      <w:p>
                        <w:pPr>
                          <w:pStyle w:val="TableParagraph"/>
                          <w:spacing w:line="310" w:lineRule="atLeast" w:before="49"/>
                          <w:ind w:left="457" w:right="198"/>
                          <w:rPr>
                            <w:sz w:val="18"/>
                          </w:rPr>
                        </w:pP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r>
                          <w:rPr>
                            <w:spacing w:val="-2"/>
                            <w:sz w:val="18"/>
                          </w:rPr>
                          <w:t>磁共振检查</w:t>
                        </w:r>
                        <w:r>
                          <w:rPr>
                            <w:sz w:val="18"/>
                          </w:rPr>
                          <w:t>（MRI）</w:t>
                        </w:r>
                        <w:r>
                          <w:rPr>
                            <w:spacing w:val="-1"/>
                            <w:sz w:val="18"/>
                          </w:rPr>
                          <w:t>或正电子发射断层扫描</w:t>
                        </w:r>
                        <w:r>
                          <w:rPr>
                            <w:sz w:val="18"/>
                          </w:rPr>
                          <w:t>（PET）</w:t>
                        </w:r>
                        <w:r>
                          <w:rPr>
                            <w:spacing w:val="-1"/>
                            <w:sz w:val="18"/>
                          </w:rPr>
                          <w:t>等影像学检查证实，且自主生活能力完全丧失，无法独立完成六项基本日常生活活动中的三项或三项以上。</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BodyText"/>
        <w:spacing w:before="44"/>
        <w:ind w:left="2723"/>
      </w:pPr>
      <w:r>
        <w:rPr/>
        <w:t>（1）实际实施了开颅进行的脑肿瘤完全切除或部分切除的手术；</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（3）肝性脑病；</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（1）一肢或一肢以上肢体机能完全丧失；</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4"/>
        </w:rPr>
      </w:pPr>
    </w:p>
    <w:p>
      <w:pPr>
        <w:pStyle w:val="BodyText"/>
        <w:spacing w:before="1"/>
        <w:ind w:left="2723"/>
      </w:pPr>
      <w:r>
        <w:rPr/>
        <w:t>（1）眼球缺失或摘除；</w:t>
      </w:r>
    </w:p>
    <w:p>
      <w:pPr>
        <w:spacing w:after="0"/>
        <w:sectPr>
          <w:headerReference w:type="default" r:id="rId10"/>
          <w:pgSz w:w="11910" w:h="16840"/>
          <w:pgMar w:header="857" w:footer="981" w:top="1040" w:bottom="1180" w:left="880" w:right="620"/>
        </w:sectPr>
      </w:pPr>
    </w:p>
    <w:p>
      <w:pPr>
        <w:pStyle w:val="BodyText"/>
        <w:rPr>
          <w:sz w:val="20"/>
        </w:rPr>
      </w:pPr>
      <w:r>
        <w:rPr/>
        <w:pict>
          <v:shape style="position:absolute;margin-left:49.279701pt;margin-top:55.259998pt;width:512.65pt;height:718.65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7820"/>
                  </w:tblGrid>
                  <w:tr>
                    <w:trPr>
                      <w:trHeight w:val="723" w:hRule="atLeast"/>
                    </w:trPr>
                    <w:tc>
                      <w:tcPr>
                        <w:tcW w:w="2433" w:type="dxa"/>
                        <w:tcBorders>
                          <w:top w:val="single" w:sz="6" w:space="0" w:color="000000"/>
                        </w:tcBorders>
                      </w:tcPr>
                      <w:p>
                        <w:pPr>
                          <w:pStyle w:val="TableParagraph"/>
                          <w:rPr>
                            <w:rFonts w:ascii="Times New Roman"/>
                            <w:sz w:val="16"/>
                          </w:rPr>
                        </w:pPr>
                      </w:p>
                    </w:tc>
                    <w:tc>
                      <w:tcPr>
                        <w:tcW w:w="7820" w:type="dxa"/>
                        <w:tcBorders>
                          <w:top w:val="single" w:sz="6" w:space="0" w:color="000000"/>
                        </w:tcBorders>
                      </w:tcPr>
                      <w:p>
                        <w:pPr>
                          <w:pStyle w:val="TableParagraph"/>
                          <w:spacing w:before="8"/>
                          <w:rPr>
                            <w:sz w:val="23"/>
                          </w:rPr>
                        </w:pPr>
                      </w:p>
                      <w:p>
                        <w:pPr>
                          <w:pStyle w:val="TableParagraph"/>
                          <w:ind w:left="185"/>
                          <w:rPr>
                            <w:sz w:val="18"/>
                          </w:rPr>
                        </w:pPr>
                        <w:r>
                          <w:rPr>
                            <w:sz w:val="18"/>
                          </w:rPr>
                          <w:t>神经官能症和精神疾病不在保障范围内。</w:t>
                        </w:r>
                      </w:p>
                    </w:tc>
                  </w:tr>
                  <w:tr>
                    <w:trPr>
                      <w:trHeight w:val="1205" w:hRule="atLeast"/>
                    </w:trPr>
                    <w:tc>
                      <w:tcPr>
                        <w:tcW w:w="10253" w:type="dxa"/>
                        <w:gridSpan w:val="2"/>
                      </w:tcPr>
                      <w:p>
                        <w:pPr>
                          <w:pStyle w:val="TableParagraph"/>
                          <w:tabs>
                            <w:tab w:pos="2617" w:val="left" w:leader="none"/>
                          </w:tabs>
                          <w:spacing w:line="316" w:lineRule="auto" w:before="124"/>
                          <w:ind w:left="2618" w:right="289" w:hanging="2418"/>
                          <w:jc w:val="both"/>
                          <w:rPr>
                            <w:sz w:val="18"/>
                          </w:rPr>
                        </w:pPr>
                        <w:r>
                          <w:rPr>
                            <w:b/>
                            <w:sz w:val="18"/>
                          </w:rPr>
                          <w:t>18.</w:t>
                        </w:r>
                        <w:r>
                          <w:rPr>
                            <w:b/>
                            <w:spacing w:val="55"/>
                            <w:sz w:val="18"/>
                          </w:rPr>
                          <w:t> </w:t>
                        </w: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tc>
                  </w:tr>
                  <w:tr>
                    <w:trPr>
                      <w:trHeight w:val="468" w:hRule="atLeast"/>
                    </w:trPr>
                    <w:tc>
                      <w:tcPr>
                        <w:tcW w:w="2433" w:type="dxa"/>
                      </w:tcPr>
                      <w:p>
                        <w:pPr>
                          <w:pStyle w:val="TableParagraph"/>
                          <w:rPr>
                            <w:rFonts w:ascii="Times New Roman"/>
                            <w:sz w:val="16"/>
                          </w:rPr>
                        </w:pPr>
                      </w:p>
                    </w:tc>
                    <w:tc>
                      <w:tcPr>
                        <w:tcW w:w="7820" w:type="dxa"/>
                      </w:tcPr>
                      <w:p>
                        <w:pPr>
                          <w:pStyle w:val="TableParagraph"/>
                          <w:spacing w:before="9"/>
                          <w:rPr>
                            <w:sz w:val="12"/>
                          </w:rPr>
                        </w:pPr>
                      </w:p>
                      <w:p>
                        <w:pPr>
                          <w:pStyle w:val="TableParagraph"/>
                          <w:ind w:left="185"/>
                          <w:rPr>
                            <w:sz w:val="18"/>
                          </w:rPr>
                        </w:pPr>
                        <w:r>
                          <w:rPr>
                            <w:sz w:val="18"/>
                          </w:rPr>
                          <w:t>（2）语言能力或咀嚼吞咽能力完全丧失；</w:t>
                        </w:r>
                      </w:p>
                    </w:tc>
                  </w:tr>
                  <w:tr>
                    <w:trPr>
                      <w:trHeight w:val="425" w:hRule="atLeast"/>
                    </w:trPr>
                    <w:tc>
                      <w:tcPr>
                        <w:tcW w:w="2433" w:type="dxa"/>
                      </w:tcPr>
                      <w:p>
                        <w:pPr>
                          <w:pStyle w:val="TableParagraph"/>
                          <w:rPr>
                            <w:rFonts w:ascii="Times New Roman"/>
                            <w:sz w:val="16"/>
                          </w:rPr>
                        </w:pPr>
                      </w:p>
                    </w:tc>
                    <w:tc>
                      <w:tcPr>
                        <w:tcW w:w="7820" w:type="dxa"/>
                      </w:tcPr>
                      <w:p>
                        <w:pPr>
                          <w:pStyle w:val="TableParagraph"/>
                          <w:spacing w:before="10"/>
                          <w:ind w:left="185"/>
                          <w:rPr>
                            <w:sz w:val="18"/>
                          </w:rPr>
                        </w:pPr>
                        <w:r>
                          <w:rPr>
                            <w:sz w:val="18"/>
                          </w:rPr>
                          <w:t>（3）自主生活能力完全丧失，无法独立完成六项基本日常生活活动中的三项或三项以上。</w:t>
                        </w:r>
                      </w:p>
                    </w:tc>
                  </w:tr>
                  <w:tr>
                    <w:trPr>
                      <w:trHeight w:val="581" w:hRule="atLeast"/>
                    </w:trPr>
                    <w:tc>
                      <w:tcPr>
                        <w:tcW w:w="10253" w:type="dxa"/>
                        <w:gridSpan w:val="2"/>
                      </w:tcPr>
                      <w:p>
                        <w:pPr>
                          <w:pStyle w:val="TableParagraph"/>
                          <w:tabs>
                            <w:tab w:pos="2617" w:val="left" w:leader="none"/>
                          </w:tabs>
                          <w:spacing w:before="124"/>
                          <w:ind w:left="200"/>
                          <w:rPr>
                            <w:sz w:val="18"/>
                          </w:rPr>
                        </w:pPr>
                        <w:r>
                          <w:rPr>
                            <w:b/>
                            <w:sz w:val="18"/>
                          </w:rPr>
                          <w:t>19.</w:t>
                        </w:r>
                        <w:r>
                          <w:rPr>
                            <w:b/>
                            <w:spacing w:val="53"/>
                            <w:sz w:val="18"/>
                          </w:rPr>
                          <w:t> </w:t>
                        </w: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tc>
                  </w:tr>
                  <w:tr>
                    <w:trPr>
                      <w:trHeight w:val="467" w:hRule="atLeast"/>
                    </w:trPr>
                    <w:tc>
                      <w:tcPr>
                        <w:tcW w:w="2433" w:type="dxa"/>
                      </w:tcPr>
                      <w:p>
                        <w:pPr>
                          <w:pStyle w:val="TableParagraph"/>
                          <w:rPr>
                            <w:rFonts w:ascii="Times New Roman"/>
                            <w:sz w:val="16"/>
                          </w:rPr>
                        </w:pPr>
                      </w:p>
                    </w:tc>
                    <w:tc>
                      <w:tcPr>
                        <w:tcW w:w="7820" w:type="dxa"/>
                      </w:tcPr>
                      <w:p>
                        <w:pPr>
                          <w:pStyle w:val="TableParagraph"/>
                          <w:spacing w:before="9"/>
                          <w:rPr>
                            <w:sz w:val="12"/>
                          </w:rPr>
                        </w:pPr>
                      </w:p>
                      <w:p>
                        <w:pPr>
                          <w:pStyle w:val="TableParagraph"/>
                          <w:ind w:left="185"/>
                          <w:rPr>
                            <w:sz w:val="18"/>
                          </w:rPr>
                        </w:pPr>
                        <w:r>
                          <w:rPr>
                            <w:sz w:val="18"/>
                          </w:rPr>
                          <w:t>（2）自主生活能力完全丧失，无法独立完成六项基本日常生活活动中的三项或三项以上。</w:t>
                        </w:r>
                      </w:p>
                    </w:tc>
                  </w:tr>
                  <w:tr>
                    <w:trPr>
                      <w:trHeight w:val="425" w:hRule="atLeast"/>
                    </w:trPr>
                    <w:tc>
                      <w:tcPr>
                        <w:tcW w:w="2433" w:type="dxa"/>
                      </w:tcPr>
                      <w:p>
                        <w:pPr>
                          <w:pStyle w:val="TableParagraph"/>
                          <w:rPr>
                            <w:rFonts w:ascii="Times New Roman"/>
                            <w:sz w:val="16"/>
                          </w:rPr>
                        </w:pPr>
                      </w:p>
                    </w:tc>
                    <w:tc>
                      <w:tcPr>
                        <w:tcW w:w="7820" w:type="dxa"/>
                      </w:tcPr>
                      <w:p>
                        <w:pPr>
                          <w:pStyle w:val="TableParagraph"/>
                          <w:spacing w:before="10"/>
                          <w:ind w:left="185"/>
                          <w:rPr>
                            <w:sz w:val="18"/>
                          </w:rPr>
                        </w:pPr>
                        <w:r>
                          <w:rPr>
                            <w:sz w:val="18"/>
                          </w:rPr>
                          <w:t>继发性帕金森综合征不在保障范围内。</w:t>
                        </w:r>
                      </w:p>
                    </w:tc>
                  </w:tr>
                  <w:tr>
                    <w:trPr>
                      <w:trHeight w:val="850" w:hRule="atLeast"/>
                    </w:trPr>
                    <w:tc>
                      <w:tcPr>
                        <w:tcW w:w="2433" w:type="dxa"/>
                      </w:tcPr>
                      <w:p>
                        <w:pPr>
                          <w:pStyle w:val="TableParagraph"/>
                          <w:spacing w:before="124"/>
                          <w:ind w:left="200"/>
                          <w:rPr>
                            <w:b/>
                            <w:sz w:val="18"/>
                          </w:rPr>
                        </w:pPr>
                        <w:r>
                          <w:rPr>
                            <w:b/>
                            <w:sz w:val="18"/>
                          </w:rPr>
                          <w:t>20. 严重Ⅲ度烧伤</w:t>
                        </w:r>
                      </w:p>
                    </w:tc>
                    <w:tc>
                      <w:tcPr>
                        <w:tcW w:w="7820" w:type="dxa"/>
                      </w:tcPr>
                      <w:p>
                        <w:pPr>
                          <w:pStyle w:val="TableParagraph"/>
                          <w:spacing w:line="316" w:lineRule="auto" w:before="124"/>
                          <w:ind w:left="185" w:right="290"/>
                          <w:rPr>
                            <w:sz w:val="18"/>
                          </w:rPr>
                        </w:pP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tc>
                  </w:tr>
                  <w:tr>
                    <w:trPr>
                      <w:trHeight w:val="1162" w:hRule="atLeast"/>
                    </w:trPr>
                    <w:tc>
                      <w:tcPr>
                        <w:tcW w:w="2433" w:type="dxa"/>
                      </w:tcPr>
                      <w:p>
                        <w:pPr>
                          <w:pStyle w:val="TableParagraph"/>
                          <w:spacing w:line="316" w:lineRule="auto" w:before="124"/>
                          <w:ind w:left="200" w:right="183"/>
                          <w:rPr>
                            <w:b/>
                            <w:sz w:val="18"/>
                          </w:rPr>
                        </w:pPr>
                        <w:r>
                          <w:rPr>
                            <w:b/>
                            <w:sz w:val="18"/>
                          </w:rPr>
                          <w:t>21. 严重原发性肺动脉高压</w:t>
                        </w:r>
                      </w:p>
                    </w:tc>
                    <w:tc>
                      <w:tcPr>
                        <w:tcW w:w="7820" w:type="dxa"/>
                      </w:tcPr>
                      <w:p>
                        <w:pPr>
                          <w:pStyle w:val="TableParagraph"/>
                          <w:spacing w:line="316" w:lineRule="auto" w:before="124"/>
                          <w:ind w:left="185" w:right="288"/>
                          <w:jc w:val="both"/>
                          <w:rPr>
                            <w:sz w:val="18"/>
                          </w:rPr>
                        </w:pPr>
                        <w:r>
                          <w:rPr>
                            <w:spacing w:val="-3"/>
                            <w:sz w:val="18"/>
                          </w:rPr>
                          <w:t>指不明原因的肺动脉压力持续性增高，进行性发展而导致的慢性疾病，已经造成永久不可逆性</w:t>
                        </w:r>
                        <w:r>
                          <w:rPr>
                            <w:spacing w:val="-2"/>
                            <w:sz w:val="18"/>
                          </w:rPr>
                          <w:t>的体力活动能力受限，达到美国纽约心脏病学会心功能状态分级</w:t>
                        </w:r>
                        <w:r>
                          <w:rPr>
                            <w:sz w:val="18"/>
                          </w:rPr>
                          <w:t>IV</w:t>
                        </w:r>
                        <w:r>
                          <w:rPr>
                            <w:spacing w:val="-7"/>
                            <w:sz w:val="18"/>
                          </w:rPr>
                          <w:t> 级，且静息状态下肺动脉</w:t>
                        </w:r>
                        <w:r>
                          <w:rPr>
                            <w:spacing w:val="-14"/>
                            <w:sz w:val="18"/>
                          </w:rPr>
                          <w:t>平均压超过 </w:t>
                        </w:r>
                        <w:r>
                          <w:rPr>
                            <w:sz w:val="18"/>
                          </w:rPr>
                          <w:t>30mmHg。</w:t>
                        </w:r>
                      </w:p>
                    </w:tc>
                  </w:tr>
                  <w:tr>
                    <w:trPr>
                      <w:trHeight w:val="1163" w:hRule="atLeast"/>
                    </w:trPr>
                    <w:tc>
                      <w:tcPr>
                        <w:tcW w:w="2433" w:type="dxa"/>
                      </w:tcPr>
                      <w:p>
                        <w:pPr>
                          <w:pStyle w:val="TableParagraph"/>
                          <w:spacing w:before="124"/>
                          <w:ind w:left="200"/>
                          <w:rPr>
                            <w:b/>
                            <w:sz w:val="18"/>
                          </w:rPr>
                        </w:pPr>
                        <w:r>
                          <w:rPr>
                            <w:b/>
                            <w:sz w:val="18"/>
                          </w:rPr>
                          <w:t>22. 严重运动神经元病</w:t>
                        </w:r>
                      </w:p>
                    </w:tc>
                    <w:tc>
                      <w:tcPr>
                        <w:tcW w:w="7820" w:type="dxa"/>
                      </w:tcPr>
                      <w:p>
                        <w:pPr>
                          <w:pStyle w:val="TableParagraph"/>
                          <w:spacing w:line="316" w:lineRule="auto" w:before="124"/>
                          <w:ind w:left="185" w:right="288"/>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738" w:hRule="atLeast"/>
                    </w:trPr>
                    <w:tc>
                      <w:tcPr>
                        <w:tcW w:w="2433" w:type="dxa"/>
                      </w:tcPr>
                      <w:p>
                        <w:pPr>
                          <w:pStyle w:val="TableParagraph"/>
                          <w:spacing w:before="124"/>
                          <w:ind w:left="200"/>
                          <w:rPr>
                            <w:b/>
                            <w:sz w:val="18"/>
                          </w:rPr>
                        </w:pPr>
                        <w:r>
                          <w:rPr>
                            <w:b/>
                            <w:sz w:val="18"/>
                          </w:rPr>
                          <w:t>23. 语言能力丧失</w:t>
                        </w:r>
                      </w:p>
                    </w:tc>
                    <w:tc>
                      <w:tcPr>
                        <w:tcW w:w="7820" w:type="dxa"/>
                      </w:tcPr>
                      <w:p>
                        <w:pPr>
                          <w:pStyle w:val="TableParagraph"/>
                          <w:spacing w:line="310" w:lineRule="atLeast" w:before="50"/>
                          <w:ind w:left="185" w:right="342"/>
                          <w:rPr>
                            <w:sz w:val="18"/>
                          </w:rPr>
                        </w:pP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tc>
                  </w:tr>
                  <w:tr>
                    <w:trPr>
                      <w:trHeight w:val="425" w:hRule="atLeast"/>
                    </w:trPr>
                    <w:tc>
                      <w:tcPr>
                        <w:tcW w:w="2433" w:type="dxa"/>
                      </w:tcPr>
                      <w:p>
                        <w:pPr>
                          <w:pStyle w:val="TableParagraph"/>
                          <w:rPr>
                            <w:rFonts w:ascii="Times New Roman"/>
                            <w:sz w:val="16"/>
                          </w:rPr>
                        </w:pPr>
                      </w:p>
                    </w:tc>
                    <w:tc>
                      <w:tcPr>
                        <w:tcW w:w="7820" w:type="dxa"/>
                      </w:tcPr>
                      <w:p>
                        <w:pPr>
                          <w:pStyle w:val="TableParagraph"/>
                          <w:spacing w:before="10"/>
                          <w:ind w:left="185"/>
                          <w:rPr>
                            <w:sz w:val="18"/>
                          </w:rPr>
                        </w:pPr>
                        <w:r>
                          <w:rPr>
                            <w:sz w:val="18"/>
                          </w:rPr>
                          <w:t>精神心理因素所致的语言能力丧失不在保障范围内。</w:t>
                        </w:r>
                      </w:p>
                    </w:tc>
                  </w:tr>
                  <w:tr>
                    <w:trPr>
                      <w:trHeight w:val="1517" w:hRule="atLeast"/>
                    </w:trPr>
                    <w:tc>
                      <w:tcPr>
                        <w:tcW w:w="10253" w:type="dxa"/>
                        <w:gridSpan w:val="2"/>
                      </w:tcPr>
                      <w:p>
                        <w:pPr>
                          <w:pStyle w:val="TableParagraph"/>
                          <w:tabs>
                            <w:tab w:pos="2617" w:val="left" w:leader="none"/>
                          </w:tabs>
                          <w:spacing w:line="316" w:lineRule="auto" w:before="124"/>
                          <w:ind w:left="2618" w:right="288" w:hanging="2418"/>
                          <w:rPr>
                            <w:sz w:val="18"/>
                          </w:rPr>
                        </w:pPr>
                        <w:r>
                          <w:rPr>
                            <w:b/>
                            <w:sz w:val="18"/>
                          </w:rPr>
                          <w:t>24.</w:t>
                        </w:r>
                        <w:r>
                          <w:rPr>
                            <w:b/>
                            <w:spacing w:val="53"/>
                            <w:sz w:val="18"/>
                          </w:rPr>
                          <w:t> </w:t>
                        </w: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须满足以下全部条件：</w:t>
                        </w:r>
                      </w:p>
                      <w:p>
                        <w:pPr>
                          <w:pStyle w:val="TableParagraph"/>
                          <w:spacing w:before="19"/>
                          <w:ind w:left="2618"/>
                          <w:rPr>
                            <w:sz w:val="18"/>
                          </w:rPr>
                        </w:pPr>
                        <w:r>
                          <w:rPr>
                            <w:sz w:val="18"/>
                          </w:rPr>
                          <w:t>（1）骨髓穿刺检查或骨髓活检结果支持诊断；</w:t>
                        </w:r>
                      </w:p>
                      <w:p>
                        <w:pPr>
                          <w:pStyle w:val="TableParagraph"/>
                          <w:spacing w:before="76"/>
                          <w:ind w:left="2618"/>
                          <w:rPr>
                            <w:sz w:val="18"/>
                          </w:rPr>
                        </w:pPr>
                        <w:r>
                          <w:rPr>
                            <w:sz w:val="18"/>
                          </w:rPr>
                          <w:t>（2）外周血象必须具备以下三项条件：</w:t>
                        </w:r>
                      </w:p>
                    </w:tc>
                  </w:tr>
                  <w:tr>
                    <w:trPr>
                      <w:trHeight w:val="461" w:hRule="atLeast"/>
                    </w:trPr>
                    <w:tc>
                      <w:tcPr>
                        <w:tcW w:w="2433" w:type="dxa"/>
                      </w:tcPr>
                      <w:p>
                        <w:pPr>
                          <w:pStyle w:val="TableParagraph"/>
                          <w:rPr>
                            <w:rFonts w:ascii="Times New Roman"/>
                            <w:sz w:val="16"/>
                          </w:rPr>
                        </w:pPr>
                      </w:p>
                    </w:tc>
                    <w:tc>
                      <w:tcPr>
                        <w:tcW w:w="7820" w:type="dxa"/>
                      </w:tcPr>
                      <w:p>
                        <w:pPr>
                          <w:pStyle w:val="TableParagraph"/>
                          <w:spacing w:before="9"/>
                          <w:rPr>
                            <w:sz w:val="12"/>
                          </w:rPr>
                        </w:pPr>
                      </w:p>
                      <w:p>
                        <w:pPr>
                          <w:pStyle w:val="TableParagraph"/>
                          <w:ind w:left="185"/>
                          <w:rPr>
                            <w:sz w:val="18"/>
                          </w:rPr>
                        </w:pPr>
                        <w:r>
                          <w:rPr>
                            <w:sz w:val="18"/>
                          </w:rPr>
                          <w:t>② 网织红细胞＜1%；</w:t>
                        </w:r>
                      </w:p>
                    </w:tc>
                  </w:tr>
                  <w:tr>
                    <w:trPr>
                      <w:trHeight w:val="431" w:hRule="atLeast"/>
                    </w:trPr>
                    <w:tc>
                      <w:tcPr>
                        <w:tcW w:w="2433" w:type="dxa"/>
                      </w:tcPr>
                      <w:p>
                        <w:pPr>
                          <w:pStyle w:val="TableParagraph"/>
                          <w:rPr>
                            <w:rFonts w:ascii="Times New Roman"/>
                            <w:sz w:val="16"/>
                          </w:rPr>
                        </w:pPr>
                      </w:p>
                    </w:tc>
                    <w:tc>
                      <w:tcPr>
                        <w:tcW w:w="7820" w:type="dxa"/>
                      </w:tcPr>
                      <w:p>
                        <w:pPr>
                          <w:pStyle w:val="TableParagraph"/>
                          <w:spacing w:before="16"/>
                          <w:ind w:left="185"/>
                          <w:rPr>
                            <w:sz w:val="18"/>
                          </w:rPr>
                        </w:pPr>
                        <w:r>
                          <w:rPr>
                            <w:sz w:val="18"/>
                          </w:rPr>
                          <w:t>③ 血小板绝对值≤20×10</w:t>
                        </w:r>
                        <w:r>
                          <w:rPr>
                            <w:b/>
                            <w:position w:val="9"/>
                            <w:sz w:val="9"/>
                          </w:rPr>
                          <w:t>9</w:t>
                        </w:r>
                        <w:r>
                          <w:rPr>
                            <w:sz w:val="18"/>
                          </w:rPr>
                          <w:t>/L。</w:t>
                        </w:r>
                      </w:p>
                    </w:tc>
                  </w:tr>
                  <w:tr>
                    <w:trPr>
                      <w:trHeight w:val="737" w:hRule="atLeast"/>
                    </w:trPr>
                    <w:tc>
                      <w:tcPr>
                        <w:tcW w:w="2433" w:type="dxa"/>
                      </w:tcPr>
                      <w:p>
                        <w:pPr>
                          <w:pStyle w:val="TableParagraph"/>
                          <w:spacing w:before="124"/>
                          <w:ind w:left="200"/>
                          <w:rPr>
                            <w:b/>
                            <w:sz w:val="18"/>
                          </w:rPr>
                        </w:pPr>
                        <w:r>
                          <w:rPr>
                            <w:b/>
                            <w:sz w:val="18"/>
                          </w:rPr>
                          <w:t>25. 主动脉手术</w:t>
                        </w:r>
                      </w:p>
                    </w:tc>
                    <w:tc>
                      <w:tcPr>
                        <w:tcW w:w="7820" w:type="dxa"/>
                      </w:tcPr>
                      <w:p>
                        <w:pPr>
                          <w:pStyle w:val="TableParagraph"/>
                          <w:spacing w:line="310" w:lineRule="atLeast" w:before="49"/>
                          <w:ind w:left="184" w:right="198"/>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tc>
                  </w:tr>
                  <w:tr>
                    <w:trPr>
                      <w:trHeight w:val="425" w:hRule="atLeast"/>
                    </w:trPr>
                    <w:tc>
                      <w:tcPr>
                        <w:tcW w:w="2433" w:type="dxa"/>
                      </w:tcPr>
                      <w:p>
                        <w:pPr>
                          <w:pStyle w:val="TableParagraph"/>
                          <w:rPr>
                            <w:rFonts w:ascii="Times New Roman"/>
                            <w:sz w:val="16"/>
                          </w:rPr>
                        </w:pPr>
                      </w:p>
                    </w:tc>
                    <w:tc>
                      <w:tcPr>
                        <w:tcW w:w="7820" w:type="dxa"/>
                      </w:tcPr>
                      <w:p>
                        <w:pPr>
                          <w:pStyle w:val="TableParagraph"/>
                          <w:spacing w:before="10"/>
                          <w:ind w:left="184"/>
                          <w:rPr>
                            <w:sz w:val="18"/>
                          </w:rPr>
                        </w:pPr>
                        <w:r>
                          <w:rPr>
                            <w:sz w:val="18"/>
                          </w:rPr>
                          <w:t>动脉内血管成形术不在保障范围内。</w:t>
                        </w:r>
                      </w:p>
                    </w:tc>
                  </w:tr>
                  <w:tr>
                    <w:trPr>
                      <w:trHeight w:val="850" w:hRule="atLeast"/>
                    </w:trPr>
                    <w:tc>
                      <w:tcPr>
                        <w:tcW w:w="2433" w:type="dxa"/>
                      </w:tcPr>
                      <w:p>
                        <w:pPr>
                          <w:pStyle w:val="TableParagraph"/>
                          <w:spacing w:before="124"/>
                          <w:ind w:left="200"/>
                          <w:rPr>
                            <w:b/>
                            <w:sz w:val="18"/>
                          </w:rPr>
                        </w:pPr>
                        <w:r>
                          <w:rPr>
                            <w:b/>
                            <w:sz w:val="18"/>
                          </w:rPr>
                          <w:t>26. 植物人</w:t>
                        </w:r>
                      </w:p>
                    </w:tc>
                    <w:tc>
                      <w:tcPr>
                        <w:tcW w:w="7820" w:type="dxa"/>
                      </w:tcPr>
                      <w:p>
                        <w:pPr>
                          <w:pStyle w:val="TableParagraph"/>
                          <w:spacing w:line="316" w:lineRule="auto" w:before="124"/>
                          <w:ind w:left="184" w:right="253"/>
                          <w:rPr>
                            <w:sz w:val="18"/>
                          </w:rPr>
                        </w:pPr>
                        <w:r>
                          <w:rPr>
                            <w:sz w:val="18"/>
                          </w:rPr>
                          <w:t>指经本公司认可的神经科医生确诊，大脑皮质全面坏死，意识完全丧失，但脑干仍保持完好， 且此情况维持一个月以上。</w:t>
                        </w:r>
                      </w:p>
                    </w:tc>
                  </w:tr>
                  <w:tr>
                    <w:trPr>
                      <w:trHeight w:val="1295" w:hRule="atLeast"/>
                    </w:trPr>
                    <w:tc>
                      <w:tcPr>
                        <w:tcW w:w="10253" w:type="dxa"/>
                        <w:gridSpan w:val="2"/>
                      </w:tcPr>
                      <w:p>
                        <w:pPr>
                          <w:pStyle w:val="TableParagraph"/>
                          <w:numPr>
                            <w:ilvl w:val="0"/>
                            <w:numId w:val="9"/>
                          </w:numPr>
                          <w:tabs>
                            <w:tab w:pos="620" w:val="left" w:leader="none"/>
                            <w:tab w:pos="2617" w:val="left" w:leader="none"/>
                          </w:tabs>
                          <w:spacing w:line="316" w:lineRule="auto" w:before="124" w:after="0"/>
                          <w:ind w:left="2617" w:right="253" w:hanging="2417"/>
                          <w:jc w:val="left"/>
                          <w:rPr>
                            <w:sz w:val="18"/>
                          </w:rPr>
                        </w:pPr>
                        <w:r>
                          <w:rPr>
                            <w:b/>
                            <w:sz w:val="18"/>
                          </w:rPr>
                          <w:t>系统性红斑狼疮</w:t>
                          <w:tab/>
                        </w:r>
                        <w:r>
                          <w:rPr>
                            <w:sz w:val="18"/>
                          </w:rPr>
                          <w:t>是一种自身免疫性结缔组织病，于体内有大量致病性自身抗体和免疫复合物，造成组织损伤。理赔须经本公司认可的专科医生确认并同时具备下列情况：</w:t>
                        </w:r>
                      </w:p>
                      <w:p>
                        <w:pPr>
                          <w:pStyle w:val="TableParagraph"/>
                          <w:numPr>
                            <w:ilvl w:val="1"/>
                            <w:numId w:val="9"/>
                          </w:numPr>
                          <w:tabs>
                            <w:tab w:pos="3038" w:val="left" w:leader="none"/>
                          </w:tabs>
                          <w:spacing w:line="240" w:lineRule="auto" w:before="19" w:after="0"/>
                          <w:ind w:left="3037" w:right="0" w:hanging="420"/>
                          <w:jc w:val="left"/>
                          <w:rPr>
                            <w:sz w:val="18"/>
                          </w:rPr>
                        </w:pPr>
                        <w:r>
                          <w:rPr>
                            <w:sz w:val="18"/>
                          </w:rPr>
                          <w:t>临床表现至少具备如下条件的四个：</w:t>
                        </w:r>
                      </w:p>
                      <w:p>
                        <w:pPr>
                          <w:pStyle w:val="TableParagraph"/>
                          <w:tabs>
                            <w:tab w:pos="3397" w:val="left" w:leader="none"/>
                          </w:tabs>
                          <w:spacing w:line="216" w:lineRule="exact" w:before="76"/>
                          <w:ind w:left="2617"/>
                          <w:rPr>
                            <w:sz w:val="18"/>
                          </w:rPr>
                        </w:pPr>
                        <w:r>
                          <w:rPr>
                            <w:sz w:val="18"/>
                          </w:rPr>
                          <w:t>①</w:t>
                          <w:tab/>
                          <w:t>蝶形红斑或盘形红斑；</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pStyle w:val="BodyText"/>
        <w:spacing w:before="44"/>
        <w:ind w:left="2723"/>
      </w:pPr>
      <w:r>
        <w:rPr/>
        <w:t>（1）一肢或一肢以上肢体机能完全丧失；</w:t>
      </w:r>
    </w:p>
    <w:p>
      <w:pPr>
        <w:pStyle w:val="BodyText"/>
      </w:pPr>
    </w:p>
    <w:p>
      <w:pPr>
        <w:pStyle w:val="BodyText"/>
      </w:pPr>
    </w:p>
    <w:p>
      <w:pPr>
        <w:pStyle w:val="BodyText"/>
      </w:pPr>
    </w:p>
    <w:p>
      <w:pPr>
        <w:pStyle w:val="BodyText"/>
      </w:pPr>
    </w:p>
    <w:p>
      <w:pPr>
        <w:pStyle w:val="BodyText"/>
        <w:spacing w:before="8"/>
        <w:rPr>
          <w:sz w:val="22"/>
        </w:rPr>
      </w:pPr>
    </w:p>
    <w:p>
      <w:pPr>
        <w:pStyle w:val="BodyText"/>
        <w:ind w:left="2723"/>
      </w:pPr>
      <w:r>
        <w:rPr/>
        <w:t>（1）药物治疗无法控制病情；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ind w:left="2723"/>
      </w:pPr>
      <w:r>
        <w:rPr/>
        <w:t>① 中性粒细胞绝对值≤0.5×10</w:t>
      </w:r>
      <w:r>
        <w:rPr>
          <w:b/>
          <w:position w:val="9"/>
          <w:sz w:val="9"/>
        </w:rPr>
        <w:t>9</w:t>
      </w:r>
      <w:r>
        <w:rPr/>
        <w:t>/L ；</w:t>
      </w:r>
    </w:p>
    <w:p>
      <w:pPr>
        <w:spacing w:after="0"/>
        <w:sectPr>
          <w:pgSz w:w="11910" w:h="16840"/>
          <w:pgMar w:header="857" w:footer="981" w:top="1040" w:bottom="1180" w:left="880" w:right="560"/>
        </w:sectPr>
      </w:pPr>
    </w:p>
    <w:p>
      <w:pPr>
        <w:pStyle w:val="BodyText"/>
        <w:spacing w:before="3"/>
        <w:rPr>
          <w:sz w:val="20"/>
        </w:rPr>
      </w:pPr>
    </w:p>
    <w:p>
      <w:pPr>
        <w:pStyle w:val="BodyText"/>
        <w:tabs>
          <w:tab w:pos="3303" w:val="left" w:leader="none"/>
        </w:tabs>
        <w:spacing w:before="44"/>
        <w:ind w:left="2523"/>
      </w:pPr>
      <w:r>
        <w:rPr/>
        <w:t>②</w:t>
        <w:tab/>
        <w:t>光敏感；</w:t>
      </w:r>
    </w:p>
    <w:p>
      <w:pPr>
        <w:pStyle w:val="BodyText"/>
        <w:tabs>
          <w:tab w:pos="3303" w:val="left" w:leader="none"/>
        </w:tabs>
        <w:spacing w:before="76"/>
        <w:ind w:left="2523"/>
      </w:pPr>
      <w:r>
        <w:rPr/>
        <w:t>③</w:t>
        <w:tab/>
        <w:t>口腔溃疡；</w:t>
      </w:r>
    </w:p>
    <w:p>
      <w:pPr>
        <w:pStyle w:val="BodyText"/>
        <w:tabs>
          <w:tab w:pos="3303" w:val="left" w:leader="none"/>
        </w:tabs>
        <w:spacing w:before="76"/>
        <w:ind w:left="2523"/>
      </w:pPr>
      <w:r>
        <w:rPr/>
        <w:t>④</w:t>
        <w:tab/>
        <w:t>非畸形关节炎或关节痛；</w:t>
      </w:r>
    </w:p>
    <w:p>
      <w:pPr>
        <w:pStyle w:val="BodyText"/>
        <w:tabs>
          <w:tab w:pos="3303" w:val="left" w:leader="none"/>
        </w:tabs>
        <w:spacing w:before="76"/>
        <w:ind w:left="2523"/>
      </w:pPr>
      <w:r>
        <w:rPr/>
        <w:t>⑤</w:t>
        <w:tab/>
        <w:t>浆膜炎、胸膜炎或心包炎；</w:t>
      </w:r>
    </w:p>
    <w:p>
      <w:pPr>
        <w:pStyle w:val="BodyText"/>
        <w:tabs>
          <w:tab w:pos="3303" w:val="left" w:leader="none"/>
        </w:tabs>
        <w:spacing w:before="76"/>
        <w:ind w:left="2523"/>
      </w:pPr>
      <w:r>
        <w:rPr/>
        <w:t>⑥</w:t>
        <w:tab/>
        <w:t>神经系统损伤（抽搐或精神症状</w:t>
      </w:r>
      <w:r>
        <w:rPr>
          <w:spacing w:val="-90"/>
        </w:rPr>
        <w:t>）</w:t>
      </w:r>
      <w:r>
        <w:rPr/>
        <w:t>；</w:t>
      </w:r>
    </w:p>
    <w:p>
      <w:pPr>
        <w:pStyle w:val="BodyText"/>
        <w:tabs>
          <w:tab w:pos="3303" w:val="left" w:leader="none"/>
        </w:tabs>
        <w:spacing w:before="76"/>
        <w:ind w:left="2523"/>
      </w:pPr>
      <w:r>
        <w:rPr/>
        <w:t>⑦</w:t>
        <w:tab/>
        <w:t>血象异常（WBC&lt;4000/μl</w:t>
      </w:r>
      <w:r>
        <w:rPr>
          <w:spacing w:val="-10"/>
        </w:rPr>
        <w:t> 或血小板</w:t>
      </w:r>
      <w:r>
        <w:rPr/>
        <w:t>&lt;100000/μl</w:t>
      </w:r>
      <w:r>
        <w:rPr>
          <w:spacing w:val="-8"/>
        </w:rPr>
        <w:t> 或溶血性贫血</w:t>
      </w:r>
      <w:r>
        <w:rPr>
          <w:spacing w:val="-90"/>
        </w:rPr>
        <w:t>）</w:t>
      </w:r>
      <w:r>
        <w:rPr/>
        <w:t>。</w:t>
      </w:r>
    </w:p>
    <w:p>
      <w:pPr>
        <w:pStyle w:val="ListParagraph"/>
        <w:numPr>
          <w:ilvl w:val="2"/>
          <w:numId w:val="7"/>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tabs>
          <w:tab w:pos="3303" w:val="left" w:leader="none"/>
        </w:tabs>
        <w:spacing w:before="76"/>
        <w:ind w:left="2523"/>
      </w:pPr>
      <w:r>
        <w:rPr/>
        <w:t>①</w:t>
        <w:tab/>
      </w:r>
      <w:r>
        <w:rPr>
          <w:spacing w:val="5"/>
        </w:rPr>
        <w:t>狼疮细胞或抗双链</w:t>
      </w:r>
      <w:r>
        <w:rPr/>
        <w:t>DNA</w:t>
      </w:r>
      <w:r>
        <w:rPr>
          <w:spacing w:val="-9"/>
        </w:rPr>
        <w:t> 抗体阳性；</w:t>
      </w:r>
    </w:p>
    <w:p>
      <w:pPr>
        <w:pStyle w:val="BodyText"/>
        <w:tabs>
          <w:tab w:pos="3303" w:val="left" w:leader="none"/>
        </w:tabs>
        <w:spacing w:before="76"/>
        <w:ind w:left="2523"/>
      </w:pPr>
      <w:r>
        <w:rPr/>
        <w:t>②</w:t>
        <w:tab/>
      </w:r>
      <w:r>
        <w:rPr>
          <w:spacing w:val="42"/>
        </w:rPr>
        <w:t>抗</w:t>
      </w:r>
      <w:r>
        <w:rPr/>
        <w:t>Sm</w:t>
      </w:r>
      <w:r>
        <w:rPr>
          <w:spacing w:val="-9"/>
        </w:rPr>
        <w:t> 抗体阳性；</w:t>
      </w:r>
    </w:p>
    <w:p>
      <w:pPr>
        <w:pStyle w:val="BodyText"/>
        <w:tabs>
          <w:tab w:pos="3303" w:val="left" w:leader="none"/>
        </w:tabs>
        <w:spacing w:before="76"/>
        <w:ind w:left="2523"/>
      </w:pPr>
      <w:r>
        <w:rPr/>
        <w:t>③</w:t>
        <w:tab/>
        <w:t>抗核抗体阳性；</w:t>
      </w:r>
    </w:p>
    <w:p>
      <w:pPr>
        <w:pStyle w:val="BodyText"/>
        <w:tabs>
          <w:tab w:pos="3303" w:val="left" w:leader="none"/>
        </w:tabs>
        <w:spacing w:before="76"/>
        <w:ind w:left="2523"/>
      </w:pPr>
      <w:r>
        <w:rPr/>
        <w:t>④</w:t>
        <w:tab/>
        <w:t>狼疮带试验阳性；</w:t>
      </w:r>
    </w:p>
    <w:p>
      <w:pPr>
        <w:pStyle w:val="BodyText"/>
        <w:tabs>
          <w:tab w:pos="3303" w:val="left" w:leader="none"/>
        </w:tabs>
        <w:spacing w:before="76"/>
        <w:ind w:left="2523"/>
      </w:pPr>
      <w:r>
        <w:rPr/>
        <w:t>⑤</w:t>
        <w:tab/>
        <w:t>C3</w:t>
      </w:r>
      <w:r>
        <w:rPr>
          <w:spacing w:val="-7"/>
        </w:rPr>
        <w:t> 补体低于正常。</w:t>
      </w:r>
    </w:p>
    <w:p>
      <w:pPr>
        <w:pStyle w:val="ListParagraph"/>
        <w:numPr>
          <w:ilvl w:val="2"/>
          <w:numId w:val="7"/>
        </w:numPr>
        <w:tabs>
          <w:tab w:pos="2944" w:val="left" w:leader="none"/>
        </w:tabs>
        <w:spacing w:line="240" w:lineRule="auto" w:before="76" w:after="0"/>
        <w:ind w:left="2943" w:right="0" w:hanging="42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0"/>
        </w:numPr>
        <w:tabs>
          <w:tab w:pos="526" w:val="left" w:leader="none"/>
          <w:tab w:pos="2523" w:val="left" w:leader="none"/>
        </w:tabs>
        <w:spacing w:line="316" w:lineRule="auto" w:before="0" w:after="0"/>
        <w:ind w:left="2523" w:right="13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或核磁共振检查结果诊断报告。所谓不可逆的身体部位功能障碍指初次诊断为功能障碍后需持续一百八十天以上。</w:t>
      </w:r>
    </w:p>
    <w:p>
      <w:pPr>
        <w:pStyle w:val="BodyText"/>
        <w:spacing w:before="18"/>
        <w:ind w:left="2523"/>
      </w:pPr>
      <w:r>
        <w:rPr/>
        <w:t>由神经科专家提供的明确诊断必须包含以下全部三项内容：</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散在的身体损害的多样性；</w:t>
      </w:r>
    </w:p>
    <w:p>
      <w:pPr>
        <w:pStyle w:val="ListParagraph"/>
        <w:numPr>
          <w:ilvl w:val="1"/>
          <w:numId w:val="10"/>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10"/>
        <w:rPr>
          <w:sz w:val="19"/>
        </w:rPr>
      </w:pPr>
    </w:p>
    <w:p>
      <w:pPr>
        <w:spacing w:after="0"/>
        <w:rPr>
          <w:sz w:val="19"/>
        </w:rPr>
        <w:sectPr>
          <w:headerReference w:type="default" r:id="rId11"/>
          <w:pgSz w:w="11910" w:h="16840"/>
          <w:pgMar w:header="877" w:footer="981" w:top="1100" w:bottom="1180" w:left="1080" w:right="820"/>
        </w:sectPr>
      </w:pPr>
    </w:p>
    <w:p>
      <w:pPr>
        <w:pStyle w:val="Heading2"/>
        <w:numPr>
          <w:ilvl w:val="0"/>
          <w:numId w:val="10"/>
        </w:numPr>
        <w:tabs>
          <w:tab w:pos="526" w:val="left" w:leader="none"/>
        </w:tabs>
        <w:spacing w:line="240" w:lineRule="auto" w:before="44" w:after="0"/>
        <w:ind w:left="2523" w:right="0" w:hanging="2418"/>
        <w:jc w:val="left"/>
      </w:pPr>
      <w:r>
        <w:rPr>
          <w:w w:val="95"/>
        </w:rPr>
        <w:t>胰岛素依赖型糖尿病</w:t>
      </w:r>
    </w:p>
    <w:p>
      <w:pPr>
        <w:spacing w:before="76"/>
        <w:ind w:left="105" w:right="0" w:firstLine="0"/>
        <w:jc w:val="left"/>
        <w:rPr>
          <w:b/>
          <w:sz w:val="18"/>
        </w:rPr>
      </w:pPr>
      <w:r>
        <w:rPr>
          <w:b/>
          <w:w w:val="95"/>
          <w:sz w:val="18"/>
        </w:rPr>
        <w:t>（Ｉ型糖尿病）</w:t>
      </w:r>
    </w:p>
    <w:p>
      <w:pPr>
        <w:pStyle w:val="BodyText"/>
        <w:spacing w:line="316" w:lineRule="auto" w:before="44"/>
        <w:ind w:left="105" w:right="134"/>
        <w:jc w:val="both"/>
      </w:pPr>
      <w:r>
        <w:rPr/>
        <w:br w:type="column"/>
      </w:r>
      <w:r>
        <w:rPr>
          <w:spacing w:val="-2"/>
        </w:rPr>
        <w:t>胰岛素依赖型糖尿病是由于胰岛素分泌不足引起的慢性血糖升高，并需持续性地依赖外源性胰</w:t>
      </w:r>
      <w:r>
        <w:rPr>
          <w:spacing w:val="-5"/>
        </w:rPr>
        <w:t>岛素维持一百八十天以上，须由本公司认可的有资格的内分泌医生确诊并在本附加合同保险责任有效期内，满足下述至少一个条件：</w:t>
      </w:r>
    </w:p>
    <w:p>
      <w:pPr>
        <w:pStyle w:val="ListParagraph"/>
        <w:numPr>
          <w:ilvl w:val="0"/>
          <w:numId w:val="11"/>
        </w:numPr>
        <w:tabs>
          <w:tab w:pos="526" w:val="left" w:leader="none"/>
        </w:tabs>
        <w:spacing w:line="240" w:lineRule="auto" w:before="18" w:after="0"/>
        <w:ind w:left="525" w:right="0" w:hanging="420"/>
        <w:jc w:val="both"/>
        <w:rPr>
          <w:sz w:val="18"/>
        </w:rPr>
      </w:pPr>
      <w:r>
        <w:rPr>
          <w:sz w:val="18"/>
        </w:rPr>
        <w:t>本公司认可的内分泌医生确定已出现增殖性视网膜病变；</w:t>
      </w:r>
    </w:p>
    <w:p>
      <w:pPr>
        <w:pStyle w:val="ListParagraph"/>
        <w:numPr>
          <w:ilvl w:val="0"/>
          <w:numId w:val="11"/>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1"/>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153" w:space="265"/>
            <w:col w:w="7592"/>
          </w:cols>
        </w:sectPr>
      </w:pPr>
    </w:p>
    <w:p>
      <w:pPr>
        <w:pStyle w:val="BodyText"/>
        <w:spacing w:before="9"/>
        <w:rPr>
          <w:sz w:val="19"/>
        </w:rPr>
      </w:pPr>
    </w:p>
    <w:p>
      <w:pPr>
        <w:pStyle w:val="ListParagraph"/>
        <w:numPr>
          <w:ilvl w:val="0"/>
          <w:numId w:val="10"/>
        </w:numPr>
        <w:tabs>
          <w:tab w:pos="526" w:val="left" w:leader="none"/>
        </w:tabs>
        <w:spacing w:line="316" w:lineRule="auto" w:before="45" w:after="0"/>
        <w:ind w:left="2523" w:right="134"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，且有相关住院医疗记录显示四级心功能衰竭状态持续至少一百八十天。</w:t>
      </w:r>
    </w:p>
    <w:p>
      <w:pPr>
        <w:pStyle w:val="BodyText"/>
        <w:spacing w:line="316" w:lineRule="auto" w:before="19"/>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0"/>
        </w:numPr>
        <w:tabs>
          <w:tab w:pos="526" w:val="left" w:leader="none"/>
          <w:tab w:pos="2523" w:val="left" w:leader="none"/>
        </w:tabs>
        <w:spacing w:line="316" w:lineRule="auto" w:before="0" w:after="0"/>
        <w:ind w:left="2523" w:right="98"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0"/>
        </w:numPr>
        <w:tabs>
          <w:tab w:pos="2944" w:val="left" w:leader="none"/>
        </w:tabs>
        <w:spacing w:line="240" w:lineRule="auto" w:before="18" w:after="0"/>
        <w:ind w:left="2523" w:right="0" w:firstLine="0"/>
        <w:jc w:val="left"/>
        <w:rPr>
          <w:sz w:val="18"/>
        </w:rPr>
      </w:pPr>
      <w:r>
        <w:rPr>
          <w:sz w:val="18"/>
        </w:rPr>
        <w:t>经药物、胸腺手术治疗一年以上无法控制病情，丧失正常工作能力；</w:t>
      </w:r>
    </w:p>
    <w:p>
      <w:pPr>
        <w:pStyle w:val="ListParagraph"/>
        <w:numPr>
          <w:ilvl w:val="1"/>
          <w:numId w:val="10"/>
        </w:numPr>
        <w:tabs>
          <w:tab w:pos="2944" w:val="left" w:leader="none"/>
        </w:tabs>
        <w:spacing w:line="316" w:lineRule="auto" w:before="75" w:after="0"/>
        <w:ind w:left="2523" w:right="218" w:firstLine="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0"/>
        </w:numPr>
        <w:tabs>
          <w:tab w:pos="2944" w:val="left" w:leader="none"/>
        </w:tabs>
        <w:spacing w:line="240" w:lineRule="auto" w:before="18" w:after="0"/>
        <w:ind w:left="2523" w:right="0" w:firstLine="0"/>
        <w:jc w:val="left"/>
        <w:rPr>
          <w:sz w:val="18"/>
        </w:rPr>
      </w:pPr>
      <w:r>
        <w:rPr>
          <w:sz w:val="18"/>
        </w:rPr>
        <w:t>症状缓解、复发及恶化交替出现，临床接受新斯的明等抗胆碱酯酶药物治疗的病史。</w:t>
      </w:r>
    </w:p>
    <w:p>
      <w:pPr>
        <w:pStyle w:val="BodyText"/>
        <w:spacing w:before="2"/>
        <w:rPr>
          <w:sz w:val="23"/>
        </w:rPr>
      </w:pPr>
    </w:p>
    <w:p>
      <w:pPr>
        <w:pStyle w:val="ListParagraph"/>
        <w:numPr>
          <w:ilvl w:val="0"/>
          <w:numId w:val="10"/>
        </w:numPr>
        <w:tabs>
          <w:tab w:pos="526" w:val="left" w:leader="none"/>
          <w:tab w:pos="2523" w:val="left" w:leader="none"/>
        </w:tabs>
        <w:spacing w:line="240" w:lineRule="auto" w:before="0" w:after="0"/>
        <w:ind w:left="525" w:right="0" w:hanging="420"/>
        <w:jc w:val="left"/>
        <w:rPr>
          <w:sz w:val="18"/>
        </w:rPr>
      </w:pPr>
      <w:r>
        <w:rPr>
          <w:b/>
          <w:sz w:val="18"/>
        </w:rPr>
        <w:t>脊髓灰质炎</w:t>
        <w:tab/>
      </w:r>
      <w:r>
        <w:rPr>
          <w:sz w:val="18"/>
        </w:rPr>
        <w:t>经由本公司认可的神经专科医生确认是由于脊髓灰质炎病毒感染所导致的运动功能障碍或呼</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r>
        <w:rPr/>
        <w:pict>
          <v:shape style="position:absolute;margin-left:49.278198pt;margin-top:116.764328pt;width:512.65pt;height:650.050pt;mso-position-horizontal-relative:page;mso-position-vertical-relative:page;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910"/>
                  </w:tblGrid>
                  <w:tr>
                    <w:trPr>
                      <w:trHeight w:val="671" w:hRule="atLeast"/>
                    </w:trPr>
                    <w:tc>
                      <w:tcPr>
                        <w:tcW w:w="2342" w:type="dxa"/>
                      </w:tcPr>
                      <w:p>
                        <w:pPr>
                          <w:pStyle w:val="TableParagraph"/>
                          <w:spacing w:line="180" w:lineRule="exact"/>
                          <w:ind w:left="200"/>
                          <w:rPr>
                            <w:b/>
                            <w:sz w:val="18"/>
                          </w:rPr>
                        </w:pPr>
                        <w:r>
                          <w:rPr>
                            <w:b/>
                            <w:sz w:val="18"/>
                          </w:rPr>
                          <w:t>33. 急性坏死性</w:t>
                        </w:r>
                      </w:p>
                      <w:p>
                        <w:pPr>
                          <w:pStyle w:val="TableParagraph"/>
                          <w:spacing w:before="76"/>
                          <w:ind w:left="200"/>
                          <w:rPr>
                            <w:b/>
                            <w:sz w:val="18"/>
                          </w:rPr>
                        </w:pPr>
                        <w:r>
                          <w:rPr>
                            <w:b/>
                            <w:sz w:val="18"/>
                          </w:rPr>
                          <w:t>胰腺炎</w:t>
                        </w:r>
                      </w:p>
                    </w:tc>
                    <w:tc>
                      <w:tcPr>
                        <w:tcW w:w="7910" w:type="dxa"/>
                      </w:tcPr>
                      <w:p>
                        <w:pPr>
                          <w:pStyle w:val="TableParagraph"/>
                          <w:spacing w:line="180" w:lineRule="exact"/>
                          <w:ind w:left="276"/>
                          <w:rPr>
                            <w:sz w:val="18"/>
                          </w:rPr>
                        </w:pPr>
                        <w:r>
                          <w:rPr>
                            <w:sz w:val="18"/>
                          </w:rPr>
                          <w:t>由本公司指定或认可的医师确诊为急性坏死性胰腺炎，并需进行手术治疗，以进行组织清除、</w:t>
                        </w:r>
                      </w:p>
                      <w:p>
                        <w:pPr>
                          <w:pStyle w:val="TableParagraph"/>
                          <w:spacing w:before="76"/>
                          <w:ind w:left="276"/>
                          <w:rPr>
                            <w:sz w:val="18"/>
                          </w:rPr>
                        </w:pPr>
                        <w:r>
                          <w:rPr>
                            <w:sz w:val="18"/>
                          </w:rPr>
                          <w:t>病灶切除或胰腺切除。但因酒精中毒所致的急性坏死性胰腺炎除外。</w:t>
                        </w:r>
                      </w:p>
                    </w:tc>
                  </w:tr>
                  <w:tr>
                    <w:trPr>
                      <w:trHeight w:val="1205" w:hRule="atLeast"/>
                    </w:trPr>
                    <w:tc>
                      <w:tcPr>
                        <w:tcW w:w="10252" w:type="dxa"/>
                        <w:gridSpan w:val="2"/>
                      </w:tcPr>
                      <w:p>
                        <w:pPr>
                          <w:pStyle w:val="TableParagraph"/>
                          <w:numPr>
                            <w:ilvl w:val="0"/>
                            <w:numId w:val="12"/>
                          </w:numPr>
                          <w:tabs>
                            <w:tab w:pos="620" w:val="left" w:leader="none"/>
                            <w:tab w:pos="2617" w:val="left" w:leader="none"/>
                          </w:tabs>
                          <w:spacing w:line="316" w:lineRule="auto" w:before="124" w:after="0"/>
                          <w:ind w:left="2618" w:right="287"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TableParagraph"/>
                          <w:numPr>
                            <w:ilvl w:val="1"/>
                            <w:numId w:val="12"/>
                          </w:numPr>
                          <w:tabs>
                            <w:tab w:pos="3038" w:val="left" w:leader="none"/>
                          </w:tabs>
                          <w:spacing w:line="240" w:lineRule="auto" w:before="19" w:after="0"/>
                          <w:ind w:left="3037" w:right="0" w:hanging="419"/>
                          <w:jc w:val="left"/>
                          <w:rPr>
                            <w:sz w:val="18"/>
                          </w:rPr>
                        </w:pPr>
                        <w:r>
                          <w:rPr>
                            <w:sz w:val="18"/>
                          </w:rPr>
                          <w:t>家族史中有其他成员患相同疾病；</w:t>
                        </w:r>
                      </w:p>
                    </w:tc>
                  </w:tr>
                  <w:tr>
                    <w:trPr>
                      <w:trHeight w:val="467" w:hRule="atLeast"/>
                    </w:trPr>
                    <w:tc>
                      <w:tcPr>
                        <w:tcW w:w="2342" w:type="dxa"/>
                      </w:tcPr>
                      <w:p>
                        <w:pPr>
                          <w:pStyle w:val="TableParagraph"/>
                          <w:rPr>
                            <w:rFonts w:ascii="Times New Roman"/>
                            <w:sz w:val="18"/>
                          </w:rPr>
                        </w:pPr>
                      </w:p>
                    </w:tc>
                    <w:tc>
                      <w:tcPr>
                        <w:tcW w:w="7910" w:type="dxa"/>
                      </w:tcPr>
                      <w:p>
                        <w:pPr>
                          <w:pStyle w:val="TableParagraph"/>
                          <w:spacing w:before="9"/>
                          <w:rPr>
                            <w:sz w:val="12"/>
                          </w:rPr>
                        </w:pPr>
                      </w:p>
                      <w:p>
                        <w:pPr>
                          <w:pStyle w:val="TableParagraph"/>
                          <w:ind w:left="276"/>
                          <w:rPr>
                            <w:sz w:val="18"/>
                          </w:rPr>
                        </w:pPr>
                        <w:r>
                          <w:rPr>
                            <w:sz w:val="18"/>
                          </w:rPr>
                          <w:t>(3) 典型的肌电图；</w:t>
                        </w:r>
                      </w:p>
                    </w:tc>
                  </w:tr>
                  <w:tr>
                    <w:trPr>
                      <w:trHeight w:val="425" w:hRule="atLeast"/>
                    </w:trPr>
                    <w:tc>
                      <w:tcPr>
                        <w:tcW w:w="2342" w:type="dxa"/>
                      </w:tcPr>
                      <w:p>
                        <w:pPr>
                          <w:pStyle w:val="TableParagraph"/>
                          <w:rPr>
                            <w:rFonts w:ascii="Times New Roman"/>
                            <w:sz w:val="18"/>
                          </w:rPr>
                        </w:pPr>
                      </w:p>
                    </w:tc>
                    <w:tc>
                      <w:tcPr>
                        <w:tcW w:w="7910" w:type="dxa"/>
                      </w:tcPr>
                      <w:p>
                        <w:pPr>
                          <w:pStyle w:val="TableParagraph"/>
                          <w:spacing w:before="10"/>
                          <w:ind w:left="276"/>
                          <w:rPr>
                            <w:sz w:val="18"/>
                          </w:rPr>
                        </w:pPr>
                        <w:r>
                          <w:rPr>
                            <w:sz w:val="18"/>
                          </w:rPr>
                          <w:t>(4) 临床推测必须有肌肉或组织检查加以证实。</w:t>
                        </w:r>
                      </w:p>
                    </w:tc>
                  </w:tr>
                  <w:tr>
                    <w:trPr>
                      <w:trHeight w:val="1205" w:hRule="atLeast"/>
                    </w:trPr>
                    <w:tc>
                      <w:tcPr>
                        <w:tcW w:w="10252" w:type="dxa"/>
                        <w:gridSpan w:val="2"/>
                      </w:tcPr>
                      <w:p>
                        <w:pPr>
                          <w:pStyle w:val="TableParagraph"/>
                          <w:tabs>
                            <w:tab w:pos="2617" w:val="left" w:leader="none"/>
                          </w:tabs>
                          <w:spacing w:line="316" w:lineRule="auto" w:before="124"/>
                          <w:ind w:left="2618" w:right="287" w:hanging="2418"/>
                          <w:rPr>
                            <w:sz w:val="18"/>
                          </w:rPr>
                        </w:pPr>
                        <w:r>
                          <w:rPr>
                            <w:b/>
                            <w:sz w:val="18"/>
                          </w:rPr>
                          <w:t>35.</w:t>
                        </w:r>
                        <w:r>
                          <w:rPr>
                            <w:b/>
                            <w:spacing w:val="55"/>
                            <w:sz w:val="18"/>
                          </w:rPr>
                          <w:t> </w:t>
                        </w: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TableParagraph"/>
                          <w:spacing w:before="19"/>
                          <w:ind w:left="2618"/>
                          <w:rPr>
                            <w:sz w:val="18"/>
                          </w:rPr>
                        </w:pPr>
                        <w:r>
                          <w:rPr>
                            <w:sz w:val="18"/>
                          </w:rPr>
                          <w:t>(1)肺功能测试其FEVl 持续低于 0.75 升；</w:t>
                        </w:r>
                      </w:p>
                    </w:tc>
                  </w:tr>
                  <w:tr>
                    <w:trPr>
                      <w:trHeight w:val="467" w:hRule="atLeast"/>
                    </w:trPr>
                    <w:tc>
                      <w:tcPr>
                        <w:tcW w:w="2342" w:type="dxa"/>
                      </w:tcPr>
                      <w:p>
                        <w:pPr>
                          <w:pStyle w:val="TableParagraph"/>
                          <w:rPr>
                            <w:rFonts w:ascii="Times New Roman"/>
                            <w:sz w:val="18"/>
                          </w:rPr>
                        </w:pPr>
                      </w:p>
                    </w:tc>
                    <w:tc>
                      <w:tcPr>
                        <w:tcW w:w="7910" w:type="dxa"/>
                      </w:tcPr>
                      <w:p>
                        <w:pPr>
                          <w:pStyle w:val="TableParagraph"/>
                          <w:spacing w:before="9"/>
                          <w:rPr>
                            <w:sz w:val="12"/>
                          </w:rPr>
                        </w:pPr>
                      </w:p>
                      <w:p>
                        <w:pPr>
                          <w:pStyle w:val="TableParagraph"/>
                          <w:ind w:left="276"/>
                          <w:rPr>
                            <w:sz w:val="18"/>
                          </w:rPr>
                        </w:pPr>
                        <w:r>
                          <w:rPr>
                            <w:sz w:val="18"/>
                          </w:rPr>
                          <w:t>(3)动脉血气分析氧分压低于 55mmHg。</w:t>
                        </w:r>
                      </w:p>
                    </w:tc>
                  </w:tr>
                  <w:tr>
                    <w:trPr>
                      <w:trHeight w:val="425" w:hRule="atLeast"/>
                    </w:trPr>
                    <w:tc>
                      <w:tcPr>
                        <w:tcW w:w="2342" w:type="dxa"/>
                      </w:tcPr>
                      <w:p>
                        <w:pPr>
                          <w:pStyle w:val="TableParagraph"/>
                          <w:rPr>
                            <w:rFonts w:ascii="Times New Roman"/>
                            <w:sz w:val="18"/>
                          </w:rPr>
                        </w:pPr>
                      </w:p>
                    </w:tc>
                    <w:tc>
                      <w:tcPr>
                        <w:tcW w:w="7910" w:type="dxa"/>
                      </w:tcPr>
                      <w:p>
                        <w:pPr>
                          <w:pStyle w:val="TableParagraph"/>
                          <w:spacing w:before="10"/>
                          <w:ind w:left="276"/>
                          <w:rPr>
                            <w:sz w:val="18"/>
                          </w:rPr>
                        </w:pPr>
                        <w:r>
                          <w:rPr>
                            <w:sz w:val="18"/>
                          </w:rPr>
                          <w:t>理赔时必须提供以上各项中相应的医院证明文件或检查报告。</w:t>
                        </w:r>
                      </w:p>
                    </w:tc>
                  </w:tr>
                  <w:tr>
                    <w:trPr>
                      <w:trHeight w:val="893" w:hRule="atLeast"/>
                    </w:trPr>
                    <w:tc>
                      <w:tcPr>
                        <w:tcW w:w="10252" w:type="dxa"/>
                        <w:gridSpan w:val="2"/>
                      </w:tcPr>
                      <w:p>
                        <w:pPr>
                          <w:pStyle w:val="TableParagraph"/>
                          <w:tabs>
                            <w:tab w:pos="2617" w:val="left" w:leader="none"/>
                          </w:tabs>
                          <w:spacing w:line="316" w:lineRule="auto" w:before="124"/>
                          <w:ind w:left="200" w:right="372"/>
                          <w:rPr>
                            <w:sz w:val="18"/>
                          </w:rPr>
                        </w:pPr>
                        <w:r>
                          <w:rPr>
                            <w:b/>
                            <w:spacing w:val="0"/>
                            <w:w w:val="99"/>
                            <w:sz w:val="18"/>
                          </w:rPr>
                          <w:t>36</w:t>
                        </w:r>
                        <w:r>
                          <w:rPr>
                            <w:b/>
                            <w:w w:val="99"/>
                            <w:sz w:val="18"/>
                          </w:rPr>
                          <w:t>.</w:t>
                        </w:r>
                        <w:r>
                          <w:rPr>
                            <w:b/>
                            <w:sz w:val="18"/>
                          </w:rPr>
                          <w:t> </w:t>
                        </w:r>
                        <w:r>
                          <w:rPr>
                            <w:b/>
                            <w:spacing w:val="-34"/>
                            <w:sz w:val="18"/>
                          </w:rPr>
                          <w:t> </w:t>
                        </w:r>
                        <w:r>
                          <w:rPr>
                            <w:b/>
                            <w:spacing w:val="0"/>
                            <w:w w:val="99"/>
                            <w:sz w:val="18"/>
                          </w:rPr>
                          <w:t>经输</w:t>
                        </w:r>
                        <w:r>
                          <w:rPr>
                            <w:b/>
                            <w:spacing w:val="-1"/>
                            <w:w w:val="99"/>
                            <w:sz w:val="18"/>
                          </w:rPr>
                          <w:t>血</w:t>
                        </w:r>
                        <w:r>
                          <w:rPr>
                            <w:b/>
                            <w:spacing w:val="0"/>
                            <w:w w:val="99"/>
                            <w:sz w:val="18"/>
                          </w:rPr>
                          <w:t>感</w:t>
                        </w:r>
                        <w:r>
                          <w:rPr>
                            <w:b/>
                            <w:spacing w:val="-1"/>
                            <w:w w:val="99"/>
                            <w:sz w:val="18"/>
                          </w:rPr>
                          <w:t>染艾</w:t>
                        </w:r>
                        <w:r>
                          <w:rPr>
                            <w:b/>
                            <w:spacing w:val="0"/>
                            <w:w w:val="99"/>
                            <w:sz w:val="18"/>
                          </w:rPr>
                          <w:t>滋病</w:t>
                        </w:r>
                        <w:r>
                          <w:rPr>
                            <w:b/>
                            <w:w w:val="99"/>
                            <w:sz w:val="18"/>
                          </w:rPr>
                          <w:t>病</w:t>
                        </w:r>
                        <w:r>
                          <w:rPr>
                            <w:b/>
                            <w:sz w:val="18"/>
                          </w:rPr>
                          <w:tab/>
                        </w:r>
                        <w:r>
                          <w:rPr>
                            <w:sz w:val="18"/>
                          </w:rPr>
                          <w:t>因输血而被艾滋病病毒（HIV）感染或成为艾滋病患者（AIDS</w:t>
                        </w:r>
                        <w:r>
                          <w:rPr>
                            <w:spacing w:val="-90"/>
                            <w:sz w:val="18"/>
                          </w:rPr>
                          <w:t>）</w:t>
                        </w:r>
                        <w:r>
                          <w:rPr>
                            <w:sz w:val="18"/>
                          </w:rPr>
                          <w:t>，需要满足下列所有条件：</w:t>
                        </w:r>
                        <w:r>
                          <w:rPr>
                            <w:b/>
                            <w:w w:val="99"/>
                            <w:sz w:val="18"/>
                          </w:rPr>
                          <w:t> </w:t>
                        </w:r>
                        <w:r>
                          <w:rPr>
                            <w:b/>
                            <w:sz w:val="18"/>
                          </w:rPr>
                          <w:t>毒</w:t>
                          <w:tab/>
                        </w:r>
                        <w:r>
                          <w:rPr>
                            <w:sz w:val="18"/>
                          </w:rPr>
                          <w:t>(1)</w:t>
                        </w:r>
                        <w:r>
                          <w:rPr>
                            <w:spacing w:val="58"/>
                            <w:sz w:val="18"/>
                          </w:rPr>
                          <w:t> </w:t>
                        </w:r>
                        <w:r>
                          <w:rPr>
                            <w:sz w:val="18"/>
                          </w:rPr>
                          <w:t>感染是由于必要的医疗性输血引起的，且医疗性输血是在保单生效日后或复效日后发生</w:t>
                        </w:r>
                      </w:p>
                    </w:tc>
                  </w:tr>
                  <w:tr>
                    <w:trPr>
                      <w:trHeight w:val="468" w:hRule="atLeast"/>
                    </w:trPr>
                    <w:tc>
                      <w:tcPr>
                        <w:tcW w:w="2342" w:type="dxa"/>
                      </w:tcPr>
                      <w:p>
                        <w:pPr>
                          <w:pStyle w:val="TableParagraph"/>
                          <w:rPr>
                            <w:rFonts w:ascii="Times New Roman"/>
                            <w:sz w:val="18"/>
                          </w:rPr>
                        </w:pPr>
                      </w:p>
                    </w:tc>
                    <w:tc>
                      <w:tcPr>
                        <w:tcW w:w="7910" w:type="dxa"/>
                      </w:tcPr>
                      <w:p>
                        <w:pPr>
                          <w:pStyle w:val="TableParagraph"/>
                          <w:spacing w:before="9"/>
                          <w:rPr>
                            <w:sz w:val="12"/>
                          </w:rPr>
                        </w:pPr>
                      </w:p>
                      <w:p>
                        <w:pPr>
                          <w:pStyle w:val="TableParagraph"/>
                          <w:ind w:left="276"/>
                          <w:rPr>
                            <w:sz w:val="18"/>
                          </w:rPr>
                        </w:pPr>
                        <w:r>
                          <w:rPr>
                            <w:sz w:val="18"/>
                          </w:rPr>
                          <w:t>(2) 提供输血的医疗机构承认该项输血感染为医疗责任事故；</w:t>
                        </w:r>
                      </w:p>
                    </w:tc>
                  </w:tr>
                  <w:tr>
                    <w:trPr>
                      <w:trHeight w:val="425" w:hRule="atLeast"/>
                    </w:trPr>
                    <w:tc>
                      <w:tcPr>
                        <w:tcW w:w="2342" w:type="dxa"/>
                      </w:tcPr>
                      <w:p>
                        <w:pPr>
                          <w:pStyle w:val="TableParagraph"/>
                          <w:rPr>
                            <w:rFonts w:ascii="Times New Roman"/>
                            <w:sz w:val="18"/>
                          </w:rPr>
                        </w:pPr>
                      </w:p>
                    </w:tc>
                    <w:tc>
                      <w:tcPr>
                        <w:tcW w:w="7910" w:type="dxa"/>
                      </w:tcPr>
                      <w:p>
                        <w:pPr>
                          <w:pStyle w:val="TableParagraph"/>
                          <w:spacing w:before="10"/>
                          <w:ind w:left="276"/>
                          <w:rPr>
                            <w:sz w:val="18"/>
                          </w:rPr>
                        </w:pPr>
                        <w:r>
                          <w:rPr>
                            <w:sz w:val="18"/>
                          </w:rPr>
                          <w:t>(3) 被保险人不是血友病患者。</w:t>
                        </w:r>
                      </w:p>
                    </w:tc>
                  </w:tr>
                  <w:tr>
                    <w:trPr>
                      <w:trHeight w:val="1985" w:hRule="atLeast"/>
                    </w:trPr>
                    <w:tc>
                      <w:tcPr>
                        <w:tcW w:w="10252" w:type="dxa"/>
                        <w:gridSpan w:val="2"/>
                      </w:tcPr>
                      <w:p>
                        <w:pPr>
                          <w:pStyle w:val="TableParagraph"/>
                          <w:numPr>
                            <w:ilvl w:val="0"/>
                            <w:numId w:val="13"/>
                          </w:numPr>
                          <w:tabs>
                            <w:tab w:pos="620" w:val="left" w:leader="none"/>
                            <w:tab w:pos="2617" w:val="left" w:leader="none"/>
                          </w:tabs>
                          <w:spacing w:line="240" w:lineRule="auto" w:before="124" w:after="0"/>
                          <w:ind w:left="619" w:right="0" w:hanging="419"/>
                          <w:jc w:val="left"/>
                          <w:rPr>
                            <w:sz w:val="18"/>
                          </w:rPr>
                        </w:pPr>
                        <w:r>
                          <w:rPr>
                            <w:b/>
                            <w:sz w:val="18"/>
                          </w:rPr>
                          <w:t>严重类风湿性关节炎</w:t>
                          <w:tab/>
                        </w:r>
                        <w:r>
                          <w:rPr>
                            <w:sz w:val="18"/>
                          </w:rPr>
                          <w:t>是指类风湿性关节炎患者符合以下三项标准的:</w:t>
                        </w:r>
                      </w:p>
                      <w:p>
                        <w:pPr>
                          <w:pStyle w:val="TableParagraph"/>
                          <w:numPr>
                            <w:ilvl w:val="1"/>
                            <w:numId w:val="13"/>
                          </w:numPr>
                          <w:tabs>
                            <w:tab w:pos="3038" w:val="left" w:leader="none"/>
                          </w:tabs>
                          <w:spacing w:line="316" w:lineRule="auto" w:before="76" w:after="0"/>
                          <w:ind w:left="2618" w:right="282" w:firstLine="0"/>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1"/>
                            <w:numId w:val="13"/>
                          </w:numPr>
                          <w:tabs>
                            <w:tab w:pos="3038" w:val="left" w:leader="none"/>
                          </w:tabs>
                          <w:spacing w:line="316" w:lineRule="auto" w:before="18" w:after="0"/>
                          <w:ind w:left="2618" w:right="197" w:firstLine="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1"/>
                            <w:numId w:val="13"/>
                          </w:numPr>
                          <w:tabs>
                            <w:tab w:pos="3038" w:val="left" w:leader="none"/>
                          </w:tabs>
                          <w:spacing w:line="240" w:lineRule="auto" w:before="18" w:after="0"/>
                          <w:ind w:left="2618" w:right="0" w:firstLine="0"/>
                          <w:jc w:val="left"/>
                          <w:rPr>
                            <w:sz w:val="18"/>
                          </w:rPr>
                        </w:pPr>
                        <w:r>
                          <w:rPr>
                            <w:spacing w:val="-4"/>
                            <w:sz w:val="18"/>
                          </w:rPr>
                          <w:t>关节的畸形改变至少持续 </w:t>
                        </w:r>
                        <w:r>
                          <w:rPr>
                            <w:sz w:val="18"/>
                          </w:rPr>
                          <w:t>6</w:t>
                        </w:r>
                        <w:r>
                          <w:rPr>
                            <w:spacing w:val="-12"/>
                            <w:sz w:val="18"/>
                          </w:rPr>
                          <w:t> 个月。</w:t>
                        </w:r>
                      </w:p>
                    </w:tc>
                  </w:tr>
                  <w:tr>
                    <w:trPr>
                      <w:trHeight w:val="1049" w:hRule="atLeast"/>
                    </w:trPr>
                    <w:tc>
                      <w:tcPr>
                        <w:tcW w:w="2342" w:type="dxa"/>
                      </w:tcPr>
                      <w:p>
                        <w:pPr>
                          <w:pStyle w:val="TableParagraph"/>
                          <w:rPr>
                            <w:rFonts w:ascii="Times New Roman"/>
                            <w:sz w:val="18"/>
                          </w:rPr>
                        </w:pPr>
                      </w:p>
                    </w:tc>
                    <w:tc>
                      <w:tcPr>
                        <w:tcW w:w="7910" w:type="dxa"/>
                      </w:tcPr>
                      <w:p>
                        <w:pPr>
                          <w:pStyle w:val="TableParagraph"/>
                          <w:spacing w:before="8"/>
                          <w:rPr>
                            <w:sz w:val="24"/>
                          </w:rPr>
                        </w:pPr>
                      </w:p>
                      <w:p>
                        <w:pPr>
                          <w:pStyle w:val="TableParagraph"/>
                          <w:spacing w:line="316" w:lineRule="auto"/>
                          <w:ind w:left="276" w:right="230"/>
                          <w:rPr>
                            <w:sz w:val="18"/>
                          </w:rPr>
                        </w:pPr>
                        <w:r>
                          <w:rPr>
                            <w:sz w:val="18"/>
                          </w:rPr>
                          <w:t>类风湿性关节炎系指以关节滑膜炎为特征的慢性全身性自身免疫性疾病，诊断必须符合国际认可的该疾病的诊断标准。</w:t>
                        </w:r>
                      </w:p>
                    </w:tc>
                  </w:tr>
                  <w:tr>
                    <w:trPr>
                      <w:trHeight w:val="582" w:hRule="atLeast"/>
                    </w:trPr>
                    <w:tc>
                      <w:tcPr>
                        <w:tcW w:w="10252" w:type="dxa"/>
                        <w:gridSpan w:val="2"/>
                      </w:tcPr>
                      <w:p>
                        <w:pPr>
                          <w:pStyle w:val="TableParagraph"/>
                          <w:tabs>
                            <w:tab w:pos="2617" w:val="left" w:leader="none"/>
                          </w:tabs>
                          <w:spacing w:before="124"/>
                          <w:ind w:left="200"/>
                          <w:rPr>
                            <w:sz w:val="18"/>
                          </w:rPr>
                        </w:pPr>
                        <w:r>
                          <w:rPr>
                            <w:b/>
                            <w:sz w:val="18"/>
                          </w:rPr>
                          <w:t>38.</w:t>
                        </w:r>
                        <w:r>
                          <w:rPr>
                            <w:b/>
                            <w:spacing w:val="53"/>
                            <w:sz w:val="18"/>
                          </w:rPr>
                          <w:t> </w:t>
                        </w:r>
                        <w:r>
                          <w:rPr>
                            <w:b/>
                            <w:sz w:val="18"/>
                          </w:rPr>
                          <w:t>肾髓质囊性病</w:t>
                          <w:tab/>
                        </w:r>
                        <w:r>
                          <w:rPr>
                            <w:sz w:val="18"/>
                          </w:rPr>
                          <w:t>肾髓质囊性病的诊断必须同时符合下列要求：</w:t>
                        </w:r>
                      </w:p>
                    </w:tc>
                  </w:tr>
                  <w:tr>
                    <w:trPr>
                      <w:trHeight w:val="467" w:hRule="atLeast"/>
                    </w:trPr>
                    <w:tc>
                      <w:tcPr>
                        <w:tcW w:w="2342" w:type="dxa"/>
                      </w:tcPr>
                      <w:p>
                        <w:pPr>
                          <w:pStyle w:val="TableParagraph"/>
                          <w:rPr>
                            <w:rFonts w:ascii="Times New Roman"/>
                            <w:sz w:val="18"/>
                          </w:rPr>
                        </w:pPr>
                      </w:p>
                    </w:tc>
                    <w:tc>
                      <w:tcPr>
                        <w:tcW w:w="7910" w:type="dxa"/>
                      </w:tcPr>
                      <w:p>
                        <w:pPr>
                          <w:pStyle w:val="TableParagraph"/>
                          <w:spacing w:before="9"/>
                          <w:rPr>
                            <w:sz w:val="12"/>
                          </w:rPr>
                        </w:pPr>
                      </w:p>
                      <w:p>
                        <w:pPr>
                          <w:pStyle w:val="TableParagraph"/>
                          <w:ind w:left="276"/>
                          <w:rPr>
                            <w:sz w:val="18"/>
                          </w:rPr>
                        </w:pPr>
                        <w:r>
                          <w:rPr>
                            <w:sz w:val="18"/>
                          </w:rPr>
                          <w:t>(2) 贫血、多尿及肾功能衰竭等临床表现；</w:t>
                        </w:r>
                      </w:p>
                    </w:tc>
                  </w:tr>
                  <w:tr>
                    <w:trPr>
                      <w:trHeight w:val="425" w:hRule="atLeast"/>
                    </w:trPr>
                    <w:tc>
                      <w:tcPr>
                        <w:tcW w:w="2342" w:type="dxa"/>
                      </w:tcPr>
                      <w:p>
                        <w:pPr>
                          <w:pStyle w:val="TableParagraph"/>
                          <w:rPr>
                            <w:rFonts w:ascii="Times New Roman"/>
                            <w:sz w:val="18"/>
                          </w:rPr>
                        </w:pPr>
                      </w:p>
                    </w:tc>
                    <w:tc>
                      <w:tcPr>
                        <w:tcW w:w="7910" w:type="dxa"/>
                      </w:tcPr>
                      <w:p>
                        <w:pPr>
                          <w:pStyle w:val="TableParagraph"/>
                          <w:spacing w:before="10"/>
                          <w:ind w:left="276"/>
                          <w:rPr>
                            <w:sz w:val="18"/>
                          </w:rPr>
                        </w:pPr>
                        <w:r>
                          <w:rPr>
                            <w:sz w:val="18"/>
                          </w:rPr>
                          <w:t>(3) 诊断须由肾组织活检确定。</w:t>
                        </w:r>
                      </w:p>
                    </w:tc>
                  </w:tr>
                  <w:tr>
                    <w:trPr>
                      <w:trHeight w:val="1474" w:hRule="atLeast"/>
                    </w:trPr>
                    <w:tc>
                      <w:tcPr>
                        <w:tcW w:w="2342" w:type="dxa"/>
                      </w:tcPr>
                      <w:p>
                        <w:pPr>
                          <w:pStyle w:val="TableParagraph"/>
                          <w:spacing w:before="124"/>
                          <w:ind w:left="200"/>
                          <w:rPr>
                            <w:b/>
                            <w:sz w:val="18"/>
                          </w:rPr>
                        </w:pPr>
                        <w:r>
                          <w:rPr>
                            <w:b/>
                            <w:sz w:val="18"/>
                          </w:rPr>
                          <w:t>39. 主动脉夹层瘤</w:t>
                        </w:r>
                      </w:p>
                    </w:tc>
                    <w:tc>
                      <w:tcPr>
                        <w:tcW w:w="7910" w:type="dxa"/>
                      </w:tcPr>
                      <w:p>
                        <w:pPr>
                          <w:pStyle w:val="TableParagraph"/>
                          <w:spacing w:line="316" w:lineRule="auto" w:before="124"/>
                          <w:ind w:left="275" w:right="288"/>
                          <w:jc w:val="both"/>
                          <w:rPr>
                            <w:sz w:val="18"/>
                          </w:rPr>
                        </w:pP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tc>
                  </w:tr>
                  <w:tr>
                    <w:trPr>
                      <w:trHeight w:val="359" w:hRule="atLeast"/>
                    </w:trPr>
                    <w:tc>
                      <w:tcPr>
                        <w:tcW w:w="2342" w:type="dxa"/>
                      </w:tcPr>
                      <w:p>
                        <w:pPr>
                          <w:pStyle w:val="TableParagraph"/>
                          <w:spacing w:line="216" w:lineRule="exact" w:before="124"/>
                          <w:ind w:left="200"/>
                          <w:rPr>
                            <w:b/>
                            <w:sz w:val="18"/>
                          </w:rPr>
                        </w:pPr>
                        <w:r>
                          <w:rPr>
                            <w:b/>
                            <w:sz w:val="18"/>
                          </w:rPr>
                          <w:t>40. 脑动脉瘤开颅手术</w:t>
                        </w:r>
                      </w:p>
                    </w:tc>
                    <w:tc>
                      <w:tcPr>
                        <w:tcW w:w="7910" w:type="dxa"/>
                      </w:tcPr>
                      <w:p>
                        <w:pPr>
                          <w:pStyle w:val="TableParagraph"/>
                          <w:spacing w:line="216" w:lineRule="exact" w:before="124"/>
                          <w:ind w:left="275"/>
                          <w:rPr>
                            <w:sz w:val="18"/>
                          </w:rPr>
                        </w:pPr>
                        <w:r>
                          <w:rPr>
                            <w:sz w:val="18"/>
                          </w:rPr>
                          <w:t>指确已进行开颅手术以夹闭、修复或切除脑动脉瘤。但不包括导管及血管内手术。</w:t>
                        </w:r>
                      </w:p>
                    </w:tc>
                  </w:tr>
                </w:tbl>
                <w:p>
                  <w:pPr>
                    <w:pStyle w:val="BodyText"/>
                  </w:pPr>
                </w:p>
              </w:txbxContent>
            </v:textbox>
            <w10:wrap type="none"/>
          </v:shape>
        </w:pict>
      </w:r>
    </w:p>
    <w:p>
      <w:pPr>
        <w:pStyle w:val="BodyText"/>
        <w:spacing w:line="316" w:lineRule="auto" w:before="44"/>
        <w:ind w:left="2723" w:right="340"/>
      </w:pPr>
      <w:r>
        <w:rPr/>
        <w:t>吸功能减弱麻痹性瘫痪的疾病。被保险人若无因此感染而导致麻痹性瘫痪的事实结果，则不符合给付保险金的条件。其它病因所致的麻痹，例如格林巴利综合征则不在此保障范围以内。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7"/>
        <w:ind w:left="2723"/>
      </w:pPr>
      <w:r>
        <w:rPr/>
        <w:t>(2) 临床表现包括：无感觉神经紊乱，正常脑脊液及轻微腱反射的减退；</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p>
    <w:p>
      <w:pPr>
        <w:pStyle w:val="BodyText"/>
        <w:ind w:left="2723"/>
      </w:pPr>
      <w:r>
        <w:rPr/>
        <w:t>(2)病人缺氧必须广泛而持续地进行输氧治疗；</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0"/>
        </w:rPr>
      </w:pPr>
    </w:p>
    <w:p>
      <w:pPr>
        <w:pStyle w:val="BodyText"/>
        <w:spacing w:before="1"/>
        <w:ind w:left="2723"/>
      </w:pPr>
      <w:r>
        <w:rPr/>
        <w:t>(1) 肾髓质有囊肿、肾小管萎缩及间质纤维化等病理改变；</w:t>
      </w:r>
    </w:p>
    <w:p>
      <w:pPr>
        <w:spacing w:after="0"/>
        <w:sectPr>
          <w:pgSz w:w="11910" w:h="16840"/>
          <w:pgMar w:header="877" w:footer="981" w:top="1100" w:bottom="1180" w:left="880" w:right="560"/>
        </w:sectPr>
      </w:pPr>
    </w:p>
    <w:p>
      <w:pPr>
        <w:pStyle w:val="BodyText"/>
        <w:spacing w:before="3"/>
        <w:rPr>
          <w:sz w:val="20"/>
        </w:rPr>
      </w:pPr>
    </w:p>
    <w:p>
      <w:pPr>
        <w:pStyle w:val="BodyText"/>
        <w:spacing w:before="44"/>
        <w:ind w:left="144"/>
      </w:pPr>
      <w:r>
        <w:rPr/>
        <w:t>注：</w:t>
      </w:r>
    </w:p>
    <w:p>
      <w:pPr>
        <w:pStyle w:val="ListParagraph"/>
        <w:numPr>
          <w:ilvl w:val="0"/>
          <w:numId w:val="14"/>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spacing w:before="76"/>
        <w:ind w:left="144"/>
      </w:pPr>
      <w:r>
        <w:rPr/>
        <w:t>专科医生应当同时满足以下四项资格条件：</w:t>
      </w:r>
    </w:p>
    <w:p>
      <w:pPr>
        <w:pStyle w:val="ListParagraph"/>
        <w:numPr>
          <w:ilvl w:val="0"/>
          <w:numId w:val="15"/>
        </w:numPr>
        <w:tabs>
          <w:tab w:pos="565" w:val="left" w:leader="none"/>
        </w:tabs>
        <w:spacing w:line="240" w:lineRule="auto" w:before="55" w:after="0"/>
        <w:ind w:left="564" w:right="0" w:hanging="420"/>
        <w:jc w:val="left"/>
        <w:rPr>
          <w:sz w:val="18"/>
        </w:rPr>
      </w:pPr>
      <w:r>
        <w:rPr>
          <w:spacing w:val="-5"/>
          <w:sz w:val="18"/>
        </w:rPr>
        <w:t>具有有效的中华人民共和国《医师资格证书》；</w:t>
      </w:r>
    </w:p>
    <w:p>
      <w:pPr>
        <w:pStyle w:val="ListParagraph"/>
        <w:numPr>
          <w:ilvl w:val="0"/>
          <w:numId w:val="15"/>
        </w:numPr>
        <w:tabs>
          <w:tab w:pos="565" w:val="left" w:leader="none"/>
        </w:tabs>
        <w:spacing w:line="240" w:lineRule="auto" w:before="37" w:after="0"/>
        <w:ind w:left="564" w:right="0" w:hanging="420"/>
        <w:jc w:val="left"/>
        <w:rPr>
          <w:sz w:val="18"/>
        </w:rPr>
      </w:pPr>
      <w:r>
        <w:rPr>
          <w:spacing w:val="-5"/>
          <w:sz w:val="18"/>
        </w:rPr>
        <w:t>具有有效的中华人民共和国《医师执业证书》，并按期到相关部门登记注册；</w:t>
      </w:r>
    </w:p>
    <w:p>
      <w:pPr>
        <w:pStyle w:val="ListParagraph"/>
        <w:numPr>
          <w:ilvl w:val="0"/>
          <w:numId w:val="15"/>
        </w:numPr>
        <w:tabs>
          <w:tab w:pos="565" w:val="left" w:leader="none"/>
        </w:tabs>
        <w:spacing w:line="240" w:lineRule="auto" w:before="37" w:after="0"/>
        <w:ind w:left="564" w:right="0" w:hanging="420"/>
        <w:jc w:val="left"/>
        <w:rPr>
          <w:sz w:val="18"/>
        </w:rPr>
      </w:pPr>
      <w:r>
        <w:rPr>
          <w:spacing w:val="-3"/>
          <w:sz w:val="18"/>
        </w:rPr>
        <w:t>具有有效的中华人民共和国主治医师或主治医师以上职称的《医师职称证书》；</w:t>
      </w:r>
    </w:p>
    <w:p>
      <w:pPr>
        <w:pStyle w:val="ListParagraph"/>
        <w:numPr>
          <w:ilvl w:val="0"/>
          <w:numId w:val="15"/>
        </w:numPr>
        <w:tabs>
          <w:tab w:pos="565" w:val="left" w:leader="none"/>
        </w:tabs>
        <w:spacing w:line="240" w:lineRule="auto" w:before="37" w:after="0"/>
        <w:ind w:left="564" w:right="0" w:hanging="420"/>
        <w:jc w:val="left"/>
        <w:rPr>
          <w:sz w:val="18"/>
        </w:rPr>
      </w:pPr>
      <w:r>
        <w:rPr>
          <w:sz w:val="18"/>
        </w:rPr>
        <w:t>在二级或二级以上医院的相应科室从事临床工作三年以上。</w:t>
      </w:r>
    </w:p>
    <w:p>
      <w:pPr>
        <w:pStyle w:val="ListParagraph"/>
        <w:numPr>
          <w:ilvl w:val="0"/>
          <w:numId w:val="14"/>
        </w:numPr>
        <w:tabs>
          <w:tab w:pos="564" w:val="left" w:leader="none"/>
          <w:tab w:pos="565" w:val="left" w:leader="none"/>
        </w:tabs>
        <w:spacing w:line="240" w:lineRule="auto" w:before="58" w:after="0"/>
        <w:ind w:left="564" w:right="0" w:hanging="420"/>
        <w:jc w:val="left"/>
        <w:rPr>
          <w:sz w:val="18"/>
        </w:rPr>
      </w:pPr>
      <w:r>
        <w:rPr>
          <w:sz w:val="18"/>
        </w:rPr>
        <w:t>肢体机能完全丧失</w:t>
      </w:r>
    </w:p>
    <w:p>
      <w:pPr>
        <w:pStyle w:val="BodyText"/>
        <w:spacing w:before="76"/>
        <w:ind w:left="144"/>
      </w:pPr>
      <w:r>
        <w:rPr/>
        <w:t>指肢体的三大关节中的两大关节僵硬，或不能随意识活动。肢体是指包括肩关节的整个上肢或包括髋关节的整个下肢。</w:t>
      </w:r>
    </w:p>
    <w:p>
      <w:pPr>
        <w:pStyle w:val="ListParagraph"/>
        <w:numPr>
          <w:ilvl w:val="0"/>
          <w:numId w:val="14"/>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spacing w:before="76"/>
        <w:ind w:left="144"/>
      </w:pPr>
      <w:r>
        <w:rPr/>
        <w:t>指因牙齿以外的原因导致器质障碍或机能障碍，以致不能作咀嚼吞咽运动，除流质食物外不能摄取或吞咽的状态。</w:t>
      </w:r>
    </w:p>
    <w:p>
      <w:pPr>
        <w:pStyle w:val="ListParagraph"/>
        <w:numPr>
          <w:ilvl w:val="0"/>
          <w:numId w:val="14"/>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before="76"/>
        <w:ind w:left="144" w:right="88"/>
      </w:pPr>
      <w:r>
        <w:rPr/>
        <w:t>指无法发出四种语音（包括口唇音、齿舌音、口盖音和喉头音）中的任何三种、或声带全部切除，或因大脑语言中枢受伤害而患失语症。</w:t>
      </w:r>
    </w:p>
    <w:p>
      <w:pPr>
        <w:pStyle w:val="ListParagraph"/>
        <w:numPr>
          <w:ilvl w:val="0"/>
          <w:numId w:val="14"/>
        </w:numPr>
        <w:tabs>
          <w:tab w:pos="564" w:val="left" w:leader="none"/>
          <w:tab w:pos="565" w:val="left" w:leader="none"/>
        </w:tabs>
        <w:spacing w:line="240" w:lineRule="auto" w:before="18" w:after="0"/>
        <w:ind w:left="564" w:right="0" w:hanging="420"/>
        <w:jc w:val="left"/>
        <w:rPr>
          <w:sz w:val="18"/>
        </w:rPr>
      </w:pPr>
      <w:r>
        <w:rPr>
          <w:sz w:val="18"/>
        </w:rPr>
        <w:t>六项基本日常生活活动</w:t>
      </w:r>
    </w:p>
    <w:p>
      <w:pPr>
        <w:pStyle w:val="ListParagraph"/>
        <w:numPr>
          <w:ilvl w:val="0"/>
          <w:numId w:val="16"/>
        </w:numPr>
        <w:tabs>
          <w:tab w:pos="565" w:val="left" w:leader="none"/>
        </w:tabs>
        <w:spacing w:line="240" w:lineRule="auto" w:before="55" w:after="0"/>
        <w:ind w:left="564" w:right="0" w:hanging="420"/>
        <w:jc w:val="left"/>
        <w:rPr>
          <w:sz w:val="18"/>
        </w:rPr>
      </w:pPr>
      <w:r>
        <w:rPr>
          <w:sz w:val="18"/>
        </w:rPr>
        <w:t>穿衣：自己能够穿衣及脱衣；</w:t>
      </w:r>
    </w:p>
    <w:p>
      <w:pPr>
        <w:pStyle w:val="ListParagraph"/>
        <w:numPr>
          <w:ilvl w:val="0"/>
          <w:numId w:val="16"/>
        </w:numPr>
        <w:tabs>
          <w:tab w:pos="565" w:val="left" w:leader="none"/>
        </w:tabs>
        <w:spacing w:line="240" w:lineRule="auto" w:before="36" w:after="0"/>
        <w:ind w:left="564" w:right="0" w:hanging="420"/>
        <w:jc w:val="left"/>
        <w:rPr>
          <w:sz w:val="18"/>
        </w:rPr>
      </w:pPr>
      <w:r>
        <w:rPr>
          <w:sz w:val="18"/>
        </w:rPr>
        <w:t>移动：自己从一个房间到另一个房间；</w:t>
      </w:r>
    </w:p>
    <w:p>
      <w:pPr>
        <w:pStyle w:val="ListParagraph"/>
        <w:numPr>
          <w:ilvl w:val="0"/>
          <w:numId w:val="16"/>
        </w:numPr>
        <w:tabs>
          <w:tab w:pos="565" w:val="left" w:leader="none"/>
        </w:tabs>
        <w:spacing w:line="240" w:lineRule="auto" w:before="36" w:after="0"/>
        <w:ind w:left="564" w:right="0" w:hanging="420"/>
        <w:jc w:val="left"/>
        <w:rPr>
          <w:sz w:val="18"/>
        </w:rPr>
      </w:pPr>
      <w:r>
        <w:rPr>
          <w:sz w:val="18"/>
        </w:rPr>
        <w:t>行动：自己上下床或上下轮椅；</w:t>
      </w:r>
    </w:p>
    <w:p>
      <w:pPr>
        <w:pStyle w:val="ListParagraph"/>
        <w:numPr>
          <w:ilvl w:val="0"/>
          <w:numId w:val="16"/>
        </w:numPr>
        <w:tabs>
          <w:tab w:pos="565" w:val="left" w:leader="none"/>
        </w:tabs>
        <w:spacing w:line="240" w:lineRule="auto" w:before="36" w:after="0"/>
        <w:ind w:left="564" w:right="0" w:hanging="420"/>
        <w:jc w:val="left"/>
        <w:rPr>
          <w:sz w:val="18"/>
        </w:rPr>
      </w:pPr>
      <w:r>
        <w:rPr>
          <w:sz w:val="18"/>
        </w:rPr>
        <w:t>如厕：自己控制进行大小便；</w:t>
      </w:r>
    </w:p>
    <w:p>
      <w:pPr>
        <w:pStyle w:val="ListParagraph"/>
        <w:numPr>
          <w:ilvl w:val="0"/>
          <w:numId w:val="16"/>
        </w:numPr>
        <w:tabs>
          <w:tab w:pos="565" w:val="left" w:leader="none"/>
        </w:tabs>
        <w:spacing w:line="240" w:lineRule="auto" w:before="36" w:after="0"/>
        <w:ind w:left="564" w:right="0" w:hanging="420"/>
        <w:jc w:val="left"/>
        <w:rPr>
          <w:sz w:val="18"/>
        </w:rPr>
      </w:pPr>
      <w:r>
        <w:rPr>
          <w:sz w:val="18"/>
        </w:rPr>
        <w:t>进食：自己从已准备好的碗或碟中取食物放入口中；</w:t>
      </w:r>
    </w:p>
    <w:p>
      <w:pPr>
        <w:pStyle w:val="ListParagraph"/>
        <w:numPr>
          <w:ilvl w:val="0"/>
          <w:numId w:val="16"/>
        </w:numPr>
        <w:tabs>
          <w:tab w:pos="565" w:val="left" w:leader="none"/>
        </w:tabs>
        <w:spacing w:line="240" w:lineRule="auto" w:before="36" w:after="0"/>
        <w:ind w:left="564" w:right="0" w:hanging="420"/>
        <w:jc w:val="left"/>
        <w:rPr>
          <w:sz w:val="18"/>
        </w:rPr>
      </w:pPr>
      <w:r>
        <w:rPr>
          <w:sz w:val="18"/>
        </w:rPr>
        <w:t>洗澡：自己进行淋浴或盆浴。</w:t>
      </w:r>
    </w:p>
    <w:p>
      <w:pPr>
        <w:pStyle w:val="ListParagraph"/>
        <w:numPr>
          <w:ilvl w:val="0"/>
          <w:numId w:val="14"/>
        </w:numPr>
        <w:tabs>
          <w:tab w:pos="564" w:val="left" w:leader="none"/>
          <w:tab w:pos="565" w:val="left" w:leader="none"/>
        </w:tabs>
        <w:spacing w:line="240" w:lineRule="auto" w:before="57" w:after="0"/>
        <w:ind w:left="564" w:right="0" w:hanging="420"/>
        <w:jc w:val="left"/>
        <w:rPr>
          <w:sz w:val="18"/>
        </w:rPr>
      </w:pPr>
      <w:r>
        <w:rPr>
          <w:sz w:val="18"/>
        </w:rPr>
        <w:t>永久不可逆</w:t>
      </w:r>
    </w:p>
    <w:p>
      <w:pPr>
        <w:pStyle w:val="BodyText"/>
        <w:spacing w:before="76"/>
        <w:ind w:left="144"/>
      </w:pPr>
      <w:r>
        <w:rPr/>
        <w:t>指自疾病确诊或意外伤害发生之日起，经过积极治疗 180 天后，仍无法通过现有医疗手段恢复。</w:t>
      </w:r>
    </w:p>
    <w:p>
      <w:pPr>
        <w:pStyle w:val="BodyText"/>
      </w:pPr>
    </w:p>
    <w:p>
      <w:pPr>
        <w:pStyle w:val="BodyText"/>
      </w:pPr>
    </w:p>
    <w:p>
      <w:pPr>
        <w:pStyle w:val="BodyText"/>
        <w:spacing w:before="5"/>
        <w:rPr>
          <w:sz w:val="20"/>
        </w:rPr>
      </w:pPr>
    </w:p>
    <w:p>
      <w:pPr>
        <w:pStyle w:val="Heading2"/>
        <w:spacing w:before="0"/>
        <w:ind w:left="144"/>
      </w:pPr>
      <w:r>
        <w:rPr>
          <w:w w:val="95"/>
        </w:rPr>
        <w:t>附表二：</w:t>
      </w:r>
    </w:p>
    <w:p>
      <w:pPr>
        <w:spacing w:before="153"/>
        <w:ind w:left="4030" w:right="4022" w:firstLine="0"/>
        <w:jc w:val="center"/>
        <w:rPr>
          <w:b/>
          <w:sz w:val="18"/>
        </w:rPr>
      </w:pPr>
      <w:r>
        <w:rPr>
          <w:b/>
          <w:w w:val="95"/>
          <w:sz w:val="18"/>
        </w:rPr>
        <w:t>短期保险费费率比例表</w:t>
      </w:r>
    </w:p>
    <w:p>
      <w:pPr>
        <w:pStyle w:val="BodyText"/>
        <w:rPr>
          <w:b/>
          <w:sz w:val="8"/>
        </w:rPr>
      </w:pPr>
    </w:p>
    <w:tbl>
      <w:tblPr>
        <w:tblW w:w="0" w:type="auto"/>
        <w:jc w:val="left"/>
        <w:tblInd w:w="6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0"/>
        <w:gridCol w:w="614"/>
        <w:gridCol w:w="615"/>
        <w:gridCol w:w="614"/>
        <w:gridCol w:w="615"/>
        <w:gridCol w:w="614"/>
        <w:gridCol w:w="615"/>
        <w:gridCol w:w="614"/>
        <w:gridCol w:w="615"/>
        <w:gridCol w:w="614"/>
        <w:gridCol w:w="615"/>
        <w:gridCol w:w="614"/>
        <w:gridCol w:w="615"/>
      </w:tblGrid>
      <w:tr>
        <w:trPr>
          <w:trHeight w:val="311" w:hRule="atLeast"/>
        </w:trPr>
        <w:tc>
          <w:tcPr>
            <w:tcW w:w="1110" w:type="dxa"/>
            <w:tcBorders>
              <w:right w:val="single" w:sz="4" w:space="0" w:color="000000"/>
            </w:tcBorders>
          </w:tcPr>
          <w:p>
            <w:pPr>
              <w:pStyle w:val="TableParagraph"/>
              <w:spacing w:before="11"/>
              <w:ind w:left="194"/>
              <w:rPr>
                <w:sz w:val="18"/>
              </w:rPr>
            </w:pPr>
            <w:r>
              <w:rPr>
                <w:sz w:val="18"/>
              </w:rPr>
              <w:t>承保月数</w:t>
            </w:r>
          </w:p>
        </w:tc>
        <w:tc>
          <w:tcPr>
            <w:tcW w:w="614" w:type="dxa"/>
            <w:tcBorders>
              <w:left w:val="single" w:sz="4" w:space="0" w:color="000000"/>
            </w:tcBorders>
          </w:tcPr>
          <w:p>
            <w:pPr>
              <w:pStyle w:val="TableParagraph"/>
              <w:spacing w:before="11"/>
              <w:ind w:left="18"/>
              <w:jc w:val="center"/>
              <w:rPr>
                <w:sz w:val="18"/>
              </w:rPr>
            </w:pPr>
            <w:r>
              <w:rPr>
                <w:sz w:val="18"/>
              </w:rPr>
              <w:t>1</w:t>
            </w:r>
          </w:p>
        </w:tc>
        <w:tc>
          <w:tcPr>
            <w:tcW w:w="615" w:type="dxa"/>
          </w:tcPr>
          <w:p>
            <w:pPr>
              <w:pStyle w:val="TableParagraph"/>
              <w:spacing w:before="11"/>
              <w:ind w:left="15"/>
              <w:jc w:val="center"/>
              <w:rPr>
                <w:sz w:val="18"/>
              </w:rPr>
            </w:pPr>
            <w:r>
              <w:rPr>
                <w:sz w:val="18"/>
              </w:rPr>
              <w:t>2</w:t>
            </w:r>
          </w:p>
        </w:tc>
        <w:tc>
          <w:tcPr>
            <w:tcW w:w="614" w:type="dxa"/>
          </w:tcPr>
          <w:p>
            <w:pPr>
              <w:pStyle w:val="TableParagraph"/>
              <w:spacing w:before="11"/>
              <w:ind w:left="18"/>
              <w:jc w:val="center"/>
              <w:rPr>
                <w:sz w:val="18"/>
              </w:rPr>
            </w:pPr>
            <w:r>
              <w:rPr>
                <w:sz w:val="18"/>
              </w:rPr>
              <w:t>3</w:t>
            </w:r>
          </w:p>
        </w:tc>
        <w:tc>
          <w:tcPr>
            <w:tcW w:w="615" w:type="dxa"/>
          </w:tcPr>
          <w:p>
            <w:pPr>
              <w:pStyle w:val="TableParagraph"/>
              <w:spacing w:before="11"/>
              <w:ind w:left="17"/>
              <w:jc w:val="center"/>
              <w:rPr>
                <w:sz w:val="18"/>
              </w:rPr>
            </w:pPr>
            <w:r>
              <w:rPr>
                <w:sz w:val="18"/>
              </w:rPr>
              <w:t>4</w:t>
            </w:r>
          </w:p>
        </w:tc>
        <w:tc>
          <w:tcPr>
            <w:tcW w:w="614" w:type="dxa"/>
          </w:tcPr>
          <w:p>
            <w:pPr>
              <w:pStyle w:val="TableParagraph"/>
              <w:spacing w:before="11"/>
              <w:ind w:left="19"/>
              <w:jc w:val="center"/>
              <w:rPr>
                <w:sz w:val="18"/>
              </w:rPr>
            </w:pPr>
            <w:r>
              <w:rPr>
                <w:sz w:val="18"/>
              </w:rPr>
              <w:t>5</w:t>
            </w:r>
          </w:p>
        </w:tc>
        <w:tc>
          <w:tcPr>
            <w:tcW w:w="615" w:type="dxa"/>
          </w:tcPr>
          <w:p>
            <w:pPr>
              <w:pStyle w:val="TableParagraph"/>
              <w:spacing w:before="11"/>
              <w:ind w:left="19"/>
              <w:jc w:val="center"/>
              <w:rPr>
                <w:sz w:val="18"/>
              </w:rPr>
            </w:pPr>
            <w:r>
              <w:rPr>
                <w:sz w:val="18"/>
              </w:rPr>
              <w:t>6</w:t>
            </w:r>
          </w:p>
        </w:tc>
        <w:tc>
          <w:tcPr>
            <w:tcW w:w="614" w:type="dxa"/>
          </w:tcPr>
          <w:p>
            <w:pPr>
              <w:pStyle w:val="TableParagraph"/>
              <w:spacing w:before="11"/>
              <w:ind w:left="21"/>
              <w:jc w:val="center"/>
              <w:rPr>
                <w:sz w:val="18"/>
              </w:rPr>
            </w:pPr>
            <w:r>
              <w:rPr>
                <w:sz w:val="18"/>
              </w:rPr>
              <w:t>7</w:t>
            </w:r>
          </w:p>
        </w:tc>
        <w:tc>
          <w:tcPr>
            <w:tcW w:w="615" w:type="dxa"/>
          </w:tcPr>
          <w:p>
            <w:pPr>
              <w:pStyle w:val="TableParagraph"/>
              <w:spacing w:before="11"/>
              <w:ind w:left="21"/>
              <w:jc w:val="center"/>
              <w:rPr>
                <w:sz w:val="18"/>
              </w:rPr>
            </w:pPr>
            <w:r>
              <w:rPr>
                <w:sz w:val="18"/>
              </w:rPr>
              <w:t>8</w:t>
            </w:r>
          </w:p>
        </w:tc>
        <w:tc>
          <w:tcPr>
            <w:tcW w:w="614" w:type="dxa"/>
          </w:tcPr>
          <w:p>
            <w:pPr>
              <w:pStyle w:val="TableParagraph"/>
              <w:spacing w:before="11"/>
              <w:ind w:left="23"/>
              <w:jc w:val="center"/>
              <w:rPr>
                <w:sz w:val="18"/>
              </w:rPr>
            </w:pPr>
            <w:r>
              <w:rPr>
                <w:sz w:val="18"/>
              </w:rPr>
              <w:t>9</w:t>
            </w:r>
          </w:p>
        </w:tc>
        <w:tc>
          <w:tcPr>
            <w:tcW w:w="615" w:type="dxa"/>
          </w:tcPr>
          <w:p>
            <w:pPr>
              <w:pStyle w:val="TableParagraph"/>
              <w:spacing w:before="11"/>
              <w:ind w:right="196"/>
              <w:jc w:val="right"/>
              <w:rPr>
                <w:sz w:val="18"/>
              </w:rPr>
            </w:pPr>
            <w:r>
              <w:rPr>
                <w:sz w:val="18"/>
              </w:rPr>
              <w:t>10</w:t>
            </w:r>
          </w:p>
        </w:tc>
        <w:tc>
          <w:tcPr>
            <w:tcW w:w="614" w:type="dxa"/>
          </w:tcPr>
          <w:p>
            <w:pPr>
              <w:pStyle w:val="TableParagraph"/>
              <w:spacing w:before="11"/>
              <w:ind w:left="153" w:right="129"/>
              <w:jc w:val="center"/>
              <w:rPr>
                <w:sz w:val="18"/>
              </w:rPr>
            </w:pPr>
            <w:r>
              <w:rPr>
                <w:sz w:val="18"/>
              </w:rPr>
              <w:t>11</w:t>
            </w:r>
          </w:p>
        </w:tc>
        <w:tc>
          <w:tcPr>
            <w:tcW w:w="615" w:type="dxa"/>
          </w:tcPr>
          <w:p>
            <w:pPr>
              <w:pStyle w:val="TableParagraph"/>
              <w:spacing w:before="11"/>
              <w:ind w:left="112" w:right="88"/>
              <w:jc w:val="center"/>
              <w:rPr>
                <w:sz w:val="18"/>
              </w:rPr>
            </w:pPr>
            <w:r>
              <w:rPr>
                <w:sz w:val="18"/>
              </w:rPr>
              <w:t>12</w:t>
            </w:r>
          </w:p>
        </w:tc>
      </w:tr>
      <w:tr>
        <w:trPr>
          <w:trHeight w:val="339" w:hRule="atLeast"/>
        </w:trPr>
        <w:tc>
          <w:tcPr>
            <w:tcW w:w="1110" w:type="dxa"/>
            <w:tcBorders>
              <w:right w:val="single" w:sz="4" w:space="0" w:color="000000"/>
            </w:tcBorders>
          </w:tcPr>
          <w:p>
            <w:pPr>
              <w:pStyle w:val="TableParagraph"/>
              <w:tabs>
                <w:tab w:pos="734" w:val="left" w:leader="none"/>
              </w:tabs>
              <w:spacing w:before="23"/>
              <w:ind w:left="194"/>
              <w:rPr>
                <w:sz w:val="18"/>
              </w:rPr>
            </w:pPr>
            <w:r>
              <w:rPr>
                <w:sz w:val="18"/>
              </w:rPr>
              <w:t>比</w:t>
              <w:tab/>
              <w:t>例</w:t>
            </w:r>
          </w:p>
        </w:tc>
        <w:tc>
          <w:tcPr>
            <w:tcW w:w="614" w:type="dxa"/>
            <w:tcBorders>
              <w:left w:val="single" w:sz="4" w:space="0" w:color="000000"/>
            </w:tcBorders>
          </w:tcPr>
          <w:p>
            <w:pPr>
              <w:pStyle w:val="TableParagraph"/>
              <w:spacing w:before="23"/>
              <w:ind w:left="154" w:right="136"/>
              <w:jc w:val="center"/>
              <w:rPr>
                <w:sz w:val="18"/>
              </w:rPr>
            </w:pPr>
            <w:r>
              <w:rPr>
                <w:sz w:val="18"/>
              </w:rPr>
              <w:t>20%</w:t>
            </w:r>
          </w:p>
        </w:tc>
        <w:tc>
          <w:tcPr>
            <w:tcW w:w="615" w:type="dxa"/>
          </w:tcPr>
          <w:p>
            <w:pPr>
              <w:pStyle w:val="TableParagraph"/>
              <w:spacing w:before="23"/>
              <w:ind w:left="103" w:right="88"/>
              <w:jc w:val="center"/>
              <w:rPr>
                <w:sz w:val="18"/>
              </w:rPr>
            </w:pPr>
            <w:r>
              <w:rPr>
                <w:sz w:val="18"/>
              </w:rPr>
              <w:t>30%</w:t>
            </w:r>
          </w:p>
        </w:tc>
        <w:tc>
          <w:tcPr>
            <w:tcW w:w="614" w:type="dxa"/>
          </w:tcPr>
          <w:p>
            <w:pPr>
              <w:pStyle w:val="TableParagraph"/>
              <w:spacing w:before="23"/>
              <w:ind w:left="150" w:right="132"/>
              <w:jc w:val="center"/>
              <w:rPr>
                <w:sz w:val="18"/>
              </w:rPr>
            </w:pPr>
            <w:r>
              <w:rPr>
                <w:sz w:val="18"/>
              </w:rPr>
              <w:t>40%</w:t>
            </w:r>
          </w:p>
        </w:tc>
        <w:tc>
          <w:tcPr>
            <w:tcW w:w="615" w:type="dxa"/>
          </w:tcPr>
          <w:p>
            <w:pPr>
              <w:pStyle w:val="TableParagraph"/>
              <w:spacing w:before="23"/>
              <w:ind w:left="105" w:right="88"/>
              <w:jc w:val="center"/>
              <w:rPr>
                <w:sz w:val="18"/>
              </w:rPr>
            </w:pPr>
            <w:r>
              <w:rPr>
                <w:sz w:val="18"/>
              </w:rPr>
              <w:t>50%</w:t>
            </w:r>
          </w:p>
        </w:tc>
        <w:tc>
          <w:tcPr>
            <w:tcW w:w="614" w:type="dxa"/>
          </w:tcPr>
          <w:p>
            <w:pPr>
              <w:pStyle w:val="TableParagraph"/>
              <w:spacing w:before="23"/>
              <w:ind w:left="151" w:right="132"/>
              <w:jc w:val="center"/>
              <w:rPr>
                <w:sz w:val="18"/>
              </w:rPr>
            </w:pPr>
            <w:r>
              <w:rPr>
                <w:sz w:val="18"/>
              </w:rPr>
              <w:t>60%</w:t>
            </w:r>
          </w:p>
        </w:tc>
        <w:tc>
          <w:tcPr>
            <w:tcW w:w="615" w:type="dxa"/>
          </w:tcPr>
          <w:p>
            <w:pPr>
              <w:pStyle w:val="TableParagraph"/>
              <w:spacing w:before="23"/>
              <w:ind w:left="107" w:right="88"/>
              <w:jc w:val="center"/>
              <w:rPr>
                <w:sz w:val="18"/>
              </w:rPr>
            </w:pPr>
            <w:r>
              <w:rPr>
                <w:sz w:val="18"/>
              </w:rPr>
              <w:t>70%</w:t>
            </w:r>
          </w:p>
        </w:tc>
        <w:tc>
          <w:tcPr>
            <w:tcW w:w="614" w:type="dxa"/>
          </w:tcPr>
          <w:p>
            <w:pPr>
              <w:pStyle w:val="TableParagraph"/>
              <w:spacing w:before="23"/>
              <w:ind w:left="153" w:right="132"/>
              <w:jc w:val="center"/>
              <w:rPr>
                <w:sz w:val="18"/>
              </w:rPr>
            </w:pPr>
            <w:r>
              <w:rPr>
                <w:sz w:val="18"/>
              </w:rPr>
              <w:t>75%</w:t>
            </w:r>
          </w:p>
        </w:tc>
        <w:tc>
          <w:tcPr>
            <w:tcW w:w="615" w:type="dxa"/>
          </w:tcPr>
          <w:p>
            <w:pPr>
              <w:pStyle w:val="TableParagraph"/>
              <w:spacing w:before="23"/>
              <w:ind w:left="109" w:right="88"/>
              <w:jc w:val="center"/>
              <w:rPr>
                <w:sz w:val="18"/>
              </w:rPr>
            </w:pPr>
            <w:r>
              <w:rPr>
                <w:sz w:val="18"/>
              </w:rPr>
              <w:t>80%</w:t>
            </w:r>
          </w:p>
        </w:tc>
        <w:tc>
          <w:tcPr>
            <w:tcW w:w="614" w:type="dxa"/>
          </w:tcPr>
          <w:p>
            <w:pPr>
              <w:pStyle w:val="TableParagraph"/>
              <w:spacing w:before="23"/>
              <w:ind w:left="153" w:right="130"/>
              <w:jc w:val="center"/>
              <w:rPr>
                <w:sz w:val="18"/>
              </w:rPr>
            </w:pPr>
            <w:r>
              <w:rPr>
                <w:sz w:val="18"/>
              </w:rPr>
              <w:t>85%</w:t>
            </w:r>
          </w:p>
        </w:tc>
        <w:tc>
          <w:tcPr>
            <w:tcW w:w="615" w:type="dxa"/>
          </w:tcPr>
          <w:p>
            <w:pPr>
              <w:pStyle w:val="TableParagraph"/>
              <w:spacing w:before="23"/>
              <w:ind w:right="151"/>
              <w:jc w:val="right"/>
              <w:rPr>
                <w:sz w:val="18"/>
              </w:rPr>
            </w:pPr>
            <w:r>
              <w:rPr>
                <w:sz w:val="18"/>
              </w:rPr>
              <w:t>90%</w:t>
            </w:r>
          </w:p>
        </w:tc>
        <w:tc>
          <w:tcPr>
            <w:tcW w:w="614" w:type="dxa"/>
          </w:tcPr>
          <w:p>
            <w:pPr>
              <w:pStyle w:val="TableParagraph"/>
              <w:spacing w:before="23"/>
              <w:ind w:left="153" w:right="128"/>
              <w:jc w:val="center"/>
              <w:rPr>
                <w:sz w:val="18"/>
              </w:rPr>
            </w:pPr>
            <w:r>
              <w:rPr>
                <w:sz w:val="18"/>
              </w:rPr>
              <w:t>95%</w:t>
            </w:r>
          </w:p>
        </w:tc>
        <w:tc>
          <w:tcPr>
            <w:tcW w:w="615" w:type="dxa"/>
          </w:tcPr>
          <w:p>
            <w:pPr>
              <w:pStyle w:val="TableParagraph"/>
              <w:spacing w:before="23"/>
              <w:ind w:left="112" w:right="88"/>
              <w:jc w:val="center"/>
              <w:rPr>
                <w:sz w:val="18"/>
              </w:rPr>
            </w:pPr>
            <w:r>
              <w:rPr>
                <w:sz w:val="18"/>
              </w:rPr>
              <w:t>100%</w:t>
            </w:r>
          </w:p>
        </w:tc>
      </w:tr>
    </w:tbl>
    <w:p>
      <w:pPr>
        <w:pStyle w:val="BodyText"/>
        <w:spacing w:before="49"/>
        <w:ind w:left="594"/>
      </w:pPr>
      <w:r>
        <w:rPr/>
        <w:t>注：计算承保月数时，不足一个月的按一个月处理。</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Yu Gothic">
    <w:altName w:val="Yu Gothic"/>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39616"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39664" type="#_x0000_t202" filled="false" stroked="false">
          <v:textbox inset="0,0,0,0">
            <w:txbxContent>
              <w:p>
                <w:pPr>
                  <w:pStyle w:val="BodyText"/>
                  <w:spacing w:line="200" w:lineRule="exact"/>
                  <w:ind w:left="20"/>
                </w:pPr>
                <w:r>
                  <w:rPr/>
                  <w:t>民生附加重大疾病团体疾病保险条款</w:t>
                </w:r>
              </w:p>
            </w:txbxContent>
          </v:textbox>
          <w10:wrap type="none"/>
        </v:shape>
      </w:pict>
    </w:r>
    <w:r>
      <w:rPr/>
      <w:pict>
        <v:shape style="position:absolute;margin-left:428.720001pt;margin-top:42.865326pt;width:110pt;height:11pt;mso-position-horizontal-relative:page;mso-position-vertical-relative:page;z-index:-3964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592"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39568" type="#_x0000_t202" filled="false" stroked="false">
          <v:textbox inset="0,0,0,0">
            <w:txbxContent>
              <w:p>
                <w:pPr>
                  <w:pStyle w:val="BodyText"/>
                  <w:spacing w:line="200" w:lineRule="exact"/>
                  <w:ind w:left="20"/>
                </w:pPr>
                <w:r>
                  <w:rPr/>
                  <w:t>民生附加重大疾病团体疾病保险条款</w:t>
                </w:r>
              </w:p>
            </w:txbxContent>
          </v:textbox>
          <w10:wrap type="none"/>
        </v:shape>
      </w:pict>
    </w:r>
    <w:r>
      <w:rPr/>
      <w:pict>
        <v:shape style="position:absolute;margin-left:428.720001pt;margin-top:42.865326pt;width:110pt;height:11pt;mso-position-horizontal-relative:page;mso-position-vertical-relative:page;z-index:-3954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46pt;height:11pt;mso-position-horizontal-relative:page;mso-position-vertical-relative:page;z-index:-39520" type="#_x0000_t202" filled="false" stroked="false">
          <v:textbox inset="0,0,0,0">
            <w:txbxContent>
              <w:p>
                <w:pPr>
                  <w:pStyle w:val="BodyText"/>
                  <w:spacing w:line="200" w:lineRule="exact"/>
                  <w:ind w:left="20"/>
                </w:pPr>
                <w:r>
                  <w:rPr/>
                  <w:t>民生附加重大疾病团体疾病保险条款</w:t>
                </w:r>
              </w:p>
            </w:txbxContent>
          </v:textbox>
          <w10:wrap type="none"/>
        </v:shape>
      </w:pict>
    </w:r>
    <w:r>
      <w:rPr/>
      <w:pict>
        <v:shape style="position:absolute;margin-left:428.720001pt;margin-top:42.865326pt;width:110pt;height:11pt;mso-position-horizontal-relative:page;mso-position-vertical-relative:page;z-index:-3949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472"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39448" type="#_x0000_t202" filled="false" stroked="false">
          <v:textbox inset="0,0,0,0">
            <w:txbxContent>
              <w:p>
                <w:pPr>
                  <w:pStyle w:val="BodyText"/>
                  <w:spacing w:line="200" w:lineRule="exact"/>
                  <w:ind w:left="20"/>
                </w:pPr>
                <w:r>
                  <w:rPr/>
                  <w:t>民生附加重大疾病团体疾病保险条款</w:t>
                </w:r>
              </w:p>
            </w:txbxContent>
          </v:textbox>
          <w10:wrap type="none"/>
        </v:shape>
      </w:pict>
    </w:r>
    <w:r>
      <w:rPr/>
      <w:pict>
        <v:shape style="position:absolute;margin-left:428.720001pt;margin-top:42.865326pt;width:110pt;height:11pt;mso-position-horizontal-relative:page;mso-position-vertical-relative:page;z-index:-3942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64" w:hanging="420"/>
        <w:jc w:val="left"/>
      </w:pPr>
      <w:rPr>
        <w:rFonts w:hint="default" w:ascii="宋体" w:hAnsi="宋体" w:eastAsia="宋体" w:cs="宋体"/>
        <w:spacing w:val="-1"/>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14">
    <w:multiLevelType w:val="hybridMultilevel"/>
    <w:lvl w:ilvl="0">
      <w:start w:val="1"/>
      <w:numFmt w:val="decimal"/>
      <w:lvlText w:val="(%1)"/>
      <w:lvlJc w:val="left"/>
      <w:pPr>
        <w:ind w:left="564" w:hanging="420"/>
        <w:jc w:val="left"/>
      </w:pPr>
      <w:rPr>
        <w:rFonts w:hint="default" w:ascii="宋体" w:hAnsi="宋体" w:eastAsia="宋体" w:cs="宋体"/>
        <w:spacing w:val="-90"/>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13">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12">
    <w:multiLevelType w:val="hybridMultilevel"/>
    <w:lvl w:ilvl="0">
      <w:start w:val="37"/>
      <w:numFmt w:val="decimal"/>
      <w:lvlText w:val="%1."/>
      <w:lvlJc w:val="left"/>
      <w:pPr>
        <w:ind w:left="619" w:hanging="420"/>
        <w:jc w:val="left"/>
      </w:pPr>
      <w:rPr>
        <w:rFonts w:hint="default" w:ascii="宋体" w:hAnsi="宋体" w:eastAsia="宋体" w:cs="宋体"/>
        <w:b/>
        <w:bCs/>
        <w:spacing w:val="0"/>
        <w:w w:val="99"/>
        <w:sz w:val="18"/>
        <w:szCs w:val="18"/>
      </w:rPr>
    </w:lvl>
    <w:lvl w:ilvl="1">
      <w:start w:val="1"/>
      <w:numFmt w:val="decimal"/>
      <w:lvlText w:val="(%2)"/>
      <w:lvlJc w:val="left"/>
      <w:pPr>
        <w:ind w:left="2618" w:hanging="420"/>
        <w:jc w:val="left"/>
      </w:pPr>
      <w:rPr>
        <w:rFonts w:hint="default" w:ascii="宋体" w:hAnsi="宋体" w:eastAsia="宋体" w:cs="宋体"/>
        <w:spacing w:val="-31"/>
        <w:w w:val="100"/>
        <w:sz w:val="18"/>
        <w:szCs w:val="18"/>
      </w:rPr>
    </w:lvl>
    <w:lvl w:ilvl="2">
      <w:start w:val="0"/>
      <w:numFmt w:val="bullet"/>
      <w:lvlText w:val="•"/>
      <w:lvlJc w:val="left"/>
      <w:pPr>
        <w:ind w:left="3468" w:hanging="420"/>
      </w:pPr>
      <w:rPr>
        <w:rFonts w:hint="default"/>
      </w:rPr>
    </w:lvl>
    <w:lvl w:ilvl="3">
      <w:start w:val="0"/>
      <w:numFmt w:val="bullet"/>
      <w:lvlText w:val="•"/>
      <w:lvlJc w:val="left"/>
      <w:pPr>
        <w:ind w:left="4316" w:hanging="420"/>
      </w:pPr>
      <w:rPr>
        <w:rFonts w:hint="default"/>
      </w:rPr>
    </w:lvl>
    <w:lvl w:ilvl="4">
      <w:start w:val="0"/>
      <w:numFmt w:val="bullet"/>
      <w:lvlText w:val="•"/>
      <w:lvlJc w:val="left"/>
      <w:pPr>
        <w:ind w:left="5164" w:hanging="420"/>
      </w:pPr>
      <w:rPr>
        <w:rFonts w:hint="default"/>
      </w:rPr>
    </w:lvl>
    <w:lvl w:ilvl="5">
      <w:start w:val="0"/>
      <w:numFmt w:val="bullet"/>
      <w:lvlText w:val="•"/>
      <w:lvlJc w:val="left"/>
      <w:pPr>
        <w:ind w:left="6012" w:hanging="420"/>
      </w:pPr>
      <w:rPr>
        <w:rFonts w:hint="default"/>
      </w:rPr>
    </w:lvl>
    <w:lvl w:ilvl="6">
      <w:start w:val="0"/>
      <w:numFmt w:val="bullet"/>
      <w:lvlText w:val="•"/>
      <w:lvlJc w:val="left"/>
      <w:pPr>
        <w:ind w:left="6860"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56" w:hanging="420"/>
      </w:pPr>
      <w:rPr>
        <w:rFonts w:hint="default"/>
      </w:rPr>
    </w:lvl>
  </w:abstractNum>
  <w:abstractNum w:abstractNumId="11">
    <w:multiLevelType w:val="hybridMultilevel"/>
    <w:lvl w:ilvl="0">
      <w:start w:val="34"/>
      <w:numFmt w:val="decimal"/>
      <w:lvlText w:val="%1."/>
      <w:lvlJc w:val="left"/>
      <w:pPr>
        <w:ind w:left="2618"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41" w:hanging="420"/>
      </w:pPr>
      <w:rPr>
        <w:rFonts w:hint="default"/>
      </w:rPr>
    </w:lvl>
    <w:lvl w:ilvl="3">
      <w:start w:val="0"/>
      <w:numFmt w:val="bullet"/>
      <w:lvlText w:val="•"/>
      <w:lvlJc w:val="left"/>
      <w:pPr>
        <w:ind w:left="4642" w:hanging="420"/>
      </w:pPr>
      <w:rPr>
        <w:rFonts w:hint="default"/>
      </w:rPr>
    </w:lvl>
    <w:lvl w:ilvl="4">
      <w:start w:val="0"/>
      <w:numFmt w:val="bullet"/>
      <w:lvlText w:val="•"/>
      <w:lvlJc w:val="left"/>
      <w:pPr>
        <w:ind w:left="5444" w:hanging="420"/>
      </w:pPr>
      <w:rPr>
        <w:rFonts w:hint="default"/>
      </w:rPr>
    </w:lvl>
    <w:lvl w:ilvl="5">
      <w:start w:val="0"/>
      <w:numFmt w:val="bullet"/>
      <w:lvlText w:val="•"/>
      <w:lvlJc w:val="left"/>
      <w:pPr>
        <w:ind w:left="6245" w:hanging="420"/>
      </w:pPr>
      <w:rPr>
        <w:rFonts w:hint="default"/>
      </w:rPr>
    </w:lvl>
    <w:lvl w:ilvl="6">
      <w:start w:val="0"/>
      <w:numFmt w:val="bullet"/>
      <w:lvlText w:val="•"/>
      <w:lvlJc w:val="left"/>
      <w:pPr>
        <w:ind w:left="7046"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649" w:hanging="420"/>
      </w:pPr>
      <w:rPr>
        <w:rFonts w:hint="default"/>
      </w:rPr>
    </w:lvl>
  </w:abstractNum>
  <w:abstractNum w:abstractNumId="10">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3140" w:hanging="420"/>
      </w:pPr>
      <w:rPr>
        <w:rFonts w:hint="default"/>
      </w:rPr>
    </w:lvl>
    <w:lvl w:ilvl="2">
      <w:start w:val="0"/>
      <w:numFmt w:val="bullet"/>
      <w:lvlText w:val="•"/>
      <w:lvlJc w:val="left"/>
      <w:pPr>
        <w:ind w:left="3634" w:hanging="420"/>
      </w:pPr>
      <w:rPr>
        <w:rFonts w:hint="default"/>
      </w:rPr>
    </w:lvl>
    <w:lvl w:ilvl="3">
      <w:start w:val="0"/>
      <w:numFmt w:val="bullet"/>
      <w:lvlText w:val="•"/>
      <w:lvlJc w:val="left"/>
      <w:pPr>
        <w:ind w:left="4128" w:hanging="420"/>
      </w:pPr>
      <w:rPr>
        <w:rFonts w:hint="default"/>
      </w:rPr>
    </w:lvl>
    <w:lvl w:ilvl="4">
      <w:start w:val="0"/>
      <w:numFmt w:val="bullet"/>
      <w:lvlText w:val="•"/>
      <w:lvlJc w:val="left"/>
      <w:pPr>
        <w:ind w:left="4622" w:hanging="420"/>
      </w:pPr>
      <w:rPr>
        <w:rFonts w:hint="default"/>
      </w:rPr>
    </w:lvl>
    <w:lvl w:ilvl="5">
      <w:start w:val="0"/>
      <w:numFmt w:val="bullet"/>
      <w:lvlText w:val="•"/>
      <w:lvlJc w:val="left"/>
      <w:pPr>
        <w:ind w:left="5116" w:hanging="420"/>
      </w:pPr>
      <w:rPr>
        <w:rFonts w:hint="default"/>
      </w:rPr>
    </w:lvl>
    <w:lvl w:ilvl="6">
      <w:start w:val="0"/>
      <w:numFmt w:val="bullet"/>
      <w:lvlText w:val="•"/>
      <w:lvlJc w:val="left"/>
      <w:pPr>
        <w:ind w:left="5610" w:hanging="420"/>
      </w:pPr>
      <w:rPr>
        <w:rFonts w:hint="default"/>
      </w:rPr>
    </w:lvl>
    <w:lvl w:ilvl="7">
      <w:start w:val="0"/>
      <w:numFmt w:val="bullet"/>
      <w:lvlText w:val="•"/>
      <w:lvlJc w:val="left"/>
      <w:pPr>
        <w:ind w:left="6104" w:hanging="420"/>
      </w:pPr>
      <w:rPr>
        <w:rFonts w:hint="default"/>
      </w:rPr>
    </w:lvl>
    <w:lvl w:ilvl="8">
      <w:start w:val="0"/>
      <w:numFmt w:val="bullet"/>
      <w:lvlText w:val="•"/>
      <w:lvlJc w:val="left"/>
      <w:pPr>
        <w:ind w:left="6598" w:hanging="420"/>
      </w:pPr>
      <w:rPr>
        <w:rFonts w:hint="default"/>
      </w:rPr>
    </w:lvl>
  </w:abstractNum>
  <w:abstractNum w:abstractNumId="9">
    <w:multiLevelType w:val="hybridMultilevel"/>
    <w:lvl w:ilvl="0">
      <w:start w:val="28"/>
      <w:numFmt w:val="decimal"/>
      <w:lvlText w:val="%1."/>
      <w:lvlJc w:val="left"/>
      <w:pPr>
        <w:ind w:left="2523" w:hanging="420"/>
        <w:jc w:val="left"/>
      </w:pPr>
      <w:rPr>
        <w:rFonts w:hint="default" w:ascii="宋体" w:hAnsi="宋体" w:eastAsia="宋体" w:cs="宋体"/>
        <w:b/>
        <w:bCs/>
        <w:spacing w:val="0"/>
        <w:w w:val="99"/>
        <w:sz w:val="18"/>
        <w:szCs w:val="18"/>
      </w:rPr>
    </w:lvl>
    <w:lvl w:ilvl="1">
      <w:start w:val="1"/>
      <w:numFmt w:val="decimal"/>
      <w:lvlText w:val="(%2)"/>
      <w:lvlJc w:val="left"/>
      <w:pPr>
        <w:ind w:left="2943" w:hanging="420"/>
        <w:jc w:val="left"/>
      </w:pPr>
      <w:rPr>
        <w:rFonts w:hint="default" w:ascii="宋体" w:hAnsi="宋体" w:eastAsia="宋体" w:cs="宋体"/>
        <w:spacing w:val="-31"/>
        <w:w w:val="100"/>
        <w:sz w:val="18"/>
        <w:szCs w:val="18"/>
      </w:rPr>
    </w:lvl>
    <w:lvl w:ilvl="2">
      <w:start w:val="0"/>
      <w:numFmt w:val="bullet"/>
      <w:lvlText w:val="•"/>
      <w:lvlJc w:val="left"/>
      <w:pPr>
        <w:ind w:left="3724" w:hanging="420"/>
      </w:pPr>
      <w:rPr>
        <w:rFonts w:hint="default"/>
      </w:rPr>
    </w:lvl>
    <w:lvl w:ilvl="3">
      <w:start w:val="0"/>
      <w:numFmt w:val="bullet"/>
      <w:lvlText w:val="•"/>
      <w:lvlJc w:val="left"/>
      <w:pPr>
        <w:ind w:left="4509" w:hanging="420"/>
      </w:pPr>
      <w:rPr>
        <w:rFonts w:hint="default"/>
      </w:rPr>
    </w:lvl>
    <w:lvl w:ilvl="4">
      <w:start w:val="0"/>
      <w:numFmt w:val="bullet"/>
      <w:lvlText w:val="•"/>
      <w:lvlJc w:val="left"/>
      <w:pPr>
        <w:ind w:left="5294" w:hanging="420"/>
      </w:pPr>
      <w:rPr>
        <w:rFonts w:hint="default"/>
      </w:rPr>
    </w:lvl>
    <w:lvl w:ilvl="5">
      <w:start w:val="0"/>
      <w:numFmt w:val="bullet"/>
      <w:lvlText w:val="•"/>
      <w:lvlJc w:val="left"/>
      <w:pPr>
        <w:ind w:left="6079" w:hanging="420"/>
      </w:pPr>
      <w:rPr>
        <w:rFonts w:hint="default"/>
      </w:rPr>
    </w:lvl>
    <w:lvl w:ilvl="6">
      <w:start w:val="0"/>
      <w:numFmt w:val="bullet"/>
      <w:lvlText w:val="•"/>
      <w:lvlJc w:val="left"/>
      <w:pPr>
        <w:ind w:left="6864" w:hanging="420"/>
      </w:pPr>
      <w:rPr>
        <w:rFonts w:hint="default"/>
      </w:rPr>
    </w:lvl>
    <w:lvl w:ilvl="7">
      <w:start w:val="0"/>
      <w:numFmt w:val="bullet"/>
      <w:lvlText w:val="•"/>
      <w:lvlJc w:val="left"/>
      <w:pPr>
        <w:ind w:left="7649" w:hanging="420"/>
      </w:pPr>
      <w:rPr>
        <w:rFonts w:hint="default"/>
      </w:rPr>
    </w:lvl>
    <w:lvl w:ilvl="8">
      <w:start w:val="0"/>
      <w:numFmt w:val="bullet"/>
      <w:lvlText w:val="•"/>
      <w:lvlJc w:val="left"/>
      <w:pPr>
        <w:ind w:left="8434" w:hanging="420"/>
      </w:pPr>
      <w:rPr>
        <w:rFonts w:hint="default"/>
      </w:rPr>
    </w:lvl>
  </w:abstractNum>
  <w:abstractNum w:abstractNumId="8">
    <w:multiLevelType w:val="hybridMultilevel"/>
    <w:lvl w:ilvl="0">
      <w:start w:val="27"/>
      <w:numFmt w:val="decimal"/>
      <w:lvlText w:val="%1."/>
      <w:lvlJc w:val="left"/>
      <w:pPr>
        <w:ind w:left="2617"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41" w:hanging="420"/>
      </w:pPr>
      <w:rPr>
        <w:rFonts w:hint="default"/>
      </w:rPr>
    </w:lvl>
    <w:lvl w:ilvl="3">
      <w:start w:val="0"/>
      <w:numFmt w:val="bullet"/>
      <w:lvlText w:val="•"/>
      <w:lvlJc w:val="left"/>
      <w:pPr>
        <w:ind w:left="4642" w:hanging="420"/>
      </w:pPr>
      <w:rPr>
        <w:rFonts w:hint="default"/>
      </w:rPr>
    </w:lvl>
    <w:lvl w:ilvl="4">
      <w:start w:val="0"/>
      <w:numFmt w:val="bullet"/>
      <w:lvlText w:val="•"/>
      <w:lvlJc w:val="left"/>
      <w:pPr>
        <w:ind w:left="5444" w:hanging="420"/>
      </w:pPr>
      <w:rPr>
        <w:rFonts w:hint="default"/>
      </w:rPr>
    </w:lvl>
    <w:lvl w:ilvl="5">
      <w:start w:val="0"/>
      <w:numFmt w:val="bullet"/>
      <w:lvlText w:val="•"/>
      <w:lvlJc w:val="left"/>
      <w:pPr>
        <w:ind w:left="6245" w:hanging="420"/>
      </w:pPr>
      <w:rPr>
        <w:rFonts w:hint="default"/>
      </w:rPr>
    </w:lvl>
    <w:lvl w:ilvl="6">
      <w:start w:val="0"/>
      <w:numFmt w:val="bullet"/>
      <w:lvlText w:val="•"/>
      <w:lvlJc w:val="left"/>
      <w:pPr>
        <w:ind w:left="7047"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650" w:hanging="420"/>
      </w:pPr>
      <w:rPr>
        <w:rFonts w:hint="default"/>
      </w:rPr>
    </w:lvl>
  </w:abstractNum>
  <w:abstractNum w:abstractNumId="7">
    <w:multiLevelType w:val="hybridMultilevel"/>
    <w:lvl w:ilvl="0">
      <w:start w:val="3"/>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92"/>
        <w:w w:val="99"/>
        <w:sz w:val="18"/>
        <w:szCs w:val="18"/>
      </w:rPr>
    </w:lvl>
    <w:lvl w:ilvl="2">
      <w:start w:val="0"/>
      <w:numFmt w:val="bullet"/>
      <w:lvlText w:val="•"/>
      <w:lvlJc w:val="left"/>
      <w:pPr>
        <w:ind w:left="3831" w:hanging="420"/>
      </w:pPr>
      <w:rPr>
        <w:rFonts w:hint="default"/>
      </w:rPr>
    </w:lvl>
    <w:lvl w:ilvl="3">
      <w:start w:val="0"/>
      <w:numFmt w:val="bullet"/>
      <w:lvlText w:val="•"/>
      <w:lvlJc w:val="left"/>
      <w:pPr>
        <w:ind w:left="4622" w:hanging="420"/>
      </w:pPr>
      <w:rPr>
        <w:rFonts w:hint="default"/>
      </w:rPr>
    </w:lvl>
    <w:lvl w:ilvl="4">
      <w:start w:val="0"/>
      <w:numFmt w:val="bullet"/>
      <w:lvlText w:val="•"/>
      <w:lvlJc w:val="left"/>
      <w:pPr>
        <w:ind w:left="5414" w:hanging="420"/>
      </w:pPr>
      <w:rPr>
        <w:rFonts w:hint="default"/>
      </w:rPr>
    </w:lvl>
    <w:lvl w:ilvl="5">
      <w:start w:val="0"/>
      <w:numFmt w:val="bullet"/>
      <w:lvlText w:val="•"/>
      <w:lvlJc w:val="left"/>
      <w:pPr>
        <w:ind w:left="6205" w:hanging="420"/>
      </w:pPr>
      <w:rPr>
        <w:rFonts w:hint="default"/>
      </w:rPr>
    </w:lvl>
    <w:lvl w:ilvl="6">
      <w:start w:val="0"/>
      <w:numFmt w:val="bullet"/>
      <w:lvlText w:val="•"/>
      <w:lvlJc w:val="left"/>
      <w:pPr>
        <w:ind w:left="6996" w:hanging="420"/>
      </w:pPr>
      <w:rPr>
        <w:rFonts w:hint="default"/>
      </w:rPr>
    </w:lvl>
    <w:lvl w:ilvl="7">
      <w:start w:val="0"/>
      <w:numFmt w:val="bullet"/>
      <w:lvlText w:val="•"/>
      <w:lvlJc w:val="left"/>
      <w:pPr>
        <w:ind w:left="7788" w:hanging="420"/>
      </w:pPr>
      <w:rPr>
        <w:rFonts w:hint="default"/>
      </w:rPr>
    </w:lvl>
    <w:lvl w:ilvl="8">
      <w:start w:val="0"/>
      <w:numFmt w:val="bullet"/>
      <w:lvlText w:val="•"/>
      <w:lvlJc w:val="left"/>
      <w:pPr>
        <w:ind w:left="8579" w:hanging="420"/>
      </w:pPr>
      <w:rPr>
        <w:rFonts w:hint="default"/>
      </w:rPr>
    </w:lvl>
  </w:abstractNum>
  <w:abstractNum w:abstractNumId="6">
    <w:multiLevelType w:val="hybridMultilevel"/>
    <w:lvl w:ilvl="0">
      <w:start w:val="7"/>
      <w:numFmt w:val="decimal"/>
      <w:lvlText w:val="%1"/>
      <w:lvlJc w:val="left"/>
      <w:pPr>
        <w:ind w:left="2610" w:hanging="682"/>
        <w:jc w:val="left"/>
      </w:pPr>
      <w:rPr>
        <w:rFonts w:hint="default"/>
      </w:rPr>
    </w:lvl>
    <w:lvl w:ilvl="1">
      <w:start w:val="1"/>
      <w:numFmt w:val="decimal"/>
      <w:lvlText w:val="%1.%2"/>
      <w:lvlJc w:val="left"/>
      <w:pPr>
        <w:ind w:left="2610" w:hanging="682"/>
        <w:jc w:val="left"/>
      </w:pPr>
      <w:rPr>
        <w:rFonts w:hint="default" w:ascii="宋体" w:hAnsi="宋体" w:eastAsia="宋体" w:cs="宋体"/>
        <w:b/>
        <w:bCs/>
        <w:w w:val="99"/>
        <w:sz w:val="21"/>
        <w:szCs w:val="21"/>
      </w:rPr>
    </w:lvl>
    <w:lvl w:ilvl="2">
      <w:start w:val="2"/>
      <w:numFmt w:val="decimal"/>
      <w:lvlText w:val="(%3)"/>
      <w:lvlJc w:val="left"/>
      <w:pPr>
        <w:ind w:left="2943" w:hanging="420"/>
        <w:jc w:val="left"/>
      </w:pPr>
      <w:rPr>
        <w:rFonts w:hint="default" w:ascii="宋体" w:hAnsi="宋体" w:eastAsia="宋体" w:cs="宋体"/>
        <w:spacing w:val="-31"/>
        <w:w w:val="100"/>
        <w:sz w:val="18"/>
        <w:szCs w:val="18"/>
      </w:rPr>
    </w:lvl>
    <w:lvl w:ilvl="3">
      <w:start w:val="0"/>
      <w:numFmt w:val="bullet"/>
      <w:lvlText w:val="•"/>
      <w:lvlJc w:val="left"/>
      <w:pPr>
        <w:ind w:left="3978" w:hanging="420"/>
      </w:pPr>
      <w:rPr>
        <w:rFonts w:hint="default"/>
      </w:rPr>
    </w:lvl>
    <w:lvl w:ilvl="4">
      <w:start w:val="0"/>
      <w:numFmt w:val="bullet"/>
      <w:lvlText w:val="•"/>
      <w:lvlJc w:val="left"/>
      <w:pPr>
        <w:ind w:left="4816" w:hanging="420"/>
      </w:pPr>
      <w:rPr>
        <w:rFonts w:hint="default"/>
      </w:rPr>
    </w:lvl>
    <w:lvl w:ilvl="5">
      <w:start w:val="0"/>
      <w:numFmt w:val="bullet"/>
      <w:lvlText w:val="•"/>
      <w:lvlJc w:val="left"/>
      <w:pPr>
        <w:ind w:left="5654" w:hanging="420"/>
      </w:pPr>
      <w:rPr>
        <w:rFonts w:hint="default"/>
      </w:rPr>
    </w:lvl>
    <w:lvl w:ilvl="6">
      <w:start w:val="0"/>
      <w:numFmt w:val="bullet"/>
      <w:lvlText w:val="•"/>
      <w:lvlJc w:val="left"/>
      <w:pPr>
        <w:ind w:left="6492" w:hanging="420"/>
      </w:pPr>
      <w:rPr>
        <w:rFonts w:hint="default"/>
      </w:rPr>
    </w:lvl>
    <w:lvl w:ilvl="7">
      <w:start w:val="0"/>
      <w:numFmt w:val="bullet"/>
      <w:lvlText w:val="•"/>
      <w:lvlJc w:val="left"/>
      <w:pPr>
        <w:ind w:left="7330" w:hanging="420"/>
      </w:pPr>
      <w:rPr>
        <w:rFonts w:hint="default"/>
      </w:rPr>
    </w:lvl>
    <w:lvl w:ilvl="8">
      <w:start w:val="0"/>
      <w:numFmt w:val="bullet"/>
      <w:lvlText w:val="•"/>
      <w:lvlJc w:val="left"/>
      <w:pPr>
        <w:ind w:left="8168" w:hanging="420"/>
      </w:pPr>
      <w:rPr>
        <w:rFonts w:hint="default"/>
      </w:rPr>
    </w:lvl>
  </w:abstractNum>
  <w:abstractNum w:abstractNumId="5">
    <w:multiLevelType w:val="hybridMultilevel"/>
    <w:lvl w:ilvl="0">
      <w:start w:val="7"/>
      <w:numFmt w:val="decimal"/>
      <w:lvlText w:val="%1"/>
      <w:lvlJc w:val="left"/>
      <w:pPr>
        <w:ind w:left="1708" w:hanging="422"/>
        <w:jc w:val="left"/>
      </w:pPr>
      <w:rPr>
        <w:rFonts w:hint="default"/>
      </w:rPr>
    </w:lvl>
    <w:lvl w:ilvl="1">
      <w:start w:val="1"/>
      <w:numFmt w:val="decimal"/>
      <w:lvlText w:val="%1.%2"/>
      <w:lvlJc w:val="left"/>
      <w:pPr>
        <w:ind w:left="1708" w:hanging="422"/>
        <w:jc w:val="left"/>
      </w:pPr>
      <w:rPr>
        <w:rFonts w:hint="default" w:ascii="宋体" w:hAnsi="宋体" w:eastAsia="宋体" w:cs="宋体"/>
        <w:spacing w:val="-1"/>
        <w:w w:val="100"/>
        <w:sz w:val="21"/>
        <w:szCs w:val="21"/>
      </w:rPr>
    </w:lvl>
    <w:lvl w:ilvl="2">
      <w:start w:val="0"/>
      <w:numFmt w:val="bullet"/>
      <w:lvlText w:val="•"/>
      <w:lvlJc w:val="left"/>
      <w:pPr>
        <w:ind w:left="2549" w:hanging="422"/>
      </w:pPr>
      <w:rPr>
        <w:rFonts w:hint="default"/>
      </w:rPr>
    </w:lvl>
    <w:lvl w:ilvl="3">
      <w:start w:val="0"/>
      <w:numFmt w:val="bullet"/>
      <w:lvlText w:val="•"/>
      <w:lvlJc w:val="left"/>
      <w:pPr>
        <w:ind w:left="2973" w:hanging="422"/>
      </w:pPr>
      <w:rPr>
        <w:rFonts w:hint="default"/>
      </w:rPr>
    </w:lvl>
    <w:lvl w:ilvl="4">
      <w:start w:val="0"/>
      <w:numFmt w:val="bullet"/>
      <w:lvlText w:val="•"/>
      <w:lvlJc w:val="left"/>
      <w:pPr>
        <w:ind w:left="3398" w:hanging="422"/>
      </w:pPr>
      <w:rPr>
        <w:rFonts w:hint="default"/>
      </w:rPr>
    </w:lvl>
    <w:lvl w:ilvl="5">
      <w:start w:val="0"/>
      <w:numFmt w:val="bullet"/>
      <w:lvlText w:val="•"/>
      <w:lvlJc w:val="left"/>
      <w:pPr>
        <w:ind w:left="3823" w:hanging="422"/>
      </w:pPr>
      <w:rPr>
        <w:rFonts w:hint="default"/>
      </w:rPr>
    </w:lvl>
    <w:lvl w:ilvl="6">
      <w:start w:val="0"/>
      <w:numFmt w:val="bullet"/>
      <w:lvlText w:val="•"/>
      <w:lvlJc w:val="left"/>
      <w:pPr>
        <w:ind w:left="4247" w:hanging="422"/>
      </w:pPr>
      <w:rPr>
        <w:rFonts w:hint="default"/>
      </w:rPr>
    </w:lvl>
    <w:lvl w:ilvl="7">
      <w:start w:val="0"/>
      <w:numFmt w:val="bullet"/>
      <w:lvlText w:val="•"/>
      <w:lvlJc w:val="left"/>
      <w:pPr>
        <w:ind w:left="4672" w:hanging="422"/>
      </w:pPr>
      <w:rPr>
        <w:rFonts w:hint="default"/>
      </w:rPr>
    </w:lvl>
    <w:lvl w:ilvl="8">
      <w:start w:val="0"/>
      <w:numFmt w:val="bullet"/>
      <w:lvlText w:val="•"/>
      <w:lvlJc w:val="left"/>
      <w:pPr>
        <w:ind w:left="5097" w:hanging="422"/>
      </w:pPr>
      <w:rPr>
        <w:rFonts w:hint="default"/>
      </w:rPr>
    </w:lvl>
  </w:abstractNum>
  <w:abstractNum w:abstractNumId="4">
    <w:multiLevelType w:val="hybridMultilevel"/>
    <w:lvl w:ilvl="0">
      <w:start w:val="6"/>
      <w:numFmt w:val="decimal"/>
      <w:lvlText w:val="%1"/>
      <w:lvlJc w:val="left"/>
      <w:pPr>
        <w:ind w:left="1707" w:hanging="421"/>
        <w:jc w:val="left"/>
      </w:pPr>
      <w:rPr>
        <w:rFonts w:hint="default"/>
      </w:rPr>
    </w:lvl>
    <w:lvl w:ilvl="1">
      <w:start w:val="1"/>
      <w:numFmt w:val="decimal"/>
      <w:lvlText w:val="%1.%2"/>
      <w:lvlJc w:val="left"/>
      <w:pPr>
        <w:ind w:left="1707" w:hanging="421"/>
        <w:jc w:val="left"/>
      </w:pPr>
      <w:rPr>
        <w:rFonts w:hint="default" w:ascii="宋体" w:hAnsi="宋体" w:eastAsia="宋体" w:cs="宋体"/>
        <w:spacing w:val="-2"/>
        <w:w w:val="100"/>
        <w:sz w:val="21"/>
        <w:szCs w:val="21"/>
      </w:rPr>
    </w:lvl>
    <w:lvl w:ilvl="2">
      <w:start w:val="0"/>
      <w:numFmt w:val="bullet"/>
      <w:lvlText w:val="•"/>
      <w:lvlJc w:val="left"/>
      <w:pPr>
        <w:ind w:left="2549" w:hanging="421"/>
      </w:pPr>
      <w:rPr>
        <w:rFonts w:hint="default"/>
      </w:rPr>
    </w:lvl>
    <w:lvl w:ilvl="3">
      <w:start w:val="0"/>
      <w:numFmt w:val="bullet"/>
      <w:lvlText w:val="•"/>
      <w:lvlJc w:val="left"/>
      <w:pPr>
        <w:ind w:left="2973" w:hanging="421"/>
      </w:pPr>
      <w:rPr>
        <w:rFonts w:hint="default"/>
      </w:rPr>
    </w:lvl>
    <w:lvl w:ilvl="4">
      <w:start w:val="0"/>
      <w:numFmt w:val="bullet"/>
      <w:lvlText w:val="•"/>
      <w:lvlJc w:val="left"/>
      <w:pPr>
        <w:ind w:left="3398" w:hanging="421"/>
      </w:pPr>
      <w:rPr>
        <w:rFonts w:hint="default"/>
      </w:rPr>
    </w:lvl>
    <w:lvl w:ilvl="5">
      <w:start w:val="0"/>
      <w:numFmt w:val="bullet"/>
      <w:lvlText w:val="•"/>
      <w:lvlJc w:val="left"/>
      <w:pPr>
        <w:ind w:left="3823" w:hanging="421"/>
      </w:pPr>
      <w:rPr>
        <w:rFonts w:hint="default"/>
      </w:rPr>
    </w:lvl>
    <w:lvl w:ilvl="6">
      <w:start w:val="0"/>
      <w:numFmt w:val="bullet"/>
      <w:lvlText w:val="•"/>
      <w:lvlJc w:val="left"/>
      <w:pPr>
        <w:ind w:left="4247" w:hanging="421"/>
      </w:pPr>
      <w:rPr>
        <w:rFonts w:hint="default"/>
      </w:rPr>
    </w:lvl>
    <w:lvl w:ilvl="7">
      <w:start w:val="0"/>
      <w:numFmt w:val="bullet"/>
      <w:lvlText w:val="•"/>
      <w:lvlJc w:val="left"/>
      <w:pPr>
        <w:ind w:left="4672" w:hanging="421"/>
      </w:pPr>
      <w:rPr>
        <w:rFonts w:hint="default"/>
      </w:rPr>
    </w:lvl>
    <w:lvl w:ilvl="8">
      <w:start w:val="0"/>
      <w:numFmt w:val="bullet"/>
      <w:lvlText w:val="•"/>
      <w:lvlJc w:val="left"/>
      <w:pPr>
        <w:ind w:left="5097" w:hanging="421"/>
      </w:pPr>
      <w:rPr>
        <w:rFonts w:hint="default"/>
      </w:rPr>
    </w:lvl>
  </w:abstractNum>
  <w:abstractNum w:abstractNumId="3">
    <w:multiLevelType w:val="hybridMultilevel"/>
    <w:lvl w:ilvl="0">
      <w:start w:val="3"/>
      <w:numFmt w:val="decimal"/>
      <w:lvlText w:val="%1."/>
      <w:lvlJc w:val="left"/>
      <w:pPr>
        <w:ind w:left="1850" w:hanging="333"/>
        <w:jc w:val="left"/>
      </w:pPr>
      <w:rPr>
        <w:rFonts w:hint="default" w:ascii="宋体" w:hAnsi="宋体" w:eastAsia="宋体" w:cs="宋体"/>
        <w:b/>
        <w:bCs/>
        <w:w w:val="99"/>
        <w:sz w:val="21"/>
        <w:szCs w:val="21"/>
      </w:rPr>
    </w:lvl>
    <w:lvl w:ilvl="1">
      <w:start w:val="1"/>
      <w:numFmt w:val="decimal"/>
      <w:lvlText w:val="%1.%2"/>
      <w:lvlJc w:val="left"/>
      <w:pPr>
        <w:ind w:left="2148" w:hanging="421"/>
        <w:jc w:val="left"/>
      </w:pPr>
      <w:rPr>
        <w:rFonts w:hint="default" w:ascii="宋体" w:hAnsi="宋体" w:eastAsia="宋体" w:cs="宋体"/>
        <w:spacing w:val="-2"/>
        <w:w w:val="100"/>
        <w:sz w:val="21"/>
        <w:szCs w:val="21"/>
      </w:rPr>
    </w:lvl>
    <w:lvl w:ilvl="2">
      <w:start w:val="0"/>
      <w:numFmt w:val="bullet"/>
      <w:lvlText w:val="•"/>
      <w:lvlJc w:val="left"/>
      <w:pPr>
        <w:ind w:left="2350" w:hanging="421"/>
      </w:pPr>
      <w:rPr>
        <w:rFonts w:hint="default"/>
      </w:rPr>
    </w:lvl>
    <w:lvl w:ilvl="3">
      <w:start w:val="0"/>
      <w:numFmt w:val="bullet"/>
      <w:lvlText w:val="•"/>
      <w:lvlJc w:val="left"/>
      <w:pPr>
        <w:ind w:left="2561" w:hanging="421"/>
      </w:pPr>
      <w:rPr>
        <w:rFonts w:hint="default"/>
      </w:rPr>
    </w:lvl>
    <w:lvl w:ilvl="4">
      <w:start w:val="0"/>
      <w:numFmt w:val="bullet"/>
      <w:lvlText w:val="•"/>
      <w:lvlJc w:val="left"/>
      <w:pPr>
        <w:ind w:left="2772" w:hanging="421"/>
      </w:pPr>
      <w:rPr>
        <w:rFonts w:hint="default"/>
      </w:rPr>
    </w:lvl>
    <w:lvl w:ilvl="5">
      <w:start w:val="0"/>
      <w:numFmt w:val="bullet"/>
      <w:lvlText w:val="•"/>
      <w:lvlJc w:val="left"/>
      <w:pPr>
        <w:ind w:left="2983" w:hanging="421"/>
      </w:pPr>
      <w:rPr>
        <w:rFonts w:hint="default"/>
      </w:rPr>
    </w:lvl>
    <w:lvl w:ilvl="6">
      <w:start w:val="0"/>
      <w:numFmt w:val="bullet"/>
      <w:lvlText w:val="•"/>
      <w:lvlJc w:val="left"/>
      <w:pPr>
        <w:ind w:left="3194" w:hanging="421"/>
      </w:pPr>
      <w:rPr>
        <w:rFonts w:hint="default"/>
      </w:rPr>
    </w:lvl>
    <w:lvl w:ilvl="7">
      <w:start w:val="0"/>
      <w:numFmt w:val="bullet"/>
      <w:lvlText w:val="•"/>
      <w:lvlJc w:val="left"/>
      <w:pPr>
        <w:ind w:left="3405" w:hanging="421"/>
      </w:pPr>
      <w:rPr>
        <w:rFonts w:hint="default"/>
      </w:rPr>
    </w:lvl>
    <w:lvl w:ilvl="8">
      <w:start w:val="0"/>
      <w:numFmt w:val="bullet"/>
      <w:lvlText w:val="•"/>
      <w:lvlJc w:val="left"/>
      <w:pPr>
        <w:ind w:left="3616" w:hanging="421"/>
      </w:pPr>
      <w:rPr>
        <w:rFonts w:hint="default"/>
      </w:rPr>
    </w:lvl>
  </w:abstractNum>
  <w:abstractNum w:abstractNumId="2">
    <w:multiLevelType w:val="hybridMultilevel"/>
    <w:lvl w:ilvl="0">
      <w:start w:val="2"/>
      <w:numFmt w:val="decimal"/>
      <w:lvlText w:val="%1"/>
      <w:lvlJc w:val="left"/>
      <w:pPr>
        <w:ind w:left="2148" w:hanging="421"/>
        <w:jc w:val="left"/>
      </w:pPr>
      <w:rPr>
        <w:rFonts w:hint="default"/>
      </w:rPr>
    </w:lvl>
    <w:lvl w:ilvl="1">
      <w:start w:val="1"/>
      <w:numFmt w:val="decimal"/>
      <w:lvlText w:val="%1.%2"/>
      <w:lvlJc w:val="left"/>
      <w:pPr>
        <w:ind w:left="2148" w:hanging="421"/>
        <w:jc w:val="left"/>
      </w:pPr>
      <w:rPr>
        <w:rFonts w:hint="default" w:ascii="宋体" w:hAnsi="宋体" w:eastAsia="宋体" w:cs="宋体"/>
        <w:spacing w:val="-2"/>
        <w:w w:val="100"/>
        <w:sz w:val="21"/>
        <w:szCs w:val="21"/>
      </w:rPr>
    </w:lvl>
    <w:lvl w:ilvl="2">
      <w:start w:val="0"/>
      <w:numFmt w:val="bullet"/>
      <w:lvlText w:val="•"/>
      <w:lvlJc w:val="left"/>
      <w:pPr>
        <w:ind w:left="2519" w:hanging="421"/>
      </w:pPr>
      <w:rPr>
        <w:rFonts w:hint="default"/>
      </w:rPr>
    </w:lvl>
    <w:lvl w:ilvl="3">
      <w:start w:val="0"/>
      <w:numFmt w:val="bullet"/>
      <w:lvlText w:val="•"/>
      <w:lvlJc w:val="left"/>
      <w:pPr>
        <w:ind w:left="2709" w:hanging="421"/>
      </w:pPr>
      <w:rPr>
        <w:rFonts w:hint="default"/>
      </w:rPr>
    </w:lvl>
    <w:lvl w:ilvl="4">
      <w:start w:val="0"/>
      <w:numFmt w:val="bullet"/>
      <w:lvlText w:val="•"/>
      <w:lvlJc w:val="left"/>
      <w:pPr>
        <w:ind w:left="2899" w:hanging="421"/>
      </w:pPr>
      <w:rPr>
        <w:rFonts w:hint="default"/>
      </w:rPr>
    </w:lvl>
    <w:lvl w:ilvl="5">
      <w:start w:val="0"/>
      <w:numFmt w:val="bullet"/>
      <w:lvlText w:val="•"/>
      <w:lvlJc w:val="left"/>
      <w:pPr>
        <w:ind w:left="3088" w:hanging="421"/>
      </w:pPr>
      <w:rPr>
        <w:rFonts w:hint="default"/>
      </w:rPr>
    </w:lvl>
    <w:lvl w:ilvl="6">
      <w:start w:val="0"/>
      <w:numFmt w:val="bullet"/>
      <w:lvlText w:val="•"/>
      <w:lvlJc w:val="left"/>
      <w:pPr>
        <w:ind w:left="3278" w:hanging="421"/>
      </w:pPr>
      <w:rPr>
        <w:rFonts w:hint="default"/>
      </w:rPr>
    </w:lvl>
    <w:lvl w:ilvl="7">
      <w:start w:val="0"/>
      <w:numFmt w:val="bullet"/>
      <w:lvlText w:val="•"/>
      <w:lvlJc w:val="left"/>
      <w:pPr>
        <w:ind w:left="3468" w:hanging="421"/>
      </w:pPr>
      <w:rPr>
        <w:rFonts w:hint="default"/>
      </w:rPr>
    </w:lvl>
    <w:lvl w:ilvl="8">
      <w:start w:val="0"/>
      <w:numFmt w:val="bullet"/>
      <w:lvlText w:val="•"/>
      <w:lvlJc w:val="left"/>
      <w:pPr>
        <w:ind w:left="3658" w:hanging="421"/>
      </w:pPr>
      <w:rPr>
        <w:rFonts w:hint="default"/>
      </w:rPr>
    </w:lvl>
  </w:abstractNum>
  <w:abstractNum w:abstractNumId="1">
    <w:multiLevelType w:val="hybridMultilevel"/>
    <w:lvl w:ilvl="0">
      <w:start w:val="1"/>
      <w:numFmt w:val="decimal"/>
      <w:lvlText w:val="%1"/>
      <w:lvlJc w:val="left"/>
      <w:pPr>
        <w:ind w:left="2148" w:hanging="421"/>
        <w:jc w:val="left"/>
      </w:pPr>
      <w:rPr>
        <w:rFonts w:hint="default"/>
      </w:rPr>
    </w:lvl>
    <w:lvl w:ilvl="1">
      <w:start w:val="1"/>
      <w:numFmt w:val="decimal"/>
      <w:lvlText w:val="%1.%2"/>
      <w:lvlJc w:val="left"/>
      <w:pPr>
        <w:ind w:left="2148" w:hanging="421"/>
        <w:jc w:val="left"/>
      </w:pPr>
      <w:rPr>
        <w:rFonts w:hint="default" w:ascii="宋体" w:hAnsi="宋体" w:eastAsia="宋体" w:cs="宋体"/>
        <w:spacing w:val="-2"/>
        <w:w w:val="100"/>
        <w:sz w:val="21"/>
        <w:szCs w:val="21"/>
      </w:rPr>
    </w:lvl>
    <w:lvl w:ilvl="2">
      <w:start w:val="0"/>
      <w:numFmt w:val="bullet"/>
      <w:lvlText w:val="•"/>
      <w:lvlJc w:val="left"/>
      <w:pPr>
        <w:ind w:left="2519" w:hanging="421"/>
      </w:pPr>
      <w:rPr>
        <w:rFonts w:hint="default"/>
      </w:rPr>
    </w:lvl>
    <w:lvl w:ilvl="3">
      <w:start w:val="0"/>
      <w:numFmt w:val="bullet"/>
      <w:lvlText w:val="•"/>
      <w:lvlJc w:val="left"/>
      <w:pPr>
        <w:ind w:left="2709" w:hanging="421"/>
      </w:pPr>
      <w:rPr>
        <w:rFonts w:hint="default"/>
      </w:rPr>
    </w:lvl>
    <w:lvl w:ilvl="4">
      <w:start w:val="0"/>
      <w:numFmt w:val="bullet"/>
      <w:lvlText w:val="•"/>
      <w:lvlJc w:val="left"/>
      <w:pPr>
        <w:ind w:left="2899" w:hanging="421"/>
      </w:pPr>
      <w:rPr>
        <w:rFonts w:hint="default"/>
      </w:rPr>
    </w:lvl>
    <w:lvl w:ilvl="5">
      <w:start w:val="0"/>
      <w:numFmt w:val="bullet"/>
      <w:lvlText w:val="•"/>
      <w:lvlJc w:val="left"/>
      <w:pPr>
        <w:ind w:left="3088" w:hanging="421"/>
      </w:pPr>
      <w:rPr>
        <w:rFonts w:hint="default"/>
      </w:rPr>
    </w:lvl>
    <w:lvl w:ilvl="6">
      <w:start w:val="0"/>
      <w:numFmt w:val="bullet"/>
      <w:lvlText w:val="•"/>
      <w:lvlJc w:val="left"/>
      <w:pPr>
        <w:ind w:left="3278" w:hanging="421"/>
      </w:pPr>
      <w:rPr>
        <w:rFonts w:hint="default"/>
      </w:rPr>
    </w:lvl>
    <w:lvl w:ilvl="7">
      <w:start w:val="0"/>
      <w:numFmt w:val="bullet"/>
      <w:lvlText w:val="•"/>
      <w:lvlJc w:val="left"/>
      <w:pPr>
        <w:ind w:left="3468" w:hanging="421"/>
      </w:pPr>
      <w:rPr>
        <w:rFonts w:hint="default"/>
      </w:rPr>
    </w:lvl>
    <w:lvl w:ilvl="8">
      <w:start w:val="0"/>
      <w:numFmt w:val="bullet"/>
      <w:lvlText w:val="•"/>
      <w:lvlJc w:val="left"/>
      <w:pPr>
        <w:ind w:left="3658"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783"/>
      <w:outlineLvl w:val="1"/>
    </w:pPr>
    <w:rPr>
      <w:rFonts w:ascii="宋体" w:hAnsi="宋体" w:eastAsia="宋体" w:cs="宋体"/>
      <w:b/>
      <w:bCs/>
      <w:sz w:val="21"/>
      <w:szCs w:val="21"/>
    </w:rPr>
  </w:style>
  <w:style w:styleId="Heading2" w:type="paragraph">
    <w:name w:val="Heading 2"/>
    <w:basedOn w:val="Normal"/>
    <w:uiPriority w:val="1"/>
    <w:qFormat/>
    <w:pPr>
      <w:spacing w:before="44"/>
      <w:ind w:left="105"/>
      <w:outlineLvl w:val="2"/>
    </w:pPr>
    <w:rPr>
      <w:rFonts w:ascii="宋体" w:hAnsi="宋体" w:eastAsia="宋体" w:cs="宋体"/>
      <w:b/>
      <w:bCs/>
      <w:sz w:val="18"/>
      <w:szCs w:val="18"/>
    </w:rPr>
  </w:style>
  <w:style w:styleId="ListParagraph" w:type="paragraph">
    <w:name w:val="List Paragraph"/>
    <w:basedOn w:val="Normal"/>
    <w:uiPriority w:val="1"/>
    <w:qFormat/>
    <w:pPr>
      <w:spacing w:before="37"/>
      <w:ind w:left="56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2018-10-19T22:29:30Z</dcterms:created>
  <dcterms:modified xsi:type="dcterms:W3CDTF">2018-10-19T22:29:30Z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