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45pt;mso-position-horizontal-relative:char;mso-position-vertical-relative:line" coordorigin="0,0" coordsize="10038,1149">
            <v:line style="position:absolute" from="0,1141" to="10038,1141" stroked="true" strokeweight=".72pt" strokecolor="#000000">
              <v:stroke dashstyle="solid"/>
            </v:line>
            <v:shape style="position:absolute;left:8871;top:0;width:1143;height:1143" type="#_x0000_t75" stroked="false">
              <v:imagedata r:id="rId6" o:title=""/>
            </v:shape>
            <v:shape style="position:absolute;left:0;top:0;width:10038;height:1149" type="#_x0000_t202" filled="false" stroked="false">
              <v:textbox inset="0,0,0,0">
                <w:txbxContent>
                  <w:p>
                    <w:pPr>
                      <w:spacing w:line="240" w:lineRule="auto" w:before="0"/>
                      <w:rPr>
                        <w:rFonts w:ascii="Times New Roman"/>
                        <w:sz w:val="20"/>
                      </w:rPr>
                    </w:pPr>
                  </w:p>
                  <w:p>
                    <w:pPr>
                      <w:spacing w:line="240" w:lineRule="auto" w:before="4"/>
                      <w:rPr>
                        <w:rFonts w:ascii="Times New Roman"/>
                        <w:sz w:val="26"/>
                      </w:rPr>
                    </w:pPr>
                  </w:p>
                  <w:p>
                    <w:pPr>
                      <w:spacing w:before="1"/>
                      <w:ind w:left="5752" w:right="1010" w:firstLine="0"/>
                      <w:jc w:val="center"/>
                      <w:rPr>
                        <w:b/>
                        <w:sz w:val="21"/>
                      </w:rPr>
                    </w:pPr>
                    <w:r>
                      <w:rPr>
                        <w:b/>
                        <w:w w:val="95"/>
                        <w:sz w:val="21"/>
                      </w:rPr>
                      <w:t>请扫描以查询验证条款</w:t>
                    </w:r>
                  </w:p>
                  <w:p>
                    <w:pPr>
                      <w:spacing w:before="0"/>
                      <w:ind w:left="5752" w:right="1184" w:firstLine="0"/>
                      <w:jc w:val="center"/>
                      <w:rPr>
                        <w:b/>
                        <w:sz w:val="21"/>
                      </w:rPr>
                    </w:pPr>
                    <w:r>
                      <w:rPr>
                        <w:b/>
                        <w:sz w:val="21"/>
                      </w:rPr>
                      <w:t>招商信诺[2015]疾病保险 006 号</w:t>
                    </w:r>
                  </w:p>
                </w:txbxContent>
              </v:textbox>
              <w10:wrap type="none"/>
            </v:shape>
          </v:group>
        </w:pict>
      </w:r>
      <w:r>
        <w:rPr>
          <w:rFonts w:ascii="Times New Roman"/>
          <w:spacing w:val="-42"/>
          <w:sz w:val="20"/>
        </w:rPr>
      </w:r>
    </w:p>
    <w:p>
      <w:pPr>
        <w:pStyle w:val="Heading1"/>
      </w:pPr>
      <w:r>
        <w:rPr>
          <w:w w:val="95"/>
        </w:rPr>
        <w:t>招商信诺附加豁免保险费重大疾病保险条款阅读指引</w:t>
      </w:r>
    </w:p>
    <w:p>
      <w:pPr>
        <w:pStyle w:val="BodyText"/>
        <w:rPr>
          <w:b/>
          <w:sz w:val="30"/>
        </w:rPr>
      </w:pPr>
    </w:p>
    <w:p>
      <w:pPr>
        <w:pStyle w:val="BodyText"/>
        <w:spacing w:before="1"/>
        <w:rPr>
          <w:b/>
          <w:sz w:val="29"/>
        </w:rPr>
      </w:pPr>
    </w:p>
    <w:p>
      <w:pPr>
        <w:pStyle w:val="Heading2"/>
        <w:ind w:left="143"/>
      </w:pPr>
      <w:r>
        <w:rPr>
          <w:w w:val="95"/>
        </w:rPr>
        <w:t>本阅读指引帮助您理解条款，保险合同的内容以条款为准。</w:t>
      </w:r>
    </w:p>
    <w:p>
      <w:pPr>
        <w:pStyle w:val="BodyText"/>
        <w:spacing w:before="1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u w:val="single"/>
        </w:rPr>
        <w:t>您应特别注意的事项</w:t>
      </w:r>
    </w:p>
    <w:p>
      <w:pPr>
        <w:pStyle w:val="BodyText"/>
        <w:spacing w:before="6"/>
        <w:rPr>
          <w:b/>
          <w:sz w:val="16"/>
        </w:rPr>
      </w:pPr>
    </w:p>
    <w:p>
      <w:pPr>
        <w:pStyle w:val="ListParagraph"/>
        <w:numPr>
          <w:ilvl w:val="1"/>
          <w:numId w:val="1"/>
        </w:numPr>
        <w:tabs>
          <w:tab w:pos="983" w:val="left" w:leader="none"/>
          <w:tab w:pos="984" w:val="left" w:leader="none"/>
          <w:tab w:pos="9802" w:val="left" w:leader="none"/>
        </w:tabs>
        <w:spacing w:line="259" w:lineRule="auto" w:before="43" w:after="0"/>
        <w:ind w:left="987" w:right="216" w:hanging="420"/>
        <w:jc w:val="left"/>
        <w:rPr>
          <w:b/>
          <w:sz w:val="21"/>
        </w:rPr>
      </w:pPr>
      <w:r>
        <w:rPr/>
        <w:pict>
          <v:line style="position:absolute;mso-position-horizontal-relative:page;mso-position-vertical-relative:paragraph;z-index:-15496" from="90.360001pt,31.72415pt" to="541.740001pt,31.72415pt" stroked="true" strokeweight=".779pt" strokecolor="#000000">
            <v:stroke dashstyle="solid"/>
            <w10:wrap type="none"/>
          </v:line>
        </w:pict>
      </w:r>
      <w:r>
        <w:rPr>
          <w:b/>
          <w:sz w:val="21"/>
          <w:u w:val="single"/>
        </w:rPr>
        <w:t>主合同的共同条款同样适用于本附加合同；如果本附加合同条款与主合同的共同条款有不一致的， </w:t>
      </w:r>
      <w:r>
        <w:rPr>
          <w:b/>
          <w:sz w:val="21"/>
        </w:rPr>
        <w:t>则以本附加合同条款为准。</w:t>
        <w:tab/>
        <w:t>1.</w:t>
      </w:r>
    </w:p>
    <w:p>
      <w:pPr>
        <w:pStyle w:val="ListParagraph"/>
        <w:numPr>
          <w:ilvl w:val="1"/>
          <w:numId w:val="1"/>
        </w:numPr>
        <w:tabs>
          <w:tab w:pos="983" w:val="left" w:leader="none"/>
          <w:tab w:pos="984" w:val="left" w:leader="none"/>
          <w:tab w:pos="9803" w:val="left" w:leader="none"/>
        </w:tabs>
        <w:spacing w:line="240" w:lineRule="auto" w:before="81" w:after="0"/>
        <w:ind w:left="987" w:right="0" w:hanging="420"/>
        <w:jc w:val="left"/>
        <w:rPr>
          <w:b/>
          <w:sz w:val="21"/>
        </w:rPr>
      </w:pPr>
      <w:r>
        <w:rPr>
          <w:b/>
          <w:sz w:val="21"/>
        </w:rPr>
        <w:t>请留意责任免除事项</w:t>
      </w:r>
      <w:r>
        <w:rPr>
          <w:b/>
          <w:spacing w:val="-70"/>
          <w:sz w:val="21"/>
        </w:rPr>
        <w:t>，</w:t>
      </w:r>
      <w:r>
        <w:rPr>
          <w:b/>
          <w:sz w:val="21"/>
        </w:rPr>
        <w:t>我方将不承担豁免保险费的责任。</w:t>
        <w:tab/>
        <w:t>5.</w:t>
      </w:r>
    </w:p>
    <w:p>
      <w:pPr>
        <w:pStyle w:val="BodyText"/>
        <w:spacing w:line="20" w:lineRule="exact"/>
        <w:ind w:left="977"/>
        <w:rPr>
          <w:sz w:val="2"/>
        </w:rPr>
      </w:pPr>
      <w:r>
        <w:rPr>
          <w:rFonts w:ascii="Times New Roman"/>
          <w:spacing w:val="2"/>
          <w:sz w:val="2"/>
        </w:rPr>
        <w:t> </w:t>
      </w:r>
      <w:r>
        <w:rPr>
          <w:spacing w:val="2"/>
          <w:sz w:val="2"/>
        </w:rPr>
        <w:pict>
          <v:group style="width:451.6pt;height:.550pt;mso-position-horizontal-relative:char;mso-position-vertical-relative:line" coordorigin="0,0" coordsize="9032,11">
            <v:line style="position:absolute" from="0,5" to="9031,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9287" w:val="left" w:leader="none"/>
          <w:tab w:pos="9709" w:val="left" w:leader="none"/>
        </w:tabs>
        <w:spacing w:line="240" w:lineRule="auto" w:before="65" w:after="0"/>
        <w:ind w:left="983" w:right="0" w:hanging="420"/>
        <w:jc w:val="left"/>
        <w:rPr>
          <w:b/>
          <w:sz w:val="21"/>
        </w:rPr>
      </w:pPr>
      <w:r>
        <w:rPr>
          <w:b/>
          <w:sz w:val="21"/>
        </w:rPr>
        <w:t>请留意本附加合同中关于合同效力和保险期间的条款。</w:t>
        <w:tab/>
        <w:t>2.</w:t>
        <w:tab/>
        <w:t>6.</w:t>
      </w:r>
    </w:p>
    <w:p>
      <w:pPr>
        <w:pStyle w:val="BodyText"/>
        <w:spacing w:line="20" w:lineRule="exact"/>
        <w:ind w:left="977"/>
        <w:rPr>
          <w:sz w:val="2"/>
        </w:rPr>
      </w:pPr>
      <w:r>
        <w:rPr>
          <w:rFonts w:ascii="Times New Roman"/>
          <w:spacing w:val="2"/>
          <w:sz w:val="2"/>
        </w:rPr>
        <w:t> </w:t>
      </w:r>
      <w:r>
        <w:rPr>
          <w:spacing w:val="2"/>
          <w:sz w:val="2"/>
        </w:rPr>
        <w:pict>
          <v:group style="width:446.9pt;height:.550pt;mso-position-horizontal-relative:char;mso-position-vertical-relative:line" coordorigin="0,0" coordsize="8938,11">
            <v:line style="position:absolute" from="0,5" to="8938,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9695" w:val="left" w:leader="none"/>
        </w:tabs>
        <w:spacing w:line="240" w:lineRule="auto" w:before="65" w:after="0"/>
        <w:ind w:left="983" w:right="0" w:hanging="420"/>
        <w:jc w:val="left"/>
        <w:rPr>
          <w:b/>
          <w:sz w:val="21"/>
        </w:rPr>
      </w:pPr>
      <w:r>
        <w:rPr>
          <w:b/>
          <w:sz w:val="21"/>
        </w:rPr>
        <w:t>请留意本附加合同所保障的重大疾病的种类与定义。</w:t>
        <w:tab/>
        <w:t>13.</w:t>
      </w:r>
    </w:p>
    <w:p>
      <w:pPr>
        <w:pStyle w:val="BodyText"/>
        <w:spacing w:line="20" w:lineRule="exact"/>
        <w:ind w:left="977"/>
        <w:rPr>
          <w:sz w:val="2"/>
        </w:rPr>
      </w:pPr>
      <w:r>
        <w:rPr>
          <w:rFonts w:ascii="Times New Roman"/>
          <w:spacing w:val="2"/>
          <w:sz w:val="2"/>
        </w:rPr>
        <w:t> </w:t>
      </w:r>
      <w:r>
        <w:rPr>
          <w:spacing w:val="2"/>
          <w:sz w:val="2"/>
        </w:rPr>
        <w:pict>
          <v:group style="width:451.6pt;height:.550pt;mso-position-horizontal-relative:char;mso-position-vertical-relative:line" coordorigin="0,0" coordsize="9032,11">
            <v:line style="position:absolute" from="0,5" to="9031,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10014" w:val="left" w:leader="none"/>
        </w:tabs>
        <w:spacing w:line="240" w:lineRule="auto" w:before="21" w:after="0"/>
        <w:ind w:left="983" w:right="0" w:hanging="420"/>
        <w:jc w:val="left"/>
        <w:rPr>
          <w:b/>
          <w:sz w:val="21"/>
        </w:rPr>
      </w:pPr>
      <w:r>
        <w:rPr>
          <w:b/>
          <w:w w:val="95"/>
          <w:sz w:val="21"/>
          <w:u w:val="single"/>
        </w:rPr>
        <w:t>请留意保险条款中特定用语的脚注及其释义。</w:t>
      </w:r>
      <w:r>
        <w:rPr>
          <w:b/>
          <w:sz w:val="21"/>
          <w:u w:val="single"/>
        </w:rPr>
        <w:tab/>
      </w:r>
    </w:p>
    <w:p>
      <w:pPr>
        <w:pStyle w:val="BodyText"/>
        <w:spacing w:before="6"/>
        <w:rPr>
          <w:b/>
          <w:sz w:val="16"/>
        </w:rPr>
      </w:pPr>
    </w:p>
    <w:p>
      <w:pPr>
        <w:pStyle w:val="ListParagraph"/>
        <w:numPr>
          <w:ilvl w:val="0"/>
          <w:numId w:val="1"/>
        </w:numPr>
        <w:tabs>
          <w:tab w:pos="563" w:val="left" w:leader="none"/>
          <w:tab w:pos="564" w:val="left" w:leader="none"/>
        </w:tabs>
        <w:spacing w:line="240" w:lineRule="auto" w:before="35" w:after="0"/>
        <w:ind w:left="563" w:right="0" w:hanging="420"/>
        <w:jc w:val="left"/>
        <w:rPr>
          <w:b/>
          <w:sz w:val="21"/>
        </w:rPr>
      </w:pPr>
      <w:r>
        <w:rPr>
          <w:b/>
          <w:sz w:val="21"/>
        </w:rPr>
        <w:t>条款目录</w:t>
      </w:r>
    </w:p>
    <w:p>
      <w:pPr>
        <w:pStyle w:val="BodyText"/>
        <w:spacing w:before="2"/>
        <w:rPr>
          <w:b/>
          <w:sz w:val="20"/>
        </w:rPr>
      </w:pPr>
    </w:p>
    <w:p>
      <w:pPr>
        <w:spacing w:after="0"/>
        <w:rPr>
          <w:sz w:val="20"/>
        </w:rPr>
        <w:sectPr>
          <w:footerReference w:type="default" r:id="rId5"/>
          <w:type w:val="continuous"/>
          <w:pgSz w:w="11910" w:h="16840"/>
          <w:pgMar w:footer="885" w:top="380" w:bottom="108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合同的构成与效力</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合同的构成</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合同的效力</w:t>
      </w:r>
    </w:p>
    <w:p>
      <w:pPr>
        <w:pStyle w:val="Heading2"/>
        <w:tabs>
          <w:tab w:pos="1407" w:val="left" w:leader="none"/>
        </w:tabs>
        <w:spacing w:before="59"/>
      </w:pPr>
      <w:r>
        <w:rPr/>
        <w:t>第二章</w:t>
        <w:tab/>
      </w:r>
      <w:r>
        <w:rPr>
          <w:w w:val="95"/>
        </w:rPr>
        <w:t>保障范围及责任免除</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投保范围</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保险期间、基本保险金额及保险费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保险期间</w:t>
      </w:r>
    </w:p>
    <w:p>
      <w:pPr>
        <w:pStyle w:val="ListParagraph"/>
        <w:numPr>
          <w:ilvl w:val="0"/>
          <w:numId w:val="2"/>
        </w:numPr>
        <w:tabs>
          <w:tab w:pos="880" w:val="left" w:leader="none"/>
        </w:tabs>
        <w:spacing w:line="240" w:lineRule="auto" w:before="35" w:after="0"/>
        <w:ind w:left="879" w:right="0" w:hanging="316"/>
        <w:jc w:val="left"/>
        <w:rPr>
          <w:sz w:val="21"/>
        </w:rPr>
      </w:pPr>
      <w:r>
        <w:rPr>
          <w:sz w:val="21"/>
        </w:rPr>
        <w:br w:type="column"/>
      </w:r>
      <w:r>
        <w:rPr>
          <w:spacing w:val="-1"/>
          <w:sz w:val="21"/>
        </w:rPr>
        <w:t>基本保险金额</w:t>
      </w:r>
    </w:p>
    <w:p>
      <w:pPr>
        <w:pStyle w:val="BodyText"/>
        <w:spacing w:before="59"/>
        <w:ind w:left="563"/>
      </w:pPr>
      <w:r>
        <w:rPr/>
        <w:t>8．保险费的支付</w:t>
      </w:r>
    </w:p>
    <w:p>
      <w:pPr>
        <w:pStyle w:val="Heading2"/>
        <w:tabs>
          <w:tab w:pos="1407" w:val="left" w:leader="none"/>
        </w:tabs>
        <w:spacing w:before="58"/>
      </w:pPr>
      <w:r>
        <w:rPr/>
        <w:t>第四章</w:t>
        <w:tab/>
      </w:r>
      <w:r>
        <w:rPr>
          <w:w w:val="95"/>
        </w:rPr>
        <w:t>豁免保险费申请</w:t>
      </w:r>
    </w:p>
    <w:p>
      <w:pPr>
        <w:pStyle w:val="ListParagraph"/>
        <w:numPr>
          <w:ilvl w:val="0"/>
          <w:numId w:val="3"/>
        </w:numPr>
        <w:tabs>
          <w:tab w:pos="880" w:val="left" w:leader="none"/>
        </w:tabs>
        <w:spacing w:line="240" w:lineRule="auto" w:before="59" w:after="0"/>
        <w:ind w:left="563" w:right="0" w:firstLine="0"/>
        <w:jc w:val="left"/>
        <w:rPr>
          <w:sz w:val="21"/>
        </w:rPr>
      </w:pPr>
      <w:r>
        <w:rPr>
          <w:sz w:val="21"/>
        </w:rPr>
        <w:t>诉讼时效</w:t>
      </w:r>
    </w:p>
    <w:p>
      <w:pPr>
        <w:pStyle w:val="ListParagraph"/>
        <w:numPr>
          <w:ilvl w:val="0"/>
          <w:numId w:val="3"/>
        </w:numPr>
        <w:tabs>
          <w:tab w:pos="985" w:val="left" w:leader="none"/>
          <w:tab w:pos="1407" w:val="left" w:leader="none"/>
        </w:tabs>
        <w:spacing w:line="290" w:lineRule="auto" w:before="59" w:after="0"/>
        <w:ind w:left="563" w:right="2387" w:firstLine="0"/>
        <w:jc w:val="left"/>
        <w:rPr>
          <w:b/>
          <w:sz w:val="21"/>
        </w:rPr>
      </w:pPr>
      <w:r>
        <w:rPr>
          <w:sz w:val="21"/>
        </w:rPr>
        <w:t>豁免保险费申请资料</w:t>
      </w:r>
      <w:r>
        <w:rPr>
          <w:b/>
          <w:sz w:val="21"/>
        </w:rPr>
        <w:t>第五章</w:t>
        <w:tab/>
      </w:r>
      <w:r>
        <w:rPr>
          <w:b/>
          <w:w w:val="95"/>
          <w:sz w:val="21"/>
        </w:rPr>
        <w:t>其他规定</w:t>
      </w:r>
    </w:p>
    <w:p>
      <w:pPr>
        <w:pStyle w:val="ListParagraph"/>
        <w:numPr>
          <w:ilvl w:val="0"/>
          <w:numId w:val="3"/>
        </w:numPr>
        <w:tabs>
          <w:tab w:pos="985" w:val="left" w:leader="none"/>
        </w:tabs>
        <w:spacing w:line="240" w:lineRule="auto" w:before="15" w:after="0"/>
        <w:ind w:left="984" w:right="0" w:hanging="421"/>
        <w:jc w:val="left"/>
        <w:rPr>
          <w:sz w:val="21"/>
        </w:rPr>
      </w:pPr>
      <w:r>
        <w:rPr>
          <w:spacing w:val="-1"/>
          <w:sz w:val="21"/>
        </w:rPr>
        <w:t>宣告死亡处理</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年龄错误处理</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重大疾病的种类和定义</w:t>
      </w:r>
    </w:p>
    <w:p>
      <w:pPr>
        <w:spacing w:after="0" w:line="240" w:lineRule="auto"/>
        <w:jc w:val="left"/>
        <w:rPr>
          <w:sz w:val="21"/>
        </w:rPr>
        <w:sectPr>
          <w:type w:val="continuous"/>
          <w:pgSz w:w="11910" w:h="16840"/>
          <w:pgMar w:top="380" w:bottom="1080" w:left="820" w:right="820"/>
          <w:cols w:num="2" w:equalWidth="0">
            <w:col w:w="4570" w:space="433"/>
            <w:col w:w="5267"/>
          </w:cols>
        </w:sectPr>
      </w:pPr>
    </w:p>
    <w:p>
      <w:pPr>
        <w:pStyle w:val="Heading1"/>
        <w:spacing w:line="378" w:lineRule="exact"/>
        <w:ind w:left="2538"/>
      </w:pPr>
      <w:r>
        <w:rPr>
          <w:w w:val="95"/>
        </w:rPr>
        <w:t>招商信诺附加豁免保险费重大疾病保险条款</w:t>
      </w:r>
    </w:p>
    <w:p>
      <w:pPr>
        <w:pStyle w:val="BodyText"/>
        <w:rPr>
          <w:b/>
          <w:sz w:val="20"/>
        </w:rPr>
      </w:pPr>
    </w:p>
    <w:p>
      <w:pPr>
        <w:pStyle w:val="BodyText"/>
        <w:spacing w:before="9"/>
        <w:rPr>
          <w:b/>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472"/>
        <w:gridCol w:w="8223"/>
      </w:tblGrid>
      <w:tr>
        <w:trPr>
          <w:trHeight w:val="303" w:hRule="atLeast"/>
        </w:trPr>
        <w:tc>
          <w:tcPr>
            <w:tcW w:w="481"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3" w:type="dxa"/>
            <w:tcBorders>
              <w:bottom w:val="single" w:sz="4" w:space="0" w:color="000000"/>
            </w:tcBorders>
          </w:tcPr>
          <w:p>
            <w:pPr>
              <w:pStyle w:val="TableParagraph"/>
              <w:tabs>
                <w:tab w:pos="2712" w:val="left" w:leader="none"/>
              </w:tabs>
              <w:spacing w:line="210" w:lineRule="exact"/>
              <w:ind w:left="1868"/>
              <w:rPr>
                <w:b/>
                <w:sz w:val="21"/>
              </w:rPr>
            </w:pPr>
            <w:r>
              <w:rPr>
                <w:b/>
                <w:sz w:val="21"/>
              </w:rPr>
              <w:t>第一章</w:t>
              <w:tab/>
            </w:r>
            <w:r>
              <w:rPr>
                <w:b/>
                <w:w w:val="95"/>
                <w:sz w:val="21"/>
              </w:rPr>
              <w:t>合同的构成与效力</w:t>
            </w:r>
          </w:p>
        </w:tc>
      </w:tr>
      <w:tr>
        <w:trPr>
          <w:trHeight w:val="1328" w:hRule="atLeast"/>
        </w:trPr>
        <w:tc>
          <w:tcPr>
            <w:tcW w:w="481" w:type="dxa"/>
            <w:tcBorders>
              <w:top w:val="single" w:sz="4" w:space="0" w:color="000000"/>
            </w:tcBorders>
          </w:tcPr>
          <w:p>
            <w:pPr>
              <w:pStyle w:val="TableParagraph"/>
              <w:spacing w:line="241" w:lineRule="exact"/>
              <w:rPr>
                <w:b/>
                <w:sz w:val="21"/>
              </w:rPr>
            </w:pPr>
            <w:r>
              <w:rPr>
                <w:b/>
                <w:sz w:val="21"/>
              </w:rPr>
              <w:t>1.</w:t>
            </w:r>
          </w:p>
        </w:tc>
        <w:tc>
          <w:tcPr>
            <w:tcW w:w="1472" w:type="dxa"/>
            <w:tcBorders>
              <w:top w:val="single" w:sz="4" w:space="0" w:color="000000"/>
            </w:tcBorders>
          </w:tcPr>
          <w:p>
            <w:pPr>
              <w:pStyle w:val="TableParagraph"/>
              <w:spacing w:line="241" w:lineRule="exact"/>
              <w:ind w:left="160"/>
              <w:rPr>
                <w:b/>
                <w:sz w:val="21"/>
              </w:rPr>
            </w:pPr>
            <w:r>
              <w:rPr>
                <w:b/>
                <w:w w:val="95"/>
                <w:sz w:val="21"/>
              </w:rPr>
              <w:t>合同的构成</w:t>
            </w:r>
          </w:p>
        </w:tc>
        <w:tc>
          <w:tcPr>
            <w:tcW w:w="8223" w:type="dxa"/>
            <w:tcBorders>
              <w:top w:val="single" w:sz="4" w:space="0" w:color="000000"/>
            </w:tcBorders>
          </w:tcPr>
          <w:p>
            <w:pPr>
              <w:pStyle w:val="TableParagraph"/>
              <w:spacing w:line="239" w:lineRule="exact"/>
              <w:ind w:left="255"/>
              <w:rPr>
                <w:sz w:val="21"/>
              </w:rPr>
            </w:pPr>
            <w:r>
              <w:rPr>
                <w:sz w:val="21"/>
              </w:rPr>
              <w:t>《招商信诺附加豁免保险费重大疾病保险》（以下简称“本附加合同”）依您方的申</w:t>
            </w:r>
          </w:p>
          <w:p>
            <w:pPr>
              <w:pStyle w:val="TableParagraph"/>
              <w:spacing w:line="274" w:lineRule="exact"/>
              <w:ind w:left="254"/>
              <w:rPr>
                <w:sz w:val="21"/>
              </w:rPr>
            </w:pPr>
            <w:r>
              <w:rPr>
                <w:sz w:val="21"/>
              </w:rPr>
              <w:t>请，经我方同意后，附加在主合同上。</w:t>
            </w:r>
          </w:p>
          <w:p>
            <w:pPr>
              <w:pStyle w:val="TableParagraph"/>
              <w:spacing w:line="237" w:lineRule="auto" w:before="61"/>
              <w:ind w:left="254" w:right="108"/>
              <w:rPr>
                <w:sz w:val="21"/>
              </w:rPr>
            </w:pPr>
            <w:r>
              <w:rPr>
                <w:sz w:val="21"/>
              </w:rPr>
              <w:t>主合同的共同条款同样适用于本附加合同；如果本附加合同条款与主合同的共同条款有不一致的，则以本附加合同条款为准。</w:t>
            </w:r>
          </w:p>
        </w:tc>
      </w:tr>
      <w:tr>
        <w:trPr>
          <w:trHeight w:val="1652" w:hRule="atLeast"/>
        </w:trPr>
        <w:tc>
          <w:tcPr>
            <w:tcW w:w="481" w:type="dxa"/>
          </w:tcPr>
          <w:p>
            <w:pPr>
              <w:pStyle w:val="TableParagraph"/>
              <w:spacing w:before="145"/>
              <w:rPr>
                <w:b/>
                <w:sz w:val="21"/>
              </w:rPr>
            </w:pPr>
            <w:r>
              <w:rPr>
                <w:b/>
                <w:sz w:val="21"/>
              </w:rPr>
              <w:t>2.</w:t>
            </w:r>
          </w:p>
        </w:tc>
        <w:tc>
          <w:tcPr>
            <w:tcW w:w="1472" w:type="dxa"/>
          </w:tcPr>
          <w:p>
            <w:pPr>
              <w:pStyle w:val="TableParagraph"/>
              <w:spacing w:before="145"/>
              <w:ind w:left="160"/>
              <w:rPr>
                <w:b/>
                <w:sz w:val="21"/>
              </w:rPr>
            </w:pPr>
            <w:r>
              <w:rPr>
                <w:b/>
                <w:w w:val="95"/>
                <w:sz w:val="21"/>
              </w:rPr>
              <w:t>合同的效力</w:t>
            </w:r>
          </w:p>
        </w:tc>
        <w:tc>
          <w:tcPr>
            <w:tcW w:w="8223" w:type="dxa"/>
          </w:tcPr>
          <w:p>
            <w:pPr>
              <w:pStyle w:val="TableParagraph"/>
              <w:spacing w:line="292" w:lineRule="auto" w:before="145"/>
              <w:ind w:left="255" w:right="1457"/>
              <w:rPr>
                <w:sz w:val="21"/>
              </w:rPr>
            </w:pPr>
            <w:r>
              <w:rPr>
                <w:sz w:val="21"/>
              </w:rPr>
              <w:t>主合同效力终止（或中止）的，本附加合同效力同时终止（或中止）。主合同效力中止期间，本附加合同效力不能单独恢复。</w:t>
            </w:r>
          </w:p>
          <w:p>
            <w:pPr>
              <w:pStyle w:val="TableParagraph"/>
              <w:spacing w:line="292" w:lineRule="auto" w:before="12"/>
              <w:ind w:left="255" w:right="4607"/>
              <w:rPr>
                <w:sz w:val="21"/>
              </w:rPr>
            </w:pPr>
            <w:r>
              <w:rPr>
                <w:sz w:val="21"/>
              </w:rPr>
              <w:t>主合同无效的，本附加合同亦无效。您方可以单独解除本附加合同。</w:t>
            </w:r>
          </w:p>
        </w:tc>
      </w:tr>
      <w:tr>
        <w:trPr>
          <w:trHeight w:val="534" w:hRule="atLeast"/>
        </w:trPr>
        <w:tc>
          <w:tcPr>
            <w:tcW w:w="481"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3" w:type="dxa"/>
            <w:tcBorders>
              <w:bottom w:val="single" w:sz="4" w:space="0" w:color="000000"/>
            </w:tcBorders>
          </w:tcPr>
          <w:p>
            <w:pPr>
              <w:pStyle w:val="TableParagraph"/>
              <w:tabs>
                <w:tab w:pos="2606" w:val="left" w:leader="none"/>
              </w:tabs>
              <w:spacing w:before="164"/>
              <w:ind w:left="1763"/>
              <w:rPr>
                <w:b/>
                <w:sz w:val="21"/>
              </w:rPr>
            </w:pPr>
            <w:r>
              <w:rPr>
                <w:b/>
                <w:sz w:val="21"/>
              </w:rPr>
              <w:t>第二章</w:t>
              <w:tab/>
            </w:r>
            <w:r>
              <w:rPr>
                <w:b/>
                <w:w w:val="95"/>
                <w:sz w:val="21"/>
              </w:rPr>
              <w:t>保障范围及责任免除</w:t>
            </w:r>
          </w:p>
        </w:tc>
      </w:tr>
      <w:tr>
        <w:trPr>
          <w:trHeight w:val="779" w:hRule="atLeast"/>
        </w:trPr>
        <w:tc>
          <w:tcPr>
            <w:tcW w:w="481" w:type="dxa"/>
            <w:tcBorders>
              <w:top w:val="single" w:sz="4" w:space="0" w:color="000000"/>
            </w:tcBorders>
          </w:tcPr>
          <w:p>
            <w:pPr>
              <w:pStyle w:val="TableParagraph"/>
              <w:spacing w:line="239" w:lineRule="exact"/>
              <w:rPr>
                <w:b/>
                <w:sz w:val="21"/>
              </w:rPr>
            </w:pPr>
            <w:r>
              <w:rPr>
                <w:b/>
                <w:sz w:val="21"/>
              </w:rPr>
              <w:t>3.</w:t>
            </w:r>
          </w:p>
        </w:tc>
        <w:tc>
          <w:tcPr>
            <w:tcW w:w="1472" w:type="dxa"/>
            <w:tcBorders>
              <w:top w:val="single" w:sz="4" w:space="0" w:color="000000"/>
            </w:tcBorders>
          </w:tcPr>
          <w:p>
            <w:pPr>
              <w:pStyle w:val="TableParagraph"/>
              <w:spacing w:line="239" w:lineRule="exact"/>
              <w:ind w:left="160"/>
              <w:rPr>
                <w:b/>
                <w:sz w:val="21"/>
              </w:rPr>
            </w:pPr>
            <w:r>
              <w:rPr>
                <w:b/>
                <w:sz w:val="21"/>
              </w:rPr>
              <w:t>投保范围</w:t>
            </w:r>
          </w:p>
        </w:tc>
        <w:tc>
          <w:tcPr>
            <w:tcW w:w="8223" w:type="dxa"/>
            <w:tcBorders>
              <w:top w:val="single" w:sz="4" w:space="0" w:color="000000"/>
            </w:tcBorders>
          </w:tcPr>
          <w:p>
            <w:pPr>
              <w:pStyle w:val="TableParagraph"/>
              <w:spacing w:line="260" w:lineRule="exact"/>
              <w:ind w:left="285"/>
              <w:rPr>
                <w:sz w:val="21"/>
              </w:rPr>
            </w:pPr>
            <w:r>
              <w:rPr>
                <w:sz w:val="21"/>
              </w:rPr>
              <w:t>年龄为20周岁至55周岁的本附加合同所依附的主合同的投保人可作为被保险人参加本</w:t>
            </w:r>
          </w:p>
          <w:p>
            <w:pPr>
              <w:pStyle w:val="TableParagraph"/>
              <w:spacing w:before="37"/>
              <w:ind w:left="285"/>
              <w:rPr>
                <w:sz w:val="21"/>
              </w:rPr>
            </w:pPr>
            <w:r>
              <w:rPr>
                <w:sz w:val="21"/>
              </w:rPr>
              <w:t>保险。</w:t>
            </w:r>
          </w:p>
        </w:tc>
      </w:tr>
      <w:tr>
        <w:trPr>
          <w:trHeight w:val="1568" w:hRule="atLeast"/>
        </w:trPr>
        <w:tc>
          <w:tcPr>
            <w:tcW w:w="481" w:type="dxa"/>
          </w:tcPr>
          <w:p>
            <w:pPr>
              <w:pStyle w:val="TableParagraph"/>
              <w:spacing w:before="143"/>
              <w:rPr>
                <w:b/>
                <w:sz w:val="21"/>
              </w:rPr>
            </w:pPr>
            <w:r>
              <w:rPr>
                <w:b/>
                <w:sz w:val="21"/>
              </w:rPr>
              <w:t>4.</w:t>
            </w:r>
          </w:p>
        </w:tc>
        <w:tc>
          <w:tcPr>
            <w:tcW w:w="1472" w:type="dxa"/>
          </w:tcPr>
          <w:p>
            <w:pPr>
              <w:pStyle w:val="TableParagraph"/>
              <w:spacing w:before="143"/>
              <w:ind w:left="160"/>
              <w:rPr>
                <w:b/>
                <w:sz w:val="21"/>
              </w:rPr>
            </w:pPr>
            <w:r>
              <w:rPr>
                <w:b/>
                <w:sz w:val="21"/>
              </w:rPr>
              <w:t>保险责任</w:t>
            </w:r>
          </w:p>
        </w:tc>
        <w:tc>
          <w:tcPr>
            <w:tcW w:w="8223" w:type="dxa"/>
          </w:tcPr>
          <w:p>
            <w:pPr>
              <w:pStyle w:val="TableParagraph"/>
              <w:spacing w:line="237" w:lineRule="auto" w:before="146"/>
              <w:ind w:left="284" w:right="107"/>
              <w:jc w:val="both"/>
              <w:rPr>
                <w:sz w:val="21"/>
              </w:rPr>
            </w:pPr>
            <w:r>
              <w:rPr>
                <w:sz w:val="21"/>
              </w:rPr>
              <w:t>在本附加合同保险期间内，我方自被保险人发生下列任一情形后的第一个保险费约定支付日起豁免保险单上载明的主合同及其他附加合同的剩余各期保险费，本附加合同效力终止：</w:t>
            </w:r>
          </w:p>
          <w:p>
            <w:pPr>
              <w:pStyle w:val="TableParagraph"/>
              <w:spacing w:line="272" w:lineRule="exact" w:before="86"/>
              <w:ind w:left="975" w:right="108" w:hanging="720"/>
              <w:rPr>
                <w:sz w:val="21"/>
              </w:rPr>
            </w:pPr>
            <w:r>
              <w:rPr>
                <w:sz w:val="21"/>
              </w:rPr>
              <w:t>（一）</w:t>
            </w:r>
            <w:r>
              <w:rPr>
                <w:spacing w:val="-10"/>
                <w:sz w:val="21"/>
              </w:rPr>
              <w:t> 被保险人因意外伤害，或在本附加合同等待期之后</w:t>
            </w:r>
            <w:r>
              <w:rPr>
                <w:b/>
                <w:spacing w:val="-10"/>
                <w:sz w:val="21"/>
              </w:rPr>
              <w:t>初次发生 </w:t>
            </w:r>
            <w:hyperlink w:history="true" w:anchor="_bookmark0">
              <w:r>
                <w:rPr>
                  <w:rFonts w:ascii="Times New Roman" w:eastAsia="Times New Roman"/>
                  <w:b/>
                  <w:sz w:val="21"/>
                  <w:vertAlign w:val="superscript"/>
                </w:rPr>
                <w:t>1</w:t>
              </w:r>
              <w:r>
                <w:rPr>
                  <w:rFonts w:ascii="Times New Roman" w:eastAsia="Times New Roman"/>
                  <w:b/>
                  <w:sz w:val="21"/>
                  <w:vertAlign w:val="baseline"/>
                </w:rPr>
              </w:r>
            </w:hyperlink>
            <w:r>
              <w:rPr>
                <w:sz w:val="21"/>
                <w:vertAlign w:val="baseline"/>
              </w:rPr>
              <w:t>并经</w:t>
            </w:r>
            <w:r>
              <w:rPr>
                <w:b/>
                <w:spacing w:val="-15"/>
                <w:sz w:val="21"/>
                <w:vertAlign w:val="baseline"/>
              </w:rPr>
              <w:t>医院 </w:t>
            </w:r>
            <w:hyperlink w:history="true" w:anchor="_bookmark2">
              <w:r>
                <w:rPr>
                  <w:rFonts w:ascii="Times New Roman" w:eastAsia="Times New Roman"/>
                  <w:b/>
                  <w:sz w:val="21"/>
                  <w:vertAlign w:val="superscript"/>
                </w:rPr>
                <w:t>2</w:t>
              </w:r>
              <w:r>
                <w:rPr>
                  <w:rFonts w:ascii="Times New Roman" w:eastAsia="Times New Roman"/>
                  <w:b/>
                  <w:sz w:val="21"/>
                  <w:vertAlign w:val="baseline"/>
                </w:rPr>
              </w:r>
            </w:hyperlink>
            <w:r>
              <w:rPr>
                <w:b/>
                <w:sz w:val="21"/>
                <w:vertAlign w:val="baseline"/>
              </w:rPr>
              <w:t>专科医</w:t>
            </w:r>
            <w:r>
              <w:rPr>
                <w:b/>
                <w:spacing w:val="-23"/>
                <w:sz w:val="21"/>
                <w:vertAlign w:val="baseline"/>
              </w:rPr>
              <w:t>生 </w:t>
            </w:r>
            <w:hyperlink w:history="true" w:anchor="_bookmark3">
              <w:r>
                <w:rPr>
                  <w:rFonts w:ascii="Times New Roman" w:eastAsia="Times New Roman"/>
                  <w:b/>
                  <w:sz w:val="21"/>
                  <w:vertAlign w:val="superscript"/>
                </w:rPr>
                <w:t>3</w:t>
              </w:r>
              <w:r>
                <w:rPr>
                  <w:rFonts w:ascii="Times New Roman" w:eastAsia="Times New Roman"/>
                  <w:b/>
                  <w:sz w:val="21"/>
                  <w:vertAlign w:val="baseline"/>
                </w:rPr>
              </w:r>
            </w:hyperlink>
            <w:r>
              <w:rPr>
                <w:b/>
                <w:spacing w:val="-10"/>
                <w:sz w:val="21"/>
                <w:vertAlign w:val="baseline"/>
              </w:rPr>
              <w:t>首次确诊 </w:t>
            </w:r>
            <w:hyperlink w:history="true" w:anchor="_bookmark1">
              <w:r>
                <w:rPr>
                  <w:rFonts w:ascii="Times New Roman" w:eastAsia="Times New Roman"/>
                  <w:b/>
                  <w:sz w:val="21"/>
                  <w:vertAlign w:val="superscript"/>
                </w:rPr>
                <w:t>4</w:t>
              </w:r>
              <w:r>
                <w:rPr>
                  <w:rFonts w:ascii="Times New Roman" w:eastAsia="Times New Roman"/>
                  <w:b/>
                  <w:sz w:val="21"/>
                  <w:vertAlign w:val="baseline"/>
                </w:rPr>
              </w:r>
            </w:hyperlink>
            <w:r>
              <w:rPr>
                <w:sz w:val="21"/>
                <w:vertAlign w:val="baseline"/>
              </w:rPr>
              <w:t>患有本附加合同所规定的重大疾病；</w:t>
            </w:r>
          </w:p>
        </w:tc>
      </w:tr>
    </w:tbl>
    <w:p>
      <w:pPr>
        <w:pStyle w:val="BodyText"/>
        <w:rPr>
          <w:b/>
          <w:sz w:val="20"/>
        </w:rPr>
      </w:pPr>
    </w:p>
    <w:p>
      <w:pPr>
        <w:pStyle w:val="BodyText"/>
        <w:spacing w:before="1"/>
        <w:rPr>
          <w:b/>
          <w:sz w:val="12"/>
        </w:rPr>
      </w:pPr>
      <w:r>
        <w:rPr/>
        <w:pict>
          <v:line style="position:absolute;mso-position-horizontal-relative:page;mso-position-vertical-relative:paragraph;z-index:1168;mso-wrap-distance-left:0;mso-wrap-distance-right:0" from="48.18pt,10.1875pt" to="192.18pt,10.1875pt" stroked="true" strokeweight=".54pt" strokecolor="#000000">
            <v:stroke dashstyle="solid"/>
            <w10:wrap type="topAndBottom"/>
          </v:line>
        </w:pict>
      </w:r>
    </w:p>
    <w:p>
      <w:pPr>
        <w:pStyle w:val="BodyText"/>
        <w:spacing w:line="300" w:lineRule="auto" w:before="14"/>
        <w:ind w:left="223" w:right="310"/>
        <w:jc w:val="both"/>
      </w:pPr>
      <w:bookmarkStart w:name="_bookmark0" w:id="1"/>
      <w:bookmarkEnd w:id="1"/>
      <w:r>
        <w:rPr/>
      </w:r>
      <w:bookmarkStart w:name="_bookmark1" w:id="2"/>
      <w:bookmarkEnd w:id="2"/>
      <w:r>
        <w:rPr/>
      </w:r>
      <w:r>
        <w:rPr>
          <w:rFonts w:ascii="Microsoft JhengHei" w:eastAsia="Microsoft JhengHei" w:hint="eastAsia"/>
          <w:b/>
          <w:position w:val="5"/>
          <w:sz w:val="14"/>
        </w:rPr>
        <w:t>1 </w:t>
      </w:r>
      <w:r>
        <w:rPr>
          <w:rFonts w:ascii="Microsoft JhengHei" w:eastAsia="Microsoft JhengHei" w:hint="eastAsia"/>
          <w:b/>
        </w:rPr>
        <w:t>初次发生：</w:t>
      </w:r>
      <w:r>
        <w:rPr/>
        <w:t>指被保险人自出生之日起第一次出现而不是自本附加合同等待期后第一次出现与本附加合同所约定的重大疾病相关的症状或体征，而该症状或体征已足以引起一般人士注意并去医院寻求医疗检查，且被诊断为本附加合同所约定的重大疾病或在其后发展为本附加合同约定的重大疾病。</w:t>
      </w:r>
    </w:p>
    <w:p>
      <w:pPr>
        <w:pStyle w:val="BodyText"/>
        <w:spacing w:line="453" w:lineRule="auto" w:before="100"/>
        <w:ind w:left="223" w:right="310" w:hanging="1"/>
        <w:jc w:val="both"/>
      </w:pPr>
      <w:bookmarkStart w:name="_bookmark2" w:id="3"/>
      <w:bookmarkEnd w:id="3"/>
      <w:r>
        <w:rPr/>
      </w:r>
      <w:r>
        <w:rPr>
          <w:rFonts w:ascii="Microsoft JhengHei" w:eastAsia="Microsoft JhengHei" w:hint="eastAsia"/>
          <w:b/>
          <w:position w:val="5"/>
          <w:sz w:val="14"/>
        </w:rPr>
        <w:t>2 </w:t>
      </w:r>
      <w:r>
        <w:rPr>
          <w:rFonts w:ascii="Microsoft JhengHei" w:eastAsia="Microsoft JhengHei" w:hint="eastAsia"/>
          <w:b/>
        </w:rPr>
        <w:t>医院：</w:t>
      </w:r>
      <w:r>
        <w:rPr/>
        <w:t>指除下述三项所列医院以外的二级及以上公立医院，该种级别是按照中华人民共和国卫生部所颁布的分类标准划分的。本附加合同所提及的医院还包括我方所认可的香港、澳门、台湾地区医院和国外医院，</w:t>
      </w:r>
    </w:p>
    <w:p>
      <w:pPr>
        <w:pStyle w:val="BodyText"/>
        <w:spacing w:line="487" w:lineRule="auto" w:before="161"/>
        <w:ind w:left="223" w:right="309"/>
        <w:jc w:val="both"/>
      </w:pPr>
      <w:r>
        <w:rPr/>
        <w:t>该医院应该是一种合法成立并按照当地法律营运的机构，其主要业务是在居民住院的基础上接收、护理和治疗病人或伤员，并且拥有诊断和内外科设施，同时还有合格医师及护士驻院提供全天 </w:t>
      </w:r>
      <w:r>
        <w:rPr>
          <w:rFonts w:ascii="Microsoft JhengHei" w:eastAsia="Microsoft JhengHei" w:hint="eastAsia"/>
        </w:rPr>
        <w:t>24 </w:t>
      </w:r>
      <w:r>
        <w:rPr/>
        <w:t>小时治疗和护理服</w:t>
      </w:r>
    </w:p>
    <w:p>
      <w:pPr>
        <w:pStyle w:val="Heading2"/>
        <w:spacing w:line="336" w:lineRule="exact"/>
        <w:ind w:left="223"/>
        <w:jc w:val="both"/>
        <w:rPr>
          <w:rFonts w:ascii="Microsoft JhengHei" w:eastAsia="Microsoft JhengHei" w:hint="eastAsia"/>
        </w:rPr>
      </w:pPr>
      <w:r>
        <w:rPr>
          <w:b w:val="0"/>
          <w:spacing w:val="-11"/>
        </w:rPr>
        <w:t>务。</w:t>
      </w:r>
      <w:r>
        <w:rPr>
          <w:rFonts w:ascii="Microsoft JhengHei" w:eastAsia="Microsoft JhengHei" w:hint="eastAsia"/>
          <w:u w:val="single"/>
        </w:rPr>
        <w:t>本附加合同中所提及的医院不包括</w:t>
      </w:r>
      <w:r>
        <w:rPr>
          <w:rFonts w:ascii="Microsoft JhengHei" w:eastAsia="Microsoft JhengHei" w:hint="eastAsia"/>
          <w:spacing w:val="-126"/>
          <w:u w:val="single"/>
        </w:rPr>
        <w:t>：</w:t>
      </w:r>
      <w:r>
        <w:rPr>
          <w:rFonts w:ascii="Microsoft JhengHei" w:eastAsia="Microsoft JhengHei" w:hint="eastAsia"/>
          <w:u w:val="single"/>
        </w:rPr>
        <w:t>（</w:t>
      </w:r>
      <w:r>
        <w:rPr>
          <w:rFonts w:ascii="Microsoft JhengHei" w:eastAsia="Microsoft JhengHei" w:hint="eastAsia"/>
          <w:w w:val="93"/>
          <w:u w:val="single"/>
        </w:rPr>
        <w:t>1</w:t>
      </w:r>
      <w:r>
        <w:rPr>
          <w:rFonts w:ascii="Microsoft JhengHei" w:eastAsia="Microsoft JhengHei" w:hint="eastAsia"/>
          <w:spacing w:val="-21"/>
          <w:u w:val="single"/>
        </w:rPr>
        <w:t>）</w:t>
      </w:r>
      <w:r>
        <w:rPr>
          <w:rFonts w:ascii="Microsoft JhengHei" w:eastAsia="Microsoft JhengHei" w:hint="eastAsia"/>
          <w:spacing w:val="-5"/>
          <w:u w:val="single"/>
        </w:rPr>
        <w:t>健康水疗或自然治疗诊所，疗养院，或医院中提供护理、康复、</w:t>
      </w:r>
    </w:p>
    <w:p>
      <w:pPr>
        <w:pStyle w:val="BodyText"/>
        <w:spacing w:before="3"/>
        <w:rPr>
          <w:rFonts w:ascii="Microsoft JhengHei"/>
          <w:b/>
          <w:sz w:val="14"/>
        </w:rPr>
      </w:pPr>
    </w:p>
    <w:p>
      <w:pPr>
        <w:spacing w:before="12"/>
        <w:ind w:left="223" w:right="0" w:firstLine="0"/>
        <w:jc w:val="left"/>
        <w:rPr>
          <w:rFonts w:ascii="Microsoft JhengHei" w:eastAsia="Microsoft JhengHei" w:hint="eastAsia"/>
          <w:b/>
          <w:sz w:val="21"/>
        </w:rPr>
      </w:pPr>
      <w:r>
        <w:rPr>
          <w:rFonts w:ascii="Microsoft JhengHei" w:eastAsia="Microsoft JhengHei" w:hint="eastAsia"/>
          <w:b/>
          <w:spacing w:val="-10"/>
          <w:sz w:val="21"/>
          <w:u w:val="single"/>
        </w:rPr>
        <w:t>恢复治疗的科室或病区；</w:t>
      </w:r>
      <w:r>
        <w:rPr>
          <w:rFonts w:ascii="Microsoft JhengHei" w:eastAsia="Microsoft JhengHei" w:hint="eastAsia"/>
          <w:b/>
          <w:sz w:val="21"/>
          <w:u w:val="single"/>
        </w:rPr>
        <w:t>（</w:t>
      </w:r>
      <w:r>
        <w:rPr>
          <w:rFonts w:ascii="Microsoft JhengHei" w:eastAsia="Microsoft JhengHei" w:hint="eastAsia"/>
          <w:b/>
          <w:spacing w:val="-1"/>
          <w:w w:val="93"/>
          <w:sz w:val="21"/>
          <w:u w:val="single"/>
        </w:rPr>
        <w:t>2</w:t>
      </w:r>
      <w:r>
        <w:rPr>
          <w:rFonts w:ascii="Microsoft JhengHei" w:eastAsia="Microsoft JhengHei" w:hint="eastAsia"/>
          <w:b/>
          <w:spacing w:val="-4"/>
          <w:sz w:val="21"/>
          <w:u w:val="single"/>
        </w:rPr>
        <w:t>）</w:t>
      </w:r>
      <w:r>
        <w:rPr>
          <w:rFonts w:ascii="Microsoft JhengHei" w:eastAsia="Microsoft JhengHei" w:hint="eastAsia"/>
          <w:b/>
          <w:spacing w:val="-2"/>
          <w:sz w:val="21"/>
          <w:u w:val="single"/>
        </w:rPr>
        <w:t>精神病院，主要治疗精神或心理疾病的机构，以及医院中治疗精神病的科室或</w:t>
      </w:r>
    </w:p>
    <w:p>
      <w:pPr>
        <w:pStyle w:val="BodyText"/>
        <w:spacing w:before="2"/>
        <w:rPr>
          <w:rFonts w:ascii="Microsoft JhengHei"/>
          <w:b/>
          <w:sz w:val="14"/>
        </w:rPr>
      </w:pPr>
    </w:p>
    <w:p>
      <w:pPr>
        <w:spacing w:before="12"/>
        <w:ind w:left="223" w:right="0" w:firstLine="0"/>
        <w:jc w:val="left"/>
        <w:rPr>
          <w:rFonts w:ascii="Microsoft JhengHei" w:eastAsia="Microsoft JhengHei" w:hint="eastAsia"/>
          <w:b/>
          <w:sz w:val="21"/>
        </w:rPr>
      </w:pPr>
      <w:r>
        <w:rPr>
          <w:rFonts w:ascii="Microsoft JhengHei" w:eastAsia="Microsoft JhengHei" w:hint="eastAsia"/>
          <w:b/>
          <w:spacing w:val="-36"/>
          <w:sz w:val="21"/>
          <w:u w:val="single"/>
        </w:rPr>
        <w:t>病区；</w:t>
      </w:r>
      <w:r>
        <w:rPr>
          <w:rFonts w:ascii="Microsoft JhengHei" w:eastAsia="Microsoft JhengHei" w:hint="eastAsia"/>
          <w:b/>
          <w:sz w:val="21"/>
          <w:u w:val="single"/>
        </w:rPr>
        <w:t>（</w:t>
      </w:r>
      <w:r>
        <w:rPr>
          <w:rFonts w:ascii="Microsoft JhengHei" w:eastAsia="Microsoft JhengHei" w:hint="eastAsia"/>
          <w:b/>
          <w:spacing w:val="-1"/>
          <w:w w:val="93"/>
          <w:sz w:val="21"/>
          <w:u w:val="single"/>
        </w:rPr>
        <w:t>3</w:t>
      </w:r>
      <w:r>
        <w:rPr>
          <w:rFonts w:ascii="Microsoft JhengHei" w:eastAsia="Microsoft JhengHei" w:hint="eastAsia"/>
          <w:b/>
          <w:sz w:val="21"/>
          <w:u w:val="single"/>
        </w:rPr>
        <w:t>）养老院、戒毒所或戒酒所。</w:t>
      </w:r>
    </w:p>
    <w:p>
      <w:pPr>
        <w:pStyle w:val="BodyText"/>
        <w:spacing w:before="191"/>
        <w:ind w:left="223"/>
      </w:pPr>
      <w:bookmarkStart w:name="_bookmark3" w:id="4"/>
      <w:bookmarkEnd w:id="4"/>
      <w:r>
        <w:rPr/>
      </w:r>
      <w:r>
        <w:rPr>
          <w:rFonts w:ascii="Microsoft JhengHei" w:eastAsia="Microsoft JhengHei" w:hint="eastAsia"/>
          <w:b/>
          <w:w w:val="93"/>
          <w:position w:val="5"/>
          <w:sz w:val="14"/>
        </w:rPr>
        <w:t>3</w:t>
      </w:r>
      <w:r>
        <w:rPr>
          <w:rFonts w:ascii="Microsoft JhengHei" w:eastAsia="Microsoft JhengHei" w:hint="eastAsia"/>
          <w:b/>
          <w:position w:val="5"/>
          <w:sz w:val="14"/>
        </w:rPr>
        <w:t>  </w:t>
      </w:r>
      <w:r>
        <w:rPr>
          <w:rFonts w:ascii="Microsoft JhengHei" w:eastAsia="Microsoft JhengHei" w:hint="eastAsia"/>
          <w:b/>
        </w:rPr>
        <w:t>专科医生：</w:t>
      </w:r>
      <w:r>
        <w:rPr>
          <w:spacing w:val="-6"/>
        </w:rPr>
        <w:t>专科医生应当同时满足以下四项资格条件：</w:t>
      </w:r>
      <w:r>
        <w:rPr>
          <w:spacing w:val="-1"/>
        </w:rPr>
        <w:t>（</w:t>
      </w:r>
      <w:r>
        <w:rPr>
          <w:rFonts w:ascii="Microsoft JhengHei" w:eastAsia="Microsoft JhengHei" w:hint="eastAsia"/>
          <w:spacing w:val="-1"/>
          <w:w w:val="95"/>
        </w:rPr>
        <w:t>1</w:t>
      </w:r>
      <w:r>
        <w:rPr/>
        <w:t>）</w:t>
      </w:r>
      <w:r>
        <w:rPr>
          <w:spacing w:val="-6"/>
        </w:rPr>
        <w:t>具有有效的中华人民共和国《医师资格证书》；</w:t>
      </w:r>
    </w:p>
    <w:p>
      <w:pPr>
        <w:pStyle w:val="BodyText"/>
        <w:spacing w:line="261" w:lineRule="auto"/>
        <w:ind w:left="223" w:right="308"/>
      </w:pPr>
      <w:r>
        <w:rPr/>
        <w:t>（</w:t>
      </w:r>
      <w:r>
        <w:rPr>
          <w:rFonts w:ascii="Microsoft JhengHei" w:eastAsia="Microsoft JhengHei" w:hint="eastAsia"/>
          <w:spacing w:val="-1"/>
          <w:w w:val="95"/>
        </w:rPr>
        <w:t>2</w:t>
      </w:r>
      <w:r>
        <w:rPr>
          <w:spacing w:val="-5"/>
        </w:rPr>
        <w:t>）</w:t>
      </w:r>
      <w:r>
        <w:rPr>
          <w:spacing w:val="-11"/>
        </w:rPr>
        <w:t>具有有效的中华人民共和国《医师执业证书》，并按期到相关部门登记注册；</w:t>
      </w:r>
      <w:r>
        <w:rPr/>
        <w:t>（</w:t>
      </w:r>
      <w:r>
        <w:rPr>
          <w:rFonts w:ascii="Microsoft JhengHei" w:eastAsia="Microsoft JhengHei" w:hint="eastAsia"/>
          <w:spacing w:val="-1"/>
          <w:w w:val="95"/>
        </w:rPr>
        <w:t>3</w:t>
      </w:r>
      <w:r>
        <w:rPr>
          <w:spacing w:val="-5"/>
        </w:rPr>
        <w:t>）</w:t>
      </w:r>
      <w:r>
        <w:rPr/>
        <w:t>具有有效的中华人民</w:t>
      </w:r>
      <w:r>
        <w:rPr>
          <w:spacing w:val="-9"/>
        </w:rPr>
        <w:t>共和国主治医师或主治医师以上职称的《医师职称证书》；</w:t>
      </w:r>
      <w:r>
        <w:rPr/>
        <w:t>（</w:t>
      </w:r>
      <w:r>
        <w:rPr>
          <w:rFonts w:ascii="Microsoft JhengHei" w:eastAsia="Microsoft JhengHei" w:hint="eastAsia"/>
          <w:spacing w:val="-1"/>
          <w:w w:val="95"/>
        </w:rPr>
        <w:t>4</w:t>
      </w:r>
      <w:r>
        <w:rPr/>
        <w:t>）在二级或二级以上医院的相应科室从事临床工作三年以上。</w:t>
      </w:r>
    </w:p>
    <w:p>
      <w:pPr>
        <w:spacing w:after="0" w:line="261" w:lineRule="auto"/>
        <w:sectPr>
          <w:pgSz w:w="11910" w:h="16840"/>
          <w:pgMar w:header="0" w:footer="885" w:top="1100" w:bottom="1080" w:left="74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757"/>
        <w:gridCol w:w="8132"/>
      </w:tblGrid>
      <w:tr>
        <w:trPr>
          <w:trHeight w:val="4571" w:hRule="atLeast"/>
        </w:trPr>
        <w:tc>
          <w:tcPr>
            <w:tcW w:w="572" w:type="dxa"/>
          </w:tcPr>
          <w:p>
            <w:pPr>
              <w:pStyle w:val="TableParagraph"/>
              <w:ind w:left="0"/>
              <w:rPr>
                <w:rFonts w:ascii="Times New Roman"/>
                <w:sz w:val="20"/>
              </w:rPr>
            </w:pPr>
          </w:p>
        </w:tc>
        <w:tc>
          <w:tcPr>
            <w:tcW w:w="1757" w:type="dxa"/>
          </w:tcPr>
          <w:p>
            <w:pPr>
              <w:pStyle w:val="TableParagraph"/>
              <w:ind w:left="0"/>
              <w:rPr>
                <w:rFonts w:ascii="Times New Roman"/>
                <w:sz w:val="20"/>
              </w:rPr>
            </w:pPr>
          </w:p>
        </w:tc>
        <w:tc>
          <w:tcPr>
            <w:tcW w:w="8132" w:type="dxa"/>
          </w:tcPr>
          <w:p>
            <w:pPr>
              <w:pStyle w:val="TableParagraph"/>
              <w:spacing w:line="234" w:lineRule="exact"/>
              <w:ind w:left="-29"/>
              <w:rPr>
                <w:sz w:val="21"/>
              </w:rPr>
            </w:pPr>
            <w:r>
              <w:rPr>
                <w:sz w:val="21"/>
              </w:rPr>
              <w:t>（二） 被保险人遭受</w:t>
            </w:r>
            <w:r>
              <w:rPr>
                <w:b/>
                <w:sz w:val="21"/>
              </w:rPr>
              <w:t>意外伤害 </w:t>
            </w:r>
            <w:hyperlink w:history="true" w:anchor="_bookmark4">
              <w:r>
                <w:rPr>
                  <w:b/>
                  <w:position w:val="11"/>
                  <w:sz w:val="11"/>
                </w:rPr>
                <w:t>5</w:t>
              </w:r>
            </w:hyperlink>
            <w:r>
              <w:rPr>
                <w:sz w:val="21"/>
              </w:rPr>
              <w:t>并且自该意外伤害发生之日起 180 天内因该意外伤害</w:t>
            </w:r>
          </w:p>
          <w:p>
            <w:pPr>
              <w:pStyle w:val="TableParagraph"/>
              <w:spacing w:line="237" w:lineRule="auto" w:before="1"/>
              <w:ind w:left="691" w:right="299" w:hanging="1"/>
              <w:rPr>
                <w:sz w:val="21"/>
              </w:rPr>
            </w:pPr>
            <w:r>
              <w:rPr>
                <w:sz w:val="21"/>
              </w:rPr>
              <w:t>导致身故或</w:t>
            </w:r>
            <w:r>
              <w:rPr>
                <w:b/>
                <w:sz w:val="21"/>
              </w:rPr>
              <w:t>全残 </w:t>
            </w:r>
            <w:hyperlink w:history="true" w:anchor="_bookmark4">
              <w:r>
                <w:rPr>
                  <w:b/>
                  <w:position w:val="11"/>
                  <w:sz w:val="11"/>
                </w:rPr>
                <w:t>6</w:t>
              </w:r>
            </w:hyperlink>
            <w:r>
              <w:rPr>
                <w:sz w:val="21"/>
              </w:rPr>
              <w:t>；或者被保险人在本附加合同等待期之后由于意外伤害之外的原因导致身故或全残。</w:t>
            </w:r>
          </w:p>
          <w:p>
            <w:pPr>
              <w:pStyle w:val="TableParagraph"/>
              <w:spacing w:line="237" w:lineRule="auto" w:before="62"/>
              <w:ind w:left="-29" w:right="303"/>
              <w:rPr>
                <w:sz w:val="21"/>
              </w:rPr>
            </w:pPr>
            <w:r>
              <w:rPr>
                <w:sz w:val="21"/>
              </w:rPr>
              <w:t>在本附加合同保险期间内，本附加合同自被保险人发生下列任一情形时效力终止，我方将向投保人无息退还本附加合同累计已支付的全部保险费：</w:t>
            </w:r>
          </w:p>
          <w:p>
            <w:pPr>
              <w:pStyle w:val="TableParagraph"/>
              <w:spacing w:line="237" w:lineRule="auto" w:before="62"/>
              <w:ind w:left="691" w:right="302" w:hanging="721"/>
              <w:jc w:val="both"/>
              <w:rPr>
                <w:sz w:val="21"/>
              </w:rPr>
            </w:pPr>
            <w:r>
              <w:rPr>
                <w:sz w:val="21"/>
              </w:rPr>
              <w:t>（一）</w:t>
            </w:r>
            <w:r>
              <w:rPr>
                <w:spacing w:val="-4"/>
                <w:sz w:val="21"/>
              </w:rPr>
              <w:t> 如果被保险人确诊患有本附加合同所规定的重大疾病，但初次发生重大疾病是</w:t>
            </w:r>
            <w:r>
              <w:rPr>
                <w:spacing w:val="-1"/>
                <w:sz w:val="21"/>
              </w:rPr>
              <w:t>在本附加合同生效</w:t>
            </w:r>
            <w:r>
              <w:rPr>
                <w:sz w:val="21"/>
              </w:rPr>
              <w:t>（或最后一次复效）之前、或者在本附加合同等待期内因意外伤害之外的原因导致初次发生本附加合同所规定的重大疾病；</w:t>
            </w:r>
          </w:p>
          <w:p>
            <w:pPr>
              <w:pStyle w:val="TableParagraph"/>
              <w:spacing w:before="59"/>
              <w:ind w:left="-29"/>
              <w:rPr>
                <w:sz w:val="21"/>
              </w:rPr>
            </w:pPr>
            <w:r>
              <w:rPr>
                <w:sz w:val="21"/>
              </w:rPr>
              <w:t>（二） 被保险人在等待期内因意外伤害之外的原因导致全残。</w:t>
            </w:r>
          </w:p>
          <w:p>
            <w:pPr>
              <w:pStyle w:val="TableParagraph"/>
              <w:spacing w:line="237" w:lineRule="auto" w:before="61"/>
              <w:ind w:left="-29" w:right="301"/>
              <w:jc w:val="both"/>
              <w:rPr>
                <w:sz w:val="21"/>
              </w:rPr>
            </w:pPr>
            <w:r>
              <w:rPr>
                <w:sz w:val="21"/>
              </w:rPr>
              <w:t>如果被保险人在本附加合同等待期内因意外伤害之外的原因导致身故，本附加合同效</w:t>
            </w:r>
            <w:r>
              <w:rPr>
                <w:spacing w:val="-10"/>
                <w:sz w:val="21"/>
              </w:rPr>
              <w:t>力终止，本附加合同累计已支付的全部保险费将作为被保险人的遗产，由我方按照《中华人民共和国继承法》的规定处理。</w:t>
            </w:r>
          </w:p>
          <w:p>
            <w:pPr>
              <w:pStyle w:val="TableParagraph"/>
              <w:spacing w:line="274" w:lineRule="exact" w:before="60"/>
              <w:ind w:left="-29"/>
              <w:rPr>
                <w:b/>
                <w:sz w:val="21"/>
              </w:rPr>
            </w:pPr>
            <w:r>
              <w:rPr>
                <w:b/>
                <w:w w:val="99"/>
                <w:sz w:val="21"/>
              </w:rPr>
              <w:t>本附加合同的等待期为本附加合同生效之日</w:t>
            </w:r>
            <w:r>
              <w:rPr>
                <w:b/>
                <w:spacing w:val="-45"/>
                <w:sz w:val="21"/>
              </w:rPr>
              <w:t> </w:t>
            </w:r>
            <w:r>
              <w:rPr>
                <w:b/>
                <w:spacing w:val="0"/>
                <w:w w:val="99"/>
                <w:sz w:val="21"/>
              </w:rPr>
              <w:t>2</w:t>
            </w:r>
            <w:r>
              <w:rPr>
                <w:b/>
                <w:w w:val="99"/>
                <w:sz w:val="21"/>
              </w:rPr>
              <w:t>4</w:t>
            </w:r>
            <w:r>
              <w:rPr>
                <w:b/>
                <w:spacing w:val="-45"/>
                <w:sz w:val="21"/>
              </w:rPr>
              <w:t> </w:t>
            </w:r>
            <w:r>
              <w:rPr>
                <w:b/>
                <w:w w:val="99"/>
                <w:sz w:val="21"/>
              </w:rPr>
              <w:t>时起</w:t>
            </w:r>
            <w:r>
              <w:rPr>
                <w:b/>
                <w:spacing w:val="-44"/>
                <w:sz w:val="21"/>
              </w:rPr>
              <w:t> </w:t>
            </w:r>
            <w:r>
              <w:rPr>
                <w:b/>
                <w:w w:val="99"/>
                <w:sz w:val="21"/>
              </w:rPr>
              <w:t>1</w:t>
            </w:r>
            <w:r>
              <w:rPr>
                <w:b/>
                <w:spacing w:val="0"/>
                <w:w w:val="99"/>
                <w:sz w:val="21"/>
              </w:rPr>
              <w:t>8</w:t>
            </w:r>
            <w:r>
              <w:rPr>
                <w:b/>
                <w:w w:val="99"/>
                <w:sz w:val="21"/>
              </w:rPr>
              <w:t>0</w:t>
            </w:r>
            <w:r>
              <w:rPr>
                <w:b/>
                <w:spacing w:val="-45"/>
                <w:sz w:val="21"/>
              </w:rPr>
              <w:t> </w:t>
            </w:r>
            <w:r>
              <w:rPr>
                <w:b/>
                <w:w w:val="99"/>
                <w:sz w:val="21"/>
              </w:rPr>
              <w:t>天内</w:t>
            </w:r>
            <w:r>
              <w:rPr>
                <w:b/>
                <w:spacing w:val="0"/>
                <w:w w:val="99"/>
                <w:sz w:val="21"/>
              </w:rPr>
              <w:t>（</w:t>
            </w:r>
            <w:r>
              <w:rPr>
                <w:b/>
                <w:w w:val="99"/>
                <w:sz w:val="21"/>
              </w:rPr>
              <w:t>含第</w:t>
            </w:r>
            <w:r>
              <w:rPr>
                <w:b/>
                <w:spacing w:val="-45"/>
                <w:sz w:val="21"/>
              </w:rPr>
              <w:t> </w:t>
            </w:r>
            <w:r>
              <w:rPr>
                <w:b/>
                <w:w w:val="99"/>
                <w:sz w:val="21"/>
              </w:rPr>
              <w:t>180</w:t>
            </w:r>
            <w:r>
              <w:rPr>
                <w:b/>
                <w:spacing w:val="-43"/>
                <w:sz w:val="21"/>
              </w:rPr>
              <w:t> </w:t>
            </w:r>
            <w:r>
              <w:rPr>
                <w:b/>
                <w:spacing w:val="0"/>
                <w:w w:val="99"/>
                <w:sz w:val="21"/>
              </w:rPr>
              <w:t>天</w:t>
            </w:r>
            <w:r>
              <w:rPr>
                <w:b/>
                <w:spacing w:val="-105"/>
                <w:w w:val="99"/>
                <w:sz w:val="21"/>
              </w:rPr>
              <w:t>）</w:t>
            </w:r>
            <w:r>
              <w:rPr>
                <w:b/>
                <w:w w:val="99"/>
                <w:sz w:val="21"/>
              </w:rPr>
              <w:t>；如果本</w:t>
            </w:r>
          </w:p>
          <w:p>
            <w:pPr>
              <w:pStyle w:val="TableParagraph"/>
              <w:spacing w:line="237" w:lineRule="auto" w:before="1"/>
              <w:ind w:left="-29" w:right="302"/>
              <w:rPr>
                <w:b/>
                <w:sz w:val="21"/>
              </w:rPr>
            </w:pPr>
            <w:r>
              <w:rPr>
                <w:b/>
                <w:spacing w:val="-5"/>
                <w:sz w:val="21"/>
              </w:rPr>
              <w:t>附加合同曾一次或多次复效，则自每次复效之日 </w:t>
            </w:r>
            <w:r>
              <w:rPr>
                <w:b/>
                <w:sz w:val="21"/>
              </w:rPr>
              <w:t>24</w:t>
            </w:r>
            <w:r>
              <w:rPr>
                <w:b/>
                <w:spacing w:val="-29"/>
                <w:sz w:val="21"/>
              </w:rPr>
              <w:t> 时起 </w:t>
            </w:r>
            <w:r>
              <w:rPr>
                <w:b/>
                <w:sz w:val="21"/>
              </w:rPr>
              <w:t>180</w:t>
            </w:r>
            <w:r>
              <w:rPr>
                <w:b/>
                <w:spacing w:val="-24"/>
                <w:sz w:val="21"/>
              </w:rPr>
              <w:t> 天内</w:t>
            </w:r>
            <w:r>
              <w:rPr>
                <w:b/>
                <w:sz w:val="21"/>
              </w:rPr>
              <w:t>（</w:t>
            </w:r>
            <w:r>
              <w:rPr>
                <w:b/>
                <w:spacing w:val="-19"/>
                <w:sz w:val="21"/>
              </w:rPr>
              <w:t>含第 </w:t>
            </w:r>
            <w:r>
              <w:rPr>
                <w:b/>
                <w:sz w:val="21"/>
              </w:rPr>
              <w:t>180</w:t>
            </w:r>
            <w:r>
              <w:rPr>
                <w:b/>
                <w:spacing w:val="-28"/>
                <w:sz w:val="21"/>
              </w:rPr>
              <w:t> 天</w:t>
            </w:r>
            <w:r>
              <w:rPr>
                <w:b/>
                <w:spacing w:val="-17"/>
                <w:sz w:val="21"/>
              </w:rPr>
              <w:t>）</w:t>
            </w:r>
            <w:r>
              <w:rPr>
                <w:b/>
                <w:sz w:val="21"/>
              </w:rPr>
              <w:t>也均</w:t>
            </w:r>
            <w:r>
              <w:rPr>
                <w:b/>
                <w:w w:val="95"/>
                <w:sz w:val="21"/>
              </w:rPr>
              <w:t>为等待期。</w:t>
            </w:r>
          </w:p>
        </w:tc>
      </w:tr>
      <w:tr>
        <w:trPr>
          <w:trHeight w:val="2639" w:hRule="atLeast"/>
        </w:trPr>
        <w:tc>
          <w:tcPr>
            <w:tcW w:w="572" w:type="dxa"/>
          </w:tcPr>
          <w:p>
            <w:pPr>
              <w:pStyle w:val="TableParagraph"/>
              <w:spacing w:before="148"/>
              <w:ind w:left="200"/>
              <w:rPr>
                <w:b/>
                <w:sz w:val="21"/>
              </w:rPr>
            </w:pPr>
            <w:r>
              <w:rPr>
                <w:b/>
                <w:sz w:val="21"/>
              </w:rPr>
              <w:t>5.</w:t>
            </w:r>
          </w:p>
        </w:tc>
        <w:tc>
          <w:tcPr>
            <w:tcW w:w="1757" w:type="dxa"/>
          </w:tcPr>
          <w:p>
            <w:pPr>
              <w:pStyle w:val="TableParagraph"/>
              <w:spacing w:before="148"/>
              <w:ind w:left="161"/>
              <w:rPr>
                <w:b/>
                <w:sz w:val="21"/>
              </w:rPr>
            </w:pPr>
            <w:r>
              <w:rPr>
                <w:b/>
                <w:sz w:val="21"/>
              </w:rPr>
              <w:t>责任免除</w:t>
            </w:r>
          </w:p>
        </w:tc>
        <w:tc>
          <w:tcPr>
            <w:tcW w:w="8132" w:type="dxa"/>
            <w:tcBorders>
              <w:bottom w:val="single" w:sz="6" w:space="0" w:color="000000"/>
            </w:tcBorders>
          </w:tcPr>
          <w:p>
            <w:pPr>
              <w:pStyle w:val="TableParagraph"/>
              <w:spacing w:line="237" w:lineRule="auto" w:before="151"/>
              <w:ind w:left="1" w:right="300"/>
              <w:rPr>
                <w:b/>
                <w:sz w:val="21"/>
              </w:rPr>
            </w:pPr>
            <w:r>
              <w:rPr>
                <w:b/>
                <w:sz w:val="21"/>
                <w:u w:val="single"/>
              </w:rPr>
              <w:t>因在下列情形发生期间或者因下列情形导致被保险人身故、全残或患有重大疾病的， </w:t>
            </w:r>
            <w:r>
              <w:rPr>
                <w:b/>
                <w:w w:val="95"/>
                <w:sz w:val="21"/>
                <w:u w:val="single"/>
              </w:rPr>
              <w:t>我方将不承担豁免保险费的责任：</w:t>
            </w:r>
          </w:p>
          <w:p>
            <w:pPr>
              <w:pStyle w:val="TableParagraph"/>
              <w:spacing w:before="59"/>
              <w:ind w:left="1"/>
              <w:rPr>
                <w:b/>
                <w:sz w:val="21"/>
              </w:rPr>
            </w:pPr>
            <w:r>
              <w:rPr>
                <w:b/>
                <w:w w:val="95"/>
                <w:sz w:val="21"/>
                <w:u w:val="single"/>
              </w:rPr>
              <w:t>一、被保险人故意犯罪、抗拒依法采取的刑事强制措施；</w:t>
            </w:r>
            <w:r>
              <w:rPr>
                <w:b/>
                <w:sz w:val="21"/>
                <w:u w:val="single"/>
              </w:rPr>
              <w:t> </w:t>
            </w:r>
          </w:p>
          <w:p>
            <w:pPr>
              <w:pStyle w:val="TableParagraph"/>
              <w:spacing w:line="292" w:lineRule="auto" w:before="58"/>
              <w:ind w:left="1" w:right="1806"/>
              <w:rPr>
                <w:b/>
                <w:sz w:val="21"/>
              </w:rPr>
            </w:pPr>
            <w:r>
              <w:rPr>
                <w:b/>
                <w:w w:val="95"/>
                <w:sz w:val="21"/>
                <w:u w:val="single"/>
              </w:rPr>
              <w:t>二、主合同被保险人对本附加合同被保险人的故意杀害、故意伤害；  </w:t>
            </w:r>
            <w:r>
              <w:rPr>
                <w:b/>
                <w:spacing w:val="-4"/>
                <w:sz w:val="21"/>
              </w:rPr>
              <w:t>三、被保险人精神和行为障碍 </w:t>
            </w:r>
            <w:hyperlink w:history="true" w:anchor="_bookmark4">
              <w:r>
                <w:rPr>
                  <w:b/>
                  <w:position w:val="11"/>
                  <w:sz w:val="11"/>
                </w:rPr>
                <w:t>7</w:t>
              </w:r>
            </w:hyperlink>
            <w:r>
              <w:rPr>
                <w:b/>
                <w:sz w:val="21"/>
              </w:rPr>
              <w:t>；</w:t>
            </w:r>
          </w:p>
          <w:p>
            <w:pPr>
              <w:pStyle w:val="TableParagraph"/>
              <w:spacing w:line="237" w:lineRule="auto" w:before="11"/>
              <w:ind w:left="1" w:right="298"/>
              <w:rPr>
                <w:b/>
                <w:sz w:val="21"/>
              </w:rPr>
            </w:pPr>
            <w:r>
              <w:rPr>
                <w:b/>
                <w:sz w:val="21"/>
                <w:u w:val="single"/>
              </w:rPr>
              <w:t>四、被保险人在本附加合同生效（或最后一次复效）之日起两年内自杀，但被保险人</w:t>
            </w:r>
            <w:r>
              <w:rPr>
                <w:b/>
                <w:spacing w:val="-206"/>
                <w:sz w:val="21"/>
                <w:u w:val="single"/>
              </w:rPr>
              <w:t>自</w:t>
            </w:r>
            <w:r>
              <w:rPr>
                <w:b/>
                <w:w w:val="95"/>
                <w:sz w:val="21"/>
                <w:u w:val="single"/>
              </w:rPr>
              <w:t>杀时为无民事行为能力人的除外；被保险人自我伤害；</w:t>
            </w:r>
          </w:p>
          <w:p>
            <w:pPr>
              <w:pStyle w:val="TableParagraph"/>
              <w:spacing w:line="254" w:lineRule="exact" w:before="59"/>
              <w:ind w:left="1"/>
              <w:rPr>
                <w:b/>
                <w:sz w:val="21"/>
              </w:rPr>
            </w:pPr>
            <w:r>
              <w:rPr>
                <w:b/>
                <w:sz w:val="21"/>
              </w:rPr>
              <w:t>五、被保险人酒后驾驶 </w:t>
            </w:r>
            <w:hyperlink w:history="true" w:anchor="_bookmark4">
              <w:r>
                <w:rPr>
                  <w:b/>
                  <w:position w:val="11"/>
                  <w:sz w:val="11"/>
                </w:rPr>
                <w:t>8</w:t>
              </w:r>
            </w:hyperlink>
            <w:r>
              <w:rPr>
                <w:b/>
                <w:sz w:val="21"/>
              </w:rPr>
              <w:t>、无合法有效驾驶证驾驶 </w:t>
            </w:r>
            <w:hyperlink w:history="true" w:anchor="_bookmark4">
              <w:r>
                <w:rPr>
                  <w:b/>
                  <w:position w:val="11"/>
                  <w:sz w:val="11"/>
                </w:rPr>
                <w:t>9</w:t>
              </w:r>
            </w:hyperlink>
            <w:r>
              <w:rPr>
                <w:b/>
                <w:sz w:val="21"/>
              </w:rPr>
              <w:t>，或驾驶无有效行驶证 </w:t>
            </w:r>
            <w:hyperlink w:history="true" w:anchor="_bookmark5">
              <w:r>
                <w:rPr>
                  <w:b/>
                  <w:position w:val="11"/>
                  <w:sz w:val="11"/>
                </w:rPr>
                <w:t>10</w:t>
              </w:r>
            </w:hyperlink>
            <w:r>
              <w:rPr>
                <w:b/>
                <w:sz w:val="21"/>
              </w:rPr>
              <w:t>的机动车；</w:t>
            </w:r>
          </w:p>
        </w:tc>
      </w:tr>
    </w:tbl>
    <w:p>
      <w:pPr>
        <w:pStyle w:val="BodyText"/>
        <w:rPr>
          <w:sz w:val="19"/>
        </w:rPr>
      </w:pPr>
      <w:r>
        <w:rPr/>
        <w:pict>
          <v:line style="position:absolute;mso-position-horizontal-relative:page;mso-position-vertical-relative:paragraph;z-index:1192;mso-wrap-distance-left:0;mso-wrap-distance-right:0" from="48.18pt,14.73pt" to="547.081pt,14.73pt" stroked="true" strokeweight=".54pt" strokecolor="#000000">
            <v:stroke dashstyle="solid"/>
            <w10:wrap type="topAndBottom"/>
          </v:line>
        </w:pict>
      </w:r>
      <w:r>
        <w:rPr/>
        <w:pict>
          <v:group style="position:absolute;margin-left:154.679993pt;margin-top:370.559998pt;width:153.5pt;height:.550pt;mso-position-horizontal-relative:page;mso-position-vertical-relative:page;z-index:-15424" coordorigin="3094,7411" coordsize="3070,11">
            <v:shape style="position:absolute;left:3093;top:7416;width:2793;height:2" coordorigin="3094,7417" coordsize="2793,0" path="m3094,7417l3516,7417m3516,7417l5886,7417e" filled="false" stroked="true" strokeweight=".54pt" strokecolor="#000000">
              <v:path arrowok="t"/>
              <v:stroke dashstyle="solid"/>
            </v:shape>
            <v:rect style="position:absolute;left:5895;top:7411;width:57;height:11" filled="true" fillcolor="#000000" stroked="false">
              <v:fill type="solid"/>
            </v:rect>
            <v:line style="position:absolute" from="5952,7417" to="6163,7417" stroked="true" strokeweight=".54pt" strokecolor="#000000">
              <v:stroke dashstyle="solid"/>
            </v:line>
            <w10:wrap type="none"/>
          </v:group>
        </w:pict>
      </w:r>
    </w:p>
    <w:p>
      <w:pPr>
        <w:pStyle w:val="BodyText"/>
        <w:spacing w:line="283" w:lineRule="auto" w:before="14"/>
        <w:ind w:left="303" w:right="537"/>
      </w:pPr>
      <w:bookmarkStart w:name="_bookmark4" w:id="5"/>
      <w:bookmarkEnd w:id="5"/>
      <w:r>
        <w:rPr/>
      </w:r>
      <w:r>
        <w:rPr>
          <w:rFonts w:ascii="Microsoft JhengHei" w:eastAsia="Microsoft JhengHei" w:hint="eastAsia"/>
          <w:b/>
          <w:position w:val="5"/>
          <w:sz w:val="14"/>
        </w:rPr>
        <w:t>4 </w:t>
      </w:r>
      <w:r>
        <w:rPr>
          <w:rFonts w:ascii="Microsoft JhengHei" w:eastAsia="Microsoft JhengHei" w:hint="eastAsia"/>
          <w:b/>
        </w:rPr>
        <w:t>首次确诊：</w:t>
      </w:r>
      <w:r>
        <w:rPr/>
        <w:t>指被保险人自出生之日起第一次被明确诊断患有本附加合同所规定的某种疾病，而不是指自本附加合同等待期后的第一次被明确诊断患有本附加合同所规定的重大疾病。</w:t>
      </w:r>
    </w:p>
    <w:p>
      <w:pPr>
        <w:pStyle w:val="BodyText"/>
        <w:spacing w:line="366" w:lineRule="exact" w:before="5"/>
        <w:ind w:left="303" w:right="555"/>
      </w:pPr>
      <w:r>
        <w:rPr>
          <w:rFonts w:ascii="Times New Roman" w:eastAsia="Times New Roman"/>
          <w:position w:val="8"/>
          <w:sz w:val="12"/>
        </w:rPr>
        <w:t>5 </w:t>
      </w:r>
      <w:r>
        <w:rPr>
          <w:rFonts w:ascii="Microsoft JhengHei" w:eastAsia="Microsoft JhengHei" w:hint="eastAsia"/>
          <w:b/>
        </w:rPr>
        <w:t>意外伤害：</w:t>
      </w:r>
      <w:r>
        <w:rPr/>
        <w:t>指以外来的、突发的、不可预见的、非本意的和非疾病的客观事件为直接且单独的原因致使身体受到的伤害。</w:t>
      </w:r>
    </w:p>
    <w:p>
      <w:pPr>
        <w:pStyle w:val="BodyText"/>
        <w:spacing w:line="345" w:lineRule="exact"/>
        <w:ind w:left="303"/>
      </w:pPr>
      <w:r>
        <w:rPr>
          <w:rFonts w:ascii="Microsoft JhengHei" w:eastAsia="Microsoft JhengHei" w:hint="eastAsia"/>
          <w:b/>
          <w:w w:val="93"/>
          <w:position w:val="5"/>
          <w:sz w:val="14"/>
        </w:rPr>
        <w:t>6</w:t>
      </w:r>
      <w:r>
        <w:rPr>
          <w:rFonts w:ascii="Microsoft JhengHei" w:eastAsia="Microsoft JhengHei" w:hint="eastAsia"/>
          <w:b/>
          <w:position w:val="5"/>
          <w:sz w:val="14"/>
        </w:rPr>
        <w:t>  </w:t>
      </w:r>
      <w:r>
        <w:rPr>
          <w:rFonts w:ascii="Microsoft JhengHei" w:eastAsia="Microsoft JhengHei" w:hint="eastAsia"/>
          <w:b/>
        </w:rPr>
        <w:t>全残：</w:t>
      </w:r>
      <w:r>
        <w:rPr>
          <w:spacing w:val="-14"/>
        </w:rPr>
        <w:t>指下列 </w:t>
      </w:r>
      <w:r>
        <w:rPr>
          <w:rFonts w:ascii="Microsoft JhengHei" w:eastAsia="Microsoft JhengHei" w:hint="eastAsia"/>
          <w:w w:val="95"/>
        </w:rPr>
        <w:t>8</w:t>
      </w:r>
      <w:r>
        <w:rPr>
          <w:rFonts w:ascii="Microsoft JhengHei" w:eastAsia="Microsoft JhengHei" w:hint="eastAsia"/>
          <w:spacing w:val="-1"/>
        </w:rPr>
        <w:t> </w:t>
      </w:r>
      <w:r>
        <w:rPr>
          <w:spacing w:val="-15"/>
        </w:rPr>
        <w:t>种情况之一者：</w:t>
      </w:r>
      <w:r>
        <w:rPr/>
        <w:t>（</w:t>
      </w:r>
      <w:r>
        <w:rPr>
          <w:rFonts w:ascii="Microsoft JhengHei" w:eastAsia="Microsoft JhengHei" w:hint="eastAsia"/>
          <w:spacing w:val="-1"/>
          <w:w w:val="95"/>
        </w:rPr>
        <w:t>1</w:t>
      </w:r>
      <w:r>
        <w:rPr/>
        <w:t>）双目永久完全失明的</w:t>
      </w:r>
      <w:r>
        <w:rPr>
          <w:rFonts w:ascii="Microsoft JhengHei" w:eastAsia="Microsoft JhengHei" w:hint="eastAsia"/>
          <w:spacing w:val="-1"/>
          <w:w w:val="103"/>
        </w:rPr>
        <w:t>(</w:t>
      </w:r>
      <w:r>
        <w:rPr>
          <w:spacing w:val="-27"/>
        </w:rPr>
        <w:t>注 </w:t>
      </w:r>
      <w:r>
        <w:rPr>
          <w:rFonts w:ascii="Microsoft JhengHei" w:eastAsia="Microsoft JhengHei" w:hint="eastAsia"/>
          <w:spacing w:val="-1"/>
          <w:w w:val="98"/>
        </w:rPr>
        <w:t>1)</w:t>
      </w:r>
      <w:r>
        <w:rPr>
          <w:spacing w:val="-105"/>
        </w:rPr>
        <w:t>；</w:t>
      </w:r>
      <w:r>
        <w:rPr/>
        <w:t>（</w:t>
      </w:r>
      <w:r>
        <w:rPr>
          <w:rFonts w:ascii="Microsoft JhengHei" w:eastAsia="Microsoft JhengHei" w:hint="eastAsia"/>
          <w:spacing w:val="-1"/>
          <w:w w:val="95"/>
        </w:rPr>
        <w:t>2</w:t>
      </w:r>
      <w:r>
        <w:rPr/>
        <w:t>）两上肢腕关节以上或两下肢踝关节</w:t>
      </w:r>
    </w:p>
    <w:p>
      <w:pPr>
        <w:pStyle w:val="BodyText"/>
        <w:ind w:left="303" w:right="404"/>
      </w:pPr>
      <w:r>
        <w:rPr>
          <w:spacing w:val="-19"/>
        </w:rPr>
        <w:t>以上缺失的；</w:t>
      </w:r>
      <w:r>
        <w:rPr/>
        <w:t>（</w:t>
      </w:r>
      <w:r>
        <w:rPr>
          <w:rFonts w:ascii="Microsoft JhengHei" w:eastAsia="Microsoft JhengHei" w:hint="eastAsia"/>
          <w:spacing w:val="-1"/>
          <w:w w:val="95"/>
        </w:rPr>
        <w:t>3</w:t>
      </w:r>
      <w:r>
        <w:rPr>
          <w:spacing w:val="-7"/>
        </w:rPr>
        <w:t>）</w:t>
      </w:r>
      <w:r>
        <w:rPr/>
        <w:t>一上肢腕关节以上及一下肢踝关节以上缺失的</w:t>
      </w:r>
      <w:r>
        <w:rPr>
          <w:spacing w:val="-111"/>
        </w:rPr>
        <w:t>；</w:t>
      </w:r>
      <w:r>
        <w:rPr/>
        <w:t>（</w:t>
      </w:r>
      <w:r>
        <w:rPr>
          <w:rFonts w:ascii="Microsoft JhengHei" w:eastAsia="Microsoft JhengHei" w:hint="eastAsia"/>
          <w:spacing w:val="-1"/>
          <w:w w:val="95"/>
        </w:rPr>
        <w:t>4</w:t>
      </w:r>
      <w:r>
        <w:rPr>
          <w:spacing w:val="-7"/>
        </w:rPr>
        <w:t>）</w:t>
      </w:r>
      <w:r>
        <w:rPr/>
        <w:t>一目永久完全失明及一上肢腕关节以上缺失的</w:t>
      </w:r>
      <w:r>
        <w:rPr>
          <w:spacing w:val="-153"/>
        </w:rPr>
        <w:t>；</w:t>
      </w:r>
      <w:r>
        <w:rPr/>
        <w:t>（</w:t>
      </w:r>
      <w:r>
        <w:rPr>
          <w:rFonts w:ascii="Microsoft JhengHei" w:eastAsia="Microsoft JhengHei" w:hint="eastAsia"/>
          <w:spacing w:val="-1"/>
          <w:w w:val="95"/>
        </w:rPr>
        <w:t>5</w:t>
      </w:r>
      <w:r>
        <w:rPr>
          <w:spacing w:val="-49"/>
        </w:rPr>
        <w:t>）</w:t>
      </w:r>
      <w:r>
        <w:rPr/>
        <w:t>一目永久完全失明及一下肢踝关节以上缺失的</w:t>
      </w:r>
      <w:r>
        <w:rPr>
          <w:spacing w:val="-154"/>
        </w:rPr>
        <w:t>；</w:t>
      </w:r>
      <w:r>
        <w:rPr/>
        <w:t>（</w:t>
      </w:r>
      <w:r>
        <w:rPr>
          <w:rFonts w:ascii="Microsoft JhengHei" w:eastAsia="Microsoft JhengHei" w:hint="eastAsia"/>
          <w:spacing w:val="-1"/>
          <w:w w:val="95"/>
        </w:rPr>
        <w:t>6</w:t>
      </w:r>
      <w:r>
        <w:rPr>
          <w:spacing w:val="-49"/>
        </w:rPr>
        <w:t>）</w:t>
      </w:r>
      <w:r>
        <w:rPr/>
        <w:t>四肢关节机能永久完全丧失的</w:t>
      </w:r>
      <w:r>
        <w:rPr>
          <w:rFonts w:ascii="Microsoft JhengHei" w:eastAsia="Microsoft JhengHei" w:hint="eastAsia"/>
          <w:spacing w:val="-1"/>
          <w:w w:val="103"/>
        </w:rPr>
        <w:t>(</w:t>
      </w:r>
      <w:r>
        <w:rPr>
          <w:spacing w:val="-27"/>
        </w:rPr>
        <w:t>注 </w:t>
      </w:r>
      <w:r>
        <w:rPr>
          <w:rFonts w:ascii="Microsoft JhengHei" w:eastAsia="Microsoft JhengHei" w:hint="eastAsia"/>
          <w:spacing w:val="-1"/>
          <w:w w:val="98"/>
        </w:rPr>
        <w:t>2)</w:t>
      </w:r>
      <w:r>
        <w:rPr>
          <w:spacing w:val="-153"/>
        </w:rPr>
        <w:t>；</w:t>
      </w:r>
      <w:r>
        <w:rPr/>
        <w:t>（</w:t>
      </w:r>
      <w:r>
        <w:rPr>
          <w:rFonts w:ascii="Microsoft JhengHei" w:eastAsia="Microsoft JhengHei" w:hint="eastAsia"/>
          <w:spacing w:val="-1"/>
          <w:w w:val="95"/>
        </w:rPr>
        <w:t>7</w:t>
      </w:r>
      <w:r>
        <w:rPr/>
        <w:t>）咀嚼、吞咽机能永久完全丧失的</w:t>
      </w:r>
      <w:r>
        <w:rPr>
          <w:rFonts w:ascii="Microsoft JhengHei" w:eastAsia="Microsoft JhengHei" w:hint="eastAsia"/>
          <w:spacing w:val="-1"/>
          <w:w w:val="103"/>
        </w:rPr>
        <w:t>(</w:t>
      </w:r>
      <w:r>
        <w:rPr>
          <w:spacing w:val="-27"/>
        </w:rPr>
        <w:t>注 </w:t>
      </w:r>
      <w:r>
        <w:rPr>
          <w:rFonts w:ascii="Microsoft JhengHei" w:eastAsia="Microsoft JhengHei" w:hint="eastAsia"/>
          <w:spacing w:val="-1"/>
          <w:w w:val="98"/>
        </w:rPr>
        <w:t>3)</w:t>
      </w:r>
      <w:r>
        <w:rPr>
          <w:spacing w:val="-105"/>
        </w:rPr>
        <w:t>；</w:t>
      </w:r>
      <w:r>
        <w:rPr/>
        <w:t>（</w:t>
      </w:r>
      <w:r>
        <w:rPr>
          <w:rFonts w:ascii="Microsoft JhengHei" w:eastAsia="Microsoft JhengHei" w:hint="eastAsia"/>
          <w:spacing w:val="-1"/>
          <w:w w:val="95"/>
        </w:rPr>
        <w:t>8</w:t>
      </w:r>
      <w:r>
        <w:rPr/>
        <w:t>）中枢神经系统或机能或胸、腹部脏器机能极度障碍，终身不能 </w:t>
      </w:r>
      <w:r>
        <w:rPr>
          <w:spacing w:val="-3"/>
        </w:rPr>
        <w:t>从事任何工作，为维持生命必要的日常生活活动，全需他人扶助的</w:t>
      </w:r>
      <w:r>
        <w:rPr>
          <w:rFonts w:ascii="Microsoft JhengHei" w:eastAsia="Microsoft JhengHei" w:hint="eastAsia"/>
        </w:rPr>
        <w:t>(</w:t>
      </w:r>
      <w:r>
        <w:rPr>
          <w:spacing w:val="-28"/>
        </w:rPr>
        <w:t>注 </w:t>
      </w:r>
      <w:r>
        <w:rPr>
          <w:rFonts w:ascii="Microsoft JhengHei" w:eastAsia="Microsoft JhengHei" w:hint="eastAsia"/>
        </w:rPr>
        <w:t>4)</w:t>
      </w:r>
      <w:r>
        <w:rPr>
          <w:spacing w:val="-10"/>
        </w:rPr>
        <w:t>。</w:t>
      </w:r>
      <w:r>
        <w:rPr>
          <w:rFonts w:ascii="Microsoft JhengHei" w:eastAsia="Microsoft JhengHei" w:hint="eastAsia"/>
          <w:b/>
          <w:spacing w:val="-2"/>
        </w:rPr>
        <w:t>注：</w:t>
      </w:r>
      <w:r>
        <w:rPr>
          <w:rFonts w:ascii="Microsoft JhengHei" w:eastAsia="Microsoft JhengHei" w:hint="eastAsia"/>
          <w:spacing w:val="-3"/>
        </w:rPr>
        <w:t>(1)</w:t>
      </w:r>
      <w:r>
        <w:rPr/>
        <w:t>失明包括眼球缺失或摘除、</w:t>
      </w:r>
      <w:bookmarkStart w:name="_bookmark5" w:id="6"/>
      <w:bookmarkEnd w:id="6"/>
      <w:r>
        <w:rPr/>
      </w:r>
      <w:r>
        <w:rPr>
          <w:spacing w:val="-2"/>
        </w:rPr>
        <w:t>或不能辨别明暗、或仅能辨别眼前手动者。最佳矫正视力低于国际标准视力表 </w:t>
      </w:r>
      <w:r>
        <w:rPr>
          <w:rFonts w:ascii="Microsoft JhengHei" w:eastAsia="Microsoft JhengHei" w:hint="eastAsia"/>
        </w:rPr>
        <w:t>0.02</w:t>
      </w:r>
      <w:r>
        <w:rPr>
          <w:spacing w:val="-7"/>
        </w:rPr>
        <w:t>，或视野半径小于 </w:t>
      </w:r>
      <w:r>
        <w:rPr>
          <w:rFonts w:ascii="Microsoft JhengHei" w:eastAsia="Microsoft JhengHei" w:hint="eastAsia"/>
        </w:rPr>
        <w:t>5</w:t>
      </w:r>
      <w:r>
        <w:rPr>
          <w:rFonts w:ascii="Microsoft JhengHei" w:eastAsia="Microsoft JhengHei" w:hint="eastAsia"/>
          <w:spacing w:val="-4"/>
        </w:rPr>
        <w:t> </w:t>
      </w:r>
      <w:r>
        <w:rPr/>
        <w:t>度， </w:t>
      </w:r>
      <w:r>
        <w:rPr>
          <w:spacing w:val="-1"/>
        </w:rPr>
        <w:t>并由有资格的眼科医师出具医疗诊断证明。</w:t>
      </w:r>
      <w:r>
        <w:rPr>
          <w:rFonts w:ascii="Microsoft JhengHei" w:eastAsia="Microsoft JhengHei" w:hint="eastAsia"/>
        </w:rPr>
        <w:t>(2)</w:t>
      </w:r>
      <w:r>
        <w:rPr>
          <w:spacing w:val="-2"/>
        </w:rPr>
        <w:t>关节机能的丧失是指关节永久完全僵硬、或麻痹、或关节不能</w:t>
      </w:r>
      <w:r>
        <w:rPr>
          <w:spacing w:val="-11"/>
        </w:rPr>
        <w:t>随意识活动。</w:t>
      </w:r>
      <w:r>
        <w:rPr>
          <w:rFonts w:ascii="Microsoft JhengHei" w:eastAsia="Microsoft JhengHei" w:hint="eastAsia"/>
        </w:rPr>
        <w:t>(3)</w:t>
      </w:r>
      <w:r>
        <w:rPr>
          <w:spacing w:val="-10"/>
        </w:rPr>
        <w:t>咀嚼、吞咽机能的丧失是指由于牙齿以外的原因引起器质障碍或机能障碍，以致不能作咀嚼、</w:t>
      </w:r>
      <w:r>
        <w:rPr>
          <w:spacing w:val="-5"/>
        </w:rPr>
        <w:t>吞咽运动，除流质食物外不能摄取或吞咽的状态。</w:t>
      </w:r>
      <w:r>
        <w:rPr>
          <w:rFonts w:ascii="Microsoft JhengHei" w:eastAsia="Microsoft JhengHei" w:hint="eastAsia"/>
        </w:rPr>
        <w:t>(4)</w:t>
      </w:r>
      <w:r>
        <w:rPr>
          <w:spacing w:val="-2"/>
        </w:rPr>
        <w:t>为维持生命必要之日常生活活动，全需他人扶助是指食</w:t>
      </w:r>
    </w:p>
    <w:p>
      <w:pPr>
        <w:pStyle w:val="BodyText"/>
        <w:spacing w:line="261" w:lineRule="auto" w:before="66"/>
        <w:ind w:left="303" w:right="405"/>
      </w:pPr>
      <w:r>
        <w:rPr/>
        <w:t>物摄取、大小便始末、穿脱衣服、起居、步行、入浴等，皆不能自理，需要他人帮助。所谓永久完全是指自</w:t>
      </w:r>
      <w:r>
        <w:rPr>
          <w:spacing w:val="-6"/>
        </w:rPr>
        <w:t>以上情况发生之日起经过 </w:t>
      </w:r>
      <w:r>
        <w:rPr>
          <w:rFonts w:ascii="Microsoft JhengHei" w:eastAsia="Microsoft JhengHei" w:hint="eastAsia"/>
        </w:rPr>
        <w:t>180 </w:t>
      </w:r>
      <w:r>
        <w:rPr>
          <w:spacing w:val="-12"/>
        </w:rPr>
        <w:t>天的治疗，机能仍然完全丧失，但眼球摘除等明显无法复原之情况，不在此限。</w:t>
      </w:r>
    </w:p>
    <w:p>
      <w:pPr>
        <w:spacing w:line="341" w:lineRule="exact" w:before="0"/>
        <w:ind w:left="303" w:right="0" w:firstLine="0"/>
        <w:jc w:val="left"/>
        <w:rPr>
          <w:sz w:val="21"/>
        </w:rPr>
      </w:pPr>
      <w:r>
        <w:rPr>
          <w:rFonts w:ascii="Microsoft JhengHei" w:eastAsia="Microsoft JhengHei" w:hint="eastAsia"/>
          <w:b/>
          <w:w w:val="93"/>
          <w:position w:val="5"/>
          <w:sz w:val="14"/>
        </w:rPr>
        <w:t>7</w:t>
      </w:r>
      <w:r>
        <w:rPr>
          <w:rFonts w:ascii="Microsoft JhengHei" w:eastAsia="Microsoft JhengHei" w:hint="eastAsia"/>
          <w:b/>
          <w:position w:val="5"/>
          <w:sz w:val="14"/>
        </w:rPr>
        <w:t>  </w:t>
      </w:r>
      <w:r>
        <w:rPr>
          <w:rFonts w:ascii="Microsoft JhengHei" w:eastAsia="Microsoft JhengHei" w:hint="eastAsia"/>
          <w:b/>
          <w:sz w:val="21"/>
        </w:rPr>
        <w:t>精神和行为障碍：</w:t>
      </w:r>
      <w:r>
        <w:rPr>
          <w:spacing w:val="-1"/>
          <w:sz w:val="21"/>
        </w:rPr>
        <w:t>以世界卫生组织颁布的《疾病和有关健康问题的国际统计分类（</w:t>
      </w:r>
      <w:r>
        <w:rPr>
          <w:rFonts w:ascii="Microsoft JhengHei" w:eastAsia="Microsoft JhengHei" w:hint="eastAsia"/>
          <w:w w:val="97"/>
          <w:sz w:val="21"/>
        </w:rPr>
        <w:t>I</w:t>
      </w:r>
      <w:r>
        <w:rPr>
          <w:rFonts w:ascii="Microsoft JhengHei" w:eastAsia="Microsoft JhengHei" w:hint="eastAsia"/>
          <w:spacing w:val="-1"/>
          <w:w w:val="101"/>
          <w:sz w:val="21"/>
        </w:rPr>
        <w:t>CD</w:t>
      </w:r>
      <w:r>
        <w:rPr>
          <w:rFonts w:ascii="Microsoft JhengHei" w:eastAsia="Microsoft JhengHei" w:hint="eastAsia"/>
          <w:spacing w:val="-1"/>
          <w:w w:val="77"/>
          <w:sz w:val="21"/>
        </w:rPr>
        <w:t>-</w:t>
      </w:r>
      <w:r>
        <w:rPr>
          <w:rFonts w:ascii="Microsoft JhengHei" w:eastAsia="Microsoft JhengHei" w:hint="eastAsia"/>
          <w:spacing w:val="-1"/>
          <w:w w:val="95"/>
          <w:sz w:val="21"/>
        </w:rPr>
        <w:t>10</w:t>
      </w:r>
      <w:r>
        <w:rPr>
          <w:spacing w:val="-105"/>
          <w:sz w:val="21"/>
        </w:rPr>
        <w:t>）</w:t>
      </w:r>
      <w:r>
        <w:rPr>
          <w:sz w:val="21"/>
        </w:rPr>
        <w:t>》为准。</w:t>
      </w:r>
    </w:p>
    <w:p>
      <w:pPr>
        <w:pStyle w:val="BodyText"/>
        <w:spacing w:line="283" w:lineRule="auto" w:before="1"/>
        <w:ind w:left="303" w:right="402" w:hanging="1"/>
      </w:pPr>
      <w:r>
        <w:rPr>
          <w:rFonts w:ascii="Microsoft JhengHei" w:eastAsia="Microsoft JhengHei" w:hint="eastAsia"/>
          <w:b/>
          <w:position w:val="5"/>
          <w:sz w:val="14"/>
        </w:rPr>
        <w:t>8</w:t>
      </w:r>
      <w:r>
        <w:rPr>
          <w:rFonts w:ascii="Microsoft JhengHei" w:eastAsia="Microsoft JhengHei" w:hint="eastAsia"/>
          <w:b/>
          <w:spacing w:val="31"/>
          <w:position w:val="5"/>
          <w:sz w:val="14"/>
        </w:rPr>
        <w:t> </w:t>
      </w:r>
      <w:r>
        <w:rPr>
          <w:rFonts w:ascii="Microsoft JhengHei" w:eastAsia="Microsoft JhengHei" w:hint="eastAsia"/>
          <w:b/>
          <w:spacing w:val="-8"/>
        </w:rPr>
        <w:t>酒后驾驶：</w:t>
      </w:r>
      <w:r>
        <w:rPr>
          <w:spacing w:val="-5"/>
        </w:rPr>
        <w:t>指经检测或鉴定，发生事故时车辆驾驶人员每百毫升血液中的酒精含量达到或超过一定的标准， 公安机关交通管理部门依据《道路交通安全法》的规定认定为饮酒后驾驶或醉酒后驾驶。</w:t>
      </w:r>
    </w:p>
    <w:p>
      <w:pPr>
        <w:spacing w:line="352" w:lineRule="exact" w:before="0"/>
        <w:ind w:left="303" w:right="0" w:firstLine="0"/>
        <w:jc w:val="left"/>
        <w:rPr>
          <w:sz w:val="21"/>
        </w:rPr>
      </w:pPr>
      <w:r>
        <w:rPr>
          <w:rFonts w:ascii="Microsoft JhengHei" w:eastAsia="Microsoft JhengHei" w:hint="eastAsia"/>
          <w:b/>
          <w:w w:val="93"/>
          <w:position w:val="5"/>
          <w:sz w:val="14"/>
        </w:rPr>
        <w:t>9</w:t>
      </w:r>
      <w:r>
        <w:rPr>
          <w:rFonts w:ascii="Microsoft JhengHei" w:eastAsia="Microsoft JhengHei" w:hint="eastAsia"/>
          <w:b/>
          <w:position w:val="5"/>
          <w:sz w:val="14"/>
        </w:rPr>
        <w:t>  </w:t>
      </w:r>
      <w:r>
        <w:rPr>
          <w:rFonts w:ascii="Microsoft JhengHei" w:eastAsia="Microsoft JhengHei" w:hint="eastAsia"/>
          <w:b/>
          <w:sz w:val="21"/>
        </w:rPr>
        <w:t>无合法有效驾驶证驾驶：</w:t>
      </w:r>
      <w:r>
        <w:rPr>
          <w:spacing w:val="-14"/>
          <w:sz w:val="21"/>
        </w:rPr>
        <w:t>指下列情形之一：</w:t>
      </w:r>
      <w:r>
        <w:rPr>
          <w:sz w:val="21"/>
        </w:rPr>
        <w:t>（</w:t>
      </w:r>
      <w:r>
        <w:rPr>
          <w:rFonts w:ascii="Microsoft JhengHei" w:eastAsia="Microsoft JhengHei" w:hint="eastAsia"/>
          <w:spacing w:val="-1"/>
          <w:w w:val="95"/>
          <w:sz w:val="21"/>
        </w:rPr>
        <w:t>1</w:t>
      </w:r>
      <w:r>
        <w:rPr>
          <w:sz w:val="21"/>
        </w:rPr>
        <w:t>）</w:t>
      </w:r>
      <w:r>
        <w:rPr>
          <w:spacing w:val="-12"/>
          <w:sz w:val="21"/>
        </w:rPr>
        <w:t>没有取得驾驶资格；</w:t>
      </w:r>
      <w:r>
        <w:rPr>
          <w:spacing w:val="-2"/>
          <w:sz w:val="21"/>
        </w:rPr>
        <w:t>（</w:t>
      </w:r>
      <w:r>
        <w:rPr>
          <w:rFonts w:ascii="Microsoft JhengHei" w:eastAsia="Microsoft JhengHei" w:hint="eastAsia"/>
          <w:spacing w:val="-1"/>
          <w:w w:val="95"/>
          <w:sz w:val="21"/>
        </w:rPr>
        <w:t>2</w:t>
      </w:r>
      <w:r>
        <w:rPr>
          <w:sz w:val="21"/>
        </w:rPr>
        <w:t>）驾驶与驾驶证准驾车型不相符合</w:t>
      </w:r>
    </w:p>
    <w:p>
      <w:pPr>
        <w:spacing w:after="0" w:line="352" w:lineRule="exact"/>
        <w:jc w:val="left"/>
        <w:rPr>
          <w:sz w:val="21"/>
        </w:rPr>
        <w:sectPr>
          <w:pgSz w:w="11910" w:h="16840"/>
          <w:pgMar w:header="0" w:footer="885" w:top="1120" w:bottom="1080" w:left="660" w:right="5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560"/>
        <w:gridCol w:w="8028"/>
      </w:tblGrid>
      <w:tr>
        <w:trPr>
          <w:trHeight w:val="2294" w:hRule="atLeast"/>
        </w:trPr>
        <w:tc>
          <w:tcPr>
            <w:tcW w:w="586"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8028" w:type="dxa"/>
          </w:tcPr>
          <w:p>
            <w:pPr>
              <w:pStyle w:val="TableParagraph"/>
              <w:spacing w:line="235" w:lineRule="exact"/>
              <w:ind w:left="92"/>
              <w:rPr>
                <w:b/>
                <w:sz w:val="21"/>
              </w:rPr>
            </w:pPr>
            <w:r>
              <w:rPr>
                <w:b/>
                <w:sz w:val="21"/>
              </w:rPr>
              <w:t>六、被保险人感染艾滋病病毒或患艾滋病 </w:t>
            </w:r>
            <w:hyperlink w:history="true" w:anchor="_bookmark6">
              <w:r>
                <w:rPr>
                  <w:b/>
                  <w:position w:val="11"/>
                  <w:sz w:val="11"/>
                </w:rPr>
                <w:t>11</w:t>
              </w:r>
            </w:hyperlink>
            <w:r>
              <w:rPr>
                <w:b/>
                <w:sz w:val="21"/>
              </w:rPr>
              <w:t>；</w:t>
            </w:r>
          </w:p>
          <w:p>
            <w:pPr>
              <w:pStyle w:val="TableParagraph"/>
              <w:spacing w:line="20" w:lineRule="exact"/>
              <w:ind w:left="86"/>
              <w:rPr>
                <w:sz w:val="2"/>
              </w:rPr>
            </w:pPr>
            <w:r>
              <w:rPr>
                <w:rFonts w:ascii="Times New Roman"/>
                <w:spacing w:val="2"/>
                <w:sz w:val="2"/>
              </w:rPr>
              <w:t> </w:t>
            </w:r>
            <w:r>
              <w:rPr>
                <w:spacing w:val="2"/>
                <w:sz w:val="2"/>
              </w:rPr>
              <w:pict>
                <v:group style="width:209pt;height:.550pt;mso-position-horizontal-relative:char;mso-position-vertical-relative:line" coordorigin="0,0" coordsize="4180,11">
                  <v:line style="position:absolute" from="0,5" to="1265,5" stroked="true" strokeweight=".54pt" strokecolor="#000000">
                    <v:stroke dashstyle="solid"/>
                  </v:line>
                  <v:line style="position:absolute" from="1265,5" to="3846,5" stroked="true" strokeweight=".54pt" strokecolor="#000000">
                    <v:stroke dashstyle="solid"/>
                  </v:line>
                  <v:rect style="position:absolute;left:3855;top:0;width:113;height:11" filled="true" fillcolor="#000000" stroked="false">
                    <v:fill type="solid"/>
                  </v:rect>
                  <v:line style="position:absolute" from="3968,5" to="4180,5" stroked="true" strokeweight=".54pt" strokecolor="#000000">
                    <v:stroke dashstyle="solid"/>
                  </v:line>
                </v:group>
              </w:pict>
            </w:r>
            <w:r>
              <w:rPr>
                <w:spacing w:val="2"/>
                <w:sz w:val="2"/>
              </w:rPr>
            </w:r>
          </w:p>
          <w:p>
            <w:pPr>
              <w:pStyle w:val="TableParagraph"/>
              <w:spacing w:line="290" w:lineRule="auto" w:before="39"/>
              <w:ind w:left="92" w:right="4140"/>
              <w:rPr>
                <w:b/>
                <w:sz w:val="21"/>
              </w:rPr>
            </w:pPr>
            <w:r>
              <w:rPr>
                <w:b/>
                <w:w w:val="95"/>
                <w:sz w:val="21"/>
                <w:u w:val="single"/>
              </w:rPr>
              <w:t>七、战争、军事冲突、暴乱或武装叛乱； 八、核爆炸、核辐射或核污染。</w:t>
            </w:r>
          </w:p>
          <w:p>
            <w:pPr>
              <w:pStyle w:val="TableParagraph"/>
              <w:spacing w:line="237" w:lineRule="auto" w:before="18"/>
              <w:ind w:left="62" w:right="3"/>
              <w:rPr>
                <w:b/>
                <w:sz w:val="21"/>
              </w:rPr>
            </w:pPr>
            <w:r>
              <w:rPr>
                <w:b/>
                <w:sz w:val="21"/>
                <w:u w:val="single"/>
              </w:rPr>
              <w:t>因上述情形被保险人身故的，本附加合同终止，本附加合同的现金价值扣除未还款项</w:t>
            </w:r>
            <w:r>
              <w:rPr>
                <w:b/>
                <w:w w:val="95"/>
                <w:sz w:val="21"/>
                <w:u w:val="single"/>
              </w:rPr>
              <w:t>后的余额将作为被保险人的遗产，由我方按照《中华人民共和国继承法》的规定处理。</w:t>
            </w:r>
          </w:p>
          <w:p>
            <w:pPr>
              <w:pStyle w:val="TableParagraph"/>
              <w:spacing w:line="237" w:lineRule="auto" w:before="62"/>
              <w:ind w:left="62" w:right="105"/>
              <w:rPr>
                <w:b/>
                <w:sz w:val="21"/>
              </w:rPr>
            </w:pPr>
            <w:r>
              <w:rPr>
                <w:b/>
                <w:sz w:val="21"/>
                <w:u w:val="single"/>
              </w:rPr>
              <w:t>因上述情形被保险人全残或患有重大疾病的，本附加合同终止，我方向您方退还本附</w:t>
            </w:r>
            <w:r>
              <w:rPr>
                <w:b/>
                <w:w w:val="95"/>
                <w:sz w:val="21"/>
                <w:u w:val="single"/>
              </w:rPr>
              <w:t>加合同的现金价值扣除未还款项后的余额。</w:t>
            </w:r>
          </w:p>
        </w:tc>
      </w:tr>
      <w:tr>
        <w:trPr>
          <w:trHeight w:val="482" w:hRule="atLeast"/>
        </w:trPr>
        <w:tc>
          <w:tcPr>
            <w:tcW w:w="586" w:type="dxa"/>
            <w:tcBorders>
              <w:bottom w:val="single" w:sz="4" w:space="0" w:color="000000"/>
            </w:tcBorders>
          </w:tcPr>
          <w:p>
            <w:pPr>
              <w:pStyle w:val="TableParagraph"/>
              <w:ind w:left="0"/>
              <w:rPr>
                <w:rFonts w:ascii="Times New Roman"/>
                <w:sz w:val="20"/>
              </w:rPr>
            </w:pPr>
          </w:p>
        </w:tc>
        <w:tc>
          <w:tcPr>
            <w:tcW w:w="1560" w:type="dxa"/>
            <w:tcBorders>
              <w:bottom w:val="single" w:sz="4" w:space="0" w:color="000000"/>
            </w:tcBorders>
          </w:tcPr>
          <w:p>
            <w:pPr>
              <w:pStyle w:val="TableParagraph"/>
              <w:ind w:left="0"/>
              <w:rPr>
                <w:rFonts w:ascii="Times New Roman"/>
                <w:sz w:val="20"/>
              </w:rPr>
            </w:pPr>
          </w:p>
        </w:tc>
        <w:tc>
          <w:tcPr>
            <w:tcW w:w="8028" w:type="dxa"/>
            <w:tcBorders>
              <w:bottom w:val="single" w:sz="4" w:space="0" w:color="000000"/>
            </w:tcBorders>
          </w:tcPr>
          <w:p>
            <w:pPr>
              <w:pStyle w:val="TableParagraph"/>
              <w:tabs>
                <w:tab w:pos="1781" w:val="left" w:leader="none"/>
              </w:tabs>
              <w:spacing w:before="112"/>
              <w:ind w:left="938"/>
              <w:rPr>
                <w:b/>
                <w:sz w:val="21"/>
              </w:rPr>
            </w:pPr>
            <w:r>
              <w:rPr>
                <w:b/>
                <w:sz w:val="21"/>
              </w:rPr>
              <w:t>第三章</w:t>
              <w:tab/>
            </w:r>
            <w:r>
              <w:rPr>
                <w:b/>
                <w:w w:val="95"/>
                <w:sz w:val="21"/>
              </w:rPr>
              <w:t>保险期间、基本保险金额及保险费</w:t>
            </w:r>
          </w:p>
        </w:tc>
      </w:tr>
      <w:tr>
        <w:trPr>
          <w:trHeight w:val="747" w:hRule="atLeast"/>
        </w:trPr>
        <w:tc>
          <w:tcPr>
            <w:tcW w:w="586" w:type="dxa"/>
            <w:tcBorders>
              <w:top w:val="single" w:sz="4" w:space="0" w:color="000000"/>
            </w:tcBorders>
          </w:tcPr>
          <w:p>
            <w:pPr>
              <w:pStyle w:val="TableParagraph"/>
              <w:spacing w:line="239" w:lineRule="exact"/>
              <w:rPr>
                <w:b/>
                <w:sz w:val="21"/>
              </w:rPr>
            </w:pPr>
            <w:r>
              <w:rPr>
                <w:b/>
                <w:sz w:val="21"/>
              </w:rPr>
              <w:t>6.</w:t>
            </w:r>
          </w:p>
        </w:tc>
        <w:tc>
          <w:tcPr>
            <w:tcW w:w="1560" w:type="dxa"/>
            <w:tcBorders>
              <w:top w:val="single" w:sz="4" w:space="0" w:color="000000"/>
            </w:tcBorders>
          </w:tcPr>
          <w:p>
            <w:pPr>
              <w:pStyle w:val="TableParagraph"/>
              <w:spacing w:line="239" w:lineRule="exact"/>
              <w:ind w:left="55"/>
              <w:rPr>
                <w:b/>
                <w:sz w:val="21"/>
              </w:rPr>
            </w:pPr>
            <w:r>
              <w:rPr>
                <w:b/>
                <w:sz w:val="21"/>
              </w:rPr>
              <w:t>保险期间</w:t>
            </w:r>
          </w:p>
        </w:tc>
        <w:tc>
          <w:tcPr>
            <w:tcW w:w="8028" w:type="dxa"/>
            <w:tcBorders>
              <w:top w:val="single" w:sz="4" w:space="0" w:color="000000"/>
            </w:tcBorders>
          </w:tcPr>
          <w:p>
            <w:pPr>
              <w:pStyle w:val="TableParagraph"/>
              <w:spacing w:line="238" w:lineRule="exact"/>
              <w:ind w:left="92"/>
              <w:rPr>
                <w:sz w:val="21"/>
              </w:rPr>
            </w:pPr>
            <w:r>
              <w:rPr>
                <w:sz w:val="21"/>
              </w:rPr>
              <w:t>本附加合同的保险期间同主合同的交费期间。除另有约定外，本附加合同的生效日期</w:t>
            </w:r>
          </w:p>
          <w:p>
            <w:pPr>
              <w:pStyle w:val="TableParagraph"/>
              <w:spacing w:line="274" w:lineRule="exact"/>
              <w:ind w:left="92"/>
              <w:rPr>
                <w:sz w:val="21"/>
              </w:rPr>
            </w:pPr>
            <w:r>
              <w:rPr>
                <w:sz w:val="21"/>
              </w:rPr>
              <w:t>与主合同相同。</w:t>
            </w:r>
          </w:p>
        </w:tc>
      </w:tr>
      <w:tr>
        <w:trPr>
          <w:trHeight w:val="663" w:hRule="atLeast"/>
        </w:trPr>
        <w:tc>
          <w:tcPr>
            <w:tcW w:w="586" w:type="dxa"/>
          </w:tcPr>
          <w:p>
            <w:pPr>
              <w:pStyle w:val="TableParagraph"/>
              <w:spacing w:before="171"/>
              <w:rPr>
                <w:b/>
                <w:sz w:val="21"/>
              </w:rPr>
            </w:pPr>
            <w:r>
              <w:rPr>
                <w:b/>
                <w:sz w:val="21"/>
              </w:rPr>
              <w:t>7．</w:t>
            </w:r>
          </w:p>
        </w:tc>
        <w:tc>
          <w:tcPr>
            <w:tcW w:w="1560" w:type="dxa"/>
          </w:tcPr>
          <w:p>
            <w:pPr>
              <w:pStyle w:val="TableParagraph"/>
              <w:spacing w:before="171"/>
              <w:ind w:left="55"/>
              <w:rPr>
                <w:b/>
                <w:sz w:val="21"/>
              </w:rPr>
            </w:pPr>
            <w:r>
              <w:rPr>
                <w:b/>
                <w:w w:val="95"/>
                <w:sz w:val="21"/>
              </w:rPr>
              <w:t>基本保险金额</w:t>
            </w:r>
          </w:p>
        </w:tc>
        <w:tc>
          <w:tcPr>
            <w:tcW w:w="8028" w:type="dxa"/>
          </w:tcPr>
          <w:p>
            <w:pPr>
              <w:pStyle w:val="TableParagraph"/>
              <w:spacing w:before="8"/>
              <w:ind w:left="0"/>
              <w:rPr>
                <w:sz w:val="14"/>
              </w:rPr>
            </w:pPr>
          </w:p>
          <w:p>
            <w:pPr>
              <w:pStyle w:val="TableParagraph"/>
              <w:ind w:left="92"/>
              <w:rPr>
                <w:sz w:val="21"/>
              </w:rPr>
            </w:pPr>
            <w:r>
              <w:rPr>
                <w:sz w:val="21"/>
              </w:rPr>
              <w:t>本附加合同的基本保险金额为保险单上载明的主合同及其他附加合同的保险费之和。</w:t>
            </w:r>
          </w:p>
        </w:tc>
      </w:tr>
      <w:tr>
        <w:trPr>
          <w:trHeight w:val="636" w:hRule="atLeast"/>
        </w:trPr>
        <w:tc>
          <w:tcPr>
            <w:tcW w:w="586" w:type="dxa"/>
          </w:tcPr>
          <w:p>
            <w:pPr>
              <w:pStyle w:val="TableParagraph"/>
              <w:spacing w:before="132"/>
              <w:rPr>
                <w:b/>
                <w:sz w:val="21"/>
              </w:rPr>
            </w:pPr>
            <w:r>
              <w:rPr>
                <w:b/>
                <w:sz w:val="21"/>
              </w:rPr>
              <w:t>8．</w:t>
            </w:r>
          </w:p>
        </w:tc>
        <w:tc>
          <w:tcPr>
            <w:tcW w:w="1560" w:type="dxa"/>
          </w:tcPr>
          <w:p>
            <w:pPr>
              <w:pStyle w:val="TableParagraph"/>
              <w:spacing w:before="132"/>
              <w:ind w:left="55"/>
              <w:rPr>
                <w:b/>
                <w:sz w:val="21"/>
              </w:rPr>
            </w:pPr>
            <w:r>
              <w:rPr>
                <w:b/>
                <w:w w:val="95"/>
                <w:sz w:val="21"/>
              </w:rPr>
              <w:t>保险费的支付</w:t>
            </w:r>
          </w:p>
        </w:tc>
        <w:tc>
          <w:tcPr>
            <w:tcW w:w="8028" w:type="dxa"/>
          </w:tcPr>
          <w:p>
            <w:pPr>
              <w:pStyle w:val="TableParagraph"/>
              <w:spacing w:before="132"/>
              <w:ind w:left="62"/>
              <w:rPr>
                <w:sz w:val="21"/>
              </w:rPr>
            </w:pPr>
            <w:r>
              <w:rPr>
                <w:sz w:val="21"/>
              </w:rPr>
              <w:t>本附加合同的交费方式和交费期间同主合同的交费方式和交费期间。</w:t>
            </w:r>
          </w:p>
        </w:tc>
      </w:tr>
      <w:tr>
        <w:trPr>
          <w:trHeight w:val="534" w:hRule="atLeast"/>
        </w:trPr>
        <w:tc>
          <w:tcPr>
            <w:tcW w:w="586" w:type="dxa"/>
            <w:tcBorders>
              <w:bottom w:val="single" w:sz="4" w:space="0" w:color="000000"/>
            </w:tcBorders>
          </w:tcPr>
          <w:p>
            <w:pPr>
              <w:pStyle w:val="TableParagraph"/>
              <w:ind w:left="0"/>
              <w:rPr>
                <w:rFonts w:ascii="Times New Roman"/>
                <w:sz w:val="20"/>
              </w:rPr>
            </w:pPr>
          </w:p>
        </w:tc>
        <w:tc>
          <w:tcPr>
            <w:tcW w:w="1560" w:type="dxa"/>
            <w:tcBorders>
              <w:bottom w:val="single" w:sz="4" w:space="0" w:color="000000"/>
            </w:tcBorders>
          </w:tcPr>
          <w:p>
            <w:pPr>
              <w:pStyle w:val="TableParagraph"/>
              <w:ind w:left="0"/>
              <w:rPr>
                <w:rFonts w:ascii="Times New Roman"/>
                <w:sz w:val="20"/>
              </w:rPr>
            </w:pPr>
          </w:p>
        </w:tc>
        <w:tc>
          <w:tcPr>
            <w:tcW w:w="8028" w:type="dxa"/>
            <w:tcBorders>
              <w:bottom w:val="single" w:sz="4" w:space="0" w:color="000000"/>
            </w:tcBorders>
          </w:tcPr>
          <w:p>
            <w:pPr>
              <w:pStyle w:val="TableParagraph"/>
              <w:tabs>
                <w:tab w:pos="2625" w:val="left" w:leader="none"/>
              </w:tabs>
              <w:spacing w:before="164"/>
              <w:ind w:left="1781"/>
              <w:rPr>
                <w:b/>
                <w:sz w:val="21"/>
              </w:rPr>
            </w:pPr>
            <w:r>
              <w:rPr>
                <w:b/>
                <w:sz w:val="21"/>
              </w:rPr>
              <w:t>第四章</w:t>
              <w:tab/>
            </w:r>
            <w:r>
              <w:rPr>
                <w:b/>
                <w:w w:val="95"/>
                <w:sz w:val="21"/>
              </w:rPr>
              <w:t>豁免保险费申请</w:t>
            </w:r>
          </w:p>
        </w:tc>
      </w:tr>
      <w:tr>
        <w:trPr>
          <w:trHeight w:val="740" w:hRule="atLeast"/>
        </w:trPr>
        <w:tc>
          <w:tcPr>
            <w:tcW w:w="586" w:type="dxa"/>
            <w:tcBorders>
              <w:top w:val="single" w:sz="4" w:space="0" w:color="000000"/>
            </w:tcBorders>
          </w:tcPr>
          <w:p>
            <w:pPr>
              <w:pStyle w:val="TableParagraph"/>
              <w:spacing w:line="239" w:lineRule="exact"/>
              <w:rPr>
                <w:b/>
                <w:sz w:val="21"/>
              </w:rPr>
            </w:pPr>
            <w:r>
              <w:rPr>
                <w:b/>
                <w:sz w:val="21"/>
              </w:rPr>
              <w:t>9．</w:t>
            </w:r>
          </w:p>
        </w:tc>
        <w:tc>
          <w:tcPr>
            <w:tcW w:w="1560" w:type="dxa"/>
            <w:tcBorders>
              <w:top w:val="single" w:sz="4" w:space="0" w:color="000000"/>
            </w:tcBorders>
          </w:tcPr>
          <w:p>
            <w:pPr>
              <w:pStyle w:val="TableParagraph"/>
              <w:spacing w:line="239" w:lineRule="exact"/>
              <w:ind w:left="55"/>
              <w:rPr>
                <w:b/>
                <w:sz w:val="21"/>
              </w:rPr>
            </w:pPr>
            <w:r>
              <w:rPr>
                <w:b/>
                <w:sz w:val="21"/>
              </w:rPr>
              <w:t>诉讼时效</w:t>
            </w:r>
          </w:p>
        </w:tc>
        <w:tc>
          <w:tcPr>
            <w:tcW w:w="8028" w:type="dxa"/>
            <w:tcBorders>
              <w:top w:val="single" w:sz="4" w:space="0" w:color="000000"/>
            </w:tcBorders>
          </w:tcPr>
          <w:p>
            <w:pPr>
              <w:pStyle w:val="TableParagraph"/>
              <w:spacing w:line="238" w:lineRule="exact"/>
              <w:ind w:left="62"/>
              <w:rPr>
                <w:sz w:val="21"/>
              </w:rPr>
            </w:pPr>
            <w:r>
              <w:rPr>
                <w:sz w:val="21"/>
              </w:rPr>
              <w:t>申请人向我方申请豁免保险费权利的诉讼时效期间为 2 年，自其知道或应当知道保险</w:t>
            </w:r>
          </w:p>
          <w:p>
            <w:pPr>
              <w:pStyle w:val="TableParagraph"/>
              <w:spacing w:line="274" w:lineRule="exact"/>
              <w:ind w:left="62"/>
              <w:rPr>
                <w:sz w:val="21"/>
              </w:rPr>
            </w:pPr>
            <w:r>
              <w:rPr>
                <w:sz w:val="21"/>
              </w:rPr>
              <w:t>事故发生之日起计算。</w:t>
            </w:r>
          </w:p>
        </w:tc>
      </w:tr>
      <w:tr>
        <w:trPr>
          <w:trHeight w:val="4900" w:hRule="atLeast"/>
        </w:trPr>
        <w:tc>
          <w:tcPr>
            <w:tcW w:w="586" w:type="dxa"/>
            <w:tcBorders>
              <w:bottom w:val="single" w:sz="6" w:space="0" w:color="000000"/>
            </w:tcBorders>
          </w:tcPr>
          <w:p>
            <w:pPr>
              <w:pStyle w:val="TableParagraph"/>
              <w:spacing w:before="164"/>
              <w:rPr>
                <w:b/>
                <w:sz w:val="21"/>
              </w:rPr>
            </w:pPr>
            <w:r>
              <w:rPr>
                <w:b/>
                <w:sz w:val="21"/>
              </w:rPr>
              <w:t>10．</w:t>
            </w:r>
          </w:p>
        </w:tc>
        <w:tc>
          <w:tcPr>
            <w:tcW w:w="1560" w:type="dxa"/>
            <w:tcBorders>
              <w:bottom w:val="single" w:sz="6" w:space="0" w:color="000000"/>
            </w:tcBorders>
          </w:tcPr>
          <w:p>
            <w:pPr>
              <w:pStyle w:val="TableParagraph"/>
              <w:spacing w:line="237" w:lineRule="auto" w:before="167"/>
              <w:ind w:left="55" w:right="59"/>
              <w:rPr>
                <w:b/>
                <w:sz w:val="21"/>
              </w:rPr>
            </w:pPr>
            <w:r>
              <w:rPr>
                <w:b/>
                <w:sz w:val="21"/>
              </w:rPr>
              <w:t>豁免保险费申请资料</w:t>
            </w:r>
          </w:p>
        </w:tc>
        <w:tc>
          <w:tcPr>
            <w:tcW w:w="8028" w:type="dxa"/>
            <w:tcBorders>
              <w:bottom w:val="single" w:sz="6" w:space="0" w:color="000000"/>
            </w:tcBorders>
          </w:tcPr>
          <w:p>
            <w:pPr>
              <w:pStyle w:val="TableParagraph"/>
              <w:spacing w:line="237" w:lineRule="auto" w:before="167"/>
              <w:ind w:left="92" w:right="106"/>
              <w:rPr>
                <w:sz w:val="21"/>
              </w:rPr>
            </w:pPr>
            <w:r>
              <w:rPr>
                <w:spacing w:val="-10"/>
                <w:sz w:val="21"/>
              </w:rPr>
              <w:t>一、申请身故豁免保险费，申请人应填写《索赔申请表》，并向我方提供下列证明和资料原件：</w:t>
            </w:r>
          </w:p>
          <w:p>
            <w:pPr>
              <w:pStyle w:val="TableParagraph"/>
              <w:numPr>
                <w:ilvl w:val="0"/>
                <w:numId w:val="4"/>
              </w:numPr>
              <w:tabs>
                <w:tab w:pos="511" w:val="left" w:leader="none"/>
                <w:tab w:pos="512" w:val="left" w:leader="none"/>
              </w:tabs>
              <w:spacing w:line="240" w:lineRule="auto" w:before="59" w:after="0"/>
              <w:ind w:left="512" w:right="0" w:hanging="420"/>
              <w:jc w:val="left"/>
              <w:rPr>
                <w:sz w:val="21"/>
              </w:rPr>
            </w:pPr>
            <w:r>
              <w:rPr>
                <w:sz w:val="21"/>
              </w:rPr>
              <w:t>保险合同；</w:t>
            </w:r>
          </w:p>
          <w:p>
            <w:pPr>
              <w:pStyle w:val="TableParagraph"/>
              <w:numPr>
                <w:ilvl w:val="0"/>
                <w:numId w:val="4"/>
              </w:numPr>
              <w:tabs>
                <w:tab w:pos="511" w:val="left" w:leader="none"/>
                <w:tab w:pos="512" w:val="left" w:leader="none"/>
              </w:tabs>
              <w:spacing w:line="240" w:lineRule="auto" w:before="59" w:after="0"/>
              <w:ind w:left="512" w:right="0" w:hanging="420"/>
              <w:jc w:val="left"/>
              <w:rPr>
                <w:sz w:val="21"/>
              </w:rPr>
            </w:pPr>
            <w:r>
              <w:rPr>
                <w:sz w:val="21"/>
              </w:rPr>
              <w:t>被保险人的户籍注销证明及身份证明；</w:t>
            </w:r>
          </w:p>
          <w:p>
            <w:pPr>
              <w:pStyle w:val="TableParagraph"/>
              <w:numPr>
                <w:ilvl w:val="0"/>
                <w:numId w:val="4"/>
              </w:numPr>
              <w:tabs>
                <w:tab w:pos="511" w:val="left" w:leader="none"/>
                <w:tab w:pos="512" w:val="left" w:leader="none"/>
              </w:tabs>
              <w:spacing w:line="240" w:lineRule="auto" w:before="58" w:after="0"/>
              <w:ind w:left="512" w:right="0" w:hanging="420"/>
              <w:jc w:val="left"/>
              <w:rPr>
                <w:sz w:val="21"/>
              </w:rPr>
            </w:pPr>
            <w:r>
              <w:rPr>
                <w:sz w:val="21"/>
              </w:rPr>
              <w:t>医院或公安部门出具的被保险人死亡证明书，或法院出具的宣告死亡判决书；</w:t>
            </w:r>
          </w:p>
          <w:p>
            <w:pPr>
              <w:pStyle w:val="TableParagraph"/>
              <w:numPr>
                <w:ilvl w:val="0"/>
                <w:numId w:val="4"/>
              </w:numPr>
              <w:tabs>
                <w:tab w:pos="511" w:val="left" w:leader="none"/>
                <w:tab w:pos="512" w:val="left" w:leader="none"/>
              </w:tabs>
              <w:spacing w:line="240" w:lineRule="auto" w:before="59" w:after="0"/>
              <w:ind w:left="512" w:right="0" w:hanging="420"/>
              <w:jc w:val="left"/>
              <w:rPr>
                <w:sz w:val="21"/>
              </w:rPr>
            </w:pPr>
            <w:r>
              <w:rPr>
                <w:sz w:val="21"/>
              </w:rPr>
              <w:t>完整的门（急）诊病历及住院病历；</w:t>
            </w:r>
          </w:p>
          <w:p>
            <w:pPr>
              <w:pStyle w:val="TableParagraph"/>
              <w:numPr>
                <w:ilvl w:val="0"/>
                <w:numId w:val="4"/>
              </w:numPr>
              <w:tabs>
                <w:tab w:pos="511" w:val="left" w:leader="none"/>
                <w:tab w:pos="512" w:val="left" w:leader="none"/>
              </w:tabs>
              <w:spacing w:line="240" w:lineRule="auto" w:before="58" w:after="0"/>
              <w:ind w:left="512" w:right="0" w:hanging="420"/>
              <w:jc w:val="left"/>
              <w:rPr>
                <w:sz w:val="21"/>
              </w:rPr>
            </w:pPr>
            <w:r>
              <w:rPr>
                <w:sz w:val="21"/>
              </w:rPr>
              <w:t>申请人户籍证明、身份证明及与被保险人的关系证明；</w:t>
            </w:r>
          </w:p>
          <w:p>
            <w:pPr>
              <w:pStyle w:val="TableParagraph"/>
              <w:numPr>
                <w:ilvl w:val="0"/>
                <w:numId w:val="4"/>
              </w:numPr>
              <w:tabs>
                <w:tab w:pos="511" w:val="left" w:leader="none"/>
                <w:tab w:pos="512" w:val="left" w:leader="none"/>
              </w:tabs>
              <w:spacing w:line="240" w:lineRule="auto" w:before="59" w:after="0"/>
              <w:ind w:left="512" w:right="0" w:hanging="420"/>
              <w:jc w:val="left"/>
              <w:rPr>
                <w:sz w:val="21"/>
              </w:rPr>
            </w:pPr>
            <w:r>
              <w:rPr>
                <w:spacing w:val="-2"/>
                <w:sz w:val="21"/>
              </w:rPr>
              <w:t>与本项保险费豁免申请有关的诊疗资料及其他我方要求提供的证明、报告和文件。</w:t>
            </w:r>
          </w:p>
          <w:p>
            <w:pPr>
              <w:pStyle w:val="TableParagraph"/>
              <w:spacing w:line="237" w:lineRule="auto" w:before="62"/>
              <w:ind w:left="92" w:right="106"/>
              <w:rPr>
                <w:sz w:val="21"/>
              </w:rPr>
            </w:pPr>
            <w:r>
              <w:rPr>
                <w:spacing w:val="-10"/>
                <w:sz w:val="21"/>
              </w:rPr>
              <w:t>二、申请全残豁免保险费，申请人应填写《索赔申请表》，并向我方提供下列证明和资料原件：</w:t>
            </w:r>
          </w:p>
          <w:p>
            <w:pPr>
              <w:pStyle w:val="TableParagraph"/>
              <w:numPr>
                <w:ilvl w:val="0"/>
                <w:numId w:val="5"/>
              </w:numPr>
              <w:tabs>
                <w:tab w:pos="511" w:val="left" w:leader="none"/>
                <w:tab w:pos="512" w:val="left" w:leader="none"/>
              </w:tabs>
              <w:spacing w:line="240" w:lineRule="auto" w:before="58" w:after="0"/>
              <w:ind w:left="512" w:right="0" w:hanging="420"/>
              <w:jc w:val="left"/>
              <w:rPr>
                <w:sz w:val="21"/>
              </w:rPr>
            </w:pPr>
            <w:r>
              <w:rPr>
                <w:sz w:val="21"/>
              </w:rPr>
              <w:t>保险合同；</w:t>
            </w:r>
          </w:p>
          <w:p>
            <w:pPr>
              <w:pStyle w:val="TableParagraph"/>
              <w:numPr>
                <w:ilvl w:val="0"/>
                <w:numId w:val="5"/>
              </w:numPr>
              <w:tabs>
                <w:tab w:pos="511" w:val="left" w:leader="none"/>
                <w:tab w:pos="512" w:val="left" w:leader="none"/>
              </w:tabs>
              <w:spacing w:line="240" w:lineRule="auto" w:before="59" w:after="0"/>
              <w:ind w:left="512" w:right="0" w:hanging="420"/>
              <w:jc w:val="left"/>
              <w:rPr>
                <w:sz w:val="21"/>
              </w:rPr>
            </w:pPr>
            <w:r>
              <w:rPr>
                <w:sz w:val="21"/>
              </w:rPr>
              <w:t>被保险人的户籍及身份证明；</w:t>
            </w:r>
          </w:p>
          <w:p>
            <w:pPr>
              <w:pStyle w:val="TableParagraph"/>
              <w:numPr>
                <w:ilvl w:val="0"/>
                <w:numId w:val="5"/>
              </w:numPr>
              <w:tabs>
                <w:tab w:pos="511" w:val="left" w:leader="none"/>
                <w:tab w:pos="512" w:val="left" w:leader="none"/>
              </w:tabs>
              <w:spacing w:line="240" w:lineRule="auto" w:before="58" w:after="0"/>
              <w:ind w:left="512" w:right="0" w:hanging="420"/>
              <w:jc w:val="left"/>
              <w:rPr>
                <w:sz w:val="21"/>
              </w:rPr>
            </w:pPr>
            <w:r>
              <w:rPr>
                <w:sz w:val="21"/>
              </w:rPr>
              <w:t>司法鉴定机构出具的残疾鉴定书（需自费提供</w:t>
            </w:r>
            <w:r>
              <w:rPr>
                <w:spacing w:val="-106"/>
                <w:sz w:val="21"/>
              </w:rPr>
              <w:t>）</w:t>
            </w:r>
            <w:r>
              <w:rPr>
                <w:sz w:val="21"/>
              </w:rPr>
              <w:t>；</w:t>
            </w:r>
          </w:p>
          <w:p>
            <w:pPr>
              <w:pStyle w:val="TableParagraph"/>
              <w:numPr>
                <w:ilvl w:val="0"/>
                <w:numId w:val="5"/>
              </w:numPr>
              <w:tabs>
                <w:tab w:pos="511" w:val="left" w:leader="none"/>
                <w:tab w:pos="512" w:val="left" w:leader="none"/>
              </w:tabs>
              <w:spacing w:line="240" w:lineRule="auto" w:before="59" w:after="0"/>
              <w:ind w:left="512" w:right="0" w:hanging="420"/>
              <w:jc w:val="left"/>
              <w:rPr>
                <w:sz w:val="21"/>
              </w:rPr>
            </w:pPr>
            <w:r>
              <w:rPr>
                <w:sz w:val="21"/>
              </w:rPr>
              <w:t>完整的门（急）诊病历及住院病历；</w:t>
            </w:r>
          </w:p>
        </w:tc>
      </w:tr>
    </w:tbl>
    <w:p>
      <w:pPr>
        <w:pStyle w:val="BodyText"/>
        <w:spacing w:line="283" w:lineRule="auto" w:before="44"/>
        <w:ind w:left="223" w:right="308"/>
      </w:pPr>
      <w:bookmarkStart w:name="_bookmark6" w:id="7"/>
      <w:bookmarkEnd w:id="7"/>
      <w:r>
        <w:rPr/>
      </w:r>
      <w:r>
        <w:rPr>
          <w:spacing w:val="-28"/>
        </w:rPr>
        <w:t>的车辆；</w:t>
      </w:r>
      <w:r>
        <w:rPr/>
        <w:t>（</w:t>
      </w:r>
      <w:r>
        <w:rPr>
          <w:rFonts w:ascii="Microsoft JhengHei" w:eastAsia="Microsoft JhengHei" w:hint="eastAsia"/>
          <w:spacing w:val="-1"/>
          <w:w w:val="95"/>
        </w:rPr>
        <w:t>3</w:t>
      </w:r>
      <w:r>
        <w:rPr>
          <w:spacing w:val="-4"/>
        </w:rPr>
        <w:t>）</w:t>
      </w:r>
      <w:r>
        <w:rPr>
          <w:spacing w:val="-9"/>
        </w:rPr>
        <w:t>持审验不合格的驾驶证驾驶；</w:t>
      </w:r>
      <w:r>
        <w:rPr/>
        <w:t>（</w:t>
      </w:r>
      <w:r>
        <w:rPr>
          <w:rFonts w:ascii="Microsoft JhengHei" w:eastAsia="Microsoft JhengHei" w:hint="eastAsia"/>
          <w:spacing w:val="-1"/>
          <w:w w:val="95"/>
        </w:rPr>
        <w:t>4</w:t>
      </w:r>
      <w:r>
        <w:rPr>
          <w:spacing w:val="-4"/>
        </w:rPr>
        <w:t>）</w:t>
      </w:r>
      <w:r>
        <w:rPr>
          <w:spacing w:val="-2"/>
        </w:rPr>
        <w:t>持学习驾驶证学习驾车时，无教练员随车指导，或不按指定时间、路线学习驾车。</w:t>
      </w:r>
    </w:p>
    <w:p>
      <w:pPr>
        <w:pStyle w:val="BodyText"/>
        <w:spacing w:line="366" w:lineRule="exact" w:before="5"/>
        <w:ind w:left="223" w:right="308" w:hanging="1"/>
      </w:pPr>
      <w:r>
        <w:rPr>
          <w:rFonts w:ascii="Microsoft JhengHei" w:eastAsia="Microsoft JhengHei" w:hint="eastAsia"/>
          <w:b/>
          <w:spacing w:val="0"/>
          <w:w w:val="93"/>
          <w:position w:val="5"/>
          <w:sz w:val="14"/>
        </w:rPr>
        <w:t>1</w:t>
      </w:r>
      <w:r>
        <w:rPr>
          <w:rFonts w:ascii="Microsoft JhengHei" w:eastAsia="Microsoft JhengHei" w:hint="eastAsia"/>
          <w:b/>
          <w:w w:val="93"/>
          <w:position w:val="5"/>
          <w:sz w:val="14"/>
        </w:rPr>
        <w:t>0</w:t>
      </w:r>
      <w:r>
        <w:rPr>
          <w:rFonts w:ascii="Microsoft JhengHei" w:eastAsia="Microsoft JhengHei" w:hint="eastAsia"/>
          <w:b/>
          <w:position w:val="5"/>
          <w:sz w:val="14"/>
        </w:rPr>
        <w:t>  </w:t>
      </w:r>
      <w:r>
        <w:rPr>
          <w:rFonts w:ascii="Microsoft JhengHei" w:eastAsia="Microsoft JhengHei" w:hint="eastAsia"/>
          <w:b/>
          <w:spacing w:val="-2"/>
        </w:rPr>
        <w:t>无有效行驶证：</w:t>
      </w:r>
      <w:r>
        <w:rPr>
          <w:spacing w:val="-16"/>
        </w:rPr>
        <w:t>指下列情形之一：</w:t>
      </w:r>
      <w:r>
        <w:rPr>
          <w:spacing w:val="-2"/>
        </w:rPr>
        <w:t>（</w:t>
      </w:r>
      <w:r>
        <w:rPr>
          <w:rFonts w:ascii="Microsoft JhengHei" w:eastAsia="Microsoft JhengHei" w:hint="eastAsia"/>
          <w:spacing w:val="-1"/>
          <w:w w:val="95"/>
        </w:rPr>
        <w:t>1</w:t>
      </w:r>
      <w:r>
        <w:rPr>
          <w:spacing w:val="-15"/>
        </w:rPr>
        <w:t>）</w:t>
      </w:r>
      <w:r>
        <w:rPr/>
        <w:t>机动车被依法注销登记的</w:t>
      </w:r>
      <w:r>
        <w:rPr>
          <w:spacing w:val="-119"/>
        </w:rPr>
        <w:t>；</w:t>
      </w:r>
      <w:r>
        <w:rPr/>
        <w:t>（</w:t>
      </w:r>
      <w:r>
        <w:rPr>
          <w:rFonts w:ascii="Microsoft JhengHei" w:eastAsia="Microsoft JhengHei" w:hint="eastAsia"/>
          <w:spacing w:val="-1"/>
          <w:w w:val="95"/>
        </w:rPr>
        <w:t>2</w:t>
      </w:r>
      <w:r>
        <w:rPr>
          <w:spacing w:val="-16"/>
        </w:rPr>
        <w:t>）</w:t>
      </w:r>
      <w:r>
        <w:rPr>
          <w:spacing w:val="-1"/>
        </w:rPr>
        <w:t>未依法按时进行或通过机动车安全技术检验。</w:t>
      </w:r>
    </w:p>
    <w:p>
      <w:pPr>
        <w:spacing w:line="410" w:lineRule="auto" w:before="109"/>
        <w:ind w:left="223" w:right="148" w:hanging="1"/>
        <w:jc w:val="left"/>
        <w:rPr>
          <w:sz w:val="21"/>
        </w:rPr>
      </w:pPr>
      <w:r>
        <w:rPr>
          <w:rFonts w:ascii="Microsoft JhengHei" w:eastAsia="Microsoft JhengHei" w:hint="eastAsia"/>
          <w:b/>
          <w:position w:val="5"/>
          <w:sz w:val="14"/>
        </w:rPr>
        <w:t>11 </w:t>
      </w:r>
      <w:r>
        <w:rPr>
          <w:rFonts w:ascii="Microsoft JhengHei" w:eastAsia="Microsoft JhengHei" w:hint="eastAsia"/>
          <w:b/>
          <w:sz w:val="21"/>
        </w:rPr>
        <w:t>感染艾滋病病毒或患艾滋病：</w:t>
      </w:r>
      <w:r>
        <w:rPr>
          <w:sz w:val="21"/>
        </w:rPr>
        <w:t>艾滋病病毒指人类免疫缺陷病毒，英文缩写为</w:t>
      </w:r>
      <w:r>
        <w:rPr>
          <w:rFonts w:ascii="Microsoft JhengHei" w:eastAsia="Microsoft JhengHei" w:hint="eastAsia"/>
          <w:sz w:val="21"/>
        </w:rPr>
        <w:t>HIV</w:t>
      </w:r>
      <w:r>
        <w:rPr>
          <w:sz w:val="21"/>
        </w:rPr>
        <w:t>。艾滋病指人类免疫缺陷病毒引起的获得性免疫缺陷综合征，英文缩写为</w:t>
      </w:r>
      <w:r>
        <w:rPr>
          <w:rFonts w:ascii="Microsoft JhengHei" w:eastAsia="Microsoft JhengHei" w:hint="eastAsia"/>
          <w:sz w:val="21"/>
        </w:rPr>
        <w:t>AIDS</w:t>
      </w:r>
      <w:r>
        <w:rPr>
          <w:sz w:val="21"/>
        </w:rPr>
        <w:t>。</w:t>
      </w:r>
    </w:p>
    <w:p>
      <w:pPr>
        <w:pStyle w:val="BodyText"/>
        <w:spacing w:line="319" w:lineRule="auto"/>
        <w:ind w:left="223" w:right="310"/>
      </w:pPr>
      <w:r>
        <w:rPr/>
        <w:t>在人体血液或其它样本中检测到艾滋病病毒或其抗体呈阳性，没有出现临床症状或体征的，为感染艾滋病病毒；如果同时出现了明显临床症状或体征的，为患艾滋病。</w:t>
      </w:r>
    </w:p>
    <w:p>
      <w:pPr>
        <w:spacing w:after="0" w:line="319" w:lineRule="auto"/>
        <w:sectPr>
          <w:pgSz w:w="11910" w:h="16840"/>
          <w:pgMar w:header="0" w:footer="885" w:top="1120" w:bottom="108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659"/>
        <w:gridCol w:w="7982"/>
      </w:tblGrid>
      <w:tr>
        <w:trPr>
          <w:trHeight w:val="2634" w:hRule="atLeast"/>
        </w:trPr>
        <w:tc>
          <w:tcPr>
            <w:tcW w:w="534" w:type="dxa"/>
          </w:tcPr>
          <w:p>
            <w:pPr>
              <w:pStyle w:val="TableParagraph"/>
              <w:ind w:left="0"/>
              <w:rPr>
                <w:rFonts w:ascii="Times New Roman"/>
                <w:sz w:val="20"/>
              </w:rPr>
            </w:pPr>
          </w:p>
        </w:tc>
        <w:tc>
          <w:tcPr>
            <w:tcW w:w="1659" w:type="dxa"/>
          </w:tcPr>
          <w:p>
            <w:pPr>
              <w:pStyle w:val="TableParagraph"/>
              <w:ind w:left="0"/>
              <w:rPr>
                <w:rFonts w:ascii="Times New Roman"/>
                <w:sz w:val="20"/>
              </w:rPr>
            </w:pPr>
          </w:p>
        </w:tc>
        <w:tc>
          <w:tcPr>
            <w:tcW w:w="7982" w:type="dxa"/>
          </w:tcPr>
          <w:p>
            <w:pPr>
              <w:pStyle w:val="TableParagraph"/>
              <w:tabs>
                <w:tab w:pos="464" w:val="left" w:leader="none"/>
              </w:tabs>
              <w:spacing w:line="210" w:lineRule="exact"/>
              <w:ind w:left="45"/>
              <w:rPr>
                <w:sz w:val="21"/>
              </w:rPr>
            </w:pPr>
            <w:r>
              <w:rPr>
                <w:sz w:val="21"/>
              </w:rPr>
              <w:t>5.</w:t>
              <w:tab/>
            </w:r>
            <w:r>
              <w:rPr>
                <w:spacing w:val="-2"/>
                <w:sz w:val="21"/>
              </w:rPr>
              <w:t>与本项保险费豁免申请有关的诊疗资料及其他我方要求提供的证明、报告和文件。</w:t>
            </w:r>
          </w:p>
          <w:p>
            <w:pPr>
              <w:pStyle w:val="TableParagraph"/>
              <w:spacing w:line="237" w:lineRule="auto" w:before="62"/>
              <w:ind w:left="45" w:right="107"/>
              <w:rPr>
                <w:sz w:val="21"/>
              </w:rPr>
            </w:pPr>
            <w:r>
              <w:rPr>
                <w:spacing w:val="-10"/>
                <w:sz w:val="21"/>
              </w:rPr>
              <w:t>三、申请重大疾病豁免保险费，申请人应填写《索赔申请表》，并向我方提供下列证明和资料原件：</w:t>
            </w:r>
          </w:p>
          <w:p>
            <w:pPr>
              <w:pStyle w:val="TableParagraph"/>
              <w:numPr>
                <w:ilvl w:val="0"/>
                <w:numId w:val="6"/>
              </w:numPr>
              <w:tabs>
                <w:tab w:pos="467" w:val="left" w:leader="none"/>
                <w:tab w:pos="468" w:val="left" w:leader="none"/>
              </w:tabs>
              <w:spacing w:line="240" w:lineRule="auto" w:before="58" w:after="0"/>
              <w:ind w:left="467" w:right="0" w:hanging="485"/>
              <w:jc w:val="left"/>
              <w:rPr>
                <w:sz w:val="21"/>
              </w:rPr>
            </w:pPr>
            <w:r>
              <w:rPr>
                <w:sz w:val="21"/>
              </w:rPr>
              <w:t>保险合同；</w:t>
            </w:r>
          </w:p>
          <w:p>
            <w:pPr>
              <w:pStyle w:val="TableParagraph"/>
              <w:numPr>
                <w:ilvl w:val="0"/>
                <w:numId w:val="6"/>
              </w:numPr>
              <w:tabs>
                <w:tab w:pos="467" w:val="left" w:leader="none"/>
                <w:tab w:pos="468" w:val="left" w:leader="none"/>
              </w:tabs>
              <w:spacing w:line="240" w:lineRule="auto" w:before="60" w:after="0"/>
              <w:ind w:left="467" w:right="0" w:hanging="485"/>
              <w:jc w:val="left"/>
              <w:rPr>
                <w:sz w:val="21"/>
              </w:rPr>
            </w:pPr>
            <w:r>
              <w:rPr>
                <w:sz w:val="21"/>
              </w:rPr>
              <w:t>被保险人的户籍及身份证明；</w:t>
            </w:r>
          </w:p>
          <w:p>
            <w:pPr>
              <w:pStyle w:val="TableParagraph"/>
              <w:numPr>
                <w:ilvl w:val="0"/>
                <w:numId w:val="6"/>
              </w:numPr>
              <w:tabs>
                <w:tab w:pos="467" w:val="left" w:leader="none"/>
                <w:tab w:pos="468" w:val="left" w:leader="none"/>
              </w:tabs>
              <w:spacing w:line="237" w:lineRule="auto" w:before="61" w:after="0"/>
              <w:ind w:left="467" w:right="58" w:hanging="485"/>
              <w:jc w:val="left"/>
              <w:rPr>
                <w:sz w:val="21"/>
              </w:rPr>
            </w:pPr>
            <w:r>
              <w:rPr>
                <w:spacing w:val="-1"/>
                <w:sz w:val="21"/>
              </w:rPr>
              <w:t>医院出具的疾病诊断证明书、病历记录和确诊疾病 必要的病理检验、血液检验、影像学检查及其他科学方法的检查报告；</w:t>
            </w:r>
          </w:p>
          <w:p>
            <w:pPr>
              <w:pStyle w:val="TableParagraph"/>
              <w:numPr>
                <w:ilvl w:val="0"/>
                <w:numId w:val="6"/>
              </w:numPr>
              <w:tabs>
                <w:tab w:pos="467" w:val="left" w:leader="none"/>
                <w:tab w:pos="468" w:val="left" w:leader="none"/>
              </w:tabs>
              <w:spacing w:line="240" w:lineRule="auto" w:before="59" w:after="0"/>
              <w:ind w:left="467" w:right="0" w:hanging="485"/>
              <w:jc w:val="left"/>
              <w:rPr>
                <w:sz w:val="21"/>
              </w:rPr>
            </w:pPr>
            <w:r>
              <w:rPr>
                <w:spacing w:val="-2"/>
                <w:sz w:val="21"/>
              </w:rPr>
              <w:t>与本项保险费豁免申请有关的诊疗资料及其他我方要求提供的证明、报告和文件。</w:t>
            </w:r>
          </w:p>
        </w:tc>
      </w:tr>
      <w:tr>
        <w:trPr>
          <w:trHeight w:val="513" w:hRule="atLeast"/>
        </w:trPr>
        <w:tc>
          <w:tcPr>
            <w:tcW w:w="534" w:type="dxa"/>
            <w:tcBorders>
              <w:bottom w:val="single" w:sz="4" w:space="0" w:color="000000"/>
            </w:tcBorders>
          </w:tcPr>
          <w:p>
            <w:pPr>
              <w:pStyle w:val="TableParagraph"/>
              <w:ind w:left="0"/>
              <w:rPr>
                <w:rFonts w:ascii="Times New Roman"/>
                <w:sz w:val="20"/>
              </w:rPr>
            </w:pPr>
          </w:p>
        </w:tc>
        <w:tc>
          <w:tcPr>
            <w:tcW w:w="1659" w:type="dxa"/>
            <w:tcBorders>
              <w:bottom w:val="single" w:sz="4" w:space="0" w:color="000000"/>
            </w:tcBorders>
          </w:tcPr>
          <w:p>
            <w:pPr>
              <w:pStyle w:val="TableParagraph"/>
              <w:ind w:left="0"/>
              <w:rPr>
                <w:rFonts w:ascii="Times New Roman"/>
                <w:sz w:val="20"/>
              </w:rPr>
            </w:pPr>
          </w:p>
        </w:tc>
        <w:tc>
          <w:tcPr>
            <w:tcW w:w="7982" w:type="dxa"/>
            <w:tcBorders>
              <w:bottom w:val="single" w:sz="4" w:space="0" w:color="000000"/>
            </w:tcBorders>
          </w:tcPr>
          <w:p>
            <w:pPr>
              <w:pStyle w:val="TableParagraph"/>
              <w:tabs>
                <w:tab w:pos="2893" w:val="left" w:leader="none"/>
              </w:tabs>
              <w:spacing w:before="143"/>
              <w:ind w:left="2050"/>
              <w:rPr>
                <w:b/>
                <w:sz w:val="21"/>
              </w:rPr>
            </w:pPr>
            <w:r>
              <w:rPr>
                <w:b/>
                <w:sz w:val="21"/>
              </w:rPr>
              <w:t>第五章</w:t>
              <w:tab/>
            </w:r>
            <w:r>
              <w:rPr>
                <w:b/>
                <w:w w:val="95"/>
                <w:sz w:val="21"/>
              </w:rPr>
              <w:t>其他规定</w:t>
            </w:r>
          </w:p>
        </w:tc>
      </w:tr>
      <w:tr>
        <w:trPr>
          <w:trHeight w:val="1609" w:hRule="atLeast"/>
        </w:trPr>
        <w:tc>
          <w:tcPr>
            <w:tcW w:w="534" w:type="dxa"/>
            <w:tcBorders>
              <w:top w:val="single" w:sz="4" w:space="0" w:color="000000"/>
            </w:tcBorders>
          </w:tcPr>
          <w:p>
            <w:pPr>
              <w:pStyle w:val="TableParagraph"/>
              <w:spacing w:line="239" w:lineRule="exact"/>
              <w:ind w:left="88" w:right="88"/>
              <w:jc w:val="center"/>
              <w:rPr>
                <w:b/>
                <w:sz w:val="21"/>
              </w:rPr>
            </w:pPr>
            <w:r>
              <w:rPr>
                <w:b/>
                <w:sz w:val="21"/>
              </w:rPr>
              <w:t>11.</w:t>
            </w:r>
          </w:p>
        </w:tc>
        <w:tc>
          <w:tcPr>
            <w:tcW w:w="1659" w:type="dxa"/>
            <w:tcBorders>
              <w:top w:val="single" w:sz="4" w:space="0" w:color="000000"/>
            </w:tcBorders>
          </w:tcPr>
          <w:p>
            <w:pPr>
              <w:pStyle w:val="TableParagraph"/>
              <w:spacing w:line="239" w:lineRule="exact"/>
              <w:rPr>
                <w:b/>
                <w:sz w:val="21"/>
              </w:rPr>
            </w:pPr>
            <w:r>
              <w:rPr>
                <w:b/>
                <w:w w:val="95"/>
                <w:sz w:val="21"/>
              </w:rPr>
              <w:t>宣告死亡处理</w:t>
            </w:r>
          </w:p>
        </w:tc>
        <w:tc>
          <w:tcPr>
            <w:tcW w:w="7982" w:type="dxa"/>
            <w:tcBorders>
              <w:top w:val="single" w:sz="4" w:space="0" w:color="000000"/>
            </w:tcBorders>
          </w:tcPr>
          <w:p>
            <w:pPr>
              <w:pStyle w:val="TableParagraph"/>
              <w:spacing w:line="238" w:lineRule="exact"/>
              <w:rPr>
                <w:sz w:val="21"/>
              </w:rPr>
            </w:pPr>
            <w:r>
              <w:rPr>
                <w:sz w:val="21"/>
              </w:rPr>
              <w:t>如果被保险人在本合同有效期间内失踪，之后经人民法院判决宣告死亡，我方以法院</w:t>
            </w:r>
          </w:p>
          <w:p>
            <w:pPr>
              <w:pStyle w:val="TableParagraph"/>
              <w:spacing w:line="274" w:lineRule="exact"/>
              <w:rPr>
                <w:sz w:val="21"/>
              </w:rPr>
            </w:pPr>
            <w:r>
              <w:rPr>
                <w:sz w:val="21"/>
              </w:rPr>
              <w:t>判决宣告死亡之日作为被保险人的身故日期，并按照本附加合同保险责任规定处理。</w:t>
            </w:r>
          </w:p>
          <w:p>
            <w:pPr>
              <w:pStyle w:val="TableParagraph"/>
              <w:spacing w:line="237" w:lineRule="auto" w:before="62"/>
              <w:ind w:right="107"/>
              <w:jc w:val="both"/>
              <w:rPr>
                <w:sz w:val="21"/>
              </w:rPr>
            </w:pPr>
            <w:r>
              <w:rPr>
                <w:spacing w:val="-1"/>
                <w:sz w:val="21"/>
              </w:rPr>
              <w:t>被保险人在被宣告死亡后重新出现或者确知其没有死亡的，如果我方因被保险人宣告</w:t>
            </w:r>
            <w:r>
              <w:rPr>
                <w:spacing w:val="-9"/>
                <w:sz w:val="21"/>
              </w:rPr>
              <w:t>死亡而豁免了保险费的，豁免保险费的申请人应当自知道被保险人没有死亡之日起 </w:t>
            </w:r>
            <w:r>
              <w:rPr>
                <w:sz w:val="21"/>
              </w:rPr>
              <w:t>30 天内向我方退还已豁免的保险费，本合同的效力由您我双方依法协商处理。</w:t>
            </w:r>
          </w:p>
        </w:tc>
      </w:tr>
      <w:tr>
        <w:trPr>
          <w:trHeight w:val="2714" w:hRule="atLeast"/>
        </w:trPr>
        <w:tc>
          <w:tcPr>
            <w:tcW w:w="534" w:type="dxa"/>
          </w:tcPr>
          <w:p>
            <w:pPr>
              <w:pStyle w:val="TableParagraph"/>
              <w:spacing w:before="153"/>
              <w:ind w:left="88" w:right="88"/>
              <w:jc w:val="center"/>
              <w:rPr>
                <w:b/>
                <w:sz w:val="21"/>
              </w:rPr>
            </w:pPr>
            <w:r>
              <w:rPr>
                <w:b/>
                <w:sz w:val="21"/>
              </w:rPr>
              <w:t>12.</w:t>
            </w:r>
          </w:p>
        </w:tc>
        <w:tc>
          <w:tcPr>
            <w:tcW w:w="1659" w:type="dxa"/>
          </w:tcPr>
          <w:p>
            <w:pPr>
              <w:pStyle w:val="TableParagraph"/>
              <w:spacing w:before="153"/>
              <w:rPr>
                <w:b/>
                <w:sz w:val="21"/>
              </w:rPr>
            </w:pPr>
            <w:r>
              <w:rPr>
                <w:b/>
                <w:w w:val="95"/>
                <w:sz w:val="21"/>
              </w:rPr>
              <w:t>年龄错误处理</w:t>
            </w:r>
          </w:p>
        </w:tc>
        <w:tc>
          <w:tcPr>
            <w:tcW w:w="7982" w:type="dxa"/>
          </w:tcPr>
          <w:p>
            <w:pPr>
              <w:pStyle w:val="TableParagraph"/>
              <w:spacing w:line="237" w:lineRule="auto" w:before="155"/>
              <w:ind w:left="140" w:right="107"/>
              <w:jc w:val="both"/>
              <w:rPr>
                <w:sz w:val="21"/>
              </w:rPr>
            </w:pPr>
            <w:r>
              <w:rPr>
                <w:spacing w:val="-3"/>
                <w:sz w:val="21"/>
              </w:rPr>
              <w:t>您方申报的被保险人年龄不真实，并且其真实年龄不符合本附加合同约定的投保年龄</w:t>
            </w:r>
            <w:r>
              <w:rPr>
                <w:spacing w:val="-7"/>
                <w:sz w:val="21"/>
              </w:rPr>
              <w:t>范围的，我方可解除本附加合同。解除合同时，我方将向您方退还本附加合同解除之</w:t>
            </w:r>
            <w:r>
              <w:rPr>
                <w:spacing w:val="-9"/>
                <w:sz w:val="21"/>
              </w:rPr>
              <w:t>日的现金价值扣除未还款项后的余额。若已豁免保险费，则我方有权要求申请人退还已豁免的保险费。</w:t>
            </w:r>
          </w:p>
          <w:p>
            <w:pPr>
              <w:pStyle w:val="TableParagraph"/>
              <w:spacing w:line="237" w:lineRule="auto" w:before="62"/>
              <w:ind w:left="140" w:right="107"/>
              <w:jc w:val="both"/>
              <w:rPr>
                <w:sz w:val="21"/>
              </w:rPr>
            </w:pPr>
            <w:r>
              <w:rPr>
                <w:spacing w:val="-3"/>
                <w:sz w:val="21"/>
              </w:rPr>
              <w:t>您方申报的被保险人年龄不真实，致使实付保险费少于应付保险费的，我方有权更正并要求您方补交保险费。</w:t>
            </w:r>
          </w:p>
          <w:p>
            <w:pPr>
              <w:pStyle w:val="TableParagraph"/>
              <w:spacing w:line="273" w:lineRule="auto" w:before="79"/>
              <w:ind w:right="107"/>
              <w:jc w:val="both"/>
              <w:rPr>
                <w:sz w:val="21"/>
              </w:rPr>
            </w:pPr>
            <w:r>
              <w:rPr>
                <w:spacing w:val="-2"/>
                <w:sz w:val="21"/>
              </w:rPr>
              <w:t>您方申报的被保险人年龄不真实，致使实付保险费多于应付保险费的，我方将多收的保险费无息退还您方。</w:t>
            </w:r>
          </w:p>
        </w:tc>
      </w:tr>
      <w:tr>
        <w:trPr>
          <w:trHeight w:val="5544" w:hRule="atLeast"/>
        </w:trPr>
        <w:tc>
          <w:tcPr>
            <w:tcW w:w="534" w:type="dxa"/>
          </w:tcPr>
          <w:p>
            <w:pPr>
              <w:pStyle w:val="TableParagraph"/>
              <w:spacing w:before="132"/>
              <w:ind w:left="88" w:right="88"/>
              <w:jc w:val="center"/>
              <w:rPr>
                <w:b/>
                <w:sz w:val="21"/>
              </w:rPr>
            </w:pPr>
            <w:r>
              <w:rPr>
                <w:b/>
                <w:sz w:val="21"/>
              </w:rPr>
              <w:t>13.</w:t>
            </w:r>
          </w:p>
        </w:tc>
        <w:tc>
          <w:tcPr>
            <w:tcW w:w="1659" w:type="dxa"/>
          </w:tcPr>
          <w:p>
            <w:pPr>
              <w:pStyle w:val="TableParagraph"/>
              <w:spacing w:line="237" w:lineRule="auto" w:before="134"/>
              <w:ind w:right="106"/>
              <w:rPr>
                <w:b/>
                <w:sz w:val="21"/>
              </w:rPr>
            </w:pPr>
            <w:r>
              <w:rPr>
                <w:b/>
                <w:sz w:val="21"/>
              </w:rPr>
              <w:t>重大疾病的种类和定义</w:t>
            </w:r>
          </w:p>
        </w:tc>
        <w:tc>
          <w:tcPr>
            <w:tcW w:w="7982" w:type="dxa"/>
          </w:tcPr>
          <w:p>
            <w:pPr>
              <w:pStyle w:val="TableParagraph"/>
              <w:spacing w:before="152"/>
              <w:rPr>
                <w:sz w:val="21"/>
              </w:rPr>
            </w:pPr>
            <w:r>
              <w:rPr>
                <w:sz w:val="21"/>
              </w:rPr>
              <w:t>一、 恶性肿瘤</w:t>
            </w:r>
          </w:p>
          <w:p>
            <w:pPr>
              <w:pStyle w:val="TableParagraph"/>
              <w:spacing w:line="273" w:lineRule="auto" w:before="37"/>
              <w:ind w:right="102"/>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b/>
                <w:sz w:val="21"/>
              </w:rPr>
            </w:pPr>
            <w:r>
              <w:rPr>
                <w:b/>
                <w:w w:val="95"/>
                <w:sz w:val="21"/>
                <w:u w:val="single"/>
              </w:rPr>
              <w:t>下列疾病不在保障范围内：</w:t>
            </w:r>
            <w:r>
              <w:rPr>
                <w:b/>
                <w:sz w:val="21"/>
                <w:u w:val="single"/>
              </w:rPr>
              <w:t> </w:t>
            </w:r>
          </w:p>
          <w:p>
            <w:pPr>
              <w:pStyle w:val="TableParagraph"/>
              <w:spacing w:before="36"/>
              <w:jc w:val="both"/>
              <w:rPr>
                <w:b/>
                <w:sz w:val="21"/>
              </w:rPr>
            </w:pPr>
            <w:r>
              <w:rPr>
                <w:b/>
                <w:sz w:val="21"/>
              </w:rPr>
              <w:t>（一）原位癌 </w:t>
            </w:r>
            <w:hyperlink w:history="true" w:anchor="_bookmark7">
              <w:r>
                <w:rPr>
                  <w:b/>
                  <w:position w:val="11"/>
                  <w:sz w:val="11"/>
                </w:rPr>
                <w:t>12</w:t>
              </w:r>
            </w:hyperlink>
            <w:r>
              <w:rPr>
                <w:b/>
                <w:sz w:val="21"/>
              </w:rPr>
              <w:t>；</w:t>
            </w:r>
          </w:p>
          <w:p>
            <w:pPr>
              <w:pStyle w:val="TableParagraph"/>
              <w:spacing w:line="20" w:lineRule="exact"/>
              <w:ind w:left="101"/>
              <w:rPr>
                <w:sz w:val="2"/>
              </w:rPr>
            </w:pPr>
            <w:r>
              <w:rPr>
                <w:rFonts w:ascii="Times New Roman"/>
                <w:spacing w:val="2"/>
                <w:sz w:val="2"/>
              </w:rPr>
              <w:t> </w:t>
            </w:r>
            <w:r>
              <w:rPr>
                <w:spacing w:val="2"/>
                <w:sz w:val="2"/>
              </w:rPr>
              <w:pict>
                <v:group style="width:82.6pt;height:.550pt;mso-position-horizontal-relative:char;mso-position-vertical-relative:line" coordorigin="0,0" coordsize="1652,11">
                  <v:line style="position:absolute" from="0,5" to="1318,5" stroked="true" strokeweight=".54pt" strokecolor="#000000">
                    <v:stroke dashstyle="solid"/>
                  </v:line>
                  <v:line style="position:absolute" from="1327,5" to="1651,5" stroked="true" strokeweight=".54pt" strokecolor="#000000">
                    <v:stroke dashstyle="solid"/>
                  </v:line>
                </v:group>
              </w:pict>
            </w:r>
            <w:r>
              <w:rPr>
                <w:spacing w:val="2"/>
                <w:sz w:val="2"/>
              </w:rPr>
            </w:r>
          </w:p>
          <w:p>
            <w:pPr>
              <w:pStyle w:val="TableParagraph"/>
              <w:spacing w:before="16"/>
              <w:jc w:val="both"/>
              <w:rPr>
                <w:b/>
                <w:sz w:val="21"/>
              </w:rPr>
            </w:pPr>
            <w:r>
              <w:rPr>
                <w:b/>
                <w:sz w:val="21"/>
                <w:u w:val="single"/>
              </w:rPr>
              <w:t>（二）相当于 Binet 分期方案 A 期程度的慢性淋巴细胞白血病； </w:t>
            </w:r>
          </w:p>
          <w:p>
            <w:pPr>
              <w:pStyle w:val="TableParagraph"/>
              <w:spacing w:before="37"/>
              <w:jc w:val="both"/>
              <w:rPr>
                <w:b/>
                <w:sz w:val="21"/>
              </w:rPr>
            </w:pPr>
            <w:r>
              <w:rPr>
                <w:b/>
                <w:sz w:val="21"/>
                <w:u w:val="single"/>
              </w:rPr>
              <w:t>（三）相当于 Ann Arbor 分期方案 I 期程度的何杰金氏病； </w:t>
            </w:r>
          </w:p>
          <w:p>
            <w:pPr>
              <w:pStyle w:val="TableParagraph"/>
              <w:spacing w:before="37"/>
              <w:jc w:val="both"/>
              <w:rPr>
                <w:b/>
                <w:sz w:val="21"/>
              </w:rPr>
            </w:pPr>
            <w:r>
              <w:rPr>
                <w:b/>
                <w:w w:val="95"/>
                <w:sz w:val="21"/>
                <w:u w:val="single"/>
              </w:rPr>
              <w:t>（四）皮肤癌（不包括恶性黑色素瘤及已发生转移的皮肤癌）；</w:t>
            </w:r>
            <w:r>
              <w:rPr>
                <w:b/>
                <w:sz w:val="21"/>
                <w:u w:val="single"/>
              </w:rPr>
              <w:t> </w:t>
            </w:r>
          </w:p>
          <w:p>
            <w:pPr>
              <w:pStyle w:val="TableParagraph"/>
              <w:spacing w:before="36"/>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jc w:val="both"/>
              <w:rPr>
                <w:b/>
                <w:sz w:val="21"/>
              </w:rPr>
            </w:pPr>
            <w:r>
              <w:rPr>
                <w:b/>
                <w:w w:val="95"/>
                <w:sz w:val="21"/>
                <w:u w:val="single"/>
              </w:rPr>
              <w:t>（六）感染艾滋病病毒或患艾滋病期间所患恶性肿瘤。</w:t>
            </w:r>
          </w:p>
          <w:p>
            <w:pPr>
              <w:pStyle w:val="TableParagraph"/>
              <w:spacing w:before="9"/>
              <w:ind w:left="0"/>
              <w:rPr>
                <w:sz w:val="26"/>
              </w:rPr>
            </w:pPr>
          </w:p>
          <w:p>
            <w:pPr>
              <w:pStyle w:val="TableParagraph"/>
              <w:jc w:val="both"/>
              <w:rPr>
                <w:sz w:val="21"/>
              </w:rPr>
            </w:pPr>
            <w:r>
              <w:rPr>
                <w:sz w:val="21"/>
              </w:rPr>
              <w:t>二、 急性心肌梗塞</w:t>
            </w:r>
          </w:p>
          <w:p>
            <w:pPr>
              <w:pStyle w:val="TableParagraph"/>
              <w:spacing w:line="273" w:lineRule="auto" w:before="99"/>
              <w:ind w:right="65"/>
              <w:rPr>
                <w:sz w:val="21"/>
              </w:rPr>
            </w:pPr>
            <w:r>
              <w:rPr>
                <w:sz w:val="21"/>
              </w:rPr>
              <w:t>指因冠状动脉阻塞导致的相应区域供血不足造成部分心肌坏死。须满足下列至少三项条件：</w:t>
            </w:r>
          </w:p>
          <w:p>
            <w:pPr>
              <w:pStyle w:val="TableParagraph"/>
              <w:spacing w:line="255" w:lineRule="exact" w:before="69"/>
              <w:jc w:val="both"/>
              <w:rPr>
                <w:sz w:val="21"/>
              </w:rPr>
            </w:pPr>
            <w:r>
              <w:rPr>
                <w:sz w:val="21"/>
              </w:rPr>
              <w:t>（一）典型临床表现，例如急性胸痛等；</w:t>
            </w:r>
          </w:p>
        </w:tc>
      </w:tr>
    </w:tbl>
    <w:p>
      <w:pPr>
        <w:pStyle w:val="BodyText"/>
        <w:spacing w:before="6"/>
      </w:pPr>
      <w:r>
        <w:rPr/>
        <w:pict>
          <v:line style="position:absolute;mso-position-horizontal-relative:page;mso-position-vertical-relative:paragraph;z-index:1288;mso-wrap-distance-left:0;mso-wrap-distance-right:0" from="48.18pt,16.323999pt" to="192.18pt,16.323999pt" stroked="true" strokeweight=".54pt" strokecolor="#000000">
            <v:stroke dashstyle="solid"/>
            <w10:wrap type="topAndBottom"/>
          </v:line>
        </w:pict>
      </w:r>
    </w:p>
    <w:p>
      <w:pPr>
        <w:pStyle w:val="BodyText"/>
        <w:spacing w:line="261" w:lineRule="auto" w:before="14"/>
        <w:ind w:left="223" w:right="308"/>
        <w:jc w:val="both"/>
      </w:pPr>
      <w:bookmarkStart w:name="_bookmark7" w:id="8"/>
      <w:bookmarkEnd w:id="8"/>
      <w:r>
        <w:rPr/>
      </w:r>
      <w:r>
        <w:rPr>
          <w:rFonts w:ascii="Microsoft JhengHei" w:eastAsia="Microsoft JhengHei" w:hint="eastAsia"/>
          <w:b/>
          <w:position w:val="5"/>
          <w:sz w:val="14"/>
        </w:rPr>
        <w:t>12 </w:t>
      </w:r>
      <w:r>
        <w:rPr>
          <w:rFonts w:ascii="Microsoft JhengHei" w:eastAsia="Microsoft JhengHei" w:hint="eastAsia"/>
          <w:b/>
          <w:spacing w:val="-6"/>
        </w:rPr>
        <w:t>原位癌：</w:t>
      </w:r>
      <w:r>
        <w:rPr>
          <w:spacing w:val="-1"/>
        </w:rPr>
        <w:t>指恶性肿瘤细胞仅局限于粘膜的上皮层或皮肤的表皮层内，尚未穿透基底膜浸润到粘膜下层或真</w:t>
      </w:r>
      <w:r>
        <w:rPr>
          <w:spacing w:val="-8"/>
        </w:rPr>
        <w:t>皮层的恶性肿瘤。原位癌必须经对固定活组织的组织病理学检查明确诊断</w:t>
      </w:r>
      <w:r>
        <w:rPr>
          <w:rFonts w:ascii="Microsoft JhengHei" w:eastAsia="Microsoft JhengHei" w:hint="eastAsia"/>
        </w:rPr>
        <w:t>,</w:t>
      </w:r>
      <w:r>
        <w:rPr/>
        <w:t>且被保险人已经接受了针对原位癌病灶的积极治疗。</w:t>
      </w:r>
    </w:p>
    <w:p>
      <w:pPr>
        <w:spacing w:after="0" w:line="261" w:lineRule="auto"/>
        <w:jc w:val="both"/>
        <w:sectPr>
          <w:pgSz w:w="11910" w:h="16840"/>
          <w:pgMar w:header="0" w:footer="885" w:top="1140" w:bottom="1080" w:left="740" w:right="760"/>
        </w:sectPr>
      </w:pPr>
    </w:p>
    <w:p>
      <w:pPr>
        <w:pStyle w:val="BodyText"/>
        <w:spacing w:before="20"/>
        <w:ind w:left="2296"/>
      </w:pPr>
      <w:r>
        <w:rPr/>
        <w:t>（二）新近的心电图改变提示急性心肌梗塞；</w:t>
      </w:r>
    </w:p>
    <w:p>
      <w:pPr>
        <w:pStyle w:val="BodyText"/>
        <w:spacing w:before="99"/>
        <w:ind w:left="2296"/>
      </w:pPr>
      <w:r>
        <w:rPr/>
        <w:t>（三）心肌酶或肌钙蛋白有诊断意义的升高，或呈符合急性心肌梗塞的动态性变化；</w:t>
      </w:r>
    </w:p>
    <w:p>
      <w:pPr>
        <w:pStyle w:val="BodyText"/>
        <w:spacing w:before="98"/>
        <w:ind w:left="2296"/>
      </w:pPr>
      <w:r>
        <w:rPr/>
        <w:t>（四）发病 90 天后，经检查证实左心室功能降低，如左心室射血分数低于 50％。</w:t>
      </w:r>
    </w:p>
    <w:p>
      <w:pPr>
        <w:pStyle w:val="BodyText"/>
        <w:rPr>
          <w:sz w:val="20"/>
        </w:rPr>
      </w:pPr>
    </w:p>
    <w:p>
      <w:pPr>
        <w:pStyle w:val="BodyText"/>
        <w:spacing w:before="2"/>
        <w:rPr>
          <w:sz w:val="16"/>
        </w:rPr>
      </w:pPr>
    </w:p>
    <w:p>
      <w:pPr>
        <w:pStyle w:val="BodyText"/>
        <w:ind w:left="2295"/>
      </w:pPr>
      <w:r>
        <w:rPr/>
        <w:t>三、 脑中风后遗症</w:t>
      </w:r>
    </w:p>
    <w:p>
      <w:pPr>
        <w:pStyle w:val="BodyText"/>
        <w:spacing w:line="273" w:lineRule="auto" w:before="98"/>
        <w:ind w:left="2295" w:right="142"/>
        <w:jc w:val="both"/>
      </w:pPr>
      <w:r>
        <w:rPr>
          <w:spacing w:val="-2"/>
        </w:rPr>
        <w:t>指因脑血管的突发病变引起脑血管出血、栓塞或梗塞，并导致神经系统永久性的功能</w:t>
      </w:r>
      <w:r>
        <w:rPr>
          <w:spacing w:val="-5"/>
        </w:rPr>
        <w:t>障碍。神经系统永久性的功能障碍，指疾病确诊 </w:t>
      </w:r>
      <w:r>
        <w:rPr/>
        <w:t>180</w:t>
      </w:r>
      <w:r>
        <w:rPr>
          <w:spacing w:val="-8"/>
        </w:rPr>
        <w:t> 天后，仍遗留下列一种或一种以上障碍：</w:t>
      </w:r>
    </w:p>
    <w:p>
      <w:pPr>
        <w:spacing w:before="70"/>
        <w:ind w:left="2296" w:right="0" w:firstLine="0"/>
        <w:jc w:val="left"/>
        <w:rPr>
          <w:sz w:val="21"/>
        </w:rPr>
      </w:pPr>
      <w:r>
        <w:rPr>
          <w:sz w:val="21"/>
        </w:rPr>
        <w:t>（一）一肢或一肢以上</w:t>
      </w:r>
      <w:r>
        <w:rPr>
          <w:b/>
          <w:sz w:val="21"/>
        </w:rPr>
        <w:t>肢体机能完全丧失 </w:t>
      </w:r>
      <w:hyperlink w:history="true" w:anchor="_bookmark8">
        <w:r>
          <w:rPr>
            <w:b/>
            <w:position w:val="11"/>
            <w:sz w:val="11"/>
          </w:rPr>
          <w:t>13</w:t>
        </w:r>
      </w:hyperlink>
      <w:r>
        <w:rPr>
          <w:sz w:val="21"/>
        </w:rPr>
        <w:t>；</w:t>
      </w:r>
    </w:p>
    <w:p>
      <w:pPr>
        <w:spacing w:before="37"/>
        <w:ind w:left="2296" w:right="0" w:firstLine="0"/>
        <w:jc w:val="left"/>
        <w:rPr>
          <w:sz w:val="21"/>
        </w:rPr>
      </w:pPr>
      <w:r>
        <w:rPr>
          <w:sz w:val="21"/>
        </w:rPr>
        <w:t>（二）</w:t>
      </w:r>
      <w:r>
        <w:rPr>
          <w:b/>
          <w:sz w:val="21"/>
        </w:rPr>
        <w:t>语言能力或咀嚼吞咽能力完全丧失 </w:t>
      </w:r>
      <w:hyperlink w:history="true" w:anchor="_bookmark8">
        <w:r>
          <w:rPr>
            <w:b/>
            <w:position w:val="11"/>
            <w:sz w:val="11"/>
          </w:rPr>
          <w:t>14</w:t>
        </w:r>
      </w:hyperlink>
      <w:r>
        <w:rPr>
          <w:sz w:val="21"/>
        </w:rPr>
        <w:t>；</w:t>
      </w:r>
    </w:p>
    <w:p>
      <w:pPr>
        <w:spacing w:line="273" w:lineRule="auto" w:before="37"/>
        <w:ind w:left="2295" w:right="96" w:firstLine="0"/>
        <w:jc w:val="left"/>
        <w:rPr>
          <w:sz w:val="21"/>
        </w:rPr>
      </w:pPr>
      <w:r>
        <w:rPr>
          <w:sz w:val="21"/>
        </w:rPr>
        <w:t>（三）自主生活能力完全丧失，无法独立完成</w:t>
      </w:r>
      <w:r>
        <w:rPr>
          <w:b/>
          <w:sz w:val="21"/>
        </w:rPr>
        <w:t>六项基本日常生活活动 </w:t>
      </w:r>
      <w:hyperlink w:history="true" w:anchor="_bookmark8">
        <w:r>
          <w:rPr>
            <w:b/>
            <w:position w:val="11"/>
            <w:sz w:val="11"/>
          </w:rPr>
          <w:t>15</w:t>
        </w:r>
      </w:hyperlink>
      <w:r>
        <w:rPr>
          <w:sz w:val="21"/>
        </w:rPr>
        <w:t>中的三项或三项以上。</w:t>
      </w:r>
    </w:p>
    <w:p>
      <w:pPr>
        <w:pStyle w:val="BodyText"/>
        <w:rPr>
          <w:sz w:val="20"/>
        </w:rPr>
      </w:pPr>
    </w:p>
    <w:p>
      <w:pPr>
        <w:pStyle w:val="BodyText"/>
        <w:spacing w:before="11"/>
        <w:rPr>
          <w:sz w:val="13"/>
        </w:rPr>
      </w:pPr>
    </w:p>
    <w:p>
      <w:pPr>
        <w:pStyle w:val="BodyText"/>
        <w:ind w:left="2295"/>
      </w:pPr>
      <w:r>
        <w:rPr/>
        <w:t>四、 重大器官移植术或造血干细胞移植术</w:t>
      </w:r>
    </w:p>
    <w:p>
      <w:pPr>
        <w:pStyle w:val="BodyText"/>
        <w:spacing w:line="273" w:lineRule="auto" w:before="99"/>
        <w:ind w:left="2295" w:right="143"/>
      </w:pPr>
      <w:r>
        <w:rPr/>
        <w:t>重大器官移植术，指因相应器官功能衰竭，已经实施了肾脏、肝脏、心脏或肺脏的异体移植手术。</w:t>
      </w:r>
    </w:p>
    <w:p>
      <w:pPr>
        <w:pStyle w:val="BodyText"/>
        <w:spacing w:before="70"/>
        <w:ind w:left="2295"/>
      </w:pPr>
      <w:r>
        <w:rPr/>
        <w:t>造血干细胞移植术，指因造血功能损害或造血系统恶性肿瘤，已经实施了造血干细胞</w:t>
      </w:r>
    </w:p>
    <w:p>
      <w:pPr>
        <w:pStyle w:val="BodyText"/>
        <w:spacing w:before="37"/>
        <w:ind w:left="2295"/>
      </w:pPr>
      <w:r>
        <w:rPr/>
        <w:t>（包括骨髓造血干细胞、外周血造血干细胞和脐血造血干细胞）的异体移植手术。</w:t>
      </w:r>
    </w:p>
    <w:p>
      <w:pPr>
        <w:pStyle w:val="BodyText"/>
        <w:rPr>
          <w:sz w:val="20"/>
        </w:rPr>
      </w:pPr>
    </w:p>
    <w:p>
      <w:pPr>
        <w:pStyle w:val="BodyText"/>
        <w:spacing w:before="1"/>
        <w:rPr>
          <w:sz w:val="16"/>
        </w:rPr>
      </w:pPr>
    </w:p>
    <w:p>
      <w:pPr>
        <w:pStyle w:val="BodyText"/>
        <w:ind w:left="2295"/>
      </w:pPr>
      <w:r>
        <w:rPr/>
        <w:t>五、 冠状动脉搭桥术（或称冠状动脉旁路移植术）</w:t>
      </w:r>
    </w:p>
    <w:p>
      <w:pPr>
        <w:pStyle w:val="BodyText"/>
        <w:spacing w:before="99"/>
        <w:ind w:left="2295"/>
      </w:pPr>
      <w:r>
        <w:rPr/>
        <w:t>指为治疗严重的冠心病，实际实施了开胸进行的冠状动脉血管旁路移植的手术。</w:t>
      </w:r>
    </w:p>
    <w:p>
      <w:pPr>
        <w:pStyle w:val="Heading2"/>
        <w:spacing w:line="273" w:lineRule="auto" w:before="98"/>
        <w:ind w:left="2296" w:right="108"/>
      </w:pPr>
      <w:r>
        <w:rPr>
          <w:u w:val="single"/>
        </w:rPr>
        <w:t>冠状动脉支架植入术、心导管球囊扩张术、激光射频技术及其它非开胸的介入手术、</w:t>
      </w:r>
      <w:r>
        <w:rPr>
          <w:w w:val="95"/>
          <w:u w:val="single"/>
        </w:rPr>
        <w:t>腔镜手术不在保障范围内。</w:t>
      </w:r>
      <w:r>
        <w:rPr>
          <w:u w:val="single"/>
        </w:rPr>
        <w:t> </w:t>
      </w:r>
    </w:p>
    <w:p>
      <w:pPr>
        <w:pStyle w:val="BodyText"/>
        <w:rPr>
          <w:b/>
          <w:sz w:val="20"/>
        </w:rPr>
      </w:pPr>
    </w:p>
    <w:p>
      <w:pPr>
        <w:pStyle w:val="BodyText"/>
        <w:spacing w:before="12"/>
        <w:rPr>
          <w:b/>
          <w:sz w:val="13"/>
        </w:rPr>
      </w:pPr>
    </w:p>
    <w:p>
      <w:pPr>
        <w:pStyle w:val="BodyText"/>
        <w:spacing w:before="1"/>
        <w:ind w:left="2296"/>
      </w:pPr>
      <w:r>
        <w:rPr/>
        <w:t>六、 终末期肾病（或称慢性肾功能衰竭尿毒症期）</w:t>
      </w:r>
    </w:p>
    <w:p>
      <w:pPr>
        <w:pStyle w:val="BodyText"/>
        <w:spacing w:line="273" w:lineRule="auto" w:before="98"/>
        <w:ind w:left="2295" w:right="143"/>
      </w:pPr>
      <w:r>
        <w:rPr/>
        <w:t>指双肾功能慢性不可逆性衰竭，达到尿毒症期，经诊断后已经进行了至少 90 天的规律性透析治疗或实施了肾脏移植手术。</w:t>
      </w:r>
    </w:p>
    <w:p>
      <w:pPr>
        <w:pStyle w:val="BodyText"/>
        <w:rPr>
          <w:sz w:val="20"/>
        </w:rPr>
      </w:pPr>
    </w:p>
    <w:p>
      <w:pPr>
        <w:pStyle w:val="BodyText"/>
        <w:spacing w:before="12"/>
        <w:rPr>
          <w:sz w:val="13"/>
        </w:rPr>
      </w:pPr>
    </w:p>
    <w:p>
      <w:pPr>
        <w:pStyle w:val="BodyText"/>
        <w:ind w:left="2295"/>
      </w:pPr>
      <w:r>
        <w:rPr/>
        <w:t>七、 多个肢体缺失</w:t>
      </w:r>
    </w:p>
    <w:p>
      <w:pPr>
        <w:pStyle w:val="BodyText"/>
        <w:spacing w:before="98"/>
        <w:ind w:left="2295"/>
      </w:pPr>
      <w:r>
        <w:rPr/>
        <w:t>指因疾病或意外伤害导致两个或两个以上肢体自腕关节或踝关节近端（靠近躯干端）</w:t>
      </w:r>
    </w:p>
    <w:p>
      <w:pPr>
        <w:pStyle w:val="BodyText"/>
        <w:rPr>
          <w:sz w:val="20"/>
        </w:rPr>
      </w:pPr>
    </w:p>
    <w:p>
      <w:pPr>
        <w:pStyle w:val="BodyText"/>
        <w:spacing w:before="3"/>
        <w:rPr>
          <w:sz w:val="20"/>
        </w:rPr>
      </w:pPr>
      <w:r>
        <w:rPr/>
        <w:pict>
          <v:line style="position:absolute;mso-position-horizontal-relative:page;mso-position-vertical-relative:paragraph;z-index:1312;mso-wrap-distance-left:0;mso-wrap-distance-right:0" from="48.18pt,15.520533pt" to="192.18pt,15.520533pt" stroked="true" strokeweight=".54pt" strokecolor="#000000">
            <v:stroke dashstyle="solid"/>
            <w10:wrap type="topAndBottom"/>
          </v:line>
        </w:pict>
      </w:r>
    </w:p>
    <w:p>
      <w:pPr>
        <w:pStyle w:val="BodyText"/>
        <w:spacing w:line="283" w:lineRule="auto" w:before="14"/>
        <w:ind w:left="103" w:right="228"/>
      </w:pPr>
      <w:bookmarkStart w:name="_bookmark8" w:id="9"/>
      <w:bookmarkEnd w:id="9"/>
      <w:r>
        <w:rPr/>
      </w:r>
      <w:r>
        <w:rPr>
          <w:rFonts w:ascii="Microsoft JhengHei" w:eastAsia="Microsoft JhengHei" w:hint="eastAsia"/>
          <w:b/>
          <w:position w:val="5"/>
          <w:sz w:val="14"/>
        </w:rPr>
        <w:t>13 </w:t>
      </w:r>
      <w:r>
        <w:rPr>
          <w:rFonts w:ascii="Microsoft JhengHei" w:eastAsia="Microsoft JhengHei" w:hint="eastAsia"/>
          <w:b/>
        </w:rPr>
        <w:t>肢体机能完全丧失：</w:t>
      </w:r>
      <w:r>
        <w:rPr/>
        <w:t>指肢体的三大关节中的两大关节僵硬，或不能随意识活动。肢体是指包括肩关节的整个上肢或包括髋关节的整个下肢。</w:t>
      </w:r>
    </w:p>
    <w:p>
      <w:pPr>
        <w:pStyle w:val="BodyText"/>
        <w:spacing w:line="366" w:lineRule="exact" w:before="5"/>
        <w:ind w:left="103" w:right="119"/>
      </w:pPr>
      <w:r>
        <w:rPr>
          <w:rFonts w:ascii="Microsoft JhengHei" w:eastAsia="Microsoft JhengHei" w:hint="eastAsia"/>
          <w:b/>
          <w:position w:val="5"/>
          <w:sz w:val="14"/>
        </w:rPr>
        <w:t>14 </w:t>
      </w:r>
      <w:r>
        <w:rPr>
          <w:rFonts w:ascii="Microsoft JhengHei" w:eastAsia="Microsoft JhengHei" w:hint="eastAsia"/>
          <w:b/>
        </w:rPr>
        <w:t>语言能力或咀嚼吞咽能力完全丧失：</w:t>
      </w:r>
      <w:r>
        <w:rPr/>
        <w:t>语言能力完全丧失，指无法发出四种语音（包括口唇音、齿舌音、口盖音和喉头音</w:t>
      </w:r>
      <w:r>
        <w:rPr>
          <w:spacing w:val="-26"/>
        </w:rPr>
        <w:t>）</w:t>
      </w:r>
      <w:r>
        <w:rPr>
          <w:spacing w:val="-7"/>
        </w:rPr>
        <w:t>中的任何三种、或声带全部切除，或因大脑语言中枢受伤害而患失语症。咀嚼吞咽能力完全丧</w:t>
      </w:r>
    </w:p>
    <w:p>
      <w:pPr>
        <w:pStyle w:val="BodyText"/>
        <w:spacing w:line="319" w:lineRule="auto" w:before="47"/>
        <w:ind w:left="103" w:right="121"/>
      </w:pPr>
      <w:r>
        <w:rPr>
          <w:spacing w:val="-9"/>
        </w:rPr>
        <w:t>失，指因牙齿以外的原因导致器质障碍或机能障碍，以致不能作咀嚼吞咽运动，除流质食物外不能摄取或吞咽的状态。</w:t>
      </w:r>
    </w:p>
    <w:p>
      <w:pPr>
        <w:pStyle w:val="BodyText"/>
        <w:spacing w:before="17"/>
        <w:ind w:left="103" w:right="123" w:hanging="1"/>
      </w:pPr>
      <w:r>
        <w:rPr>
          <w:rFonts w:ascii="Microsoft JhengHei" w:eastAsia="Microsoft JhengHei" w:hint="eastAsia"/>
          <w:b/>
          <w:spacing w:val="0"/>
          <w:w w:val="93"/>
          <w:position w:val="5"/>
          <w:sz w:val="14"/>
        </w:rPr>
        <w:t>1</w:t>
      </w:r>
      <w:r>
        <w:rPr>
          <w:rFonts w:ascii="Microsoft JhengHei" w:eastAsia="Microsoft JhengHei" w:hint="eastAsia"/>
          <w:b/>
          <w:w w:val="93"/>
          <w:position w:val="5"/>
          <w:sz w:val="14"/>
        </w:rPr>
        <w:t>5</w:t>
      </w:r>
      <w:r>
        <w:rPr>
          <w:rFonts w:ascii="Microsoft JhengHei" w:eastAsia="Microsoft JhengHei" w:hint="eastAsia"/>
          <w:b/>
          <w:position w:val="5"/>
          <w:sz w:val="14"/>
        </w:rPr>
        <w:t>  </w:t>
      </w:r>
      <w:r>
        <w:rPr>
          <w:rFonts w:ascii="Microsoft JhengHei" w:eastAsia="Microsoft JhengHei" w:hint="eastAsia"/>
          <w:b/>
        </w:rPr>
        <w:t>六项基本日常生活活动</w:t>
      </w:r>
      <w:r>
        <w:rPr>
          <w:rFonts w:ascii="Microsoft JhengHei" w:eastAsia="Microsoft JhengHei" w:hint="eastAsia"/>
          <w:b/>
          <w:spacing w:val="-134"/>
        </w:rPr>
        <w:t>：</w:t>
      </w:r>
      <w:r>
        <w:rPr/>
        <w:t>（</w:t>
      </w:r>
      <w:r>
        <w:rPr>
          <w:rFonts w:ascii="Microsoft JhengHei" w:eastAsia="Microsoft JhengHei" w:hint="eastAsia"/>
          <w:spacing w:val="-1"/>
          <w:w w:val="95"/>
        </w:rPr>
        <w:t>1</w:t>
      </w:r>
      <w:r>
        <w:rPr>
          <w:spacing w:val="-28"/>
        </w:rPr>
        <w:t>）</w:t>
      </w:r>
      <w:r>
        <w:rPr>
          <w:spacing w:val="-5"/>
        </w:rPr>
        <w:t>穿衣：自己能够穿衣及脱衣</w:t>
      </w:r>
      <w:r>
        <w:rPr>
          <w:spacing w:val="-133"/>
        </w:rPr>
        <w:t>；</w:t>
      </w:r>
      <w:r>
        <w:rPr/>
        <w:t>（</w:t>
      </w:r>
      <w:r>
        <w:rPr>
          <w:rFonts w:ascii="Microsoft JhengHei" w:eastAsia="Microsoft JhengHei" w:hint="eastAsia"/>
          <w:spacing w:val="-1"/>
          <w:w w:val="95"/>
        </w:rPr>
        <w:t>2</w:t>
      </w:r>
      <w:r>
        <w:rPr>
          <w:spacing w:val="-28"/>
        </w:rPr>
        <w:t>）</w:t>
      </w:r>
      <w:r>
        <w:rPr>
          <w:spacing w:val="-6"/>
        </w:rPr>
        <w:t>移动：自己从一个房间到另一个房间</w:t>
      </w:r>
      <w:r>
        <w:rPr>
          <w:spacing w:val="-132"/>
        </w:rPr>
        <w:t>；</w:t>
      </w:r>
      <w:r>
        <w:rPr>
          <w:spacing w:val="-2"/>
        </w:rPr>
        <w:t>（</w:t>
      </w:r>
      <w:r>
        <w:rPr>
          <w:rFonts w:ascii="Microsoft JhengHei" w:eastAsia="Microsoft JhengHei" w:hint="eastAsia"/>
          <w:spacing w:val="-2"/>
          <w:w w:val="95"/>
        </w:rPr>
        <w:t>3</w:t>
      </w:r>
      <w:r>
        <w:rPr/>
        <w:t>）</w:t>
      </w:r>
      <w:r>
        <w:rPr>
          <w:spacing w:val="-10"/>
        </w:rPr>
        <w:t>行动：自己上下床或上下轮椅；</w:t>
      </w:r>
      <w:r>
        <w:rPr/>
        <w:t>（</w:t>
      </w:r>
      <w:r>
        <w:rPr>
          <w:rFonts w:ascii="Microsoft JhengHei" w:eastAsia="Microsoft JhengHei" w:hint="eastAsia"/>
          <w:spacing w:val="-1"/>
          <w:w w:val="95"/>
        </w:rPr>
        <w:t>4</w:t>
      </w:r>
      <w:r>
        <w:rPr>
          <w:spacing w:val="-4"/>
        </w:rPr>
        <w:t>）</w:t>
      </w:r>
      <w:r>
        <w:rPr>
          <w:spacing w:val="-11"/>
        </w:rPr>
        <w:t>如厕：自己控制进行大小便；</w:t>
      </w:r>
      <w:r>
        <w:rPr/>
        <w:t>（</w:t>
      </w:r>
      <w:r>
        <w:rPr>
          <w:rFonts w:ascii="Microsoft JhengHei" w:eastAsia="Microsoft JhengHei" w:hint="eastAsia"/>
          <w:spacing w:val="-1"/>
          <w:w w:val="95"/>
        </w:rPr>
        <w:t>5</w:t>
      </w:r>
      <w:r>
        <w:rPr>
          <w:spacing w:val="-4"/>
        </w:rPr>
        <w:t>）</w:t>
      </w:r>
      <w:r>
        <w:rPr>
          <w:spacing w:val="-2"/>
        </w:rPr>
        <w:t>进食：自己从已准备好的碗或碟中取</w:t>
      </w:r>
      <w:r>
        <w:rPr>
          <w:spacing w:val="-17"/>
        </w:rPr>
        <w:t>食物放入口中；</w:t>
      </w:r>
      <w:r>
        <w:rPr/>
        <w:t>（</w:t>
      </w:r>
      <w:r>
        <w:rPr>
          <w:rFonts w:ascii="Microsoft JhengHei" w:eastAsia="Microsoft JhengHei" w:hint="eastAsia"/>
          <w:spacing w:val="-1"/>
          <w:w w:val="95"/>
        </w:rPr>
        <w:t>6</w:t>
      </w:r>
      <w:r>
        <w:rPr/>
        <w:t>）洗澡：自己进行淋浴或盆浴。</w:t>
      </w:r>
    </w:p>
    <w:p>
      <w:pPr>
        <w:spacing w:after="0"/>
        <w:sectPr>
          <w:pgSz w:w="11910" w:h="16840"/>
          <w:pgMar w:header="0" w:footer="885" w:top="1080" w:bottom="1080" w:left="860" w:right="840"/>
        </w:sectPr>
      </w:pPr>
    </w:p>
    <w:p>
      <w:pPr>
        <w:pStyle w:val="BodyText"/>
        <w:spacing w:before="20"/>
        <w:ind w:left="1476"/>
      </w:pPr>
      <w:r>
        <w:rPr/>
        <w:t>以上完全性断离。</w:t>
      </w:r>
    </w:p>
    <w:p>
      <w:pPr>
        <w:pStyle w:val="BodyText"/>
        <w:rPr>
          <w:sz w:val="20"/>
        </w:rPr>
      </w:pPr>
    </w:p>
    <w:p>
      <w:pPr>
        <w:pStyle w:val="BodyText"/>
        <w:rPr>
          <w:sz w:val="16"/>
        </w:rPr>
      </w:pPr>
    </w:p>
    <w:p>
      <w:pPr>
        <w:pStyle w:val="BodyText"/>
        <w:spacing w:before="1"/>
        <w:ind w:left="1476"/>
      </w:pPr>
      <w:r>
        <w:rPr/>
        <w:t>八、 急性或亚急性重症肝炎</w:t>
      </w:r>
    </w:p>
    <w:p>
      <w:pPr>
        <w:pStyle w:val="BodyText"/>
        <w:spacing w:line="273" w:lineRule="auto" w:before="99"/>
        <w:ind w:left="1475" w:right="123"/>
      </w:pPr>
      <w:r>
        <w:rPr/>
        <w:t>指因肝炎病毒感染引起肝脏组织弥漫性坏死，导致急性肝功能衰竭，且经血清学或病毒学检查证实，并须满足下列全部条件：</w:t>
      </w:r>
    </w:p>
    <w:p>
      <w:pPr>
        <w:pStyle w:val="BodyText"/>
        <w:spacing w:before="69"/>
        <w:ind w:left="1475"/>
        <w:jc w:val="both"/>
      </w:pPr>
      <w:r>
        <w:rPr/>
        <w:t>（一）重度黄疸或黄疸迅速加重；</w:t>
      </w:r>
    </w:p>
    <w:p>
      <w:pPr>
        <w:pStyle w:val="BodyText"/>
        <w:spacing w:before="97"/>
        <w:ind w:left="1475"/>
        <w:jc w:val="both"/>
      </w:pPr>
      <w:r>
        <w:rPr/>
        <w:t>（二）肝性脑病；</w:t>
      </w:r>
    </w:p>
    <w:p>
      <w:pPr>
        <w:pStyle w:val="BodyText"/>
        <w:spacing w:before="99"/>
        <w:ind w:left="1475"/>
        <w:jc w:val="both"/>
      </w:pPr>
      <w:r>
        <w:rPr/>
        <w:t>（三）B 超或其它影像学检查显示肝脏体积急速萎缩；</w:t>
      </w:r>
    </w:p>
    <w:p>
      <w:pPr>
        <w:pStyle w:val="BodyText"/>
        <w:spacing w:before="99"/>
        <w:ind w:left="1475"/>
        <w:jc w:val="both"/>
      </w:pPr>
      <w:r>
        <w:rPr/>
        <w:t>（四）肝功能指标进行性恶化。</w:t>
      </w:r>
    </w:p>
    <w:p>
      <w:pPr>
        <w:pStyle w:val="BodyText"/>
        <w:rPr>
          <w:sz w:val="20"/>
        </w:rPr>
      </w:pPr>
    </w:p>
    <w:p>
      <w:pPr>
        <w:pStyle w:val="BodyText"/>
        <w:rPr>
          <w:sz w:val="16"/>
        </w:rPr>
      </w:pPr>
    </w:p>
    <w:p>
      <w:pPr>
        <w:pStyle w:val="BodyText"/>
        <w:spacing w:before="1"/>
        <w:ind w:left="1475"/>
        <w:jc w:val="both"/>
      </w:pPr>
      <w:r>
        <w:rPr/>
        <w:t>九、 良性脑肿瘤</w:t>
      </w:r>
    </w:p>
    <w:p>
      <w:pPr>
        <w:pStyle w:val="BodyText"/>
        <w:spacing w:line="273" w:lineRule="auto" w:before="99"/>
        <w:ind w:left="1475" w:right="119"/>
        <w:jc w:val="both"/>
      </w:pPr>
      <w:r>
        <w:rPr/>
        <w:t>指脑的良性肿瘤，已经引起颅内压增高，临床表现为视神经乳头水肿、精神症状、癫痫及运动感觉障碍等，并危及生命。须由头颅断层扫描（</w:t>
      </w:r>
      <w:r>
        <w:rPr>
          <w:spacing w:val="-1"/>
        </w:rPr>
        <w:t>C</w:t>
      </w:r>
      <w:r>
        <w:rPr/>
        <w:t>T</w:t>
      </w:r>
      <w:r>
        <w:rPr>
          <w:spacing w:val="-105"/>
        </w:rPr>
        <w:t>）</w:t>
      </w:r>
      <w:r>
        <w:rPr>
          <w:spacing w:val="-1"/>
        </w:rPr>
        <w:t>、核磁共振检查</w:t>
      </w:r>
      <w:r>
        <w:rPr/>
        <w:t>（M</w:t>
      </w:r>
      <w:r>
        <w:rPr>
          <w:spacing w:val="-1"/>
        </w:rPr>
        <w:t>RI</w:t>
      </w:r>
      <w:r>
        <w:rPr/>
        <w:t>）</w:t>
      </w:r>
      <w:r>
        <w:rPr>
          <w:spacing w:val="-1"/>
        </w:rPr>
        <w:t>或正电子发射断层扫描</w:t>
      </w:r>
      <w:r>
        <w:rPr/>
        <w:t>（PET）等影像学检查证实，并须满足下列至少一项条件：</w:t>
      </w:r>
    </w:p>
    <w:p>
      <w:pPr>
        <w:pStyle w:val="BodyText"/>
        <w:spacing w:before="68"/>
        <w:ind w:left="1475"/>
        <w:jc w:val="both"/>
      </w:pPr>
      <w:r>
        <w:rPr/>
        <w:t>（一）实际实施了开颅进行的脑肿瘤完全切除或部分切除的手术；</w:t>
      </w:r>
    </w:p>
    <w:p>
      <w:pPr>
        <w:pStyle w:val="BodyText"/>
        <w:spacing w:before="99"/>
        <w:ind w:left="1475"/>
        <w:jc w:val="both"/>
      </w:pPr>
      <w:r>
        <w:rPr/>
        <w:t>（二）实际实施了对脑肿瘤进行的放射治疗。</w:t>
      </w:r>
    </w:p>
    <w:p>
      <w:pPr>
        <w:pStyle w:val="Heading2"/>
        <w:spacing w:before="99"/>
        <w:ind w:left="1476"/>
        <w:jc w:val="both"/>
      </w:pPr>
      <w:r>
        <w:rPr>
          <w:w w:val="95"/>
          <w:u w:val="single"/>
        </w:rPr>
        <w:t>脑垂体瘤、脑囊肿、脑血管性疾病不在保障范围内。</w:t>
      </w:r>
      <w:r>
        <w:rPr>
          <w:u w:val="single"/>
        </w:rPr>
        <w:t> </w:t>
      </w:r>
    </w:p>
    <w:p>
      <w:pPr>
        <w:pStyle w:val="BodyText"/>
        <w:rPr>
          <w:b/>
          <w:sz w:val="20"/>
        </w:rPr>
      </w:pPr>
    </w:p>
    <w:p>
      <w:pPr>
        <w:pStyle w:val="BodyText"/>
        <w:spacing w:before="1"/>
        <w:rPr>
          <w:b/>
          <w:sz w:val="16"/>
        </w:rPr>
      </w:pPr>
    </w:p>
    <w:p>
      <w:pPr>
        <w:pStyle w:val="BodyText"/>
        <w:spacing w:before="1"/>
        <w:ind w:left="1476"/>
      </w:pPr>
      <w:r>
        <w:rPr/>
        <w:t>十、 慢性肝功能衰竭失代偿期</w:t>
      </w:r>
    </w:p>
    <w:p>
      <w:pPr>
        <w:pStyle w:val="BodyText"/>
        <w:spacing w:before="100"/>
        <w:ind w:left="1475"/>
      </w:pPr>
      <w:r>
        <w:rPr/>
        <w:t>指因慢性肝脏疾病导致肝功能衰竭。须满足下列全部条件：</w:t>
      </w:r>
    </w:p>
    <w:p>
      <w:pPr>
        <w:pStyle w:val="BodyText"/>
        <w:spacing w:before="98"/>
        <w:ind w:left="1475"/>
      </w:pPr>
      <w:r>
        <w:rPr/>
        <w:t>（一）持续性黄疸；</w:t>
      </w:r>
    </w:p>
    <w:p>
      <w:pPr>
        <w:pStyle w:val="BodyText"/>
        <w:spacing w:before="99"/>
        <w:ind w:left="1475"/>
      </w:pPr>
      <w:r>
        <w:rPr/>
        <w:t>（二）腹水；</w:t>
      </w:r>
    </w:p>
    <w:p>
      <w:pPr>
        <w:pStyle w:val="BodyText"/>
        <w:spacing w:before="99"/>
        <w:ind w:left="1475"/>
      </w:pPr>
      <w:r>
        <w:rPr/>
        <w:t>（三）肝性脑病；</w:t>
      </w:r>
    </w:p>
    <w:p>
      <w:pPr>
        <w:spacing w:line="326" w:lineRule="auto" w:before="98"/>
        <w:ind w:left="1476" w:right="2638"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rPr>
          <w:b/>
          <w:sz w:val="27"/>
        </w:rPr>
      </w:pPr>
    </w:p>
    <w:p>
      <w:pPr>
        <w:pStyle w:val="BodyText"/>
        <w:spacing w:before="36"/>
        <w:ind w:left="1476"/>
      </w:pPr>
      <w:r>
        <w:rPr/>
        <w:t>十一、 脑炎后遗症或脑膜炎后遗症</w:t>
      </w:r>
    </w:p>
    <w:p>
      <w:pPr>
        <w:pStyle w:val="BodyText"/>
        <w:spacing w:line="273" w:lineRule="auto" w:before="99"/>
        <w:ind w:left="1475" w:right="116"/>
      </w:pPr>
      <w:r>
        <w:rPr/>
        <w:t>指因患脑炎或脑膜炎导致的神经系统永久性的功能障碍。神经系统永久性的功能障碍，指疾病确诊 180 天后，仍遗留下列一种或一种以上障碍：</w:t>
      </w:r>
    </w:p>
    <w:p>
      <w:pPr>
        <w:pStyle w:val="BodyText"/>
        <w:spacing w:before="69"/>
        <w:ind w:left="1475"/>
      </w:pPr>
      <w:r>
        <w:rPr/>
        <w:t>（一）一肢或一肢以上肢体机能完全丧失；</w:t>
      </w:r>
    </w:p>
    <w:p>
      <w:pPr>
        <w:pStyle w:val="BodyText"/>
        <w:spacing w:before="97"/>
        <w:ind w:left="1475"/>
      </w:pPr>
      <w:r>
        <w:rPr/>
        <w:t>（二）语言能力或咀嚼吞咽能力完全丧失；</w:t>
      </w:r>
    </w:p>
    <w:p>
      <w:pPr>
        <w:pStyle w:val="BodyText"/>
        <w:spacing w:line="273" w:lineRule="auto" w:before="99"/>
        <w:ind w:left="1475" w:right="123"/>
      </w:pPr>
      <w:r>
        <w:rPr/>
        <w:t>（三）自主生活能力完全丧失，无法独立完成六项基本日常生活活动中的三项或三项以上。</w:t>
      </w:r>
    </w:p>
    <w:p>
      <w:pPr>
        <w:pStyle w:val="BodyText"/>
        <w:rPr>
          <w:sz w:val="20"/>
        </w:rPr>
      </w:pPr>
    </w:p>
    <w:p>
      <w:pPr>
        <w:pStyle w:val="BodyText"/>
        <w:spacing w:before="11"/>
        <w:rPr>
          <w:sz w:val="13"/>
        </w:rPr>
      </w:pPr>
    </w:p>
    <w:p>
      <w:pPr>
        <w:pStyle w:val="BodyText"/>
        <w:ind w:left="1475"/>
      </w:pPr>
      <w:r>
        <w:rPr/>
        <w:t>十二、 深度昏迷</w:t>
      </w:r>
    </w:p>
    <w:p>
      <w:pPr>
        <w:pStyle w:val="BodyText"/>
        <w:spacing w:line="273" w:lineRule="auto" w:before="99"/>
        <w:ind w:left="1475" w:right="123"/>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Heading2"/>
        <w:spacing w:before="70"/>
        <w:ind w:left="1476"/>
      </w:pPr>
      <w:r>
        <w:rPr>
          <w:w w:val="95"/>
          <w:u w:val="single"/>
        </w:rPr>
        <w:t>因酗酒或药物滥用导致的深度昏迷不在保障范围内。</w:t>
      </w:r>
      <w:r>
        <w:rPr>
          <w:u w:val="single"/>
        </w:rPr>
        <w:t> </w:t>
      </w:r>
    </w:p>
    <w:p>
      <w:pPr>
        <w:spacing w:after="0"/>
        <w:sectPr>
          <w:pgSz w:w="11910" w:h="16840"/>
          <w:pgMar w:header="0" w:footer="885" w:top="1080" w:bottom="1080" w:left="1680" w:right="860"/>
        </w:sectPr>
      </w:pPr>
    </w:p>
    <w:p>
      <w:pPr>
        <w:pStyle w:val="BodyText"/>
        <w:spacing w:before="20"/>
        <w:ind w:left="2296"/>
      </w:pPr>
      <w:r>
        <w:rPr/>
        <w:t>十三、 双耳失聪</w:t>
      </w:r>
    </w:p>
    <w:p>
      <w:pPr>
        <w:pStyle w:val="BodyText"/>
        <w:spacing w:before="99"/>
        <w:ind w:left="2296"/>
      </w:pPr>
      <w:r>
        <w:rPr>
          <w:spacing w:val="-5"/>
        </w:rPr>
        <w:t>指因疾病或意外伤害导致双耳听力永久不可逆性丧失，在 </w:t>
      </w:r>
      <w:r>
        <w:rPr/>
        <w:t>500</w:t>
      </w:r>
      <w:r>
        <w:rPr>
          <w:spacing w:val="-28"/>
        </w:rPr>
        <w:t> 赫兹、</w:t>
      </w:r>
      <w:r>
        <w:rPr/>
        <w:t>1000</w:t>
      </w:r>
      <w:r>
        <w:rPr>
          <w:spacing w:val="-23"/>
        </w:rPr>
        <w:t> 赫兹和 </w:t>
      </w:r>
      <w:r>
        <w:rPr/>
        <w:t>2000</w:t>
      </w:r>
    </w:p>
    <w:p>
      <w:pPr>
        <w:pStyle w:val="BodyText"/>
        <w:spacing w:line="273" w:lineRule="auto" w:before="37"/>
        <w:ind w:left="2296" w:right="203"/>
      </w:pPr>
      <w:r>
        <w:rPr/>
        <w:t>赫兹语音频率下，平均听阈大于 90 分贝，且经纯音听力测试、声导抗检测或听觉诱发电位检测等证实。</w:t>
      </w:r>
    </w:p>
    <w:p>
      <w:pPr>
        <w:pStyle w:val="BodyText"/>
        <w:rPr>
          <w:sz w:val="20"/>
        </w:rPr>
      </w:pPr>
    </w:p>
    <w:p>
      <w:pPr>
        <w:pStyle w:val="BodyText"/>
        <w:spacing w:before="11"/>
        <w:rPr>
          <w:sz w:val="13"/>
        </w:rPr>
      </w:pPr>
    </w:p>
    <w:p>
      <w:pPr>
        <w:pStyle w:val="BodyText"/>
        <w:ind w:left="2296"/>
      </w:pPr>
      <w:r>
        <w:rPr/>
        <w:t>十四、 双目失明</w:t>
      </w:r>
    </w:p>
    <w:p>
      <w:pPr>
        <w:pStyle w:val="BodyText"/>
        <w:spacing w:line="273" w:lineRule="auto" w:before="99"/>
        <w:ind w:left="2295" w:right="158"/>
      </w:pPr>
      <w:r>
        <w:rPr/>
        <w:t>指因疾病或意外伤害导致双眼视力</w:t>
      </w:r>
      <w:r>
        <w:rPr>
          <w:b/>
        </w:rPr>
        <w:t>永久不可逆 </w:t>
      </w:r>
      <w:hyperlink w:history="true" w:anchor="_bookmark9">
        <w:r>
          <w:rPr>
            <w:b/>
            <w:position w:val="11"/>
            <w:sz w:val="11"/>
          </w:rPr>
          <w:t>16</w:t>
        </w:r>
      </w:hyperlink>
      <w:r>
        <w:rPr/>
        <w:t>性丧失，双眼中较好眼须满足下列至少一项条件：</w:t>
      </w:r>
    </w:p>
    <w:p>
      <w:pPr>
        <w:pStyle w:val="BodyText"/>
        <w:spacing w:before="68"/>
        <w:ind w:left="2295"/>
      </w:pPr>
      <w:r>
        <w:rPr/>
        <w:t>（一）眼球缺失或摘除；</w:t>
      </w:r>
    </w:p>
    <w:p>
      <w:pPr>
        <w:pStyle w:val="BodyText"/>
        <w:spacing w:before="99"/>
        <w:ind w:left="2295"/>
      </w:pPr>
      <w:r>
        <w:rPr/>
        <w:t>（二</w:t>
      </w:r>
      <w:r>
        <w:rPr>
          <w:spacing w:val="-20"/>
        </w:rPr>
        <w:t>）</w:t>
      </w:r>
      <w:r>
        <w:rPr>
          <w:spacing w:val="-8"/>
        </w:rPr>
        <w:t>矫正视力低于 </w:t>
      </w:r>
      <w:r>
        <w:rPr/>
        <w:t>0</w:t>
      </w:r>
      <w:r>
        <w:rPr>
          <w:spacing w:val="-1"/>
        </w:rPr>
        <w:t>.0</w:t>
      </w:r>
      <w:r>
        <w:rPr>
          <w:spacing w:val="-19"/>
        </w:rPr>
        <w:t>2</w:t>
      </w:r>
      <w:r>
        <w:rPr/>
        <w:t>（</w:t>
      </w:r>
      <w:r>
        <w:rPr>
          <w:spacing w:val="-3"/>
        </w:rPr>
        <w:t>采用国际标准视力表，如果使用其它视力表应进行换算</w:t>
      </w:r>
      <w:r>
        <w:rPr>
          <w:spacing w:val="-106"/>
        </w:rPr>
        <w:t>）</w:t>
      </w:r>
      <w:r>
        <w:rPr/>
        <w:t>；</w:t>
      </w:r>
    </w:p>
    <w:p>
      <w:pPr>
        <w:pStyle w:val="BodyText"/>
        <w:spacing w:before="99"/>
        <w:ind w:left="2296"/>
      </w:pPr>
      <w:r>
        <w:rPr/>
        <w:t>（三）视野半径小于 5 度。</w:t>
      </w:r>
    </w:p>
    <w:p>
      <w:pPr>
        <w:pStyle w:val="BodyText"/>
        <w:rPr>
          <w:sz w:val="20"/>
        </w:rPr>
      </w:pPr>
    </w:p>
    <w:p>
      <w:pPr>
        <w:pStyle w:val="BodyText"/>
        <w:spacing w:before="1"/>
        <w:rPr>
          <w:sz w:val="16"/>
        </w:rPr>
      </w:pPr>
    </w:p>
    <w:p>
      <w:pPr>
        <w:pStyle w:val="BodyText"/>
        <w:ind w:left="2296"/>
      </w:pPr>
      <w:r>
        <w:rPr/>
        <w:t>十五、 瘫痪</w:t>
      </w:r>
    </w:p>
    <w:p>
      <w:pPr>
        <w:pStyle w:val="BodyText"/>
        <w:spacing w:line="273" w:lineRule="auto" w:before="99"/>
        <w:ind w:left="2295" w:right="203"/>
        <w:jc w:val="both"/>
      </w:pPr>
      <w:r>
        <w:rPr>
          <w:spacing w:val="-1"/>
        </w:rPr>
        <w:t>指因疾病或意外伤害导致两肢或两肢以上肢体机能永久完全丧失。肢体机能永久完全</w:t>
      </w:r>
      <w:r>
        <w:rPr>
          <w:spacing w:val="-8"/>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rPr>
          <w:sz w:val="20"/>
        </w:rPr>
      </w:pPr>
    </w:p>
    <w:p>
      <w:pPr>
        <w:pStyle w:val="BodyText"/>
        <w:spacing w:before="11"/>
        <w:rPr>
          <w:sz w:val="13"/>
        </w:rPr>
      </w:pPr>
    </w:p>
    <w:p>
      <w:pPr>
        <w:pStyle w:val="BodyText"/>
        <w:ind w:left="2295"/>
      </w:pPr>
      <w:r>
        <w:rPr/>
        <w:t>十六、 心脏瓣膜手术</w:t>
      </w:r>
    </w:p>
    <w:p>
      <w:pPr>
        <w:pStyle w:val="BodyText"/>
        <w:spacing w:before="99"/>
        <w:ind w:left="2295"/>
      </w:pPr>
      <w:r>
        <w:rPr/>
        <w:t>指为治疗心脏瓣膜疾病，实际实施了开胸进行的心脏瓣膜置换或修复的手术。</w:t>
      </w:r>
    </w:p>
    <w:p>
      <w:pPr>
        <w:pStyle w:val="BodyText"/>
        <w:rPr>
          <w:sz w:val="20"/>
        </w:rPr>
      </w:pPr>
    </w:p>
    <w:p>
      <w:pPr>
        <w:pStyle w:val="BodyText"/>
        <w:spacing w:before="1"/>
        <w:rPr>
          <w:sz w:val="16"/>
        </w:rPr>
      </w:pPr>
    </w:p>
    <w:p>
      <w:pPr>
        <w:pStyle w:val="BodyText"/>
        <w:ind w:left="2295"/>
      </w:pPr>
      <w:r>
        <w:rPr/>
        <w:t>十七、 严重阿尔茨海默病</w:t>
      </w:r>
    </w:p>
    <w:p>
      <w:pPr>
        <w:pStyle w:val="BodyText"/>
        <w:spacing w:line="273" w:lineRule="auto" w:before="99"/>
        <w:ind w:left="2295" w:right="201"/>
        <w:jc w:val="both"/>
      </w:pPr>
      <w:r>
        <w:rPr>
          <w:spacing w:val="-2"/>
        </w:rPr>
        <w:t>指因大脑进行性、不可逆性改变导致智能严重衰退或丧失，临床表现为明显的认知能力障碍、行为异常和社交能力减退，其日常生活必须持续受到他人监护。须由头颅断</w:t>
      </w:r>
      <w:r>
        <w:rPr>
          <w:spacing w:val="1"/>
        </w:rPr>
        <w:t>层扫描（</w:t>
      </w:r>
      <w:r>
        <w:rPr/>
        <w:t>C</w:t>
      </w:r>
      <w:r>
        <w:rPr>
          <w:spacing w:val="2"/>
        </w:rPr>
        <w:t>T</w:t>
      </w:r>
      <w:r>
        <w:rPr>
          <w:spacing w:val="-102"/>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）等影像学检查证</w:t>
      </w:r>
      <w:r>
        <w:rPr>
          <w:spacing w:val="-3"/>
        </w:rPr>
        <w:t>实，且自主生活能力完全丧失，无法独立完成六项基本日常生活活动中的三项或三项以上。</w:t>
      </w:r>
    </w:p>
    <w:p>
      <w:pPr>
        <w:pStyle w:val="Heading2"/>
        <w:spacing w:before="68"/>
        <w:ind w:left="2296"/>
      </w:pPr>
      <w:r>
        <w:rPr>
          <w:w w:val="95"/>
          <w:u w:val="single"/>
        </w:rPr>
        <w:t>神经官能症和精神疾病不在保障范围内。</w:t>
      </w:r>
      <w:r>
        <w:rPr>
          <w:u w:val="single"/>
        </w:rPr>
        <w:t> </w:t>
      </w:r>
    </w:p>
    <w:p>
      <w:pPr>
        <w:pStyle w:val="BodyText"/>
        <w:rPr>
          <w:b/>
          <w:sz w:val="20"/>
        </w:rPr>
      </w:pPr>
    </w:p>
    <w:p>
      <w:pPr>
        <w:pStyle w:val="BodyText"/>
        <w:spacing w:before="2"/>
        <w:rPr>
          <w:b/>
          <w:sz w:val="16"/>
        </w:rPr>
      </w:pPr>
    </w:p>
    <w:p>
      <w:pPr>
        <w:pStyle w:val="BodyText"/>
        <w:spacing w:before="1"/>
        <w:ind w:left="2296"/>
      </w:pPr>
      <w:r>
        <w:rPr/>
        <w:t>十八、 严重脑损伤</w:t>
      </w:r>
    </w:p>
    <w:p>
      <w:pPr>
        <w:pStyle w:val="BodyText"/>
        <w:spacing w:line="273" w:lineRule="auto" w:before="98"/>
        <w:ind w:left="2295" w:right="198"/>
        <w:jc w:val="both"/>
      </w:pPr>
      <w:r>
        <w:rPr/>
        <w:t>指因头部遭受机械性外力，引起脑重要部位损伤，导致神经系统永久性的功能障碍。须由头颅断层扫描</w:t>
      </w:r>
      <w:r>
        <w:rPr>
          <w:spacing w:val="1"/>
        </w:rPr>
        <w:t>（</w:t>
      </w:r>
      <w:r>
        <w:rPr/>
        <w:t>C</w:t>
      </w:r>
      <w:r>
        <w:rPr>
          <w:spacing w:val="2"/>
        </w:rPr>
        <w:t>T</w:t>
      </w:r>
      <w:r>
        <w:rPr>
          <w:spacing w:val="-101"/>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）等影</w:t>
      </w:r>
      <w:r>
        <w:rPr>
          <w:spacing w:val="-3"/>
        </w:rPr>
        <w:t>像学检查证实。神经系统永久性的功能障碍，指脑损伤 </w:t>
      </w:r>
      <w:r>
        <w:rPr/>
        <w:t>180</w:t>
      </w:r>
      <w:r>
        <w:rPr>
          <w:spacing w:val="-8"/>
        </w:rPr>
        <w:t> 天后，仍遗留下列一种或一种以上障碍：</w:t>
      </w:r>
    </w:p>
    <w:p>
      <w:pPr>
        <w:pStyle w:val="BodyText"/>
        <w:spacing w:before="69"/>
        <w:ind w:left="2295"/>
      </w:pPr>
      <w:r>
        <w:rPr/>
        <w:t>（一）一肢或一肢以上肢体机能完全丧失；</w:t>
      </w:r>
    </w:p>
    <w:p>
      <w:pPr>
        <w:pStyle w:val="BodyText"/>
        <w:spacing w:before="99"/>
        <w:ind w:left="2295"/>
      </w:pPr>
      <w:r>
        <w:rPr/>
        <w:t>（二）语言能力或咀嚼吞咽能力完全丧失；</w:t>
      </w:r>
    </w:p>
    <w:p>
      <w:pPr>
        <w:pStyle w:val="BodyText"/>
        <w:spacing w:line="273" w:lineRule="auto" w:before="98"/>
        <w:ind w:left="2295" w:right="203"/>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4"/>
        <w:rPr>
          <w:sz w:val="17"/>
        </w:rPr>
      </w:pPr>
      <w:r>
        <w:rPr/>
        <w:pict>
          <v:line style="position:absolute;mso-position-horizontal-relative:page;mso-position-vertical-relative:paragraph;z-index:1336;mso-wrap-distance-left:0;mso-wrap-distance-right:0" from="48.18pt,13.594395pt" to="192.18pt,13.594395pt" stroked="true" strokeweight=".54pt" strokecolor="#000000">
            <v:stroke dashstyle="solid"/>
            <w10:wrap type="topAndBottom"/>
          </v:line>
        </w:pict>
      </w:r>
    </w:p>
    <w:p>
      <w:pPr>
        <w:pStyle w:val="BodyText"/>
        <w:spacing w:line="283" w:lineRule="auto" w:before="14"/>
        <w:ind w:left="103" w:right="288"/>
      </w:pPr>
      <w:bookmarkStart w:name="_bookmark9" w:id="10"/>
      <w:bookmarkEnd w:id="10"/>
      <w:r>
        <w:rPr/>
      </w:r>
      <w:r>
        <w:rPr>
          <w:rFonts w:ascii="Microsoft JhengHei" w:eastAsia="Microsoft JhengHei" w:hint="eastAsia"/>
          <w:b/>
          <w:position w:val="5"/>
          <w:sz w:val="14"/>
        </w:rPr>
        <w:t>16 </w:t>
      </w:r>
      <w:r>
        <w:rPr>
          <w:rFonts w:ascii="Microsoft JhengHei" w:eastAsia="Microsoft JhengHei" w:hint="eastAsia"/>
          <w:b/>
          <w:spacing w:val="-5"/>
        </w:rPr>
        <w:t>永久不可逆：</w:t>
      </w:r>
      <w:r>
        <w:rPr>
          <w:spacing w:val="-5"/>
        </w:rPr>
        <w:t>指自疾病确诊或意外伤害发生之日起，经过积极治疗 </w:t>
      </w:r>
      <w:r>
        <w:rPr>
          <w:rFonts w:ascii="Microsoft JhengHei" w:eastAsia="Microsoft JhengHei" w:hint="eastAsia"/>
        </w:rPr>
        <w:t>180 </w:t>
      </w:r>
      <w:r>
        <w:rPr>
          <w:spacing w:val="-6"/>
        </w:rPr>
        <w:t>天后，仍无法通过现有医疗手段恢复。</w:t>
      </w:r>
    </w:p>
    <w:p>
      <w:pPr>
        <w:spacing w:after="0" w:line="283" w:lineRule="auto"/>
        <w:sectPr>
          <w:pgSz w:w="11910" w:h="16840"/>
          <w:pgMar w:header="0" w:footer="885" w:top="1080" w:bottom="1080" w:left="860" w:right="780"/>
        </w:sectPr>
      </w:pPr>
    </w:p>
    <w:p>
      <w:pPr>
        <w:pStyle w:val="BodyText"/>
        <w:spacing w:before="20"/>
        <w:ind w:left="1476"/>
      </w:pPr>
      <w:r>
        <w:rPr/>
        <w:t>十九、 严重帕金森病</w:t>
      </w:r>
    </w:p>
    <w:p>
      <w:pPr>
        <w:pStyle w:val="BodyText"/>
        <w:spacing w:line="273" w:lineRule="auto" w:before="99"/>
        <w:ind w:left="1475" w:right="141"/>
      </w:pPr>
      <w:r>
        <w:rPr/>
        <w:t>是一种中枢神经系统的退行性疾病，临床表现为震颤麻痹、共济失调等。须满足下列全部条件：</w:t>
      </w:r>
    </w:p>
    <w:p>
      <w:pPr>
        <w:pStyle w:val="BodyText"/>
        <w:spacing w:before="69"/>
        <w:ind w:left="1475"/>
      </w:pPr>
      <w:r>
        <w:rPr/>
        <w:t>（一）药物治疗无法控制病情；</w:t>
      </w:r>
    </w:p>
    <w:p>
      <w:pPr>
        <w:pStyle w:val="BodyText"/>
        <w:spacing w:line="273" w:lineRule="auto" w:before="99"/>
        <w:ind w:left="1475" w:right="143"/>
      </w:pPr>
      <w:r>
        <w:rPr/>
        <w:t>（二）自主生活能力完全丧失，无法独立完成六项基本日常生活活动中的三项或三项以上。</w:t>
      </w:r>
    </w:p>
    <w:p>
      <w:pPr>
        <w:pStyle w:val="Heading2"/>
        <w:spacing w:before="69"/>
        <w:ind w:left="1476"/>
      </w:pPr>
      <w:r>
        <w:rPr>
          <w:w w:val="95"/>
          <w:u w:val="single"/>
        </w:rPr>
        <w:t>继发性帕金森综合征不在保障范围内。</w:t>
      </w:r>
      <w:r>
        <w:rPr>
          <w:u w:val="single"/>
        </w:rPr>
        <w:t> </w:t>
      </w:r>
    </w:p>
    <w:p>
      <w:pPr>
        <w:pStyle w:val="BodyText"/>
        <w:spacing w:before="8"/>
        <w:rPr>
          <w:b/>
          <w:sz w:val="28"/>
        </w:rPr>
      </w:pPr>
    </w:p>
    <w:p>
      <w:pPr>
        <w:pStyle w:val="BodyText"/>
        <w:spacing w:before="35"/>
        <w:ind w:left="1476"/>
      </w:pPr>
      <w:r>
        <w:rPr/>
        <w:t>二十、 严重Ⅲ度烧伤</w:t>
      </w:r>
    </w:p>
    <w:p>
      <w:pPr>
        <w:pStyle w:val="BodyText"/>
        <w:spacing w:line="273" w:lineRule="auto" w:before="99"/>
        <w:ind w:left="1476" w:right="103"/>
      </w:pPr>
      <w:r>
        <w:rPr/>
        <w:t>指烧伤程度为Ⅲ度，且Ⅲ度烧伤的面积达到全身体表面积的 20％或 20％以上。体表面积根据《中国新九分法》计算。</w:t>
      </w:r>
    </w:p>
    <w:p>
      <w:pPr>
        <w:pStyle w:val="BodyText"/>
        <w:rPr>
          <w:sz w:val="20"/>
        </w:rPr>
      </w:pPr>
    </w:p>
    <w:p>
      <w:pPr>
        <w:pStyle w:val="BodyText"/>
        <w:spacing w:before="11"/>
        <w:rPr>
          <w:sz w:val="13"/>
        </w:rPr>
      </w:pPr>
    </w:p>
    <w:p>
      <w:pPr>
        <w:pStyle w:val="BodyText"/>
        <w:ind w:left="1476"/>
      </w:pPr>
      <w:r>
        <w:rPr/>
        <w:t>二十一、 严重原发性肺动脉高压</w:t>
      </w:r>
    </w:p>
    <w:p>
      <w:pPr>
        <w:pStyle w:val="BodyText"/>
        <w:spacing w:line="273" w:lineRule="auto" w:before="99"/>
        <w:ind w:left="1475" w:right="143"/>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rPr>
          <w:sz w:val="20"/>
        </w:rPr>
      </w:pPr>
    </w:p>
    <w:p>
      <w:pPr>
        <w:pStyle w:val="BodyText"/>
        <w:spacing w:before="11"/>
        <w:rPr>
          <w:sz w:val="13"/>
        </w:rPr>
      </w:pPr>
    </w:p>
    <w:p>
      <w:pPr>
        <w:pStyle w:val="BodyText"/>
        <w:ind w:left="1475"/>
      </w:pPr>
      <w:r>
        <w:rPr/>
        <w:t>二十二、 严重运动神经元病</w:t>
      </w:r>
    </w:p>
    <w:p>
      <w:pPr>
        <w:pStyle w:val="BodyText"/>
        <w:spacing w:line="273" w:lineRule="auto" w:before="99"/>
        <w:ind w:left="1475" w:right="14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11"/>
        <w:rPr>
          <w:sz w:val="13"/>
        </w:rPr>
      </w:pPr>
    </w:p>
    <w:p>
      <w:pPr>
        <w:pStyle w:val="BodyText"/>
        <w:ind w:left="1475"/>
      </w:pPr>
      <w:r>
        <w:rPr/>
        <w:t>二十三、 语言能力丧失</w:t>
      </w:r>
    </w:p>
    <w:p>
      <w:pPr>
        <w:pStyle w:val="BodyText"/>
        <w:spacing w:line="273" w:lineRule="auto" w:before="99"/>
        <w:ind w:left="1475" w:right="143"/>
      </w:pPr>
      <w:r>
        <w:rPr>
          <w:spacing w:val="-1"/>
        </w:rPr>
        <w:t>指因疾病或意外伤害导致完全丧失语言能力，经过积极治疗至少 </w:t>
      </w:r>
      <w:r>
        <w:rPr/>
        <w:t>12</w:t>
      </w:r>
      <w:r>
        <w:rPr>
          <w:spacing w:val="-2"/>
        </w:rPr>
        <w:t> 个月</w:t>
      </w:r>
      <w:r>
        <w:rPr/>
        <w:t>（声带完全切除不受此时间限制</w:t>
      </w:r>
      <w:r>
        <w:rPr>
          <w:spacing w:val="-105"/>
        </w:rPr>
        <w:t>）</w:t>
      </w:r>
      <w:r>
        <w:rPr>
          <w:spacing w:val="-1"/>
        </w:rPr>
        <w:t>，仍无法通过现有医疗手段恢复。</w:t>
      </w:r>
    </w:p>
    <w:p>
      <w:pPr>
        <w:pStyle w:val="Heading2"/>
        <w:spacing w:before="69"/>
        <w:ind w:left="1476"/>
        <w:jc w:val="both"/>
      </w:pPr>
      <w:r>
        <w:rPr>
          <w:w w:val="95"/>
          <w:u w:val="single"/>
        </w:rPr>
        <w:t>精神心理因素所致的语言能力丧失不在保障范围内。</w:t>
      </w:r>
      <w:r>
        <w:rPr>
          <w:u w:val="single"/>
        </w:rPr>
        <w:t> </w:t>
      </w:r>
    </w:p>
    <w:p>
      <w:pPr>
        <w:pStyle w:val="BodyText"/>
        <w:spacing w:before="8"/>
        <w:rPr>
          <w:b/>
          <w:sz w:val="28"/>
        </w:rPr>
      </w:pPr>
    </w:p>
    <w:p>
      <w:pPr>
        <w:pStyle w:val="BodyText"/>
        <w:spacing w:before="35"/>
        <w:ind w:left="1476"/>
      </w:pPr>
      <w:r>
        <w:rPr/>
        <w:t>二十四、 重型再生障碍性贫血</w:t>
      </w:r>
    </w:p>
    <w:p>
      <w:pPr>
        <w:pStyle w:val="BodyText"/>
        <w:spacing w:line="273" w:lineRule="auto" w:before="99"/>
        <w:ind w:left="1475" w:right="143"/>
      </w:pPr>
      <w:r>
        <w:rPr/>
        <w:t>指因骨髓造血功能慢性持续性衰竭导致的贫血、中性粒细胞减少及血小板减少。须满足下列全部条件：</w:t>
      </w:r>
    </w:p>
    <w:p>
      <w:pPr>
        <w:pStyle w:val="BodyText"/>
        <w:spacing w:before="70"/>
        <w:ind w:left="1475"/>
        <w:jc w:val="both"/>
      </w:pPr>
      <w:r>
        <w:rPr/>
        <w:t>（一）骨髓穿刺检查或骨髓活检结果支持诊断；</w:t>
      </w:r>
    </w:p>
    <w:p>
      <w:pPr>
        <w:pStyle w:val="BodyText"/>
        <w:spacing w:before="98"/>
        <w:ind w:left="1475"/>
        <w:jc w:val="both"/>
      </w:pPr>
      <w:r>
        <w:rPr/>
        <w:t>（二）外周血象须具备以下三项条件：</w:t>
      </w:r>
    </w:p>
    <w:p>
      <w:pPr>
        <w:pStyle w:val="BodyText"/>
        <w:spacing w:before="99"/>
        <w:ind w:left="1475"/>
        <w:jc w:val="both"/>
      </w:pPr>
      <w:r>
        <w:rPr/>
        <w:t>① 中性粒细胞绝对值≤0.5×10</w:t>
      </w:r>
      <w:r>
        <w:rPr>
          <w:position w:val="11"/>
          <w:sz w:val="11"/>
        </w:rPr>
        <w:t>9</w:t>
      </w:r>
      <w:r>
        <w:rPr/>
        <w:t>/L ；</w:t>
      </w:r>
    </w:p>
    <w:p>
      <w:pPr>
        <w:pStyle w:val="BodyText"/>
        <w:spacing w:before="99"/>
        <w:ind w:left="1476"/>
        <w:jc w:val="both"/>
      </w:pPr>
      <w:r>
        <w:rPr/>
        <w:t>② 网织红细胞＜1％；</w:t>
      </w:r>
    </w:p>
    <w:p>
      <w:pPr>
        <w:pStyle w:val="BodyText"/>
        <w:spacing w:before="98"/>
        <w:ind w:left="1476"/>
        <w:jc w:val="both"/>
      </w:pPr>
      <w:r>
        <w:rPr/>
        <w:t>③ 血小板绝对值≤20×10</w:t>
      </w:r>
      <w:r>
        <w:rPr>
          <w:position w:val="11"/>
          <w:sz w:val="11"/>
        </w:rPr>
        <w:t>9</w:t>
      </w:r>
      <w:r>
        <w:rPr/>
        <w:t>/L。</w:t>
      </w:r>
    </w:p>
    <w:p>
      <w:pPr>
        <w:pStyle w:val="BodyText"/>
        <w:rPr>
          <w:sz w:val="22"/>
        </w:rPr>
      </w:pPr>
    </w:p>
    <w:p>
      <w:pPr>
        <w:pStyle w:val="BodyText"/>
        <w:spacing w:before="186"/>
        <w:ind w:left="1475"/>
        <w:jc w:val="both"/>
      </w:pPr>
      <w:r>
        <w:rPr/>
        <w:t>二十五、 主动脉手术</w:t>
      </w:r>
    </w:p>
    <w:p>
      <w:pPr>
        <w:spacing w:line="290" w:lineRule="auto" w:before="98"/>
        <w:ind w:left="1476" w:right="112"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w:t>
      </w:r>
      <w:r>
        <w:rPr>
          <w:b/>
          <w:w w:val="95"/>
          <w:sz w:val="21"/>
          <w:u w:val="single"/>
        </w:rPr>
        <w:t>动脉内血管成形术不在保障范围内。</w:t>
      </w:r>
    </w:p>
    <w:p>
      <w:pPr>
        <w:spacing w:after="0" w:line="290" w:lineRule="auto"/>
        <w:jc w:val="both"/>
        <w:rPr>
          <w:sz w:val="21"/>
        </w:rPr>
        <w:sectPr>
          <w:pgSz w:w="11910" w:h="16840"/>
          <w:pgMar w:header="0" w:footer="885" w:top="1080" w:bottom="1080" w:left="1680" w:right="840"/>
        </w:sectPr>
      </w:pPr>
    </w:p>
    <w:p>
      <w:pPr>
        <w:pStyle w:val="BodyText"/>
        <w:spacing w:line="274" w:lineRule="exact" w:before="20"/>
        <w:ind w:left="1476"/>
      </w:pPr>
      <w:r>
        <w:rPr/>
        <w:t>二十六、 脊髓灰质炎(小儿麻痹症)</w:t>
      </w:r>
    </w:p>
    <w:p>
      <w:pPr>
        <w:spacing w:line="237" w:lineRule="auto" w:before="1"/>
        <w:ind w:left="1475" w:right="100" w:firstLine="0"/>
        <w:jc w:val="both"/>
        <w:rPr>
          <w:b/>
          <w:sz w:val="21"/>
        </w:rPr>
      </w:pPr>
      <w:r>
        <w:rPr>
          <w:spacing w:val="-1"/>
          <w:sz w:val="21"/>
        </w:rPr>
        <w:t>是指由于脊髓灰质炎病毒感染致脊髓运动神经元损害所导致的瘫痪性疾病，至少导致</w:t>
      </w:r>
      <w:r>
        <w:rPr>
          <w:spacing w:val="-4"/>
          <w:sz w:val="21"/>
        </w:rPr>
        <w:t>两个或以上的肢体瘫痪程度达到肌力在 </w:t>
      </w:r>
      <w:r>
        <w:rPr>
          <w:sz w:val="21"/>
        </w:rPr>
        <w:t>0-Ⅲ</w:t>
      </w:r>
      <w:r>
        <w:rPr>
          <w:spacing w:val="-29"/>
          <w:sz w:val="21"/>
        </w:rPr>
        <w:t>级，经 </w:t>
      </w:r>
      <w:r>
        <w:rPr>
          <w:sz w:val="21"/>
        </w:rPr>
        <w:t>180</w:t>
      </w:r>
      <w:r>
        <w:rPr>
          <w:spacing w:val="-8"/>
          <w:sz w:val="21"/>
        </w:rPr>
        <w:t> 天治疗后肢体肌力仍然不能恢复到Ⅳ或Ⅴ级。诊断需提供脊髓灰质炎病毒检查的证据(如粪便或脑脊液检查，血液</w:t>
      </w:r>
      <w:r>
        <w:rPr>
          <w:spacing w:val="-9"/>
          <w:sz w:val="21"/>
        </w:rPr>
        <w:t>中抗体检查)。肢体的定义为整个上肢或是整个下肢。</w:t>
      </w:r>
      <w:r>
        <w:rPr>
          <w:b/>
          <w:sz w:val="21"/>
          <w:u w:val="single"/>
        </w:rPr>
        <w:t>未导致肢体瘫痪(肢体肌力达Ⅳ </w:t>
      </w:r>
      <w:r>
        <w:rPr>
          <w:b/>
          <w:w w:val="95"/>
          <w:sz w:val="21"/>
          <w:u w:val="single"/>
        </w:rPr>
        <w:t>或Ⅴ级)者及其它原因导致的瘫痪不在保障范围内。</w:t>
      </w:r>
    </w:p>
    <w:p>
      <w:pPr>
        <w:pStyle w:val="BodyText"/>
        <w:spacing w:before="4"/>
        <w:rPr>
          <w:b/>
          <w:sz w:val="27"/>
        </w:rPr>
      </w:pPr>
    </w:p>
    <w:p>
      <w:pPr>
        <w:pStyle w:val="BodyText"/>
        <w:spacing w:before="36"/>
        <w:ind w:left="1475"/>
      </w:pPr>
      <w:r>
        <w:rPr/>
        <w:t>二十七、 严重多发性硬化</w:t>
      </w:r>
    </w:p>
    <w:p>
      <w:pPr>
        <w:pStyle w:val="BodyText"/>
        <w:spacing w:line="237" w:lineRule="auto" w:before="62"/>
        <w:ind w:left="1475" w:right="103"/>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pStyle w:val="BodyText"/>
        <w:spacing w:before="58"/>
        <w:ind w:left="1475"/>
      </w:pPr>
      <w:r>
        <w:rPr/>
        <w:t>(一)移动：自己从一个房间到另一个房间；或者</w:t>
      </w:r>
    </w:p>
    <w:p>
      <w:pPr>
        <w:pStyle w:val="BodyText"/>
        <w:spacing w:before="59"/>
        <w:ind w:left="1475"/>
      </w:pPr>
      <w:r>
        <w:rPr/>
        <w:t>(二)进食：自己从已准备好的碗或碟中取食物放入口中。</w:t>
      </w:r>
    </w:p>
    <w:p>
      <w:pPr>
        <w:pStyle w:val="BodyText"/>
        <w:rPr>
          <w:sz w:val="20"/>
        </w:rPr>
      </w:pPr>
    </w:p>
    <w:p>
      <w:pPr>
        <w:pStyle w:val="BodyText"/>
        <w:spacing w:before="131"/>
        <w:ind w:left="1475"/>
      </w:pPr>
      <w:r>
        <w:rPr/>
        <w:t>二十八、 严重冠心病</w:t>
      </w:r>
    </w:p>
    <w:p>
      <w:pPr>
        <w:spacing w:line="237" w:lineRule="auto" w:before="62"/>
        <w:ind w:left="1475" w:right="100" w:firstLine="0"/>
        <w:jc w:val="both"/>
        <w:rPr>
          <w:b/>
          <w:sz w:val="21"/>
        </w:rPr>
      </w:pPr>
      <w:r>
        <w:rPr>
          <w:sz w:val="21"/>
        </w:rPr>
        <w:t>指根据冠状动脉造影检查结果确诊的三支主要血管(左冠状动脉主干、右冠状动脉、</w:t>
      </w:r>
      <w:r>
        <w:rPr>
          <w:spacing w:val="-1"/>
          <w:sz w:val="21"/>
        </w:rPr>
        <w:t>前降支、左旋支中的任意三支)严重狭窄性病变(至少一支血管管腔直径减少 </w:t>
      </w:r>
      <w:r>
        <w:rPr>
          <w:sz w:val="21"/>
        </w:rPr>
        <w:t>75%以上</w:t>
      </w:r>
      <w:r>
        <w:rPr>
          <w:spacing w:val="-5"/>
          <w:sz w:val="21"/>
        </w:rPr>
        <w:t>和其他两支血管管腔直径减少 </w:t>
      </w:r>
      <w:r>
        <w:rPr>
          <w:sz w:val="21"/>
        </w:rPr>
        <w:t>60</w:t>
      </w:r>
      <w:r>
        <w:rPr>
          <w:spacing w:val="-8"/>
          <w:sz w:val="21"/>
        </w:rPr>
        <w:t>%以上)。</w:t>
      </w:r>
      <w:r>
        <w:rPr>
          <w:b/>
          <w:spacing w:val="-6"/>
          <w:sz w:val="21"/>
          <w:u w:val="single"/>
        </w:rPr>
        <w:t>前降支、左旋支及右冠状动脉的分支血管的</w:t>
      </w:r>
      <w:r>
        <w:rPr>
          <w:b/>
          <w:spacing w:val="-6"/>
          <w:w w:val="95"/>
          <w:sz w:val="21"/>
          <w:u w:val="single"/>
        </w:rPr>
        <w:t>狭窄不作为本保障的衡量指标。</w:t>
      </w:r>
    </w:p>
    <w:p>
      <w:pPr>
        <w:pStyle w:val="BodyText"/>
        <w:spacing w:before="4"/>
        <w:rPr>
          <w:b/>
          <w:sz w:val="27"/>
        </w:rPr>
      </w:pPr>
    </w:p>
    <w:p>
      <w:pPr>
        <w:pStyle w:val="BodyText"/>
        <w:spacing w:before="36"/>
        <w:ind w:left="1476"/>
      </w:pPr>
      <w:r>
        <w:rPr/>
        <w:t>二十九、 严重类风湿性关节炎</w:t>
      </w:r>
    </w:p>
    <w:p>
      <w:pPr>
        <w:pStyle w:val="BodyText"/>
        <w:spacing w:line="237" w:lineRule="auto" w:before="61"/>
        <w:ind w:left="1476" w:right="99"/>
        <w:jc w:val="both"/>
      </w:pPr>
      <w:r>
        <w:rPr>
          <w:spacing w:val="-2"/>
        </w:rPr>
        <w:t>类风湿性关节炎为广泛分布的慢性进行性多关节病变，表现为关节严重变形，侵犯至</w:t>
      </w:r>
      <w:r>
        <w:rPr>
          <w:spacing w:val="-11"/>
        </w:rPr>
        <w:t>少三个主要关节或关节组，【如:双手(多手指)关节、双足(多足趾)关节、双腕关节、</w:t>
      </w:r>
      <w:r>
        <w:rPr>
          <w:spacing w:val="-15"/>
        </w:rPr>
        <w:t>双膝关节和双髋关节】。被保人所患的类风湿性关节炎必须明确诊断并且已经达到类</w:t>
      </w:r>
      <w:r>
        <w:rPr>
          <w:spacing w:val="-14"/>
        </w:rPr>
        <w:t>风湿性关节炎功能分级 </w:t>
      </w:r>
      <w:r>
        <w:rPr/>
        <w:t>IV</w:t>
      </w:r>
      <w:r>
        <w:rPr>
          <w:spacing w:val="-2"/>
        </w:rPr>
        <w:t> 级的永久不可逆性关节功能障碍</w:t>
      </w:r>
      <w:r>
        <w:rPr/>
        <w:t>（生活不能自理，且丧失工作能力）并须满足下列全部条件：</w:t>
      </w:r>
    </w:p>
    <w:p>
      <w:pPr>
        <w:pStyle w:val="BodyText"/>
        <w:spacing w:before="59"/>
        <w:ind w:left="1476"/>
        <w:jc w:val="both"/>
      </w:pPr>
      <w:r>
        <w:rPr/>
        <w:t>(一)晨僵；</w:t>
      </w:r>
    </w:p>
    <w:p>
      <w:pPr>
        <w:pStyle w:val="BodyText"/>
        <w:spacing w:before="58"/>
        <w:ind w:left="1476"/>
        <w:jc w:val="both"/>
      </w:pPr>
      <w:r>
        <w:rPr/>
        <w:t>(二)对称性关节炎；</w:t>
      </w:r>
    </w:p>
    <w:p>
      <w:pPr>
        <w:pStyle w:val="BodyText"/>
        <w:spacing w:before="59"/>
        <w:ind w:left="1476"/>
        <w:jc w:val="both"/>
      </w:pPr>
      <w:r>
        <w:rPr/>
        <w:t>(三)类风湿性皮下结节；</w:t>
      </w:r>
    </w:p>
    <w:p>
      <w:pPr>
        <w:pStyle w:val="BodyText"/>
        <w:spacing w:before="59"/>
        <w:ind w:left="1476"/>
        <w:jc w:val="both"/>
      </w:pPr>
      <w:r>
        <w:rPr/>
        <w:t>(四)类风湿因子滴度升高；</w:t>
      </w:r>
    </w:p>
    <w:p>
      <w:pPr>
        <w:pStyle w:val="BodyText"/>
        <w:spacing w:before="58"/>
        <w:ind w:left="1476"/>
        <w:jc w:val="both"/>
      </w:pPr>
      <w:r>
        <w:rPr/>
        <w:t>(五)X 线显示严重的关节(软骨和骨)破坏和关节畸形。</w:t>
      </w:r>
    </w:p>
    <w:p>
      <w:pPr>
        <w:pStyle w:val="BodyText"/>
        <w:rPr>
          <w:sz w:val="20"/>
        </w:rPr>
      </w:pPr>
    </w:p>
    <w:p>
      <w:pPr>
        <w:pStyle w:val="BodyText"/>
        <w:spacing w:before="132"/>
        <w:ind w:left="1475"/>
        <w:jc w:val="both"/>
      </w:pPr>
      <w:r>
        <w:rPr/>
        <w:t>三十、 系统性红斑狼疮</w:t>
      </w:r>
    </w:p>
    <w:p>
      <w:pPr>
        <w:spacing w:line="237" w:lineRule="auto" w:before="61"/>
        <w:ind w:left="1475" w:right="98" w:firstLine="0"/>
        <w:jc w:val="both"/>
        <w:rPr>
          <w:b/>
          <w:sz w:val="21"/>
        </w:rPr>
      </w:pPr>
      <w:r>
        <w:rPr>
          <w:spacing w:val="2"/>
          <w:sz w:val="21"/>
        </w:rPr>
        <w:t>是指由于病理性自身抗体和免疫复合物的沉积破坏了血管和细胞而导致的多系统损</w:t>
      </w:r>
      <w:r>
        <w:rPr>
          <w:spacing w:val="-2"/>
          <w:sz w:val="21"/>
        </w:rPr>
        <w:t>害的一种自体免疫性疾病。本附加合同所指的系统性红斑狼疮仅限于累及肾脏</w:t>
      </w: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其他类型的红斑性狼疮，如盘状狼疮，仅累及血液及</w:t>
      </w:r>
      <w:r>
        <w:rPr>
          <w:b/>
          <w:spacing w:val="-2"/>
          <w:w w:val="95"/>
          <w:sz w:val="21"/>
          <w:u w:val="single"/>
        </w:rPr>
        <w:t>关节等其他系统的系统性红斑</w:t>
      </w:r>
      <w:r>
        <w:rPr>
          <w:b/>
          <w:spacing w:val="-25"/>
          <w:w w:val="95"/>
          <w:sz w:val="21"/>
          <w:u w:val="single"/>
        </w:rPr>
        <w:t>狼疮不在保障范围。</w:t>
      </w:r>
    </w:p>
    <w:p>
      <w:pPr>
        <w:pStyle w:val="BodyText"/>
        <w:spacing w:before="60"/>
        <w:ind w:left="1476"/>
        <w:jc w:val="both"/>
      </w:pPr>
      <w:r>
        <w:rPr/>
        <w:t>世界卫生组织(WHO)狼疮性肾炎分型：</w:t>
      </w:r>
    </w:p>
    <w:p>
      <w:pPr>
        <w:pStyle w:val="BodyText"/>
        <w:spacing w:before="59"/>
        <w:ind w:left="1476"/>
        <w:jc w:val="both"/>
      </w:pPr>
      <w:r>
        <w:rPr/>
        <w:t>Ⅰ型(微小病变型)镜下阴性，尿液正常；</w:t>
      </w:r>
    </w:p>
    <w:p>
      <w:pPr>
        <w:pStyle w:val="BodyText"/>
        <w:spacing w:before="60"/>
        <w:ind w:left="1476"/>
        <w:jc w:val="both"/>
      </w:pPr>
      <w:r>
        <w:rPr/>
        <w:t>Ⅱ型(系膜病变型)中度蛋白尿，偶有尿沉渣改变；</w:t>
      </w:r>
    </w:p>
    <w:p>
      <w:pPr>
        <w:pStyle w:val="BodyText"/>
        <w:spacing w:before="58"/>
        <w:ind w:left="1476"/>
        <w:jc w:val="both"/>
      </w:pPr>
      <w:r>
        <w:rPr/>
        <w:t>Ⅲ型(局灶及节段增生型)蛋白尿，尿沉渣改变；</w:t>
      </w:r>
    </w:p>
    <w:p>
      <w:pPr>
        <w:pStyle w:val="BodyText"/>
        <w:spacing w:before="59"/>
        <w:ind w:left="1476"/>
        <w:jc w:val="both"/>
      </w:pPr>
      <w:r>
        <w:rPr/>
        <w:t>Ⅳ型(弥漫增生型)急性肾炎伴有尿沉渣改变及/或肾病综合征；</w:t>
      </w:r>
    </w:p>
    <w:p>
      <w:pPr>
        <w:pStyle w:val="BodyText"/>
        <w:spacing w:before="59"/>
        <w:ind w:left="1476"/>
        <w:jc w:val="both"/>
      </w:pPr>
      <w:r>
        <w:rPr/>
        <w:t>Ⅴ型(膜型)肾病综合征或重度蛋白尿。</w:t>
      </w:r>
    </w:p>
    <w:sectPr>
      <w:pgSz w:w="11910" w:h="16840"/>
      <w:pgMar w:header="0" w:footer="885" w:top="1060" w:bottom="10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3815pt;margin-top:786.677307pt;width:14.6pt;height:13.65pt;mso-position-horizontal-relative:page;mso-position-vertical-relative:page;z-index:-15616"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7" w:hanging="485"/>
        <w:jc w:val="left"/>
      </w:pPr>
      <w:rPr>
        <w:rFonts w:hint="default" w:ascii="宋体" w:hAnsi="宋体" w:eastAsia="宋体" w:cs="宋体"/>
        <w:w w:val="100"/>
        <w:sz w:val="21"/>
        <w:szCs w:val="21"/>
      </w:rPr>
    </w:lvl>
    <w:lvl w:ilvl="1">
      <w:start w:val="0"/>
      <w:numFmt w:val="bullet"/>
      <w:lvlText w:val="•"/>
      <w:lvlJc w:val="left"/>
      <w:pPr>
        <w:ind w:left="1212" w:hanging="485"/>
      </w:pPr>
      <w:rPr>
        <w:rFonts w:hint="default"/>
      </w:rPr>
    </w:lvl>
    <w:lvl w:ilvl="2">
      <w:start w:val="0"/>
      <w:numFmt w:val="bullet"/>
      <w:lvlText w:val="•"/>
      <w:lvlJc w:val="left"/>
      <w:pPr>
        <w:ind w:left="1964" w:hanging="485"/>
      </w:pPr>
      <w:rPr>
        <w:rFonts w:hint="default"/>
      </w:rPr>
    </w:lvl>
    <w:lvl w:ilvl="3">
      <w:start w:val="0"/>
      <w:numFmt w:val="bullet"/>
      <w:lvlText w:val="•"/>
      <w:lvlJc w:val="left"/>
      <w:pPr>
        <w:ind w:left="2716" w:hanging="485"/>
      </w:pPr>
      <w:rPr>
        <w:rFonts w:hint="default"/>
      </w:rPr>
    </w:lvl>
    <w:lvl w:ilvl="4">
      <w:start w:val="0"/>
      <w:numFmt w:val="bullet"/>
      <w:lvlText w:val="•"/>
      <w:lvlJc w:val="left"/>
      <w:pPr>
        <w:ind w:left="3468" w:hanging="485"/>
      </w:pPr>
      <w:rPr>
        <w:rFonts w:hint="default"/>
      </w:rPr>
    </w:lvl>
    <w:lvl w:ilvl="5">
      <w:start w:val="0"/>
      <w:numFmt w:val="bullet"/>
      <w:lvlText w:val="•"/>
      <w:lvlJc w:val="left"/>
      <w:pPr>
        <w:ind w:left="4221" w:hanging="485"/>
      </w:pPr>
      <w:rPr>
        <w:rFonts w:hint="default"/>
      </w:rPr>
    </w:lvl>
    <w:lvl w:ilvl="6">
      <w:start w:val="0"/>
      <w:numFmt w:val="bullet"/>
      <w:lvlText w:val="•"/>
      <w:lvlJc w:val="left"/>
      <w:pPr>
        <w:ind w:left="4973" w:hanging="485"/>
      </w:pPr>
      <w:rPr>
        <w:rFonts w:hint="default"/>
      </w:rPr>
    </w:lvl>
    <w:lvl w:ilvl="7">
      <w:start w:val="0"/>
      <w:numFmt w:val="bullet"/>
      <w:lvlText w:val="•"/>
      <w:lvlJc w:val="left"/>
      <w:pPr>
        <w:ind w:left="5725" w:hanging="485"/>
      </w:pPr>
      <w:rPr>
        <w:rFonts w:hint="default"/>
      </w:rPr>
    </w:lvl>
    <w:lvl w:ilvl="8">
      <w:start w:val="0"/>
      <w:numFmt w:val="bullet"/>
      <w:lvlText w:val="•"/>
      <w:lvlJc w:val="left"/>
      <w:pPr>
        <w:ind w:left="6477" w:hanging="485"/>
      </w:pPr>
      <w:rPr>
        <w:rFonts w:hint="default"/>
      </w:rPr>
    </w:lvl>
  </w:abstractNum>
  <w:abstractNum w:abstractNumId="4">
    <w:multiLevelType w:val="hybridMultilevel"/>
    <w:lvl w:ilvl="0">
      <w:start w:val="1"/>
      <w:numFmt w:val="decimal"/>
      <w:lvlText w:val="%1."/>
      <w:lvlJc w:val="left"/>
      <w:pPr>
        <w:ind w:left="5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021" w:hanging="420"/>
      </w:pPr>
      <w:rPr>
        <w:rFonts w:hint="default"/>
      </w:rPr>
    </w:lvl>
    <w:lvl w:ilvl="3">
      <w:start w:val="0"/>
      <w:numFmt w:val="bullet"/>
      <w:lvlText w:val="•"/>
      <w:lvlJc w:val="left"/>
      <w:pPr>
        <w:ind w:left="2772" w:hanging="420"/>
      </w:pPr>
      <w:rPr>
        <w:rFonts w:hint="default"/>
      </w:rPr>
    </w:lvl>
    <w:lvl w:ilvl="4">
      <w:start w:val="0"/>
      <w:numFmt w:val="bullet"/>
      <w:lvlText w:val="•"/>
      <w:lvlJc w:val="left"/>
      <w:pPr>
        <w:ind w:left="3523" w:hanging="420"/>
      </w:pPr>
      <w:rPr>
        <w:rFonts w:hint="default"/>
      </w:rPr>
    </w:lvl>
    <w:lvl w:ilvl="5">
      <w:start w:val="0"/>
      <w:numFmt w:val="bullet"/>
      <w:lvlText w:val="•"/>
      <w:lvlJc w:val="left"/>
      <w:pPr>
        <w:ind w:left="4274" w:hanging="420"/>
      </w:pPr>
      <w:rPr>
        <w:rFonts w:hint="default"/>
      </w:rPr>
    </w:lvl>
    <w:lvl w:ilvl="6">
      <w:start w:val="0"/>
      <w:numFmt w:val="bullet"/>
      <w:lvlText w:val="•"/>
      <w:lvlJc w:val="left"/>
      <w:pPr>
        <w:ind w:left="5024" w:hanging="420"/>
      </w:pPr>
      <w:rPr>
        <w:rFonts w:hint="default"/>
      </w:rPr>
    </w:lvl>
    <w:lvl w:ilvl="7">
      <w:start w:val="0"/>
      <w:numFmt w:val="bullet"/>
      <w:lvlText w:val="•"/>
      <w:lvlJc w:val="left"/>
      <w:pPr>
        <w:ind w:left="5775" w:hanging="420"/>
      </w:pPr>
      <w:rPr>
        <w:rFonts w:hint="default"/>
      </w:rPr>
    </w:lvl>
    <w:lvl w:ilvl="8">
      <w:start w:val="0"/>
      <w:numFmt w:val="bullet"/>
      <w:lvlText w:val="•"/>
      <w:lvlJc w:val="left"/>
      <w:pPr>
        <w:ind w:left="6526" w:hanging="420"/>
      </w:pPr>
      <w:rPr>
        <w:rFonts w:hint="default"/>
      </w:rPr>
    </w:lvl>
  </w:abstractNum>
  <w:abstractNum w:abstractNumId="3">
    <w:multiLevelType w:val="hybridMultilevel"/>
    <w:lvl w:ilvl="0">
      <w:start w:val="1"/>
      <w:numFmt w:val="decimal"/>
      <w:lvlText w:val="%1."/>
      <w:lvlJc w:val="left"/>
      <w:pPr>
        <w:ind w:left="5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021" w:hanging="420"/>
      </w:pPr>
      <w:rPr>
        <w:rFonts w:hint="default"/>
      </w:rPr>
    </w:lvl>
    <w:lvl w:ilvl="3">
      <w:start w:val="0"/>
      <w:numFmt w:val="bullet"/>
      <w:lvlText w:val="•"/>
      <w:lvlJc w:val="left"/>
      <w:pPr>
        <w:ind w:left="2772" w:hanging="420"/>
      </w:pPr>
      <w:rPr>
        <w:rFonts w:hint="default"/>
      </w:rPr>
    </w:lvl>
    <w:lvl w:ilvl="4">
      <w:start w:val="0"/>
      <w:numFmt w:val="bullet"/>
      <w:lvlText w:val="•"/>
      <w:lvlJc w:val="left"/>
      <w:pPr>
        <w:ind w:left="3523" w:hanging="420"/>
      </w:pPr>
      <w:rPr>
        <w:rFonts w:hint="default"/>
      </w:rPr>
    </w:lvl>
    <w:lvl w:ilvl="5">
      <w:start w:val="0"/>
      <w:numFmt w:val="bullet"/>
      <w:lvlText w:val="•"/>
      <w:lvlJc w:val="left"/>
      <w:pPr>
        <w:ind w:left="4274" w:hanging="420"/>
      </w:pPr>
      <w:rPr>
        <w:rFonts w:hint="default"/>
      </w:rPr>
    </w:lvl>
    <w:lvl w:ilvl="6">
      <w:start w:val="0"/>
      <w:numFmt w:val="bullet"/>
      <w:lvlText w:val="•"/>
      <w:lvlJc w:val="left"/>
      <w:pPr>
        <w:ind w:left="5024" w:hanging="420"/>
      </w:pPr>
      <w:rPr>
        <w:rFonts w:hint="default"/>
      </w:rPr>
    </w:lvl>
    <w:lvl w:ilvl="7">
      <w:start w:val="0"/>
      <w:numFmt w:val="bullet"/>
      <w:lvlText w:val="•"/>
      <w:lvlJc w:val="left"/>
      <w:pPr>
        <w:ind w:left="5775" w:hanging="420"/>
      </w:pPr>
      <w:rPr>
        <w:rFonts w:hint="default"/>
      </w:rPr>
    </w:lvl>
    <w:lvl w:ilvl="8">
      <w:start w:val="0"/>
      <w:numFmt w:val="bullet"/>
      <w:lvlText w:val="•"/>
      <w:lvlJc w:val="left"/>
      <w:pPr>
        <w:ind w:left="6526" w:hanging="420"/>
      </w:pPr>
      <w:rPr>
        <w:rFonts w:hint="default"/>
      </w:rPr>
    </w:lvl>
  </w:abstractNum>
  <w:abstractNum w:abstractNumId="2">
    <w:multiLevelType w:val="hybridMultilevel"/>
    <w:lvl w:ilvl="0">
      <w:start w:val="9"/>
      <w:numFmt w:val="decimal"/>
      <w:lvlText w:val="%1."/>
      <w:lvlJc w:val="left"/>
      <w:pPr>
        <w:ind w:left="563" w:hanging="316"/>
        <w:jc w:val="left"/>
      </w:pPr>
      <w:rPr>
        <w:rFonts w:hint="default" w:ascii="宋体" w:hAnsi="宋体" w:eastAsia="宋体" w:cs="宋体"/>
        <w:w w:val="100"/>
        <w:sz w:val="21"/>
        <w:szCs w:val="21"/>
      </w:rPr>
    </w:lvl>
    <w:lvl w:ilvl="1">
      <w:start w:val="0"/>
      <w:numFmt w:val="bullet"/>
      <w:lvlText w:val="•"/>
      <w:lvlJc w:val="left"/>
      <w:pPr>
        <w:ind w:left="1030" w:hanging="316"/>
      </w:pPr>
      <w:rPr>
        <w:rFonts w:hint="default"/>
      </w:rPr>
    </w:lvl>
    <w:lvl w:ilvl="2">
      <w:start w:val="0"/>
      <w:numFmt w:val="bullet"/>
      <w:lvlText w:val="•"/>
      <w:lvlJc w:val="left"/>
      <w:pPr>
        <w:ind w:left="1500" w:hanging="316"/>
      </w:pPr>
      <w:rPr>
        <w:rFonts w:hint="default"/>
      </w:rPr>
    </w:lvl>
    <w:lvl w:ilvl="3">
      <w:start w:val="0"/>
      <w:numFmt w:val="bullet"/>
      <w:lvlText w:val="•"/>
      <w:lvlJc w:val="left"/>
      <w:pPr>
        <w:ind w:left="1971" w:hanging="316"/>
      </w:pPr>
      <w:rPr>
        <w:rFonts w:hint="default"/>
      </w:rPr>
    </w:lvl>
    <w:lvl w:ilvl="4">
      <w:start w:val="0"/>
      <w:numFmt w:val="bullet"/>
      <w:lvlText w:val="•"/>
      <w:lvlJc w:val="left"/>
      <w:pPr>
        <w:ind w:left="2441" w:hanging="316"/>
      </w:pPr>
      <w:rPr>
        <w:rFonts w:hint="default"/>
      </w:rPr>
    </w:lvl>
    <w:lvl w:ilvl="5">
      <w:start w:val="0"/>
      <w:numFmt w:val="bullet"/>
      <w:lvlText w:val="•"/>
      <w:lvlJc w:val="left"/>
      <w:pPr>
        <w:ind w:left="2911" w:hanging="316"/>
      </w:pPr>
      <w:rPr>
        <w:rFonts w:hint="default"/>
      </w:rPr>
    </w:lvl>
    <w:lvl w:ilvl="6">
      <w:start w:val="0"/>
      <w:numFmt w:val="bullet"/>
      <w:lvlText w:val="•"/>
      <w:lvlJc w:val="left"/>
      <w:pPr>
        <w:ind w:left="3382" w:hanging="316"/>
      </w:pPr>
      <w:rPr>
        <w:rFonts w:hint="default"/>
      </w:rPr>
    </w:lvl>
    <w:lvl w:ilvl="7">
      <w:start w:val="0"/>
      <w:numFmt w:val="bullet"/>
      <w:lvlText w:val="•"/>
      <w:lvlJc w:val="left"/>
      <w:pPr>
        <w:ind w:left="3852" w:hanging="316"/>
      </w:pPr>
      <w:rPr>
        <w:rFonts w:hint="default"/>
      </w:rPr>
    </w:lvl>
    <w:lvl w:ilvl="8">
      <w:start w:val="0"/>
      <w:numFmt w:val="bullet"/>
      <w:lvlText w:val="•"/>
      <w:lvlJc w:val="left"/>
      <w:pPr>
        <w:ind w:left="4322"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248" w:hanging="316"/>
      </w:pPr>
      <w:rPr>
        <w:rFonts w:hint="default"/>
      </w:rPr>
    </w:lvl>
    <w:lvl w:ilvl="2">
      <w:start w:val="0"/>
      <w:numFmt w:val="bullet"/>
      <w:lvlText w:val="•"/>
      <w:lvlJc w:val="left"/>
      <w:pPr>
        <w:ind w:left="1617" w:hanging="316"/>
      </w:pPr>
      <w:rPr>
        <w:rFonts w:hint="default"/>
      </w:rPr>
    </w:lvl>
    <w:lvl w:ilvl="3">
      <w:start w:val="0"/>
      <w:numFmt w:val="bullet"/>
      <w:lvlText w:val="•"/>
      <w:lvlJc w:val="left"/>
      <w:pPr>
        <w:ind w:left="1986" w:hanging="316"/>
      </w:pPr>
      <w:rPr>
        <w:rFonts w:hint="default"/>
      </w:rPr>
    </w:lvl>
    <w:lvl w:ilvl="4">
      <w:start w:val="0"/>
      <w:numFmt w:val="bullet"/>
      <w:lvlText w:val="•"/>
      <w:lvlJc w:val="left"/>
      <w:pPr>
        <w:ind w:left="2355" w:hanging="316"/>
      </w:pPr>
      <w:rPr>
        <w:rFonts w:hint="default"/>
      </w:rPr>
    </w:lvl>
    <w:lvl w:ilvl="5">
      <w:start w:val="0"/>
      <w:numFmt w:val="bullet"/>
      <w:lvlText w:val="•"/>
      <w:lvlJc w:val="left"/>
      <w:pPr>
        <w:ind w:left="2724" w:hanging="316"/>
      </w:pPr>
      <w:rPr>
        <w:rFonts w:hint="default"/>
      </w:rPr>
    </w:lvl>
    <w:lvl w:ilvl="6">
      <w:start w:val="0"/>
      <w:numFmt w:val="bullet"/>
      <w:lvlText w:val="•"/>
      <w:lvlJc w:val="left"/>
      <w:pPr>
        <w:ind w:left="3093" w:hanging="316"/>
      </w:pPr>
      <w:rPr>
        <w:rFonts w:hint="default"/>
      </w:rPr>
    </w:lvl>
    <w:lvl w:ilvl="7">
      <w:start w:val="0"/>
      <w:numFmt w:val="bullet"/>
      <w:lvlText w:val="•"/>
      <w:lvlJc w:val="left"/>
      <w:pPr>
        <w:ind w:left="3462" w:hanging="316"/>
      </w:pPr>
      <w:rPr>
        <w:rFonts w:hint="default"/>
      </w:rPr>
    </w:lvl>
    <w:lvl w:ilvl="8">
      <w:start w:val="0"/>
      <w:numFmt w:val="bullet"/>
      <w:lvlText w:val="•"/>
      <w:lvlJc w:val="left"/>
      <w:pPr>
        <w:ind w:left="3831"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18"/>
        <w:szCs w:val="18"/>
      </w:rPr>
    </w:lvl>
    <w:lvl w:ilvl="1">
      <w:start w:val="0"/>
      <w:numFmt w:val="bullet"/>
      <w:lvlText w:val=""/>
      <w:lvlJc w:val="left"/>
      <w:pPr>
        <w:ind w:left="987" w:hanging="417"/>
      </w:pPr>
      <w:rPr>
        <w:rFonts w:hint="default" w:ascii="Wingdings" w:hAnsi="Wingdings" w:eastAsia="Wingdings" w:cs="Wingdings"/>
        <w:w w:val="100"/>
        <w:sz w:val="21"/>
        <w:szCs w:val="21"/>
      </w:rPr>
    </w:lvl>
    <w:lvl w:ilvl="2">
      <w:start w:val="0"/>
      <w:numFmt w:val="bullet"/>
      <w:lvlText w:val="•"/>
      <w:lvlJc w:val="left"/>
      <w:pPr>
        <w:ind w:left="2011" w:hanging="417"/>
      </w:pPr>
      <w:rPr>
        <w:rFonts w:hint="default"/>
      </w:rPr>
    </w:lvl>
    <w:lvl w:ilvl="3">
      <w:start w:val="0"/>
      <w:numFmt w:val="bullet"/>
      <w:lvlText w:val="•"/>
      <w:lvlJc w:val="left"/>
      <w:pPr>
        <w:ind w:left="3043" w:hanging="417"/>
      </w:pPr>
      <w:rPr>
        <w:rFonts w:hint="default"/>
      </w:rPr>
    </w:lvl>
    <w:lvl w:ilvl="4">
      <w:start w:val="0"/>
      <w:numFmt w:val="bullet"/>
      <w:lvlText w:val="•"/>
      <w:lvlJc w:val="left"/>
      <w:pPr>
        <w:ind w:left="4075" w:hanging="417"/>
      </w:pPr>
      <w:rPr>
        <w:rFonts w:hint="default"/>
      </w:rPr>
    </w:lvl>
    <w:lvl w:ilvl="5">
      <w:start w:val="0"/>
      <w:numFmt w:val="bullet"/>
      <w:lvlText w:val="•"/>
      <w:lvlJc w:val="left"/>
      <w:pPr>
        <w:ind w:left="5107" w:hanging="417"/>
      </w:pPr>
      <w:rPr>
        <w:rFonts w:hint="default"/>
      </w:rPr>
    </w:lvl>
    <w:lvl w:ilvl="6">
      <w:start w:val="0"/>
      <w:numFmt w:val="bullet"/>
      <w:lvlText w:val="•"/>
      <w:lvlJc w:val="left"/>
      <w:pPr>
        <w:ind w:left="6139" w:hanging="417"/>
      </w:pPr>
      <w:rPr>
        <w:rFonts w:hint="default"/>
      </w:rPr>
    </w:lvl>
    <w:lvl w:ilvl="7">
      <w:start w:val="0"/>
      <w:numFmt w:val="bullet"/>
      <w:lvlText w:val="•"/>
      <w:lvlJc w:val="left"/>
      <w:pPr>
        <w:ind w:left="7170" w:hanging="417"/>
      </w:pPr>
      <w:rPr>
        <w:rFonts w:hint="default"/>
      </w:rPr>
    </w:lvl>
    <w:lvl w:ilvl="8">
      <w:start w:val="0"/>
      <w:numFmt w:val="bullet"/>
      <w:lvlText w:val="•"/>
      <w:lvlJc w:val="left"/>
      <w:pPr>
        <w:ind w:left="8202" w:hanging="41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32" w:lineRule="exact"/>
      <w:ind w:left="1614"/>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79"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2018-10-20T01:45:49Z</dcterms:created>
  <dcterms:modified xsi:type="dcterms:W3CDTF">2018-10-20T01:45:49Z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Acrobat PDFMaker 11 Word 版</vt:lpwstr>
  </property>
  <property fmtid="{D5CDD505-2E9C-101B-9397-08002B2CF9AE}" pid="4" name="LastSaved">
    <vt:filetime>2018-10-19T00:00:00Z</vt:filetime>
  </property>
</Properties>
</file>