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6"/>
        <w:ind w:left="8037" w:right="482" w:firstLine="31"/>
        <w:jc w:val="right"/>
        <w:rPr>
          <w:b/>
          <w:sz w:val="18"/>
        </w:rPr>
      </w:pPr>
      <w:r>
        <w:rPr/>
        <w:drawing>
          <wp:anchor distT="0" distB="0" distL="0" distR="0" allowOverlap="1" layoutInCell="1" locked="0" behindDoc="0" simplePos="0" relativeHeight="1072">
            <wp:simplePos x="0" y="0"/>
            <wp:positionH relativeFrom="page">
              <wp:posOffset>5942837</wp:posOffset>
            </wp:positionH>
            <wp:positionV relativeFrom="paragraph">
              <wp:posOffset>445918</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[2009]</w:t>
      </w:r>
      <w:r>
        <w:rPr>
          <w:b/>
          <w:sz w:val="18"/>
        </w:rPr>
        <w:t>疾病保险 </w:t>
      </w:r>
      <w:r>
        <w:rPr>
          <w:rFonts w:ascii="Times New Roman" w:eastAsia="Times New Roman"/>
          <w:b/>
          <w:sz w:val="18"/>
        </w:rPr>
        <w:t>027 </w:t>
      </w:r>
      <w:r>
        <w:rPr>
          <w:b/>
          <w:sz w:val="18"/>
        </w:rPr>
        <w:t>号</w:t>
      </w:r>
    </w:p>
    <w:p>
      <w:pPr>
        <w:pStyle w:val="BodyText"/>
        <w:rPr>
          <w:b/>
          <w:sz w:val="20"/>
        </w:rPr>
      </w:pPr>
    </w:p>
    <w:p>
      <w:pPr>
        <w:pStyle w:val="BodyText"/>
        <w:rPr>
          <w:b/>
          <w:sz w:val="20"/>
        </w:rPr>
      </w:pPr>
    </w:p>
    <w:p>
      <w:pPr>
        <w:pStyle w:val="BodyText"/>
        <w:spacing w:before="4"/>
        <w:rPr>
          <w:b/>
          <w:sz w:val="14"/>
        </w:rPr>
      </w:pPr>
    </w:p>
    <w:p>
      <w:pPr>
        <w:spacing w:after="0"/>
        <w:rPr>
          <w:sz w:val="14"/>
        </w:rPr>
        <w:sectPr>
          <w:type w:val="continuous"/>
          <w:pgSz w:w="11910" w:h="16840"/>
          <w:pgMar w:top="140" w:bottom="280" w:left="1200" w:right="860"/>
        </w:sectPr>
      </w:pPr>
    </w:p>
    <w:p>
      <w:pPr>
        <w:pStyle w:val="Heading1"/>
        <w:spacing w:line="507" w:lineRule="exact"/>
        <w:ind w:left="1994"/>
      </w:pPr>
      <w:r>
        <w:rPr/>
        <w:t>首创安泰人寿保险有限公司</w:t>
      </w:r>
    </w:p>
    <w:p>
      <w:pPr>
        <w:spacing w:before="187"/>
        <w:ind w:left="2937" w:right="0" w:firstLine="0"/>
        <w:jc w:val="left"/>
        <w:rPr>
          <w:rFonts w:ascii="Courier New"/>
          <w:b/>
          <w:sz w:val="18"/>
        </w:rPr>
      </w:pPr>
      <w:r>
        <w:rPr>
          <w:rFonts w:ascii="Courier New"/>
          <w:b/>
          <w:w w:val="90"/>
          <w:sz w:val="18"/>
        </w:rPr>
        <w:t>ING</w:t>
      </w:r>
      <w:r>
        <w:rPr>
          <w:rFonts w:ascii="Courier New"/>
          <w:b/>
          <w:spacing w:val="-56"/>
          <w:w w:val="90"/>
          <w:sz w:val="18"/>
        </w:rPr>
        <w:t> </w:t>
      </w:r>
      <w:r>
        <w:rPr>
          <w:rFonts w:ascii="Courier New"/>
          <w:b/>
          <w:w w:val="90"/>
          <w:sz w:val="18"/>
        </w:rPr>
        <w:t>CAPITAL</w:t>
      </w:r>
      <w:r>
        <w:rPr>
          <w:rFonts w:ascii="Courier New"/>
          <w:b/>
          <w:spacing w:val="-55"/>
          <w:w w:val="90"/>
          <w:sz w:val="18"/>
        </w:rPr>
        <w:t> </w:t>
      </w:r>
      <w:r>
        <w:rPr>
          <w:rFonts w:ascii="Courier New"/>
          <w:b/>
          <w:w w:val="90"/>
          <w:sz w:val="18"/>
        </w:rPr>
        <w:t>LIFE</w:t>
      </w:r>
      <w:r>
        <w:rPr>
          <w:rFonts w:ascii="Courier New"/>
          <w:b/>
          <w:spacing w:val="-56"/>
          <w:w w:val="90"/>
          <w:sz w:val="18"/>
        </w:rPr>
        <w:t> </w:t>
      </w:r>
      <w:r>
        <w:rPr>
          <w:rFonts w:ascii="Courier New"/>
          <w:b/>
          <w:w w:val="90"/>
          <w:sz w:val="18"/>
        </w:rPr>
        <w:t>INSURANCE</w:t>
      </w:r>
      <w:r>
        <w:rPr>
          <w:rFonts w:ascii="Courier New"/>
          <w:b/>
          <w:spacing w:val="-56"/>
          <w:w w:val="90"/>
          <w:sz w:val="18"/>
        </w:rPr>
        <w:t> </w:t>
      </w:r>
      <w:r>
        <w:rPr>
          <w:rFonts w:ascii="Courier New"/>
          <w:b/>
          <w:w w:val="90"/>
          <w:sz w:val="18"/>
        </w:rPr>
        <w:t>COMPANY</w:t>
      </w:r>
      <w:r>
        <w:rPr>
          <w:rFonts w:ascii="Courier New"/>
          <w:b/>
          <w:spacing w:val="-56"/>
          <w:w w:val="90"/>
          <w:sz w:val="18"/>
        </w:rPr>
        <w:t> </w:t>
      </w:r>
      <w:r>
        <w:rPr>
          <w:rFonts w:ascii="Courier New"/>
          <w:b/>
          <w:w w:val="90"/>
          <w:sz w:val="18"/>
        </w:rPr>
        <w:t>LIMITED</w:t>
      </w:r>
    </w:p>
    <w:p>
      <w:pPr>
        <w:pStyle w:val="BodyText"/>
        <w:rPr>
          <w:rFonts w:ascii="Courier New"/>
          <w:b/>
          <w:sz w:val="18"/>
        </w:rPr>
      </w:pPr>
      <w:r>
        <w:rPr/>
        <w:br w:type="column"/>
      </w:r>
      <w:r>
        <w:rPr>
          <w:rFonts w:ascii="Courier New"/>
          <w:b/>
          <w:sz w:val="18"/>
        </w:rPr>
      </w:r>
    </w:p>
    <w:p>
      <w:pPr>
        <w:pStyle w:val="BodyText"/>
        <w:rPr>
          <w:rFonts w:ascii="Courier New"/>
          <w:b/>
          <w:sz w:val="18"/>
        </w:rPr>
      </w:pPr>
    </w:p>
    <w:p>
      <w:pPr>
        <w:spacing w:before="141"/>
        <w:ind w:left="1035" w:right="0" w:firstLine="0"/>
        <w:jc w:val="left"/>
        <w:rPr>
          <w:b/>
          <w:sz w:val="18"/>
        </w:rPr>
      </w:pPr>
      <w:r>
        <w:rPr>
          <w:b/>
          <w:w w:val="95"/>
          <w:sz w:val="18"/>
        </w:rPr>
        <w:t>请扫描以查询验证条款</w:t>
      </w:r>
    </w:p>
    <w:p>
      <w:pPr>
        <w:spacing w:after="0"/>
        <w:jc w:val="left"/>
        <w:rPr>
          <w:sz w:val="18"/>
        </w:rPr>
        <w:sectPr>
          <w:type w:val="continuous"/>
          <w:pgSz w:w="11910" w:h="16840"/>
          <w:pgMar w:top="140" w:bottom="280" w:left="1200" w:right="860"/>
          <w:cols w:num="2" w:equalWidth="0">
            <w:col w:w="6751" w:space="40"/>
            <w:col w:w="3059"/>
          </w:cols>
        </w:sectPr>
      </w:pPr>
    </w:p>
    <w:p>
      <w:pPr>
        <w:pStyle w:val="BodyText"/>
        <w:spacing w:before="8"/>
        <w:rPr>
          <w:b/>
          <w:sz w:val="26"/>
        </w:rPr>
      </w:pPr>
    </w:p>
    <w:p>
      <w:pPr>
        <w:pStyle w:val="Heading1"/>
        <w:spacing w:line="506" w:lineRule="exact"/>
        <w:ind w:left="1386"/>
      </w:pPr>
      <w:r>
        <w:rPr/>
        <w:t>首创安泰附加康储保定期提前给付重大疾病保险合同条款</w:t>
      </w:r>
    </w:p>
    <w:p>
      <w:pPr>
        <w:pStyle w:val="BodyText"/>
        <w:spacing w:before="6"/>
        <w:rPr>
          <w:rFonts w:ascii="微软雅黑"/>
          <w:b/>
          <w:sz w:val="17"/>
        </w:rPr>
      </w:pPr>
      <w:r>
        <w:rPr/>
        <w:pict>
          <v:line style="position:absolute;mso-position-horizontal-relative:page;mso-position-vertical-relative:paragraph;z-index:0;mso-wrap-distance-left:0;mso-wrap-distance-right:0" from="75.720001pt,17.352777pt" to="537.720001pt,17.352777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3"/>
        <w:rPr>
          <w:rFonts w:ascii="微软雅黑"/>
          <w:b/>
          <w:sz w:val="18"/>
        </w:rPr>
      </w:pPr>
      <w:r>
        <w:rPr/>
        <w:pict>
          <v:shapetype id="_x0000_t202" o:spt="202" coordsize="21600,21600" path="m,l,21600r21600,l21600,xe">
            <v:stroke joinstyle="miter"/>
            <v:path gradientshapeok="t" o:connecttype="rect"/>
          </v:shapetype>
          <v:shape style="position:absolute;margin-left:243.720001pt;margin-top:18.227726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0"/>
        <w:rPr>
          <w:rFonts w:ascii="微软雅黑"/>
          <w:b/>
          <w:sz w:val="23"/>
        </w:rPr>
      </w:pPr>
    </w:p>
    <w:p>
      <w:pPr>
        <w:pStyle w:val="Heading5"/>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4"/>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投保人有权解除合同…</w:t>
        <w:tab/>
        <w:t>6.3</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028" w:val="right" w:leader="dot"/>
        </w:tabs>
        <w:spacing w:before="37"/>
        <w:ind w:left="104"/>
      </w:pPr>
      <w:r>
        <w:rPr/>
        <w:t>我们对一些重要术语进行了解释，请投保人、被保险人、受益人注意…</w:t>
        <w:tab/>
        <w:t>8</w:t>
      </w:r>
    </w:p>
    <w:p>
      <w:pPr>
        <w:spacing w:after="0"/>
        <w:sectPr>
          <w:type w:val="continuous"/>
          <w:pgSz w:w="11910" w:h="16840"/>
          <w:pgMar w:top="140" w:bottom="280" w:left="1200" w:right="86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5"/>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423943">
            <wp:simplePos x="0" y="0"/>
            <wp:positionH relativeFrom="page">
              <wp:posOffset>2738627</wp:posOffset>
            </wp:positionH>
            <wp:positionV relativeFrom="paragraph">
              <wp:posOffset>9448</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423967">
            <wp:simplePos x="0" y="0"/>
            <wp:positionH relativeFrom="page">
              <wp:posOffset>4827269</wp:posOffset>
            </wp:positionH>
            <wp:positionV relativeFrom="paragraph">
              <wp:posOffset>9448</wp:posOffset>
            </wp:positionV>
            <wp:extent cx="6096"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3" w:val="left" w:leader="none"/>
          <w:tab w:pos="6822" w:val="left" w:leader="none"/>
        </w:tabs>
        <w:spacing w:line="240" w:lineRule="auto" w:before="36" w:after="0"/>
        <w:ind w:left="732" w:right="0" w:hanging="420"/>
        <w:jc w:val="left"/>
        <w:rPr>
          <w:sz w:val="21"/>
        </w:rPr>
      </w:pPr>
      <w:r>
        <w:rPr>
          <w:sz w:val="21"/>
        </w:rPr>
        <w:t>合同生效及保险责任开始</w:t>
        <w:tab/>
        <w:t>4.3</w:t>
      </w:r>
      <w:r>
        <w:rPr>
          <w:spacing w:val="-1"/>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身体检查</w:t>
      </w:r>
    </w:p>
    <w:p>
      <w:pPr>
        <w:pStyle w:val="Heading5"/>
        <w:spacing w:before="36"/>
        <w:ind w:left="0" w:right="2317" w:firstLine="0"/>
        <w:jc w:val="right"/>
      </w:pPr>
      <w:r>
        <w:rPr/>
        <w:t>8 释义</w:t>
      </w:r>
    </w:p>
    <w:p>
      <w:pPr>
        <w:pStyle w:val="BodyText"/>
        <w:tabs>
          <w:tab w:pos="525" w:val="left" w:leader="none"/>
        </w:tabs>
        <w:spacing w:before="36"/>
        <w:ind w:right="1793"/>
        <w:jc w:val="right"/>
      </w:pPr>
      <w:r>
        <w:rPr/>
        <w:t>8.1</w:t>
        <w:tab/>
        <w:t>医院</w:t>
      </w:r>
    </w:p>
    <w:p>
      <w:pPr>
        <w:pStyle w:val="ListParagraph"/>
        <w:numPr>
          <w:ilvl w:val="0"/>
          <w:numId w:val="1"/>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专科医生</w:t>
      </w:r>
    </w:p>
    <w:p>
      <w:pPr>
        <w:pStyle w:val="ListParagraph"/>
        <w:numPr>
          <w:ilvl w:val="1"/>
          <w:numId w:val="1"/>
        </w:numPr>
        <w:tabs>
          <w:tab w:pos="733" w:val="left" w:leader="none"/>
          <w:tab w:pos="3532" w:val="left" w:leader="none"/>
          <w:tab w:pos="6821"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r>
      <w:r>
        <w:rPr>
          <w:spacing w:val="-1"/>
          <w:sz w:val="21"/>
        </w:rPr>
        <w:t>感染</w:t>
      </w:r>
      <w:r>
        <w:rPr>
          <w:sz w:val="21"/>
        </w:rPr>
        <w:t>艾滋病病毒或患艾</w:t>
      </w:r>
    </w:p>
    <w:p>
      <w:pPr>
        <w:pStyle w:val="ListParagraph"/>
        <w:numPr>
          <w:ilvl w:val="1"/>
          <w:numId w:val="1"/>
        </w:numPr>
        <w:tabs>
          <w:tab w:pos="733" w:val="left" w:leader="none"/>
          <w:tab w:pos="6822" w:val="left" w:leader="none"/>
        </w:tabs>
        <w:spacing w:line="240" w:lineRule="auto" w:before="36" w:after="0"/>
        <w:ind w:left="732" w:right="0" w:hanging="420"/>
        <w:jc w:val="left"/>
        <w:rPr>
          <w:sz w:val="21"/>
        </w:rPr>
      </w:pPr>
      <w:r>
        <w:rPr>
          <w:sz w:val="21"/>
        </w:rPr>
        <w:t>保险责任</w:t>
        <w:tab/>
        <w:t>滋病</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8.4</w:t>
        <w:tab/>
      </w:r>
      <w:r>
        <w:rPr>
          <w:spacing w:val="-1"/>
          <w:sz w:val="21"/>
        </w:rPr>
        <w:t>遗传</w:t>
      </w:r>
      <w:r>
        <w:rPr>
          <w:sz w:val="21"/>
        </w:rPr>
        <w:t>性疾病</w:t>
      </w:r>
    </w:p>
    <w:p>
      <w:pPr>
        <w:pStyle w:val="BodyText"/>
        <w:tabs>
          <w:tab w:pos="7347" w:val="left" w:leader="none"/>
        </w:tabs>
        <w:spacing w:line="273" w:lineRule="auto" w:before="36"/>
        <w:ind w:left="6822" w:right="115"/>
      </w:pPr>
      <w:r>
        <w:rPr/>
        <w:t>8.5</w:t>
        <w:tab/>
      </w:r>
      <w:r>
        <w:rPr>
          <w:spacing w:val="-1"/>
        </w:rPr>
        <w:t>先天性畸形、变形或染色体异常</w:t>
      </w:r>
    </w:p>
    <w:p>
      <w:pPr>
        <w:pStyle w:val="Heading5"/>
        <w:numPr>
          <w:ilvl w:val="0"/>
          <w:numId w:val="1"/>
        </w:numPr>
        <w:tabs>
          <w:tab w:pos="315" w:val="left" w:leader="none"/>
          <w:tab w:pos="3323" w:val="left" w:leader="none"/>
        </w:tabs>
        <w:spacing w:line="240" w:lineRule="auto" w:before="7" w:after="0"/>
        <w:ind w:left="314" w:right="0" w:hanging="212"/>
        <w:jc w:val="left"/>
      </w:pPr>
      <w:r>
        <w:rPr/>
        <w:t>重大疾病</w:t>
        <w:tab/>
        <w:t>6</w:t>
      </w:r>
      <w:r>
        <w:rPr>
          <w:spacing w:val="-2"/>
        </w:rPr>
        <w:t> </w:t>
      </w:r>
      <w:r>
        <w:rPr/>
        <w:t>投保人的特别权利及相应义务</w:t>
      </w:r>
    </w:p>
    <w:p>
      <w:pPr>
        <w:pStyle w:val="ListParagraph"/>
        <w:numPr>
          <w:ilvl w:val="1"/>
          <w:numId w:val="1"/>
        </w:numPr>
        <w:tabs>
          <w:tab w:pos="733" w:val="left" w:leader="none"/>
          <w:tab w:pos="3532" w:val="left" w:leader="none"/>
        </w:tabs>
        <w:spacing w:line="240" w:lineRule="auto" w:before="37" w:after="0"/>
        <w:ind w:left="732" w:right="0" w:hanging="420"/>
        <w:jc w:val="left"/>
        <w:rPr>
          <w:sz w:val="21"/>
        </w:rPr>
      </w:pPr>
      <w:r>
        <w:rPr>
          <w:sz w:val="21"/>
        </w:rPr>
        <w:t>重大疾病的范围</w:t>
        <w:tab/>
        <w:t>6.1</w:t>
      </w:r>
      <w:r>
        <w:rPr>
          <w:spacing w:val="-2"/>
          <w:sz w:val="21"/>
        </w:rPr>
        <w:t> </w:t>
      </w:r>
      <w:r>
        <w:rPr>
          <w:sz w:val="21"/>
        </w:rPr>
        <w:t>解除合同（退保）</w:t>
      </w:r>
    </w:p>
    <w:p>
      <w:pPr>
        <w:pStyle w:val="ListParagraph"/>
        <w:numPr>
          <w:ilvl w:val="1"/>
          <w:numId w:val="1"/>
        </w:numPr>
        <w:tabs>
          <w:tab w:pos="733" w:val="left" w:leader="none"/>
        </w:tabs>
        <w:spacing w:line="240" w:lineRule="auto" w:before="37" w:after="0"/>
        <w:ind w:left="732" w:right="0" w:hanging="420"/>
        <w:jc w:val="left"/>
        <w:rPr>
          <w:sz w:val="21"/>
        </w:rPr>
      </w:pPr>
      <w:r>
        <w:rPr>
          <w:spacing w:val="-2"/>
          <w:sz w:val="21"/>
        </w:rPr>
        <w:t>重大疾病的定义</w:t>
      </w:r>
    </w:p>
    <w:p>
      <w:pPr>
        <w:spacing w:after="0" w:line="240" w:lineRule="auto"/>
        <w:jc w:val="left"/>
        <w:rPr>
          <w:sz w:val="21"/>
        </w:rPr>
        <w:sectPr>
          <w:pgSz w:w="11910" w:h="16840"/>
          <w:pgMar w:top="160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311" w:firstLine="1389"/>
        <w:jc w:val="left"/>
        <w:rPr>
          <w:sz w:val="21"/>
        </w:rPr>
      </w:pPr>
      <w:r>
        <w:rPr>
          <w:b/>
          <w:sz w:val="21"/>
        </w:rPr>
        <w:t>条款是保险合同的重要组成部分，请投保人、被保险人、受益人仔细阅读。</w:t>
      </w:r>
      <w:r>
        <w:rPr>
          <w:sz w:val="21"/>
        </w:rPr>
        <w:t>在本条款中，“我们”、“本公司”均指首创安泰人寿保险有限公司。</w:t>
      </w:r>
    </w:p>
    <w:p>
      <w:pPr>
        <w:pStyle w:val="Heading2"/>
        <w:numPr>
          <w:ilvl w:val="0"/>
          <w:numId w:val="3"/>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3.1pt;height:1.45pt;mso-position-horizontal-relative:page;mso-position-vertical-relative:paragraph;z-index:1216;mso-wrap-distance-left:0;mso-wrap-distance-right:0" coordorigin="1199,172" coordsize="9662,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pStyle w:val="ListParagraph"/>
        <w:numPr>
          <w:ilvl w:val="1"/>
          <w:numId w:val="3"/>
        </w:numPr>
        <w:tabs>
          <w:tab w:pos="1075" w:val="left" w:leader="none"/>
        </w:tabs>
        <w:spacing w:line="220" w:lineRule="auto" w:before="56" w:after="0"/>
        <w:ind w:left="2775" w:right="208" w:hanging="2549"/>
        <w:jc w:val="both"/>
        <w:rPr>
          <w:sz w:val="21"/>
        </w:rPr>
      </w:pPr>
      <w:r>
        <w:rPr>
          <w:b/>
          <w:spacing w:val="2"/>
          <w:position w:val="-1"/>
          <w:sz w:val="21"/>
        </w:rPr>
        <w:t>合同构成       </w:t>
      </w:r>
      <w:r>
        <w:rPr>
          <w:spacing w:val="2"/>
          <w:sz w:val="21"/>
        </w:rPr>
        <w:t>首创安泰附加康储保定期提前给付重大疾病保险合同（</w:t>
      </w:r>
      <w:r>
        <w:rPr>
          <w:spacing w:val="1"/>
          <w:sz w:val="21"/>
        </w:rPr>
        <w:t>以下简称本附加合</w:t>
      </w:r>
      <w:r>
        <w:rPr>
          <w:spacing w:val="12"/>
          <w:sz w:val="21"/>
        </w:rPr>
        <w:t>同，代码 </w:t>
      </w:r>
      <w:r>
        <w:rPr>
          <w:sz w:val="21"/>
        </w:rPr>
        <w:t>TRDD）依首创安泰康储保两全保险合同（以下简称主合同，代码</w:t>
      </w:r>
    </w:p>
    <w:p>
      <w:pPr>
        <w:pStyle w:val="BodyText"/>
        <w:spacing w:line="237" w:lineRule="auto"/>
        <w:ind w:left="2775" w:right="209"/>
        <w:jc w:val="both"/>
      </w:pPr>
      <w:r>
        <w:rPr/>
        <w:t>TREA）投保人的申请，经本公司同意而订立。 本附加合同须附加于主合同后始为有效。</w:t>
      </w:r>
    </w:p>
    <w:p>
      <w:pPr>
        <w:pStyle w:val="BodyText"/>
        <w:spacing w:line="237" w:lineRule="auto"/>
        <w:ind w:left="2775" w:right="112"/>
        <w:jc w:val="both"/>
      </w:pPr>
      <w:r>
        <w:rPr/>
        <w:t>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BodyText"/>
        <w:spacing w:line="237" w:lineRule="auto"/>
        <w:ind w:left="2775" w:right="212"/>
        <w:jc w:val="both"/>
      </w:pPr>
      <w:r>
        <w:rPr/>
        <w:t>本附加合同条款依法按照通常理解予以解释，如合同条款有两种以上解释的，作有利于被保险人或受益人的解释。</w:t>
      </w:r>
    </w:p>
    <w:p>
      <w:pPr>
        <w:pStyle w:val="BodyText"/>
        <w:spacing w:line="272" w:lineRule="exact"/>
        <w:ind w:left="2775"/>
        <w:jc w:val="both"/>
      </w:pPr>
      <w:r>
        <w:rPr/>
        <w:t>本附加合同的代码为 TRDD．</w:t>
      </w:r>
    </w:p>
    <w:p>
      <w:pPr>
        <w:pStyle w:val="BodyText"/>
        <w:spacing w:before="9"/>
        <w:rPr>
          <w:sz w:val="18"/>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73" w:lineRule="auto" w:before="7"/>
        <w:ind w:left="2775" w:right="176"/>
        <w:jc w:val="both"/>
      </w:pPr>
      <w:r>
        <w:rPr/>
        <w:t>订立本附加合同，我们可以就投保人和被保险人的有关情况提出书面询问， 投保人应当如实告知。</w:t>
      </w:r>
    </w:p>
    <w:p>
      <w:pPr>
        <w:pStyle w:val="BodyText"/>
        <w:spacing w:line="273" w:lineRule="auto" w:before="7"/>
        <w:ind w:left="2775" w:right="2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权解除本附加合同。但若被保险人自本附加合同成立日</w:t>
      </w:r>
      <w:r>
        <w:rPr/>
        <w:t>（若本合同中止后复</w:t>
      </w:r>
      <w:r>
        <w:rPr>
          <w:spacing w:val="-3"/>
        </w:rPr>
        <w:t>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2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7"/>
        <w:ind w:left="2775" w:right="211"/>
        <w:jc w:val="both"/>
      </w:pPr>
      <w:r>
        <w:rPr>
          <w:spacing w:val="-3"/>
        </w:rPr>
        <w:t>如果投保人故意不履行如实告知义务，我们对于本合同解除前发生的保险事故，不承担给付保险金的责任，并不退还保险费。</w:t>
      </w:r>
    </w:p>
    <w:p>
      <w:pPr>
        <w:pStyle w:val="Heading3"/>
        <w:spacing w:line="237" w:lineRule="auto"/>
        <w:ind w:right="211"/>
      </w:pPr>
      <w:r>
        <w:rPr>
          <w:spacing w:val="-4"/>
        </w:rPr>
        <w:t>如果投保人因重大过失未履行如实告知义务，对保险事故的发生有</w:t>
      </w:r>
      <w:r>
        <w:rPr>
          <w:spacing w:val="-8"/>
        </w:rPr>
        <w:t>严重影响的，我们对于本附加合同解除前发生的保险事故，不承担给付保险金的责任，但退还本附加合同的保险费。</w:t>
      </w:r>
    </w:p>
    <w:p>
      <w:pPr>
        <w:pStyle w:val="BodyText"/>
        <w:spacing w:before="10"/>
        <w:rPr>
          <w:sz w:val="15"/>
        </w:rPr>
      </w:pPr>
    </w:p>
    <w:p>
      <w:pPr>
        <w:spacing w:after="0"/>
        <w:rPr>
          <w:sz w:val="15"/>
        </w:rPr>
        <w:sectPr>
          <w:footerReference w:type="default" r:id="rId7"/>
          <w:pgSz w:w="11910" w:h="16840"/>
          <w:pgMar w:footer="998" w:header="0" w:top="1500" w:bottom="1180" w:left="1080" w:right="940"/>
          <w:pgNumType w:start="1"/>
        </w:sectPr>
      </w:pPr>
    </w:p>
    <w:p>
      <w:pPr>
        <w:pStyle w:val="Heading5"/>
        <w:numPr>
          <w:ilvl w:val="1"/>
          <w:numId w:val="3"/>
        </w:numPr>
        <w:tabs>
          <w:tab w:pos="1075" w:val="left" w:leader="none"/>
          <w:tab w:pos="1076" w:val="left" w:leader="none"/>
        </w:tabs>
        <w:spacing w:line="273" w:lineRule="auto" w:before="56" w:after="0"/>
        <w:ind w:left="1075" w:right="0" w:hanging="849"/>
        <w:jc w:val="left"/>
      </w:pPr>
      <w:r>
        <w:rPr>
          <w:w w:val="95"/>
        </w:rPr>
        <w:t>合同生效及保险责任的开始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140" w:bottom="280" w:left="1080" w:right="940"/>
          <w:cols w:num="2" w:equalWidth="0">
            <w:col w:w="2551" w:space="40"/>
            <w:col w:w="7299"/>
          </w:cols>
        </w:sectPr>
      </w:pPr>
    </w:p>
    <w:p>
      <w:pPr>
        <w:pStyle w:val="Heading2"/>
        <w:numPr>
          <w:ilvl w:val="0"/>
          <w:numId w:val="3"/>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3.1pt;height:1.45pt;mso-position-horizontal-relative:page;mso-position-vertical-relative:paragraph;z-index:1240;mso-wrap-distance-left:0;mso-wrap-distance-right:0" coordorigin="1199,172" coordsize="9662,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860,176"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2"/>
        <w:rPr>
          <w:b/>
          <w:sz w:val="9"/>
        </w:rPr>
      </w:pPr>
    </w:p>
    <w:p>
      <w:pPr>
        <w:pStyle w:val="ListParagraph"/>
        <w:numPr>
          <w:ilvl w:val="1"/>
          <w:numId w:val="3"/>
        </w:numPr>
        <w:tabs>
          <w:tab w:pos="1074" w:val="left" w:leader="none"/>
          <w:tab w:pos="1075" w:val="left" w:leader="none"/>
          <w:tab w:pos="2775" w:val="left" w:leader="none"/>
        </w:tabs>
        <w:spacing w:line="273" w:lineRule="auto" w:before="35" w:after="0"/>
        <w:ind w:left="2775" w:right="212" w:hanging="2549"/>
        <w:jc w:val="left"/>
        <w:rPr>
          <w:sz w:val="21"/>
        </w:rPr>
      </w:pPr>
      <w:r>
        <w:rPr>
          <w:b/>
          <w:sz w:val="21"/>
        </w:rPr>
        <w:t>保险金额</w:t>
        <w:tab/>
      </w:r>
      <w:r>
        <w:rPr>
          <w:sz w:val="21"/>
        </w:rPr>
        <w:t>本附加合同所称的保险金额是指保险单或主合同批注上所载的本附加合同的保险金额</w:t>
      </w:r>
      <w:r>
        <w:rPr>
          <w:spacing w:val="-18"/>
          <w:sz w:val="21"/>
        </w:rPr>
        <w:t>。</w:t>
      </w:r>
      <w:r>
        <w:rPr>
          <w:sz w:val="21"/>
        </w:rPr>
        <w:t>若该金额按本附加合同其它条款的约定发生变更</w:t>
      </w:r>
      <w:r>
        <w:rPr>
          <w:spacing w:val="-18"/>
          <w:sz w:val="21"/>
        </w:rPr>
        <w:t>，</w:t>
      </w:r>
      <w:r>
        <w:rPr>
          <w:sz w:val="21"/>
        </w:rPr>
        <w:t>则以变更后的金额为保险金额。</w:t>
      </w:r>
    </w:p>
    <w:p>
      <w:pPr>
        <w:pStyle w:val="BodyText"/>
        <w:spacing w:before="6"/>
        <w:rPr>
          <w:sz w:val="17"/>
        </w:rPr>
      </w:pPr>
    </w:p>
    <w:p>
      <w:pPr>
        <w:pStyle w:val="ListParagraph"/>
        <w:numPr>
          <w:ilvl w:val="1"/>
          <w:numId w:val="3"/>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8"/>
        <w:rPr>
          <w:sz w:val="17"/>
        </w:rPr>
      </w:pPr>
    </w:p>
    <w:p>
      <w:pPr>
        <w:pStyle w:val="ListParagraph"/>
        <w:numPr>
          <w:ilvl w:val="2"/>
          <w:numId w:val="3"/>
        </w:numPr>
        <w:tabs>
          <w:tab w:pos="1076" w:val="left" w:leader="none"/>
        </w:tabs>
        <w:spacing w:line="278" w:lineRule="auto" w:before="0" w:after="0"/>
        <w:ind w:left="2775" w:right="210" w:hanging="2549"/>
        <w:jc w:val="both"/>
        <w:rPr>
          <w:sz w:val="21"/>
        </w:rPr>
      </w:pPr>
      <w:r>
        <w:rPr>
          <w:i/>
          <w:spacing w:val="5"/>
          <w:position w:val="3"/>
          <w:sz w:val="22"/>
        </w:rPr>
        <w:t>重大疾病保险金 </w:t>
      </w:r>
      <w:r>
        <w:rPr>
          <w:spacing w:val="-3"/>
          <w:sz w:val="21"/>
        </w:rPr>
        <w:t>在本附加合同有效期内，被保险人于本附加合同持续有效一百八十日</w:t>
      </w:r>
      <w:r>
        <w:rPr>
          <w:sz w:val="21"/>
        </w:rPr>
        <w:t>（若本</w:t>
      </w:r>
      <w:r>
        <w:rPr>
          <w:spacing w:val="-9"/>
          <w:sz w:val="21"/>
        </w:rPr>
        <w:t>附加合同中止后复效，则以最后复效日起持续有效一百八十日为准</w:t>
      </w:r>
      <w:r>
        <w:rPr>
          <w:spacing w:val="-82"/>
          <w:sz w:val="21"/>
        </w:rPr>
        <w:t>）</w:t>
      </w:r>
      <w:r>
        <w:rPr>
          <w:spacing w:val="-41"/>
          <w:sz w:val="21"/>
        </w:rPr>
        <w:t>以后</w:t>
      </w:r>
      <w:r>
        <w:rPr>
          <w:sz w:val="21"/>
        </w:rPr>
        <w:t>（不</w:t>
      </w:r>
      <w:r>
        <w:rPr>
          <w:spacing w:val="1"/>
          <w:sz w:val="21"/>
        </w:rPr>
        <w:t>含当日）</w:t>
      </w:r>
      <w:r>
        <w:rPr>
          <w:sz w:val="21"/>
        </w:rPr>
        <w:t>首次确诊患本附加合同所述重大疾病</w:t>
      </w:r>
      <w:r>
        <w:rPr>
          <w:spacing w:val="1"/>
          <w:sz w:val="21"/>
        </w:rPr>
        <w:t>（</w:t>
      </w:r>
      <w:r>
        <w:rPr>
          <w:sz w:val="21"/>
        </w:rPr>
        <w:t>无论一种或多种</w:t>
      </w:r>
      <w:r>
        <w:rPr>
          <w:spacing w:val="-104"/>
          <w:sz w:val="21"/>
        </w:rPr>
        <w:t>）</w:t>
      </w:r>
      <w:r>
        <w:rPr>
          <w:sz w:val="21"/>
        </w:rPr>
        <w:t>，则我们</w:t>
      </w:r>
      <w:r>
        <w:rPr>
          <w:spacing w:val="-2"/>
          <w:sz w:val="21"/>
        </w:rPr>
        <w:t>给付等值于本附加合同保险金额的重大疾病保险金，本附加合同及主合同效力终止。</w:t>
      </w:r>
    </w:p>
    <w:p>
      <w:pPr>
        <w:pStyle w:val="BodyText"/>
        <w:rPr>
          <w:sz w:val="15"/>
        </w:rPr>
      </w:pPr>
    </w:p>
    <w:p>
      <w:pPr>
        <w:pStyle w:val="ListParagraph"/>
        <w:numPr>
          <w:ilvl w:val="2"/>
          <w:numId w:val="3"/>
        </w:numPr>
        <w:tabs>
          <w:tab w:pos="1076" w:val="left" w:leader="none"/>
        </w:tabs>
        <w:spacing w:line="276" w:lineRule="auto" w:before="0" w:after="0"/>
        <w:ind w:left="2775" w:right="211" w:hanging="2549"/>
        <w:jc w:val="both"/>
        <w:rPr>
          <w:sz w:val="21"/>
        </w:rPr>
      </w:pPr>
      <w:r>
        <w:rPr>
          <w:i/>
          <w:spacing w:val="5"/>
          <w:position w:val="3"/>
          <w:sz w:val="22"/>
        </w:rPr>
        <w:t>保险金给付限制 </w:t>
      </w:r>
      <w:r>
        <w:rPr>
          <w:spacing w:val="-4"/>
          <w:sz w:val="21"/>
        </w:rPr>
        <w:t>在本附加合同有效期内，若被保险人于本附加合同生效之日起持续有效一百</w:t>
      </w:r>
      <w:r>
        <w:rPr>
          <w:spacing w:val="-9"/>
          <w:sz w:val="21"/>
        </w:rPr>
        <w:t>八十日</w:t>
      </w:r>
      <w:r>
        <w:rPr>
          <w:sz w:val="21"/>
        </w:rPr>
        <w:t>（</w:t>
      </w:r>
      <w:r>
        <w:rPr>
          <w:spacing w:val="-2"/>
          <w:sz w:val="21"/>
        </w:rPr>
        <w:t>若本附加合同中止后复效，则以最后复效日起持续有效一百八十日为准）以内</w:t>
      </w:r>
      <w:r>
        <w:rPr>
          <w:rFonts w:ascii="Times New Roman" w:eastAsia="Times New Roman"/>
          <w:spacing w:val="-2"/>
          <w:sz w:val="21"/>
        </w:rPr>
        <w:t>(</w:t>
      </w:r>
      <w:r>
        <w:rPr>
          <w:spacing w:val="-2"/>
          <w:sz w:val="21"/>
        </w:rPr>
        <w:t>含当日</w:t>
      </w:r>
      <w:r>
        <w:rPr>
          <w:rFonts w:ascii="Times New Roman" w:eastAsia="Times New Roman"/>
          <w:spacing w:val="-2"/>
          <w:sz w:val="21"/>
        </w:rPr>
        <w:t>)</w:t>
      </w:r>
      <w:r>
        <w:rPr>
          <w:spacing w:val="-2"/>
          <w:sz w:val="21"/>
        </w:rPr>
        <w:t>患重大疾病，我们不承担给付保险金的责任，本附加合</w:t>
      </w:r>
      <w:r>
        <w:rPr>
          <w:spacing w:val="-6"/>
          <w:sz w:val="21"/>
        </w:rPr>
        <w:t>同及主合同效力终止，我们将无息全额退还本附加合同及主合同已缴的保险费。</w:t>
      </w:r>
    </w:p>
    <w:p>
      <w:pPr>
        <w:pStyle w:val="BodyText"/>
        <w:rPr>
          <w:sz w:val="16"/>
        </w:rPr>
      </w:pPr>
    </w:p>
    <w:p>
      <w:pPr>
        <w:pStyle w:val="ListParagraph"/>
        <w:numPr>
          <w:ilvl w:val="1"/>
          <w:numId w:val="3"/>
        </w:numPr>
        <w:tabs>
          <w:tab w:pos="1182" w:val="left" w:leader="none"/>
          <w:tab w:pos="1183" w:val="left" w:leader="none"/>
          <w:tab w:pos="2775" w:val="left" w:leader="none"/>
        </w:tabs>
        <w:spacing w:line="278" w:lineRule="auto" w:before="1" w:after="0"/>
        <w:ind w:left="2775" w:right="212" w:hanging="2549"/>
        <w:jc w:val="left"/>
        <w:rPr>
          <w:sz w:val="21"/>
        </w:rPr>
      </w:pPr>
      <w:r>
        <w:rPr>
          <w:b/>
          <w:position w:val="3"/>
          <w:sz w:val="21"/>
        </w:rPr>
        <w:t>责任免除</w:t>
        <w:tab/>
      </w:r>
      <w:r>
        <w:rPr>
          <w:sz w:val="21"/>
        </w:rPr>
        <w:t>因下列情形之一</w:t>
      </w:r>
      <w:r>
        <w:rPr>
          <w:spacing w:val="-12"/>
          <w:sz w:val="21"/>
        </w:rPr>
        <w:t>，</w:t>
      </w:r>
      <w:r>
        <w:rPr>
          <w:sz w:val="21"/>
        </w:rPr>
        <w:t>导致被保险人发生疾病</w:t>
      </w:r>
      <w:r>
        <w:rPr>
          <w:spacing w:val="-12"/>
          <w:sz w:val="21"/>
        </w:rPr>
        <w:t>、</w:t>
      </w:r>
      <w:r>
        <w:rPr>
          <w:sz w:val="21"/>
        </w:rPr>
        <w:t>达到疾病状态或进行手术的</w:t>
      </w:r>
      <w:r>
        <w:rPr>
          <w:spacing w:val="-12"/>
          <w:sz w:val="21"/>
        </w:rPr>
        <w:t>，</w:t>
      </w:r>
      <w:r>
        <w:rPr>
          <w:sz w:val="21"/>
        </w:rPr>
        <w:t>我们不承担给付保险金的责任：</w:t>
      </w:r>
    </w:p>
    <w:p>
      <w:pPr>
        <w:pStyle w:val="BodyText"/>
        <w:spacing w:before="12"/>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w w:val="95"/>
        </w:rPr>
        <w:t>3、被保险人主动服用、吸食或注射</w:t>
      </w:r>
      <w:r>
        <w:rPr>
          <w:b/>
          <w:w w:val="95"/>
        </w:rPr>
        <w:t>毒品</w:t>
      </w:r>
      <w:r>
        <w:rPr>
          <w:w w:val="95"/>
        </w:rPr>
        <w:t>；</w:t>
      </w:r>
    </w:p>
    <w:p>
      <w:pPr>
        <w:spacing w:line="237" w:lineRule="auto" w:before="1"/>
        <w:ind w:left="2775" w:right="211" w:firstLine="0"/>
        <w:jc w:val="left"/>
        <w:rPr>
          <w:sz w:val="21"/>
        </w:rPr>
      </w:pPr>
      <w:r>
        <w:rPr>
          <w:sz w:val="21"/>
        </w:rPr>
        <w:t>4、被保险人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spacing w:before="41"/>
        <w:ind w:left="2775" w:right="0" w:firstLine="0"/>
        <w:jc w:val="left"/>
        <w:rPr>
          <w:sz w:val="21"/>
        </w:rPr>
      </w:pPr>
      <w:r>
        <w:rPr>
          <w:w w:val="95"/>
          <w:sz w:val="21"/>
        </w:rPr>
        <w:t>5、被保险人</w:t>
      </w:r>
      <w:r>
        <w:rPr>
          <w:b/>
          <w:w w:val="95"/>
          <w:sz w:val="21"/>
        </w:rPr>
        <w:t>感染艾滋病病毒或患艾滋病</w:t>
      </w:r>
      <w:r>
        <w:rPr>
          <w:w w:val="95"/>
          <w:sz w:val="21"/>
        </w:rPr>
        <w:t>；</w:t>
      </w:r>
    </w:p>
    <w:p>
      <w:pPr>
        <w:pStyle w:val="BodyText"/>
        <w:spacing w:before="45"/>
        <w:ind w:left="2775"/>
      </w:pPr>
      <w:r>
        <w:rPr/>
        <w:t>6、战争、军事冲突、暴乱或武装叛乱；</w:t>
      </w:r>
    </w:p>
    <w:p>
      <w:pPr>
        <w:pStyle w:val="BodyText"/>
        <w:spacing w:before="45"/>
        <w:ind w:left="2775"/>
      </w:pPr>
      <w:r>
        <w:rPr/>
        <w:t>7、核爆炸、核辐射或核污染；</w:t>
      </w:r>
    </w:p>
    <w:p>
      <w:pPr>
        <w:pStyle w:val="Heading5"/>
        <w:spacing w:before="44"/>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20"/>
        <w:ind w:left="2775" w:right="212"/>
      </w:pPr>
      <w:r>
        <w:rPr>
          <w:spacing w:val="-5"/>
        </w:rPr>
        <w:t>本附加合同因上述第１项情形而终止，投保人已交足 </w:t>
      </w:r>
      <w:r>
        <w:rPr/>
        <w:t>2</w:t>
      </w:r>
      <w:r>
        <w:rPr>
          <w:spacing w:val="-9"/>
        </w:rPr>
        <w:t> 年以上保险费的，本</w:t>
      </w:r>
      <w:r>
        <w:rPr>
          <w:spacing w:val="-9"/>
          <w:w w:val="95"/>
        </w:rPr>
        <w:t>公司按合同约定向其他权利人退还本合同当时的</w:t>
      </w:r>
      <w:r>
        <w:rPr>
          <w:b/>
          <w:spacing w:val="-9"/>
          <w:w w:val="95"/>
        </w:rPr>
        <w:t>现金价值</w:t>
      </w:r>
      <w:r>
        <w:rPr>
          <w:spacing w:val="-9"/>
          <w:w w:val="95"/>
        </w:rPr>
        <w:t>。</w:t>
      </w:r>
    </w:p>
    <w:p>
      <w:pPr>
        <w:pStyle w:val="BodyText"/>
        <w:spacing w:line="273" w:lineRule="auto" w:before="7"/>
        <w:ind w:left="2775" w:right="157"/>
      </w:pPr>
      <w:r>
        <w:rPr/>
        <w:t>本附加合同因上述其他情形而终止，本公司向投保人退还本合同当时的现金价值。</w:t>
      </w:r>
    </w:p>
    <w:p>
      <w:pPr>
        <w:pStyle w:val="BodyText"/>
        <w:rPr>
          <w:sz w:val="20"/>
        </w:rPr>
      </w:pPr>
    </w:p>
    <w:p>
      <w:pPr>
        <w:pStyle w:val="BodyText"/>
        <w:spacing w:before="10"/>
        <w:rPr>
          <w:sz w:val="22"/>
        </w:rPr>
      </w:pPr>
    </w:p>
    <w:p>
      <w:pPr>
        <w:pStyle w:val="Heading2"/>
        <w:numPr>
          <w:ilvl w:val="0"/>
          <w:numId w:val="3"/>
        </w:numPr>
        <w:tabs>
          <w:tab w:pos="1075" w:val="left" w:leader="none"/>
          <w:tab w:pos="1076" w:val="left" w:leader="none"/>
        </w:tabs>
        <w:spacing w:line="240" w:lineRule="auto" w:before="1" w:after="0"/>
        <w:ind w:left="1075" w:right="0" w:hanging="849"/>
        <w:jc w:val="left"/>
      </w:pPr>
      <w:r>
        <w:rPr>
          <w:w w:val="95"/>
        </w:rPr>
        <w:t>重大疾病</w:t>
      </w:r>
    </w:p>
    <w:p>
      <w:pPr>
        <w:pStyle w:val="BodyText"/>
        <w:spacing w:before="3"/>
        <w:rPr>
          <w:b/>
          <w:sz w:val="10"/>
        </w:rPr>
      </w:pPr>
      <w:r>
        <w:rPr/>
        <w:pict>
          <v:group style="position:absolute;margin-left:59.939999pt;margin-top:8.653204pt;width:483.1pt;height:1.45pt;mso-position-horizontal-relative:page;mso-position-vertical-relative:paragraph;z-index:1264;mso-wrap-distance-left:0;mso-wrap-distance-right:0" coordorigin="1199,173" coordsize="9662,29">
            <v:line style="position:absolute" from="1199,178" to="2047,178" stroked="true" strokeweight=".48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pt" strokecolor="#000000">
              <v:stroke dashstyle="solid"/>
            </v:line>
            <v:line style="position:absolute" from="3778,197" to="10860,197" stroked="true" strokeweight=".48001pt" strokecolor="#000000">
              <v:stroke dashstyle="solid"/>
            </v:line>
            <w10:wrap type="topAndBottom"/>
          </v:group>
        </w:pict>
      </w:r>
    </w:p>
    <w:p>
      <w:pPr>
        <w:pStyle w:val="BodyText"/>
        <w:spacing w:before="2"/>
        <w:rPr>
          <w:b/>
          <w:sz w:val="9"/>
        </w:rPr>
      </w:pPr>
    </w:p>
    <w:p>
      <w:pPr>
        <w:pStyle w:val="ListParagraph"/>
        <w:numPr>
          <w:ilvl w:val="1"/>
          <w:numId w:val="3"/>
        </w:numPr>
        <w:tabs>
          <w:tab w:pos="1076" w:val="left" w:leader="none"/>
        </w:tabs>
        <w:spacing w:line="278" w:lineRule="auto" w:before="30" w:after="0"/>
        <w:ind w:left="2775" w:right="211" w:hanging="2549"/>
        <w:jc w:val="both"/>
        <w:rPr>
          <w:sz w:val="21"/>
        </w:rPr>
      </w:pPr>
      <w:r>
        <w:rPr>
          <w:b/>
          <w:position w:val="3"/>
          <w:sz w:val="21"/>
        </w:rPr>
        <w:t>重大疾病的范围 </w:t>
      </w: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spacing w:after="0" w:line="278" w:lineRule="auto"/>
        <w:jc w:val="both"/>
        <w:rPr>
          <w:sz w:val="21"/>
        </w:rPr>
        <w:sectPr>
          <w:pgSz w:w="11910" w:h="16840"/>
          <w:pgMar w:header="0" w:footer="998" w:top="1580" w:bottom="1180" w:left="1080" w:right="940"/>
        </w:sectPr>
      </w:pPr>
    </w:p>
    <w:p>
      <w:pPr>
        <w:pStyle w:val="BodyText"/>
        <w:spacing w:before="2"/>
        <w:rPr>
          <w:sz w:val="15"/>
        </w:rPr>
      </w:pPr>
    </w:p>
    <w:p>
      <w:pPr>
        <w:pStyle w:val="ListParagraph"/>
        <w:numPr>
          <w:ilvl w:val="0"/>
          <w:numId w:val="4"/>
        </w:numPr>
        <w:tabs>
          <w:tab w:pos="3059" w:val="left" w:leader="none"/>
        </w:tabs>
        <w:spacing w:line="240" w:lineRule="auto" w:before="44" w:after="0"/>
        <w:ind w:left="3058" w:right="0" w:hanging="210"/>
        <w:jc w:val="left"/>
        <w:rPr>
          <w:sz w:val="18"/>
        </w:rPr>
      </w:pPr>
      <w:r>
        <w:rPr>
          <w:sz w:val="18"/>
        </w:rPr>
        <w:t>恶性肿瘤</w:t>
      </w:r>
    </w:p>
    <w:p>
      <w:pPr>
        <w:pStyle w:val="ListParagraph"/>
        <w:numPr>
          <w:ilvl w:val="0"/>
          <w:numId w:val="4"/>
        </w:numPr>
        <w:tabs>
          <w:tab w:pos="3059" w:val="left" w:leader="none"/>
        </w:tabs>
        <w:spacing w:line="240" w:lineRule="auto" w:before="90" w:after="0"/>
        <w:ind w:left="3058" w:right="0" w:hanging="210"/>
        <w:jc w:val="left"/>
        <w:rPr>
          <w:sz w:val="18"/>
        </w:rPr>
      </w:pPr>
      <w:r>
        <w:rPr>
          <w:sz w:val="18"/>
        </w:rPr>
        <w:t>急性心肌梗塞</w:t>
      </w:r>
    </w:p>
    <w:p>
      <w:pPr>
        <w:pStyle w:val="ListParagraph"/>
        <w:numPr>
          <w:ilvl w:val="0"/>
          <w:numId w:val="4"/>
        </w:numPr>
        <w:tabs>
          <w:tab w:pos="3059" w:val="left" w:leader="none"/>
        </w:tabs>
        <w:spacing w:line="240" w:lineRule="auto" w:before="92" w:after="0"/>
        <w:ind w:left="3058" w:right="0" w:hanging="210"/>
        <w:jc w:val="left"/>
        <w:rPr>
          <w:sz w:val="18"/>
        </w:rPr>
      </w:pPr>
      <w:r>
        <w:rPr>
          <w:sz w:val="18"/>
        </w:rPr>
        <w:t>脑中风后遗症</w:t>
      </w:r>
    </w:p>
    <w:p>
      <w:pPr>
        <w:pStyle w:val="ListParagraph"/>
        <w:numPr>
          <w:ilvl w:val="0"/>
          <w:numId w:val="4"/>
        </w:numPr>
        <w:tabs>
          <w:tab w:pos="3059" w:val="left" w:leader="none"/>
        </w:tabs>
        <w:spacing w:line="240" w:lineRule="auto" w:before="91" w:after="0"/>
        <w:ind w:left="3058" w:right="0" w:hanging="210"/>
        <w:jc w:val="left"/>
        <w:rPr>
          <w:sz w:val="18"/>
        </w:rPr>
      </w:pPr>
      <w:r>
        <w:rPr>
          <w:sz w:val="18"/>
        </w:rPr>
        <w:t>重大器官移植术或造血干细胞移植术</w:t>
      </w:r>
    </w:p>
    <w:p>
      <w:pPr>
        <w:pStyle w:val="ListParagraph"/>
        <w:numPr>
          <w:ilvl w:val="0"/>
          <w:numId w:val="4"/>
        </w:numPr>
        <w:tabs>
          <w:tab w:pos="3059" w:val="left" w:leader="none"/>
        </w:tabs>
        <w:spacing w:line="240" w:lineRule="auto" w:before="92" w:after="0"/>
        <w:ind w:left="3058" w:right="0" w:hanging="210"/>
        <w:jc w:val="left"/>
        <w:rPr>
          <w:sz w:val="18"/>
        </w:rPr>
      </w:pPr>
      <w:r>
        <w:rPr>
          <w:sz w:val="18"/>
        </w:rPr>
        <w:t>冠状动脉搭桥术</w:t>
      </w:r>
    </w:p>
    <w:p>
      <w:pPr>
        <w:spacing w:before="90"/>
        <w:ind w:left="3058" w:right="0" w:firstLine="0"/>
        <w:jc w:val="left"/>
        <w:rPr>
          <w:sz w:val="18"/>
        </w:rPr>
      </w:pPr>
      <w:r>
        <w:rPr>
          <w:sz w:val="18"/>
        </w:rPr>
        <w:t>（或称冠状动脉旁路移植术）</w:t>
      </w:r>
    </w:p>
    <w:p>
      <w:pPr>
        <w:pStyle w:val="ListParagraph"/>
        <w:numPr>
          <w:ilvl w:val="0"/>
          <w:numId w:val="4"/>
        </w:numPr>
        <w:tabs>
          <w:tab w:pos="3059" w:val="left" w:leader="none"/>
        </w:tabs>
        <w:spacing w:line="240" w:lineRule="auto" w:before="91" w:after="0"/>
        <w:ind w:left="3058" w:right="0" w:hanging="210"/>
        <w:jc w:val="left"/>
        <w:rPr>
          <w:sz w:val="18"/>
        </w:rPr>
      </w:pPr>
      <w:r>
        <w:rPr>
          <w:sz w:val="18"/>
        </w:rPr>
        <w:t>终末期肾病</w:t>
      </w:r>
    </w:p>
    <w:p>
      <w:pPr>
        <w:spacing w:before="90"/>
        <w:ind w:left="3058" w:right="0" w:firstLine="0"/>
        <w:jc w:val="left"/>
        <w:rPr>
          <w:sz w:val="18"/>
        </w:rPr>
      </w:pPr>
      <w:r>
        <w:rPr>
          <w:sz w:val="18"/>
        </w:rPr>
        <w:t>（或称慢性肾功能衰竭尿毒症期）</w:t>
      </w:r>
    </w:p>
    <w:p>
      <w:pPr>
        <w:pStyle w:val="BodyText"/>
        <w:rPr>
          <w:sz w:val="18"/>
        </w:rPr>
      </w:pPr>
    </w:p>
    <w:p>
      <w:pPr>
        <w:pStyle w:val="BodyText"/>
        <w:rPr>
          <w:sz w:val="18"/>
        </w:rPr>
      </w:pPr>
    </w:p>
    <w:p>
      <w:pPr>
        <w:pStyle w:val="BodyText"/>
        <w:spacing w:before="10"/>
        <w:rPr>
          <w:sz w:val="22"/>
        </w:rPr>
      </w:pPr>
    </w:p>
    <w:p>
      <w:pPr>
        <w:pStyle w:val="ListParagraph"/>
        <w:numPr>
          <w:ilvl w:val="1"/>
          <w:numId w:val="3"/>
        </w:numPr>
        <w:tabs>
          <w:tab w:pos="956" w:val="left" w:leader="none"/>
        </w:tabs>
        <w:spacing w:line="278" w:lineRule="auto" w:before="0" w:after="0"/>
        <w:ind w:left="2655" w:right="211" w:hanging="2549"/>
        <w:jc w:val="both"/>
        <w:rPr>
          <w:sz w:val="21"/>
        </w:rPr>
      </w:pPr>
      <w:r>
        <w:rPr>
          <w:b/>
          <w:spacing w:val="0"/>
          <w:position w:val="3"/>
          <w:sz w:val="21"/>
        </w:rPr>
        <w:t>重大疾病的定义 </w:t>
      </w:r>
      <w:r>
        <w:rPr>
          <w:sz w:val="21"/>
        </w:rPr>
        <w:t>以上各种重大疾病须经我们指定或认可的</w:t>
      </w:r>
      <w:r>
        <w:rPr>
          <w:b/>
          <w:sz w:val="21"/>
        </w:rPr>
        <w:t>医院专科医生</w:t>
      </w:r>
      <w:r>
        <w:rPr>
          <w:spacing w:val="-6"/>
          <w:sz w:val="21"/>
        </w:rPr>
        <w:t>明确诊断，符合以下定义（</w:t>
      </w:r>
      <w:r>
        <w:rPr>
          <w:spacing w:val="-10"/>
          <w:sz w:val="21"/>
        </w:rPr>
        <w:t> 这 </w:t>
      </w:r>
      <w:r>
        <w:rPr>
          <w:sz w:val="21"/>
        </w:rPr>
        <w:t>6</w:t>
      </w:r>
      <w:r>
        <w:rPr>
          <w:spacing w:val="-4"/>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12"/>
      </w:pPr>
    </w:p>
    <w:p>
      <w:pPr>
        <w:pStyle w:val="ListParagraph"/>
        <w:numPr>
          <w:ilvl w:val="2"/>
          <w:numId w:val="3"/>
        </w:numPr>
        <w:tabs>
          <w:tab w:pos="955" w:val="left" w:leader="none"/>
          <w:tab w:pos="956" w:val="left" w:leader="none"/>
          <w:tab w:pos="2655" w:val="left" w:leader="none"/>
        </w:tabs>
        <w:spacing w:line="271" w:lineRule="auto" w:before="0" w:after="0"/>
        <w:ind w:left="2655" w:right="212" w:hanging="2549"/>
        <w:jc w:val="left"/>
        <w:rPr>
          <w:sz w:val="21"/>
        </w:rPr>
      </w:pPr>
      <w:r>
        <w:rPr>
          <w:i/>
          <w:sz w:val="22"/>
        </w:rPr>
        <w:t>恶性肿瘤</w:t>
        <w:tab/>
      </w:r>
      <w:r>
        <w:rPr>
          <w:sz w:val="21"/>
        </w:rPr>
        <w:t>指恶性细胞不受控制的进行性增长和扩散</w:t>
      </w:r>
      <w:r>
        <w:rPr>
          <w:spacing w:val="-18"/>
          <w:sz w:val="21"/>
        </w:rPr>
        <w:t>，</w:t>
      </w:r>
      <w:r>
        <w:rPr>
          <w:sz w:val="21"/>
        </w:rPr>
        <w:t>浸润和破坏周围正常组织</w:t>
      </w:r>
      <w:r>
        <w:rPr>
          <w:spacing w:val="-18"/>
          <w:sz w:val="21"/>
        </w:rPr>
        <w:t>，</w:t>
      </w:r>
      <w:r>
        <w:rPr>
          <w:sz w:val="21"/>
        </w:rPr>
        <w:t>可以经血管</w:t>
      </w:r>
      <w:r>
        <w:rPr>
          <w:spacing w:val="-18"/>
          <w:sz w:val="21"/>
        </w:rPr>
        <w:t>、</w:t>
      </w:r>
      <w:r>
        <w:rPr>
          <w:sz w:val="21"/>
        </w:rPr>
        <w:t>淋巴管和体腔扩散转移到身体其它部位的疾病</w:t>
      </w:r>
      <w:r>
        <w:rPr>
          <w:spacing w:val="-18"/>
          <w:sz w:val="21"/>
        </w:rPr>
        <w:t>。</w:t>
      </w:r>
      <w:r>
        <w:rPr>
          <w:sz w:val="21"/>
        </w:rPr>
        <w:t>经病理学检查结果明确诊断，临床诊断属于世界卫生组织《</w:t>
      </w:r>
      <w:r>
        <w:rPr>
          <w:spacing w:val="-2"/>
          <w:sz w:val="21"/>
        </w:rPr>
        <w:t> </w:t>
      </w:r>
      <w:r>
        <w:rPr>
          <w:sz w:val="21"/>
        </w:rPr>
        <w:t>疾病和有关健康问题的国际统计</w:t>
      </w:r>
      <w:r>
        <w:rPr>
          <w:spacing w:val="-1"/>
          <w:sz w:val="21"/>
        </w:rPr>
        <w:t>分类</w:t>
      </w:r>
      <w:r>
        <w:rPr>
          <w:spacing w:val="-105"/>
          <w:sz w:val="21"/>
        </w:rPr>
        <w:t>》</w:t>
      </w:r>
      <w:r>
        <w:rPr>
          <w:sz w:val="21"/>
        </w:rPr>
        <w:t>（ICD-10）的恶性肿瘤范畴。</w:t>
      </w:r>
    </w:p>
    <w:p>
      <w:pPr>
        <w:pStyle w:val="BodyText"/>
        <w:spacing w:before="10"/>
        <w:ind w:left="2655"/>
      </w:pPr>
      <w:r>
        <w:rPr/>
        <w:t>下列疾病不在保障范围内：</w:t>
      </w:r>
    </w:p>
    <w:p>
      <w:pPr>
        <w:pStyle w:val="BodyText"/>
        <w:spacing w:before="37"/>
        <w:ind w:left="2655"/>
      </w:pPr>
      <w:r>
        <w:rPr/>
        <w:t>（1）原位癌；</w:t>
      </w:r>
    </w:p>
    <w:p>
      <w:pPr>
        <w:pStyle w:val="BodyText"/>
        <w:spacing w:before="37"/>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7"/>
        <w:ind w:left="265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655"/>
      </w:pPr>
      <w:r>
        <w:rPr/>
        <w:t>（6）感染艾滋病病毒或患艾滋病期间所患恶性肿瘤。</w:t>
      </w:r>
    </w:p>
    <w:p>
      <w:pPr>
        <w:pStyle w:val="BodyText"/>
        <w:spacing w:before="3"/>
        <w:rPr>
          <w:sz w:val="19"/>
        </w:rPr>
      </w:pPr>
    </w:p>
    <w:p>
      <w:pPr>
        <w:pStyle w:val="ListParagraph"/>
        <w:numPr>
          <w:ilvl w:val="2"/>
          <w:numId w:val="3"/>
        </w:numPr>
        <w:tabs>
          <w:tab w:pos="956" w:val="left" w:leader="none"/>
        </w:tabs>
        <w:spacing w:line="268" w:lineRule="auto" w:before="0" w:after="0"/>
        <w:ind w:left="2655" w:right="211" w:hanging="2549"/>
        <w:jc w:val="both"/>
        <w:rPr>
          <w:sz w:val="21"/>
        </w:rPr>
      </w:pPr>
      <w:r>
        <w:rPr>
          <w:i/>
          <w:spacing w:val="5"/>
          <w:sz w:val="22"/>
        </w:rPr>
        <w:t>急性心肌梗塞  </w:t>
      </w:r>
      <w:r>
        <w:rPr>
          <w:spacing w:val="-2"/>
          <w:sz w:val="21"/>
        </w:rPr>
        <w:t>指因冠状动脉阻塞导致的相应区域供血不足造成部分心肌坏死。须满足下列至少三项条件：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210"/>
      </w:pPr>
      <w:r>
        <w:rPr/>
        <w:t>（3）心肌酶或肌钙蛋白有诊断意义的升高，或呈符合急性心肌梗塞的动态性变化；</w:t>
      </w:r>
    </w:p>
    <w:p>
      <w:pPr>
        <w:pStyle w:val="BodyText"/>
        <w:spacing w:before="8"/>
        <w:ind w:left="2655"/>
      </w:pPr>
      <w:r>
        <w:rPr/>
        <w:t>（4</w:t>
      </w:r>
      <w:r>
        <w:rPr>
          <w:spacing w:val="-100"/>
        </w:rPr>
        <w:t>）</w:t>
      </w:r>
      <w:r>
        <w:rPr>
          <w:spacing w:val="-19"/>
        </w:rPr>
        <w:t>发病 </w:t>
      </w:r>
      <w:r>
        <w:rPr>
          <w:spacing w:val="-1"/>
        </w:rPr>
        <w:t>9</w:t>
      </w:r>
      <w:r>
        <w:rPr/>
        <w:t>0</w:t>
      </w:r>
      <w:r>
        <w:rPr>
          <w:spacing w:val="-20"/>
        </w:rPr>
        <w:t> 天后，经检查证实左心室功能降低，如左心室射血分数低于 </w:t>
      </w:r>
      <w:r>
        <w:rPr/>
        <w:t>50%。</w:t>
      </w:r>
    </w:p>
    <w:p>
      <w:pPr>
        <w:pStyle w:val="BodyText"/>
        <w:spacing w:before="3"/>
        <w:rPr>
          <w:sz w:val="19"/>
        </w:rPr>
      </w:pPr>
    </w:p>
    <w:p>
      <w:pPr>
        <w:pStyle w:val="ListParagraph"/>
        <w:numPr>
          <w:ilvl w:val="2"/>
          <w:numId w:val="3"/>
        </w:numPr>
        <w:tabs>
          <w:tab w:pos="956" w:val="left" w:leader="none"/>
        </w:tabs>
        <w:spacing w:line="271" w:lineRule="auto" w:before="1" w:after="0"/>
        <w:ind w:left="2655" w:right="212" w:hanging="2549"/>
        <w:jc w:val="both"/>
        <w:rPr>
          <w:sz w:val="21"/>
        </w:rPr>
      </w:pPr>
      <w:r>
        <w:rPr>
          <w:i/>
          <w:spacing w:val="5"/>
          <w:sz w:val="22"/>
        </w:rPr>
        <w:t>脑中风后遗症  </w:t>
      </w: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10"/>
      </w:pPr>
      <w:r>
        <w:rPr/>
        <w:t>（3）自主生活能力完全丧失，无法独立完成六项基本日常生活活动中的三项或三项以上。</w:t>
      </w:r>
    </w:p>
    <w:p>
      <w:pPr>
        <w:pStyle w:val="BodyText"/>
        <w:spacing w:before="6"/>
        <w:rPr>
          <w:sz w:val="15"/>
        </w:rPr>
      </w:pPr>
    </w:p>
    <w:p>
      <w:pPr>
        <w:pStyle w:val="ListParagraph"/>
        <w:numPr>
          <w:ilvl w:val="2"/>
          <w:numId w:val="3"/>
        </w:numPr>
        <w:tabs>
          <w:tab w:pos="955" w:val="left" w:leader="none"/>
          <w:tab w:pos="956" w:val="left" w:leader="none"/>
          <w:tab w:pos="2655" w:val="left" w:leader="none"/>
        </w:tabs>
        <w:spacing w:line="240" w:lineRule="auto" w:before="0" w:after="0"/>
        <w:ind w:left="2655" w:right="0" w:hanging="2549"/>
        <w:jc w:val="left"/>
        <w:rPr>
          <w:sz w:val="21"/>
        </w:rPr>
      </w:pPr>
      <w:r>
        <w:rPr>
          <w:i/>
          <w:position w:val="2"/>
          <w:sz w:val="22"/>
        </w:rPr>
        <w:t>重大器官移植术</w:t>
        <w:tab/>
      </w:r>
      <w:r>
        <w:rPr>
          <w:sz w:val="21"/>
        </w:rPr>
        <w:t>重大器官移植术</w:t>
      </w:r>
      <w:r>
        <w:rPr>
          <w:spacing w:val="-9"/>
          <w:sz w:val="21"/>
        </w:rPr>
        <w:t>，</w:t>
      </w:r>
      <w:r>
        <w:rPr>
          <w:sz w:val="21"/>
        </w:rPr>
        <w:t>指因相应器官功能衰竭</w:t>
      </w:r>
      <w:r>
        <w:rPr>
          <w:spacing w:val="-9"/>
          <w:sz w:val="21"/>
        </w:rPr>
        <w:t>，</w:t>
      </w:r>
      <w:r>
        <w:rPr>
          <w:sz w:val="21"/>
        </w:rPr>
        <w:t>已经实施了肾脏</w:t>
      </w:r>
      <w:r>
        <w:rPr>
          <w:spacing w:val="-9"/>
          <w:sz w:val="21"/>
        </w:rPr>
        <w:t>、</w:t>
      </w:r>
      <w:r>
        <w:rPr>
          <w:sz w:val="21"/>
        </w:rPr>
        <w:t>肝脏</w:t>
      </w:r>
      <w:r>
        <w:rPr>
          <w:spacing w:val="-10"/>
          <w:sz w:val="21"/>
        </w:rPr>
        <w:t>、</w:t>
      </w:r>
      <w:r>
        <w:rPr>
          <w:sz w:val="21"/>
        </w:rPr>
        <w:t>心脏或</w:t>
      </w:r>
    </w:p>
    <w:p>
      <w:pPr>
        <w:spacing w:after="0" w:line="240" w:lineRule="auto"/>
        <w:jc w:val="left"/>
        <w:rPr>
          <w:sz w:val="21"/>
        </w:rPr>
        <w:sectPr>
          <w:pgSz w:w="11910" w:h="16840"/>
          <w:pgMar w:header="0" w:footer="998" w:top="1600" w:bottom="1180" w:left="1200" w:right="940"/>
        </w:sectPr>
      </w:pPr>
    </w:p>
    <w:p>
      <w:pPr>
        <w:pStyle w:val="Heading4"/>
        <w:spacing w:line="225" w:lineRule="auto" w:before="28"/>
        <w:ind w:hanging="1"/>
      </w:pPr>
      <w:r>
        <w:rPr>
          <w:w w:val="95"/>
        </w:rPr>
        <w:t>或造血干细胞移植术</w:t>
      </w:r>
    </w:p>
    <w:p>
      <w:pPr>
        <w:pStyle w:val="BodyText"/>
        <w:spacing w:before="42"/>
        <w:ind w:left="173"/>
      </w:pPr>
      <w:r>
        <w:rPr/>
        <w:br w:type="column"/>
      </w:r>
      <w:r>
        <w:rPr/>
        <w:t>肺脏的异体移植手术。</w:t>
      </w:r>
    </w:p>
    <w:p>
      <w:pPr>
        <w:pStyle w:val="BodyText"/>
        <w:spacing w:line="273" w:lineRule="auto" w:before="35"/>
        <w:ind w:left="173" w:right="21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pgSz w:w="11910" w:h="16840"/>
          <w:pgMar w:header="0" w:footer="998" w:top="1440" w:bottom="1180" w:left="1080" w:right="940"/>
          <w:cols w:num="2" w:equalWidth="0">
            <w:col w:w="2562" w:space="40"/>
            <w:col w:w="7288"/>
          </w:cols>
        </w:sectPr>
      </w:pPr>
    </w:p>
    <w:p>
      <w:pPr>
        <w:pStyle w:val="BodyText"/>
        <w:spacing w:before="6"/>
        <w:rPr>
          <w:sz w:val="14"/>
        </w:rPr>
      </w:pPr>
    </w:p>
    <w:p>
      <w:pPr>
        <w:spacing w:after="0"/>
        <w:rPr>
          <w:sz w:val="14"/>
        </w:rPr>
        <w:sectPr>
          <w:type w:val="continuous"/>
          <w:pgSz w:w="11910" w:h="16840"/>
          <w:pgMar w:top="140" w:bottom="280" w:left="1080" w:right="940"/>
        </w:sectPr>
      </w:pPr>
    </w:p>
    <w:p>
      <w:pPr>
        <w:pStyle w:val="Heading4"/>
        <w:numPr>
          <w:ilvl w:val="2"/>
          <w:numId w:val="3"/>
        </w:numPr>
        <w:tabs>
          <w:tab w:pos="1075" w:val="left" w:leader="none"/>
          <w:tab w:pos="1076" w:val="left" w:leader="none"/>
        </w:tabs>
        <w:spacing w:line="240" w:lineRule="auto" w:before="34" w:after="0"/>
        <w:ind w:left="1075" w:right="0" w:hanging="849"/>
        <w:jc w:val="left"/>
      </w:pPr>
      <w:r>
        <w:rPr>
          <w:w w:val="95"/>
        </w:rPr>
        <w:t>冠状动脉搭桥术</w:t>
      </w:r>
    </w:p>
    <w:p>
      <w:pPr>
        <w:spacing w:line="259" w:lineRule="auto" w:before="23"/>
        <w:ind w:left="1075" w:right="0" w:firstLine="0"/>
        <w:jc w:val="left"/>
        <w:rPr>
          <w:i/>
          <w:sz w:val="22"/>
        </w:rPr>
      </w:pPr>
      <w:r>
        <w:rPr>
          <w:i/>
          <w:w w:val="95"/>
          <w:sz w:val="22"/>
        </w:rPr>
        <w:t>（或称冠状动脉旁路移植术）</w:t>
      </w:r>
    </w:p>
    <w:p>
      <w:pPr>
        <w:pStyle w:val="BodyText"/>
        <w:spacing w:line="273" w:lineRule="auto" w:before="46"/>
        <w:ind w:left="173" w:right="157"/>
      </w:pPr>
      <w:r>
        <w:rPr/>
        <w:br w:type="column"/>
      </w:r>
      <w:r>
        <w:rPr/>
        <w:t>指为治疗严重的冠心病，实际实施了开胸进行的冠状动脉血管旁路移植的手术。</w:t>
      </w:r>
    </w:p>
    <w:p>
      <w:pPr>
        <w:pStyle w:val="BodyText"/>
        <w:spacing w:line="273" w:lineRule="auto" w:before="7"/>
        <w:ind w:left="173" w:right="158"/>
      </w:pPr>
      <w:r>
        <w:rPr/>
        <w:t>冠状动脉支架植入术、心导管球囊扩张术、激光射频技术及其它非开胸的介入手术、腔镜手术不在保障范围内。</w:t>
      </w:r>
    </w:p>
    <w:p>
      <w:pPr>
        <w:spacing w:after="0" w:line="273" w:lineRule="auto"/>
        <w:sectPr>
          <w:type w:val="continuous"/>
          <w:pgSz w:w="11910" w:h="16840"/>
          <w:pgMar w:top="140" w:bottom="280" w:left="1080" w:right="940"/>
          <w:cols w:num="2" w:equalWidth="0">
            <w:col w:w="2562" w:space="40"/>
            <w:col w:w="7288"/>
          </w:cols>
        </w:sectPr>
      </w:pPr>
    </w:p>
    <w:p>
      <w:pPr>
        <w:pStyle w:val="BodyText"/>
        <w:spacing w:before="8"/>
        <w:rPr>
          <w:sz w:val="13"/>
        </w:rPr>
      </w:pPr>
    </w:p>
    <w:p>
      <w:pPr>
        <w:spacing w:after="0"/>
        <w:rPr>
          <w:sz w:val="13"/>
        </w:rPr>
        <w:sectPr>
          <w:type w:val="continuous"/>
          <w:pgSz w:w="11910" w:h="16840"/>
          <w:pgMar w:top="140" w:bottom="280" w:left="1080" w:right="940"/>
        </w:sectPr>
      </w:pPr>
    </w:p>
    <w:p>
      <w:pPr>
        <w:pStyle w:val="Heading4"/>
        <w:numPr>
          <w:ilvl w:val="2"/>
          <w:numId w:val="3"/>
        </w:numPr>
        <w:tabs>
          <w:tab w:pos="1075" w:val="left" w:leader="none"/>
          <w:tab w:pos="1076" w:val="left" w:leader="none"/>
        </w:tabs>
        <w:spacing w:line="240" w:lineRule="auto" w:before="44" w:after="0"/>
        <w:ind w:left="1075" w:right="0" w:hanging="849"/>
        <w:jc w:val="left"/>
      </w:pPr>
      <w:r>
        <w:rPr>
          <w:w w:val="95"/>
        </w:rPr>
        <w:t>终末期肾病（或</w:t>
      </w:r>
    </w:p>
    <w:p>
      <w:pPr>
        <w:spacing w:line="259" w:lineRule="auto" w:before="23"/>
        <w:ind w:left="1075" w:right="0" w:firstLine="0"/>
        <w:jc w:val="left"/>
        <w:rPr>
          <w:i/>
          <w:sz w:val="22"/>
        </w:rPr>
      </w:pPr>
      <w:r>
        <w:rPr>
          <w:i/>
          <w:w w:val="95"/>
          <w:sz w:val="22"/>
        </w:rPr>
        <w:t>称慢性肾功能衰竭尿毒症期）</w:t>
      </w:r>
    </w:p>
    <w:p>
      <w:pPr>
        <w:pStyle w:val="BodyText"/>
        <w:spacing w:line="237" w:lineRule="auto" w:before="38"/>
        <w:ind w:left="190" w:right="211"/>
      </w:pPr>
      <w:r>
        <w:rPr/>
        <w:br w:type="column"/>
      </w:r>
      <w:r>
        <w:rPr>
          <w:spacing w:val="-8"/>
        </w:rPr>
        <w:t>指双肾功能慢性不可逆性衰竭，达到尿毒症期，经诊断后已经进行了至少 </w:t>
      </w:r>
      <w:r>
        <w:rPr/>
        <w:t>90 </w:t>
      </w:r>
      <w:r>
        <w:rPr>
          <w:spacing w:val="-1"/>
        </w:rPr>
        <w:t>天的规律性透析治疗或实施了肾脏移植手术。</w:t>
      </w:r>
    </w:p>
    <w:p>
      <w:pPr>
        <w:spacing w:after="0" w:line="237" w:lineRule="auto"/>
        <w:sectPr>
          <w:type w:val="continuous"/>
          <w:pgSz w:w="11910" w:h="16840"/>
          <w:pgMar w:top="140" w:bottom="280" w:left="1080" w:right="940"/>
          <w:cols w:num="2" w:equalWidth="0">
            <w:col w:w="2546" w:space="40"/>
            <w:col w:w="7304"/>
          </w:cols>
        </w:sectPr>
      </w:pPr>
    </w:p>
    <w:p>
      <w:pPr>
        <w:pStyle w:val="BodyText"/>
        <w:rPr>
          <w:sz w:val="20"/>
        </w:rPr>
      </w:pPr>
    </w:p>
    <w:p>
      <w:pPr>
        <w:pStyle w:val="BodyText"/>
        <w:spacing w:before="7"/>
        <w:rPr>
          <w:sz w:val="22"/>
        </w:rPr>
      </w:pPr>
    </w:p>
    <w:p>
      <w:pPr>
        <w:pStyle w:val="Heading2"/>
        <w:numPr>
          <w:ilvl w:val="0"/>
          <w:numId w:val="3"/>
        </w:numPr>
        <w:tabs>
          <w:tab w:pos="1075" w:val="left" w:leader="none"/>
          <w:tab w:pos="1076" w:val="left" w:leader="none"/>
        </w:tabs>
        <w:spacing w:line="240" w:lineRule="auto" w:before="14" w:after="0"/>
        <w:ind w:left="1075" w:right="0" w:hanging="849"/>
        <w:jc w:val="left"/>
      </w:pPr>
      <w:r>
        <w:rPr>
          <w:w w:val="95"/>
        </w:rPr>
        <w:t>申请与给付保险金</w:t>
      </w:r>
    </w:p>
    <w:p>
      <w:pPr>
        <w:pStyle w:val="BodyText"/>
        <w:spacing w:before="3"/>
        <w:rPr>
          <w:b/>
          <w:sz w:val="10"/>
        </w:rPr>
      </w:pPr>
      <w:r>
        <w:rPr/>
        <w:pict>
          <v:group style="position:absolute;margin-left:59.939999pt;margin-top:8.658599pt;width:483.1pt;height:1.45pt;mso-position-horizontal-relative:page;mso-position-vertical-relative:paragraph;z-index:1288;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spacing w:before="6"/>
        <w:rPr>
          <w:b/>
          <w:sz w:val="7"/>
        </w:rPr>
      </w:pPr>
    </w:p>
    <w:p>
      <w:pPr>
        <w:spacing w:after="0"/>
        <w:rPr>
          <w:sz w:val="7"/>
        </w:rPr>
        <w:sectPr>
          <w:type w:val="continuous"/>
          <w:pgSz w:w="11910" w:h="16840"/>
          <w:pgMar w:top="140" w:bottom="280" w:left="1080" w:right="940"/>
        </w:sectPr>
      </w:pPr>
    </w:p>
    <w:p>
      <w:pPr>
        <w:pStyle w:val="Heading5"/>
        <w:numPr>
          <w:ilvl w:val="1"/>
          <w:numId w:val="3"/>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before="36"/>
        <w:ind w:left="185"/>
      </w:pPr>
      <w:r>
        <w:rPr/>
        <w:br w:type="column"/>
      </w:r>
      <w:r>
        <w:rPr/>
        <w:t>除另有约定外，本附加合同重大疾病保险金的受益人为被保险人本人。</w:t>
      </w:r>
    </w:p>
    <w:p>
      <w:pPr>
        <w:spacing w:after="0"/>
        <w:sectPr>
          <w:type w:val="continuous"/>
          <w:pgSz w:w="11910" w:h="16840"/>
          <w:pgMar w:top="140" w:bottom="280" w:left="1080" w:right="940"/>
          <w:cols w:num="2" w:equalWidth="0">
            <w:col w:w="2551" w:space="40"/>
            <w:col w:w="7299"/>
          </w:cols>
        </w:sectPr>
      </w:pPr>
    </w:p>
    <w:p>
      <w:pPr>
        <w:pStyle w:val="BodyText"/>
        <w:spacing w:before="8"/>
        <w:rPr>
          <w:sz w:val="13"/>
        </w:rPr>
      </w:pPr>
    </w:p>
    <w:p>
      <w:pPr>
        <w:pStyle w:val="ListParagraph"/>
        <w:numPr>
          <w:ilvl w:val="1"/>
          <w:numId w:val="3"/>
        </w:numPr>
        <w:tabs>
          <w:tab w:pos="1075" w:val="left" w:leader="none"/>
          <w:tab w:pos="1076" w:val="left" w:leader="none"/>
          <w:tab w:pos="2775" w:val="left" w:leader="none"/>
        </w:tabs>
        <w:spacing w:line="220" w:lineRule="auto" w:before="56" w:after="0"/>
        <w:ind w:left="2775" w:right="212" w:hanging="2549"/>
        <w:jc w:val="left"/>
        <w:rPr>
          <w:sz w:val="21"/>
        </w:rPr>
      </w:pPr>
      <w:r>
        <w:rPr>
          <w:b/>
          <w:position w:val="-1"/>
          <w:sz w:val="21"/>
        </w:rPr>
        <w:t>保险事故的通知</w:t>
        <w:tab/>
      </w:r>
      <w:r>
        <w:rPr>
          <w:spacing w:val="5"/>
          <w:sz w:val="21"/>
        </w:rPr>
        <w:t>本合同的</w:t>
      </w:r>
      <w:r>
        <w:rPr>
          <w:spacing w:val="2"/>
          <w:sz w:val="21"/>
        </w:rPr>
        <w:t>投</w:t>
      </w:r>
      <w:r>
        <w:rPr>
          <w:spacing w:val="5"/>
          <w:sz w:val="21"/>
        </w:rPr>
        <w:t>保人，</w:t>
      </w:r>
      <w:r>
        <w:rPr>
          <w:spacing w:val="2"/>
          <w:sz w:val="21"/>
        </w:rPr>
        <w:t>被保</w:t>
      </w:r>
      <w:r>
        <w:rPr>
          <w:spacing w:val="5"/>
          <w:sz w:val="21"/>
        </w:rPr>
        <w:t>险人或</w:t>
      </w:r>
      <w:r>
        <w:rPr>
          <w:spacing w:val="2"/>
          <w:sz w:val="21"/>
        </w:rPr>
        <w:t>受益</w:t>
      </w:r>
      <w:r>
        <w:rPr>
          <w:spacing w:val="5"/>
          <w:sz w:val="21"/>
        </w:rPr>
        <w:t>人知道</w:t>
      </w:r>
      <w:r>
        <w:rPr>
          <w:spacing w:val="2"/>
          <w:sz w:val="21"/>
        </w:rPr>
        <w:t>保险</w:t>
      </w:r>
      <w:r>
        <w:rPr>
          <w:spacing w:val="5"/>
          <w:sz w:val="21"/>
        </w:rPr>
        <w:t>事故后</w:t>
      </w:r>
      <w:r>
        <w:rPr>
          <w:spacing w:val="2"/>
          <w:sz w:val="21"/>
        </w:rPr>
        <w:t>应当</w:t>
      </w:r>
      <w:r>
        <w:rPr>
          <w:spacing w:val="5"/>
          <w:sz w:val="21"/>
        </w:rPr>
        <w:t>在十日</w:t>
      </w:r>
      <w:r>
        <w:rPr>
          <w:spacing w:val="2"/>
          <w:sz w:val="21"/>
        </w:rPr>
        <w:t>内通</w:t>
      </w:r>
      <w:r>
        <w:rPr>
          <w:spacing w:val="5"/>
          <w:sz w:val="21"/>
        </w:rPr>
        <w:t>知</w:t>
      </w:r>
      <w:r>
        <w:rPr>
          <w:sz w:val="21"/>
        </w:rPr>
        <w:t>我 们。</w:t>
      </w:r>
    </w:p>
    <w:p>
      <w:pPr>
        <w:pStyle w:val="BodyText"/>
        <w:spacing w:line="273" w:lineRule="auto" w:before="18"/>
        <w:ind w:left="2775" w:right="176"/>
        <w:jc w:val="both"/>
      </w:pPr>
      <w:r>
        <w:rPr>
          <w:spacing w:val="-4"/>
        </w:rPr>
        <w:t>如果投保人，被保险人或受益人故意或者因重大过失未及时通知我们，致使保险事故的性质、原因、损失程度等难以确定的，我们对无法确定的部分， </w:t>
      </w:r>
      <w:r>
        <w:rPr>
          <w:spacing w:val="-7"/>
        </w:rPr>
        <w:t>不承担给付保险金的责任，但我们通过其他途径已经及时知道或者应当及时</w:t>
      </w:r>
      <w:r>
        <w:rPr>
          <w:spacing w:val="-8"/>
        </w:rPr>
        <w:t>知道保险事故发生或者虽未及时通知但不影响我们确定保险事故的性质、原因、损失程度的除外。</w:t>
      </w:r>
    </w:p>
    <w:p>
      <w:pPr>
        <w:pStyle w:val="BodyText"/>
        <w:rPr>
          <w:sz w:val="18"/>
        </w:rPr>
      </w:pPr>
    </w:p>
    <w:p>
      <w:pPr>
        <w:pStyle w:val="ListParagraph"/>
        <w:numPr>
          <w:ilvl w:val="1"/>
          <w:numId w:val="3"/>
        </w:numPr>
        <w:tabs>
          <w:tab w:pos="1074" w:val="left" w:leader="none"/>
          <w:tab w:pos="1075" w:val="left" w:leader="none"/>
          <w:tab w:pos="2775" w:val="left" w:leader="none"/>
        </w:tabs>
        <w:spacing w:line="273" w:lineRule="auto" w:before="0" w:after="0"/>
        <w:ind w:left="2775" w:right="211" w:hanging="2549"/>
        <w:jc w:val="left"/>
        <w:rPr>
          <w:sz w:val="21"/>
        </w:rPr>
      </w:pPr>
      <w:r>
        <w:rPr>
          <w:b/>
          <w:sz w:val="21"/>
        </w:rPr>
        <w:t>诉讼时效</w:t>
        <w:tab/>
      </w:r>
      <w:r>
        <w:rPr>
          <w:sz w:val="21"/>
        </w:rPr>
        <w:t>受益人对本附加合同请求给付保险金的诉讼时效期间为两年</w:t>
      </w:r>
      <w:r>
        <w:rPr>
          <w:spacing w:val="-35"/>
          <w:sz w:val="21"/>
        </w:rPr>
        <w:t>，</w:t>
      </w:r>
      <w:r>
        <w:rPr>
          <w:sz w:val="21"/>
        </w:rPr>
        <w:t>自其知道或者应当知道保险事故发生之日起计算。</w:t>
      </w:r>
    </w:p>
    <w:p>
      <w:pPr>
        <w:pStyle w:val="BodyText"/>
        <w:spacing w:before="2"/>
        <w:rPr>
          <w:sz w:val="15"/>
        </w:rPr>
      </w:pPr>
    </w:p>
    <w:p>
      <w:pPr>
        <w:spacing w:after="0"/>
        <w:rPr>
          <w:sz w:val="15"/>
        </w:rPr>
        <w:sectPr>
          <w:type w:val="continuous"/>
          <w:pgSz w:w="11910" w:h="16840"/>
          <w:pgMar w:top="140" w:bottom="280" w:left="1080" w:right="940"/>
        </w:sectPr>
      </w:pPr>
    </w:p>
    <w:p>
      <w:pPr>
        <w:pStyle w:val="Heading5"/>
        <w:numPr>
          <w:ilvl w:val="1"/>
          <w:numId w:val="3"/>
        </w:numPr>
        <w:tabs>
          <w:tab w:pos="1075" w:val="left" w:leader="none"/>
          <w:tab w:pos="1076" w:val="left" w:leader="none"/>
        </w:tabs>
        <w:spacing w:line="273" w:lineRule="auto" w:before="36" w:after="0"/>
        <w:ind w:left="1075" w:right="0" w:hanging="849"/>
        <w:jc w:val="left"/>
      </w:pPr>
      <w:r>
        <w:rPr>
          <w:w w:val="95"/>
        </w:rPr>
        <w:t>申请保险金应提供的材料</w:t>
      </w:r>
    </w:p>
    <w:p>
      <w:pPr>
        <w:pStyle w:val="BodyText"/>
        <w:spacing w:line="273" w:lineRule="auto" w:before="36"/>
        <w:ind w:left="185" w:right="157"/>
      </w:pPr>
      <w:r>
        <w:rPr/>
        <w:br w:type="column"/>
      </w:r>
      <w:r>
        <w:rPr/>
        <w:t>受益人申请各项保险金时，应提供下列证明文件和资料，如果有关证明资料不完整，我们将及时一次性通知申请人补充提供。</w:t>
      </w:r>
    </w:p>
    <w:p>
      <w:pPr>
        <w:pStyle w:val="BodyText"/>
        <w:spacing w:before="33"/>
        <w:ind w:left="185"/>
      </w:pPr>
      <w:r>
        <w:rPr/>
        <w:t>1、给付申请书；</w:t>
      </w:r>
    </w:p>
    <w:p>
      <w:pPr>
        <w:pStyle w:val="BodyText"/>
        <w:spacing w:before="44"/>
        <w:ind w:left="185"/>
      </w:pPr>
      <w:r>
        <w:rPr/>
        <w:t>2、保险合同；</w:t>
      </w:r>
    </w:p>
    <w:p>
      <w:pPr>
        <w:pStyle w:val="BodyText"/>
        <w:spacing w:before="45"/>
        <w:ind w:left="185"/>
      </w:pPr>
      <w:r>
        <w:rPr/>
        <w:t>3、受益人的户籍证明及身份证明；</w:t>
      </w:r>
    </w:p>
    <w:p>
      <w:pPr>
        <w:pStyle w:val="BodyText"/>
        <w:spacing w:line="230" w:lineRule="auto" w:before="11"/>
        <w:ind w:left="185"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185" w:right="75"/>
      </w:pPr>
      <w:r>
        <w:rPr/>
        <w:t>5、投保人、被保险人或者受益人所能提供的与确认保险事故的性质、原因、伤害程度等有关的证明文件和资料。</w:t>
      </w:r>
    </w:p>
    <w:p>
      <w:pPr>
        <w:pStyle w:val="BodyText"/>
        <w:spacing w:line="237" w:lineRule="auto"/>
        <w:ind w:left="185" w:right="157"/>
      </w:pPr>
      <w:r>
        <w:rPr/>
        <w:t>若受益人委托他人代为申请保险金，被委托人还应提供受益人签字的授权委托书、被委托人的身份证明等相关证明文件。</w:t>
      </w:r>
    </w:p>
    <w:p>
      <w:pPr>
        <w:spacing w:after="0" w:line="237" w:lineRule="auto"/>
        <w:sectPr>
          <w:type w:val="continuous"/>
          <w:pgSz w:w="11910" w:h="16840"/>
          <w:pgMar w:top="140" w:bottom="280" w:left="1080" w:right="940"/>
          <w:cols w:num="2" w:equalWidth="0">
            <w:col w:w="2551" w:space="40"/>
            <w:col w:w="7299"/>
          </w:cols>
        </w:sectPr>
      </w:pPr>
    </w:p>
    <w:p>
      <w:pPr>
        <w:pStyle w:val="BodyText"/>
        <w:spacing w:before="2"/>
        <w:rPr>
          <w:sz w:val="16"/>
        </w:rPr>
      </w:pPr>
    </w:p>
    <w:p>
      <w:pPr>
        <w:pStyle w:val="ListParagraph"/>
        <w:numPr>
          <w:ilvl w:val="1"/>
          <w:numId w:val="3"/>
        </w:numPr>
        <w:tabs>
          <w:tab w:pos="1076" w:val="left" w:leader="none"/>
        </w:tabs>
        <w:spacing w:line="273" w:lineRule="auto" w:before="35" w:after="0"/>
        <w:ind w:left="2775" w:right="211" w:hanging="2549"/>
        <w:jc w:val="both"/>
        <w:rPr>
          <w:sz w:val="21"/>
        </w:rPr>
      </w:pPr>
      <w:r>
        <w:rPr>
          <w:b/>
          <w:sz w:val="21"/>
        </w:rPr>
        <w:t>保险金的给付   </w:t>
      </w:r>
      <w:r>
        <w:rPr>
          <w:spacing w:val="-2"/>
          <w:sz w:val="21"/>
        </w:rPr>
        <w:t>我们在收到保险金给付申请书及上述有关证明和资料后五日内作出核定，情</w:t>
      </w:r>
      <w:r>
        <w:rPr>
          <w:spacing w:val="-6"/>
          <w:sz w:val="21"/>
        </w:rPr>
        <w:t>形复杂的，在三十日内作出核定。对确定属于保险责任的，在与受益人达成</w:t>
      </w:r>
      <w:r>
        <w:rPr>
          <w:spacing w:val="-1"/>
          <w:sz w:val="21"/>
        </w:rPr>
        <w:t>有关给付保险金数额的协议后十日内，履行给付保险金的责任。</w:t>
      </w:r>
    </w:p>
    <w:p>
      <w:pPr>
        <w:spacing w:after="0" w:line="273" w:lineRule="auto"/>
        <w:jc w:val="both"/>
        <w:rPr>
          <w:sz w:val="21"/>
        </w:rPr>
        <w:sectPr>
          <w:type w:val="continuous"/>
          <w:pgSz w:w="11910" w:h="16840"/>
          <w:pgMar w:top="140" w:bottom="280" w:left="1080" w:right="940"/>
        </w:sectPr>
      </w:pPr>
    </w:p>
    <w:p>
      <w:pPr>
        <w:pStyle w:val="BodyText"/>
        <w:spacing w:line="271" w:lineRule="auto" w:before="22"/>
        <w:ind w:left="2775" w:right="212"/>
        <w:jc w:val="both"/>
      </w:pPr>
      <w:r>
        <w:rPr>
          <w:spacing w:val="-3"/>
        </w:rPr>
        <w:t>本公司未及时履行前款规定义务的，除支付保险金外，应当赔偿受益人因此受到的损失。</w:t>
      </w:r>
    </w:p>
    <w:p>
      <w:pPr>
        <w:pStyle w:val="BodyText"/>
        <w:spacing w:line="273" w:lineRule="auto" w:before="9"/>
        <w:ind w:left="2775" w:right="212"/>
        <w:jc w:val="both"/>
      </w:pPr>
      <w:r>
        <w:rPr>
          <w:spacing w:val="-3"/>
        </w:rPr>
        <w:t>对不属于保险责任的，我们将在作出核定后三日内，向申请人发出拒绝给付保险金通知书，并说明理由。</w:t>
      </w:r>
    </w:p>
    <w:p>
      <w:pPr>
        <w:spacing w:line="237" w:lineRule="auto" w:before="0"/>
        <w:ind w:left="2775" w:right="205" w:firstLine="0"/>
        <w:jc w:val="both"/>
        <w:rPr>
          <w:sz w:val="24"/>
        </w:rPr>
      </w:pPr>
      <w:r>
        <w:rPr>
          <w:spacing w:val="5"/>
          <w:sz w:val="24"/>
        </w:rPr>
        <w:t>我们在收到保险金给付申请书及上述有关证明和资料之日起六十</w:t>
      </w:r>
      <w:r>
        <w:rPr>
          <w:spacing w:val="-8"/>
          <w:sz w:val="24"/>
        </w:rPr>
        <w:t>日内，对属于保险责任而给付保险金的数额不能确定的，根据已有</w:t>
      </w:r>
      <w:r>
        <w:rPr>
          <w:spacing w:val="-11"/>
          <w:sz w:val="24"/>
        </w:rPr>
        <w:t>证明和资料，按可以确定的数额先予以支付；我们最终确定给付保险金的数额后，给付相应的差额。</w:t>
      </w:r>
    </w:p>
    <w:p>
      <w:pPr>
        <w:pStyle w:val="BodyText"/>
        <w:spacing w:before="12"/>
        <w:rPr>
          <w:sz w:val="19"/>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身体检查       </w:t>
      </w: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p>
      <w:pPr>
        <w:pStyle w:val="BodyText"/>
        <w:rPr>
          <w:sz w:val="20"/>
        </w:rPr>
      </w:pPr>
    </w:p>
    <w:p>
      <w:pPr>
        <w:pStyle w:val="BodyText"/>
        <w:spacing w:before="10"/>
        <w:rPr>
          <w:sz w:val="22"/>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20887pt;width:483.1pt;height:1.45pt;mso-position-horizontal-relative:page;mso-position-vertical-relative:paragraph;z-index:1312;mso-wrap-distance-left:0;mso-wrap-distance-right:0" coordorigin="1199,172" coordsize="9662,29">
            <v:line style="position:absolute" from="1199,177" to="2047,177" stroked="true" strokeweight=".47998pt" strokecolor="#000000">
              <v:stroke dashstyle="solid"/>
            </v:line>
            <v:line style="position:absolute" from="1199,196" to="2047,196" stroked="true" strokeweight=".48004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6" to="3749,196" stroked="true" strokeweight=".48004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6" to="10860,196" stroked="true" strokeweight=".48004pt" strokecolor="#000000">
              <v:stroke dashstyle="solid"/>
            </v:line>
            <w10:wrap type="topAndBottom"/>
          </v:group>
        </w:pict>
      </w:r>
    </w:p>
    <w:p>
      <w:pPr>
        <w:pStyle w:val="BodyText"/>
        <w:spacing w:before="7"/>
        <w:rPr>
          <w:b/>
          <w:sz w:val="7"/>
        </w:rPr>
      </w:pPr>
    </w:p>
    <w:p>
      <w:pPr>
        <w:spacing w:after="0"/>
        <w:rPr>
          <w:sz w:val="7"/>
        </w:rPr>
        <w:sectPr>
          <w:pgSz w:w="11910" w:h="16840"/>
          <w:pgMar w:header="0" w:footer="998" w:top="1460" w:bottom="1180" w:left="1080" w:right="940"/>
        </w:sectPr>
      </w:pPr>
    </w:p>
    <w:p>
      <w:pPr>
        <w:pStyle w:val="Heading5"/>
        <w:numPr>
          <w:ilvl w:val="1"/>
          <w:numId w:val="3"/>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spacing w:val="-9"/>
        </w:rPr>
        <w:t>本附加合同首期后的分期保险费，其缴付方式、宽限期的规定与主合同相同。</w:t>
      </w:r>
    </w:p>
    <w:p>
      <w:pPr>
        <w:spacing w:after="0" w:line="274" w:lineRule="exact"/>
        <w:sectPr>
          <w:type w:val="continuous"/>
          <w:pgSz w:w="11910" w:h="16840"/>
          <w:pgMar w:top="140" w:bottom="280" w:left="1080" w:right="940"/>
          <w:cols w:num="2" w:equalWidth="0">
            <w:col w:w="2551" w:space="40"/>
            <w:col w:w="7299"/>
          </w:cols>
        </w:sectPr>
      </w:pPr>
    </w:p>
    <w:p>
      <w:pPr>
        <w:pStyle w:val="BodyText"/>
        <w:spacing w:before="2"/>
        <w:rPr>
          <w:sz w:val="25"/>
        </w:rPr>
      </w:pPr>
    </w:p>
    <w:p>
      <w:pPr>
        <w:pStyle w:val="Heading2"/>
        <w:numPr>
          <w:ilvl w:val="0"/>
          <w:numId w:val="3"/>
        </w:numPr>
        <w:tabs>
          <w:tab w:pos="1075" w:val="left" w:leader="none"/>
          <w:tab w:pos="1076" w:val="left" w:leader="none"/>
        </w:tabs>
        <w:spacing w:line="240" w:lineRule="auto" w:before="14" w:after="0"/>
        <w:ind w:left="1075" w:right="0" w:hanging="849"/>
        <w:jc w:val="left"/>
      </w:pPr>
      <w:r>
        <w:rPr>
          <w:w w:val="95"/>
        </w:rPr>
        <w:t>投保人的特别权利及相应义务</w:t>
      </w:r>
    </w:p>
    <w:p>
      <w:pPr>
        <w:pStyle w:val="BodyText"/>
        <w:spacing w:before="3"/>
        <w:rPr>
          <w:b/>
          <w:sz w:val="10"/>
        </w:rPr>
      </w:pPr>
      <w:r>
        <w:rPr/>
        <w:pict>
          <v:group style="position:absolute;margin-left:59.939999pt;margin-top:8.652967pt;width:483.1pt;height:1.45pt;mso-position-horizontal-relative:page;mso-position-vertical-relative:paragraph;z-index:1336;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spacing w:before="6"/>
        <w:rPr>
          <w:b/>
          <w:sz w:val="7"/>
        </w:rPr>
      </w:pPr>
    </w:p>
    <w:p>
      <w:pPr>
        <w:pStyle w:val="ListParagraph"/>
        <w:numPr>
          <w:ilvl w:val="1"/>
          <w:numId w:val="3"/>
        </w:numPr>
        <w:tabs>
          <w:tab w:pos="1075" w:val="left" w:leader="none"/>
          <w:tab w:pos="1076" w:val="left" w:leader="none"/>
        </w:tabs>
        <w:spacing w:line="220" w:lineRule="auto" w:before="56" w:after="0"/>
        <w:ind w:left="2775" w:right="211" w:hanging="2549"/>
        <w:jc w:val="left"/>
        <w:rPr>
          <w:sz w:val="21"/>
        </w:rPr>
      </w:pPr>
      <w:r>
        <w:rPr>
          <w:b/>
          <w:spacing w:val="-24"/>
          <w:position w:val="-1"/>
          <w:sz w:val="21"/>
        </w:rPr>
        <w:t>解除合同</w:t>
      </w:r>
      <w:r>
        <w:rPr>
          <w:b/>
          <w:position w:val="-1"/>
          <w:sz w:val="21"/>
        </w:rPr>
        <w:t>（退保）</w:t>
      </w:r>
      <w:r>
        <w:rPr>
          <w:b/>
          <w:spacing w:val="1"/>
          <w:position w:val="-1"/>
          <w:sz w:val="21"/>
        </w:rPr>
        <w:t> </w:t>
      </w:r>
      <w:r>
        <w:rPr>
          <w:spacing w:val="-4"/>
          <w:sz w:val="21"/>
        </w:rPr>
        <w:t>在本附加合同有效期内，投保人可以合并主合同书面通知我们要求解除本附加合同。申请退保时，投保人应提供下列证明文件和资料：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2"/>
        <w:ind w:left="2775" w:right="210"/>
        <w:jc w:val="both"/>
      </w:pPr>
      <w:r>
        <w:rPr/>
        <w:t>自我们收到退保申请（若为邮寄，则以寄出邮戳为准）</w:t>
      </w:r>
      <w:r>
        <w:rPr>
          <w:spacing w:val="-5"/>
        </w:rPr>
        <w:t>的当日 </w:t>
      </w:r>
      <w:r>
        <w:rPr/>
        <w:t>24</w:t>
      </w:r>
      <w:r>
        <w:rPr>
          <w:spacing w:val="-4"/>
        </w:rPr>
        <w:t> 时起，本</w:t>
      </w:r>
      <w:r>
        <w:rPr>
          <w:spacing w:val="-7"/>
        </w:rPr>
        <w:t>附加合同及主合同的效力终止。我们将于收到上述证明文件和资料后三十日内退还本附加合同及主合同效力终止日的现金价值。</w:t>
      </w:r>
    </w:p>
    <w:p>
      <w:pPr>
        <w:pStyle w:val="BodyText"/>
        <w:spacing w:before="4"/>
        <w:rPr>
          <w:sz w:val="26"/>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投保人需要关注的其他事项</w:t>
      </w:r>
    </w:p>
    <w:p>
      <w:pPr>
        <w:pStyle w:val="BodyText"/>
        <w:spacing w:before="2"/>
        <w:rPr>
          <w:b/>
          <w:sz w:val="10"/>
        </w:rPr>
      </w:pPr>
      <w:r>
        <w:rPr/>
        <w:pict>
          <v:group style="position:absolute;margin-left:59.939999pt;margin-top:8.64137pt;width:483.1pt;height:1.45pt;mso-position-horizontal-relative:page;mso-position-vertical-relative:paragraph;z-index:1360;mso-wrap-distance-left:0;mso-wrap-distance-right:0" coordorigin="1199,173" coordsize="9662,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ListParagraph"/>
        <w:numPr>
          <w:ilvl w:val="1"/>
          <w:numId w:val="3"/>
        </w:numPr>
        <w:tabs>
          <w:tab w:pos="1075" w:val="left" w:leader="none"/>
        </w:tabs>
        <w:spacing w:line="273" w:lineRule="auto" w:before="36" w:after="0"/>
        <w:ind w:left="2775" w:right="211" w:hanging="2549"/>
        <w:jc w:val="both"/>
        <w:rPr>
          <w:sz w:val="21"/>
        </w:rPr>
      </w:pPr>
      <w:r>
        <w:rPr>
          <w:b/>
          <w:sz w:val="21"/>
        </w:rPr>
        <w:t>欠款扣除       </w:t>
      </w:r>
      <w:r>
        <w:rPr>
          <w:spacing w:val="-3"/>
          <w:sz w:val="21"/>
        </w:rPr>
        <w:t>我们在给付各项保险金或现金价值、办理终止合同时，若投保人有欠缴本附</w:t>
      </w:r>
      <w:r>
        <w:rPr>
          <w:spacing w:val="-6"/>
          <w:sz w:val="21"/>
        </w:rPr>
        <w:t>加合同的保险费及利息，则所有的欠款和利息均需先归还我们或由我们在给付款中扣除。</w:t>
      </w:r>
    </w:p>
    <w:p>
      <w:pPr>
        <w:pStyle w:val="BodyText"/>
        <w:spacing w:before="4"/>
        <w:rPr>
          <w:sz w:val="16"/>
        </w:rPr>
      </w:pPr>
    </w:p>
    <w:p>
      <w:pPr>
        <w:pStyle w:val="ListParagraph"/>
        <w:numPr>
          <w:ilvl w:val="1"/>
          <w:numId w:val="3"/>
        </w:numPr>
        <w:tabs>
          <w:tab w:pos="1075" w:val="left" w:leader="none"/>
          <w:tab w:pos="1076" w:val="left" w:leader="none"/>
          <w:tab w:pos="2775" w:val="left" w:leader="none"/>
        </w:tabs>
        <w:spacing w:line="284" w:lineRule="exact" w:before="0"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3"/>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before="22"/>
        <w:ind w:left="2775"/>
      </w:pPr>
      <w:r>
        <w:rPr/>
        <w:t>1、主合同撤销、解除、退保、满期、终止；</w:t>
      </w:r>
    </w:p>
    <w:p>
      <w:pPr>
        <w:pStyle w:val="BodyText"/>
        <w:spacing w:line="274" w:lineRule="exact"/>
        <w:ind w:left="2775"/>
      </w:pPr>
      <w:r>
        <w:rPr/>
        <w:t>2、主合同及本附加合同约定的其它效力终止情形。</w:t>
      </w:r>
    </w:p>
    <w:p>
      <w:pPr>
        <w:pStyle w:val="BodyText"/>
        <w:spacing w:line="237" w:lineRule="auto" w:before="2"/>
        <w:ind w:left="2775" w:right="158"/>
      </w:pPr>
      <w:r>
        <w:rPr/>
        <w:t>本附加合同效力终止后，除另有规定外，我们不退还本附加合同的现金价值或已缴的保险费。</w:t>
      </w:r>
    </w:p>
    <w:p>
      <w:pPr>
        <w:spacing w:after="0" w:line="237" w:lineRule="auto"/>
        <w:sectPr>
          <w:type w:val="continuous"/>
          <w:pgSz w:w="11910" w:h="16840"/>
          <w:pgMar w:top="140" w:bottom="280" w:left="1080" w:right="940"/>
        </w:sectPr>
      </w:pPr>
    </w:p>
    <w:p>
      <w:pPr>
        <w:pStyle w:val="BodyText"/>
        <w:rPr>
          <w:sz w:val="20"/>
        </w:rPr>
      </w:pPr>
    </w:p>
    <w:p>
      <w:pPr>
        <w:pStyle w:val="Heading2"/>
        <w:numPr>
          <w:ilvl w:val="0"/>
          <w:numId w:val="3"/>
        </w:numPr>
        <w:tabs>
          <w:tab w:pos="1075" w:val="left" w:leader="none"/>
          <w:tab w:pos="1076" w:val="left" w:leader="none"/>
        </w:tabs>
        <w:spacing w:line="240" w:lineRule="auto" w:before="174" w:after="0"/>
        <w:ind w:left="1075" w:right="0" w:hanging="849"/>
        <w:jc w:val="left"/>
      </w:pPr>
      <w:r>
        <w:rPr>
          <w:w w:val="95"/>
        </w:rPr>
        <w:t>释义</w:t>
      </w:r>
    </w:p>
    <w:p>
      <w:pPr>
        <w:pStyle w:val="BodyText"/>
        <w:spacing w:before="2"/>
        <w:rPr>
          <w:b/>
          <w:sz w:val="10"/>
        </w:rPr>
      </w:pPr>
      <w:r>
        <w:rPr/>
        <w:pict>
          <v:group style="position:absolute;margin-left:59.939999pt;margin-top:8.649351pt;width:483.1pt;height:1.45pt;mso-position-horizontal-relative:page;mso-position-vertical-relative:paragraph;z-index:1384;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BodyText"/>
        <w:spacing w:before="36"/>
        <w:ind w:left="226"/>
      </w:pPr>
      <w:r>
        <w:rPr/>
        <w:t>本附加合同中具有特定含义的名词，除非本附加合同另有释义，适用主合同的释义。</w:t>
      </w:r>
    </w:p>
    <w:p>
      <w:pPr>
        <w:pStyle w:val="BodyText"/>
        <w:spacing w:before="7"/>
        <w:rPr>
          <w:sz w:val="28"/>
        </w:rPr>
      </w:pPr>
    </w:p>
    <w:p>
      <w:pPr>
        <w:pStyle w:val="ListParagraph"/>
        <w:numPr>
          <w:ilvl w:val="1"/>
          <w:numId w:val="3"/>
        </w:numPr>
        <w:tabs>
          <w:tab w:pos="1075" w:val="left" w:leader="none"/>
          <w:tab w:pos="1076" w:val="left" w:leader="none"/>
          <w:tab w:pos="2775" w:val="left" w:leader="none"/>
        </w:tabs>
        <w:spacing w:line="314" w:lineRule="auto" w:before="1" w:after="0"/>
        <w:ind w:left="2775" w:right="211" w:hanging="2549"/>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20"/>
        <w:ind w:left="2775"/>
      </w:pPr>
      <w:r>
        <w:rPr/>
        <w:t>1、拥有合法经营执照；</w:t>
      </w:r>
    </w:p>
    <w:p>
      <w:pPr>
        <w:pStyle w:val="BodyText"/>
        <w:spacing w:before="85"/>
        <w:ind w:left="2775"/>
      </w:pPr>
      <w:r>
        <w:rPr/>
        <w:t>2、设立的主要目的为受伤者和患病者提供留院治疗和护理；</w:t>
      </w:r>
    </w:p>
    <w:p>
      <w:pPr>
        <w:pStyle w:val="BodyText"/>
        <w:spacing w:before="85"/>
        <w:ind w:left="2775"/>
      </w:pPr>
      <w:r>
        <w:rPr/>
        <w:t>3、有合法职称的专业医生和护士提供全日二十四小时的医疗和护理服务；</w:t>
      </w:r>
    </w:p>
    <w:p>
      <w:pPr>
        <w:pStyle w:val="BodyText"/>
        <w:spacing w:line="302" w:lineRule="auto" w:before="85"/>
        <w:ind w:left="2775" w:right="210"/>
      </w:pPr>
      <w:r>
        <w:rPr>
          <w:rFonts w:ascii="Times New Roman" w:eastAsia="Times New Roman"/>
        </w:rPr>
        <w:t>4</w:t>
      </w:r>
      <w:r>
        <w:rPr/>
        <w:t>、具有系统性诊疗等程序或手术设备的综合性医院和专科医院，但不包括观察室、联合病房、精神病院和康复病房；                           </w:t>
      </w:r>
      <w:r>
        <w:rPr>
          <w:rFonts w:ascii="Times New Roman" w:eastAsia="Times New Roman"/>
        </w:rPr>
        <w:t>5</w:t>
      </w:r>
      <w:r>
        <w:rPr/>
        <w:t>、非主要作为康复医院、诊所、护理、疗养、戒酒、戒毒或类似的医疗机构。</w:t>
      </w:r>
    </w:p>
    <w:p>
      <w:pPr>
        <w:pStyle w:val="ListParagraph"/>
        <w:numPr>
          <w:ilvl w:val="1"/>
          <w:numId w:val="3"/>
        </w:numPr>
        <w:tabs>
          <w:tab w:pos="1075" w:val="left" w:leader="none"/>
          <w:tab w:pos="1076" w:val="left" w:leader="none"/>
          <w:tab w:pos="2775" w:val="left" w:leader="none"/>
        </w:tabs>
        <w:spacing w:line="240" w:lineRule="auto" w:before="143" w:after="0"/>
        <w:ind w:left="1075" w:right="0" w:hanging="849"/>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line="273" w:lineRule="auto" w:before="36"/>
        <w:ind w:left="2775" w:right="211"/>
        <w:jc w:val="both"/>
      </w:pPr>
      <w:r>
        <w:rPr>
          <w:spacing w:val="-23"/>
        </w:rPr>
        <w:t>《 医师资格证书》；</w:t>
      </w:r>
      <w:r>
        <w:rPr>
          <w:spacing w:val="-2"/>
        </w:rPr>
        <w:t>（</w:t>
      </w:r>
      <w:r>
        <w:rPr/>
        <w:t>2</w:t>
      </w:r>
      <w:r>
        <w:rPr>
          <w:spacing w:val="-10"/>
        </w:rPr>
        <w:t>）</w:t>
      </w:r>
      <w:r>
        <w:rPr>
          <w:spacing w:val="-9"/>
        </w:rPr>
        <w:t>具有有效的中华人民共和国《 医师执业证书》，并</w:t>
      </w: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600" w:bottom="1180" w:left="1080" w:right="940"/>
        </w:sectPr>
      </w:pPr>
    </w:p>
    <w:p>
      <w:pPr>
        <w:pStyle w:val="Heading5"/>
        <w:numPr>
          <w:ilvl w:val="1"/>
          <w:numId w:val="3"/>
        </w:numPr>
        <w:tabs>
          <w:tab w:pos="1075" w:val="left" w:leader="none"/>
          <w:tab w:pos="1076" w:val="left" w:leader="none"/>
        </w:tabs>
        <w:spacing w:line="273" w:lineRule="auto" w:before="35" w:after="0"/>
        <w:ind w:left="1075" w:right="0" w:hanging="849"/>
        <w:jc w:val="left"/>
      </w:pPr>
      <w:r>
        <w:rPr/>
        <w:t>感染艾滋病病毒</w:t>
      </w:r>
      <w:r>
        <w:rPr>
          <w:w w:val="95"/>
        </w:rPr>
        <w:t>或患艾滋病</w:t>
      </w:r>
    </w:p>
    <w:p>
      <w:pPr>
        <w:pStyle w:val="BodyText"/>
        <w:spacing w:line="273" w:lineRule="auto" w:before="35"/>
        <w:ind w:left="173" w:right="157"/>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73" w:right="105"/>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140" w:bottom="280" w:left="1080" w:right="940"/>
          <w:cols w:num="2" w:equalWidth="0">
            <w:col w:w="2562" w:space="40"/>
            <w:col w:w="7288"/>
          </w:cols>
        </w:sectPr>
      </w:pPr>
    </w:p>
    <w:p>
      <w:pPr>
        <w:pStyle w:val="BodyText"/>
        <w:spacing w:before="2"/>
        <w:rPr>
          <w:sz w:val="15"/>
        </w:rPr>
      </w:pPr>
    </w:p>
    <w:p>
      <w:pPr>
        <w:pStyle w:val="ListParagraph"/>
        <w:numPr>
          <w:ilvl w:val="1"/>
          <w:numId w:val="3"/>
        </w:numPr>
        <w:tabs>
          <w:tab w:pos="1075" w:val="left" w:leader="none"/>
          <w:tab w:pos="1076" w:val="left" w:leader="none"/>
          <w:tab w:pos="2775" w:val="left" w:leader="none"/>
        </w:tabs>
        <w:spacing w:line="211" w:lineRule="auto" w:before="59" w:after="0"/>
        <w:ind w:left="2775" w:right="212" w:hanging="2549"/>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spacing w:before="12"/>
        <w:rPr>
          <w:sz w:val="24"/>
        </w:rPr>
      </w:pPr>
    </w:p>
    <w:p>
      <w:pPr>
        <w:spacing w:after="0"/>
        <w:rPr>
          <w:sz w:val="24"/>
        </w:rPr>
        <w:sectPr>
          <w:type w:val="continuous"/>
          <w:pgSz w:w="11910" w:h="16840"/>
          <w:pgMar w:top="140" w:bottom="280" w:left="1080" w:right="940"/>
        </w:sectPr>
      </w:pPr>
    </w:p>
    <w:p>
      <w:pPr>
        <w:pStyle w:val="Heading5"/>
        <w:numPr>
          <w:ilvl w:val="1"/>
          <w:numId w:val="3"/>
        </w:numPr>
        <w:tabs>
          <w:tab w:pos="1075" w:val="left" w:leader="none"/>
          <w:tab w:pos="1076" w:val="left" w:leader="none"/>
        </w:tabs>
        <w:spacing w:line="273" w:lineRule="auto" w:before="36" w:after="0"/>
        <w:ind w:left="1075" w:right="0" w:hanging="849"/>
        <w:jc w:val="left"/>
      </w:pPr>
      <w:r>
        <w:rPr>
          <w:w w:val="95"/>
        </w:rPr>
        <w:t>先天性畸形、变形或染色体异常</w:t>
      </w:r>
    </w:p>
    <w:p>
      <w:pPr>
        <w:pStyle w:val="BodyText"/>
        <w:spacing w:line="273" w:lineRule="auto" w:before="36"/>
        <w:ind w:left="185" w:right="107"/>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85"/>
      </w:pPr>
      <w:r>
        <w:rPr/>
        <w:t>（</w:t>
      </w:r>
      <w:r>
        <w:rPr>
          <w:rFonts w:ascii="Times New Roman" w:eastAsia="Times New Roman"/>
        </w:rPr>
        <w:t>ICD-10</w:t>
      </w:r>
      <w:r>
        <w:rPr/>
        <w:t>）确定。</w:t>
      </w:r>
    </w:p>
    <w:sectPr>
      <w:type w:val="continuous"/>
      <w:pgSz w:w="11910" w:h="16840"/>
      <w:pgMar w:top="140" w:bottom="280" w:left="1080" w:right="940"/>
      <w:cols w:num="2" w:equalWidth="0">
        <w:col w:w="2551" w:space="40"/>
        <w:col w:w="72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Courier New">
    <w:altName w:val="Courier New"/>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781.119568pt;width:15pt;height:12pt;mso-position-horizontal-relative:page;mso-position-vertical-relative:page;z-index:-11632" type="#_x0000_t202" filled="false" stroked="false">
          <v:textbox inset="0,0,0,0">
            <w:txbxContent>
              <w:p>
                <w:pPr>
                  <w:spacing w:before="12"/>
                  <w:ind w:left="20" w:right="0" w:firstLine="0"/>
                  <w:jc w:val="left"/>
                  <w:rPr>
                    <w:rFonts w:ascii="Times New Roman"/>
                    <w:sz w:val="18"/>
                  </w:rPr>
                </w:pPr>
                <w:r>
                  <w:rPr>
                    <w:rFonts w:ascii="Times New Roman"/>
                    <w:sz w:val="18"/>
                  </w:rPr>
                  <w:t>6-</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058" w:hanging="211"/>
        <w:jc w:val="left"/>
      </w:pPr>
      <w:rPr>
        <w:rFonts w:hint="default" w:ascii="宋体" w:hAnsi="宋体" w:eastAsia="宋体" w:cs="宋体"/>
        <w:w w:val="100"/>
        <w:sz w:val="18"/>
        <w:szCs w:val="18"/>
      </w:rPr>
    </w:lvl>
    <w:lvl w:ilvl="1">
      <w:start w:val="0"/>
      <w:numFmt w:val="bullet"/>
      <w:lvlText w:val="•"/>
      <w:lvlJc w:val="left"/>
      <w:pPr>
        <w:ind w:left="3730" w:hanging="211"/>
      </w:pPr>
      <w:rPr>
        <w:rFonts w:hint="default"/>
      </w:rPr>
    </w:lvl>
    <w:lvl w:ilvl="2">
      <w:start w:val="0"/>
      <w:numFmt w:val="bullet"/>
      <w:lvlText w:val="•"/>
      <w:lvlJc w:val="left"/>
      <w:pPr>
        <w:ind w:left="4400" w:hanging="211"/>
      </w:pPr>
      <w:rPr>
        <w:rFonts w:hint="default"/>
      </w:rPr>
    </w:lvl>
    <w:lvl w:ilvl="3">
      <w:start w:val="0"/>
      <w:numFmt w:val="bullet"/>
      <w:lvlText w:val="•"/>
      <w:lvlJc w:val="left"/>
      <w:pPr>
        <w:ind w:left="5071" w:hanging="211"/>
      </w:pPr>
      <w:rPr>
        <w:rFonts w:hint="default"/>
      </w:rPr>
    </w:lvl>
    <w:lvl w:ilvl="4">
      <w:start w:val="0"/>
      <w:numFmt w:val="bullet"/>
      <w:lvlText w:val="•"/>
      <w:lvlJc w:val="left"/>
      <w:pPr>
        <w:ind w:left="5741" w:hanging="211"/>
      </w:pPr>
      <w:rPr>
        <w:rFonts w:hint="default"/>
      </w:rPr>
    </w:lvl>
    <w:lvl w:ilvl="5">
      <w:start w:val="0"/>
      <w:numFmt w:val="bullet"/>
      <w:lvlText w:val="•"/>
      <w:lvlJc w:val="left"/>
      <w:pPr>
        <w:ind w:left="6412" w:hanging="211"/>
      </w:pPr>
      <w:rPr>
        <w:rFonts w:hint="default"/>
      </w:rPr>
    </w:lvl>
    <w:lvl w:ilvl="6">
      <w:start w:val="0"/>
      <w:numFmt w:val="bullet"/>
      <w:lvlText w:val="•"/>
      <w:lvlJc w:val="left"/>
      <w:pPr>
        <w:ind w:left="7082" w:hanging="211"/>
      </w:pPr>
      <w:rPr>
        <w:rFonts w:hint="default"/>
      </w:rPr>
    </w:lvl>
    <w:lvl w:ilvl="7">
      <w:start w:val="0"/>
      <w:numFmt w:val="bullet"/>
      <w:lvlText w:val="•"/>
      <w:lvlJc w:val="left"/>
      <w:pPr>
        <w:ind w:left="7753" w:hanging="211"/>
      </w:pPr>
      <w:rPr>
        <w:rFonts w:hint="default"/>
      </w:rPr>
    </w:lvl>
    <w:lvl w:ilvl="8">
      <w:start w:val="0"/>
      <w:numFmt w:val="bullet"/>
      <w:lvlText w:val="•"/>
      <w:lvlJc w:val="left"/>
      <w:pPr>
        <w:ind w:left="8423" w:hanging="211"/>
      </w:pPr>
      <w:rPr>
        <w:rFonts w:hint="default"/>
      </w:rPr>
    </w:lvl>
  </w:abstractNum>
  <w:abstractNum w:abstractNumId="2">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position w:val="3"/>
        <w:sz w:val="22"/>
        <w:szCs w:val="22"/>
      </w:rPr>
    </w:lvl>
    <w:lvl w:ilvl="3">
      <w:start w:val="0"/>
      <w:numFmt w:val="bullet"/>
      <w:lvlText w:val="•"/>
      <w:lvlJc w:val="left"/>
      <w:pPr>
        <w:ind w:left="3180" w:hanging="849"/>
      </w:pPr>
      <w:rPr>
        <w:rFonts w:hint="default"/>
      </w:rPr>
    </w:lvl>
    <w:lvl w:ilvl="4">
      <w:start w:val="0"/>
      <w:numFmt w:val="bullet"/>
      <w:lvlText w:val="•"/>
      <w:lvlJc w:val="left"/>
      <w:pPr>
        <w:ind w:left="3072" w:hanging="849"/>
      </w:pPr>
      <w:rPr>
        <w:rFonts w:hint="default"/>
      </w:rPr>
    </w:lvl>
    <w:lvl w:ilvl="5">
      <w:start w:val="0"/>
      <w:numFmt w:val="bullet"/>
      <w:lvlText w:val="•"/>
      <w:lvlJc w:val="left"/>
      <w:pPr>
        <w:ind w:left="2965" w:hanging="849"/>
      </w:pPr>
      <w:rPr>
        <w:rFonts w:hint="default"/>
      </w:rPr>
    </w:lvl>
    <w:lvl w:ilvl="6">
      <w:start w:val="0"/>
      <w:numFmt w:val="bullet"/>
      <w:lvlText w:val="•"/>
      <w:lvlJc w:val="left"/>
      <w:pPr>
        <w:ind w:left="2858" w:hanging="849"/>
      </w:pPr>
      <w:rPr>
        <w:rFonts w:hint="default"/>
      </w:rPr>
    </w:lvl>
    <w:lvl w:ilvl="7">
      <w:start w:val="0"/>
      <w:numFmt w:val="bullet"/>
      <w:lvlText w:val="•"/>
      <w:lvlJc w:val="left"/>
      <w:pPr>
        <w:ind w:left="2751" w:hanging="849"/>
      </w:pPr>
      <w:rPr>
        <w:rFonts w:hint="default"/>
      </w:rPr>
    </w:lvl>
    <w:lvl w:ilvl="8">
      <w:start w:val="0"/>
      <w:numFmt w:val="bullet"/>
      <w:lvlText w:val="•"/>
      <w:lvlJc w:val="left"/>
      <w:pPr>
        <w:ind w:left="2644" w:hanging="849"/>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ind w:left="2775" w:right="205"/>
      <w:jc w:val="both"/>
      <w:outlineLvl w:val="3"/>
    </w:pPr>
    <w:rPr>
      <w:rFonts w:ascii="宋体" w:hAnsi="宋体" w:eastAsia="宋体" w:cs="宋体"/>
      <w:sz w:val="24"/>
      <w:szCs w:val="24"/>
    </w:rPr>
  </w:style>
  <w:style w:styleId="Heading4" w:type="paragraph">
    <w:name w:val="Heading 4"/>
    <w:basedOn w:val="Normal"/>
    <w:uiPriority w:val="1"/>
    <w:qFormat/>
    <w:pPr>
      <w:spacing w:before="23"/>
      <w:ind w:left="1075" w:hanging="849"/>
      <w:outlineLvl w:val="4"/>
    </w:pPr>
    <w:rPr>
      <w:rFonts w:ascii="宋体" w:hAnsi="宋体" w:eastAsia="宋体" w:cs="宋体"/>
      <w:i/>
      <w:sz w:val="22"/>
      <w:szCs w:val="22"/>
    </w:rPr>
  </w:style>
  <w:style w:styleId="Heading5" w:type="paragraph">
    <w:name w:val="Heading 5"/>
    <w:basedOn w:val="Normal"/>
    <w:uiPriority w:val="1"/>
    <w:qFormat/>
    <w:pPr>
      <w:ind w:left="1075" w:hanging="849"/>
      <w:outlineLvl w:val="5"/>
    </w:pPr>
    <w:rPr>
      <w:rFonts w:ascii="宋体" w:hAnsi="宋体" w:eastAsia="宋体" w:cs="宋体"/>
      <w:b/>
      <w:bCs/>
      <w:sz w:val="21"/>
      <w:szCs w:val="21"/>
    </w:rPr>
  </w:style>
  <w:style w:styleId="ListParagraph" w:type="paragraph">
    <w:name w:val="List Paragraph"/>
    <w:basedOn w:val="Normal"/>
    <w:uiPriority w:val="1"/>
    <w:qFormat/>
    <w:pPr>
      <w:ind w:left="1075" w:hanging="254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&lt;4D6963726F736F667420576F7264202D20545244442DCAD7B4B4B0B2CCA9B8BDBCD3BFB5B4A2B1A3B6A8C6DACCE1C7B0B8F8B8B6D6D8B4F3BCB2B2A1B1A3CFD52DCAD7B4B4B0B2CCA95B323030395DB5DA30313130BAC52D32322E646F636D&gt;</dc:title>
  <dcterms:created xsi:type="dcterms:W3CDTF">2018-10-20T11:47:07Z</dcterms:created>
  <dcterms:modified xsi:type="dcterms:W3CDTF">2018-10-20T11:47:07Z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2018-10-20T00:00:00Z</vt:filetime>
  </property>
</Properties>
</file>