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68409591">
            <wp:simplePos x="0" y="0"/>
            <wp:positionH relativeFrom="page">
              <wp:posOffset>5581650</wp:posOffset>
            </wp:positionH>
            <wp:positionV relativeFrom="page">
              <wp:posOffset>1565274</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p>
    <w:p>
      <w:pPr>
        <w:pStyle w:val="BodyText"/>
        <w:spacing w:before="3"/>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2131" w:hRule="atLeast"/>
        </w:trPr>
        <w:tc>
          <w:tcPr>
            <w:tcW w:w="9320" w:type="dxa"/>
            <w:gridSpan w:val="2"/>
          </w:tcPr>
          <w:p>
            <w:pPr>
              <w:pStyle w:val="TableParagraph"/>
              <w:spacing w:line="211" w:lineRule="exact" w:before="0"/>
              <w:ind w:left="5850"/>
              <w:rPr>
                <w:rFonts w:ascii="仿宋" w:eastAsia="仿宋" w:hint="eastAsia"/>
                <w:sz w:val="21"/>
              </w:rPr>
            </w:pPr>
            <w:r>
              <w:rPr>
                <w:rFonts w:ascii="仿宋" w:eastAsia="仿宋" w:hint="eastAsia"/>
                <w:sz w:val="21"/>
              </w:rPr>
              <w:t>中航三星人寿[2012]疾病保险 005 号</w:t>
            </w:r>
          </w:p>
          <w:p>
            <w:pPr>
              <w:pStyle w:val="TableParagraph"/>
              <w:spacing w:before="117"/>
              <w:ind w:left="2579" w:right="2579"/>
              <w:jc w:val="center"/>
              <w:rPr>
                <w:b/>
                <w:sz w:val="32"/>
              </w:rPr>
            </w:pPr>
            <w:r>
              <w:rPr>
                <w:b/>
                <w:w w:val="95"/>
                <w:sz w:val="32"/>
              </w:rPr>
              <w:t>中航三星人寿保险有限公司</w:t>
            </w:r>
          </w:p>
          <w:p>
            <w:pPr>
              <w:pStyle w:val="TableParagraph"/>
              <w:spacing w:before="130"/>
              <w:ind w:left="2580" w:right="2579"/>
              <w:jc w:val="center"/>
              <w:rPr>
                <w:b/>
                <w:sz w:val="24"/>
              </w:rPr>
            </w:pPr>
            <w:r>
              <w:rPr>
                <w:b/>
                <w:w w:val="95"/>
                <w:sz w:val="24"/>
              </w:rPr>
              <w:t>中航三星附加额外给付重大疾病保险条款</w:t>
            </w:r>
          </w:p>
          <w:p>
            <w:pPr>
              <w:pStyle w:val="TableParagraph"/>
              <w:spacing w:before="29"/>
              <w:ind w:left="2580" w:right="2577"/>
              <w:jc w:val="center"/>
              <w:rPr>
                <w:b/>
                <w:sz w:val="24"/>
              </w:rPr>
            </w:pPr>
            <w:r>
              <w:rPr>
                <w:b/>
                <w:sz w:val="24"/>
              </w:rPr>
              <w:t>（2012 年 3 月）</w:t>
            </w:r>
          </w:p>
          <w:p>
            <w:pPr>
              <w:pStyle w:val="TableParagraph"/>
              <w:spacing w:before="54"/>
              <w:ind w:left="0" w:right="208"/>
              <w:jc w:val="right"/>
              <w:rPr>
                <w:rFonts w:ascii="仿宋" w:eastAsia="仿宋" w:hint="eastAsia"/>
                <w:sz w:val="21"/>
              </w:rPr>
            </w:pPr>
            <w:r>
              <w:rPr>
                <w:rFonts w:ascii="仿宋" w:eastAsia="仿宋" w:hint="eastAsia"/>
                <w:sz w:val="21"/>
              </w:rPr>
              <w:t>请扫描以查询验证条款</w:t>
            </w:r>
          </w:p>
        </w:tc>
      </w:tr>
      <w:tr>
        <w:trPr>
          <w:trHeight w:val="932" w:hRule="atLeast"/>
        </w:trPr>
        <w:tc>
          <w:tcPr>
            <w:tcW w:w="9320" w:type="dxa"/>
            <w:gridSpan w:val="2"/>
          </w:tcPr>
          <w:p>
            <w:pPr>
              <w:pStyle w:val="TableParagraph"/>
              <w:spacing w:before="7"/>
              <w:ind w:left="0"/>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CCCCCC"/>
          </w:tcPr>
          <w:p>
            <w:pPr>
              <w:pStyle w:val="TableParagraph"/>
              <w:spacing w:before="47"/>
              <w:ind w:left="2580" w:right="2577"/>
              <w:jc w:val="center"/>
              <w:rPr>
                <w:b/>
                <w:sz w:val="21"/>
              </w:rPr>
            </w:pPr>
            <w:r>
              <w:rPr>
                <w:b/>
                <w:sz w:val="21"/>
              </w:rPr>
              <w:t>条款目录</w:t>
            </w:r>
          </w:p>
        </w:tc>
      </w:tr>
      <w:tr>
        <w:trPr>
          <w:trHeight w:val="9356" w:hRule="atLeast"/>
        </w:trPr>
        <w:tc>
          <w:tcPr>
            <w:tcW w:w="4659" w:type="dxa"/>
            <w:tcBorders>
              <w:right w:val="single" w:sz="4" w:space="0" w:color="000000"/>
            </w:tcBorders>
          </w:tcPr>
          <w:p>
            <w:pPr>
              <w:pStyle w:val="TableParagraph"/>
              <w:tabs>
                <w:tab w:pos="1579" w:val="left" w:leader="none"/>
              </w:tabs>
              <w:spacing w:line="300" w:lineRule="auto" w:before="45"/>
              <w:ind w:left="530" w:right="1379" w:hanging="423"/>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pacing w:val="-3"/>
                <w:sz w:val="21"/>
              </w:rPr>
              <w:t>第</w:t>
            </w:r>
            <w:r>
              <w:rPr>
                <w:sz w:val="21"/>
              </w:rPr>
              <w:t>一条</w:t>
              <w:tab/>
              <w:t>附</w:t>
            </w:r>
            <w:r>
              <w:rPr>
                <w:spacing w:val="-3"/>
                <w:sz w:val="21"/>
              </w:rPr>
              <w:t>加</w:t>
            </w:r>
            <w:r>
              <w:rPr>
                <w:sz w:val="21"/>
              </w:rPr>
              <w:t>保</w:t>
            </w:r>
            <w:r>
              <w:rPr>
                <w:spacing w:val="-3"/>
                <w:sz w:val="21"/>
              </w:rPr>
              <w:t>险</w:t>
            </w:r>
            <w:r>
              <w:rPr>
                <w:sz w:val="21"/>
              </w:rPr>
              <w:t>合同</w:t>
            </w:r>
            <w:r>
              <w:rPr>
                <w:spacing w:val="-3"/>
                <w:sz w:val="21"/>
              </w:rPr>
              <w:t>订</w:t>
            </w:r>
            <w:r>
              <w:rPr>
                <w:sz w:val="21"/>
              </w:rPr>
              <w:t>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7"/>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line="300" w:lineRule="auto" w:before="15"/>
              <w:ind w:left="528" w:right="1389"/>
              <w:rPr>
                <w:sz w:val="21"/>
              </w:rPr>
            </w:pPr>
            <w:r>
              <w:rPr>
                <w:sz w:val="21"/>
              </w:rPr>
              <w:t>第五条</w:t>
              <w:tab/>
              <w:t>基</w:t>
            </w:r>
            <w:r>
              <w:rPr>
                <w:spacing w:val="-3"/>
                <w:sz w:val="21"/>
              </w:rPr>
              <w:t>本</w:t>
            </w:r>
            <w:r>
              <w:rPr>
                <w:sz w:val="21"/>
              </w:rPr>
              <w:t>保</w:t>
            </w:r>
            <w:r>
              <w:rPr>
                <w:spacing w:val="-3"/>
                <w:sz w:val="21"/>
              </w:rPr>
              <w:t>险</w:t>
            </w:r>
            <w:r>
              <w:rPr>
                <w:sz w:val="21"/>
              </w:rPr>
              <w:t>金</w:t>
            </w:r>
            <w:r>
              <w:rPr>
                <w:spacing w:val="-3"/>
                <w:sz w:val="21"/>
              </w:rPr>
              <w:t>额</w:t>
            </w:r>
            <w:r>
              <w:rPr>
                <w:sz w:val="21"/>
              </w:rPr>
              <w:t>变更 第六条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第七条</w:t>
              <w:tab/>
            </w:r>
            <w:r>
              <w:rPr>
                <w:spacing w:val="-1"/>
                <w:sz w:val="21"/>
              </w:rPr>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7"/>
              <w:ind w:left="528" w:right="117"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解除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w:t>
            </w:r>
            <w:r>
              <w:rPr>
                <w:spacing w:val="-3"/>
                <w:sz w:val="21"/>
              </w:rPr>
              <w:t>间</w:t>
            </w:r>
            <w:r>
              <w:rPr>
                <w:sz w:val="21"/>
              </w:rPr>
              <w:t>和</w:t>
            </w:r>
            <w:r>
              <w:rPr>
                <w:spacing w:val="-3"/>
                <w:sz w:val="21"/>
              </w:rPr>
              <w:t>保</w:t>
            </w:r>
            <w:r>
              <w:rPr>
                <w:sz w:val="21"/>
              </w:rPr>
              <w:t>证续保</w:t>
            </w:r>
          </w:p>
          <w:p>
            <w:pPr>
              <w:pStyle w:val="TableParagraph"/>
              <w:tabs>
                <w:tab w:pos="1579" w:val="left" w:leader="none"/>
              </w:tabs>
              <w:spacing w:line="300" w:lineRule="auto"/>
              <w:ind w:left="528" w:right="338"/>
              <w:rPr>
                <w:sz w:val="21"/>
              </w:rPr>
            </w:pPr>
            <w:r>
              <w:rPr>
                <w:sz w:val="21"/>
              </w:rPr>
              <w:t>第十条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r>
              <w:rPr>
                <w:spacing w:val="-3"/>
                <w:sz w:val="21"/>
              </w:rPr>
              <w:t>及</w:t>
            </w:r>
            <w:r>
              <w:rPr>
                <w:sz w:val="21"/>
              </w:rPr>
              <w:t>风险 第十</w:t>
            </w:r>
            <w:r>
              <w:rPr>
                <w:spacing w:val="-3"/>
                <w:sz w:val="21"/>
              </w:rPr>
              <w:t>一</w:t>
            </w:r>
            <w:r>
              <w:rPr>
                <w:sz w:val="21"/>
              </w:rPr>
              <w:t>条</w:t>
              <w:tab/>
              <w:t>附</w:t>
            </w:r>
            <w:r>
              <w:rPr>
                <w:spacing w:val="-3"/>
                <w:sz w:val="21"/>
              </w:rPr>
              <w:t>加</w:t>
            </w:r>
            <w:r>
              <w:rPr>
                <w:sz w:val="21"/>
              </w:rPr>
              <w:t>合</w:t>
            </w:r>
            <w:r>
              <w:rPr>
                <w:spacing w:val="-3"/>
                <w:sz w:val="21"/>
              </w:rPr>
              <w:t>同</w:t>
            </w:r>
            <w:r>
              <w:rPr>
                <w:sz w:val="21"/>
              </w:rPr>
              <w:t>终止</w:t>
            </w:r>
          </w:p>
          <w:p>
            <w:pPr>
              <w:pStyle w:val="TableParagraph"/>
              <w:tabs>
                <w:tab w:pos="1579" w:val="left" w:leader="none"/>
              </w:tabs>
              <w:spacing w:line="300" w:lineRule="auto" w:before="15"/>
              <w:ind w:left="528" w:right="1809" w:hanging="420"/>
              <w:rPr>
                <w:sz w:val="21"/>
              </w:rPr>
            </w:pPr>
            <w:r>
              <w:rPr>
                <w:b/>
                <w:sz w:val="21"/>
              </w:rPr>
              <w:t>第五章</w:t>
              <w:tab/>
              <w:t>保</w:t>
            </w:r>
            <w:r>
              <w:rPr>
                <w:b/>
                <w:spacing w:val="-3"/>
                <w:sz w:val="21"/>
              </w:rPr>
              <w:t>险</w:t>
            </w:r>
            <w:r>
              <w:rPr>
                <w:b/>
                <w:sz w:val="21"/>
              </w:rPr>
              <w:t>金</w:t>
            </w:r>
            <w:r>
              <w:rPr>
                <w:b/>
                <w:spacing w:val="-3"/>
                <w:sz w:val="21"/>
              </w:rPr>
              <w:t>申</w:t>
            </w:r>
            <w:r>
              <w:rPr>
                <w:b/>
                <w:sz w:val="21"/>
              </w:rPr>
              <w:t>请</w:t>
            </w:r>
            <w:r>
              <w:rPr>
                <w:sz w:val="21"/>
              </w:rPr>
              <w:t>第十</w:t>
            </w:r>
            <w:r>
              <w:rPr>
                <w:spacing w:val="-3"/>
                <w:sz w:val="21"/>
              </w:rPr>
              <w:t>二</w:t>
            </w:r>
            <w:r>
              <w:rPr>
                <w:sz w:val="21"/>
              </w:rPr>
              <w:t>条</w:t>
              <w:tab/>
              <w:t>保</w:t>
            </w:r>
            <w:r>
              <w:rPr>
                <w:spacing w:val="-3"/>
                <w:sz w:val="21"/>
              </w:rPr>
              <w:t>险</w:t>
            </w:r>
            <w:r>
              <w:rPr>
                <w:sz w:val="21"/>
              </w:rPr>
              <w:t>事</w:t>
            </w:r>
            <w:r>
              <w:rPr>
                <w:spacing w:val="-3"/>
                <w:sz w:val="21"/>
              </w:rPr>
              <w:t>故</w:t>
            </w:r>
            <w:r>
              <w:rPr>
                <w:sz w:val="21"/>
              </w:rPr>
              <w:t>通知 第十</w:t>
            </w:r>
            <w:r>
              <w:rPr>
                <w:spacing w:val="-3"/>
                <w:sz w:val="21"/>
              </w:rPr>
              <w:t>三</w:t>
            </w:r>
            <w:r>
              <w:rPr>
                <w:sz w:val="21"/>
              </w:rPr>
              <w:t>条</w:t>
              <w:tab/>
              <w:t>保</w:t>
            </w:r>
            <w:r>
              <w:rPr>
                <w:spacing w:val="-3"/>
                <w:sz w:val="21"/>
              </w:rPr>
              <w:t>险</w:t>
            </w:r>
            <w:r>
              <w:rPr>
                <w:sz w:val="21"/>
              </w:rPr>
              <w:t>金</w:t>
            </w:r>
            <w:r>
              <w:rPr>
                <w:spacing w:val="-3"/>
                <w:sz w:val="21"/>
              </w:rPr>
              <w:t>申</w:t>
            </w:r>
            <w:r>
              <w:rPr>
                <w:sz w:val="21"/>
              </w:rPr>
              <w:t>请 第十</w:t>
            </w:r>
            <w:r>
              <w:rPr>
                <w:spacing w:val="-3"/>
                <w:sz w:val="21"/>
              </w:rPr>
              <w:t>四</w:t>
            </w:r>
            <w:r>
              <w:rPr>
                <w:sz w:val="21"/>
              </w:rPr>
              <w:t>条</w:t>
              <w:tab/>
              <w:t>保</w:t>
            </w:r>
            <w:r>
              <w:rPr>
                <w:spacing w:val="-3"/>
                <w:sz w:val="21"/>
              </w:rPr>
              <w:t>险</w:t>
            </w:r>
            <w:r>
              <w:rPr>
                <w:sz w:val="21"/>
              </w:rPr>
              <w:t>金</w:t>
            </w:r>
            <w:r>
              <w:rPr>
                <w:spacing w:val="-3"/>
                <w:sz w:val="21"/>
              </w:rPr>
              <w:t>给</w:t>
            </w:r>
            <w:r>
              <w:rPr>
                <w:sz w:val="21"/>
              </w:rPr>
              <w:t>付 第十</w:t>
            </w:r>
            <w:r>
              <w:rPr>
                <w:spacing w:val="-3"/>
                <w:sz w:val="21"/>
              </w:rPr>
              <w:t>五</w:t>
            </w:r>
            <w:r>
              <w:rPr>
                <w:sz w:val="21"/>
              </w:rPr>
              <w:t>条</w:t>
              <w:tab/>
              <w:t>诉</w:t>
            </w:r>
            <w:r>
              <w:rPr>
                <w:spacing w:val="-3"/>
                <w:sz w:val="21"/>
              </w:rPr>
              <w:t>讼</w:t>
            </w:r>
            <w:r>
              <w:rPr>
                <w:sz w:val="21"/>
              </w:rPr>
              <w:t>时效</w:t>
            </w:r>
          </w:p>
          <w:p>
            <w:pPr>
              <w:pStyle w:val="TableParagraph"/>
              <w:tabs>
                <w:tab w:pos="1586" w:val="left" w:leader="none"/>
              </w:tabs>
              <w:spacing w:before="15"/>
              <w:rPr>
                <w:b/>
                <w:sz w:val="21"/>
              </w:rPr>
            </w:pPr>
            <w:r>
              <w:rPr>
                <w:b/>
                <w:sz w:val="21"/>
              </w:rPr>
              <w:t>第六章</w:t>
              <w:tab/>
              <w:t>一</w:t>
            </w:r>
            <w:r>
              <w:rPr>
                <w:b/>
                <w:spacing w:val="-3"/>
                <w:sz w:val="21"/>
              </w:rPr>
              <w:t>般</w:t>
            </w:r>
            <w:r>
              <w:rPr>
                <w:b/>
                <w:sz w:val="21"/>
              </w:rPr>
              <w:t>条款</w:t>
            </w:r>
          </w:p>
          <w:p>
            <w:pPr>
              <w:pStyle w:val="TableParagraph"/>
              <w:tabs>
                <w:tab w:pos="1579" w:val="left" w:leader="none"/>
              </w:tabs>
              <w:ind w:left="528"/>
              <w:rPr>
                <w:sz w:val="21"/>
              </w:rPr>
            </w:pPr>
            <w:r>
              <w:rPr>
                <w:sz w:val="21"/>
              </w:rPr>
              <w:t>第十</w:t>
            </w:r>
            <w:r>
              <w:rPr>
                <w:spacing w:val="-3"/>
                <w:sz w:val="21"/>
              </w:rPr>
              <w:t>六</w:t>
            </w:r>
            <w:r>
              <w:rPr>
                <w:sz w:val="21"/>
              </w:rPr>
              <w:t>条</w:t>
              <w:tab/>
              <w:t>明</w:t>
            </w:r>
            <w:r>
              <w:rPr>
                <w:spacing w:val="-3"/>
                <w:sz w:val="21"/>
              </w:rPr>
              <w:t>确</w:t>
            </w:r>
            <w:r>
              <w:rPr>
                <w:sz w:val="21"/>
              </w:rPr>
              <w:t>说</w:t>
            </w:r>
            <w:r>
              <w:rPr>
                <w:spacing w:val="-3"/>
                <w:sz w:val="21"/>
              </w:rPr>
              <w:t>明</w:t>
            </w:r>
            <w:r>
              <w:rPr>
                <w:sz w:val="21"/>
              </w:rPr>
              <w:t>与</w:t>
            </w:r>
            <w:r>
              <w:rPr>
                <w:spacing w:val="-3"/>
                <w:sz w:val="21"/>
              </w:rPr>
              <w:t>如</w:t>
            </w:r>
            <w:r>
              <w:rPr>
                <w:sz w:val="21"/>
              </w:rPr>
              <w:t>实告知</w:t>
            </w:r>
          </w:p>
          <w:p>
            <w:pPr>
              <w:pStyle w:val="TableParagraph"/>
              <w:tabs>
                <w:tab w:pos="1579" w:val="left" w:leader="none"/>
              </w:tabs>
              <w:spacing w:line="300" w:lineRule="auto" w:before="69"/>
              <w:ind w:left="528" w:right="758"/>
              <w:rPr>
                <w:sz w:val="21"/>
              </w:rPr>
            </w:pPr>
            <w:r>
              <w:rPr>
                <w:sz w:val="21"/>
              </w:rPr>
              <w:t>第十</w:t>
            </w:r>
            <w:r>
              <w:rPr>
                <w:spacing w:val="-3"/>
                <w:sz w:val="21"/>
              </w:rPr>
              <w:t>七</w:t>
            </w:r>
            <w:r>
              <w:rPr>
                <w:sz w:val="21"/>
              </w:rPr>
              <w:t>条</w:t>
              <w:tab/>
              <w:t>本</w:t>
            </w:r>
            <w:r>
              <w:rPr>
                <w:spacing w:val="-3"/>
                <w:sz w:val="21"/>
              </w:rPr>
              <w:t>公</w:t>
            </w:r>
            <w:r>
              <w:rPr>
                <w:sz w:val="21"/>
              </w:rPr>
              <w:t>司</w:t>
            </w:r>
            <w:r>
              <w:rPr>
                <w:spacing w:val="-3"/>
                <w:sz w:val="21"/>
              </w:rPr>
              <w:t>合</w:t>
            </w:r>
            <w:r>
              <w:rPr>
                <w:sz w:val="21"/>
              </w:rPr>
              <w:t>同</w:t>
            </w:r>
            <w:r>
              <w:rPr>
                <w:spacing w:val="-3"/>
                <w:sz w:val="21"/>
              </w:rPr>
              <w:t>解</w:t>
            </w:r>
            <w:r>
              <w:rPr>
                <w:sz w:val="21"/>
              </w:rPr>
              <w:t>除权</w:t>
            </w:r>
            <w:r>
              <w:rPr>
                <w:spacing w:val="-3"/>
                <w:sz w:val="21"/>
              </w:rPr>
              <w:t>的</w:t>
            </w:r>
            <w:r>
              <w:rPr>
                <w:sz w:val="21"/>
              </w:rPr>
              <w:t>限制 第十</w:t>
            </w:r>
            <w:r>
              <w:rPr>
                <w:spacing w:val="-3"/>
                <w:sz w:val="21"/>
              </w:rPr>
              <w:t>八</w:t>
            </w:r>
            <w:r>
              <w:rPr>
                <w:sz w:val="21"/>
              </w:rPr>
              <w:t>条</w:t>
              <w:tab/>
              <w:t>投</w:t>
            </w:r>
            <w:r>
              <w:rPr>
                <w:spacing w:val="-3"/>
                <w:sz w:val="21"/>
              </w:rPr>
              <w:t>保</w:t>
            </w:r>
            <w:r>
              <w:rPr>
                <w:sz w:val="21"/>
              </w:rPr>
              <w:t>年</w:t>
            </w:r>
            <w:r>
              <w:rPr>
                <w:spacing w:val="-3"/>
                <w:sz w:val="21"/>
              </w:rPr>
              <w:t>龄</w:t>
            </w:r>
            <w:r>
              <w:rPr>
                <w:sz w:val="21"/>
              </w:rPr>
              <w:t>范围</w:t>
            </w:r>
          </w:p>
          <w:p>
            <w:pPr>
              <w:pStyle w:val="TableParagraph"/>
              <w:tabs>
                <w:tab w:pos="1579" w:val="left" w:leader="none"/>
              </w:tabs>
              <w:spacing w:line="300" w:lineRule="auto" w:before="16"/>
              <w:ind w:left="528" w:right="2229"/>
              <w:rPr>
                <w:sz w:val="21"/>
              </w:rPr>
            </w:pPr>
            <w:r>
              <w:rPr>
                <w:sz w:val="21"/>
              </w:rPr>
              <w:t>第十</w:t>
            </w:r>
            <w:r>
              <w:rPr>
                <w:spacing w:val="-3"/>
                <w:sz w:val="21"/>
              </w:rPr>
              <w:t>九</w:t>
            </w:r>
            <w:r>
              <w:rPr>
                <w:sz w:val="21"/>
              </w:rPr>
              <w:t>条</w:t>
              <w:tab/>
              <w:t>年</w:t>
            </w:r>
            <w:r>
              <w:rPr>
                <w:spacing w:val="-3"/>
                <w:sz w:val="21"/>
              </w:rPr>
              <w:t>龄</w:t>
            </w:r>
            <w:r>
              <w:rPr>
                <w:sz w:val="21"/>
              </w:rPr>
              <w:t>错误 第二</w:t>
            </w:r>
            <w:r>
              <w:rPr>
                <w:spacing w:val="-3"/>
                <w:sz w:val="21"/>
              </w:rPr>
              <w:t>十</w:t>
            </w:r>
            <w:r>
              <w:rPr>
                <w:sz w:val="21"/>
              </w:rPr>
              <w:t>条</w:t>
              <w:tab/>
              <w:t>受</w:t>
            </w:r>
            <w:r>
              <w:rPr>
                <w:spacing w:val="-3"/>
                <w:sz w:val="21"/>
              </w:rPr>
              <w:t>益</w:t>
            </w:r>
            <w:r>
              <w:rPr>
                <w:sz w:val="21"/>
              </w:rPr>
              <w:t>人</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第七章</w:t>
              <w:tab/>
              <w:t>释义</w:t>
            </w:r>
            <w:r>
              <w:rPr>
                <w:sz w:val="21"/>
              </w:rPr>
              <w:t>第二</w:t>
            </w:r>
            <w:r>
              <w:rPr>
                <w:spacing w:val="-3"/>
                <w:sz w:val="21"/>
              </w:rPr>
              <w:t>十</w:t>
            </w:r>
            <w:r>
              <w:rPr>
                <w:sz w:val="21"/>
              </w:rPr>
              <w:t>一</w:t>
            </w:r>
            <w:r>
              <w:rPr>
                <w:spacing w:val="-3"/>
                <w:sz w:val="21"/>
              </w:rPr>
              <w:t>条</w:t>
            </w:r>
            <w:r>
              <w:rPr>
                <w:sz w:val="21"/>
              </w:rPr>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毒品</w:t>
            </w:r>
          </w:p>
          <w:p>
            <w:pPr>
              <w:pStyle w:val="TableParagraph"/>
              <w:tabs>
                <w:tab w:pos="1574" w:val="left" w:leader="none"/>
              </w:tabs>
              <w:ind w:left="523"/>
              <w:rPr>
                <w:sz w:val="21"/>
              </w:rPr>
            </w:pPr>
            <w:r>
              <w:rPr>
                <w:sz w:val="21"/>
              </w:rPr>
              <w:t>六</w:t>
              <w:tab/>
              <w:t>酒</w:t>
            </w:r>
            <w:r>
              <w:rPr>
                <w:spacing w:val="-3"/>
                <w:sz w:val="21"/>
              </w:rPr>
              <w:t>后</w:t>
            </w:r>
            <w:r>
              <w:rPr>
                <w:sz w:val="21"/>
              </w:rPr>
              <w:t>驾驶</w:t>
            </w:r>
          </w:p>
          <w:p>
            <w:pPr>
              <w:pStyle w:val="TableParagraph"/>
              <w:tabs>
                <w:tab w:pos="1574" w:val="left" w:leader="none"/>
              </w:tabs>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w:t>
              <w:tab/>
              <w:t>周岁</w:t>
            </w:r>
          </w:p>
          <w:p>
            <w:pPr>
              <w:pStyle w:val="TableParagraph"/>
              <w:tabs>
                <w:tab w:pos="1574" w:val="left" w:leader="none"/>
              </w:tabs>
              <w:ind w:left="523"/>
              <w:rPr>
                <w:sz w:val="21"/>
              </w:rPr>
            </w:pPr>
            <w:r>
              <w:rPr>
                <w:sz w:val="21"/>
              </w:rPr>
              <w:t>十一</w:t>
              <w:tab/>
              <w:t>专</w:t>
            </w:r>
            <w:r>
              <w:rPr>
                <w:spacing w:val="-3"/>
                <w:sz w:val="21"/>
              </w:rPr>
              <w:t>科</w:t>
            </w:r>
            <w:r>
              <w:rPr>
                <w:sz w:val="21"/>
              </w:rPr>
              <w:t>医生</w:t>
            </w:r>
          </w:p>
          <w:p>
            <w:pPr>
              <w:pStyle w:val="TableParagraph"/>
              <w:tabs>
                <w:tab w:pos="1574" w:val="left" w:leader="none"/>
              </w:tabs>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5" w:right="103" w:hanging="1052"/>
              <w:rPr>
                <w:sz w:val="21"/>
              </w:rPr>
            </w:pPr>
            <w:r>
              <w:rPr>
                <w:sz w:val="21"/>
              </w:rPr>
              <w:t>十三</w:t>
              <w:tab/>
              <w:tab/>
              <w:t>语言能力或咀嚼吞咽能力完全丧 失</w:t>
            </w:r>
          </w:p>
          <w:p>
            <w:pPr>
              <w:pStyle w:val="TableParagraph"/>
              <w:tabs>
                <w:tab w:pos="1574" w:val="left" w:leader="none"/>
              </w:tabs>
              <w:spacing w:line="300" w:lineRule="auto" w:before="16"/>
              <w:ind w:left="523" w:right="976"/>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477"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73" w:hRule="atLeast"/>
        </w:trPr>
        <w:tc>
          <w:tcPr>
            <w:tcW w:w="9373" w:type="dxa"/>
            <w:gridSpan w:val="3"/>
          </w:tcPr>
          <w:p>
            <w:pPr>
              <w:pStyle w:val="TableParagraph"/>
              <w:spacing w:before="133"/>
              <w:ind w:left="1574"/>
              <w:rPr>
                <w:b/>
                <w:sz w:val="21"/>
              </w:rPr>
            </w:pPr>
            <w:r>
              <w:rPr>
                <w:b/>
                <w:sz w:val="21"/>
              </w:rPr>
              <w:t>条款是保险合同的重要组成部分，请投保人、被保险人、受益人仔细阅读。</w:t>
            </w:r>
          </w:p>
        </w:tc>
      </w:tr>
      <w:tr>
        <w:trPr>
          <w:trHeight w:val="343" w:hRule="atLeast"/>
        </w:trPr>
        <w:tc>
          <w:tcPr>
            <w:tcW w:w="1071" w:type="dxa"/>
            <w:shd w:val="clear" w:color="auto" w:fill="C0C0C0"/>
          </w:tcPr>
          <w:p>
            <w:pPr>
              <w:pStyle w:val="TableParagraph"/>
              <w:spacing w:before="2"/>
              <w:rPr>
                <w:b/>
                <w:sz w:val="21"/>
              </w:rPr>
            </w:pPr>
            <w:r>
              <w:rPr>
                <w:b/>
                <w:sz w:val="21"/>
              </w:rPr>
              <w:t>第一章</w:t>
            </w:r>
          </w:p>
        </w:tc>
        <w:tc>
          <w:tcPr>
            <w:tcW w:w="8302" w:type="dxa"/>
            <w:gridSpan w:val="2"/>
            <w:shd w:val="clear" w:color="auto" w:fill="C0C0C0"/>
          </w:tcPr>
          <w:p>
            <w:pPr>
              <w:pStyle w:val="TableParagraph"/>
              <w:spacing w:before="2"/>
              <w:ind w:left="328"/>
              <w:rPr>
                <w:b/>
                <w:sz w:val="21"/>
              </w:rPr>
            </w:pPr>
            <w:r>
              <w:rPr>
                <w:b/>
                <w:sz w:val="21"/>
              </w:rPr>
              <w:t>附加保险合同订立</w:t>
            </w:r>
          </w:p>
        </w:tc>
      </w:tr>
      <w:tr>
        <w:trPr>
          <w:trHeight w:val="2059" w:hRule="atLeast"/>
        </w:trPr>
        <w:tc>
          <w:tcPr>
            <w:tcW w:w="1071" w:type="dxa"/>
          </w:tcPr>
          <w:p>
            <w:pPr>
              <w:pStyle w:val="TableParagraph"/>
              <w:spacing w:before="2"/>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line="300" w:lineRule="auto" w:before="2"/>
              <w:ind w:left="149" w:right="106"/>
              <w:jc w:val="both"/>
              <w:rPr>
                <w:sz w:val="21"/>
              </w:rPr>
            </w:pPr>
            <w:r>
              <w:rPr>
                <w:sz w:val="21"/>
              </w:rPr>
              <w:t>《中航三星附加额外给付重大疾病保险》合同（以下简称“本附加合同”），依主保险合同（以下简称“主合同”）投保人的申请，经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1" w:type="dxa"/>
            <w:shd w:val="clear" w:color="auto" w:fill="C0C0C0"/>
          </w:tcPr>
          <w:p>
            <w:pPr>
              <w:pStyle w:val="TableParagraph"/>
              <w:spacing w:before="2"/>
              <w:rPr>
                <w:b/>
                <w:sz w:val="21"/>
              </w:rPr>
            </w:pPr>
            <w:r>
              <w:rPr>
                <w:b/>
                <w:sz w:val="21"/>
              </w:rPr>
              <w:t>第二章</w:t>
            </w:r>
          </w:p>
        </w:tc>
        <w:tc>
          <w:tcPr>
            <w:tcW w:w="8302" w:type="dxa"/>
            <w:gridSpan w:val="2"/>
            <w:shd w:val="clear" w:color="auto" w:fill="C0C0C0"/>
          </w:tcPr>
          <w:p>
            <w:pPr>
              <w:pStyle w:val="TableParagraph"/>
              <w:spacing w:before="2"/>
              <w:ind w:left="328"/>
              <w:rPr>
                <w:b/>
                <w:sz w:val="21"/>
              </w:rPr>
            </w:pPr>
            <w:r>
              <w:rPr>
                <w:b/>
                <w:sz w:val="21"/>
              </w:rPr>
              <w:t>保险责任及责任免除</w:t>
            </w:r>
          </w:p>
        </w:tc>
      </w:tr>
      <w:tr>
        <w:trPr>
          <w:trHeight w:val="2917" w:hRule="atLeast"/>
        </w:trPr>
        <w:tc>
          <w:tcPr>
            <w:tcW w:w="1071" w:type="dxa"/>
          </w:tcPr>
          <w:p>
            <w:pPr>
              <w:pStyle w:val="TableParagraph"/>
              <w:spacing w:before="2"/>
              <w:rPr>
                <w:sz w:val="21"/>
              </w:rPr>
            </w:pPr>
            <w:r>
              <w:rPr>
                <w:sz w:val="21"/>
              </w:rPr>
              <w:t>第二条</w:t>
            </w:r>
          </w:p>
        </w:tc>
        <w:tc>
          <w:tcPr>
            <w:tcW w:w="1740" w:type="dxa"/>
          </w:tcPr>
          <w:p>
            <w:pPr>
              <w:pStyle w:val="TableParagraph"/>
              <w:spacing w:before="2"/>
              <w:ind w:left="328"/>
              <w:rPr>
                <w:sz w:val="21"/>
              </w:rPr>
            </w:pPr>
            <w:r>
              <w:rPr>
                <w:sz w:val="21"/>
              </w:rPr>
              <w:t>保险责任</w:t>
            </w:r>
          </w:p>
        </w:tc>
        <w:tc>
          <w:tcPr>
            <w:tcW w:w="6562" w:type="dxa"/>
          </w:tcPr>
          <w:p>
            <w:pPr>
              <w:pStyle w:val="TableParagraph"/>
              <w:spacing w:line="300" w:lineRule="auto" w:before="2"/>
              <w:ind w:left="149" w:right="102"/>
              <w:jc w:val="both"/>
              <w:rPr>
                <w:sz w:val="21"/>
              </w:rPr>
            </w:pPr>
            <w:r>
              <w:rPr>
                <w:spacing w:val="-13"/>
                <w:sz w:val="21"/>
              </w:rPr>
              <w:t>在本附加合同有效期内，若被保险人于主合同生效日起 </w:t>
            </w:r>
            <w:r>
              <w:rPr>
                <w:sz w:val="21"/>
              </w:rPr>
              <w:t>90</w:t>
            </w:r>
            <w:r>
              <w:rPr>
                <w:spacing w:val="-9"/>
                <w:sz w:val="21"/>
              </w:rPr>
              <w:t> 日后初次发</w:t>
            </w:r>
            <w:r>
              <w:rPr>
                <w:spacing w:val="-6"/>
                <w:sz w:val="21"/>
              </w:rPr>
              <w:t>病，并经</w:t>
            </w:r>
            <w:r>
              <w:rPr>
                <w:b/>
                <w:sz w:val="21"/>
              </w:rPr>
              <w:t>医院</w:t>
            </w:r>
            <w:r>
              <w:rPr>
                <w:sz w:val="21"/>
              </w:rPr>
              <w:t>（</w:t>
            </w:r>
            <w:r>
              <w:rPr>
                <w:spacing w:val="-3"/>
                <w:sz w:val="21"/>
              </w:rPr>
              <w:t>见释义二</w:t>
            </w:r>
            <w:r>
              <w:rPr>
                <w:sz w:val="21"/>
              </w:rPr>
              <w:t>）</w:t>
            </w:r>
            <w:r>
              <w:rPr>
                <w:spacing w:val="-3"/>
                <w:sz w:val="21"/>
              </w:rPr>
              <w:t>确诊患本附加合同所定义的</w:t>
            </w:r>
            <w:r>
              <w:rPr>
                <w:b/>
                <w:sz w:val="21"/>
              </w:rPr>
              <w:t>重大疾病</w:t>
            </w:r>
            <w:r>
              <w:rPr>
                <w:spacing w:val="-3"/>
                <w:sz w:val="21"/>
              </w:rPr>
              <w:t>（见</w:t>
            </w:r>
            <w:r>
              <w:rPr>
                <w:spacing w:val="-1"/>
                <w:sz w:val="21"/>
              </w:rPr>
              <w:t>释义三</w:t>
            </w:r>
            <w:r>
              <w:rPr>
                <w:sz w:val="21"/>
              </w:rPr>
              <w:t>）（</w:t>
            </w:r>
            <w:r>
              <w:rPr>
                <w:spacing w:val="-3"/>
                <w:sz w:val="21"/>
              </w:rPr>
              <w:t>无论一种或多种</w:t>
            </w:r>
            <w:r>
              <w:rPr>
                <w:sz w:val="21"/>
              </w:rPr>
              <w:t>）</w:t>
            </w:r>
            <w:r>
              <w:rPr>
                <w:spacing w:val="-3"/>
                <w:sz w:val="21"/>
              </w:rPr>
              <w:t>，本公司按本附加合同的基本保险金额给付重大疾病保险金，本附加合同终止。但因本附加合同有效期内发生的</w:t>
            </w:r>
            <w:r>
              <w:rPr>
                <w:b/>
                <w:sz w:val="21"/>
              </w:rPr>
              <w:t>意外伤害</w:t>
            </w:r>
            <w:r>
              <w:rPr>
                <w:spacing w:val="-3"/>
                <w:sz w:val="21"/>
              </w:rPr>
              <w:t>（见释义四</w:t>
            </w:r>
            <w:r>
              <w:rPr>
                <w:sz w:val="21"/>
              </w:rPr>
              <w:t>）</w:t>
            </w:r>
            <w:r>
              <w:rPr>
                <w:spacing w:val="-7"/>
                <w:sz w:val="21"/>
              </w:rPr>
              <w:t>导致重大疾病不受上述 </w:t>
            </w:r>
            <w:r>
              <w:rPr>
                <w:sz w:val="21"/>
              </w:rPr>
              <w:t>90</w:t>
            </w:r>
            <w:r>
              <w:rPr>
                <w:spacing w:val="-9"/>
                <w:sz w:val="21"/>
              </w:rPr>
              <w:t> 日的限制。</w:t>
            </w:r>
          </w:p>
          <w:p>
            <w:pPr>
              <w:pStyle w:val="TableParagraph"/>
              <w:spacing w:line="300" w:lineRule="auto" w:before="16"/>
              <w:ind w:left="149" w:right="-15"/>
              <w:rPr>
                <w:sz w:val="21"/>
              </w:rPr>
            </w:pPr>
            <w:r>
              <w:rPr>
                <w:spacing w:val="-5"/>
                <w:sz w:val="21"/>
              </w:rPr>
              <w:t>若被保险人于主合同生效日起 </w:t>
            </w:r>
            <w:r>
              <w:rPr>
                <w:sz w:val="21"/>
              </w:rPr>
              <w:t>90</w:t>
            </w:r>
            <w:r>
              <w:rPr>
                <w:spacing w:val="-6"/>
                <w:sz w:val="21"/>
              </w:rPr>
              <w:t> 日内发病并经医院确诊患本附加合</w:t>
            </w:r>
            <w:r>
              <w:rPr>
                <w:spacing w:val="-12"/>
                <w:sz w:val="21"/>
              </w:rPr>
              <w:t>同所定义的重大疾病，本公司无息返还本附加合同的累计已交保险费， </w:t>
            </w:r>
            <w:r>
              <w:rPr>
                <w:spacing w:val="-6"/>
                <w:sz w:val="21"/>
              </w:rPr>
              <w:t>本附加合同终止。</w:t>
            </w:r>
          </w:p>
        </w:tc>
      </w:tr>
      <w:tr>
        <w:trPr>
          <w:trHeight w:val="5254" w:hRule="atLeast"/>
        </w:trPr>
        <w:tc>
          <w:tcPr>
            <w:tcW w:w="1071" w:type="dxa"/>
          </w:tcPr>
          <w:p>
            <w:pPr>
              <w:pStyle w:val="TableParagraph"/>
              <w:spacing w:before="174"/>
              <w:rPr>
                <w:sz w:val="21"/>
              </w:rPr>
            </w:pPr>
            <w:r>
              <w:rPr>
                <w:sz w:val="21"/>
              </w:rPr>
              <w:t>第三条</w:t>
            </w:r>
          </w:p>
        </w:tc>
        <w:tc>
          <w:tcPr>
            <w:tcW w:w="1740" w:type="dxa"/>
          </w:tcPr>
          <w:p>
            <w:pPr>
              <w:pStyle w:val="TableParagraph"/>
              <w:spacing w:before="174"/>
              <w:ind w:left="328"/>
              <w:rPr>
                <w:sz w:val="21"/>
              </w:rPr>
            </w:pPr>
            <w:r>
              <w:rPr>
                <w:sz w:val="21"/>
              </w:rPr>
              <w:t>责任免除</w:t>
            </w:r>
          </w:p>
        </w:tc>
        <w:tc>
          <w:tcPr>
            <w:tcW w:w="6562" w:type="dxa"/>
          </w:tcPr>
          <w:p>
            <w:pPr>
              <w:pStyle w:val="TableParagraph"/>
              <w:spacing w:line="300" w:lineRule="auto" w:before="174"/>
              <w:ind w:left="149" w:right="102"/>
              <w:rPr>
                <w:sz w:val="21"/>
              </w:rPr>
            </w:pPr>
            <w:r>
              <w:rPr>
                <w:sz w:val="21"/>
              </w:rPr>
              <w:t>因下列情形之一被保险人患重大疾病、达到疾病状态或进行手术的， 本公司不承担保险责任：</w:t>
            </w:r>
          </w:p>
          <w:p>
            <w:pPr>
              <w:pStyle w:val="TableParagraph"/>
              <w:spacing w:before="16"/>
              <w:ind w:left="149"/>
              <w:rPr>
                <w:sz w:val="21"/>
              </w:rPr>
            </w:pPr>
            <w:r>
              <w:rPr>
                <w:sz w:val="21"/>
              </w:rPr>
              <w:t>一、投保人对被保险人的故意杀害、故意伤害；</w:t>
            </w:r>
          </w:p>
          <w:p>
            <w:pPr>
              <w:pStyle w:val="TableParagraph"/>
              <w:spacing w:line="300" w:lineRule="auto"/>
              <w:ind w:left="607" w:right="105" w:hanging="459"/>
              <w:rPr>
                <w:sz w:val="21"/>
              </w:rPr>
            </w:pPr>
            <w:r>
              <w:rPr>
                <w:sz w:val="21"/>
              </w:rPr>
              <w:t>二、被保险人故意自伤、故意犯罪或者抗拒依法采取的刑事强制措施；</w:t>
            </w:r>
          </w:p>
          <w:p>
            <w:pPr>
              <w:pStyle w:val="TableParagraph"/>
              <w:spacing w:before="15"/>
              <w:ind w:left="149"/>
              <w:rPr>
                <w:sz w:val="21"/>
              </w:rPr>
            </w:pPr>
            <w:r>
              <w:rPr>
                <w:sz w:val="21"/>
              </w:rPr>
              <w:t>三、被保险人主动吸食或注射</w:t>
            </w:r>
            <w:r>
              <w:rPr>
                <w:b/>
                <w:sz w:val="21"/>
              </w:rPr>
              <w:t>毒品</w:t>
            </w:r>
            <w:r>
              <w:rPr>
                <w:sz w:val="21"/>
              </w:rPr>
              <w:t>（见释义五）；</w:t>
            </w:r>
          </w:p>
          <w:p>
            <w:pPr>
              <w:pStyle w:val="TableParagraph"/>
              <w:spacing w:line="300" w:lineRule="auto"/>
              <w:ind w:left="607" w:right="60"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300" w:lineRule="auto" w:before="16"/>
              <w:ind w:left="149" w:right="69"/>
              <w:rPr>
                <w:sz w:val="21"/>
              </w:rPr>
            </w:pPr>
            <w:r>
              <w:rPr>
                <w:sz w:val="21"/>
              </w:rPr>
              <w:t>五、战争、军事冲突、暴乱或武装叛乱；核爆炸、核辐射或核污染； 六、</w:t>
            </w:r>
            <w:r>
              <w:rPr>
                <w:b/>
                <w:sz w:val="21"/>
              </w:rPr>
              <w:t>先天性畸形、变形或染色体异常</w:t>
            </w:r>
            <w:r>
              <w:rPr>
                <w:sz w:val="21"/>
              </w:rPr>
              <w:t>(见释义九)。</w:t>
            </w:r>
          </w:p>
          <w:p>
            <w:pPr>
              <w:pStyle w:val="TableParagraph"/>
              <w:spacing w:line="300" w:lineRule="auto" w:before="16"/>
              <w:ind w:left="149" w:right="104"/>
              <w:jc w:val="both"/>
              <w:rPr>
                <w:sz w:val="21"/>
              </w:rPr>
            </w:pPr>
            <w:r>
              <w:rPr>
                <w:sz w:val="21"/>
              </w:rPr>
              <w:t>发生上述第一项情形导致被保险人患重大疾病、达到疾病状态或进行手术的，本附加合同终止，本公司按《保险费退还比例表》向其他权利人比例退还本附加合同最近一期已交保险费。</w:t>
            </w:r>
          </w:p>
          <w:p>
            <w:pPr>
              <w:pStyle w:val="TableParagraph"/>
              <w:spacing w:before="15"/>
              <w:ind w:left="149"/>
              <w:rPr>
                <w:sz w:val="21"/>
              </w:rPr>
            </w:pPr>
            <w:r>
              <w:rPr>
                <w:sz w:val="21"/>
              </w:rPr>
              <w:t>发生上述其他情形导致被保险人患重大疾病、达到疾病状态或进行手</w:t>
            </w:r>
          </w:p>
          <w:p>
            <w:pPr>
              <w:pStyle w:val="TableParagraph"/>
              <w:spacing w:line="255" w:lineRule="exact"/>
              <w:ind w:left="149"/>
              <w:rPr>
                <w:sz w:val="21"/>
              </w:rPr>
            </w:pPr>
            <w:r>
              <w:rPr>
                <w:sz w:val="21"/>
              </w:rPr>
              <w:t>术的，本附加合同终止，本公司按《保险费退还比例表》向投保人比</w:t>
            </w:r>
          </w:p>
        </w:tc>
      </w:tr>
    </w:tbl>
    <w:p>
      <w:pPr>
        <w:spacing w:after="0" w:line="255" w:lineRule="exac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620"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ind w:left="149"/>
              <w:rPr>
                <w:sz w:val="21"/>
              </w:rPr>
            </w:pPr>
            <w:r>
              <w:rPr>
                <w:sz w:val="21"/>
              </w:rPr>
              <w:t>例退还本附加合同最近一期已交保险费。</w:t>
            </w:r>
          </w:p>
        </w:tc>
      </w:tr>
      <w:tr>
        <w:trPr>
          <w:trHeight w:val="343" w:hRule="atLeast"/>
        </w:trPr>
        <w:tc>
          <w:tcPr>
            <w:tcW w:w="1071" w:type="dxa"/>
            <w:shd w:val="clear" w:color="auto" w:fill="C0C0C0"/>
          </w:tcPr>
          <w:p>
            <w:pPr>
              <w:pStyle w:val="TableParagraph"/>
              <w:spacing w:before="2"/>
              <w:rPr>
                <w:b/>
                <w:sz w:val="21"/>
              </w:rPr>
            </w:pPr>
            <w:r>
              <w:rPr>
                <w:b/>
                <w:sz w:val="21"/>
              </w:rPr>
              <w:t>第三章</w:t>
            </w:r>
          </w:p>
        </w:tc>
        <w:tc>
          <w:tcPr>
            <w:tcW w:w="8302" w:type="dxa"/>
            <w:gridSpan w:val="2"/>
            <w:shd w:val="clear" w:color="auto" w:fill="C0C0C0"/>
          </w:tcPr>
          <w:p>
            <w:pPr>
              <w:pStyle w:val="TableParagraph"/>
              <w:spacing w:before="2"/>
              <w:ind w:left="328"/>
              <w:rPr>
                <w:b/>
                <w:sz w:val="21"/>
              </w:rPr>
            </w:pPr>
            <w:r>
              <w:rPr>
                <w:b/>
                <w:sz w:val="21"/>
              </w:rPr>
              <w:t>保险金额及保险费</w:t>
            </w:r>
          </w:p>
        </w:tc>
      </w:tr>
      <w:tr>
        <w:trPr>
          <w:trHeight w:val="857" w:hRule="atLeast"/>
        </w:trPr>
        <w:tc>
          <w:tcPr>
            <w:tcW w:w="1071" w:type="dxa"/>
          </w:tcPr>
          <w:p>
            <w:pPr>
              <w:pStyle w:val="TableParagraph"/>
              <w:spacing w:before="2"/>
              <w:rPr>
                <w:sz w:val="21"/>
              </w:rPr>
            </w:pPr>
            <w:r>
              <w:rPr>
                <w:sz w:val="21"/>
              </w:rPr>
              <w:t>第四条</w:t>
            </w:r>
          </w:p>
        </w:tc>
        <w:tc>
          <w:tcPr>
            <w:tcW w:w="1740" w:type="dxa"/>
          </w:tcPr>
          <w:p>
            <w:pPr>
              <w:pStyle w:val="TableParagraph"/>
              <w:spacing w:before="2"/>
              <w:ind w:left="328"/>
              <w:rPr>
                <w:sz w:val="21"/>
              </w:rPr>
            </w:pPr>
            <w:r>
              <w:rPr>
                <w:sz w:val="21"/>
              </w:rPr>
              <w:t>基本保险金额</w:t>
            </w:r>
          </w:p>
        </w:tc>
        <w:tc>
          <w:tcPr>
            <w:tcW w:w="6562" w:type="dxa"/>
          </w:tcPr>
          <w:p>
            <w:pPr>
              <w:pStyle w:val="TableParagraph"/>
              <w:spacing w:line="300" w:lineRule="auto" w:before="2"/>
              <w:ind w:left="149" w:right="313"/>
              <w:rPr>
                <w:sz w:val="21"/>
              </w:rPr>
            </w:pPr>
            <w:r>
              <w:rPr>
                <w:sz w:val="21"/>
              </w:rPr>
              <w:t>本附加合同的基本保险金额由投保人与本公司约定并于保险单上载明。</w:t>
            </w:r>
          </w:p>
        </w:tc>
      </w:tr>
      <w:tr>
        <w:trPr>
          <w:trHeight w:val="2059" w:hRule="atLeast"/>
        </w:trPr>
        <w:tc>
          <w:tcPr>
            <w:tcW w:w="1071" w:type="dxa"/>
          </w:tcPr>
          <w:p>
            <w:pPr>
              <w:pStyle w:val="TableParagraph"/>
              <w:spacing w:before="174"/>
              <w:rPr>
                <w:sz w:val="21"/>
              </w:rPr>
            </w:pPr>
            <w:r>
              <w:rPr>
                <w:sz w:val="21"/>
              </w:rPr>
              <w:t>第五条</w:t>
            </w:r>
          </w:p>
        </w:tc>
        <w:tc>
          <w:tcPr>
            <w:tcW w:w="1740" w:type="dxa"/>
          </w:tcPr>
          <w:p>
            <w:pPr>
              <w:pStyle w:val="TableParagraph"/>
              <w:spacing w:line="300" w:lineRule="auto" w:before="174"/>
              <w:ind w:left="328" w:right="146"/>
              <w:rPr>
                <w:sz w:val="21"/>
              </w:rPr>
            </w:pPr>
            <w:r>
              <w:rPr>
                <w:sz w:val="21"/>
              </w:rPr>
              <w:t>基本保险金额变更</w:t>
            </w:r>
          </w:p>
        </w:tc>
        <w:tc>
          <w:tcPr>
            <w:tcW w:w="6562" w:type="dxa"/>
          </w:tcPr>
          <w:p>
            <w:pPr>
              <w:pStyle w:val="TableParagraph"/>
              <w:spacing w:line="300" w:lineRule="auto" w:before="174"/>
              <w:ind w:left="149" w:right="105"/>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w:t>
            </w:r>
          </w:p>
          <w:p>
            <w:pPr>
              <w:pStyle w:val="TableParagraph"/>
              <w:spacing w:line="300" w:lineRule="auto" w:before="16"/>
              <w:ind w:left="149" w:right="105"/>
              <w:jc w:val="both"/>
              <w:rPr>
                <w:sz w:val="21"/>
              </w:rPr>
            </w:pPr>
            <w:r>
              <w:rPr>
                <w:sz w:val="21"/>
              </w:rPr>
              <w:t>基本保险金额变更后，本附加合同第二条“保险责任”中所指的基本保险金额均以变更后的基本保险金额为准。</w:t>
            </w:r>
          </w:p>
        </w:tc>
      </w:tr>
      <w:tr>
        <w:trPr>
          <w:trHeight w:val="1372" w:hRule="atLeast"/>
        </w:trPr>
        <w:tc>
          <w:tcPr>
            <w:tcW w:w="1071" w:type="dxa"/>
          </w:tcPr>
          <w:p>
            <w:pPr>
              <w:pStyle w:val="TableParagraph"/>
              <w:spacing w:before="174"/>
              <w:rPr>
                <w:sz w:val="21"/>
              </w:rPr>
            </w:pPr>
            <w:r>
              <w:rPr>
                <w:sz w:val="21"/>
              </w:rPr>
              <w:t>第六条</w:t>
            </w:r>
          </w:p>
        </w:tc>
        <w:tc>
          <w:tcPr>
            <w:tcW w:w="1740" w:type="dxa"/>
          </w:tcPr>
          <w:p>
            <w:pPr>
              <w:pStyle w:val="TableParagraph"/>
              <w:spacing w:before="174"/>
              <w:ind w:left="328"/>
              <w:rPr>
                <w:sz w:val="21"/>
              </w:rPr>
            </w:pPr>
            <w:r>
              <w:rPr>
                <w:sz w:val="21"/>
              </w:rPr>
              <w:t>保险费</w:t>
            </w:r>
          </w:p>
        </w:tc>
        <w:tc>
          <w:tcPr>
            <w:tcW w:w="6562" w:type="dxa"/>
          </w:tcPr>
          <w:p>
            <w:pPr>
              <w:pStyle w:val="TableParagraph"/>
              <w:spacing w:before="174"/>
              <w:ind w:left="149"/>
              <w:rPr>
                <w:sz w:val="21"/>
              </w:rPr>
            </w:pPr>
            <w:r>
              <w:rPr>
                <w:sz w:val="21"/>
              </w:rPr>
              <w:t>本附加合同的保险费按照基本保险金额和约定的费率标准确定。</w:t>
            </w:r>
          </w:p>
          <w:p>
            <w:pPr>
              <w:pStyle w:val="TableParagraph"/>
              <w:spacing w:line="300" w:lineRule="auto"/>
              <w:ind w:left="149" w:right="105"/>
              <w:rPr>
                <w:sz w:val="21"/>
              </w:rPr>
            </w:pPr>
            <w:r>
              <w:rPr>
                <w:sz w:val="21"/>
              </w:rPr>
              <w:t>本附加合同的保险费交付方式、交费日期与主合同一致，本附加合同的保险费应与主合同一并交付。</w:t>
            </w:r>
          </w:p>
        </w:tc>
      </w:tr>
      <w:tr>
        <w:trPr>
          <w:trHeight w:val="2917" w:hRule="atLeast"/>
        </w:trPr>
        <w:tc>
          <w:tcPr>
            <w:tcW w:w="1071" w:type="dxa"/>
          </w:tcPr>
          <w:p>
            <w:pPr>
              <w:pStyle w:val="TableParagraph"/>
              <w:spacing w:before="174"/>
              <w:rPr>
                <w:sz w:val="21"/>
              </w:rPr>
            </w:pPr>
            <w:r>
              <w:rPr>
                <w:sz w:val="21"/>
              </w:rPr>
              <w:t>第七条</w:t>
            </w:r>
          </w:p>
        </w:tc>
        <w:tc>
          <w:tcPr>
            <w:tcW w:w="1740" w:type="dxa"/>
          </w:tcPr>
          <w:p>
            <w:pPr>
              <w:pStyle w:val="TableParagraph"/>
              <w:spacing w:before="174"/>
              <w:ind w:left="328"/>
              <w:rPr>
                <w:sz w:val="21"/>
              </w:rPr>
            </w:pPr>
            <w:r>
              <w:rPr>
                <w:sz w:val="21"/>
              </w:rPr>
              <w:t>保险费率调整</w:t>
            </w:r>
          </w:p>
        </w:tc>
        <w:tc>
          <w:tcPr>
            <w:tcW w:w="6562" w:type="dxa"/>
          </w:tcPr>
          <w:p>
            <w:pPr>
              <w:pStyle w:val="TableParagraph"/>
              <w:spacing w:line="300" w:lineRule="auto" w:before="174"/>
              <w:ind w:left="149" w:right="105"/>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left="149" w:right="105"/>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left="149" w:right="107"/>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1" w:type="dxa"/>
            <w:shd w:val="clear" w:color="auto" w:fill="C0C0C0"/>
          </w:tcPr>
          <w:p>
            <w:pPr>
              <w:pStyle w:val="TableParagraph"/>
              <w:spacing w:before="2"/>
              <w:rPr>
                <w:b/>
                <w:sz w:val="21"/>
              </w:rPr>
            </w:pPr>
            <w:r>
              <w:rPr>
                <w:b/>
                <w:sz w:val="21"/>
              </w:rPr>
              <w:t>第四章</w:t>
            </w:r>
          </w:p>
        </w:tc>
        <w:tc>
          <w:tcPr>
            <w:tcW w:w="8302" w:type="dxa"/>
            <w:gridSpan w:val="2"/>
            <w:shd w:val="clear" w:color="auto" w:fill="C0C0C0"/>
          </w:tcPr>
          <w:p>
            <w:pPr>
              <w:pStyle w:val="TableParagraph"/>
              <w:spacing w:before="2"/>
              <w:ind w:left="328"/>
              <w:rPr>
                <w:b/>
                <w:sz w:val="21"/>
              </w:rPr>
            </w:pPr>
            <w:r>
              <w:rPr>
                <w:b/>
                <w:sz w:val="21"/>
              </w:rPr>
              <w:t>保险合同成立与生效、合同解除</w:t>
            </w:r>
          </w:p>
        </w:tc>
      </w:tr>
      <w:tr>
        <w:trPr>
          <w:trHeight w:val="2230" w:hRule="atLeast"/>
        </w:trPr>
        <w:tc>
          <w:tcPr>
            <w:tcW w:w="1071" w:type="dxa"/>
          </w:tcPr>
          <w:p>
            <w:pPr>
              <w:pStyle w:val="TableParagraph"/>
              <w:spacing w:before="2"/>
              <w:rPr>
                <w:sz w:val="21"/>
              </w:rPr>
            </w:pPr>
            <w:r>
              <w:rPr>
                <w:sz w:val="21"/>
              </w:rPr>
              <w:t>第八条</w:t>
            </w:r>
          </w:p>
        </w:tc>
        <w:tc>
          <w:tcPr>
            <w:tcW w:w="1740" w:type="dxa"/>
          </w:tcPr>
          <w:p>
            <w:pPr>
              <w:pStyle w:val="TableParagraph"/>
              <w:spacing w:line="300" w:lineRule="auto" w:before="2"/>
              <w:ind w:left="328" w:right="146"/>
              <w:rPr>
                <w:sz w:val="21"/>
              </w:rPr>
            </w:pPr>
            <w:r>
              <w:rPr>
                <w:sz w:val="21"/>
              </w:rPr>
              <w:t>保险合同成立与生效</w:t>
            </w:r>
          </w:p>
        </w:tc>
        <w:tc>
          <w:tcPr>
            <w:tcW w:w="6562" w:type="dxa"/>
          </w:tcPr>
          <w:p>
            <w:pPr>
              <w:pStyle w:val="TableParagraph"/>
              <w:spacing w:line="300" w:lineRule="auto" w:before="2"/>
              <w:ind w:left="149" w:right="105"/>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821" w:hRule="atLeast"/>
        </w:trPr>
        <w:tc>
          <w:tcPr>
            <w:tcW w:w="1071" w:type="dxa"/>
          </w:tcPr>
          <w:p>
            <w:pPr>
              <w:pStyle w:val="TableParagraph"/>
              <w:spacing w:before="174"/>
              <w:rPr>
                <w:sz w:val="21"/>
              </w:rPr>
            </w:pPr>
            <w:r>
              <w:rPr>
                <w:sz w:val="21"/>
              </w:rPr>
              <w:t>第九条</w:t>
            </w:r>
          </w:p>
        </w:tc>
        <w:tc>
          <w:tcPr>
            <w:tcW w:w="1740" w:type="dxa"/>
          </w:tcPr>
          <w:p>
            <w:pPr>
              <w:pStyle w:val="TableParagraph"/>
              <w:spacing w:line="300" w:lineRule="auto" w:before="174"/>
              <w:ind w:left="328" w:right="149"/>
              <w:rPr>
                <w:sz w:val="21"/>
              </w:rPr>
            </w:pPr>
            <w:r>
              <w:rPr>
                <w:sz w:val="21"/>
              </w:rPr>
              <w:t>保险期间和保证续保</w:t>
            </w:r>
          </w:p>
        </w:tc>
        <w:tc>
          <w:tcPr>
            <w:tcW w:w="6562" w:type="dxa"/>
          </w:tcPr>
          <w:p>
            <w:pPr>
              <w:pStyle w:val="TableParagraph"/>
              <w:spacing w:line="300" w:lineRule="auto" w:before="174"/>
              <w:ind w:left="149" w:right="105"/>
              <w:rPr>
                <w:sz w:val="21"/>
              </w:rPr>
            </w:pPr>
            <w:r>
              <w:rPr>
                <w:sz w:val="21"/>
              </w:rPr>
              <w:t>本附加合同的保险期间为一年，保险期间自本附加合同生效时起算。自主合同生效日起，每五个保险期间为一个保证续保期间。</w:t>
            </w:r>
          </w:p>
          <w:p>
            <w:pPr>
              <w:pStyle w:val="TableParagraph"/>
              <w:spacing w:before="15"/>
              <w:ind w:left="149"/>
              <w:rPr>
                <w:sz w:val="21"/>
              </w:rPr>
            </w:pPr>
            <w:r>
              <w:rPr>
                <w:sz w:val="21"/>
              </w:rPr>
              <w:t>在保证续保期间内，若投保人于每个保险期间届满前未提出不再续保</w:t>
            </w:r>
          </w:p>
          <w:p>
            <w:pPr>
              <w:pStyle w:val="TableParagraph"/>
              <w:spacing w:line="340" w:lineRule="atLeast" w:before="2"/>
              <w:ind w:left="149" w:right="-15"/>
              <w:rPr>
                <w:sz w:val="21"/>
              </w:rPr>
            </w:pPr>
            <w:r>
              <w:rPr>
                <w:spacing w:val="-3"/>
                <w:sz w:val="21"/>
              </w:rPr>
              <w:t>的要求，且向本公司继续交付续保保险费，则本附加合同将自动续保</w:t>
            </w:r>
            <w:r>
              <w:rPr>
                <w:spacing w:val="-12"/>
                <w:sz w:val="21"/>
              </w:rPr>
              <w:t>一年。但若于保证续保期间内每一保险期间届满前发生下列情形之一，</w:t>
            </w:r>
          </w:p>
        </w:tc>
      </w:tr>
    </w:tbl>
    <w:p>
      <w:pPr>
        <w:spacing w:after="0" w:line="340" w:lineRule="atLeas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77"/>
        <w:gridCol w:w="6521"/>
      </w:tblGrid>
      <w:tr>
        <w:trPr>
          <w:trHeight w:val="4217" w:hRule="atLeast"/>
        </w:trPr>
        <w:tc>
          <w:tcPr>
            <w:tcW w:w="1175" w:type="dxa"/>
          </w:tcPr>
          <w:p>
            <w:pPr>
              <w:pStyle w:val="TableParagraph"/>
              <w:spacing w:before="0"/>
              <w:ind w:left="0"/>
              <w:rPr>
                <w:rFonts w:ascii="Times New Roman"/>
                <w:sz w:val="20"/>
              </w:rPr>
            </w:pPr>
          </w:p>
        </w:tc>
        <w:tc>
          <w:tcPr>
            <w:tcW w:w="1677" w:type="dxa"/>
          </w:tcPr>
          <w:p>
            <w:pPr>
              <w:pStyle w:val="TableParagraph"/>
              <w:spacing w:before="0"/>
              <w:ind w:left="0"/>
              <w:rPr>
                <w:rFonts w:ascii="Times New Roman"/>
                <w:sz w:val="20"/>
              </w:rPr>
            </w:pPr>
          </w:p>
        </w:tc>
        <w:tc>
          <w:tcPr>
            <w:tcW w:w="6521" w:type="dxa"/>
          </w:tcPr>
          <w:p>
            <w:pPr>
              <w:pStyle w:val="TableParagraph"/>
              <w:spacing w:line="211" w:lineRule="exact" w:before="0"/>
              <w:jc w:val="both"/>
              <w:rPr>
                <w:sz w:val="21"/>
              </w:rPr>
            </w:pPr>
            <w:r>
              <w:rPr>
                <w:sz w:val="21"/>
              </w:rPr>
              <w:t>本附加合同自动不再接受续保：</w:t>
            </w:r>
          </w:p>
          <w:p>
            <w:pPr>
              <w:pStyle w:val="TableParagraph"/>
              <w:numPr>
                <w:ilvl w:val="0"/>
                <w:numId w:val="1"/>
              </w:numPr>
              <w:tabs>
                <w:tab w:pos="469" w:val="left" w:leader="none"/>
              </w:tabs>
              <w:spacing w:line="240" w:lineRule="auto" w:before="68" w:after="0"/>
              <w:ind w:left="468" w:right="0" w:hanging="360"/>
              <w:jc w:val="both"/>
              <w:rPr>
                <w:sz w:val="21"/>
              </w:rPr>
            </w:pPr>
            <w:r>
              <w:rPr>
                <w:spacing w:val="-9"/>
                <w:sz w:val="21"/>
              </w:rPr>
              <w:t>被保险人年满 </w:t>
            </w:r>
            <w:r>
              <w:rPr>
                <w:sz w:val="21"/>
              </w:rPr>
              <w:t>60</w:t>
            </w:r>
            <w:r>
              <w:rPr>
                <w:spacing w:val="-49"/>
                <w:sz w:val="21"/>
              </w:rPr>
              <w:t> </w:t>
            </w:r>
            <w:r>
              <w:rPr>
                <w:b/>
                <w:sz w:val="21"/>
              </w:rPr>
              <w:t>周岁</w:t>
            </w:r>
            <w:r>
              <w:rPr>
                <w:spacing w:val="-3"/>
                <w:sz w:val="21"/>
              </w:rPr>
              <w:t>(见释义十)；</w:t>
            </w:r>
          </w:p>
          <w:p>
            <w:pPr>
              <w:pStyle w:val="TableParagraph"/>
              <w:numPr>
                <w:ilvl w:val="0"/>
                <w:numId w:val="1"/>
              </w:numPr>
              <w:tabs>
                <w:tab w:pos="469" w:val="left" w:leader="none"/>
              </w:tabs>
              <w:spacing w:line="240" w:lineRule="auto" w:before="68" w:after="0"/>
              <w:ind w:left="468" w:right="0" w:hanging="360"/>
              <w:jc w:val="both"/>
              <w:rPr>
                <w:sz w:val="21"/>
              </w:rPr>
            </w:pPr>
            <w:r>
              <w:rPr>
                <w:spacing w:val="-3"/>
                <w:sz w:val="21"/>
              </w:rPr>
              <w:t>主合同交费期满或主合同已办理减额交清；</w:t>
            </w:r>
          </w:p>
          <w:p>
            <w:pPr>
              <w:pStyle w:val="TableParagraph"/>
              <w:numPr>
                <w:ilvl w:val="0"/>
                <w:numId w:val="1"/>
              </w:numPr>
              <w:tabs>
                <w:tab w:pos="469" w:val="left" w:leader="none"/>
              </w:tabs>
              <w:spacing w:line="240" w:lineRule="auto" w:before="68" w:after="0"/>
              <w:ind w:left="468" w:right="0" w:hanging="360"/>
              <w:jc w:val="both"/>
              <w:rPr>
                <w:sz w:val="21"/>
              </w:rPr>
            </w:pPr>
            <w:r>
              <w:rPr>
                <w:spacing w:val="-3"/>
                <w:sz w:val="21"/>
              </w:rPr>
              <w:t>主合同效力终止或中止；</w:t>
            </w:r>
          </w:p>
          <w:p>
            <w:pPr>
              <w:pStyle w:val="TableParagraph"/>
              <w:numPr>
                <w:ilvl w:val="0"/>
                <w:numId w:val="1"/>
              </w:numPr>
              <w:tabs>
                <w:tab w:pos="469" w:val="left" w:leader="none"/>
              </w:tabs>
              <w:spacing w:line="240" w:lineRule="auto" w:before="68" w:after="0"/>
              <w:ind w:left="468" w:right="0" w:hanging="360"/>
              <w:jc w:val="both"/>
              <w:rPr>
                <w:sz w:val="21"/>
              </w:rPr>
            </w:pPr>
            <w:r>
              <w:rPr>
                <w:spacing w:val="-3"/>
                <w:sz w:val="21"/>
              </w:rPr>
              <w:t>本附加合同效力终止。</w:t>
            </w:r>
          </w:p>
          <w:p>
            <w:pPr>
              <w:pStyle w:val="TableParagraph"/>
              <w:spacing w:line="300" w:lineRule="auto"/>
              <w:ind w:right="100"/>
              <w:jc w:val="both"/>
              <w:rPr>
                <w:sz w:val="21"/>
              </w:rPr>
            </w:pPr>
            <w:r>
              <w:rPr>
                <w:spacing w:val="-3"/>
                <w:sz w:val="21"/>
              </w:rPr>
              <w:t>在每个保证续保期间届满之前，本公司保留重新审核被保险人是否符合续保条件的权利，若本公司同意续保，投保人应于每个保证续保期间届满时，向本公司交付续保保险费，则本附加合同开始下一个保证</w:t>
            </w:r>
            <w:r>
              <w:rPr>
                <w:spacing w:val="-12"/>
                <w:sz w:val="21"/>
              </w:rPr>
              <w:t>续保期间。若本公司不同意续保，则在保险期间届满前 </w:t>
            </w:r>
            <w:r>
              <w:rPr>
                <w:sz w:val="21"/>
              </w:rPr>
              <w:t>30</w:t>
            </w:r>
            <w:r>
              <w:rPr>
                <w:spacing w:val="-14"/>
                <w:sz w:val="21"/>
              </w:rPr>
              <w:t> 日内，以书</w:t>
            </w:r>
            <w:r>
              <w:rPr>
                <w:spacing w:val="-7"/>
                <w:sz w:val="21"/>
              </w:rPr>
              <w:t>面形式通知投保人，保险期间届满，本附加合同终止。</w:t>
            </w:r>
          </w:p>
          <w:p>
            <w:pPr>
              <w:pStyle w:val="TableParagraph"/>
              <w:spacing w:line="300" w:lineRule="auto" w:before="16"/>
              <w:ind w:right="107"/>
              <w:rPr>
                <w:sz w:val="21"/>
              </w:rPr>
            </w:pPr>
            <w:r>
              <w:rPr>
                <w:sz w:val="21"/>
              </w:rPr>
              <w:t>续保时将根据续保生效当时被保险人的年龄、健康状况和费率表重新计算保险费。</w:t>
            </w:r>
          </w:p>
        </w:tc>
      </w:tr>
      <w:tr>
        <w:trPr>
          <w:trHeight w:val="2877" w:hRule="atLeast"/>
        </w:trPr>
        <w:tc>
          <w:tcPr>
            <w:tcW w:w="1175" w:type="dxa"/>
          </w:tcPr>
          <w:p>
            <w:pPr>
              <w:pStyle w:val="TableParagraph"/>
              <w:spacing w:before="166"/>
              <w:rPr>
                <w:sz w:val="21"/>
              </w:rPr>
            </w:pPr>
            <w:r>
              <w:rPr>
                <w:sz w:val="21"/>
              </w:rPr>
              <w:t>第十条</w:t>
            </w:r>
          </w:p>
        </w:tc>
        <w:tc>
          <w:tcPr>
            <w:tcW w:w="1677" w:type="dxa"/>
          </w:tcPr>
          <w:p>
            <w:pPr>
              <w:pStyle w:val="TableParagraph"/>
              <w:spacing w:line="273" w:lineRule="auto" w:before="166"/>
              <w:ind w:left="224" w:right="104"/>
              <w:jc w:val="both"/>
              <w:rPr>
                <w:sz w:val="21"/>
              </w:rPr>
            </w:pPr>
            <w:r>
              <w:rPr>
                <w:sz w:val="21"/>
              </w:rPr>
              <w:t>投保人解除合同的手续及风险</w:t>
            </w:r>
          </w:p>
        </w:tc>
        <w:tc>
          <w:tcPr>
            <w:tcW w:w="6521" w:type="dxa"/>
          </w:tcPr>
          <w:p>
            <w:pPr>
              <w:pStyle w:val="TableParagraph"/>
              <w:spacing w:line="273" w:lineRule="auto" w:before="166"/>
              <w:ind w:right="102"/>
              <w:rPr>
                <w:sz w:val="21"/>
              </w:rPr>
            </w:pPr>
            <w:r>
              <w:rPr>
                <w:sz w:val="21"/>
              </w:rPr>
              <w:t>在本附加合同保险期间内，如未发生保险金给付，投保人申请解除本附加合同，请填写解除合同申请书并向本公司提供下列资料：</w:t>
            </w:r>
          </w:p>
          <w:p>
            <w:pPr>
              <w:pStyle w:val="TableParagraph"/>
              <w:spacing w:before="7"/>
              <w:rPr>
                <w:sz w:val="21"/>
              </w:rPr>
            </w:pPr>
            <w:r>
              <w:rPr>
                <w:sz w:val="21"/>
              </w:rPr>
              <w:t>一、保险合同；</w:t>
            </w:r>
          </w:p>
          <w:p>
            <w:pPr>
              <w:pStyle w:val="TableParagraph"/>
              <w:spacing w:before="37"/>
              <w:rPr>
                <w:sz w:val="21"/>
              </w:rPr>
            </w:pPr>
            <w:r>
              <w:rPr>
                <w:sz w:val="21"/>
              </w:rPr>
              <w:t>二、投保人的有效身份证件。</w:t>
            </w:r>
          </w:p>
          <w:p>
            <w:pPr>
              <w:pStyle w:val="TableParagraph"/>
              <w:spacing w:line="273" w:lineRule="auto" w:before="37"/>
              <w:ind w:right="102"/>
              <w:jc w:val="both"/>
              <w:rPr>
                <w:sz w:val="21"/>
              </w:rPr>
            </w:pPr>
            <w:r>
              <w:rPr>
                <w:spacing w:val="-3"/>
                <w:sz w:val="21"/>
              </w:rPr>
              <w:t>自本公司收到解除合同申请书及上述文件时起，本附加合同终止。本</w:t>
            </w:r>
            <w:r>
              <w:rPr>
                <w:spacing w:val="-6"/>
                <w:sz w:val="21"/>
              </w:rPr>
              <w:t>公司于收到上述文件之日起 </w:t>
            </w:r>
            <w:r>
              <w:rPr>
                <w:sz w:val="21"/>
              </w:rPr>
              <w:t>30</w:t>
            </w:r>
            <w:r>
              <w:rPr>
                <w:spacing w:val="-14"/>
                <w:sz w:val="21"/>
              </w:rPr>
              <w:t> 日内按《保险费退还比例表》向投保人</w:t>
            </w:r>
            <w:r>
              <w:rPr>
                <w:spacing w:val="-3"/>
                <w:sz w:val="21"/>
              </w:rPr>
              <w:t>比例退还本附加合同最近一期已交保险费。</w:t>
            </w:r>
          </w:p>
          <w:p>
            <w:pPr>
              <w:pStyle w:val="TableParagraph"/>
              <w:spacing w:before="22"/>
              <w:jc w:val="both"/>
              <w:rPr>
                <w:sz w:val="21"/>
              </w:rPr>
            </w:pPr>
            <w:r>
              <w:rPr>
                <w:sz w:val="21"/>
              </w:rPr>
              <w:t>投保人解除合同会遭受一定损失。</w:t>
            </w:r>
          </w:p>
        </w:tc>
      </w:tr>
      <w:tr>
        <w:trPr>
          <w:trHeight w:val="1544" w:hRule="atLeast"/>
        </w:trPr>
        <w:tc>
          <w:tcPr>
            <w:tcW w:w="1175" w:type="dxa"/>
          </w:tcPr>
          <w:p>
            <w:pPr>
              <w:pStyle w:val="TableParagraph"/>
              <w:spacing w:before="174"/>
              <w:rPr>
                <w:sz w:val="21"/>
              </w:rPr>
            </w:pPr>
            <w:r>
              <w:rPr>
                <w:sz w:val="21"/>
              </w:rPr>
              <w:t>第十一条</w:t>
            </w:r>
          </w:p>
        </w:tc>
        <w:tc>
          <w:tcPr>
            <w:tcW w:w="1677" w:type="dxa"/>
          </w:tcPr>
          <w:p>
            <w:pPr>
              <w:pStyle w:val="TableParagraph"/>
              <w:spacing w:before="174"/>
              <w:ind w:left="224"/>
              <w:rPr>
                <w:sz w:val="21"/>
              </w:rPr>
            </w:pPr>
            <w:r>
              <w:rPr>
                <w:sz w:val="21"/>
              </w:rPr>
              <w:t>附加合同终止</w:t>
            </w:r>
          </w:p>
        </w:tc>
        <w:tc>
          <w:tcPr>
            <w:tcW w:w="6521" w:type="dxa"/>
          </w:tcPr>
          <w:p>
            <w:pPr>
              <w:pStyle w:val="TableParagraph"/>
              <w:spacing w:before="174"/>
              <w:rPr>
                <w:sz w:val="21"/>
              </w:rPr>
            </w:pPr>
            <w:r>
              <w:rPr>
                <w:sz w:val="21"/>
              </w:rPr>
              <w:t>发生下列情形之一时，本附加合同终止：</w:t>
            </w:r>
          </w:p>
          <w:p>
            <w:pPr>
              <w:pStyle w:val="TableParagraph"/>
              <w:spacing w:line="300" w:lineRule="auto"/>
              <w:ind w:right="486"/>
              <w:rPr>
                <w:sz w:val="21"/>
              </w:rPr>
            </w:pPr>
            <w:r>
              <w:rPr>
                <w:sz w:val="21"/>
              </w:rPr>
              <w:t>一、主合同交费期满、终止、效力中止或变更为减额交清保险； 二、主合同或本附加合同约定的其他终止情形。</w:t>
            </w:r>
          </w:p>
        </w:tc>
      </w:tr>
      <w:tr>
        <w:trPr>
          <w:trHeight w:val="343" w:hRule="atLeast"/>
        </w:trPr>
        <w:tc>
          <w:tcPr>
            <w:tcW w:w="1175" w:type="dxa"/>
            <w:shd w:val="clear" w:color="auto" w:fill="C0C0C0"/>
          </w:tcPr>
          <w:p>
            <w:pPr>
              <w:pStyle w:val="TableParagraph"/>
              <w:spacing w:before="2"/>
              <w:rPr>
                <w:b/>
                <w:sz w:val="21"/>
              </w:rPr>
            </w:pPr>
            <w:r>
              <w:rPr>
                <w:b/>
                <w:sz w:val="21"/>
              </w:rPr>
              <w:t>第五章</w:t>
            </w:r>
          </w:p>
        </w:tc>
        <w:tc>
          <w:tcPr>
            <w:tcW w:w="1677" w:type="dxa"/>
            <w:shd w:val="clear" w:color="auto" w:fill="C0C0C0"/>
          </w:tcPr>
          <w:p>
            <w:pPr>
              <w:pStyle w:val="TableParagraph"/>
              <w:spacing w:before="2"/>
              <w:ind w:left="224"/>
              <w:rPr>
                <w:b/>
                <w:sz w:val="21"/>
              </w:rPr>
            </w:pPr>
            <w:r>
              <w:rPr>
                <w:b/>
                <w:sz w:val="21"/>
              </w:rPr>
              <w:t>保险金申请</w:t>
            </w:r>
          </w:p>
        </w:tc>
        <w:tc>
          <w:tcPr>
            <w:tcW w:w="6521" w:type="dxa"/>
            <w:shd w:val="clear" w:color="auto" w:fill="C0C0C0"/>
          </w:tcPr>
          <w:p>
            <w:pPr>
              <w:pStyle w:val="TableParagraph"/>
              <w:spacing w:before="0"/>
              <w:ind w:left="0"/>
              <w:rPr>
                <w:rFonts w:ascii="Times New Roman"/>
                <w:sz w:val="20"/>
              </w:rPr>
            </w:pPr>
          </w:p>
        </w:tc>
      </w:tr>
      <w:tr>
        <w:trPr>
          <w:trHeight w:val="2230" w:hRule="atLeast"/>
        </w:trPr>
        <w:tc>
          <w:tcPr>
            <w:tcW w:w="1175" w:type="dxa"/>
          </w:tcPr>
          <w:p>
            <w:pPr>
              <w:pStyle w:val="TableParagraph"/>
              <w:spacing w:before="2"/>
              <w:rPr>
                <w:sz w:val="21"/>
              </w:rPr>
            </w:pPr>
            <w:r>
              <w:rPr>
                <w:sz w:val="21"/>
              </w:rPr>
              <w:t>第十二条</w:t>
            </w:r>
          </w:p>
        </w:tc>
        <w:tc>
          <w:tcPr>
            <w:tcW w:w="1677" w:type="dxa"/>
          </w:tcPr>
          <w:p>
            <w:pPr>
              <w:pStyle w:val="TableParagraph"/>
              <w:spacing w:before="2"/>
              <w:ind w:left="224"/>
              <w:rPr>
                <w:sz w:val="21"/>
              </w:rPr>
            </w:pPr>
            <w:r>
              <w:rPr>
                <w:sz w:val="21"/>
              </w:rPr>
              <w:t>保险事故通知</w:t>
            </w:r>
          </w:p>
        </w:tc>
        <w:tc>
          <w:tcPr>
            <w:tcW w:w="6521" w:type="dxa"/>
          </w:tcPr>
          <w:p>
            <w:pPr>
              <w:pStyle w:val="TableParagraph"/>
              <w:spacing w:before="2"/>
              <w:rPr>
                <w:sz w:val="21"/>
              </w:rPr>
            </w:pPr>
            <w:r>
              <w:rPr>
                <w:sz w:val="21"/>
              </w:rPr>
              <w:t>投保人或受益人知道保险事故后应当在 10 日内通知本公司。</w:t>
            </w:r>
          </w:p>
          <w:p>
            <w:pPr>
              <w:pStyle w:val="TableParagraph"/>
              <w:spacing w:line="300" w:lineRule="auto"/>
              <w:ind w:right="102"/>
              <w:jc w:val="both"/>
              <w:rPr>
                <w:sz w:val="21"/>
              </w:rPr>
            </w:pPr>
            <w:r>
              <w:rPr>
                <w:sz w:val="21"/>
              </w:rPr>
              <w:t>如果投保人和受益人故意或者因重大过失未及时通知，致使保险事故的性质、原因、损失程度等难以确定的，本公司对无法确定的部分， 不承担给付保险金的责任，但本公司通过其他途径已经及时知道或者应当及时知道保险事故发生或者虽未及时通知但不影响本公司确定保险事故的性质、原因、损失程度的除外。</w:t>
            </w:r>
          </w:p>
        </w:tc>
      </w:tr>
      <w:tr>
        <w:trPr>
          <w:trHeight w:val="1478" w:hRule="atLeast"/>
        </w:trPr>
        <w:tc>
          <w:tcPr>
            <w:tcW w:w="1175" w:type="dxa"/>
          </w:tcPr>
          <w:p>
            <w:pPr>
              <w:pStyle w:val="TableParagraph"/>
              <w:spacing w:before="174"/>
              <w:rPr>
                <w:sz w:val="21"/>
              </w:rPr>
            </w:pPr>
            <w:r>
              <w:rPr>
                <w:sz w:val="21"/>
              </w:rPr>
              <w:t>第十三条</w:t>
            </w:r>
          </w:p>
        </w:tc>
        <w:tc>
          <w:tcPr>
            <w:tcW w:w="1677" w:type="dxa"/>
          </w:tcPr>
          <w:p>
            <w:pPr>
              <w:pStyle w:val="TableParagraph"/>
              <w:spacing w:before="174"/>
              <w:ind w:left="224"/>
              <w:rPr>
                <w:sz w:val="21"/>
              </w:rPr>
            </w:pPr>
            <w:r>
              <w:rPr>
                <w:sz w:val="21"/>
              </w:rPr>
              <w:t>保险金申请</w:t>
            </w:r>
          </w:p>
        </w:tc>
        <w:tc>
          <w:tcPr>
            <w:tcW w:w="6521" w:type="dxa"/>
          </w:tcPr>
          <w:p>
            <w:pPr>
              <w:pStyle w:val="TableParagraph"/>
              <w:spacing w:line="300" w:lineRule="auto" w:before="174"/>
              <w:ind w:right="105"/>
              <w:rPr>
                <w:sz w:val="21"/>
              </w:rPr>
            </w:pPr>
            <w:r>
              <w:rPr>
                <w:sz w:val="21"/>
              </w:rPr>
              <w:t>在申请重大疾病保险金时，重大疾病保险金受益人须填写保险金给付申请书，并提供下列证明和资料：</w:t>
            </w:r>
          </w:p>
          <w:p>
            <w:pPr>
              <w:pStyle w:val="TableParagraph"/>
              <w:numPr>
                <w:ilvl w:val="0"/>
                <w:numId w:val="2"/>
              </w:numPr>
              <w:tabs>
                <w:tab w:pos="528" w:val="left" w:leader="none"/>
                <w:tab w:pos="529" w:val="left" w:leader="none"/>
              </w:tabs>
              <w:spacing w:line="240" w:lineRule="auto" w:before="15" w:after="0"/>
              <w:ind w:left="528" w:right="0" w:hanging="420"/>
              <w:jc w:val="left"/>
              <w:rPr>
                <w:sz w:val="21"/>
              </w:rPr>
            </w:pPr>
            <w:r>
              <w:rPr>
                <w:spacing w:val="-1"/>
                <w:sz w:val="21"/>
              </w:rPr>
              <w:t>保险合同；</w:t>
            </w:r>
          </w:p>
          <w:p>
            <w:pPr>
              <w:pStyle w:val="TableParagraph"/>
              <w:numPr>
                <w:ilvl w:val="0"/>
                <w:numId w:val="2"/>
              </w:numPr>
              <w:tabs>
                <w:tab w:pos="528" w:val="left" w:leader="none"/>
                <w:tab w:pos="529" w:val="left" w:leader="none"/>
              </w:tabs>
              <w:spacing w:line="255" w:lineRule="exact" w:before="67" w:after="0"/>
              <w:ind w:left="528" w:right="0" w:hanging="420"/>
              <w:jc w:val="left"/>
              <w:rPr>
                <w:sz w:val="21"/>
              </w:rPr>
            </w:pPr>
            <w:r>
              <w:rPr>
                <w:spacing w:val="-3"/>
                <w:sz w:val="21"/>
              </w:rPr>
              <w:t>重大疾病保险金受益人的有效身份证件；</w:t>
            </w:r>
          </w:p>
        </w:tc>
      </w:tr>
    </w:tbl>
    <w:p>
      <w:pPr>
        <w:spacing w:after="0" w:line="255" w:lineRule="exact"/>
        <w:jc w:val="lef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77"/>
        <w:gridCol w:w="6522"/>
      </w:tblGrid>
      <w:tr>
        <w:trPr>
          <w:trHeight w:val="2164" w:hRule="atLeast"/>
        </w:trPr>
        <w:tc>
          <w:tcPr>
            <w:tcW w:w="1175" w:type="dxa"/>
          </w:tcPr>
          <w:p>
            <w:pPr>
              <w:pStyle w:val="TableParagraph"/>
              <w:spacing w:before="0"/>
              <w:ind w:left="0"/>
              <w:rPr>
                <w:rFonts w:ascii="Times New Roman"/>
                <w:sz w:val="20"/>
              </w:rPr>
            </w:pPr>
          </w:p>
        </w:tc>
        <w:tc>
          <w:tcPr>
            <w:tcW w:w="1677" w:type="dxa"/>
          </w:tcPr>
          <w:p>
            <w:pPr>
              <w:pStyle w:val="TableParagraph"/>
              <w:spacing w:before="0"/>
              <w:ind w:left="0"/>
              <w:rPr>
                <w:rFonts w:ascii="Times New Roman"/>
                <w:sz w:val="20"/>
              </w:rPr>
            </w:pPr>
          </w:p>
        </w:tc>
        <w:tc>
          <w:tcPr>
            <w:tcW w:w="6522" w:type="dxa"/>
          </w:tcPr>
          <w:p>
            <w:pPr>
              <w:pStyle w:val="TableParagraph"/>
              <w:numPr>
                <w:ilvl w:val="0"/>
                <w:numId w:val="3"/>
              </w:numPr>
              <w:tabs>
                <w:tab w:pos="528" w:val="left" w:leader="none"/>
                <w:tab w:pos="529" w:val="left" w:leader="none"/>
              </w:tabs>
              <w:spacing w:line="211" w:lineRule="exact" w:before="0" w:after="0"/>
              <w:ind w:left="528" w:right="0" w:hanging="420"/>
              <w:jc w:val="left"/>
              <w:rPr>
                <w:sz w:val="21"/>
              </w:rPr>
            </w:pPr>
            <w:r>
              <w:rPr>
                <w:spacing w:val="-3"/>
                <w:sz w:val="21"/>
              </w:rPr>
              <w:t>医院出具的被保险人病历资料，诊断证明，病理、血液及其他科</w:t>
            </w:r>
          </w:p>
          <w:p>
            <w:pPr>
              <w:pStyle w:val="TableParagraph"/>
              <w:ind w:left="528"/>
              <w:rPr>
                <w:sz w:val="21"/>
              </w:rPr>
            </w:pPr>
            <w:r>
              <w:rPr>
                <w:sz w:val="21"/>
              </w:rPr>
              <w:t>学检验方法的检验报告；</w:t>
            </w:r>
          </w:p>
          <w:p>
            <w:pPr>
              <w:pStyle w:val="TableParagraph"/>
              <w:numPr>
                <w:ilvl w:val="0"/>
                <w:numId w:val="3"/>
              </w:numPr>
              <w:tabs>
                <w:tab w:pos="528" w:val="left" w:leader="none"/>
                <w:tab w:pos="529" w:val="left" w:leader="none"/>
              </w:tabs>
              <w:spacing w:line="300" w:lineRule="auto" w:before="68" w:after="0"/>
              <w:ind w:left="528" w:right="-15" w:hanging="420"/>
              <w:jc w:val="left"/>
              <w:rPr>
                <w:sz w:val="21"/>
              </w:rPr>
            </w:pPr>
            <w:r>
              <w:rPr>
                <w:spacing w:val="-7"/>
                <w:sz w:val="21"/>
              </w:rPr>
              <w:t>重大疾病保险金受益人所能提供的与确认保险事故的时间、性质、</w:t>
            </w:r>
            <w:r>
              <w:rPr>
                <w:spacing w:val="-5"/>
                <w:sz w:val="21"/>
              </w:rPr>
              <w:t>原因、损失程度等相关的其他证明和资料。</w:t>
            </w:r>
          </w:p>
          <w:p>
            <w:pPr>
              <w:pStyle w:val="TableParagraph"/>
              <w:spacing w:line="300" w:lineRule="auto" w:before="16"/>
              <w:ind w:right="103"/>
              <w:rPr>
                <w:sz w:val="21"/>
              </w:rPr>
            </w:pPr>
            <w:r>
              <w:rPr>
                <w:sz w:val="21"/>
              </w:rPr>
              <w:t>以上证明和资料不完整的，本公司将及时一次性通知申请人补充提供有关证明和资料。</w:t>
            </w:r>
          </w:p>
        </w:tc>
      </w:tr>
      <w:tr>
        <w:trPr>
          <w:trHeight w:val="4119" w:hRule="atLeast"/>
        </w:trPr>
        <w:tc>
          <w:tcPr>
            <w:tcW w:w="1175" w:type="dxa"/>
          </w:tcPr>
          <w:p>
            <w:pPr>
              <w:pStyle w:val="TableParagraph"/>
              <w:spacing w:before="174"/>
              <w:rPr>
                <w:sz w:val="21"/>
              </w:rPr>
            </w:pPr>
            <w:r>
              <w:rPr>
                <w:sz w:val="21"/>
              </w:rPr>
              <w:t>第十四条</w:t>
            </w:r>
          </w:p>
        </w:tc>
        <w:tc>
          <w:tcPr>
            <w:tcW w:w="1677" w:type="dxa"/>
          </w:tcPr>
          <w:p>
            <w:pPr>
              <w:pStyle w:val="TableParagraph"/>
              <w:spacing w:before="174"/>
              <w:ind w:left="224"/>
              <w:rPr>
                <w:sz w:val="21"/>
              </w:rPr>
            </w:pPr>
            <w:r>
              <w:rPr>
                <w:sz w:val="21"/>
              </w:rPr>
              <w:t>保险金给付</w:t>
            </w:r>
          </w:p>
        </w:tc>
        <w:tc>
          <w:tcPr>
            <w:tcW w:w="6522" w:type="dxa"/>
          </w:tcPr>
          <w:p>
            <w:pPr>
              <w:pStyle w:val="TableParagraph"/>
              <w:spacing w:line="300" w:lineRule="auto" w:before="174"/>
              <w:ind w:right="106"/>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right="202"/>
              <w:rPr>
                <w:sz w:val="21"/>
              </w:rPr>
            </w:pPr>
            <w:r>
              <w:rPr>
                <w:sz w:val="21"/>
              </w:rPr>
              <w:t>对属于保险责任的，本公司在与受益人达成给付保险金的协议后 10 日内，履行给付保险金义务。</w:t>
            </w:r>
          </w:p>
          <w:p>
            <w:pPr>
              <w:pStyle w:val="TableParagraph"/>
              <w:spacing w:line="300" w:lineRule="auto" w:before="16"/>
              <w:ind w:right="106"/>
              <w:jc w:val="both"/>
              <w:rPr>
                <w:sz w:val="21"/>
              </w:rPr>
            </w:pPr>
            <w:r>
              <w:rPr>
                <w:sz w:val="21"/>
              </w:rPr>
              <w:t>本公司未及时履行前款规定义务的，除支付保险金外，应当赔偿受益人因此受到的损失。</w:t>
            </w:r>
          </w:p>
          <w:p>
            <w:pPr>
              <w:pStyle w:val="TableParagraph"/>
              <w:spacing w:line="300" w:lineRule="auto" w:before="16"/>
              <w:ind w:right="106"/>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right="101"/>
              <w:jc w:val="both"/>
              <w:rPr>
                <w:sz w:val="21"/>
              </w:rPr>
            </w:pPr>
            <w:r>
              <w:rPr>
                <w:spacing w:val="-6"/>
                <w:sz w:val="21"/>
              </w:rPr>
              <w:t>本公司在收到有关证明和资料之日起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201" w:hRule="atLeast"/>
        </w:trPr>
        <w:tc>
          <w:tcPr>
            <w:tcW w:w="1175" w:type="dxa"/>
          </w:tcPr>
          <w:p>
            <w:pPr>
              <w:pStyle w:val="TableParagraph"/>
              <w:spacing w:before="174"/>
              <w:rPr>
                <w:sz w:val="21"/>
              </w:rPr>
            </w:pPr>
            <w:r>
              <w:rPr>
                <w:sz w:val="21"/>
              </w:rPr>
              <w:t>第十五条</w:t>
            </w:r>
          </w:p>
        </w:tc>
        <w:tc>
          <w:tcPr>
            <w:tcW w:w="1677" w:type="dxa"/>
          </w:tcPr>
          <w:p>
            <w:pPr>
              <w:pStyle w:val="TableParagraph"/>
              <w:spacing w:before="174"/>
              <w:ind w:left="224"/>
              <w:rPr>
                <w:sz w:val="21"/>
              </w:rPr>
            </w:pPr>
            <w:r>
              <w:rPr>
                <w:sz w:val="21"/>
              </w:rPr>
              <w:t>诉讼时效</w:t>
            </w:r>
          </w:p>
        </w:tc>
        <w:tc>
          <w:tcPr>
            <w:tcW w:w="6522" w:type="dxa"/>
          </w:tcPr>
          <w:p>
            <w:pPr>
              <w:pStyle w:val="TableParagraph"/>
              <w:spacing w:line="300" w:lineRule="auto" w:before="174"/>
              <w:ind w:right="106"/>
              <w:rPr>
                <w:sz w:val="21"/>
              </w:rPr>
            </w:pPr>
            <w:r>
              <w:rPr>
                <w:sz w:val="21"/>
              </w:rPr>
              <w:t>被保险人或受益人向本公司请求给付重大疾病保险金的诉讼时效期间为 2 年，自其知道或者应当知道保险事故发生之日起计算。</w:t>
            </w:r>
          </w:p>
        </w:tc>
      </w:tr>
      <w:tr>
        <w:trPr>
          <w:trHeight w:val="343" w:hRule="atLeast"/>
        </w:trPr>
        <w:tc>
          <w:tcPr>
            <w:tcW w:w="1175" w:type="dxa"/>
            <w:shd w:val="clear" w:color="auto" w:fill="C0C0C0"/>
          </w:tcPr>
          <w:p>
            <w:pPr>
              <w:pStyle w:val="TableParagraph"/>
              <w:spacing w:before="2"/>
              <w:rPr>
                <w:b/>
                <w:sz w:val="21"/>
              </w:rPr>
            </w:pPr>
            <w:r>
              <w:rPr>
                <w:b/>
                <w:sz w:val="21"/>
              </w:rPr>
              <w:t>第六章</w:t>
            </w:r>
          </w:p>
        </w:tc>
        <w:tc>
          <w:tcPr>
            <w:tcW w:w="1677" w:type="dxa"/>
            <w:shd w:val="clear" w:color="auto" w:fill="C0C0C0"/>
          </w:tcPr>
          <w:p>
            <w:pPr>
              <w:pStyle w:val="TableParagraph"/>
              <w:spacing w:before="2"/>
              <w:ind w:left="224"/>
              <w:rPr>
                <w:b/>
                <w:sz w:val="21"/>
              </w:rPr>
            </w:pPr>
            <w:r>
              <w:rPr>
                <w:b/>
                <w:sz w:val="21"/>
              </w:rPr>
              <w:t>一般条款</w:t>
            </w:r>
          </w:p>
        </w:tc>
        <w:tc>
          <w:tcPr>
            <w:tcW w:w="6522" w:type="dxa"/>
            <w:shd w:val="clear" w:color="auto" w:fill="C0C0C0"/>
          </w:tcPr>
          <w:p>
            <w:pPr>
              <w:pStyle w:val="TableParagraph"/>
              <w:spacing w:before="0"/>
              <w:ind w:left="0"/>
              <w:rPr>
                <w:rFonts w:ascii="Times New Roman"/>
                <w:sz w:val="20"/>
              </w:rPr>
            </w:pPr>
          </w:p>
        </w:tc>
      </w:tr>
      <w:tr>
        <w:trPr>
          <w:trHeight w:val="4943" w:hRule="atLeast"/>
        </w:trPr>
        <w:tc>
          <w:tcPr>
            <w:tcW w:w="1175" w:type="dxa"/>
          </w:tcPr>
          <w:p>
            <w:pPr>
              <w:pStyle w:val="TableParagraph"/>
              <w:spacing w:line="262" w:lineRule="exact" w:before="0"/>
              <w:rPr>
                <w:sz w:val="21"/>
              </w:rPr>
            </w:pPr>
            <w:r>
              <w:rPr>
                <w:sz w:val="21"/>
              </w:rPr>
              <w:t>第十六条</w:t>
            </w:r>
          </w:p>
        </w:tc>
        <w:tc>
          <w:tcPr>
            <w:tcW w:w="1677" w:type="dxa"/>
          </w:tcPr>
          <w:p>
            <w:pPr>
              <w:pStyle w:val="TableParagraph"/>
              <w:spacing w:line="273" w:lineRule="auto" w:before="0"/>
              <w:ind w:left="224" w:right="104"/>
              <w:rPr>
                <w:sz w:val="21"/>
              </w:rPr>
            </w:pPr>
            <w:r>
              <w:rPr>
                <w:sz w:val="21"/>
              </w:rPr>
              <w:t>明确说明与如实告知</w:t>
            </w:r>
          </w:p>
        </w:tc>
        <w:tc>
          <w:tcPr>
            <w:tcW w:w="6522" w:type="dxa"/>
          </w:tcPr>
          <w:p>
            <w:pPr>
              <w:pStyle w:val="TableParagraph"/>
              <w:spacing w:line="262" w:lineRule="exact" w:before="0"/>
              <w:rPr>
                <w:sz w:val="21"/>
              </w:rPr>
            </w:pPr>
            <w:r>
              <w:rPr>
                <w:sz w:val="21"/>
              </w:rPr>
              <w:t>订立本附加合同时，本公司应向投保人说明本附加合同的内容。</w:t>
            </w:r>
          </w:p>
          <w:p>
            <w:pPr>
              <w:pStyle w:val="TableParagraph"/>
              <w:spacing w:line="273" w:lineRule="auto" w:before="37"/>
              <w:ind w:right="106"/>
              <w:jc w:val="both"/>
              <w:rPr>
                <w:sz w:val="21"/>
              </w:rPr>
            </w:pPr>
            <w:r>
              <w:rPr>
                <w:sz w:val="21"/>
              </w:rPr>
              <w:t>对保险条款中免除本公司责任的条款，本公司在订立合同时应当在投保单、保险单或者其他保险凭证上作出足以引起投保人注意的提示， 并对该条款的内容以书面或者口头形式向投保人作出明确说明，未作提示或者明确说明的，该条款不产生效力。</w:t>
            </w:r>
          </w:p>
          <w:p>
            <w:pPr>
              <w:pStyle w:val="TableParagraph"/>
              <w:spacing w:line="273" w:lineRule="auto" w:before="7"/>
              <w:ind w:right="106"/>
              <w:jc w:val="both"/>
              <w:rPr>
                <w:sz w:val="21"/>
              </w:rPr>
            </w:pPr>
            <w:r>
              <w:rPr>
                <w:sz w:val="21"/>
              </w:rPr>
              <w:t>本公司就投保人和被保险人的有关情况提出询问，投保人应当如实告知。</w:t>
            </w:r>
          </w:p>
          <w:p>
            <w:pPr>
              <w:pStyle w:val="TableParagraph"/>
              <w:spacing w:line="273" w:lineRule="auto" w:before="7"/>
              <w:ind w:right="106"/>
              <w:jc w:val="both"/>
              <w:rPr>
                <w:sz w:val="21"/>
              </w:rPr>
            </w:pPr>
            <w:r>
              <w:rPr>
                <w:sz w:val="21"/>
              </w:rPr>
              <w:t>如果投保人故意或者因重大过失未履行前款规定的如实告知义务，足以影响本公司决定是否同意承保或者提高保险费率的，本公司有权解除本附加合同。</w:t>
            </w:r>
          </w:p>
          <w:p>
            <w:pPr>
              <w:pStyle w:val="TableParagraph"/>
              <w:spacing w:line="273" w:lineRule="auto" w:before="8"/>
              <w:ind w:right="106"/>
              <w:jc w:val="both"/>
              <w:rPr>
                <w:sz w:val="21"/>
              </w:rPr>
            </w:pPr>
            <w:r>
              <w:rPr>
                <w:sz w:val="21"/>
              </w:rPr>
              <w:t>如果投保人故意不履行如实告知义务，对于本附加合同解除前发生的保险事故，本公司不承担给付保险金的责任，并不退还保险费。</w:t>
            </w:r>
          </w:p>
          <w:p>
            <w:pPr>
              <w:pStyle w:val="TableParagraph"/>
              <w:spacing w:line="312" w:lineRule="exact" w:before="3"/>
              <w:ind w:right="106"/>
              <w:jc w:val="both"/>
              <w:rPr>
                <w:sz w:val="21"/>
              </w:rPr>
            </w:pPr>
            <w:r>
              <w:rPr>
                <w:sz w:val="21"/>
              </w:rPr>
              <w:t>如果投保人因重大过失未履行如实告知义务，对保险事故的发生有严重影响的，对于本附加合同解除前发生的保险事故，本公司不承担给付保险金的责任，但会无息退还本附加合同保险期间内已交保险费。本公司在合同订立时已经知道投保人未如实告知情况的，本公司不得</w:t>
            </w:r>
          </w:p>
        </w:tc>
      </w:tr>
    </w:tbl>
    <w:p>
      <w:pPr>
        <w:spacing w:after="0" w:line="312" w:lineRule="exact"/>
        <w:jc w:val="both"/>
        <w:rPr>
          <w:sz w:val="21"/>
        </w:rPr>
        <w:sectPr>
          <w:pgSz w:w="11910" w:h="16840"/>
          <w:pgMar w:header="0" w:footer="919" w:top="1580" w:bottom="1100" w:left="1180" w:right="1140"/>
        </w:sectPr>
      </w:pPr>
    </w:p>
    <w:p>
      <w:pPr>
        <w:pStyle w:val="BodyText"/>
        <w:rPr>
          <w:rFonts w:ascii="Times New Roman"/>
          <w:sz w:val="20"/>
        </w:rPr>
      </w:pPr>
    </w:p>
    <w:p>
      <w:pPr>
        <w:pStyle w:val="BodyText"/>
        <w:spacing w:before="1"/>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1"/>
        <w:gridCol w:w="1572"/>
        <w:gridCol w:w="6522"/>
      </w:tblGrid>
      <w:tr>
        <w:trPr>
          <w:trHeight w:val="417" w:hRule="atLeast"/>
        </w:trPr>
        <w:tc>
          <w:tcPr>
            <w:tcW w:w="1281" w:type="dxa"/>
          </w:tcPr>
          <w:p>
            <w:pPr>
              <w:pStyle w:val="TableParagraph"/>
              <w:spacing w:before="0"/>
              <w:ind w:left="0"/>
              <w:rPr>
                <w:rFonts w:ascii="Times New Roman"/>
                <w:sz w:val="20"/>
              </w:rPr>
            </w:pPr>
          </w:p>
        </w:tc>
        <w:tc>
          <w:tcPr>
            <w:tcW w:w="1572" w:type="dxa"/>
          </w:tcPr>
          <w:p>
            <w:pPr>
              <w:pStyle w:val="TableParagraph"/>
              <w:spacing w:before="0"/>
              <w:ind w:left="0"/>
              <w:rPr>
                <w:rFonts w:ascii="Times New Roman"/>
                <w:sz w:val="20"/>
              </w:rPr>
            </w:pPr>
          </w:p>
        </w:tc>
        <w:tc>
          <w:tcPr>
            <w:tcW w:w="6522" w:type="dxa"/>
          </w:tcPr>
          <w:p>
            <w:pPr>
              <w:pStyle w:val="TableParagraph"/>
              <w:spacing w:line="211" w:lineRule="exact" w:before="0"/>
              <w:ind w:left="107"/>
              <w:rPr>
                <w:sz w:val="21"/>
              </w:rPr>
            </w:pPr>
            <w:r>
              <w:rPr>
                <w:sz w:val="21"/>
              </w:rPr>
              <w:t>解除合同；发生保险事故的，本公司承担给付保险金的责任。</w:t>
            </w:r>
          </w:p>
        </w:tc>
      </w:tr>
      <w:tr>
        <w:trPr>
          <w:trHeight w:val="1012" w:hRule="atLeast"/>
        </w:trPr>
        <w:tc>
          <w:tcPr>
            <w:tcW w:w="1281" w:type="dxa"/>
          </w:tcPr>
          <w:p>
            <w:pPr>
              <w:pStyle w:val="TableParagraph"/>
              <w:spacing w:before="142"/>
              <w:rPr>
                <w:sz w:val="21"/>
              </w:rPr>
            </w:pPr>
            <w:r>
              <w:rPr>
                <w:sz w:val="21"/>
              </w:rPr>
              <w:t>第十七条</w:t>
            </w:r>
          </w:p>
        </w:tc>
        <w:tc>
          <w:tcPr>
            <w:tcW w:w="1572" w:type="dxa"/>
          </w:tcPr>
          <w:p>
            <w:pPr>
              <w:pStyle w:val="TableParagraph"/>
              <w:spacing w:line="273" w:lineRule="auto" w:before="142"/>
              <w:ind w:left="118" w:right="105"/>
              <w:rPr>
                <w:sz w:val="21"/>
              </w:rPr>
            </w:pPr>
            <w:r>
              <w:rPr>
                <w:sz w:val="21"/>
              </w:rPr>
              <w:t>本公司合同解除权的限制</w:t>
            </w:r>
          </w:p>
        </w:tc>
        <w:tc>
          <w:tcPr>
            <w:tcW w:w="6522" w:type="dxa"/>
          </w:tcPr>
          <w:p>
            <w:pPr>
              <w:pStyle w:val="TableParagraph"/>
              <w:spacing w:line="300" w:lineRule="auto" w:before="157"/>
              <w:ind w:left="107" w:right="102"/>
              <w:rPr>
                <w:sz w:val="21"/>
              </w:rPr>
            </w:pPr>
            <w:r>
              <w:rPr>
                <w:sz w:val="21"/>
              </w:rPr>
              <w:t>前条规定的合同解除权，自本公司知道有解除事由之日起，超过 30 日不行使而消灭。</w:t>
            </w:r>
          </w:p>
        </w:tc>
      </w:tr>
      <w:tr>
        <w:trPr>
          <w:trHeight w:val="1029" w:hRule="atLeast"/>
        </w:trPr>
        <w:tc>
          <w:tcPr>
            <w:tcW w:w="1281" w:type="dxa"/>
          </w:tcPr>
          <w:p>
            <w:pPr>
              <w:pStyle w:val="TableParagraph"/>
              <w:spacing w:before="174"/>
              <w:rPr>
                <w:sz w:val="21"/>
              </w:rPr>
            </w:pPr>
            <w:r>
              <w:rPr>
                <w:sz w:val="21"/>
              </w:rPr>
              <w:t>第十八条</w:t>
            </w:r>
          </w:p>
        </w:tc>
        <w:tc>
          <w:tcPr>
            <w:tcW w:w="1572" w:type="dxa"/>
          </w:tcPr>
          <w:p>
            <w:pPr>
              <w:pStyle w:val="TableParagraph"/>
              <w:spacing w:before="174"/>
              <w:ind w:left="118"/>
              <w:rPr>
                <w:sz w:val="21"/>
              </w:rPr>
            </w:pPr>
            <w:r>
              <w:rPr>
                <w:sz w:val="21"/>
              </w:rPr>
              <w:t>投保年龄范围</w:t>
            </w:r>
          </w:p>
        </w:tc>
        <w:tc>
          <w:tcPr>
            <w:tcW w:w="6522" w:type="dxa"/>
          </w:tcPr>
          <w:p>
            <w:pPr>
              <w:pStyle w:val="TableParagraph"/>
              <w:spacing w:before="174"/>
              <w:ind w:left="107"/>
              <w:rPr>
                <w:sz w:val="21"/>
              </w:rPr>
            </w:pPr>
            <w:r>
              <w:rPr>
                <w:spacing w:val="-6"/>
                <w:sz w:val="21"/>
              </w:rPr>
              <w:t>本附加合同接受的被保险人投保年龄为 </w:t>
            </w:r>
            <w:r>
              <w:rPr>
                <w:sz w:val="21"/>
              </w:rPr>
              <w:t>30</w:t>
            </w:r>
            <w:r>
              <w:rPr>
                <w:spacing w:val="-24"/>
                <w:sz w:val="21"/>
              </w:rPr>
              <w:t> 天至 </w:t>
            </w:r>
            <w:r>
              <w:rPr>
                <w:sz w:val="21"/>
              </w:rPr>
              <w:t>55</w:t>
            </w:r>
            <w:r>
              <w:rPr>
                <w:spacing w:val="-8"/>
                <w:sz w:val="21"/>
              </w:rPr>
              <w:t> 周岁，可连续续保</w:t>
            </w:r>
          </w:p>
          <w:p>
            <w:pPr>
              <w:pStyle w:val="TableParagraph"/>
              <w:ind w:left="107"/>
              <w:rPr>
                <w:sz w:val="21"/>
              </w:rPr>
            </w:pPr>
            <w:r>
              <w:rPr>
                <w:sz w:val="21"/>
              </w:rPr>
              <w:t>至 59 周岁。</w:t>
            </w:r>
          </w:p>
        </w:tc>
      </w:tr>
      <w:tr>
        <w:trPr>
          <w:trHeight w:val="4805" w:hRule="atLeast"/>
        </w:trPr>
        <w:tc>
          <w:tcPr>
            <w:tcW w:w="1281" w:type="dxa"/>
          </w:tcPr>
          <w:p>
            <w:pPr>
              <w:pStyle w:val="TableParagraph"/>
              <w:spacing w:before="174"/>
              <w:rPr>
                <w:sz w:val="21"/>
              </w:rPr>
            </w:pPr>
            <w:r>
              <w:rPr>
                <w:sz w:val="21"/>
              </w:rPr>
              <w:t>第十九条</w:t>
            </w:r>
          </w:p>
        </w:tc>
        <w:tc>
          <w:tcPr>
            <w:tcW w:w="1572" w:type="dxa"/>
          </w:tcPr>
          <w:p>
            <w:pPr>
              <w:pStyle w:val="TableParagraph"/>
              <w:spacing w:before="174"/>
              <w:ind w:left="118"/>
              <w:rPr>
                <w:sz w:val="21"/>
              </w:rPr>
            </w:pPr>
            <w:r>
              <w:rPr>
                <w:sz w:val="21"/>
              </w:rPr>
              <w:t>年龄错误</w:t>
            </w:r>
          </w:p>
        </w:tc>
        <w:tc>
          <w:tcPr>
            <w:tcW w:w="6522" w:type="dxa"/>
          </w:tcPr>
          <w:p>
            <w:pPr>
              <w:pStyle w:val="TableParagraph"/>
              <w:spacing w:line="300" w:lineRule="auto" w:before="174"/>
              <w:ind w:left="107" w:right="107"/>
              <w:rPr>
                <w:sz w:val="21"/>
              </w:rPr>
            </w:pPr>
            <w:r>
              <w:rPr>
                <w:sz w:val="21"/>
              </w:rPr>
              <w:t>投保人在申请投保时，应将与有效身份证件相符的被保险人的出生日期在投保单上填明，如果发生错误按照下列方式办理：</w:t>
            </w:r>
          </w:p>
          <w:p>
            <w:pPr>
              <w:pStyle w:val="TableParagraph"/>
              <w:spacing w:line="300" w:lineRule="auto" w:before="16"/>
              <w:ind w:left="565" w:right="104" w:hanging="459"/>
              <w:rPr>
                <w:sz w:val="21"/>
              </w:rPr>
            </w:pPr>
            <w:r>
              <w:rPr>
                <w:sz w:val="21"/>
              </w:rPr>
              <w:t>一、投保人申报的被保险人年龄不真实，致使投保人实付保险费多于应付保险费的，本公司会将多收的保险费无息退还给投保人。</w:t>
            </w:r>
          </w:p>
          <w:p>
            <w:pPr>
              <w:pStyle w:val="TableParagraph"/>
              <w:spacing w:line="300" w:lineRule="auto" w:before="16"/>
              <w:ind w:left="565" w:right="104" w:hanging="459"/>
              <w:jc w:val="both"/>
              <w:rPr>
                <w:sz w:val="21"/>
              </w:rPr>
            </w:pPr>
            <w:r>
              <w:rPr>
                <w:spacing w:val="-5"/>
                <w:sz w:val="21"/>
              </w:rPr>
              <w:t>二、投保人申报的被保险人年龄不真实，致使投保人实付保险费少于</w:t>
            </w:r>
            <w:r>
              <w:rPr>
                <w:spacing w:val="-7"/>
                <w:sz w:val="21"/>
              </w:rPr>
              <w:t>应付保险费的，本公司有权更正并要求投保人补交保险费。若已</w:t>
            </w:r>
            <w:r>
              <w:rPr>
                <w:spacing w:val="-8"/>
                <w:sz w:val="21"/>
              </w:rPr>
              <w:t>经发生保险事故，在给付保险金时按实付保险费和应付保险费的</w:t>
            </w:r>
            <w:r>
              <w:rPr>
                <w:spacing w:val="-5"/>
                <w:sz w:val="21"/>
              </w:rPr>
              <w:t>比例给付。</w:t>
            </w:r>
          </w:p>
          <w:p>
            <w:pPr>
              <w:pStyle w:val="TableParagraph"/>
              <w:spacing w:line="300" w:lineRule="auto" w:before="16"/>
              <w:ind w:left="565" w:right="104" w:hanging="459"/>
              <w:rPr>
                <w:sz w:val="21"/>
              </w:rPr>
            </w:pPr>
            <w:r>
              <w:rPr>
                <w:spacing w:val="-5"/>
                <w:sz w:val="21"/>
              </w:rPr>
              <w:t>三、投保人申报的被保险人年龄不真实，并且其真实年龄不符合本公</w:t>
            </w:r>
            <w:r>
              <w:rPr>
                <w:spacing w:val="-7"/>
                <w:sz w:val="21"/>
              </w:rPr>
              <w:t>司规定的投保年龄限制的，本公司有权解除本附加合同。本公司</w:t>
            </w:r>
            <w:r>
              <w:rPr>
                <w:spacing w:val="-9"/>
                <w:sz w:val="21"/>
              </w:rPr>
              <w:t>行使合同解除权适用“本公司合同解除权的限制”的规定。对于</w:t>
            </w:r>
            <w:r>
              <w:rPr>
                <w:spacing w:val="-3"/>
                <w:sz w:val="21"/>
              </w:rPr>
              <w:t>解除本附加合同的,本公司向投保人无息退还本附加合同保险期间内已交保险费；对于不得解除合同的，按第一、二项处理。</w:t>
            </w:r>
          </w:p>
        </w:tc>
      </w:tr>
      <w:tr>
        <w:trPr>
          <w:trHeight w:val="4291" w:hRule="atLeast"/>
        </w:trPr>
        <w:tc>
          <w:tcPr>
            <w:tcW w:w="1281" w:type="dxa"/>
          </w:tcPr>
          <w:p>
            <w:pPr>
              <w:pStyle w:val="TableParagraph"/>
              <w:spacing w:before="174"/>
              <w:rPr>
                <w:sz w:val="21"/>
              </w:rPr>
            </w:pPr>
            <w:r>
              <w:rPr>
                <w:sz w:val="21"/>
              </w:rPr>
              <w:t>第二十条</w:t>
            </w:r>
          </w:p>
        </w:tc>
        <w:tc>
          <w:tcPr>
            <w:tcW w:w="1572" w:type="dxa"/>
          </w:tcPr>
          <w:p>
            <w:pPr>
              <w:pStyle w:val="TableParagraph"/>
              <w:spacing w:before="174"/>
              <w:ind w:left="118"/>
              <w:rPr>
                <w:sz w:val="21"/>
              </w:rPr>
            </w:pPr>
            <w:r>
              <w:rPr>
                <w:sz w:val="21"/>
              </w:rPr>
              <w:t>受益人</w:t>
            </w:r>
          </w:p>
        </w:tc>
        <w:tc>
          <w:tcPr>
            <w:tcW w:w="6522" w:type="dxa"/>
          </w:tcPr>
          <w:p>
            <w:pPr>
              <w:pStyle w:val="TableParagraph"/>
              <w:spacing w:line="300" w:lineRule="auto" w:before="174"/>
              <w:ind w:left="107" w:right="107"/>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107"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107" w:right="107"/>
              <w:rPr>
                <w:sz w:val="21"/>
              </w:rPr>
            </w:pPr>
            <w:r>
              <w:rPr>
                <w:sz w:val="21"/>
              </w:rPr>
              <w:t>被保险人为无民事行为能力人或限制民事行为能力人的，可以由其监护人指定受益人。</w:t>
            </w:r>
          </w:p>
          <w:p>
            <w:pPr>
              <w:pStyle w:val="TableParagraph"/>
              <w:spacing w:line="300" w:lineRule="auto" w:before="16"/>
              <w:ind w:left="107" w:right="107"/>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left="107" w:right="107"/>
              <w:rPr>
                <w:sz w:val="21"/>
              </w:rPr>
            </w:pPr>
            <w:r>
              <w:rPr>
                <w:sz w:val="21"/>
              </w:rPr>
              <w:t>受益人故意造成被保险人身故、伤残、疾病的，或者故意杀害被保险人未遂的，该受益人丧失受益权。</w:t>
            </w:r>
          </w:p>
        </w:tc>
      </w:tr>
      <w:tr>
        <w:trPr>
          <w:trHeight w:val="343" w:hRule="atLeast"/>
        </w:trPr>
        <w:tc>
          <w:tcPr>
            <w:tcW w:w="1281" w:type="dxa"/>
            <w:shd w:val="clear" w:color="auto" w:fill="C0C0C0"/>
          </w:tcPr>
          <w:p>
            <w:pPr>
              <w:pStyle w:val="TableParagraph"/>
              <w:spacing w:before="2"/>
              <w:rPr>
                <w:b/>
                <w:sz w:val="21"/>
              </w:rPr>
            </w:pPr>
            <w:r>
              <w:rPr>
                <w:b/>
                <w:sz w:val="21"/>
              </w:rPr>
              <w:t>第七章</w:t>
            </w:r>
          </w:p>
        </w:tc>
        <w:tc>
          <w:tcPr>
            <w:tcW w:w="1572" w:type="dxa"/>
            <w:shd w:val="clear" w:color="auto" w:fill="C0C0C0"/>
          </w:tcPr>
          <w:p>
            <w:pPr>
              <w:pStyle w:val="TableParagraph"/>
              <w:spacing w:before="2"/>
              <w:ind w:left="118"/>
              <w:rPr>
                <w:b/>
                <w:sz w:val="21"/>
              </w:rPr>
            </w:pPr>
            <w:r>
              <w:rPr>
                <w:b/>
                <w:sz w:val="21"/>
              </w:rPr>
              <w:t>释义</w:t>
            </w:r>
          </w:p>
        </w:tc>
        <w:tc>
          <w:tcPr>
            <w:tcW w:w="6522" w:type="dxa"/>
            <w:shd w:val="clear" w:color="auto" w:fill="C0C0C0"/>
          </w:tcPr>
          <w:p>
            <w:pPr>
              <w:pStyle w:val="TableParagraph"/>
              <w:spacing w:before="0"/>
              <w:ind w:left="0"/>
              <w:rPr>
                <w:rFonts w:ascii="Times New Roman"/>
                <w:sz w:val="20"/>
              </w:rPr>
            </w:pPr>
          </w:p>
        </w:tc>
      </w:tr>
      <w:tr>
        <w:trPr>
          <w:trHeight w:val="342" w:hRule="atLeast"/>
        </w:trPr>
        <w:tc>
          <w:tcPr>
            <w:tcW w:w="1281" w:type="dxa"/>
          </w:tcPr>
          <w:p>
            <w:pPr>
              <w:pStyle w:val="TableParagraph"/>
              <w:spacing w:before="2"/>
              <w:rPr>
                <w:sz w:val="21"/>
              </w:rPr>
            </w:pPr>
            <w:r>
              <w:rPr>
                <w:sz w:val="21"/>
              </w:rPr>
              <w:t>第二十一条</w:t>
            </w:r>
          </w:p>
        </w:tc>
        <w:tc>
          <w:tcPr>
            <w:tcW w:w="1572" w:type="dxa"/>
          </w:tcPr>
          <w:p>
            <w:pPr>
              <w:pStyle w:val="TableParagraph"/>
              <w:spacing w:before="2"/>
              <w:ind w:left="118"/>
              <w:rPr>
                <w:sz w:val="21"/>
              </w:rPr>
            </w:pPr>
            <w:r>
              <w:rPr>
                <w:sz w:val="21"/>
              </w:rPr>
              <w:t>释义</w:t>
            </w:r>
          </w:p>
        </w:tc>
        <w:tc>
          <w:tcPr>
            <w:tcW w:w="6522" w:type="dxa"/>
          </w:tcPr>
          <w:p>
            <w:pPr>
              <w:pStyle w:val="TableParagraph"/>
              <w:spacing w:before="0"/>
              <w:ind w:left="0"/>
              <w:rPr>
                <w:rFonts w:ascii="Times New Roman"/>
                <w:sz w:val="20"/>
              </w:rPr>
            </w:pPr>
          </w:p>
        </w:tc>
      </w:tr>
      <w:tr>
        <w:trPr>
          <w:trHeight w:val="277" w:hRule="atLeast"/>
        </w:trPr>
        <w:tc>
          <w:tcPr>
            <w:tcW w:w="1281" w:type="dxa"/>
          </w:tcPr>
          <w:p>
            <w:pPr>
              <w:pStyle w:val="TableParagraph"/>
              <w:spacing w:line="255" w:lineRule="exact" w:before="2"/>
              <w:ind w:left="11"/>
              <w:jc w:val="center"/>
              <w:rPr>
                <w:sz w:val="21"/>
              </w:rPr>
            </w:pPr>
            <w:r>
              <w:rPr>
                <w:w w:val="100"/>
                <w:sz w:val="21"/>
              </w:rPr>
              <w:t>一</w:t>
            </w:r>
          </w:p>
        </w:tc>
        <w:tc>
          <w:tcPr>
            <w:tcW w:w="1572" w:type="dxa"/>
          </w:tcPr>
          <w:p>
            <w:pPr>
              <w:pStyle w:val="TableParagraph"/>
              <w:spacing w:line="255" w:lineRule="exact" w:before="2"/>
              <w:ind w:left="118"/>
              <w:rPr>
                <w:sz w:val="21"/>
              </w:rPr>
            </w:pPr>
            <w:r>
              <w:rPr>
                <w:sz w:val="21"/>
              </w:rPr>
              <w:t>本公司</w:t>
            </w:r>
          </w:p>
        </w:tc>
        <w:tc>
          <w:tcPr>
            <w:tcW w:w="6522" w:type="dxa"/>
          </w:tcPr>
          <w:p>
            <w:pPr>
              <w:pStyle w:val="TableParagraph"/>
              <w:spacing w:line="255" w:lineRule="exact" w:before="2"/>
              <w:ind w:left="107"/>
              <w:rPr>
                <w:sz w:val="21"/>
              </w:rPr>
            </w:pPr>
            <w:r>
              <w:rPr>
                <w:sz w:val="21"/>
              </w:rPr>
              <w:t>指中航三星人寿保险有限公司。</w:t>
            </w:r>
          </w:p>
        </w:tc>
      </w:tr>
    </w:tbl>
    <w:p>
      <w:pPr>
        <w:spacing w:after="0" w:line="255" w:lineRule="exac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4"/>
      </w:tblGrid>
      <w:tr>
        <w:trPr>
          <w:trHeight w:val="1135" w:hRule="atLeast"/>
        </w:trPr>
        <w:tc>
          <w:tcPr>
            <w:tcW w:w="735" w:type="dxa"/>
          </w:tcPr>
          <w:p>
            <w:pPr>
              <w:pStyle w:val="TableParagraph"/>
              <w:spacing w:line="211" w:lineRule="exact" w:before="0"/>
              <w:ind w:left="200"/>
              <w:rPr>
                <w:sz w:val="21"/>
              </w:rPr>
            </w:pPr>
            <w:r>
              <w:rPr>
                <w:w w:val="100"/>
                <w:sz w:val="21"/>
              </w:rPr>
              <w:t>二</w:t>
            </w:r>
          </w:p>
        </w:tc>
        <w:tc>
          <w:tcPr>
            <w:tcW w:w="1525" w:type="dxa"/>
          </w:tcPr>
          <w:p>
            <w:pPr>
              <w:pStyle w:val="TableParagraph"/>
              <w:spacing w:line="211" w:lineRule="exact" w:before="0"/>
              <w:ind w:left="324"/>
              <w:rPr>
                <w:sz w:val="21"/>
              </w:rPr>
            </w:pPr>
            <w:r>
              <w:rPr>
                <w:sz w:val="21"/>
              </w:rPr>
              <w:t>医院</w:t>
            </w:r>
          </w:p>
        </w:tc>
        <w:tc>
          <w:tcPr>
            <w:tcW w:w="6974" w:type="dxa"/>
          </w:tcPr>
          <w:p>
            <w:pPr>
              <w:pStyle w:val="TableParagraph"/>
              <w:spacing w:line="211" w:lineRule="exact" w:before="0"/>
              <w:ind w:left="359"/>
              <w:rPr>
                <w:sz w:val="21"/>
              </w:rPr>
            </w:pPr>
            <w:r>
              <w:rPr>
                <w:sz w:val="21"/>
              </w:rPr>
              <w:t>指在本附加合同中列明的医院。本附加合同未列明的，则指国家卫生</w:t>
            </w:r>
          </w:p>
          <w:p>
            <w:pPr>
              <w:pStyle w:val="TableParagraph"/>
              <w:spacing w:line="300" w:lineRule="auto"/>
              <w:ind w:left="359" w:right="196"/>
              <w:rPr>
                <w:sz w:val="21"/>
              </w:rPr>
            </w:pPr>
            <w:r>
              <w:rPr>
                <w:spacing w:val="-8"/>
                <w:sz w:val="21"/>
              </w:rPr>
              <w:t>行政部门评定的二级或二级以上社保定点医院，但不包括康复、护理、</w:t>
            </w:r>
            <w:r>
              <w:rPr>
                <w:spacing w:val="-5"/>
                <w:sz w:val="21"/>
              </w:rPr>
              <w:t>疗养、戒酒、戒毒或类似性质的医疗机构。</w:t>
            </w:r>
          </w:p>
        </w:tc>
      </w:tr>
      <w:tr>
        <w:trPr>
          <w:trHeight w:val="11432" w:hRule="atLeast"/>
        </w:trPr>
        <w:tc>
          <w:tcPr>
            <w:tcW w:w="735" w:type="dxa"/>
          </w:tcPr>
          <w:p>
            <w:pPr>
              <w:pStyle w:val="TableParagraph"/>
              <w:spacing w:before="174"/>
              <w:ind w:left="200"/>
              <w:rPr>
                <w:sz w:val="21"/>
              </w:rPr>
            </w:pPr>
            <w:r>
              <w:rPr>
                <w:w w:val="100"/>
                <w:sz w:val="21"/>
              </w:rPr>
              <w:t>三</w:t>
            </w:r>
          </w:p>
        </w:tc>
        <w:tc>
          <w:tcPr>
            <w:tcW w:w="1525" w:type="dxa"/>
          </w:tcPr>
          <w:p>
            <w:pPr>
              <w:pStyle w:val="TableParagraph"/>
              <w:spacing w:before="174"/>
              <w:ind w:left="324"/>
              <w:rPr>
                <w:sz w:val="21"/>
              </w:rPr>
            </w:pPr>
            <w:r>
              <w:rPr>
                <w:sz w:val="21"/>
              </w:rPr>
              <w:t>重大疾病</w:t>
            </w:r>
          </w:p>
        </w:tc>
        <w:tc>
          <w:tcPr>
            <w:tcW w:w="6974" w:type="dxa"/>
          </w:tcPr>
          <w:p>
            <w:pPr>
              <w:pStyle w:val="TableParagraph"/>
              <w:spacing w:line="300" w:lineRule="auto" w:before="174"/>
              <w:ind w:left="359" w:right="306"/>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4"/>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7"/>
              <w:ind w:left="359" w:right="19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ind w:left="359"/>
              <w:rPr>
                <w:sz w:val="21"/>
              </w:rPr>
            </w:pPr>
            <w:r>
              <w:rPr>
                <w:sz w:val="21"/>
              </w:rPr>
              <w:t>① 原位癌；</w:t>
            </w:r>
          </w:p>
          <w:p>
            <w:pPr>
              <w:pStyle w:val="TableParagraph"/>
              <w:ind w:left="359"/>
              <w:rPr>
                <w:sz w:val="21"/>
              </w:rPr>
            </w:pPr>
            <w:r>
              <w:rPr>
                <w:sz w:val="21"/>
              </w:rPr>
              <w:t>② 相当于 Binet 分期方案 A 期程度的慢性淋巴细胞白血病；</w:t>
            </w:r>
          </w:p>
          <w:p>
            <w:pPr>
              <w:pStyle w:val="TableParagraph"/>
              <w:ind w:left="359"/>
              <w:rPr>
                <w:sz w:val="21"/>
              </w:rPr>
            </w:pPr>
            <w:r>
              <w:rPr>
                <w:sz w:val="21"/>
              </w:rPr>
              <w:t>③ 相当于 Ann Arbor 分期方案 I 期程度的何杰金氏病；</w:t>
            </w:r>
          </w:p>
          <w:p>
            <w:pPr>
              <w:pStyle w:val="TableParagraph"/>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ind w:left="359"/>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4"/>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00" w:lineRule="auto"/>
              <w:ind w:left="359" w:right="306"/>
              <w:rPr>
                <w:sz w:val="21"/>
              </w:rPr>
            </w:pPr>
            <w:r>
              <w:rPr>
                <w:sz w:val="21"/>
              </w:rPr>
              <w:t>指因冠状动脉阻塞导致的相应区域供血不足造成部分心肌坏死。须满足下列至少三项条件：</w:t>
            </w:r>
          </w:p>
          <w:p>
            <w:pPr>
              <w:pStyle w:val="TableParagraph"/>
              <w:spacing w:before="16"/>
              <w:ind w:left="359"/>
              <w:rPr>
                <w:sz w:val="21"/>
              </w:rPr>
            </w:pPr>
            <w:r>
              <w:rPr>
                <w:sz w:val="21"/>
              </w:rPr>
              <w:t>① 典型临床表现，例如急性胸痛等；</w:t>
            </w:r>
          </w:p>
          <w:p>
            <w:pPr>
              <w:pStyle w:val="TableParagraph"/>
              <w:ind w:left="359"/>
              <w:rPr>
                <w:sz w:val="21"/>
              </w:rPr>
            </w:pPr>
            <w:r>
              <w:rPr>
                <w:sz w:val="21"/>
              </w:rPr>
              <w:t>② 新近的心电图改变提示急性心肌梗塞；</w:t>
            </w:r>
          </w:p>
          <w:p>
            <w:pPr>
              <w:pStyle w:val="TableParagraph"/>
              <w:spacing w:line="300" w:lineRule="auto"/>
              <w:ind w:left="719" w:right="366" w:hanging="360"/>
              <w:rPr>
                <w:sz w:val="21"/>
              </w:rPr>
            </w:pPr>
            <w:r>
              <w:rPr>
                <w:sz w:val="21"/>
              </w:rPr>
              <w:t>③ 心肌酶或肌钙蛋白有诊断意义的升高，或呈符合急性心肌梗塞的动态性变化；</w:t>
            </w:r>
          </w:p>
          <w:p>
            <w:pPr>
              <w:pStyle w:val="TableParagraph"/>
              <w:spacing w:line="300" w:lineRule="auto" w:before="16"/>
              <w:ind w:left="719" w:right="304"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spacing w:before="0"/>
              <w:ind w:left="0"/>
              <w:rPr>
                <w:rFonts w:ascii="Times New Roman"/>
                <w:sz w:val="20"/>
              </w:rPr>
            </w:pPr>
          </w:p>
          <w:p>
            <w:pPr>
              <w:pStyle w:val="TableParagraph"/>
              <w:numPr>
                <w:ilvl w:val="0"/>
                <w:numId w:val="4"/>
              </w:numPr>
              <w:tabs>
                <w:tab w:pos="780" w:val="left" w:leader="none"/>
              </w:tabs>
              <w:spacing w:line="240" w:lineRule="auto" w:before="130" w:after="0"/>
              <w:ind w:left="779" w:right="0" w:hanging="420"/>
              <w:jc w:val="left"/>
              <w:rPr>
                <w:sz w:val="21"/>
              </w:rPr>
            </w:pPr>
            <w:r>
              <w:rPr>
                <w:spacing w:val="-2"/>
                <w:sz w:val="21"/>
              </w:rPr>
              <w:t>脑中风后遗症</w:t>
            </w:r>
          </w:p>
          <w:p>
            <w:pPr>
              <w:pStyle w:val="TableParagraph"/>
              <w:spacing w:line="340" w:lineRule="atLeast" w:before="3"/>
              <w:ind w:left="359" w:right="306"/>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tc>
      </w:tr>
    </w:tbl>
    <w:p>
      <w:pPr>
        <w:spacing w:after="0" w:line="340" w:lineRule="atLeast"/>
        <w:jc w:val="both"/>
        <w:rPr>
          <w:sz w:val="21"/>
        </w:rPr>
        <w:sectPr>
          <w:pgSz w:w="11910" w:h="16840"/>
          <w:pgMar w:header="0" w:footer="919" w:top="1580" w:bottom="1100" w:left="1200" w:right="940"/>
        </w:sectPr>
      </w:pPr>
    </w:p>
    <w:p>
      <w:pPr>
        <w:pStyle w:val="BodyText"/>
        <w:rPr>
          <w:rFonts w:ascii="Times New Roman"/>
          <w:sz w:val="20"/>
        </w:rPr>
      </w:pPr>
    </w:p>
    <w:p>
      <w:pPr>
        <w:pStyle w:val="BodyText"/>
        <w:spacing w:before="158"/>
        <w:ind w:left="3049"/>
      </w:pPr>
      <w:r>
        <w:rPr/>
        <w:t>① 一肢或一肢以上肢体机能完全丧失；</w:t>
      </w:r>
    </w:p>
    <w:p>
      <w:pPr>
        <w:pStyle w:val="BodyText"/>
        <w:spacing w:before="67"/>
        <w:ind w:left="3049"/>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8"/>
        <w:ind w:left="3049" w:right="209"/>
      </w:pPr>
      <w:r>
        <w:rPr/>
        <w:t>重大器官移植术，指因相应器官功能衰竭，已经实施了肾脏、肝脏、心脏或肺脏的异体移植手术。</w:t>
      </w:r>
    </w:p>
    <w:p>
      <w:pPr>
        <w:pStyle w:val="BodyText"/>
        <w:spacing w:line="300" w:lineRule="auto" w:before="15"/>
        <w:ind w:left="3049"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8"/>
        <w:ind w:left="3049" w:right="209"/>
      </w:pPr>
      <w:r>
        <w:rPr/>
        <w:t>指为治疗严重的冠心病，实际实施了开胸进行的冠状动脉血管旁路移植的手术。</w:t>
      </w:r>
    </w:p>
    <w:p>
      <w:pPr>
        <w:pStyle w:val="BodyText"/>
        <w:spacing w:line="300" w:lineRule="auto" w:before="15"/>
        <w:ind w:left="3049" w:right="209"/>
      </w:pPr>
      <w:r>
        <w:rPr/>
        <w:t>冠状动脉支架植入术、心导管球囊扩张术、激光射频技术及其它非开胸的介入手术、腔镜手术不在保障范围内。</w:t>
      </w:r>
    </w:p>
    <w:p>
      <w:pPr>
        <w:pStyle w:val="BodyText"/>
        <w:spacing w:before="5"/>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8"/>
        <w:ind w:left="3049" w:right="209"/>
      </w:pPr>
      <w:r>
        <w:rPr/>
        <w:t>指双肾功能慢性不可逆性衰竭，达到尿毒症期，经诊断后已经进行了至少 90 天的规律性透析治疗或实施了肾脏移植手术。</w:t>
      </w:r>
    </w:p>
    <w:p>
      <w:pPr>
        <w:pStyle w:val="BodyText"/>
        <w:spacing w:before="5"/>
        <w:rPr>
          <w:sz w:val="27"/>
        </w:rPr>
      </w:pPr>
    </w:p>
    <w:p>
      <w:pPr>
        <w:pStyle w:val="ListParagraph"/>
        <w:numPr>
          <w:ilvl w:val="0"/>
          <w:numId w:val="5"/>
        </w:numPr>
        <w:tabs>
          <w:tab w:pos="3469" w:val="left" w:leader="none"/>
        </w:tabs>
        <w:spacing w:line="240" w:lineRule="auto" w:before="1" w:after="0"/>
        <w:ind w:left="3469" w:right="0" w:hanging="420"/>
        <w:jc w:val="left"/>
        <w:rPr>
          <w:sz w:val="21"/>
        </w:rPr>
      </w:pPr>
      <w:r>
        <w:rPr>
          <w:spacing w:val="-2"/>
          <w:sz w:val="21"/>
        </w:rPr>
        <w:t>多个肢体缺失</w:t>
      </w:r>
    </w:p>
    <w:p>
      <w:pPr>
        <w:pStyle w:val="BodyText"/>
        <w:spacing w:before="68"/>
        <w:ind w:left="3049"/>
      </w:pPr>
      <w:r>
        <w:rPr/>
        <w:t>指因疾病或意外伤害导致两个或两个以上肢体自腕关节或踝关节近端</w:t>
      </w:r>
    </w:p>
    <w:p>
      <w:pPr>
        <w:pStyle w:val="BodyText"/>
        <w:spacing w:before="68"/>
        <w:ind w:left="3049"/>
      </w:pPr>
      <w:r>
        <w:rPr/>
        <w:t>（靠近躯干端）以上完全性断离。</w:t>
      </w:r>
    </w:p>
    <w:p>
      <w:pPr>
        <w:pStyle w:val="BodyText"/>
        <w:rPr>
          <w:sz w:val="20"/>
        </w:rPr>
      </w:pPr>
    </w:p>
    <w:p>
      <w:pPr>
        <w:pStyle w:val="ListParagraph"/>
        <w:numPr>
          <w:ilvl w:val="0"/>
          <w:numId w:val="5"/>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before="68"/>
        <w:ind w:left="3049" w:right="209"/>
      </w:pPr>
      <w:r>
        <w:rPr/>
        <w:t>指因肝炎病毒感染引起肝脏组织弥漫性坏死，导致急性肝功能衰竭， 且经血清学或病毒学检查证实，并须满足下列全部条件：</w:t>
      </w:r>
    </w:p>
    <w:p>
      <w:pPr>
        <w:pStyle w:val="BodyText"/>
        <w:spacing w:before="15"/>
        <w:ind w:left="3049"/>
      </w:pPr>
      <w:r>
        <w:rPr/>
        <w:t>① 重度黄疸或黄疸迅速加重；</w:t>
      </w:r>
    </w:p>
    <w:p>
      <w:pPr>
        <w:pStyle w:val="BodyText"/>
        <w:spacing w:before="68"/>
        <w:ind w:left="3049"/>
      </w:pPr>
      <w:r>
        <w:rPr/>
        <w:t>② 肝性脑病；</w:t>
      </w:r>
    </w:p>
    <w:p>
      <w:pPr>
        <w:pStyle w:val="BodyText"/>
        <w:spacing w:before="68"/>
        <w:ind w:left="3049"/>
      </w:pPr>
      <w:r>
        <w:rPr/>
        <w:t>③ B 超或其它影像学检查显示肝脏体积急速萎缩；</w:t>
      </w:r>
    </w:p>
    <w:p>
      <w:pPr>
        <w:pStyle w:val="BodyText"/>
        <w:spacing w:before="68"/>
        <w:ind w:left="3049"/>
      </w:pPr>
      <w:r>
        <w:rPr/>
        <w:t>④ 肝功能指标进行性恶化。</w:t>
      </w:r>
    </w:p>
    <w:p>
      <w:pPr>
        <w:pStyle w:val="BodyText"/>
        <w:rPr>
          <w:sz w:val="20"/>
        </w:rPr>
      </w:pPr>
    </w:p>
    <w:p>
      <w:pPr>
        <w:pStyle w:val="ListParagraph"/>
        <w:numPr>
          <w:ilvl w:val="0"/>
          <w:numId w:val="5"/>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before="68"/>
        <w:ind w:left="3049" w:right="99"/>
      </w:pPr>
      <w:r>
        <w:rPr>
          <w:spacing w:val="-12"/>
        </w:rPr>
        <w:t>指脑的良性肿瘤，已经引起颅内压增高，临床表现为视神经乳头水肿、</w:t>
      </w:r>
      <w:r>
        <w:rPr>
          <w:spacing w:val="-6"/>
        </w:rPr>
        <w:t>精神症状、癫痫及运动感觉障碍等，并危及生命。须由头颅断层扫描</w:t>
      </w:r>
    </w:p>
    <w:p>
      <w:pPr>
        <w:spacing w:after="0" w:line="300" w:lineRule="auto"/>
        <w:sectPr>
          <w:pgSz w:w="11910" w:h="16840"/>
          <w:pgMar w:header="0" w:footer="919" w:top="1580" w:bottom="1100" w:left="1200" w:right="1140"/>
        </w:sectPr>
      </w:pPr>
    </w:p>
    <w:p>
      <w:pPr>
        <w:pStyle w:val="BodyText"/>
        <w:spacing w:before="12"/>
        <w:rPr>
          <w:sz w:val="26"/>
        </w:rPr>
      </w:pPr>
    </w:p>
    <w:p>
      <w:pPr>
        <w:pStyle w:val="BodyText"/>
        <w:spacing w:line="300" w:lineRule="auto" w:before="36"/>
        <w:ind w:left="3049"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5"/>
        <w:ind w:left="3049"/>
      </w:pPr>
      <w:r>
        <w:rPr/>
        <w:t>① 实际实施了开颅进行的脑肿瘤完全切除或部分切除的手术；</w:t>
      </w:r>
    </w:p>
    <w:p>
      <w:pPr>
        <w:pStyle w:val="BodyText"/>
        <w:spacing w:before="68"/>
        <w:ind w:left="3049"/>
      </w:pPr>
      <w:r>
        <w:rPr/>
        <w:t>② 实际实施了对脑肿瘤进行的放射治疗。</w:t>
      </w:r>
    </w:p>
    <w:p>
      <w:pPr>
        <w:pStyle w:val="BodyText"/>
        <w:spacing w:before="68"/>
        <w:ind w:left="3049"/>
      </w:pPr>
      <w:r>
        <w:rPr/>
        <w:t>脑垂体瘤、脑囊肿、脑血管性疾病不在保障范围内。</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3"/>
          <w:sz w:val="21"/>
        </w:rPr>
        <w:t>脑炎后遗症或脑膜炎后遗症</w:t>
      </w:r>
    </w:p>
    <w:p>
      <w:pPr>
        <w:pStyle w:val="BodyText"/>
        <w:spacing w:line="300" w:lineRule="auto" w:before="68"/>
        <w:ind w:left="3049"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ind w:left="3049"/>
      </w:pPr>
      <w:r>
        <w:rPr/>
        <w:t>① 一肢或一肢以上肢体机能完全丧失；</w:t>
      </w:r>
    </w:p>
    <w:p>
      <w:pPr>
        <w:pStyle w:val="BodyText"/>
        <w:spacing w:before="68"/>
        <w:ind w:left="3049"/>
      </w:pPr>
      <w:r>
        <w:rPr/>
        <w:t>② 语言能力或咀嚼吞咽能力完全丧失；</w:t>
      </w:r>
    </w:p>
    <w:p>
      <w:pPr>
        <w:pStyle w:val="BodyText"/>
        <w:spacing w:line="300" w:lineRule="auto" w:before="68"/>
        <w:ind w:left="3409" w:right="2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before="68"/>
        <w:ind w:left="3049"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rPr>
          <w:sz w:val="27"/>
        </w:rPr>
      </w:pPr>
    </w:p>
    <w:p>
      <w:pPr>
        <w:pStyle w:val="ListParagraph"/>
        <w:numPr>
          <w:ilvl w:val="0"/>
          <w:numId w:val="5"/>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spacing w:before="68"/>
        <w:ind w:left="3049"/>
      </w:pPr>
      <w:r>
        <w:rPr/>
        <w:t>指因疾病或意外伤害导致双耳听力永久不可逆性丧失，在 500 赫兹、</w:t>
      </w:r>
    </w:p>
    <w:p>
      <w:pPr>
        <w:pStyle w:val="BodyText"/>
        <w:spacing w:line="300" w:lineRule="auto" w:before="68"/>
        <w:ind w:left="3049"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7"/>
        <w:ind w:left="3049" w:right="207" w:firstLine="105"/>
      </w:pPr>
      <w:r>
        <w:rPr>
          <w:spacing w:val="-8"/>
        </w:rPr>
        <w:t>指因疾病或意外伤害导致双眼视力永久不可逆性丧失，双眼中较好眼</w:t>
      </w:r>
      <w:r>
        <w:rPr>
          <w:spacing w:val="-5"/>
        </w:rPr>
        <w:t>须满足下列至少一项条件：</w:t>
      </w:r>
    </w:p>
    <w:p>
      <w:pPr>
        <w:pStyle w:val="BodyText"/>
        <w:spacing w:before="15"/>
        <w:ind w:left="3049"/>
      </w:pPr>
      <w:r>
        <w:rPr/>
        <w:t>① 眼球缺失或摘除；</w:t>
      </w:r>
    </w:p>
    <w:p>
      <w:pPr>
        <w:pStyle w:val="BodyText"/>
        <w:spacing w:line="300" w:lineRule="auto" w:before="68"/>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ind w:left="3049"/>
      </w:pPr>
      <w:r>
        <w:rPr/>
        <w:t>③ 视野半径小于 5 度。</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before="68"/>
        <w:ind w:left="3049" w:right="101"/>
      </w:pPr>
      <w:r>
        <w:rPr>
          <w:spacing w:val="-3"/>
        </w:rPr>
        <w:t>指因疾病或意外伤害导致两肢或两肢以上肢体机能永久完全丧失。肢</w:t>
      </w:r>
      <w:r>
        <w:rPr>
          <w:spacing w:val="-14"/>
        </w:rPr>
        <w:t>体机能永久完全丧失，指疾病确诊 </w:t>
      </w:r>
      <w:r>
        <w:rPr/>
        <w:t>180</w:t>
      </w:r>
      <w:r>
        <w:rPr>
          <w:spacing w:val="-12"/>
        </w:rPr>
        <w:t> 天后或意外伤害发生 </w:t>
      </w:r>
      <w:r>
        <w:rPr/>
        <w:t>180</w:t>
      </w:r>
      <w:r>
        <w:rPr>
          <w:spacing w:val="-13"/>
        </w:rPr>
        <w:t> 天后，</w:t>
      </w:r>
    </w:p>
    <w:p>
      <w:pPr>
        <w:spacing w:after="0" w:line="300" w:lineRule="auto"/>
        <w:sectPr>
          <w:pgSz w:w="11910" w:h="16840"/>
          <w:pgMar w:header="0" w:footer="919" w:top="1580" w:bottom="1180" w:left="1200" w:right="1140"/>
        </w:sectPr>
      </w:pPr>
    </w:p>
    <w:p>
      <w:pPr>
        <w:pStyle w:val="BodyText"/>
        <w:spacing w:before="12"/>
        <w:rPr>
          <w:sz w:val="26"/>
        </w:rPr>
      </w:pPr>
    </w:p>
    <w:p>
      <w:pPr>
        <w:pStyle w:val="BodyText"/>
        <w:spacing w:before="36"/>
        <w:ind w:left="3049"/>
      </w:pPr>
      <w:r>
        <w:rPr/>
        <w:t>每肢三大关节中的两大关节仍然完全僵硬，或不能随意识活动。</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2"/>
          <w:sz w:val="21"/>
        </w:rPr>
        <w:t>心脏瓣膜手术</w:t>
      </w:r>
    </w:p>
    <w:p>
      <w:pPr>
        <w:pStyle w:val="BodyText"/>
        <w:spacing w:line="300" w:lineRule="auto" w:before="68"/>
        <w:ind w:left="3049" w:right="109"/>
      </w:pPr>
      <w:r>
        <w:rPr/>
        <w:t>指为治疗心脏瓣膜疾病，实际实施了开胸进行的心脏瓣膜置换或修复的手术。</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before="67"/>
        <w:ind w:left="3049" w:right="107"/>
        <w:jc w:val="both"/>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4"/>
        </w:rPr>
        <w:t>神经官能症和精神疾病不在保障范围内。</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严重脑损伤</w:t>
      </w:r>
    </w:p>
    <w:p>
      <w:pPr>
        <w:pStyle w:val="BodyText"/>
        <w:spacing w:line="300" w:lineRule="auto" w:before="68"/>
        <w:ind w:left="3049" w:right="10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ind w:left="3049"/>
      </w:pPr>
      <w:r>
        <w:rPr/>
        <w:t>① 一肢或一肢以上肢体机能完全丧失；</w:t>
      </w:r>
    </w:p>
    <w:p>
      <w:pPr>
        <w:pStyle w:val="BodyText"/>
        <w:spacing w:before="67"/>
        <w:ind w:left="3049"/>
      </w:pPr>
      <w:r>
        <w:rPr/>
        <w:t>② 语言能力或咀嚼吞咽能力完全丧失；</w:t>
      </w:r>
    </w:p>
    <w:p>
      <w:pPr>
        <w:pStyle w:val="BodyText"/>
        <w:spacing w:line="300" w:lineRule="auto" w:before="68"/>
        <w:ind w:left="3409" w:right="1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before="67"/>
        <w:ind w:left="3049" w:right="109"/>
      </w:pPr>
      <w:r>
        <w:rPr/>
        <w:t>是指一种中枢神经系统的退行性疾病，临床表现为震颤麻痹、共济失调等。须满足下列全部条件：</w:t>
      </w:r>
    </w:p>
    <w:p>
      <w:pPr>
        <w:pStyle w:val="BodyText"/>
        <w:spacing w:before="15"/>
        <w:ind w:left="3049"/>
      </w:pPr>
      <w:r>
        <w:rPr/>
        <w:t>① 药物治疗无法控制病情；</w:t>
      </w:r>
    </w:p>
    <w:p>
      <w:pPr>
        <w:pStyle w:val="BodyText"/>
        <w:spacing w:line="300" w:lineRule="auto" w:before="68"/>
        <w:ind w:left="3409" w:right="169" w:hanging="360"/>
      </w:pPr>
      <w:r>
        <w:rPr/>
        <w:t>② 自主生活能力完全丧失，无法独立完成六项基本日常生活活动中的三项或三项以上。</w:t>
      </w:r>
    </w:p>
    <w:p>
      <w:pPr>
        <w:pStyle w:val="BodyText"/>
        <w:spacing w:before="15"/>
        <w:ind w:left="3049"/>
      </w:pPr>
      <w:r>
        <w:rPr/>
        <w:t>继发性帕金森综合征不在保障范围内。</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spacing w:before="67"/>
        <w:ind w:left="3049"/>
      </w:pPr>
      <w:r>
        <w:rPr/>
        <w:t>指烧伤程度为Ⅲ度，且Ⅲ度烧伤的面积达到全身体表面积的 20％或</w:t>
      </w:r>
    </w:p>
    <w:p>
      <w:pPr>
        <w:pStyle w:val="BodyText"/>
        <w:spacing w:before="67"/>
        <w:ind w:left="3049"/>
      </w:pPr>
      <w:r>
        <w:rPr/>
        <w:t>20％以上。体表面积根据《中国新九分法》计算。</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spacing w:after="0" w:line="240" w:lineRule="auto"/>
        <w:jc w:val="left"/>
        <w:rPr>
          <w:sz w:val="21"/>
        </w:rPr>
        <w:sectPr>
          <w:pgSz w:w="11910" w:h="16840"/>
          <w:pgMar w:header="0" w:footer="919" w:top="1580" w:bottom="1180" w:left="1200" w:right="1240"/>
        </w:sectPr>
      </w:pPr>
    </w:p>
    <w:p>
      <w:pPr>
        <w:pStyle w:val="BodyText"/>
        <w:spacing w:before="12"/>
        <w:rPr>
          <w:sz w:val="26"/>
        </w:rPr>
      </w:pPr>
    </w:p>
    <w:p>
      <w:pPr>
        <w:pStyle w:val="BodyText"/>
        <w:spacing w:line="300" w:lineRule="auto" w:before="36"/>
        <w:ind w:left="3049"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8"/>
        <w:ind w:left="3049"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before="68"/>
        <w:ind w:left="3049"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before="67"/>
        <w:ind w:left="3049" w:right="209"/>
      </w:pPr>
      <w:r>
        <w:rPr/>
        <w:t>指因骨髓造血功能慢性持续性衰竭导致的贫血、中性粒细胞减少及血小板减少。须满足下列全部条件：</w:t>
      </w:r>
    </w:p>
    <w:p>
      <w:pPr>
        <w:pStyle w:val="BodyText"/>
        <w:spacing w:before="15"/>
        <w:ind w:left="3049"/>
      </w:pPr>
      <w:r>
        <w:rPr/>
        <w:t>① 骨髓穿刺检查或骨髓活检结果支持诊断；</w:t>
      </w:r>
    </w:p>
    <w:p>
      <w:pPr>
        <w:pStyle w:val="BodyText"/>
        <w:spacing w:before="68"/>
        <w:ind w:left="3049"/>
      </w:pPr>
      <w:r>
        <w:rPr/>
        <w:t>② 外周血象须具备以下三项条件：</w:t>
      </w:r>
    </w:p>
    <w:p>
      <w:pPr>
        <w:pStyle w:val="ListParagraph"/>
        <w:numPr>
          <w:ilvl w:val="0"/>
          <w:numId w:val="6"/>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6"/>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6"/>
        </w:numPr>
        <w:tabs>
          <w:tab w:pos="3468" w:val="left" w:leader="none"/>
          <w:tab w:pos="3469" w:val="left" w:leader="none"/>
        </w:tabs>
        <w:spacing w:line="240" w:lineRule="auto" w:before="67"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rPr>
          <w:sz w:val="31"/>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before="68"/>
        <w:ind w:left="3049"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ind w:left="3049"/>
      </w:pPr>
      <w:r>
        <w:rPr/>
        <w:t>动脉内血管成形术不在保障范围内。</w:t>
      </w:r>
    </w:p>
    <w:p>
      <w:pPr>
        <w:pStyle w:val="BodyText"/>
        <w:rPr>
          <w:sz w:val="20"/>
        </w:rPr>
      </w:pPr>
    </w:p>
    <w:p>
      <w:pPr>
        <w:pStyle w:val="BodyText"/>
        <w:tabs>
          <w:tab w:pos="3468" w:val="left" w:leader="none"/>
        </w:tabs>
        <w:spacing w:line="300" w:lineRule="auto" w:before="149"/>
        <w:ind w:left="3469" w:right="262" w:hanging="420"/>
      </w:pPr>
      <w:r>
        <w:rPr/>
        <w:t>2.</w:t>
        <w:tab/>
        <w:t>6</w:t>
      </w:r>
      <w:r>
        <w:rPr>
          <w:spacing w:val="-5"/>
        </w:rPr>
        <w:t> 种中国保险行业协会推荐范围以外的疾病是指符合下列条件的疾病：</w:t>
      </w:r>
    </w:p>
    <w:p>
      <w:pPr>
        <w:pStyle w:val="BodyText"/>
        <w:spacing w:before="6"/>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before="68"/>
        <w:ind w:left="3049" w:right="2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p>
    <w:p>
      <w:pPr>
        <w:spacing w:after="0" w:line="300" w:lineRule="auto"/>
        <w:jc w:val="both"/>
        <w:sectPr>
          <w:pgSz w:w="11910" w:h="16840"/>
          <w:pgMar w:header="0" w:footer="919" w:top="1580" w:bottom="1180" w:left="1200" w:right="1140"/>
        </w:sectPr>
      </w:pPr>
    </w:p>
    <w:p>
      <w:pPr>
        <w:pStyle w:val="BodyText"/>
        <w:spacing w:before="12"/>
        <w:rPr>
          <w:sz w:val="26"/>
        </w:rPr>
      </w:pPr>
    </w:p>
    <w:p>
      <w:pPr>
        <w:pStyle w:val="BodyText"/>
        <w:spacing w:before="36"/>
        <w:ind w:left="3049"/>
      </w:pPr>
      <w:r>
        <w:rPr/>
        <w:t>项以上。</w:t>
      </w:r>
    </w:p>
    <w:p>
      <w:pPr>
        <w:pStyle w:val="BodyText"/>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3"/>
          <w:sz w:val="21"/>
        </w:rPr>
        <w:t>严重肌营养不良症</w:t>
      </w:r>
    </w:p>
    <w:p>
      <w:pPr>
        <w:pStyle w:val="BodyText"/>
        <w:spacing w:line="300" w:lineRule="auto" w:before="68"/>
        <w:ind w:left="3049" w:right="109"/>
      </w:pPr>
      <w:r>
        <w:rPr/>
        <w:t>是一组以与神经系统无关的肌肉无力及萎缩为特征的遗传性疾病，并导致永久性运动功能障碍。须满足下列全部条件：</w:t>
      </w:r>
    </w:p>
    <w:p>
      <w:pPr>
        <w:pStyle w:val="BodyText"/>
        <w:tabs>
          <w:tab w:pos="3468" w:val="left" w:leader="none"/>
        </w:tabs>
        <w:spacing w:before="16"/>
        <w:ind w:left="3049"/>
      </w:pPr>
      <w:r>
        <w:rPr/>
        <w:t>①</w:t>
        <w:tab/>
      </w:r>
      <w:r>
        <w:rPr>
          <w:spacing w:val="-3"/>
        </w:rPr>
        <w:t>肌电图显示肌营养不良症的特征性改变；</w:t>
      </w:r>
    </w:p>
    <w:p>
      <w:pPr>
        <w:pStyle w:val="BodyText"/>
        <w:tabs>
          <w:tab w:pos="3468" w:val="left" w:leader="none"/>
        </w:tabs>
        <w:spacing w:line="300" w:lineRule="auto" w:before="68"/>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rPr>
          <w:sz w:val="27"/>
        </w:rPr>
      </w:pPr>
    </w:p>
    <w:p>
      <w:pPr>
        <w:pStyle w:val="ListParagraph"/>
        <w:numPr>
          <w:ilvl w:val="0"/>
          <w:numId w:val="5"/>
        </w:numPr>
        <w:tabs>
          <w:tab w:pos="3888" w:val="left" w:leader="none"/>
          <w:tab w:pos="3889" w:val="left" w:leader="none"/>
        </w:tabs>
        <w:spacing w:line="240" w:lineRule="auto" w:before="1"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before="68"/>
        <w:ind w:left="3049" w:right="1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5"/>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before="68"/>
        <w:ind w:left="3049" w:right="10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ind w:left="3049"/>
      </w:pPr>
      <w:r>
        <w:rPr/>
        <w:t>世界卫生组织（WHO）对狼疮性肾炎的分类标准：</w:t>
      </w:r>
    </w:p>
    <w:p>
      <w:pPr>
        <w:pStyle w:val="ListParagraph"/>
        <w:numPr>
          <w:ilvl w:val="0"/>
          <w:numId w:val="7"/>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7"/>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7"/>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7"/>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7"/>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7"/>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rPr>
          <w:sz w:val="20"/>
        </w:rPr>
      </w:pPr>
    </w:p>
    <w:p>
      <w:pPr>
        <w:pStyle w:val="ListParagraph"/>
        <w:numPr>
          <w:ilvl w:val="0"/>
          <w:numId w:val="5"/>
        </w:numPr>
        <w:tabs>
          <w:tab w:pos="3888" w:val="left" w:leader="none"/>
          <w:tab w:pos="3889" w:val="left" w:leader="none"/>
        </w:tabs>
        <w:spacing w:line="240" w:lineRule="auto" w:before="150" w:after="0"/>
        <w:ind w:left="3889" w:right="0" w:hanging="840"/>
        <w:jc w:val="left"/>
        <w:rPr>
          <w:sz w:val="21"/>
        </w:rPr>
      </w:pPr>
      <w:r>
        <w:rPr>
          <w:spacing w:val="-3"/>
          <w:sz w:val="21"/>
        </w:rPr>
        <w:t>严重类风湿性关节炎</w:t>
      </w:r>
    </w:p>
    <w:p>
      <w:pPr>
        <w:pStyle w:val="BodyText"/>
        <w:spacing w:line="300" w:lineRule="auto" w:before="67"/>
        <w:ind w:left="3049" w:right="109"/>
      </w:pPr>
      <w:r>
        <w:rPr/>
        <w:t>是指广泛的慢性渐进性的关节损害，伴有明显的关节畸形，必须具有下列所有情况：</w:t>
      </w:r>
    </w:p>
    <w:p>
      <w:pPr>
        <w:pStyle w:val="BodyText"/>
        <w:tabs>
          <w:tab w:pos="3468" w:val="left" w:leader="none"/>
        </w:tabs>
        <w:spacing w:before="15"/>
        <w:ind w:left="3049"/>
      </w:pPr>
      <w:r>
        <w:rPr/>
        <w:t>①</w:t>
        <w:tab/>
      </w:r>
      <w:r>
        <w:rPr>
          <w:spacing w:val="-7"/>
        </w:rPr>
        <w:t>符合美国风湿病学学会的 </w:t>
      </w:r>
      <w:r>
        <w:rPr/>
        <w:t>1987</w:t>
      </w:r>
      <w:r>
        <w:rPr>
          <w:spacing w:val="-9"/>
        </w:rPr>
        <w:t> 年诊断标准；</w:t>
      </w:r>
    </w:p>
    <w:p>
      <w:pPr>
        <w:spacing w:after="0"/>
        <w:sectPr>
          <w:pgSz w:w="11910" w:h="16840"/>
          <w:pgMar w:header="0" w:footer="919" w:top="1580" w:bottom="1180" w:left="1200" w:right="1240"/>
        </w:sectPr>
      </w:pPr>
    </w:p>
    <w:p>
      <w:pPr>
        <w:pStyle w:val="BodyText"/>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5269"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tabs>
                <w:tab w:pos="569" w:val="left" w:leader="none"/>
              </w:tabs>
              <w:spacing w:line="211" w:lineRule="exact" w:before="0"/>
              <w:ind w:left="149"/>
              <w:rPr>
                <w:sz w:val="21"/>
              </w:rPr>
            </w:pPr>
            <w:r>
              <w:rPr>
                <w:sz w:val="21"/>
              </w:rPr>
              <w:t>②</w:t>
              <w:tab/>
            </w:r>
            <w:r>
              <w:rPr>
                <w:spacing w:val="-7"/>
                <w:sz w:val="21"/>
              </w:rPr>
              <w:t>广泛性关节损害及下列 </w:t>
            </w:r>
            <w:r>
              <w:rPr>
                <w:sz w:val="21"/>
              </w:rPr>
              <w:t>6</w:t>
            </w:r>
            <w:r>
              <w:rPr>
                <w:spacing w:val="-8"/>
                <w:sz w:val="21"/>
              </w:rPr>
              <w:t> 个关节部位有三个或以上出现严重临床</w:t>
            </w:r>
          </w:p>
          <w:p>
            <w:pPr>
              <w:pStyle w:val="TableParagraph"/>
              <w:ind w:left="569"/>
              <w:rPr>
                <w:sz w:val="21"/>
              </w:rPr>
            </w:pPr>
            <w:r>
              <w:rPr>
                <w:sz w:val="21"/>
              </w:rPr>
              <w:t>变形: 手、腕、肘、膝、髋、踝；</w:t>
            </w:r>
          </w:p>
          <w:p>
            <w:pPr>
              <w:pStyle w:val="TableParagraph"/>
              <w:tabs>
                <w:tab w:pos="569" w:val="left" w:leader="none"/>
              </w:tabs>
              <w:spacing w:line="300" w:lineRule="auto"/>
              <w:ind w:left="569" w:right="304"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6"/>
              <w:ind w:left="149" w:right="304"/>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tabs>
                <w:tab w:pos="989" w:val="left" w:leader="none"/>
              </w:tabs>
              <w:spacing w:before="129"/>
              <w:ind w:left="149"/>
              <w:rPr>
                <w:sz w:val="21"/>
              </w:rPr>
            </w:pPr>
            <w:r>
              <w:rPr>
                <w:sz w:val="21"/>
              </w:rPr>
              <w:t>(30)</w:t>
              <w:tab/>
            </w:r>
            <w:r>
              <w:rPr>
                <w:spacing w:val="-3"/>
                <w:sz w:val="21"/>
              </w:rPr>
              <w:t>全身性重症肌无力</w:t>
            </w:r>
          </w:p>
          <w:p>
            <w:pPr>
              <w:pStyle w:val="TableParagraph"/>
              <w:spacing w:line="300" w:lineRule="auto"/>
              <w:ind w:left="149" w:right="196"/>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702" w:hRule="atLeast"/>
        </w:trPr>
        <w:tc>
          <w:tcPr>
            <w:tcW w:w="735" w:type="dxa"/>
          </w:tcPr>
          <w:p>
            <w:pPr>
              <w:pStyle w:val="TableParagraph"/>
              <w:spacing w:before="5"/>
              <w:ind w:left="0"/>
              <w:rPr>
                <w:rFonts w:ascii="Times New Roman"/>
                <w:sz w:val="16"/>
              </w:rPr>
            </w:pPr>
          </w:p>
          <w:p>
            <w:pPr>
              <w:pStyle w:val="TableParagraph"/>
              <w:spacing w:before="0"/>
              <w:ind w:left="200"/>
              <w:rPr>
                <w:sz w:val="21"/>
              </w:rPr>
            </w:pPr>
            <w:r>
              <w:rPr>
                <w:w w:val="100"/>
                <w:sz w:val="21"/>
              </w:rPr>
              <w:t>四</w:t>
            </w:r>
          </w:p>
        </w:tc>
        <w:tc>
          <w:tcPr>
            <w:tcW w:w="1735" w:type="dxa"/>
          </w:tcPr>
          <w:p>
            <w:pPr>
              <w:pStyle w:val="TableParagraph"/>
              <w:spacing w:before="5"/>
              <w:ind w:left="0"/>
              <w:rPr>
                <w:rFonts w:ascii="Times New Roman"/>
                <w:sz w:val="16"/>
              </w:rPr>
            </w:pPr>
          </w:p>
          <w:p>
            <w:pPr>
              <w:pStyle w:val="TableParagraph"/>
              <w:spacing w:before="0"/>
              <w:ind w:left="324"/>
              <w:rPr>
                <w:sz w:val="21"/>
              </w:rPr>
            </w:pPr>
            <w:r>
              <w:rPr>
                <w:sz w:val="21"/>
              </w:rPr>
              <w:t>意外伤害</w:t>
            </w:r>
          </w:p>
        </w:tc>
        <w:tc>
          <w:tcPr>
            <w:tcW w:w="6762" w:type="dxa"/>
          </w:tcPr>
          <w:p>
            <w:pPr>
              <w:pStyle w:val="TableParagraph"/>
              <w:spacing w:before="5"/>
              <w:ind w:left="0"/>
              <w:rPr>
                <w:rFonts w:ascii="Times New Roman"/>
                <w:sz w:val="16"/>
              </w:rPr>
            </w:pPr>
          </w:p>
          <w:p>
            <w:pPr>
              <w:pStyle w:val="TableParagraph"/>
              <w:spacing w:before="0"/>
              <w:ind w:left="149"/>
              <w:rPr>
                <w:sz w:val="21"/>
              </w:rPr>
            </w:pPr>
            <w:r>
              <w:rPr>
                <w:sz w:val="21"/>
              </w:rPr>
              <w:t>指外来的、突然的、非本意的、非疾病的使身体受到伤害的客观事件。</w:t>
            </w:r>
          </w:p>
        </w:tc>
      </w:tr>
      <w:tr>
        <w:trPr>
          <w:trHeight w:val="1716"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毒品</w:t>
            </w:r>
          </w:p>
        </w:tc>
        <w:tc>
          <w:tcPr>
            <w:tcW w:w="6762" w:type="dxa"/>
          </w:tcPr>
          <w:p>
            <w:pPr>
              <w:pStyle w:val="TableParagraph"/>
              <w:spacing w:line="300" w:lineRule="auto" w:before="174"/>
              <w:ind w:left="149" w:right="304"/>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372"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酒后驾驶</w:t>
            </w:r>
          </w:p>
        </w:tc>
        <w:tc>
          <w:tcPr>
            <w:tcW w:w="6762" w:type="dxa"/>
          </w:tcPr>
          <w:p>
            <w:pPr>
              <w:pStyle w:val="TableParagraph"/>
              <w:spacing w:line="300" w:lineRule="auto" w:before="174"/>
              <w:ind w:left="149" w:right="304"/>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3"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line="300" w:lineRule="auto" w:before="174"/>
              <w:ind w:left="324" w:right="146"/>
              <w:rPr>
                <w:sz w:val="21"/>
              </w:rPr>
            </w:pPr>
            <w:r>
              <w:rPr>
                <w:sz w:val="21"/>
              </w:rPr>
              <w:t>无合法有效驾驶证驾驶</w:t>
            </w:r>
          </w:p>
        </w:tc>
        <w:tc>
          <w:tcPr>
            <w:tcW w:w="6762" w:type="dxa"/>
          </w:tcPr>
          <w:p>
            <w:pPr>
              <w:pStyle w:val="TableParagraph"/>
              <w:spacing w:before="174"/>
              <w:ind w:left="149"/>
              <w:rPr>
                <w:sz w:val="21"/>
              </w:rPr>
            </w:pPr>
            <w:r>
              <w:rPr>
                <w:sz w:val="21"/>
              </w:rPr>
              <w:t>指下列情形之一：</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没有取得驾驶资格；</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驾驶与驾驶证准驾车型不相符合的车辆；</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持审验不合格的驾驶证驾驶；</w:t>
            </w:r>
          </w:p>
          <w:p>
            <w:pPr>
              <w:pStyle w:val="TableParagraph"/>
              <w:numPr>
                <w:ilvl w:val="0"/>
                <w:numId w:val="8"/>
              </w:numPr>
              <w:tabs>
                <w:tab w:pos="569" w:val="left" w:leader="none"/>
                <w:tab w:pos="570" w:val="left" w:leader="none"/>
              </w:tabs>
              <w:spacing w:line="300" w:lineRule="auto" w:before="68" w:after="0"/>
              <w:ind w:left="569" w:right="196" w:hanging="420"/>
              <w:jc w:val="left"/>
              <w:rPr>
                <w:sz w:val="21"/>
              </w:rPr>
            </w:pPr>
            <w:r>
              <w:rPr>
                <w:spacing w:val="-10"/>
                <w:sz w:val="21"/>
              </w:rPr>
              <w:t>持学习驾驶证学习驾车时，无教练员随车指导，或不按指定时间、</w:t>
            </w:r>
            <w:r>
              <w:rPr>
                <w:spacing w:val="-5"/>
                <w:sz w:val="21"/>
              </w:rPr>
              <w:t>路线学习驾车。</w:t>
            </w:r>
          </w:p>
        </w:tc>
      </w:tr>
      <w:tr>
        <w:trPr>
          <w:trHeight w:val="1135"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before="174"/>
              <w:ind w:left="324"/>
              <w:rPr>
                <w:sz w:val="21"/>
              </w:rPr>
            </w:pPr>
            <w:r>
              <w:rPr>
                <w:sz w:val="21"/>
              </w:rPr>
              <w:t>无有效行驶证</w:t>
            </w:r>
          </w:p>
        </w:tc>
        <w:tc>
          <w:tcPr>
            <w:tcW w:w="6762" w:type="dxa"/>
          </w:tcPr>
          <w:p>
            <w:pPr>
              <w:pStyle w:val="TableParagraph"/>
              <w:spacing w:before="174"/>
              <w:ind w:left="149"/>
              <w:rPr>
                <w:sz w:val="21"/>
              </w:rPr>
            </w:pPr>
            <w:r>
              <w:rPr>
                <w:sz w:val="21"/>
              </w:rPr>
              <w:t>指下列情形之一：</w:t>
            </w:r>
          </w:p>
          <w:p>
            <w:pPr>
              <w:pStyle w:val="TableParagraph"/>
              <w:numPr>
                <w:ilvl w:val="0"/>
                <w:numId w:val="9"/>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9"/>
              </w:numPr>
              <w:tabs>
                <w:tab w:pos="510" w:val="left" w:leader="none"/>
              </w:tabs>
              <w:spacing w:line="255" w:lineRule="exact" w:before="68" w:after="0"/>
              <w:ind w:left="509" w:right="0" w:hanging="360"/>
              <w:jc w:val="left"/>
              <w:rPr>
                <w:sz w:val="21"/>
              </w:rPr>
            </w:pPr>
            <w:r>
              <w:rPr>
                <w:spacing w:val="-3"/>
                <w:sz w:val="21"/>
              </w:rPr>
              <w:t>未依法按时进行或通过机动车安全技术检验。</w:t>
            </w:r>
          </w:p>
        </w:tc>
      </w:tr>
    </w:tbl>
    <w:p>
      <w:pPr>
        <w:spacing w:after="0" w:line="255" w:lineRule="exact"/>
        <w:jc w:val="left"/>
        <w:rPr>
          <w:sz w:val="21"/>
        </w:rPr>
        <w:sectPr>
          <w:pgSz w:w="11910" w:h="16840"/>
          <w:pgMar w:header="0" w:footer="919" w:top="1580" w:bottom="1100" w:left="1200" w:right="94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135" w:hRule="atLeast"/>
        </w:trPr>
        <w:tc>
          <w:tcPr>
            <w:tcW w:w="894" w:type="dxa"/>
          </w:tcPr>
          <w:p>
            <w:pPr>
              <w:pStyle w:val="TableParagraph"/>
              <w:spacing w:line="211" w:lineRule="exact" w:before="0"/>
              <w:ind w:left="0" w:right="88"/>
              <w:jc w:val="center"/>
              <w:rPr>
                <w:sz w:val="21"/>
              </w:rPr>
            </w:pPr>
            <w:r>
              <w:rPr>
                <w:w w:val="100"/>
                <w:sz w:val="21"/>
              </w:rPr>
              <w:t>九</w:t>
            </w:r>
          </w:p>
        </w:tc>
        <w:tc>
          <w:tcPr>
            <w:tcW w:w="1683" w:type="dxa"/>
          </w:tcPr>
          <w:p>
            <w:pPr>
              <w:pStyle w:val="TableParagraph"/>
              <w:spacing w:line="211" w:lineRule="exact" w:before="0"/>
              <w:ind w:left="270"/>
              <w:rPr>
                <w:sz w:val="21"/>
              </w:rPr>
            </w:pPr>
            <w:r>
              <w:rPr>
                <w:sz w:val="21"/>
              </w:rPr>
              <w:t>先天性畸形、</w:t>
            </w:r>
          </w:p>
          <w:p>
            <w:pPr>
              <w:pStyle w:val="TableParagraph"/>
              <w:spacing w:line="300" w:lineRule="auto"/>
              <w:ind w:left="270" w:right="147"/>
              <w:rPr>
                <w:sz w:val="21"/>
              </w:rPr>
            </w:pPr>
            <w:r>
              <w:rPr>
                <w:sz w:val="21"/>
              </w:rPr>
              <w:t>变形或染色体异常</w:t>
            </w:r>
          </w:p>
        </w:tc>
        <w:tc>
          <w:tcPr>
            <w:tcW w:w="6763" w:type="dxa"/>
          </w:tcPr>
          <w:p>
            <w:pPr>
              <w:pStyle w:val="TableParagraph"/>
              <w:spacing w:line="211" w:lineRule="exact" w:before="0"/>
              <w:ind w:left="148"/>
              <w:rPr>
                <w:sz w:val="21"/>
              </w:rPr>
            </w:pPr>
            <w:r>
              <w:rPr>
                <w:sz w:val="21"/>
              </w:rPr>
              <w:t>指被保险人出生时就具有的畸形、变形或染色体异常。先天性畸形、</w:t>
            </w:r>
          </w:p>
          <w:p>
            <w:pPr>
              <w:pStyle w:val="TableParagraph"/>
              <w:spacing w:line="300" w:lineRule="auto"/>
              <w:ind w:left="148" w:right="306"/>
              <w:rPr>
                <w:sz w:val="21"/>
              </w:rPr>
            </w:pPr>
            <w:r>
              <w:rPr>
                <w:sz w:val="21"/>
              </w:rPr>
              <w:t>变形和染色体异常依照世界卫生组织《疾病和有关健康问题的国际统计分类》（ICD-10）确定。</w:t>
            </w:r>
          </w:p>
        </w:tc>
      </w:tr>
      <w:tr>
        <w:trPr>
          <w:trHeight w:val="1029" w:hRule="atLeast"/>
        </w:trPr>
        <w:tc>
          <w:tcPr>
            <w:tcW w:w="894" w:type="dxa"/>
          </w:tcPr>
          <w:p>
            <w:pPr>
              <w:pStyle w:val="TableParagraph"/>
              <w:spacing w:before="174"/>
              <w:ind w:left="0" w:right="69"/>
              <w:jc w:val="center"/>
              <w:rPr>
                <w:sz w:val="21"/>
              </w:rPr>
            </w:pPr>
            <w:r>
              <w:rPr>
                <w:w w:val="100"/>
                <w:sz w:val="21"/>
              </w:rPr>
              <w:t>十</w:t>
            </w:r>
          </w:p>
        </w:tc>
        <w:tc>
          <w:tcPr>
            <w:tcW w:w="1683" w:type="dxa"/>
          </w:tcPr>
          <w:p>
            <w:pPr>
              <w:pStyle w:val="TableParagraph"/>
              <w:spacing w:before="174"/>
              <w:ind w:left="270"/>
              <w:rPr>
                <w:sz w:val="21"/>
              </w:rPr>
            </w:pPr>
            <w:r>
              <w:rPr>
                <w:sz w:val="21"/>
              </w:rPr>
              <w:t>周岁</w:t>
            </w:r>
          </w:p>
        </w:tc>
        <w:tc>
          <w:tcPr>
            <w:tcW w:w="6763" w:type="dxa"/>
          </w:tcPr>
          <w:p>
            <w:pPr>
              <w:pStyle w:val="TableParagraph"/>
              <w:spacing w:line="300" w:lineRule="auto" w:before="174"/>
              <w:ind w:left="148" w:right="307"/>
              <w:rPr>
                <w:sz w:val="21"/>
              </w:rPr>
            </w:pPr>
            <w:r>
              <w:rPr>
                <w:sz w:val="21"/>
              </w:rPr>
              <w:t>按照公历的年、月、日计算，从周岁生日的第二天起，为年满××周岁。</w:t>
            </w:r>
          </w:p>
        </w:tc>
      </w:tr>
      <w:tr>
        <w:trPr>
          <w:trHeight w:val="2746"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0"/>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10"/>
              </w:numPr>
              <w:tabs>
                <w:tab w:pos="509" w:val="left" w:leader="none"/>
              </w:tabs>
              <w:spacing w:line="300" w:lineRule="auto" w:before="15"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10"/>
              </w:numPr>
              <w:tabs>
                <w:tab w:pos="509" w:val="left" w:leader="none"/>
              </w:tabs>
              <w:spacing w:line="240" w:lineRule="auto" w:before="15"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2"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40" w:lineRule="atLeast" w:before="109"/>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spacing w:after="0" w:line="340" w:lineRule="atLeast"/>
        <w:rPr>
          <w:sz w:val="21"/>
        </w:rPr>
        <w:sectPr>
          <w:pgSz w:w="11910" w:h="16840"/>
          <w:pgMar w:header="0" w:footer="919" w:top="1580" w:bottom="1100" w:left="1200" w:right="940"/>
        </w:sectPr>
      </w:pPr>
    </w:p>
    <w:p>
      <w:pPr>
        <w:pStyle w:val="BodyText"/>
        <w:rPr>
          <w:rFonts w:ascii="Times New Roman"/>
          <w:sz w:val="20"/>
        </w:rPr>
      </w:pPr>
    </w:p>
    <w:p>
      <w:pPr>
        <w:pStyle w:val="Heading1"/>
        <w:spacing w:before="158"/>
      </w:pPr>
      <w:r>
        <w:rPr/>
        <w:t>附表一：</w:t>
      </w:r>
    </w:p>
    <w:p>
      <w:pPr>
        <w:spacing w:before="67"/>
        <w:ind w:left="3862" w:right="3461" w:firstLine="0"/>
        <w:jc w:val="center"/>
        <w:rPr>
          <w:b/>
          <w:sz w:val="21"/>
        </w:rPr>
      </w:pPr>
      <w:r>
        <w:rPr>
          <w:b/>
          <w:sz w:val="21"/>
        </w:rPr>
        <w:t>保险费退还比例表</w:t>
      </w:r>
    </w:p>
    <w:p>
      <w:pPr>
        <w:pStyle w:val="BodyText"/>
        <w:rPr>
          <w:b/>
          <w:sz w:val="20"/>
        </w:rPr>
      </w:pPr>
    </w:p>
    <w:p>
      <w:pPr>
        <w:pStyle w:val="BodyText"/>
        <w:spacing w:before="3"/>
        <w:rPr>
          <w:b/>
          <w:sz w:val="11"/>
        </w:rPr>
      </w:pPr>
    </w:p>
    <w:tbl>
      <w:tblPr>
        <w:tblW w:w="0" w:type="auto"/>
        <w:jc w:val="left"/>
        <w:tblInd w:w="16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37"/>
        <w:gridCol w:w="916"/>
        <w:gridCol w:w="1048"/>
        <w:gridCol w:w="1050"/>
        <w:gridCol w:w="956"/>
      </w:tblGrid>
      <w:tr>
        <w:trPr>
          <w:trHeight w:val="342" w:hRule="atLeast"/>
        </w:trPr>
        <w:tc>
          <w:tcPr>
            <w:tcW w:w="2237" w:type="dxa"/>
            <w:vMerge w:val="restart"/>
          </w:tcPr>
          <w:p>
            <w:pPr>
              <w:pStyle w:val="TableParagraph"/>
              <w:spacing w:line="300" w:lineRule="auto" w:before="9"/>
              <w:ind w:left="69" w:right="47"/>
              <w:rPr>
                <w:sz w:val="21"/>
              </w:rPr>
            </w:pPr>
            <w:r>
              <w:rPr>
                <w:sz w:val="21"/>
              </w:rPr>
              <w:t>本附加合同最近一期已交保险费未到期的月数</w:t>
            </w:r>
          </w:p>
        </w:tc>
        <w:tc>
          <w:tcPr>
            <w:tcW w:w="3970" w:type="dxa"/>
            <w:gridSpan w:val="4"/>
            <w:tcBorders>
              <w:right w:val="single" w:sz="4" w:space="0" w:color="000000"/>
            </w:tcBorders>
          </w:tcPr>
          <w:p>
            <w:pPr>
              <w:pStyle w:val="TableParagraph"/>
              <w:spacing w:before="1"/>
              <w:ind w:left="412"/>
              <w:rPr>
                <w:sz w:val="21"/>
              </w:rPr>
            </w:pPr>
            <w:r>
              <w:rPr>
                <w:sz w:val="21"/>
              </w:rPr>
              <w:t>不同交费方式下退还保险费的比例</w:t>
            </w:r>
          </w:p>
        </w:tc>
      </w:tr>
      <w:tr>
        <w:trPr>
          <w:trHeight w:val="345" w:hRule="atLeast"/>
        </w:trPr>
        <w:tc>
          <w:tcPr>
            <w:tcW w:w="2237" w:type="dxa"/>
            <w:vMerge/>
            <w:tcBorders>
              <w:top w:val="nil"/>
            </w:tcBorders>
          </w:tcPr>
          <w:p>
            <w:pPr>
              <w:rPr>
                <w:sz w:val="2"/>
                <w:szCs w:val="2"/>
              </w:rPr>
            </w:pPr>
          </w:p>
        </w:tc>
        <w:tc>
          <w:tcPr>
            <w:tcW w:w="916" w:type="dxa"/>
          </w:tcPr>
          <w:p>
            <w:pPr>
              <w:pStyle w:val="TableParagraph"/>
              <w:spacing w:before="4"/>
              <w:ind w:left="230" w:right="210"/>
              <w:jc w:val="center"/>
              <w:rPr>
                <w:sz w:val="21"/>
              </w:rPr>
            </w:pPr>
            <w:r>
              <w:rPr>
                <w:sz w:val="21"/>
              </w:rPr>
              <w:t>月交</w:t>
            </w:r>
          </w:p>
        </w:tc>
        <w:tc>
          <w:tcPr>
            <w:tcW w:w="1048" w:type="dxa"/>
          </w:tcPr>
          <w:p>
            <w:pPr>
              <w:pStyle w:val="TableParagraph"/>
              <w:spacing w:before="4"/>
              <w:ind w:left="315"/>
              <w:rPr>
                <w:sz w:val="21"/>
              </w:rPr>
            </w:pPr>
            <w:r>
              <w:rPr>
                <w:sz w:val="21"/>
              </w:rPr>
              <w:t>季交</w:t>
            </w:r>
          </w:p>
        </w:tc>
        <w:tc>
          <w:tcPr>
            <w:tcW w:w="1050" w:type="dxa"/>
          </w:tcPr>
          <w:p>
            <w:pPr>
              <w:pStyle w:val="TableParagraph"/>
              <w:spacing w:before="4"/>
              <w:ind w:left="213"/>
              <w:rPr>
                <w:sz w:val="21"/>
              </w:rPr>
            </w:pPr>
            <w:r>
              <w:rPr>
                <w:sz w:val="21"/>
              </w:rPr>
              <w:t>半年交</w:t>
            </w:r>
          </w:p>
        </w:tc>
        <w:tc>
          <w:tcPr>
            <w:tcW w:w="956" w:type="dxa"/>
          </w:tcPr>
          <w:p>
            <w:pPr>
              <w:pStyle w:val="TableParagraph"/>
              <w:spacing w:before="4"/>
              <w:ind w:left="274"/>
              <w:rPr>
                <w:sz w:val="21"/>
              </w:rPr>
            </w:pPr>
            <w:r>
              <w:rPr>
                <w:sz w:val="21"/>
              </w:rPr>
              <w:t>年交</w:t>
            </w:r>
          </w:p>
        </w:tc>
      </w:tr>
      <w:tr>
        <w:trPr>
          <w:trHeight w:val="342" w:hRule="atLeast"/>
        </w:trPr>
        <w:tc>
          <w:tcPr>
            <w:tcW w:w="2237" w:type="dxa"/>
          </w:tcPr>
          <w:p>
            <w:pPr>
              <w:pStyle w:val="TableParagraph"/>
              <w:spacing w:before="1"/>
              <w:ind w:left="20" w:right="3"/>
              <w:jc w:val="center"/>
              <w:rPr>
                <w:sz w:val="21"/>
              </w:rPr>
            </w:pPr>
            <w:r>
              <w:rPr>
                <w:sz w:val="21"/>
              </w:rPr>
              <w:t>满 10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20"/>
              <w:jc w:val="center"/>
              <w:rPr>
                <w:sz w:val="21"/>
              </w:rPr>
            </w:pPr>
            <w:r>
              <w:rPr>
                <w:w w:val="100"/>
                <w:sz w:val="21"/>
              </w:rPr>
              <w:t>—</w:t>
            </w:r>
          </w:p>
        </w:tc>
        <w:tc>
          <w:tcPr>
            <w:tcW w:w="1050" w:type="dxa"/>
          </w:tcPr>
          <w:p>
            <w:pPr>
              <w:pStyle w:val="TableParagraph"/>
              <w:spacing w:before="1"/>
              <w:ind w:left="20"/>
              <w:jc w:val="center"/>
              <w:rPr>
                <w:sz w:val="21"/>
              </w:rPr>
            </w:pPr>
            <w:r>
              <w:rPr>
                <w:w w:val="100"/>
                <w:sz w:val="21"/>
              </w:rPr>
              <w:t>—</w:t>
            </w:r>
          </w:p>
        </w:tc>
        <w:tc>
          <w:tcPr>
            <w:tcW w:w="956" w:type="dxa"/>
          </w:tcPr>
          <w:p>
            <w:pPr>
              <w:pStyle w:val="TableParagraph"/>
              <w:spacing w:before="1"/>
              <w:ind w:left="257"/>
              <w:rPr>
                <w:sz w:val="21"/>
              </w:rPr>
            </w:pPr>
            <w:r>
              <w:rPr>
                <w:sz w:val="21"/>
              </w:rPr>
              <w:t>60%</w:t>
            </w:r>
          </w:p>
        </w:tc>
      </w:tr>
      <w:tr>
        <w:trPr>
          <w:trHeight w:val="342" w:hRule="atLeast"/>
        </w:trPr>
        <w:tc>
          <w:tcPr>
            <w:tcW w:w="2237" w:type="dxa"/>
          </w:tcPr>
          <w:p>
            <w:pPr>
              <w:pStyle w:val="TableParagraph"/>
              <w:spacing w:before="1"/>
              <w:ind w:left="20" w:right="3"/>
              <w:jc w:val="center"/>
              <w:rPr>
                <w:sz w:val="21"/>
              </w:rPr>
            </w:pPr>
            <w:r>
              <w:rPr>
                <w:spacing w:val="-29"/>
                <w:sz w:val="21"/>
              </w:rPr>
              <w:t>满 </w:t>
            </w:r>
            <w:r>
              <w:rPr>
                <w:sz w:val="21"/>
              </w:rPr>
              <w:t>9</w:t>
            </w:r>
            <w:r>
              <w:rPr>
                <w:spacing w:val="-19"/>
                <w:sz w:val="21"/>
              </w:rPr>
              <w:t> 个月但不满 </w:t>
            </w:r>
            <w:r>
              <w:rPr>
                <w:sz w:val="21"/>
              </w:rPr>
              <w:t>10</w:t>
            </w:r>
            <w:r>
              <w:rPr>
                <w:spacing w:val="-22"/>
                <w:sz w:val="21"/>
              </w:rPr>
              <w:t>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20"/>
              <w:jc w:val="center"/>
              <w:rPr>
                <w:sz w:val="21"/>
              </w:rPr>
            </w:pPr>
            <w:r>
              <w:rPr>
                <w:w w:val="100"/>
                <w:sz w:val="21"/>
              </w:rPr>
              <w:t>—</w:t>
            </w:r>
          </w:p>
        </w:tc>
        <w:tc>
          <w:tcPr>
            <w:tcW w:w="1050" w:type="dxa"/>
          </w:tcPr>
          <w:p>
            <w:pPr>
              <w:pStyle w:val="TableParagraph"/>
              <w:spacing w:before="1"/>
              <w:ind w:left="20"/>
              <w:jc w:val="center"/>
              <w:rPr>
                <w:sz w:val="21"/>
              </w:rPr>
            </w:pPr>
            <w:r>
              <w:rPr>
                <w:w w:val="100"/>
                <w:sz w:val="21"/>
              </w:rPr>
              <w:t>—</w:t>
            </w:r>
          </w:p>
        </w:tc>
        <w:tc>
          <w:tcPr>
            <w:tcW w:w="956" w:type="dxa"/>
          </w:tcPr>
          <w:p>
            <w:pPr>
              <w:pStyle w:val="TableParagraph"/>
              <w:spacing w:before="1"/>
              <w:ind w:left="257"/>
              <w:rPr>
                <w:sz w:val="21"/>
              </w:rPr>
            </w:pPr>
            <w:r>
              <w:rPr>
                <w:sz w:val="21"/>
              </w:rPr>
              <w:t>50%</w:t>
            </w:r>
          </w:p>
        </w:tc>
      </w:tr>
      <w:tr>
        <w:trPr>
          <w:trHeight w:val="342" w:hRule="atLeast"/>
        </w:trPr>
        <w:tc>
          <w:tcPr>
            <w:tcW w:w="2237" w:type="dxa"/>
          </w:tcPr>
          <w:p>
            <w:pPr>
              <w:pStyle w:val="TableParagraph"/>
              <w:spacing w:before="1"/>
              <w:ind w:left="20" w:right="3"/>
              <w:jc w:val="center"/>
              <w:rPr>
                <w:sz w:val="21"/>
              </w:rPr>
            </w:pPr>
            <w:r>
              <w:rPr>
                <w:spacing w:val="-26"/>
                <w:sz w:val="21"/>
              </w:rPr>
              <w:t>满 </w:t>
            </w:r>
            <w:r>
              <w:rPr>
                <w:sz w:val="21"/>
              </w:rPr>
              <w:t>8</w:t>
            </w:r>
            <w:r>
              <w:rPr>
                <w:spacing w:val="-17"/>
                <w:sz w:val="21"/>
              </w:rPr>
              <w:t> 个月但不满 </w:t>
            </w:r>
            <w:r>
              <w:rPr>
                <w:sz w:val="21"/>
              </w:rPr>
              <w:t>9</w:t>
            </w:r>
            <w:r>
              <w:rPr>
                <w:spacing w:val="-19"/>
                <w:sz w:val="21"/>
              </w:rPr>
              <w:t>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20"/>
              <w:jc w:val="center"/>
              <w:rPr>
                <w:sz w:val="21"/>
              </w:rPr>
            </w:pPr>
            <w:r>
              <w:rPr>
                <w:w w:val="100"/>
                <w:sz w:val="21"/>
              </w:rPr>
              <w:t>—</w:t>
            </w:r>
          </w:p>
        </w:tc>
        <w:tc>
          <w:tcPr>
            <w:tcW w:w="1050" w:type="dxa"/>
          </w:tcPr>
          <w:p>
            <w:pPr>
              <w:pStyle w:val="TableParagraph"/>
              <w:spacing w:before="1"/>
              <w:ind w:left="20"/>
              <w:jc w:val="center"/>
              <w:rPr>
                <w:sz w:val="21"/>
              </w:rPr>
            </w:pPr>
            <w:r>
              <w:rPr>
                <w:w w:val="100"/>
                <w:sz w:val="21"/>
              </w:rPr>
              <w:t>—</w:t>
            </w:r>
          </w:p>
        </w:tc>
        <w:tc>
          <w:tcPr>
            <w:tcW w:w="956" w:type="dxa"/>
          </w:tcPr>
          <w:p>
            <w:pPr>
              <w:pStyle w:val="TableParagraph"/>
              <w:spacing w:before="1"/>
              <w:ind w:left="257"/>
              <w:rPr>
                <w:sz w:val="21"/>
              </w:rPr>
            </w:pPr>
            <w:r>
              <w:rPr>
                <w:sz w:val="21"/>
              </w:rPr>
              <w:t>40%</w:t>
            </w:r>
          </w:p>
        </w:tc>
      </w:tr>
      <w:tr>
        <w:trPr>
          <w:trHeight w:val="345" w:hRule="atLeast"/>
        </w:trPr>
        <w:tc>
          <w:tcPr>
            <w:tcW w:w="2237" w:type="dxa"/>
          </w:tcPr>
          <w:p>
            <w:pPr>
              <w:pStyle w:val="TableParagraph"/>
              <w:spacing w:before="4"/>
              <w:ind w:left="20" w:right="3"/>
              <w:jc w:val="center"/>
              <w:rPr>
                <w:sz w:val="21"/>
              </w:rPr>
            </w:pPr>
            <w:r>
              <w:rPr>
                <w:spacing w:val="-26"/>
                <w:sz w:val="21"/>
              </w:rPr>
              <w:t>满 </w:t>
            </w:r>
            <w:r>
              <w:rPr>
                <w:sz w:val="21"/>
              </w:rPr>
              <w:t>7</w:t>
            </w:r>
            <w:r>
              <w:rPr>
                <w:spacing w:val="-17"/>
                <w:sz w:val="21"/>
              </w:rPr>
              <w:t> 个月但不满 </w:t>
            </w:r>
            <w:r>
              <w:rPr>
                <w:sz w:val="21"/>
              </w:rPr>
              <w:t>8</w:t>
            </w:r>
            <w:r>
              <w:rPr>
                <w:spacing w:val="-19"/>
                <w:sz w:val="21"/>
              </w:rPr>
              <w:t> 个月</w:t>
            </w:r>
          </w:p>
        </w:tc>
        <w:tc>
          <w:tcPr>
            <w:tcW w:w="916" w:type="dxa"/>
          </w:tcPr>
          <w:p>
            <w:pPr>
              <w:pStyle w:val="TableParagraph"/>
              <w:spacing w:before="4"/>
              <w:ind w:left="16"/>
              <w:jc w:val="center"/>
              <w:rPr>
                <w:sz w:val="21"/>
              </w:rPr>
            </w:pPr>
            <w:r>
              <w:rPr>
                <w:w w:val="100"/>
                <w:sz w:val="21"/>
              </w:rPr>
              <w:t>—</w:t>
            </w:r>
          </w:p>
        </w:tc>
        <w:tc>
          <w:tcPr>
            <w:tcW w:w="1048" w:type="dxa"/>
          </w:tcPr>
          <w:p>
            <w:pPr>
              <w:pStyle w:val="TableParagraph"/>
              <w:spacing w:before="4"/>
              <w:ind w:left="20"/>
              <w:jc w:val="center"/>
              <w:rPr>
                <w:sz w:val="21"/>
              </w:rPr>
            </w:pPr>
            <w:r>
              <w:rPr>
                <w:w w:val="100"/>
                <w:sz w:val="21"/>
              </w:rPr>
              <w:t>—</w:t>
            </w:r>
          </w:p>
        </w:tc>
        <w:tc>
          <w:tcPr>
            <w:tcW w:w="1050" w:type="dxa"/>
          </w:tcPr>
          <w:p>
            <w:pPr>
              <w:pStyle w:val="TableParagraph"/>
              <w:spacing w:before="4"/>
              <w:ind w:left="20"/>
              <w:jc w:val="center"/>
              <w:rPr>
                <w:sz w:val="21"/>
              </w:rPr>
            </w:pPr>
            <w:r>
              <w:rPr>
                <w:w w:val="100"/>
                <w:sz w:val="21"/>
              </w:rPr>
              <w:t>—</w:t>
            </w:r>
          </w:p>
        </w:tc>
        <w:tc>
          <w:tcPr>
            <w:tcW w:w="956" w:type="dxa"/>
          </w:tcPr>
          <w:p>
            <w:pPr>
              <w:pStyle w:val="TableParagraph"/>
              <w:spacing w:before="4"/>
              <w:ind w:left="257"/>
              <w:rPr>
                <w:sz w:val="21"/>
              </w:rPr>
            </w:pPr>
            <w:r>
              <w:rPr>
                <w:sz w:val="21"/>
              </w:rPr>
              <w:t>30%</w:t>
            </w:r>
          </w:p>
        </w:tc>
      </w:tr>
      <w:tr>
        <w:trPr>
          <w:trHeight w:val="342" w:hRule="atLeast"/>
        </w:trPr>
        <w:tc>
          <w:tcPr>
            <w:tcW w:w="2237" w:type="dxa"/>
          </w:tcPr>
          <w:p>
            <w:pPr>
              <w:pStyle w:val="TableParagraph"/>
              <w:spacing w:before="1"/>
              <w:ind w:left="20" w:right="3"/>
              <w:jc w:val="center"/>
              <w:rPr>
                <w:sz w:val="21"/>
              </w:rPr>
            </w:pPr>
            <w:r>
              <w:rPr>
                <w:spacing w:val="-26"/>
                <w:sz w:val="21"/>
              </w:rPr>
              <w:t>满 </w:t>
            </w:r>
            <w:r>
              <w:rPr>
                <w:sz w:val="21"/>
              </w:rPr>
              <w:t>6</w:t>
            </w:r>
            <w:r>
              <w:rPr>
                <w:spacing w:val="-17"/>
                <w:sz w:val="21"/>
              </w:rPr>
              <w:t> 个月但不满 </w:t>
            </w:r>
            <w:r>
              <w:rPr>
                <w:sz w:val="21"/>
              </w:rPr>
              <w:t>7</w:t>
            </w:r>
            <w:r>
              <w:rPr>
                <w:spacing w:val="-19"/>
                <w:sz w:val="21"/>
              </w:rPr>
              <w:t>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20"/>
              <w:jc w:val="center"/>
              <w:rPr>
                <w:sz w:val="21"/>
              </w:rPr>
            </w:pPr>
            <w:r>
              <w:rPr>
                <w:w w:val="100"/>
                <w:sz w:val="21"/>
              </w:rPr>
              <w:t>—</w:t>
            </w:r>
          </w:p>
        </w:tc>
        <w:tc>
          <w:tcPr>
            <w:tcW w:w="1050" w:type="dxa"/>
          </w:tcPr>
          <w:p>
            <w:pPr>
              <w:pStyle w:val="TableParagraph"/>
              <w:spacing w:before="1"/>
              <w:ind w:left="20"/>
              <w:jc w:val="center"/>
              <w:rPr>
                <w:sz w:val="21"/>
              </w:rPr>
            </w:pPr>
            <w:r>
              <w:rPr>
                <w:w w:val="100"/>
                <w:sz w:val="21"/>
              </w:rPr>
              <w:t>—</w:t>
            </w:r>
          </w:p>
        </w:tc>
        <w:tc>
          <w:tcPr>
            <w:tcW w:w="956" w:type="dxa"/>
          </w:tcPr>
          <w:p>
            <w:pPr>
              <w:pStyle w:val="TableParagraph"/>
              <w:spacing w:before="1"/>
              <w:ind w:left="257"/>
              <w:rPr>
                <w:sz w:val="21"/>
              </w:rPr>
            </w:pPr>
            <w:r>
              <w:rPr>
                <w:sz w:val="21"/>
              </w:rPr>
              <w:t>25%</w:t>
            </w:r>
          </w:p>
        </w:tc>
      </w:tr>
      <w:tr>
        <w:trPr>
          <w:trHeight w:val="343" w:hRule="atLeast"/>
        </w:trPr>
        <w:tc>
          <w:tcPr>
            <w:tcW w:w="2237" w:type="dxa"/>
          </w:tcPr>
          <w:p>
            <w:pPr>
              <w:pStyle w:val="TableParagraph"/>
              <w:spacing w:before="2"/>
              <w:ind w:left="20" w:right="3"/>
              <w:jc w:val="center"/>
              <w:rPr>
                <w:sz w:val="21"/>
              </w:rPr>
            </w:pPr>
            <w:r>
              <w:rPr>
                <w:spacing w:val="-26"/>
                <w:sz w:val="21"/>
              </w:rPr>
              <w:t>满 </w:t>
            </w:r>
            <w:r>
              <w:rPr>
                <w:sz w:val="21"/>
              </w:rPr>
              <w:t>5</w:t>
            </w:r>
            <w:r>
              <w:rPr>
                <w:spacing w:val="-17"/>
                <w:sz w:val="21"/>
              </w:rPr>
              <w:t> 个月但不满 </w:t>
            </w:r>
            <w:r>
              <w:rPr>
                <w:sz w:val="21"/>
              </w:rPr>
              <w:t>6</w:t>
            </w:r>
            <w:r>
              <w:rPr>
                <w:spacing w:val="-19"/>
                <w:sz w:val="21"/>
              </w:rPr>
              <w:t> 个月</w:t>
            </w:r>
          </w:p>
        </w:tc>
        <w:tc>
          <w:tcPr>
            <w:tcW w:w="916" w:type="dxa"/>
          </w:tcPr>
          <w:p>
            <w:pPr>
              <w:pStyle w:val="TableParagraph"/>
              <w:spacing w:before="2"/>
              <w:ind w:left="16"/>
              <w:jc w:val="center"/>
              <w:rPr>
                <w:sz w:val="21"/>
              </w:rPr>
            </w:pPr>
            <w:r>
              <w:rPr>
                <w:w w:val="100"/>
                <w:sz w:val="21"/>
              </w:rPr>
              <w:t>—</w:t>
            </w:r>
          </w:p>
        </w:tc>
        <w:tc>
          <w:tcPr>
            <w:tcW w:w="1048" w:type="dxa"/>
          </w:tcPr>
          <w:p>
            <w:pPr>
              <w:pStyle w:val="TableParagraph"/>
              <w:spacing w:before="2"/>
              <w:ind w:left="20"/>
              <w:jc w:val="center"/>
              <w:rPr>
                <w:sz w:val="21"/>
              </w:rPr>
            </w:pPr>
            <w:r>
              <w:rPr>
                <w:w w:val="100"/>
                <w:sz w:val="21"/>
              </w:rPr>
              <w:t>—</w:t>
            </w:r>
          </w:p>
        </w:tc>
        <w:tc>
          <w:tcPr>
            <w:tcW w:w="1050" w:type="dxa"/>
          </w:tcPr>
          <w:p>
            <w:pPr>
              <w:pStyle w:val="TableParagraph"/>
              <w:spacing w:before="2"/>
              <w:ind w:left="302"/>
              <w:rPr>
                <w:sz w:val="21"/>
              </w:rPr>
            </w:pPr>
            <w:r>
              <w:rPr>
                <w:sz w:val="21"/>
              </w:rPr>
              <w:t>50%</w:t>
            </w:r>
          </w:p>
        </w:tc>
        <w:tc>
          <w:tcPr>
            <w:tcW w:w="956" w:type="dxa"/>
          </w:tcPr>
          <w:p>
            <w:pPr>
              <w:pStyle w:val="TableParagraph"/>
              <w:spacing w:before="2"/>
              <w:ind w:left="0" w:right="106"/>
              <w:jc w:val="center"/>
              <w:rPr>
                <w:sz w:val="21"/>
              </w:rPr>
            </w:pPr>
            <w:r>
              <w:rPr>
                <w:w w:val="100"/>
                <w:sz w:val="21"/>
              </w:rPr>
              <w:t>0</w:t>
            </w:r>
          </w:p>
        </w:tc>
      </w:tr>
      <w:tr>
        <w:trPr>
          <w:trHeight w:val="342" w:hRule="atLeast"/>
        </w:trPr>
        <w:tc>
          <w:tcPr>
            <w:tcW w:w="2237" w:type="dxa"/>
          </w:tcPr>
          <w:p>
            <w:pPr>
              <w:pStyle w:val="TableParagraph"/>
              <w:spacing w:before="1"/>
              <w:ind w:left="20" w:right="3"/>
              <w:jc w:val="center"/>
              <w:rPr>
                <w:sz w:val="21"/>
              </w:rPr>
            </w:pPr>
            <w:r>
              <w:rPr>
                <w:spacing w:val="-26"/>
                <w:sz w:val="21"/>
              </w:rPr>
              <w:t>满 </w:t>
            </w:r>
            <w:r>
              <w:rPr>
                <w:sz w:val="21"/>
              </w:rPr>
              <w:t>4</w:t>
            </w:r>
            <w:r>
              <w:rPr>
                <w:spacing w:val="-17"/>
                <w:sz w:val="21"/>
              </w:rPr>
              <w:t> 个月但不满 </w:t>
            </w:r>
            <w:r>
              <w:rPr>
                <w:sz w:val="21"/>
              </w:rPr>
              <w:t>5</w:t>
            </w:r>
            <w:r>
              <w:rPr>
                <w:spacing w:val="-19"/>
                <w:sz w:val="21"/>
              </w:rPr>
              <w:t>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20"/>
              <w:jc w:val="center"/>
              <w:rPr>
                <w:sz w:val="21"/>
              </w:rPr>
            </w:pPr>
            <w:r>
              <w:rPr>
                <w:w w:val="100"/>
                <w:sz w:val="21"/>
              </w:rPr>
              <w:t>—</w:t>
            </w:r>
          </w:p>
        </w:tc>
        <w:tc>
          <w:tcPr>
            <w:tcW w:w="1050" w:type="dxa"/>
          </w:tcPr>
          <w:p>
            <w:pPr>
              <w:pStyle w:val="TableParagraph"/>
              <w:spacing w:before="1"/>
              <w:ind w:left="302"/>
              <w:rPr>
                <w:sz w:val="21"/>
              </w:rPr>
            </w:pPr>
            <w:r>
              <w:rPr>
                <w:sz w:val="21"/>
              </w:rPr>
              <w:t>40%</w:t>
            </w:r>
          </w:p>
        </w:tc>
        <w:tc>
          <w:tcPr>
            <w:tcW w:w="956" w:type="dxa"/>
          </w:tcPr>
          <w:p>
            <w:pPr>
              <w:pStyle w:val="TableParagraph"/>
              <w:spacing w:before="1"/>
              <w:ind w:left="0" w:right="106"/>
              <w:jc w:val="center"/>
              <w:rPr>
                <w:sz w:val="21"/>
              </w:rPr>
            </w:pPr>
            <w:r>
              <w:rPr>
                <w:w w:val="100"/>
                <w:sz w:val="21"/>
              </w:rPr>
              <w:t>0</w:t>
            </w:r>
          </w:p>
        </w:tc>
      </w:tr>
      <w:tr>
        <w:trPr>
          <w:trHeight w:val="345" w:hRule="atLeast"/>
        </w:trPr>
        <w:tc>
          <w:tcPr>
            <w:tcW w:w="2237" w:type="dxa"/>
          </w:tcPr>
          <w:p>
            <w:pPr>
              <w:pStyle w:val="TableParagraph"/>
              <w:spacing w:before="4"/>
              <w:ind w:left="20" w:right="3"/>
              <w:jc w:val="center"/>
              <w:rPr>
                <w:sz w:val="21"/>
              </w:rPr>
            </w:pPr>
            <w:r>
              <w:rPr>
                <w:spacing w:val="-26"/>
                <w:sz w:val="21"/>
              </w:rPr>
              <w:t>满 </w:t>
            </w:r>
            <w:r>
              <w:rPr>
                <w:sz w:val="21"/>
              </w:rPr>
              <w:t>3</w:t>
            </w:r>
            <w:r>
              <w:rPr>
                <w:spacing w:val="-17"/>
                <w:sz w:val="21"/>
              </w:rPr>
              <w:t> 个月但不满 </w:t>
            </w:r>
            <w:r>
              <w:rPr>
                <w:sz w:val="21"/>
              </w:rPr>
              <w:t>4</w:t>
            </w:r>
            <w:r>
              <w:rPr>
                <w:spacing w:val="-19"/>
                <w:sz w:val="21"/>
              </w:rPr>
              <w:t> 个月</w:t>
            </w:r>
          </w:p>
        </w:tc>
        <w:tc>
          <w:tcPr>
            <w:tcW w:w="916" w:type="dxa"/>
          </w:tcPr>
          <w:p>
            <w:pPr>
              <w:pStyle w:val="TableParagraph"/>
              <w:spacing w:before="4"/>
              <w:ind w:left="16"/>
              <w:jc w:val="center"/>
              <w:rPr>
                <w:sz w:val="21"/>
              </w:rPr>
            </w:pPr>
            <w:r>
              <w:rPr>
                <w:w w:val="100"/>
                <w:sz w:val="21"/>
              </w:rPr>
              <w:t>—</w:t>
            </w:r>
          </w:p>
        </w:tc>
        <w:tc>
          <w:tcPr>
            <w:tcW w:w="1048" w:type="dxa"/>
          </w:tcPr>
          <w:p>
            <w:pPr>
              <w:pStyle w:val="TableParagraph"/>
              <w:spacing w:before="4"/>
              <w:ind w:left="20"/>
              <w:jc w:val="center"/>
              <w:rPr>
                <w:sz w:val="21"/>
              </w:rPr>
            </w:pPr>
            <w:r>
              <w:rPr>
                <w:w w:val="100"/>
                <w:sz w:val="21"/>
              </w:rPr>
              <w:t>—</w:t>
            </w:r>
          </w:p>
        </w:tc>
        <w:tc>
          <w:tcPr>
            <w:tcW w:w="1050" w:type="dxa"/>
          </w:tcPr>
          <w:p>
            <w:pPr>
              <w:pStyle w:val="TableParagraph"/>
              <w:spacing w:before="4"/>
              <w:ind w:left="302"/>
              <w:rPr>
                <w:sz w:val="21"/>
              </w:rPr>
            </w:pPr>
            <w:r>
              <w:rPr>
                <w:sz w:val="21"/>
              </w:rPr>
              <w:t>25%</w:t>
            </w:r>
          </w:p>
        </w:tc>
        <w:tc>
          <w:tcPr>
            <w:tcW w:w="956" w:type="dxa"/>
          </w:tcPr>
          <w:p>
            <w:pPr>
              <w:pStyle w:val="TableParagraph"/>
              <w:spacing w:before="4"/>
              <w:ind w:left="0" w:right="106"/>
              <w:jc w:val="center"/>
              <w:rPr>
                <w:sz w:val="21"/>
              </w:rPr>
            </w:pPr>
            <w:r>
              <w:rPr>
                <w:w w:val="100"/>
                <w:sz w:val="21"/>
              </w:rPr>
              <w:t>0</w:t>
            </w:r>
          </w:p>
        </w:tc>
      </w:tr>
      <w:tr>
        <w:trPr>
          <w:trHeight w:val="342" w:hRule="atLeast"/>
        </w:trPr>
        <w:tc>
          <w:tcPr>
            <w:tcW w:w="2237" w:type="dxa"/>
          </w:tcPr>
          <w:p>
            <w:pPr>
              <w:pStyle w:val="TableParagraph"/>
              <w:spacing w:before="1"/>
              <w:ind w:left="20" w:right="3"/>
              <w:jc w:val="center"/>
              <w:rPr>
                <w:sz w:val="21"/>
              </w:rPr>
            </w:pPr>
            <w:r>
              <w:rPr>
                <w:spacing w:val="-26"/>
                <w:sz w:val="21"/>
              </w:rPr>
              <w:t>满 </w:t>
            </w:r>
            <w:r>
              <w:rPr>
                <w:sz w:val="21"/>
              </w:rPr>
              <w:t>2</w:t>
            </w:r>
            <w:r>
              <w:rPr>
                <w:spacing w:val="-17"/>
                <w:sz w:val="21"/>
              </w:rPr>
              <w:t> 个月但不满 </w:t>
            </w:r>
            <w:r>
              <w:rPr>
                <w:sz w:val="21"/>
              </w:rPr>
              <w:t>3</w:t>
            </w:r>
            <w:r>
              <w:rPr>
                <w:spacing w:val="-19"/>
                <w:sz w:val="21"/>
              </w:rPr>
              <w:t> 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300"/>
              <w:rPr>
                <w:sz w:val="21"/>
              </w:rPr>
            </w:pPr>
            <w:r>
              <w:rPr>
                <w:sz w:val="21"/>
              </w:rPr>
              <w:t>30%</w:t>
            </w:r>
          </w:p>
        </w:tc>
        <w:tc>
          <w:tcPr>
            <w:tcW w:w="1050" w:type="dxa"/>
          </w:tcPr>
          <w:p>
            <w:pPr>
              <w:pStyle w:val="TableParagraph"/>
              <w:spacing w:before="1"/>
              <w:ind w:left="0" w:right="113"/>
              <w:jc w:val="center"/>
              <w:rPr>
                <w:sz w:val="21"/>
              </w:rPr>
            </w:pPr>
            <w:r>
              <w:rPr>
                <w:w w:val="100"/>
                <w:sz w:val="21"/>
              </w:rPr>
              <w:t>0</w:t>
            </w:r>
          </w:p>
        </w:tc>
        <w:tc>
          <w:tcPr>
            <w:tcW w:w="956" w:type="dxa"/>
          </w:tcPr>
          <w:p>
            <w:pPr>
              <w:pStyle w:val="TableParagraph"/>
              <w:spacing w:before="1"/>
              <w:ind w:left="0" w:right="106"/>
              <w:jc w:val="center"/>
              <w:rPr>
                <w:sz w:val="21"/>
              </w:rPr>
            </w:pPr>
            <w:r>
              <w:rPr>
                <w:w w:val="100"/>
                <w:sz w:val="21"/>
              </w:rPr>
              <w:t>0</w:t>
            </w:r>
          </w:p>
        </w:tc>
      </w:tr>
      <w:tr>
        <w:trPr>
          <w:trHeight w:val="342" w:hRule="atLeast"/>
        </w:trPr>
        <w:tc>
          <w:tcPr>
            <w:tcW w:w="2237" w:type="dxa"/>
          </w:tcPr>
          <w:p>
            <w:pPr>
              <w:pStyle w:val="TableParagraph"/>
              <w:spacing w:before="1"/>
              <w:ind w:left="20" w:right="3"/>
              <w:jc w:val="center"/>
              <w:rPr>
                <w:sz w:val="21"/>
              </w:rPr>
            </w:pPr>
            <w:r>
              <w:rPr>
                <w:sz w:val="21"/>
              </w:rPr>
              <w:t>不满2个月</w:t>
            </w:r>
          </w:p>
        </w:tc>
        <w:tc>
          <w:tcPr>
            <w:tcW w:w="916" w:type="dxa"/>
          </w:tcPr>
          <w:p>
            <w:pPr>
              <w:pStyle w:val="TableParagraph"/>
              <w:spacing w:before="1"/>
              <w:ind w:left="16"/>
              <w:jc w:val="center"/>
              <w:rPr>
                <w:sz w:val="21"/>
              </w:rPr>
            </w:pPr>
            <w:r>
              <w:rPr>
                <w:w w:val="100"/>
                <w:sz w:val="21"/>
              </w:rPr>
              <w:t>—</w:t>
            </w:r>
          </w:p>
        </w:tc>
        <w:tc>
          <w:tcPr>
            <w:tcW w:w="1048" w:type="dxa"/>
          </w:tcPr>
          <w:p>
            <w:pPr>
              <w:pStyle w:val="TableParagraph"/>
              <w:spacing w:before="1"/>
              <w:ind w:left="0" w:right="117"/>
              <w:jc w:val="center"/>
              <w:rPr>
                <w:sz w:val="21"/>
              </w:rPr>
            </w:pPr>
            <w:r>
              <w:rPr>
                <w:w w:val="100"/>
                <w:sz w:val="21"/>
              </w:rPr>
              <w:t>0</w:t>
            </w:r>
          </w:p>
        </w:tc>
        <w:tc>
          <w:tcPr>
            <w:tcW w:w="1050" w:type="dxa"/>
          </w:tcPr>
          <w:p>
            <w:pPr>
              <w:pStyle w:val="TableParagraph"/>
              <w:spacing w:before="1"/>
              <w:ind w:left="0" w:right="113"/>
              <w:jc w:val="center"/>
              <w:rPr>
                <w:sz w:val="21"/>
              </w:rPr>
            </w:pPr>
            <w:r>
              <w:rPr>
                <w:w w:val="100"/>
                <w:sz w:val="21"/>
              </w:rPr>
              <w:t>0</w:t>
            </w:r>
          </w:p>
        </w:tc>
        <w:tc>
          <w:tcPr>
            <w:tcW w:w="956" w:type="dxa"/>
          </w:tcPr>
          <w:p>
            <w:pPr>
              <w:pStyle w:val="TableParagraph"/>
              <w:spacing w:before="1"/>
              <w:ind w:left="0" w:right="106"/>
              <w:jc w:val="center"/>
              <w:rPr>
                <w:sz w:val="21"/>
              </w:rPr>
            </w:pPr>
            <w:r>
              <w:rPr>
                <w:w w:val="100"/>
                <w:sz w:val="21"/>
              </w:rPr>
              <w:t>0</w:t>
            </w:r>
          </w:p>
        </w:tc>
      </w:tr>
    </w:tbl>
    <w:p>
      <w:pPr>
        <w:pStyle w:val="BodyText"/>
        <w:spacing w:line="262" w:lineRule="exact"/>
        <w:ind w:left="1680"/>
      </w:pPr>
      <w:r>
        <w:rPr>
          <w:spacing w:val="-12"/>
          <w:w w:val="100"/>
        </w:rPr>
        <w:t>注：“—”表示该情况不存在。</w:t>
      </w:r>
    </w:p>
    <w:sectPr>
      <w:pgSz w:w="11910" w:h="16840"/>
      <w:pgMar w:header="0" w:footer="919" w:top="1580" w:bottom="1100" w:left="120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60004pt;margin-top:780.961609pt;width:146pt;height:11pt;mso-position-horizontal-relative:page;mso-position-vertical-relative:page;z-index:-25864" type="#_x0000_t202" filled="false" stroked="false">
          <v:textbox inset="0,0,0,0">
            <w:txbxContent>
              <w:p>
                <w:pPr>
                  <w:spacing w:line="200" w:lineRule="exact" w:before="0"/>
                  <w:ind w:left="20" w:right="0" w:firstLine="0"/>
                  <w:jc w:val="left"/>
                  <w:rPr>
                    <w:sz w:val="18"/>
                  </w:rPr>
                </w:pPr>
                <w:r>
                  <w:rPr>
                    <w:sz w:val="18"/>
                  </w:rPr>
                  <w:t>中航三星附加额外给付重大疾病保险</w:t>
                </w:r>
              </w:p>
            </w:txbxContent>
          </v:textbox>
          <w10:wrap type="none"/>
        </v:shape>
      </w:pict>
    </w:r>
    <w:r>
      <w:rPr/>
      <w:pict>
        <v:shape style="position:absolute;margin-left:289.329987pt;margin-top:780.961609pt;width:19.8pt;height:11pt;mso-position-horizontal-relative:page;mso-position-vertical-relative:page;z-index:-2584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24.350006pt;margin-top:780.961609pt;width:83.15pt;height:11pt;mso-position-horizontal-relative:page;mso-position-vertical-relative:page;z-index:-2581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15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9">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8">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4"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3" w:hanging="360"/>
      </w:pPr>
      <w:rPr>
        <w:rFonts w:hint="default"/>
      </w:rPr>
    </w:lvl>
    <w:lvl w:ilvl="8">
      <w:start w:val="0"/>
      <w:numFmt w:val="bullet"/>
      <w:lvlText w:val="•"/>
      <w:lvlJc w:val="left"/>
      <w:pPr>
        <w:ind w:left="5509" w:hanging="360"/>
      </w:pPr>
      <w:rPr>
        <w:rFonts w:hint="default"/>
      </w:rPr>
    </w:lvl>
  </w:abstractNum>
  <w:abstractNum w:abstractNumId="7">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0"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1" w:hanging="420"/>
      </w:pPr>
      <w:rPr>
        <w:rFonts w:hint="default"/>
      </w:rPr>
    </w:lvl>
    <w:lvl w:ilvl="8">
      <w:start w:val="0"/>
      <w:numFmt w:val="bullet"/>
      <w:lvlText w:val="•"/>
      <w:lvlJc w:val="left"/>
      <w:pPr>
        <w:ind w:left="5521" w:hanging="420"/>
      </w:pPr>
      <w:rPr>
        <w:rFonts w:hint="default"/>
      </w:rPr>
    </w:lvl>
  </w:abstractNum>
  <w:abstractNum w:abstractNumId="6">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5">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4">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3">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257" w:hanging="420"/>
      </w:pPr>
      <w:rPr>
        <w:rFonts w:hint="default"/>
      </w:rPr>
    </w:lvl>
    <w:lvl w:ilvl="5">
      <w:start w:val="0"/>
      <w:numFmt w:val="bullet"/>
      <w:lvlText w:val="•"/>
      <w:lvlJc w:val="left"/>
      <w:pPr>
        <w:ind w:left="3877" w:hanging="420"/>
      </w:pPr>
      <w:rPr>
        <w:rFonts w:hint="default"/>
      </w:rPr>
    </w:lvl>
    <w:lvl w:ilvl="6">
      <w:start w:val="0"/>
      <w:numFmt w:val="bullet"/>
      <w:lvlText w:val="•"/>
      <w:lvlJc w:val="left"/>
      <w:pPr>
        <w:ind w:left="4496" w:hanging="420"/>
      </w:pPr>
      <w:rPr>
        <w:rFonts w:hint="default"/>
      </w:rPr>
    </w:lvl>
    <w:lvl w:ilvl="7">
      <w:start w:val="0"/>
      <w:numFmt w:val="bullet"/>
      <w:lvlText w:val="•"/>
      <w:lvlJc w:val="left"/>
      <w:pPr>
        <w:ind w:left="5115" w:hanging="420"/>
      </w:pPr>
      <w:rPr>
        <w:rFonts w:hint="default"/>
      </w:rPr>
    </w:lvl>
    <w:lvl w:ilvl="8">
      <w:start w:val="0"/>
      <w:numFmt w:val="bullet"/>
      <w:lvlText w:val="•"/>
      <w:lvlJc w:val="left"/>
      <w:pPr>
        <w:ind w:left="5735" w:hanging="420"/>
      </w:pPr>
      <w:rPr>
        <w:rFonts w:hint="default"/>
      </w:rPr>
    </w:lvl>
  </w:abstractNum>
  <w:abstractNum w:abstractNumId="2">
    <w:multiLevelType w:val="hybridMultilevel"/>
    <w:lvl w:ilvl="0">
      <w:start w:val="3"/>
      <w:numFmt w:val="decimal"/>
      <w:lvlText w:val="%1."/>
      <w:lvlJc w:val="left"/>
      <w:pPr>
        <w:ind w:left="528" w:hanging="420"/>
        <w:jc w:val="left"/>
      </w:pPr>
      <w:rPr>
        <w:rFonts w:hint="default" w:ascii="宋体" w:hAnsi="宋体" w:eastAsia="宋体" w:cs="宋体"/>
        <w:w w:val="100"/>
        <w:sz w:val="21"/>
        <w:szCs w:val="21"/>
      </w:rPr>
    </w:lvl>
    <w:lvl w:ilvl="1">
      <w:start w:val="0"/>
      <w:numFmt w:val="bullet"/>
      <w:lvlText w:val="•"/>
      <w:lvlJc w:val="left"/>
      <w:pPr>
        <w:ind w:left="1120" w:hanging="420"/>
      </w:pPr>
      <w:rPr>
        <w:rFonts w:hint="default"/>
      </w:rPr>
    </w:lvl>
    <w:lvl w:ilvl="2">
      <w:start w:val="0"/>
      <w:numFmt w:val="bullet"/>
      <w:lvlText w:val="•"/>
      <w:lvlJc w:val="left"/>
      <w:pPr>
        <w:ind w:left="1720" w:hanging="420"/>
      </w:pPr>
      <w:rPr>
        <w:rFonts w:hint="default"/>
      </w:rPr>
    </w:lvl>
    <w:lvl w:ilvl="3">
      <w:start w:val="0"/>
      <w:numFmt w:val="bullet"/>
      <w:lvlText w:val="•"/>
      <w:lvlJc w:val="left"/>
      <w:pPr>
        <w:ind w:left="2320" w:hanging="420"/>
      </w:pPr>
      <w:rPr>
        <w:rFonts w:hint="default"/>
      </w:rPr>
    </w:lvl>
    <w:lvl w:ilvl="4">
      <w:start w:val="0"/>
      <w:numFmt w:val="bullet"/>
      <w:lvlText w:val="•"/>
      <w:lvlJc w:val="left"/>
      <w:pPr>
        <w:ind w:left="2920" w:hanging="420"/>
      </w:pPr>
      <w:rPr>
        <w:rFonts w:hint="default"/>
      </w:rPr>
    </w:lvl>
    <w:lvl w:ilvl="5">
      <w:start w:val="0"/>
      <w:numFmt w:val="bullet"/>
      <w:lvlText w:val="•"/>
      <w:lvlJc w:val="left"/>
      <w:pPr>
        <w:ind w:left="3521" w:hanging="420"/>
      </w:pPr>
      <w:rPr>
        <w:rFonts w:hint="default"/>
      </w:rPr>
    </w:lvl>
    <w:lvl w:ilvl="6">
      <w:start w:val="0"/>
      <w:numFmt w:val="bullet"/>
      <w:lvlText w:val="•"/>
      <w:lvlJc w:val="left"/>
      <w:pPr>
        <w:ind w:left="4121" w:hanging="420"/>
      </w:pPr>
      <w:rPr>
        <w:rFonts w:hint="default"/>
      </w:rPr>
    </w:lvl>
    <w:lvl w:ilvl="7">
      <w:start w:val="0"/>
      <w:numFmt w:val="bullet"/>
      <w:lvlText w:val="•"/>
      <w:lvlJc w:val="left"/>
      <w:pPr>
        <w:ind w:left="4721" w:hanging="420"/>
      </w:pPr>
      <w:rPr>
        <w:rFonts w:hint="default"/>
      </w:rPr>
    </w:lvl>
    <w:lvl w:ilvl="8">
      <w:start w:val="0"/>
      <w:numFmt w:val="bullet"/>
      <w:lvlText w:val="•"/>
      <w:lvlJc w:val="left"/>
      <w:pPr>
        <w:ind w:left="5321" w:hanging="420"/>
      </w:pPr>
      <w:rPr>
        <w:rFonts w:hint="default"/>
      </w:rPr>
    </w:lvl>
  </w:abstractNum>
  <w:abstractNum w:abstractNumId="1">
    <w:multiLevelType w:val="hybridMultilevel"/>
    <w:lvl w:ilvl="0">
      <w:start w:val="1"/>
      <w:numFmt w:val="decimal"/>
      <w:lvlText w:val="%1."/>
      <w:lvlJc w:val="left"/>
      <w:pPr>
        <w:ind w:left="528" w:hanging="420"/>
        <w:jc w:val="left"/>
      </w:pPr>
      <w:rPr>
        <w:rFonts w:hint="default" w:ascii="宋体" w:hAnsi="宋体" w:eastAsia="宋体" w:cs="宋体"/>
        <w:w w:val="100"/>
        <w:sz w:val="21"/>
        <w:szCs w:val="21"/>
      </w:rPr>
    </w:lvl>
    <w:lvl w:ilvl="1">
      <w:start w:val="0"/>
      <w:numFmt w:val="bullet"/>
      <w:lvlText w:val="•"/>
      <w:lvlJc w:val="left"/>
      <w:pPr>
        <w:ind w:left="1120" w:hanging="420"/>
      </w:pPr>
      <w:rPr>
        <w:rFonts w:hint="default"/>
      </w:rPr>
    </w:lvl>
    <w:lvl w:ilvl="2">
      <w:start w:val="0"/>
      <w:numFmt w:val="bullet"/>
      <w:lvlText w:val="•"/>
      <w:lvlJc w:val="left"/>
      <w:pPr>
        <w:ind w:left="1720" w:hanging="420"/>
      </w:pPr>
      <w:rPr>
        <w:rFonts w:hint="default"/>
      </w:rPr>
    </w:lvl>
    <w:lvl w:ilvl="3">
      <w:start w:val="0"/>
      <w:numFmt w:val="bullet"/>
      <w:lvlText w:val="•"/>
      <w:lvlJc w:val="left"/>
      <w:pPr>
        <w:ind w:left="2320" w:hanging="420"/>
      </w:pPr>
      <w:rPr>
        <w:rFonts w:hint="default"/>
      </w:rPr>
    </w:lvl>
    <w:lvl w:ilvl="4">
      <w:start w:val="0"/>
      <w:numFmt w:val="bullet"/>
      <w:lvlText w:val="•"/>
      <w:lvlJc w:val="left"/>
      <w:pPr>
        <w:ind w:left="2920" w:hanging="420"/>
      </w:pPr>
      <w:rPr>
        <w:rFonts w:hint="default"/>
      </w:rPr>
    </w:lvl>
    <w:lvl w:ilvl="5">
      <w:start w:val="0"/>
      <w:numFmt w:val="bullet"/>
      <w:lvlText w:val="•"/>
      <w:lvlJc w:val="left"/>
      <w:pPr>
        <w:ind w:left="352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20" w:hanging="420"/>
      </w:pPr>
      <w:rPr>
        <w:rFonts w:hint="default"/>
      </w:rPr>
    </w:lvl>
    <w:lvl w:ilvl="8">
      <w:start w:val="0"/>
      <w:numFmt w:val="bullet"/>
      <w:lvlText w:val="•"/>
      <w:lvlJc w:val="left"/>
      <w:pPr>
        <w:ind w:left="5320" w:hanging="420"/>
      </w:pPr>
      <w:rPr>
        <w:rFonts w:hint="default"/>
      </w:rPr>
    </w:lvl>
  </w:abstractNum>
  <w:abstractNum w:abstractNumId="0">
    <w:multiLevelType w:val="hybridMultilevel"/>
    <w:lvl w:ilvl="0">
      <w:start w:val="1"/>
      <w:numFmt w:val="decimal"/>
      <w:lvlText w:val="%1."/>
      <w:lvlJc w:val="left"/>
      <w:pPr>
        <w:ind w:left="468" w:hanging="360"/>
        <w:jc w:val="left"/>
      </w:pPr>
      <w:rPr>
        <w:rFonts w:hint="default" w:ascii="宋体" w:hAnsi="宋体" w:eastAsia="宋体" w:cs="宋体"/>
        <w:w w:val="100"/>
        <w:sz w:val="21"/>
        <w:szCs w:val="21"/>
      </w:rPr>
    </w:lvl>
    <w:lvl w:ilvl="1">
      <w:start w:val="0"/>
      <w:numFmt w:val="bullet"/>
      <w:lvlText w:val="•"/>
      <w:lvlJc w:val="left"/>
      <w:pPr>
        <w:ind w:left="1066" w:hanging="360"/>
      </w:pPr>
      <w:rPr>
        <w:rFonts w:hint="default"/>
      </w:rPr>
    </w:lvl>
    <w:lvl w:ilvl="2">
      <w:start w:val="0"/>
      <w:numFmt w:val="bullet"/>
      <w:lvlText w:val="•"/>
      <w:lvlJc w:val="left"/>
      <w:pPr>
        <w:ind w:left="1672" w:hanging="360"/>
      </w:pPr>
      <w:rPr>
        <w:rFonts w:hint="default"/>
      </w:rPr>
    </w:lvl>
    <w:lvl w:ilvl="3">
      <w:start w:val="0"/>
      <w:numFmt w:val="bullet"/>
      <w:lvlText w:val="•"/>
      <w:lvlJc w:val="left"/>
      <w:pPr>
        <w:ind w:left="2278" w:hanging="360"/>
      </w:pPr>
      <w:rPr>
        <w:rFonts w:hint="default"/>
      </w:rPr>
    </w:lvl>
    <w:lvl w:ilvl="4">
      <w:start w:val="0"/>
      <w:numFmt w:val="bullet"/>
      <w:lvlText w:val="•"/>
      <w:lvlJc w:val="left"/>
      <w:pPr>
        <w:ind w:left="2884" w:hanging="360"/>
      </w:pPr>
      <w:rPr>
        <w:rFonts w:hint="default"/>
      </w:rPr>
    </w:lvl>
    <w:lvl w:ilvl="5">
      <w:start w:val="0"/>
      <w:numFmt w:val="bullet"/>
      <w:lvlText w:val="•"/>
      <w:lvlJc w:val="left"/>
      <w:pPr>
        <w:ind w:left="3490" w:hanging="360"/>
      </w:pPr>
      <w:rPr>
        <w:rFonts w:hint="default"/>
      </w:rPr>
    </w:lvl>
    <w:lvl w:ilvl="6">
      <w:start w:val="0"/>
      <w:numFmt w:val="bullet"/>
      <w:lvlText w:val="•"/>
      <w:lvlJc w:val="left"/>
      <w:pPr>
        <w:ind w:left="4096" w:hanging="360"/>
      </w:pPr>
      <w:rPr>
        <w:rFonts w:hint="default"/>
      </w:rPr>
    </w:lvl>
    <w:lvl w:ilvl="7">
      <w:start w:val="0"/>
      <w:numFmt w:val="bullet"/>
      <w:lvlText w:val="•"/>
      <w:lvlJc w:val="left"/>
      <w:pPr>
        <w:ind w:left="4702" w:hanging="360"/>
      </w:pPr>
      <w:rPr>
        <w:rFonts w:hint="default"/>
      </w:rPr>
    </w:lvl>
    <w:lvl w:ilvl="8">
      <w:start w:val="0"/>
      <w:numFmt w:val="bullet"/>
      <w:lvlText w:val="•"/>
      <w:lvlJc w:val="left"/>
      <w:pPr>
        <w:ind w:left="5308" w:hanging="36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67"/>
      <w:ind w:left="103"/>
      <w:outlineLvl w:val="1"/>
    </w:pPr>
    <w:rPr>
      <w:rFonts w:ascii="宋体" w:hAnsi="宋体" w:eastAsia="宋体" w:cs="宋体"/>
      <w:b/>
      <w:bCs/>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dc:title>中航三星人寿保险有限公司</dc:title>
  <dcterms:created xsi:type="dcterms:W3CDTF">2018-10-20T00:02:18Z</dcterms:created>
  <dcterms:modified xsi:type="dcterms:W3CDTF">2018-10-20T00:02:18Z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2014-07-01T00:00:00Z</vt:filetime>
  </property>
  <property fmtid="{D5CDD505-2E9C-101B-9397-08002B2CF9AE}" pid="3" name="Creator">
    <vt:lpwstr>Microsoft® Word 2010</vt:lpwstr>
  </property>
  <property fmtid="{D5CDD505-2E9C-101B-9397-08002B2CF9AE}" pid="4" name="LastSaved">
    <vt:filetime>2018-10-19T00:00:00Z</vt:filetime>
  </property>
</Properties>
</file>