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left"/>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3328"/>
      </w:pPr>
      <w:r>
        <w:rPr/>
        <w:t>（以下简称本公司）</w:t>
      </w:r>
    </w:p>
    <w:p>
      <w:pPr>
        <w:pStyle w:val="BodyText"/>
        <w:spacing w:before="5"/>
        <w:ind w:left="0"/>
        <w:rPr>
          <w:sz w:val="24"/>
        </w:rPr>
      </w:pPr>
    </w:p>
    <w:p>
      <w:pPr>
        <w:spacing w:line="259" w:lineRule="auto" w:before="0"/>
        <w:ind w:left="2506" w:right="1363" w:firstLine="0"/>
        <w:jc w:val="center"/>
        <w:rPr>
          <w:b/>
          <w:sz w:val="44"/>
        </w:rPr>
      </w:pPr>
      <w:r>
        <w:rPr>
          <w:b/>
          <w:w w:val="95"/>
          <w:sz w:val="44"/>
        </w:rPr>
        <w:t>少儿重大疾病保险条款</w:t>
      </w:r>
    </w:p>
    <w:p>
      <w:pPr>
        <w:spacing w:line="300" w:lineRule="auto" w:before="0"/>
        <w:ind w:left="760" w:right="376" w:hanging="1"/>
        <w:jc w:val="center"/>
        <w:rPr>
          <w:sz w:val="18"/>
        </w:rPr>
      </w:pPr>
      <w:r>
        <w:rPr/>
        <w:br w:type="column"/>
      </w:r>
      <w:r>
        <w:rPr>
          <w:sz w:val="18"/>
        </w:rPr>
        <w:t>昆仑健康</w:t>
      </w:r>
      <w:r>
        <w:rPr>
          <w:rFonts w:ascii="Times New Roman" w:eastAsia="Times New Roman"/>
          <w:sz w:val="18"/>
        </w:rPr>
        <w:t>[2011] </w:t>
      </w:r>
      <w:r>
        <w:rPr>
          <w:spacing w:val="-10"/>
          <w:sz w:val="18"/>
        </w:rPr>
        <w:t>疾病保险 </w:t>
      </w:r>
      <w:r>
        <w:rPr>
          <w:rFonts w:ascii="Times New Roman" w:eastAsia="Times New Roman"/>
          <w:sz w:val="18"/>
        </w:rPr>
        <w:t>012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tabs>
          <w:tab w:pos="643" w:val="left" w:leader="none"/>
        </w:tabs>
        <w:spacing w:before="159"/>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9" w:val="right" w:leader="dot"/>
            </w:tabs>
            <w:spacing w:before="137"/>
            <w:rPr>
              <w:rFonts w:ascii="Times New Roman" w:eastAsia="Times New Roman"/>
            </w:rPr>
          </w:pPr>
          <w:r>
            <w:fldChar w:fldCharType="begin"/>
          </w:r>
          <w:r>
            <w:instrText>TOC \o "1-2" \h \z \u </w:instrText>
          </w:r>
          <w:r>
            <w:fldChar w:fldCharType="separate"/>
          </w:r>
          <w:hyperlink w:history="true" w:anchor="_TOC_250026">
            <w:r>
              <w:rPr/>
              <w:t>第一部分</w:t>
            </w:r>
            <w:r>
              <w:rPr>
                <w:spacing w:val="-1"/>
              </w:rPr>
              <w:t> </w:t>
            </w:r>
            <w:r>
              <w:rPr/>
              <w:t>总则</w:t>
              <w:tab/>
            </w:r>
            <w:r>
              <w:rPr>
                <w:rFonts w:ascii="Times New Roman" w:eastAsia="Times New Roman"/>
              </w:rPr>
              <w:t>2</w:t>
            </w:r>
          </w:hyperlink>
        </w:p>
        <w:p>
          <w:pPr>
            <w:pStyle w:val="TOC2"/>
            <w:tabs>
              <w:tab w:pos="1587" w:val="left" w:leader="none"/>
              <w:tab w:pos="8416" w:val="right" w:leader="dot"/>
            </w:tabs>
            <w:rPr>
              <w:rFonts w:ascii="Times New Roman" w:eastAsia="Times New Roman"/>
              <w:b w:val="0"/>
            </w:rPr>
          </w:pPr>
          <w:hyperlink w:history="true" w:anchor="_TOC_250025">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4">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2">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1">
            <w:r>
              <w:rPr/>
              <w:t>第五条</w:t>
              <w:tab/>
              <w:t>本公司合同解除权的限制</w:t>
              <w:tab/>
            </w:r>
            <w:r>
              <w:rPr>
                <w:rFonts w:ascii="Times New Roman" w:eastAsia="Times New Roman"/>
                <w:b w:val="0"/>
              </w:rPr>
              <w:t>2</w:t>
            </w:r>
          </w:hyperlink>
        </w:p>
        <w:p>
          <w:pPr>
            <w:pStyle w:val="TOC1"/>
            <w:tabs>
              <w:tab w:pos="8419" w:val="right" w:leader="dot"/>
            </w:tabs>
            <w:rPr>
              <w:rFonts w:ascii="Times New Roman" w:eastAsia="Times New Roman"/>
            </w:rPr>
          </w:pPr>
          <w:hyperlink w:history="true" w:anchor="_TOC_250020">
            <w:r>
              <w:rPr/>
              <w:t>第二部分</w:t>
            </w:r>
            <w:r>
              <w:rPr>
                <w:spacing w:val="-1"/>
              </w:rPr>
              <w:t> </w:t>
            </w:r>
            <w:r>
              <w:rPr/>
              <w:t>保障利益条款</w:t>
              <w:tab/>
            </w:r>
            <w:r>
              <w:rPr>
                <w:rFonts w:ascii="Times New Roman" w:eastAsia="Times New Roman"/>
              </w:rPr>
              <w:t>2</w:t>
            </w:r>
          </w:hyperlink>
        </w:p>
        <w:p>
          <w:pPr>
            <w:pStyle w:val="TOC2"/>
            <w:tabs>
              <w:tab w:pos="1587" w:val="left" w:leader="none"/>
              <w:tab w:pos="8416" w:val="right" w:leader="dot"/>
            </w:tabs>
            <w:rPr>
              <w:rFonts w:ascii="Times New Roman" w:eastAsia="Times New Roman"/>
              <w:b w:val="0"/>
            </w:rPr>
          </w:pPr>
          <w:hyperlink w:history="true" w:anchor="_TOC_250019">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8">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7">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6">
            <w:r>
              <w:rPr/>
              <w:t>第九条</w:t>
              <w:tab/>
              <w:t>保险期间</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5">
            <w:r>
              <w:rPr/>
              <w:t>第十条</w:t>
              <w:tab/>
              <w:t>续保的处理</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4">
            <w:r>
              <w:rPr/>
              <w:t>第十一条</w:t>
              <w:tab/>
              <w:t>保险金额和保险费</w:t>
              <w:tab/>
            </w:r>
            <w:r>
              <w:rPr>
                <w:rFonts w:ascii="Times New Roman" w:eastAsia="Times New Roman"/>
                <w:b w:val="0"/>
              </w:rPr>
              <w:t>3</w:t>
            </w:r>
          </w:hyperlink>
        </w:p>
        <w:p>
          <w:pPr>
            <w:pStyle w:val="TOC1"/>
            <w:tabs>
              <w:tab w:pos="8419" w:val="right" w:leader="dot"/>
            </w:tabs>
            <w:rPr>
              <w:rFonts w:ascii="Times New Roman" w:eastAsia="Times New Roman"/>
            </w:rPr>
          </w:pPr>
          <w:hyperlink w:history="true" w:anchor="_TOC_250013">
            <w:r>
              <w:rPr/>
              <w:t>第三部分</w:t>
            </w:r>
            <w:r>
              <w:rPr>
                <w:spacing w:val="-1"/>
              </w:rPr>
              <w:t> </w:t>
            </w:r>
            <w:r>
              <w:rPr/>
              <w:t>保险服务条款</w:t>
              <w:tab/>
            </w:r>
            <w:r>
              <w:rPr>
                <w:rFonts w:ascii="Times New Roman" w:eastAsia="Times New Roman"/>
              </w:rPr>
              <w:t>4</w:t>
            </w:r>
          </w:hyperlink>
        </w:p>
        <w:p>
          <w:pPr>
            <w:pStyle w:val="TOC2"/>
            <w:tabs>
              <w:tab w:pos="1587" w:val="left" w:leader="none"/>
              <w:tab w:pos="8416" w:val="right" w:leader="dot"/>
            </w:tabs>
            <w:rPr>
              <w:rFonts w:ascii="Times New Roman" w:eastAsia="Times New Roman"/>
              <w:b w:val="0"/>
            </w:rPr>
          </w:pPr>
          <w:hyperlink w:history="true" w:anchor="_TOC_250012">
            <w:r>
              <w:rPr/>
              <w:t>第十二条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1">
            <w:r>
              <w:rPr/>
              <w:t>第十三条</w:t>
              <w:tab/>
              <w:t>受益人指定和变更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0">
            <w:r>
              <w:rPr/>
              <w:t>第十四条</w:t>
              <w:tab/>
              <w:t>通讯地址变更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09">
            <w:r>
              <w:rPr/>
              <w:t>第十五条</w:t>
              <w:tab/>
              <w:t>年龄性别错误</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08">
            <w:r>
              <w:rPr/>
              <w:t>第十六条</w:t>
              <w:tab/>
              <w:t>合同解除</w:t>
              <w:tab/>
            </w:r>
            <w:r>
              <w:rPr>
                <w:rFonts w:ascii="Times New Roman" w:eastAsia="Times New Roman"/>
                <w:b w:val="0"/>
              </w:rPr>
              <w:t>4</w:t>
            </w:r>
          </w:hyperlink>
        </w:p>
        <w:p>
          <w:pPr>
            <w:pStyle w:val="TOC1"/>
            <w:tabs>
              <w:tab w:pos="8419"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4</w:t>
            </w:r>
          </w:hyperlink>
        </w:p>
        <w:p>
          <w:pPr>
            <w:pStyle w:val="TOC2"/>
            <w:tabs>
              <w:tab w:pos="1587" w:val="left" w:leader="none"/>
              <w:tab w:pos="8416" w:val="right" w:leader="dot"/>
            </w:tabs>
            <w:rPr>
              <w:rFonts w:ascii="Times New Roman" w:eastAsia="Times New Roman"/>
              <w:b w:val="0"/>
            </w:rPr>
          </w:pPr>
          <w:hyperlink w:history="true" w:anchor="_TOC_250006">
            <w:r>
              <w:rPr/>
              <w:t>第十七条</w:t>
              <w:tab/>
              <w:t>保险事故通知</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05">
            <w:r>
              <w:rPr/>
              <w:t>第十八条</w:t>
              <w:tab/>
              <w:t>保险金申请</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4">
            <w:r>
              <w:rPr/>
              <w:t>第十九条</w:t>
              <w:tab/>
              <w:t>保险金给付</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3">
            <w:r>
              <w:rPr/>
              <w:t>第二十条</w:t>
              <w:tab/>
              <w:t>诉讼时效</w:t>
              <w:tab/>
            </w:r>
            <w:r>
              <w:rPr>
                <w:rFonts w:ascii="Times New Roman" w:eastAsia="Times New Roman"/>
                <w:b w:val="0"/>
              </w:rPr>
              <w:t>5</w:t>
            </w:r>
          </w:hyperlink>
        </w:p>
        <w:p>
          <w:pPr>
            <w:pStyle w:val="TOC2"/>
            <w:tabs>
              <w:tab w:pos="1801" w:val="left" w:leader="none"/>
              <w:tab w:pos="8416" w:val="right" w:leader="dot"/>
            </w:tabs>
            <w:rPr>
              <w:rFonts w:ascii="Times New Roman" w:eastAsia="Times New Roman"/>
              <w:b w:val="0"/>
            </w:rPr>
          </w:pPr>
          <w:hyperlink w:history="true" w:anchor="_TOC_250002">
            <w:r>
              <w:rPr/>
              <w:t>第二十一条</w:t>
              <w:tab/>
              <w:t>争议处理</w:t>
              <w:tab/>
            </w:r>
            <w:r>
              <w:rPr>
                <w:rFonts w:ascii="Times New Roman" w:eastAsia="Times New Roman"/>
                <w:b w:val="0"/>
              </w:rPr>
              <w:t>5</w:t>
            </w:r>
          </w:hyperlink>
        </w:p>
        <w:p>
          <w:pPr>
            <w:pStyle w:val="TOC2"/>
            <w:tabs>
              <w:tab w:pos="1801" w:val="left" w:leader="none"/>
              <w:tab w:pos="8416" w:val="right" w:leader="dot"/>
            </w:tabs>
            <w:rPr>
              <w:rFonts w:ascii="Times New Roman" w:eastAsia="Times New Roman"/>
              <w:b w:val="0"/>
            </w:rPr>
          </w:pPr>
          <w:hyperlink w:history="true" w:anchor="_TOC_250001">
            <w:r>
              <w:rPr/>
              <w:t>第二十二条</w:t>
              <w:tab/>
              <w:t>司法管辖</w:t>
              <w:tab/>
            </w:r>
            <w:r>
              <w:rPr>
                <w:rFonts w:ascii="Times New Roman" w:eastAsia="Times New Roman"/>
                <w:b w:val="0"/>
              </w:rPr>
              <w:t>5</w:t>
            </w:r>
          </w:hyperlink>
        </w:p>
        <w:p>
          <w:pPr>
            <w:pStyle w:val="TOC1"/>
            <w:tabs>
              <w:tab w:pos="8419"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5</w:t>
            </w:r>
          </w:hyperlink>
        </w:p>
        <w:p>
          <w:pPr/>
          <w:r>
            <w:fldChar w:fldCharType="end"/>
          </w:r>
        </w:p>
      </w:sdtContent>
    </w:sdt>
    <w:p>
      <w:pPr>
        <w:spacing w:after="0"/>
        <w:sectPr>
          <w:type w:val="continuous"/>
          <w:pgSz w:w="11910" w:h="16840"/>
          <w:pgMar w:top="260" w:bottom="1200" w:left="1680" w:right="380"/>
        </w:sectPr>
      </w:pPr>
    </w:p>
    <w:p>
      <w:pPr>
        <w:pStyle w:val="Heading1"/>
        <w:spacing w:before="1"/>
        <w:ind w:right="2987"/>
      </w:pPr>
      <w:bookmarkStart w:name="_TOC_250026" w:id="1"/>
      <w:bookmarkEnd w:id="1"/>
      <w:r>
        <w:rPr/>
        <w:t>第一部分 总则</w:t>
      </w:r>
    </w:p>
    <w:p>
      <w:pPr>
        <w:pStyle w:val="BodyText"/>
        <w:spacing w:before="5"/>
        <w:ind w:left="0"/>
        <w:rPr>
          <w:b/>
          <w:sz w:val="25"/>
        </w:rPr>
      </w:pPr>
    </w:p>
    <w:p>
      <w:pPr>
        <w:pStyle w:val="Heading2"/>
        <w:spacing w:before="1"/>
      </w:pPr>
      <w:bookmarkStart w:name="_TOC_250025" w:id="2"/>
      <w:bookmarkEnd w:id="2"/>
      <w:r>
        <w:rPr/>
        <w:t>第一条 合同构成</w:t>
      </w:r>
    </w:p>
    <w:p>
      <w:pPr>
        <w:pStyle w:val="BodyText"/>
        <w:spacing w:line="273" w:lineRule="auto"/>
        <w:ind w:right="112" w:firstLine="420"/>
        <w:jc w:val="both"/>
      </w:pPr>
      <w:r>
        <w:rPr/>
        <w:t>“昆仑健康保险股份有限公司少儿重大疾病保险合同</w:t>
      </w:r>
      <w:r>
        <w:rPr>
          <w:spacing w:val="-134"/>
        </w:rPr>
        <w:t>”</w:t>
      </w:r>
      <w:r>
        <w:rPr/>
        <w:t>（</w:t>
      </w:r>
      <w:r>
        <w:rPr>
          <w:spacing w:val="-17"/>
        </w:rPr>
        <w:t>以下简称“本合同”</w:t>
      </w:r>
      <w:r>
        <w:rPr>
          <w:spacing w:val="-29"/>
        </w:rPr>
        <w:t>）</w:t>
      </w:r>
      <w:r>
        <w:rPr>
          <w:spacing w:val="-1"/>
        </w:rPr>
        <w:t>由保险单</w:t>
      </w:r>
      <w:r>
        <w:rPr>
          <w:spacing w:val="-9"/>
        </w:rPr>
        <w:t>及所附条款、投保单、与本合同有关的投保文件、合法有效的声明、批注、附贴批单和其他</w:t>
      </w:r>
      <w:r>
        <w:rPr>
          <w:spacing w:val="-1"/>
        </w:rPr>
        <w:t>书面协议构成。</w:t>
      </w:r>
    </w:p>
    <w:p>
      <w:pPr>
        <w:pStyle w:val="BodyText"/>
        <w:spacing w:before="5"/>
        <w:ind w:left="0"/>
        <w:rPr>
          <w:sz w:val="24"/>
        </w:rPr>
      </w:pPr>
    </w:p>
    <w:p>
      <w:pPr>
        <w:pStyle w:val="Heading2"/>
      </w:pPr>
      <w:bookmarkStart w:name="_TOC_250024" w:id="3"/>
      <w:bookmarkEnd w:id="3"/>
      <w:r>
        <w:rPr/>
        <w:t>第二条 合同成立与生效</w:t>
      </w:r>
    </w:p>
    <w:p>
      <w:pPr>
        <w:pStyle w:val="BodyText"/>
        <w:spacing w:line="273" w:lineRule="auto" w:before="36"/>
        <w:ind w:right="112" w:firstLine="423"/>
      </w:pPr>
      <w:r>
        <w:rPr>
          <w:spacing w:val="-7"/>
        </w:rPr>
        <w:t>投保人提出保险申请、本公司同意承保，本合同成立。自本合同成立、本公司收取保险费并签发保险单的次日零时起本合同生效。合同生效日期在保险单上载明。</w:t>
      </w:r>
    </w:p>
    <w:p>
      <w:pPr>
        <w:pStyle w:val="BodyText"/>
        <w:spacing w:before="5"/>
        <w:ind w:left="0"/>
        <w:rPr>
          <w:sz w:val="24"/>
        </w:rPr>
      </w:pPr>
    </w:p>
    <w:p>
      <w:pPr>
        <w:pStyle w:val="Heading2"/>
      </w:pPr>
      <w:bookmarkStart w:name="_TOC_250023" w:id="4"/>
      <w:bookmarkEnd w:id="4"/>
      <w:r>
        <w:rPr/>
        <w:t>第三条 犹豫期</w:t>
      </w:r>
    </w:p>
    <w:p>
      <w:pPr>
        <w:pStyle w:val="BodyText"/>
        <w:ind w:left="541"/>
      </w:pPr>
      <w:r>
        <w:rPr/>
        <w:t>自投保人签收本合同之日起，有 10 日的犹豫期。如果投保人在此期间提出撤销合同，</w:t>
      </w:r>
    </w:p>
    <w:p>
      <w:pPr>
        <w:pStyle w:val="BodyText"/>
        <w:spacing w:line="273" w:lineRule="auto"/>
        <w:ind w:right="1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2" w:id="5"/>
      <w:bookmarkEnd w:id="5"/>
      <w:r>
        <w:rPr/>
        <w:t>第四条 明确说明与如实告知</w:t>
      </w:r>
    </w:p>
    <w:p>
      <w:pPr>
        <w:pStyle w:val="BodyText"/>
        <w:spacing w:before="36"/>
        <w:ind w:left="541"/>
      </w:pPr>
      <w:r>
        <w:rPr/>
        <w:t>订立本合同时，本公司应当向投保人说明本合同内容。</w:t>
      </w:r>
    </w:p>
    <w:p>
      <w:pPr>
        <w:pStyle w:val="BodyText"/>
        <w:spacing w:line="273" w:lineRule="auto" w:before="36"/>
        <w:ind w:right="112" w:firstLine="423"/>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41"/>
      </w:pPr>
      <w:r>
        <w:rPr/>
        <w:t>本公司就投保人和被保险人的有关情况提出书面询问，投保人应当如实告知。</w:t>
      </w:r>
    </w:p>
    <w:p>
      <w:pPr>
        <w:pStyle w:val="BodyText"/>
        <w:spacing w:line="273" w:lineRule="auto"/>
        <w:ind w:right="113" w:firstLine="423"/>
      </w:pPr>
      <w:r>
        <w:rPr>
          <w:spacing w:val="-5"/>
        </w:rPr>
        <w:t>投保人故意或者因重大过失未履行如实告知义务，足以影响本公司决定是否同意承保或提高保险费率的，本公司有权解除本合同。</w:t>
      </w:r>
    </w:p>
    <w:p>
      <w:pPr>
        <w:pStyle w:val="BodyText"/>
        <w:spacing w:line="273" w:lineRule="auto" w:before="7"/>
        <w:ind w:right="112" w:firstLine="423"/>
      </w:pPr>
      <w:r>
        <w:rPr>
          <w:spacing w:val="-5"/>
        </w:rPr>
        <w:t>投保人故意不履行如实告知义务的，对于本合同解除前发生的保险事故，本公司不承担给付保险金责任，并不退还保险费。</w:t>
      </w:r>
    </w:p>
    <w:p>
      <w:pPr>
        <w:pStyle w:val="BodyText"/>
        <w:spacing w:line="273" w:lineRule="auto" w:before="7"/>
        <w:ind w:right="112" w:firstLine="423"/>
      </w:pPr>
      <w:r>
        <w:rPr>
          <w:spacing w:val="-5"/>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right="112" w:firstLine="423"/>
      </w:pPr>
      <w:r>
        <w:rPr>
          <w:spacing w:val="-4"/>
        </w:rPr>
        <w:t>本公司在合同订立时已经知道投保人未如实告知的，本公司不得解除合同；发生保险事故的，本公司承担给付保险金的责任。</w:t>
      </w:r>
    </w:p>
    <w:p>
      <w:pPr>
        <w:pStyle w:val="BodyText"/>
        <w:spacing w:before="5"/>
        <w:ind w:left="0"/>
        <w:rPr>
          <w:sz w:val="24"/>
        </w:rPr>
      </w:pPr>
    </w:p>
    <w:p>
      <w:pPr>
        <w:pStyle w:val="Heading2"/>
      </w:pPr>
      <w:bookmarkStart w:name="_TOC_250021" w:id="6"/>
      <w:bookmarkEnd w:id="6"/>
      <w:r>
        <w:rPr/>
        <w:t>第五条 本公司合同解除权的限制</w:t>
      </w:r>
    </w:p>
    <w:p>
      <w:pPr>
        <w:pStyle w:val="BodyText"/>
        <w:ind w:left="537"/>
      </w:pPr>
      <w:r>
        <w:rPr/>
        <w:t>本合同第四条和第十五条中规定的合同解除权，自本公司知道有解除事由之日起，超过</w:t>
      </w:r>
    </w:p>
    <w:p>
      <w:pPr>
        <w:pStyle w:val="BodyText"/>
        <w:spacing w:line="273" w:lineRule="auto"/>
        <w:ind w:right="1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pPr>
      <w:bookmarkStart w:name="_TOC_250020" w:id="7"/>
      <w:bookmarkEnd w:id="7"/>
      <w:r>
        <w:rPr/>
        <w:t>第二部分 保障利益条款</w:t>
      </w:r>
    </w:p>
    <w:p>
      <w:pPr>
        <w:pStyle w:val="BodyText"/>
        <w:spacing w:before="6"/>
        <w:ind w:left="0"/>
        <w:rPr>
          <w:b/>
          <w:sz w:val="25"/>
        </w:rPr>
      </w:pPr>
    </w:p>
    <w:p>
      <w:pPr>
        <w:pStyle w:val="Heading2"/>
      </w:pPr>
      <w:bookmarkStart w:name="_TOC_250019" w:id="8"/>
      <w:bookmarkEnd w:id="8"/>
      <w:r>
        <w:rPr/>
        <w:t>第六条 保险对象</w:t>
      </w:r>
    </w:p>
    <w:p>
      <w:pPr>
        <w:pStyle w:val="BodyText"/>
        <w:spacing w:line="273" w:lineRule="auto"/>
        <w:ind w:right="113" w:firstLine="420"/>
      </w:pPr>
      <w:r>
        <w:rPr>
          <w:spacing w:val="-18"/>
        </w:rPr>
        <w:t>凡满 </w:t>
      </w:r>
      <w:r>
        <w:rPr/>
        <w:t>28</w:t>
      </w:r>
      <w:r>
        <w:rPr>
          <w:spacing w:val="-28"/>
        </w:rPr>
        <w:t> 天至 </w:t>
      </w:r>
      <w:r>
        <w:rPr/>
        <w:t>18</w:t>
      </w:r>
      <w:r>
        <w:rPr>
          <w:spacing w:val="-54"/>
        </w:rPr>
        <w:t> </w:t>
      </w:r>
      <w:r>
        <w:rPr>
          <w:b/>
        </w:rPr>
        <w:t>周岁</w:t>
      </w:r>
      <w:r>
        <w:rPr>
          <w:spacing w:val="-16"/>
        </w:rPr>
        <w:t>之间</w:t>
      </w:r>
      <w:r>
        <w:rPr/>
        <w:t>（</w:t>
      </w:r>
      <w:r>
        <w:rPr>
          <w:spacing w:val="-27"/>
        </w:rPr>
        <w:t>含 </w:t>
      </w:r>
      <w:r>
        <w:rPr/>
        <w:t>28</w:t>
      </w:r>
      <w:r>
        <w:rPr>
          <w:spacing w:val="-28"/>
        </w:rPr>
        <w:t> 天和 </w:t>
      </w:r>
      <w:r>
        <w:rPr/>
        <w:t>18</w:t>
      </w:r>
      <w:r>
        <w:rPr>
          <w:spacing w:val="-18"/>
        </w:rPr>
        <w:t> 周岁</w:t>
      </w:r>
      <w:r>
        <w:rPr>
          <w:spacing w:val="-31"/>
        </w:rPr>
        <w:t>）</w:t>
      </w:r>
      <w:r>
        <w:rPr>
          <w:spacing w:val="-3"/>
        </w:rPr>
        <w:t>的身体健康者可作为被保险人，由对其具有保险利益的其他人作为投保人向本公司投保本保险。</w:t>
      </w:r>
    </w:p>
    <w:p>
      <w:pPr>
        <w:spacing w:after="0" w:line="273" w:lineRule="auto"/>
        <w:sectPr>
          <w:pgSz w:w="11910" w:h="16840"/>
          <w:pgMar w:header="0" w:footer="1008" w:top="1400" w:bottom="1200" w:left="1680" w:right="1680"/>
        </w:sectPr>
      </w:pPr>
    </w:p>
    <w:p>
      <w:pPr>
        <w:pStyle w:val="Heading2"/>
        <w:spacing w:before="25"/>
      </w:pPr>
      <w:bookmarkStart w:name="_TOC_250018" w:id="9"/>
      <w:bookmarkEnd w:id="9"/>
      <w:r>
        <w:rPr/>
        <w:t>第七条 保险责任</w:t>
      </w:r>
    </w:p>
    <w:p>
      <w:pPr>
        <w:pStyle w:val="BodyText"/>
        <w:ind w:left="537"/>
      </w:pPr>
      <w:r>
        <w:rPr/>
        <w:t>在本合同有效期间内，本公司承担如下保险责任：</w:t>
      </w:r>
    </w:p>
    <w:p>
      <w:pPr>
        <w:pStyle w:val="BodyText"/>
        <w:spacing w:line="273" w:lineRule="auto"/>
        <w:ind w:right="106" w:firstLine="419"/>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4"/>
        </w:rPr>
        <w:t>或者被保险人在本合同生效日起满 </w:t>
      </w:r>
      <w:r>
        <w:rPr/>
        <w:t>30</w:t>
      </w:r>
      <w:r>
        <w:rPr>
          <w:spacing w:val="-21"/>
        </w:rPr>
        <w:t> 日后</w:t>
      </w:r>
      <w:r>
        <w:rPr/>
        <w:t>（</w:t>
      </w:r>
      <w:r>
        <w:rPr>
          <w:spacing w:val="-5"/>
        </w:rPr>
        <w:t>若续保，则续保合同项下没有该 </w:t>
      </w:r>
      <w:r>
        <w:rPr/>
        <w:t>30</w:t>
      </w:r>
      <w:r>
        <w:rPr>
          <w:spacing w:val="-13"/>
        </w:rPr>
        <w:t> 日的限制</w:t>
      </w:r>
      <w:r>
        <w:rPr/>
        <w:t>） 因疾病首次发生并被确诊为本合同列明的重大疾病（无论一种或多种</w:t>
      </w:r>
      <w:r>
        <w:rPr>
          <w:spacing w:val="-104"/>
        </w:rPr>
        <w:t>）</w:t>
      </w:r>
      <w:r>
        <w:rPr/>
        <w:t>，本公司按保险金额给付保险金，本合同效力终止。</w:t>
      </w:r>
    </w:p>
    <w:p>
      <w:pPr>
        <w:pStyle w:val="BodyText"/>
        <w:spacing w:before="7"/>
        <w:ind w:left="537"/>
      </w:pPr>
      <w:r>
        <w:rPr/>
        <w:t>被保险人在本合同生效日起 30 日内因疾病首次发生并被确诊为本合同列明的重大疾病</w:t>
      </w:r>
    </w:p>
    <w:p>
      <w:pPr>
        <w:pStyle w:val="BodyText"/>
        <w:spacing w:before="36"/>
      </w:pPr>
      <w:r>
        <w:rPr/>
        <w:t>（无论一种或多种</w:t>
      </w:r>
      <w:r>
        <w:rPr>
          <w:spacing w:val="-105"/>
        </w:rPr>
        <w:t>）</w:t>
      </w:r>
      <w:r>
        <w:rPr>
          <w:spacing w:val="-1"/>
        </w:rPr>
        <w:t>，本公司无息退还保险费，本合同效力终止。</w:t>
      </w:r>
    </w:p>
    <w:p>
      <w:pPr>
        <w:pStyle w:val="BodyText"/>
        <w:spacing w:before="8"/>
        <w:ind w:left="0"/>
        <w:rPr>
          <w:sz w:val="26"/>
        </w:rPr>
      </w:pPr>
    </w:p>
    <w:p>
      <w:pPr>
        <w:pStyle w:val="Heading2"/>
        <w:rPr>
          <w:rFonts w:ascii="黑体" w:eastAsia="黑体" w:hint="eastAsia"/>
        </w:rPr>
      </w:pPr>
      <w:bookmarkStart w:name="_TOC_250017" w:id="10"/>
      <w:bookmarkEnd w:id="10"/>
      <w:r>
        <w:rPr>
          <w:rFonts w:ascii="黑体" w:eastAsia="黑体" w:hint="eastAsia"/>
        </w:rPr>
        <w:t>第八条 责任免除</w:t>
      </w:r>
    </w:p>
    <w:p>
      <w:pPr>
        <w:pStyle w:val="BodyText"/>
        <w:spacing w:line="273" w:lineRule="auto" w:before="36"/>
        <w:ind w:right="112" w:firstLine="420"/>
        <w:rPr>
          <w:rFonts w:ascii="黑体" w:eastAsia="黑体" w:hint="eastAsia"/>
        </w:rPr>
      </w:pPr>
      <w:r>
        <w:rPr>
          <w:rFonts w:ascii="黑体" w:eastAsia="黑体" w:hint="eastAsia"/>
        </w:rPr>
        <w:t>因下述一种或多种情形导致被保险人首次发Th并被确诊为本合同列明的重大疾病的（无论一种或多种），本公司不承担给付保险金的责任：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4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193" w:hanging="420"/>
        <w:jc w:val="left"/>
        <w:rPr>
          <w:rFonts w:ascii="黑体" w:eastAsia="黑体" w:hint="eastAsia"/>
          <w:sz w:val="21"/>
        </w:rPr>
      </w:pPr>
      <w:r>
        <w:rPr>
          <w:rFonts w:ascii="黑体" w:eastAsia="黑体" w:hint="eastAsia"/>
          <w:spacing w:val="-10"/>
          <w:sz w:val="21"/>
        </w:rPr>
        <w:t>被保险人不孕不育治疗、人工受精、怀孕、分娩</w:t>
      </w:r>
      <w:r>
        <w:rPr>
          <w:rFonts w:ascii="黑体" w:eastAsia="黑体" w:hint="eastAsia"/>
          <w:sz w:val="21"/>
        </w:rPr>
        <w:t>（含难产</w:t>
      </w:r>
      <w:r>
        <w:rPr>
          <w:rFonts w:ascii="黑体" w:eastAsia="黑体" w:hint="eastAsia"/>
          <w:spacing w:val="-34"/>
          <w:sz w:val="21"/>
        </w:rPr>
        <w:t>）</w:t>
      </w:r>
      <w:r>
        <w:rPr>
          <w:rFonts w:ascii="黑体" w:eastAsia="黑体" w:hint="eastAsia"/>
          <w:spacing w:val="-17"/>
          <w:sz w:val="21"/>
        </w:rPr>
        <w:t>、流产、堕胎、节育</w:t>
      </w:r>
      <w:r>
        <w:rPr>
          <w:rFonts w:ascii="黑体" w:eastAsia="黑体" w:hint="eastAsia"/>
          <w:sz w:val="21"/>
        </w:rPr>
        <w:t>（含绝育）、产前产后检查以及上述原因引起的并发症；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149" w:hanging="420"/>
        <w:jc w:val="left"/>
        <w:rPr>
          <w:rFonts w:ascii="黑体" w:eastAsia="黑体" w:hint="eastAsia"/>
          <w:sz w:val="21"/>
        </w:rPr>
      </w:pPr>
      <w:r>
        <w:rPr>
          <w:rFonts w:ascii="黑体" w:eastAsia="黑体" w:hint="eastAsia"/>
          <w:spacing w:val="-1"/>
          <w:sz w:val="21"/>
        </w:rPr>
        <w:t>被保险人从事高风险运动，包括但不限于</w:t>
      </w:r>
      <w:r>
        <w:rPr>
          <w:rFonts w:ascii="黑体" w:eastAsia="黑体" w:hint="eastAsia"/>
          <w:b/>
          <w:sz w:val="21"/>
        </w:rPr>
        <w:t>潜水</w:t>
      </w:r>
      <w:r>
        <w:rPr>
          <w:rFonts w:ascii="黑体" w:eastAsia="黑体" w:hint="eastAsia"/>
          <w:spacing w:val="-6"/>
          <w:sz w:val="21"/>
        </w:rPr>
        <w:t>、跳伞、</w:t>
      </w:r>
      <w:r>
        <w:rPr>
          <w:rFonts w:ascii="黑体" w:eastAsia="黑体" w:hint="eastAsia"/>
          <w:b/>
          <w:sz w:val="21"/>
        </w:rPr>
        <w:t>攀岩</w:t>
      </w:r>
      <w:r>
        <w:rPr>
          <w:rFonts w:ascii="黑体" w:eastAsia="黑体" w:hint="eastAsia"/>
          <w:spacing w:val="-9"/>
          <w:sz w:val="21"/>
        </w:rPr>
        <w:t>、</w:t>
      </w:r>
      <w:r>
        <w:rPr>
          <w:rFonts w:ascii="黑体" w:eastAsia="黑体" w:hint="eastAsia"/>
          <w:b/>
          <w:sz w:val="21"/>
        </w:rPr>
        <w:t>探险</w:t>
      </w:r>
      <w:r>
        <w:rPr>
          <w:rFonts w:ascii="黑体" w:eastAsia="黑体" w:hint="eastAsia"/>
          <w:spacing w:val="-5"/>
          <w:sz w:val="21"/>
        </w:rPr>
        <w:t>、蹦极、驾驶滑</w:t>
      </w:r>
      <w:r>
        <w:rPr>
          <w:rFonts w:ascii="黑体" w:eastAsia="黑体" w:hint="eastAsia"/>
          <w:spacing w:val="-5"/>
          <w:w w:val="95"/>
          <w:sz w:val="21"/>
        </w:rPr>
        <w:t>翔机、</w:t>
      </w:r>
      <w:r>
        <w:rPr>
          <w:rFonts w:ascii="黑体" w:eastAsia="黑体" w:hint="eastAsia"/>
          <w:b/>
          <w:spacing w:val="-5"/>
          <w:w w:val="95"/>
          <w:sz w:val="21"/>
        </w:rPr>
        <w:t>武术比赛</w:t>
      </w:r>
      <w:r>
        <w:rPr>
          <w:rFonts w:ascii="黑体" w:eastAsia="黑体" w:hint="eastAsia"/>
          <w:spacing w:val="-5"/>
          <w:w w:val="95"/>
          <w:sz w:val="21"/>
        </w:rPr>
        <w:t>、摔跤、</w:t>
      </w:r>
      <w:r>
        <w:rPr>
          <w:rFonts w:ascii="黑体" w:eastAsia="黑体" w:hint="eastAsia"/>
          <w:b/>
          <w:spacing w:val="-5"/>
          <w:w w:val="95"/>
          <w:sz w:val="21"/>
        </w:rPr>
        <w:t>特技表演</w:t>
      </w:r>
      <w:r>
        <w:rPr>
          <w:rFonts w:ascii="黑体" w:eastAsia="黑体" w:hint="eastAsia"/>
          <w:spacing w:val="-5"/>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36"/>
        <w:ind w:right="192" w:firstLine="420"/>
        <w:rPr>
          <w:rFonts w:ascii="黑体" w:eastAsia="黑体" w:hint="eastAsia"/>
        </w:rPr>
      </w:pPr>
      <w:r>
        <w:rPr>
          <w:rFonts w:ascii="黑体" w:eastAsia="黑体" w:hint="eastAsia"/>
        </w:rPr>
        <w:t>被保险人因上述一种或多种情形首次发Th</w:t>
      </w:r>
      <w:r>
        <w:rPr>
          <w:rFonts w:ascii="黑体" w:eastAsia="黑体" w:hint="eastAsia"/>
          <w:spacing w:val="-6"/>
        </w:rPr>
        <w:t>并被确诊为本合同列明的重大疾病</w:t>
      </w: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未满期净保费</w:t>
      </w:r>
      <w:r>
        <w:rPr>
          <w:rFonts w:ascii="黑体" w:eastAsia="黑体" w:hint="eastAsia"/>
        </w:rPr>
        <w:t>。</w:t>
      </w:r>
    </w:p>
    <w:p>
      <w:pPr>
        <w:pStyle w:val="BodyText"/>
        <w:spacing w:before="9"/>
        <w:ind w:left="0"/>
        <w:rPr>
          <w:rFonts w:ascii="黑体"/>
          <w:sz w:val="26"/>
        </w:rPr>
      </w:pPr>
    </w:p>
    <w:p>
      <w:pPr>
        <w:pStyle w:val="Heading2"/>
      </w:pPr>
      <w:bookmarkStart w:name="_TOC_250016" w:id="11"/>
      <w:bookmarkEnd w:id="11"/>
      <w:r>
        <w:rPr/>
        <w:t>第九条 保险期间</w:t>
      </w:r>
    </w:p>
    <w:p>
      <w:pPr>
        <w:pStyle w:val="BodyText"/>
        <w:ind w:left="537"/>
      </w:pPr>
      <w:r>
        <w:rPr/>
        <w:t>本合同保险期间为 1 年，本公司自生效日的零时起开始承担保险责任。</w:t>
      </w:r>
    </w:p>
    <w:p>
      <w:pPr>
        <w:pStyle w:val="BodyText"/>
        <w:spacing w:before="8"/>
        <w:ind w:left="0"/>
        <w:rPr>
          <w:sz w:val="26"/>
        </w:rPr>
      </w:pPr>
    </w:p>
    <w:p>
      <w:pPr>
        <w:pStyle w:val="Heading2"/>
        <w:spacing w:before="1"/>
      </w:pPr>
      <w:bookmarkStart w:name="_TOC_250015" w:id="12"/>
      <w:bookmarkEnd w:id="12"/>
      <w:r>
        <w:rPr/>
        <w:t>第十条 续保的处理</w:t>
      </w:r>
    </w:p>
    <w:p>
      <w:pPr>
        <w:pStyle w:val="BodyText"/>
        <w:spacing w:line="297" w:lineRule="auto" w:before="17"/>
        <w:ind w:right="207" w:firstLine="423"/>
      </w:pPr>
      <w:r>
        <w:rPr>
          <w:spacing w:val="-8"/>
        </w:rPr>
        <w:t>在本合同到期日后 </w:t>
      </w:r>
      <w:r>
        <w:rPr/>
        <w:t>30</w:t>
      </w:r>
      <w:r>
        <w:rPr>
          <w:spacing w:val="-9"/>
        </w:rPr>
        <w:t> 日内，投保人申请续保本保险且保险金额不增加的，则本公司收取相应的续保保险费后，将根据本合同的约定继续承担相应的保险责任。</w:t>
      </w:r>
    </w:p>
    <w:p>
      <w:pPr>
        <w:pStyle w:val="BodyText"/>
        <w:spacing w:line="297" w:lineRule="auto" w:before="14"/>
        <w:ind w:right="207" w:firstLine="423"/>
      </w:pPr>
      <w:r>
        <w:rPr>
          <w:spacing w:val="-3"/>
        </w:rPr>
        <w:t>投保人在申请续保时提高保险金额或在本合同到期日的 </w:t>
      </w:r>
      <w:r>
        <w:rPr/>
        <w:t>30</w:t>
      </w:r>
      <w:r>
        <w:rPr>
          <w:spacing w:val="-9"/>
        </w:rPr>
        <w:t> 日后申请续保本保险的，本公司有权重新审核，并根据审核结果重新决定是否续保。</w:t>
      </w:r>
    </w:p>
    <w:p>
      <w:pPr>
        <w:pStyle w:val="BodyText"/>
        <w:spacing w:before="7"/>
        <w:ind w:left="0"/>
        <w:rPr>
          <w:sz w:val="26"/>
        </w:rPr>
      </w:pPr>
    </w:p>
    <w:p>
      <w:pPr>
        <w:pStyle w:val="Heading2"/>
      </w:pPr>
      <w:bookmarkStart w:name="_TOC_250014" w:id="13"/>
      <w:bookmarkEnd w:id="13"/>
      <w:r>
        <w:rPr/>
        <w:t>第十一条 保险金额和保险费</w:t>
      </w:r>
    </w:p>
    <w:p>
      <w:pPr>
        <w:pStyle w:val="BodyText"/>
        <w:spacing w:before="62"/>
        <w:ind w:left="537"/>
      </w:pPr>
      <w:r>
        <w:rPr/>
        <w:t>本合同的保险金额由投保人与本公司双方协商约定并在保险单上载明。</w:t>
      </w:r>
    </w:p>
    <w:p>
      <w:pPr>
        <w:pStyle w:val="BodyText"/>
        <w:spacing w:line="273" w:lineRule="auto" w:before="19"/>
        <w:ind w:right="190" w:firstLine="420"/>
      </w:pPr>
      <w:r>
        <w:rPr/>
        <w:t>本合同的保险费根据投保人与本公司双方协商约定的保险金额及被保险人的风险状况确定。</w:t>
      </w:r>
    </w:p>
    <w:p>
      <w:pPr>
        <w:spacing w:after="0" w:line="273" w:lineRule="auto"/>
        <w:sectPr>
          <w:pgSz w:w="11910" w:h="16840"/>
          <w:pgMar w:header="0" w:footer="1008" w:top="1400" w:bottom="1200" w:left="1680" w:right="1600"/>
        </w:sectPr>
      </w:pPr>
    </w:p>
    <w:p>
      <w:pPr>
        <w:pStyle w:val="Heading1"/>
        <w:spacing w:before="113"/>
      </w:pPr>
      <w:bookmarkStart w:name="_TOC_250013" w:id="14"/>
      <w:bookmarkEnd w:id="14"/>
      <w:r>
        <w:rPr/>
        <w:t>第三部分 保险服务条款</w:t>
      </w:r>
    </w:p>
    <w:p>
      <w:pPr>
        <w:pStyle w:val="BodyText"/>
        <w:spacing w:before="5"/>
        <w:ind w:left="0"/>
        <w:rPr>
          <w:b/>
          <w:sz w:val="25"/>
        </w:rPr>
      </w:pPr>
    </w:p>
    <w:p>
      <w:pPr>
        <w:pStyle w:val="Heading2"/>
        <w:spacing w:before="1"/>
      </w:pPr>
      <w:bookmarkStart w:name="_TOC_250012" w:id="15"/>
      <w:bookmarkEnd w:id="15"/>
      <w:r>
        <w:rPr/>
        <w:t>第十二条 合同内容变更</w:t>
      </w:r>
    </w:p>
    <w:p>
      <w:pPr>
        <w:pStyle w:val="BodyText"/>
        <w:spacing w:line="273" w:lineRule="auto"/>
        <w:ind w:right="1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1" w:id="16"/>
      <w:bookmarkEnd w:id="16"/>
      <w:r>
        <w:rPr/>
        <w:t>第十三条 受益人指定和变更</w:t>
      </w:r>
    </w:p>
    <w:p>
      <w:pPr>
        <w:pStyle w:val="BodyText"/>
        <w:spacing w:before="36"/>
        <w:ind w:left="537"/>
      </w:pPr>
      <w:r>
        <w:rPr/>
        <w:t>除合同另有约定外，本合同各项保险金的受益人均为被保险人本人。</w:t>
      </w:r>
    </w:p>
    <w:p>
      <w:pPr>
        <w:pStyle w:val="BodyText"/>
        <w:spacing w:before="8"/>
        <w:ind w:left="0"/>
        <w:rPr>
          <w:sz w:val="26"/>
        </w:rPr>
      </w:pPr>
    </w:p>
    <w:p>
      <w:pPr>
        <w:pStyle w:val="Heading2"/>
      </w:pPr>
      <w:bookmarkStart w:name="_TOC_250010" w:id="17"/>
      <w:bookmarkEnd w:id="17"/>
      <w:r>
        <w:rPr/>
        <w:t>第十四条 通讯地址变更</w:t>
      </w:r>
    </w:p>
    <w:p>
      <w:pPr>
        <w:pStyle w:val="BodyText"/>
        <w:spacing w:line="273" w:lineRule="auto"/>
        <w:ind w:right="111" w:firstLine="420"/>
        <w:jc w:val="both"/>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09" w:id="18"/>
      <w:bookmarkEnd w:id="18"/>
      <w:r>
        <w:rPr/>
        <w:t>第十五条 年龄性别错误</w:t>
      </w:r>
    </w:p>
    <w:p>
      <w:pPr>
        <w:pStyle w:val="BodyText"/>
        <w:spacing w:line="273" w:lineRule="auto" w:before="36"/>
        <w:ind w:right="11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111" w:firstLine="420"/>
        <w:jc w:val="both"/>
      </w:pPr>
      <w:r>
        <w:rPr>
          <w:spacing w:val="-6"/>
        </w:rPr>
        <w:t>若投保人申报的被保险人年龄不真实，并且其真实年龄不符合本合同约定投保年龄限制</w:t>
      </w:r>
      <w:r>
        <w:rPr>
          <w:spacing w:val="-9"/>
        </w:rPr>
        <w:t>的，本公司有权解除合同。若在合同解除前未发生过保险金给付，本公司向投保人退还本合同的未满期净保费；否则，不予退还。</w:t>
      </w:r>
    </w:p>
    <w:p>
      <w:pPr>
        <w:pStyle w:val="BodyText"/>
        <w:spacing w:line="273" w:lineRule="auto" w:before="7"/>
        <w:ind w:right="1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1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9"/>
      <w:bookmarkEnd w:id="19"/>
      <w:r>
        <w:rPr/>
        <w:t>第十六条 合同解除</w:t>
      </w:r>
    </w:p>
    <w:p>
      <w:pPr>
        <w:pStyle w:val="BodyText"/>
        <w:spacing w:line="273" w:lineRule="auto"/>
        <w:ind w:right="110" w:firstLine="420"/>
        <w:jc w:val="both"/>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8"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right="112" w:firstLine="420"/>
        <w:jc w:val="both"/>
      </w:pPr>
      <w:r>
        <w:rPr>
          <w:spacing w:val="-5"/>
        </w:rPr>
        <w:t>自本公司收到解除合同申请书之日起，本合同效力终止。若对被保险人未发生过保险金</w:t>
      </w:r>
      <w:r>
        <w:rPr>
          <w:spacing w:val="-7"/>
        </w:rPr>
        <w:t>给付，本公司在收到上述证明和资料之日起 </w:t>
      </w:r>
      <w:r>
        <w:rPr/>
        <w:t>30</w:t>
      </w:r>
      <w:r>
        <w:rPr>
          <w:spacing w:val="-7"/>
        </w:rPr>
        <w:t> 日内向投保人退还本合同的未满期净保费； 否则，不予退还。</w:t>
      </w:r>
    </w:p>
    <w:p>
      <w:pPr>
        <w:pStyle w:val="BodyText"/>
        <w:spacing w:before="0"/>
        <w:ind w:left="0"/>
        <w:rPr>
          <w:sz w:val="20"/>
        </w:rPr>
      </w:pPr>
    </w:p>
    <w:p>
      <w:pPr>
        <w:pStyle w:val="BodyText"/>
        <w:spacing w:before="5"/>
        <w:ind w:left="0"/>
        <w:rPr>
          <w:sz w:val="26"/>
        </w:rPr>
      </w:pPr>
    </w:p>
    <w:p>
      <w:pPr>
        <w:pStyle w:val="Heading1"/>
      </w:pPr>
      <w:bookmarkStart w:name="_TOC_250007" w:id="20"/>
      <w:bookmarkEnd w:id="20"/>
      <w:r>
        <w:rPr/>
        <w:t>第四部分 保险理赔条款</w:t>
      </w:r>
    </w:p>
    <w:p>
      <w:pPr>
        <w:pStyle w:val="BodyText"/>
        <w:spacing w:before="6"/>
        <w:ind w:left="0"/>
        <w:rPr>
          <w:b/>
          <w:sz w:val="25"/>
        </w:rPr>
      </w:pPr>
    </w:p>
    <w:p>
      <w:pPr>
        <w:pStyle w:val="Heading2"/>
      </w:pPr>
      <w:bookmarkStart w:name="_TOC_250006" w:id="21"/>
      <w:bookmarkEnd w:id="21"/>
      <w:r>
        <w:rPr/>
        <w:t>第十七条 保险事故通知</w:t>
      </w:r>
    </w:p>
    <w:p>
      <w:pPr>
        <w:pStyle w:val="BodyText"/>
        <w:ind w:left="537"/>
      </w:pPr>
      <w:r>
        <w:rPr/>
        <w:t>投保人、被保险人、受益人或其他有权领取保险金的人应于知道保险事故发生之日起</w:t>
      </w:r>
    </w:p>
    <w:p>
      <w:pPr>
        <w:pStyle w:val="BodyText"/>
      </w:pPr>
      <w:r>
        <w:rPr/>
        <w:t>10 日内通知本公司。投保人、被保险人、受益人或其他有权领取保险金的人故意或者因重</w:t>
      </w:r>
    </w:p>
    <w:p>
      <w:pPr>
        <w:spacing w:after="0"/>
        <w:sectPr>
          <w:pgSz w:w="11910" w:h="16840"/>
          <w:pgMar w:header="0" w:footer="1008" w:top="1600" w:bottom="1200" w:left="1680" w:right="1680"/>
        </w:sectPr>
      </w:pPr>
    </w:p>
    <w:p>
      <w:pPr>
        <w:pStyle w:val="BodyText"/>
        <w:spacing w:line="273" w:lineRule="auto" w:before="25"/>
        <w:ind w:right="211"/>
        <w:jc w:val="both"/>
      </w:pP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2"/>
      <w:bookmarkEnd w:id="22"/>
      <w:r>
        <w:rPr/>
        <w:t>第十八条 保险金申请</w:t>
      </w:r>
    </w:p>
    <w:p>
      <w:pPr>
        <w:pStyle w:val="BodyText"/>
        <w:spacing w:line="273" w:lineRule="auto" w:before="36"/>
        <w:ind w:right="213" w:firstLine="420"/>
      </w:pPr>
      <w:r>
        <w:rPr>
          <w:spacing w:val="-8"/>
        </w:rPr>
        <w:t>在申请保险金时，申请人须填写保险金给付申请书，并提交下列证明和资料向本公司申请给付：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213" w:hanging="208"/>
        <w:jc w:val="left"/>
        <w:rPr>
          <w:sz w:val="21"/>
        </w:rPr>
      </w:pPr>
      <w:r>
        <w:rPr>
          <w:sz w:val="21"/>
        </w:rPr>
        <w:t>由</w:t>
      </w:r>
      <w:r>
        <w:rPr>
          <w:b/>
          <w:sz w:val="21"/>
        </w:rPr>
        <w:t>医院</w:t>
      </w:r>
      <w:r>
        <w:rPr>
          <w:spacing w:val="-5"/>
          <w:sz w:val="21"/>
        </w:rPr>
        <w:t>出具的附有病理显微镜检查、血液检验及其他科学方法检验报告的疾病诊断证明书；</w:t>
      </w:r>
    </w:p>
    <w:p>
      <w:pPr>
        <w:pStyle w:val="ListParagraph"/>
        <w:numPr>
          <w:ilvl w:val="0"/>
          <w:numId w:val="3"/>
        </w:numPr>
        <w:tabs>
          <w:tab w:pos="718" w:val="left" w:leader="none"/>
        </w:tabs>
        <w:spacing w:line="240" w:lineRule="auto" w:before="8" w:after="0"/>
        <w:ind w:left="685" w:right="0" w:hanging="208"/>
        <w:jc w:val="left"/>
        <w:rPr>
          <w:sz w:val="21"/>
        </w:rPr>
      </w:pPr>
      <w:r>
        <w:rPr>
          <w:sz w:val="21"/>
        </w:rPr>
        <w:t>所能提供的与确认保险事故的性质、原因等有关的其他证明和资料。</w:t>
      </w:r>
    </w:p>
    <w:p>
      <w:pPr>
        <w:pStyle w:val="BodyText"/>
        <w:ind w:left="537"/>
      </w:pPr>
      <w:r>
        <w:rPr/>
        <w:t>以上证明和资料不完整的，本公司将及时一次性通知申请人补充提供有关证明和资料。</w:t>
      </w:r>
    </w:p>
    <w:p>
      <w:pPr>
        <w:pStyle w:val="BodyText"/>
        <w:spacing w:before="12"/>
        <w:ind w:left="0"/>
        <w:rPr>
          <w:sz w:val="28"/>
        </w:rPr>
      </w:pPr>
    </w:p>
    <w:p>
      <w:pPr>
        <w:pStyle w:val="Heading2"/>
      </w:pPr>
      <w:bookmarkStart w:name="_TOC_250004" w:id="23"/>
      <w:bookmarkEnd w:id="23"/>
      <w:r>
        <w:rPr/>
        <w:t>第十九条 保险金给付</w:t>
      </w:r>
    </w:p>
    <w:p>
      <w:pPr>
        <w:pStyle w:val="BodyText"/>
        <w:spacing w:line="273" w:lineRule="auto" w:before="36"/>
        <w:ind w:right="124" w:firstLine="420"/>
      </w:pPr>
      <w:r>
        <w:rPr/>
        <w:t>本公司在收到申请人的保险金给付申请书及上述有关证明和资料后，将及时作出核定； 情形复杂的，在 30 日内作出核定。</w:t>
      </w:r>
    </w:p>
    <w:p>
      <w:pPr>
        <w:pStyle w:val="BodyText"/>
        <w:spacing w:line="273" w:lineRule="auto" w:before="7"/>
        <w:ind w:right="212" w:firstLine="420"/>
      </w:pPr>
      <w:r>
        <w:rPr>
          <w:spacing w:val="-7"/>
        </w:rPr>
        <w:t>本公司作出核定后，对确定属于保险责任的，本公司在与受益人或其他有权领取保险金</w:t>
      </w:r>
      <w:r>
        <w:rPr>
          <w:spacing w:val="-10"/>
        </w:rPr>
        <w:t>的人达成给付保险金协议后 </w:t>
      </w:r>
      <w:r>
        <w:rPr/>
        <w:t>10</w:t>
      </w:r>
      <w:r>
        <w:rPr>
          <w:spacing w:val="-7"/>
        </w:rPr>
        <w:t> 日内履行给付保险金责任；对不属于保险责任的，本公司自</w:t>
      </w:r>
    </w:p>
    <w:p>
      <w:pPr>
        <w:pStyle w:val="BodyText"/>
        <w:spacing w:before="7"/>
      </w:pPr>
      <w:r>
        <w:rPr/>
        <w:t>作出核定之日起 3 日内向申请人发出拒绝给付保险金通知书并说明理由。</w:t>
      </w:r>
    </w:p>
    <w:p>
      <w:pPr>
        <w:pStyle w:val="BodyText"/>
        <w:spacing w:line="273" w:lineRule="auto" w:before="36"/>
        <w:ind w:right="211" w:firstLine="420"/>
        <w:jc w:val="both"/>
      </w:pPr>
      <w:r>
        <w:rPr>
          <w:spacing w:val="-2"/>
        </w:rPr>
        <w:t>与受益人或其他有权领取保险金的人达成给付保险金协议后 </w:t>
      </w:r>
      <w:r>
        <w:rPr/>
        <w:t>10</w:t>
      </w:r>
      <w:r>
        <w:rPr>
          <w:spacing w:val="-7"/>
        </w:rPr>
        <w:t> 日内，未履行给付保险</w:t>
      </w:r>
      <w:r>
        <w:rPr>
          <w:spacing w:val="-12"/>
        </w:rPr>
        <w:t>金责任的，本公司除支付保险金外，会赔偿受益人或其他有权领取保险金的人因此受到的损失。</w:t>
      </w:r>
    </w:p>
    <w:p>
      <w:pPr>
        <w:pStyle w:val="BodyText"/>
        <w:spacing w:line="273" w:lineRule="auto" w:before="7"/>
        <w:ind w:right="211" w:firstLine="420"/>
        <w:jc w:val="both"/>
      </w:pPr>
      <w:r>
        <w:rPr>
          <w:spacing w:val="-2"/>
        </w:rPr>
        <w:t>本公司自收到申请人的保险金给付申请书及上述有关证明和资料之日起 </w:t>
      </w:r>
      <w:r>
        <w:rPr/>
        <w:t>60</w:t>
      </w:r>
      <w:r>
        <w:rPr>
          <w:spacing w:val="-9"/>
        </w:rPr>
        <w:t> 日内，对给</w:t>
      </w:r>
      <w:r>
        <w:rPr>
          <w:spacing w:val="-13"/>
        </w:rPr>
        <w:t>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4"/>
      <w:bookmarkEnd w:id="24"/>
      <w:r>
        <w:rPr/>
        <w:t>第二十条 诉讼时效</w:t>
      </w:r>
    </w:p>
    <w:p>
      <w:pPr>
        <w:pStyle w:val="BodyText"/>
        <w:spacing w:line="273" w:lineRule="auto"/>
        <w:ind w:right="212" w:firstLine="420"/>
      </w:pPr>
      <w:r>
        <w:rPr>
          <w:spacing w:val="-10"/>
        </w:rPr>
        <w:t>被保险人、受益人或其他有权领取保险金的人向本公司请求给付保险金的诉讼时效期间</w:t>
      </w:r>
      <w:r>
        <w:rPr>
          <w:spacing w:val="-32"/>
        </w:rPr>
        <w:t>为 </w:t>
      </w:r>
      <w:r>
        <w:rPr/>
        <w:t>2</w:t>
      </w:r>
      <w:r>
        <w:rPr>
          <w:spacing w:val="-8"/>
        </w:rPr>
        <w:t> 年。自其知道或应当知道保险事故发生之日起计算。</w:t>
      </w:r>
    </w:p>
    <w:p>
      <w:pPr>
        <w:pStyle w:val="BodyText"/>
        <w:spacing w:before="5"/>
        <w:ind w:left="0"/>
        <w:rPr>
          <w:sz w:val="24"/>
        </w:rPr>
      </w:pPr>
    </w:p>
    <w:p>
      <w:pPr>
        <w:pStyle w:val="Heading2"/>
        <w:spacing w:before="1"/>
      </w:pPr>
      <w:bookmarkStart w:name="_TOC_250002" w:id="25"/>
      <w:bookmarkEnd w:id="25"/>
      <w:r>
        <w:rPr/>
        <w:t>第二十一条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right="210" w:firstLine="420"/>
      </w:pPr>
      <w:r>
        <w:rPr/>
        <w:t>一、因履行本合同发生的争议，由当事人协商解决，协商不成的，提交</w:t>
      </w:r>
      <w:r>
        <w:rPr>
          <w:u w:val="single"/>
        </w:rPr>
        <w:t> </w:t>
        <w:tab/>
      </w:r>
      <w:r>
        <w:rPr/>
        <w:t>仲裁委员会仲裁；</w:t>
      </w:r>
    </w:p>
    <w:p>
      <w:pPr>
        <w:pStyle w:val="BodyText"/>
        <w:spacing w:before="8"/>
        <w:ind w:left="537"/>
      </w:pPr>
      <w:r>
        <w:rPr>
          <w:spacing w:val="-15"/>
        </w:rPr>
        <w:t>二、因履行本合同发生的争议，由当事人协商解决，协商不成的，依法向人民法院起诉。</w:t>
      </w:r>
    </w:p>
    <w:p>
      <w:pPr>
        <w:pStyle w:val="BodyText"/>
        <w:spacing w:before="9"/>
        <w:ind w:left="0"/>
        <w:rPr>
          <w:sz w:val="26"/>
        </w:rPr>
      </w:pPr>
    </w:p>
    <w:p>
      <w:pPr>
        <w:pStyle w:val="Heading2"/>
      </w:pPr>
      <w:bookmarkStart w:name="_TOC_250001" w:id="26"/>
      <w:bookmarkEnd w:id="26"/>
      <w:r>
        <w:rPr/>
        <w:t>第二十二条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1391" w:right="1485"/>
      </w:pPr>
      <w:bookmarkStart w:name="_TOC_250000" w:id="27"/>
      <w:bookmarkEnd w:id="27"/>
      <w:r>
        <w:rPr/>
        <w:t>第五部分 释义</w:t>
      </w:r>
    </w:p>
    <w:p>
      <w:pPr>
        <w:spacing w:after="0"/>
        <w:sectPr>
          <w:pgSz w:w="11910" w:h="16840"/>
          <w:pgMar w:header="0" w:footer="1008" w:top="1400" w:bottom="1200" w:left="1680" w:right="1580"/>
        </w:sectPr>
      </w:pPr>
    </w:p>
    <w:p>
      <w:pPr>
        <w:pStyle w:val="ListParagraph"/>
        <w:numPr>
          <w:ilvl w:val="0"/>
          <w:numId w:val="4"/>
        </w:numPr>
        <w:tabs>
          <w:tab w:pos="537" w:val="left" w:leader="none"/>
          <w:tab w:pos="538" w:val="left" w:leader="none"/>
        </w:tabs>
        <w:spacing w:line="273" w:lineRule="auto" w:before="25" w:after="0"/>
        <w:ind w:left="539" w:right="123" w:hanging="422"/>
        <w:jc w:val="left"/>
        <w:rPr>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4"/>
        </w:numPr>
        <w:tabs>
          <w:tab w:pos="537" w:val="left" w:leader="none"/>
          <w:tab w:pos="538" w:val="left" w:leader="none"/>
        </w:tabs>
        <w:spacing w:line="240" w:lineRule="auto" w:before="7" w:after="0"/>
        <w:ind w:left="539" w:right="0" w:hanging="422"/>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4"/>
        </w:numPr>
        <w:tabs>
          <w:tab w:pos="537" w:val="left" w:leader="none"/>
          <w:tab w:pos="538" w:val="left" w:leader="none"/>
        </w:tabs>
        <w:spacing w:line="240" w:lineRule="auto" w:before="36" w:after="0"/>
        <w:ind w:left="539" w:right="0" w:hanging="422"/>
        <w:jc w:val="left"/>
        <w:rPr>
          <w:sz w:val="21"/>
        </w:rPr>
      </w:pPr>
      <w:r>
        <w:rPr>
          <w:b/>
          <w:spacing w:val="-20"/>
          <w:w w:val="95"/>
          <w:sz w:val="21"/>
        </w:rPr>
        <w:t>重大疾病：</w:t>
      </w:r>
      <w:r>
        <w:rPr>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4"/>
        </w:numPr>
        <w:tabs>
          <w:tab w:pos="1244" w:val="left" w:leader="none"/>
        </w:tabs>
        <w:spacing w:line="240" w:lineRule="auto" w:before="36" w:after="0"/>
        <w:ind w:left="1243" w:right="0" w:hanging="420"/>
        <w:jc w:val="left"/>
        <w:rPr>
          <w:sz w:val="21"/>
        </w:rPr>
      </w:pPr>
      <w:r>
        <w:rPr>
          <w:spacing w:val="-1"/>
          <w:sz w:val="21"/>
        </w:rPr>
        <w:t>中国保险行业协会推荐的重大疾病种类</w:t>
      </w:r>
    </w:p>
    <w:p>
      <w:pPr>
        <w:pStyle w:val="ListParagraph"/>
        <w:numPr>
          <w:ilvl w:val="2"/>
          <w:numId w:val="4"/>
        </w:numPr>
        <w:tabs>
          <w:tab w:pos="1468" w:val="left" w:leader="none"/>
        </w:tabs>
        <w:spacing w:line="240" w:lineRule="auto" w:before="36" w:after="0"/>
        <w:ind w:left="1467" w:right="0" w:hanging="630"/>
        <w:jc w:val="left"/>
        <w:rPr>
          <w:sz w:val="21"/>
        </w:rPr>
      </w:pPr>
      <w:r>
        <w:rPr>
          <w:spacing w:val="-1"/>
          <w:sz w:val="21"/>
        </w:rPr>
        <w:t>恶性肿瘤</w:t>
      </w:r>
    </w:p>
    <w:p>
      <w:pPr>
        <w:pStyle w:val="BodyText"/>
        <w:spacing w:line="273" w:lineRule="auto" w:before="36"/>
        <w:ind w:left="1196" w:right="306"/>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spacing w:before="36"/>
        <w:ind w:left="1273"/>
      </w:pPr>
      <w:r>
        <w:rPr/>
        <w:t>（2）相当于Ann Arbor分期方案I期程度的何杰金氏病；</w:t>
      </w:r>
    </w:p>
    <w:p>
      <w:pPr>
        <w:pStyle w:val="BodyText"/>
        <w:spacing w:before="36"/>
        <w:ind w:left="1253"/>
      </w:pPr>
      <w:r>
        <w:rPr/>
        <w:t>（3）皮肤癌（不包括恶性黑色素瘤及已发生转移的皮肤癌）；</w:t>
      </w:r>
    </w:p>
    <w:p>
      <w:pPr>
        <w:pStyle w:val="BodyText"/>
        <w:spacing w:line="273" w:lineRule="auto" w:before="36"/>
        <w:ind w:left="1735" w:right="164" w:hanging="482"/>
      </w:pPr>
      <w:r>
        <w:rPr>
          <w:position w:val="1"/>
        </w:rPr>
        <w:t>（4）TNM分期为T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（5）感染艾滋病病毒或患艾滋病期间所患恶性肿瘤。</w:t>
      </w:r>
    </w:p>
    <w:p>
      <w:pPr>
        <w:pStyle w:val="ListParagraph"/>
        <w:numPr>
          <w:ilvl w:val="2"/>
          <w:numId w:val="4"/>
        </w:numPr>
        <w:tabs>
          <w:tab w:pos="1468" w:val="left" w:leader="none"/>
        </w:tabs>
        <w:spacing w:line="240" w:lineRule="auto" w:before="36" w:after="0"/>
        <w:ind w:left="1467" w:right="0" w:hanging="630"/>
        <w:jc w:val="left"/>
        <w:rPr>
          <w:sz w:val="21"/>
        </w:rPr>
      </w:pPr>
      <w:r>
        <w:rPr>
          <w:spacing w:val="-1"/>
          <w:sz w:val="21"/>
        </w:rPr>
        <w:t>重大器官移植术或造血干细胞移植术</w:t>
      </w:r>
    </w:p>
    <w:p>
      <w:pPr>
        <w:pStyle w:val="BodyText"/>
        <w:spacing w:line="273" w:lineRule="auto" w:before="36"/>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4"/>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before="36"/>
        <w:ind w:left="1196" w:right="210"/>
      </w:pPr>
      <w:r>
        <w:rPr/>
        <w:t>指因肝炎病毒感染引起肝脏组织弥漫性坏死，导致急性肝功能衰竭，且经血清学或病毒学检查证实，并须满足下列全部条件：</w:t>
      </w:r>
    </w:p>
    <w:p>
      <w:pPr>
        <w:pStyle w:val="BodyText"/>
        <w:spacing w:before="7"/>
        <w:ind w:left="1254"/>
        <w:jc w:val="both"/>
      </w:pPr>
      <w:r>
        <w:rPr/>
        <w:t>（1）重度黄疸或黄疸迅速加重；</w:t>
      </w:r>
    </w:p>
    <w:p>
      <w:pPr>
        <w:pStyle w:val="BodyText"/>
        <w:ind w:left="1254"/>
        <w:jc w:val="both"/>
      </w:pPr>
      <w:r>
        <w:rPr/>
        <w:t>（2）肝性脑病；</w:t>
      </w:r>
    </w:p>
    <w:p>
      <w:pPr>
        <w:pStyle w:val="BodyText"/>
        <w:ind w:left="1254"/>
        <w:jc w:val="both"/>
      </w:pPr>
      <w:r>
        <w:rPr/>
        <w:t>（3）B超或其它影像学检查显示肝脏体积急速萎缩；</w:t>
      </w:r>
    </w:p>
    <w:p>
      <w:pPr>
        <w:pStyle w:val="BodyText"/>
        <w:ind w:left="1254"/>
        <w:jc w:val="both"/>
      </w:pPr>
      <w:r>
        <w:rPr/>
        <w:t>（4）肝功能指标进行性恶化。</w:t>
      </w:r>
    </w:p>
    <w:p>
      <w:pPr>
        <w:pStyle w:val="ListParagraph"/>
        <w:numPr>
          <w:ilvl w:val="2"/>
          <w:numId w:val="4"/>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ind w:left="1254"/>
        <w:jc w:val="both"/>
      </w:pPr>
      <w:r>
        <w:rPr/>
        <w:t>（1）实际实施了开颅进行的脑肿瘤完全切除或部分切除的手术；</w:t>
      </w:r>
    </w:p>
    <w:p>
      <w:pPr>
        <w:pStyle w:val="BodyText"/>
        <w:ind w:left="1254"/>
        <w:jc w:val="both"/>
      </w:pPr>
      <w:r>
        <w:rPr/>
        <w:t>（2）实际实施了对脑肿瘤进行的放射治疗。</w:t>
      </w:r>
    </w:p>
    <w:p>
      <w:pPr>
        <w:pStyle w:val="BodyText"/>
        <w:ind w:left="1255"/>
        <w:jc w:val="both"/>
      </w:pPr>
      <w:r>
        <w:rPr/>
        <w:t>脑垂体瘤、脑囊肿、脑血管性疾病不在保障范围内。</w:t>
      </w:r>
    </w:p>
    <w:p>
      <w:pPr>
        <w:pStyle w:val="ListParagraph"/>
        <w:numPr>
          <w:ilvl w:val="2"/>
          <w:numId w:val="4"/>
        </w:numPr>
        <w:tabs>
          <w:tab w:pos="1468" w:val="left" w:leader="none"/>
        </w:tabs>
        <w:spacing w:line="240" w:lineRule="auto" w:before="37" w:after="0"/>
        <w:ind w:left="1467" w:right="0" w:hanging="630"/>
        <w:jc w:val="left"/>
        <w:rPr>
          <w:sz w:val="21"/>
        </w:rPr>
      </w:pPr>
      <w:r>
        <w:rPr>
          <w:spacing w:val="-1"/>
          <w:sz w:val="21"/>
        </w:rPr>
        <w:t>脑炎后遗症或脑膜炎后遗症</w:t>
      </w:r>
    </w:p>
    <w:p>
      <w:pPr>
        <w:pStyle w:val="BodyText"/>
        <w:spacing w:line="273" w:lineRule="auto"/>
        <w:ind w:left="1196" w:right="210"/>
      </w:pPr>
      <w:r>
        <w:rPr/>
        <w:t>指因患脑炎或脑膜炎导致的神经系统永久性的功能障碍。神经系统永久性的功能障碍，指疾病确诊180天后，仍遗留下列一种或一种以上障碍：</w:t>
      </w:r>
    </w:p>
    <w:p>
      <w:pPr>
        <w:spacing w:before="8"/>
        <w:ind w:left="1254" w:right="0" w:firstLine="0"/>
        <w:jc w:val="both"/>
        <w:rPr>
          <w:sz w:val="21"/>
        </w:rPr>
      </w:pPr>
      <w:r>
        <w:rPr>
          <w:w w:val="95"/>
          <w:sz w:val="21"/>
        </w:rPr>
        <w:t>（1）一肢或一肢以上</w:t>
      </w:r>
      <w:r>
        <w:rPr>
          <w:b/>
          <w:w w:val="95"/>
          <w:sz w:val="21"/>
        </w:rPr>
        <w:t>肢体机能完全丧失</w:t>
      </w:r>
      <w:r>
        <w:rPr>
          <w:w w:val="95"/>
          <w:sz w:val="21"/>
        </w:rPr>
        <w:t>见</w:t>
      </w:r>
      <w:r>
        <w:rPr>
          <w:b/>
          <w:w w:val="95"/>
          <w:sz w:val="21"/>
        </w:rPr>
        <w:t>（</w:t>
      </w:r>
      <w:r>
        <w:rPr>
          <w:w w:val="95"/>
          <w:sz w:val="21"/>
        </w:rPr>
        <w:t>见</w:t>
      </w:r>
      <w:r>
        <w:rPr>
          <w:b/>
          <w:w w:val="95"/>
          <w:sz w:val="21"/>
        </w:rPr>
        <w:t>3.3.1）</w:t>
      </w:r>
      <w:r>
        <w:rPr>
          <w:w w:val="95"/>
          <w:sz w:val="21"/>
        </w:rPr>
        <w:t>；</w:t>
      </w:r>
    </w:p>
    <w:p>
      <w:pPr>
        <w:pStyle w:val="Heading2"/>
        <w:spacing w:before="37"/>
        <w:ind w:left="1254"/>
        <w:jc w:val="both"/>
        <w:rPr>
          <w:b w:val="0"/>
        </w:rPr>
      </w:pPr>
      <w:r>
        <w:rPr>
          <w:b w:val="0"/>
          <w:w w:val="95"/>
        </w:rPr>
        <w:t>（2）</w:t>
      </w:r>
      <w:r>
        <w:rPr>
          <w:w w:val="95"/>
        </w:rPr>
        <w:t>语言能力或咀嚼吞咽能力完全丧失（</w:t>
      </w:r>
      <w:r>
        <w:rPr>
          <w:b w:val="0"/>
          <w:w w:val="95"/>
        </w:rPr>
        <w:t>见</w:t>
      </w:r>
      <w:r>
        <w:rPr>
          <w:w w:val="95"/>
        </w:rPr>
        <w:t>3.3.2）</w:t>
      </w:r>
      <w:r>
        <w:rPr>
          <w:b w:val="0"/>
          <w:w w:val="95"/>
        </w:rPr>
        <w:t>；</w:t>
      </w:r>
    </w:p>
    <w:p>
      <w:pPr>
        <w:spacing w:before="37"/>
        <w:ind w:left="1254" w:right="0" w:firstLine="0"/>
        <w:jc w:val="both"/>
        <w:rPr>
          <w:b/>
          <w:sz w:val="21"/>
        </w:rPr>
      </w:pPr>
      <w:r>
        <w:rPr>
          <w:w w:val="95"/>
          <w:sz w:val="21"/>
        </w:rPr>
        <w:t>（3）自主生活能力完全丧失，无法独立完成</w:t>
      </w:r>
      <w:r>
        <w:rPr>
          <w:b/>
          <w:w w:val="95"/>
          <w:sz w:val="21"/>
        </w:rPr>
        <w:t>六项基本日常生活活动（</w:t>
      </w:r>
      <w:r>
        <w:rPr>
          <w:w w:val="95"/>
          <w:sz w:val="21"/>
        </w:rPr>
        <w:t>见</w:t>
      </w:r>
      <w:r>
        <w:rPr>
          <w:b/>
          <w:w w:val="95"/>
          <w:sz w:val="21"/>
        </w:rPr>
        <w:t>3.3.3）</w:t>
      </w:r>
    </w:p>
    <w:p>
      <w:pPr>
        <w:spacing w:after="0"/>
        <w:jc w:val="both"/>
        <w:rPr>
          <w:sz w:val="21"/>
        </w:rPr>
        <w:sectPr>
          <w:pgSz w:w="11910" w:h="16840"/>
          <w:pgMar w:header="0" w:footer="1008" w:top="1400" w:bottom="1200" w:left="1680" w:right="1580"/>
        </w:sectPr>
      </w:pPr>
    </w:p>
    <w:p>
      <w:pPr>
        <w:pStyle w:val="BodyText"/>
        <w:spacing w:before="25"/>
        <w:ind w:left="1735"/>
      </w:pPr>
      <w:r>
        <w:rPr/>
        <w:t>中的三项或三项以上。</w:t>
      </w:r>
    </w:p>
    <w:p>
      <w:pPr>
        <w:pStyle w:val="ListParagraph"/>
        <w:numPr>
          <w:ilvl w:val="2"/>
          <w:numId w:val="4"/>
        </w:numPr>
        <w:tabs>
          <w:tab w:pos="1469" w:val="left" w:leader="none"/>
        </w:tabs>
        <w:spacing w:line="240" w:lineRule="auto" w:before="37" w:after="0"/>
        <w:ind w:left="1468" w:right="0" w:hanging="631"/>
        <w:jc w:val="left"/>
        <w:rPr>
          <w:sz w:val="21"/>
        </w:rPr>
      </w:pPr>
      <w:r>
        <w:rPr>
          <w:sz w:val="21"/>
        </w:rPr>
        <w:t>双耳失聪（</w:t>
      </w:r>
      <w:r>
        <w:rPr>
          <w:spacing w:val="-9"/>
          <w:sz w:val="21"/>
        </w:rPr>
        <w:t>被保险人在 </w:t>
      </w:r>
      <w:r>
        <w:rPr>
          <w:rFonts w:ascii="Arial" w:eastAsia="Arial"/>
          <w:sz w:val="21"/>
        </w:rPr>
        <w:t>3</w:t>
      </w:r>
      <w:r>
        <w:rPr>
          <w:rFonts w:ascii="Arial" w:eastAsia="Arial"/>
          <w:spacing w:val="-8"/>
          <w:sz w:val="21"/>
        </w:rPr>
        <w:t> </w:t>
      </w:r>
      <w:r>
        <w:rPr>
          <w:sz w:val="21"/>
        </w:rPr>
        <w:t>周岁之前所患双耳失聪不在保险责任范围内）</w:t>
      </w:r>
    </w:p>
    <w:p>
      <w:pPr>
        <w:spacing w:before="22"/>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3.3.4）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4"/>
        </w:numPr>
        <w:tabs>
          <w:tab w:pos="1468" w:val="left" w:leader="none"/>
        </w:tabs>
        <w:spacing w:line="240" w:lineRule="auto" w:before="7" w:after="0"/>
        <w:ind w:left="1467" w:right="0" w:hanging="630"/>
        <w:jc w:val="left"/>
        <w:rPr>
          <w:sz w:val="21"/>
        </w:rPr>
      </w:pPr>
      <w:r>
        <w:rPr>
          <w:spacing w:val="-1"/>
          <w:sz w:val="21"/>
        </w:rPr>
        <w:t>双目失明</w:t>
      </w:r>
    </w:p>
    <w:p>
      <w:pPr>
        <w:pStyle w:val="BodyText"/>
        <w:spacing w:line="273" w:lineRule="auto" w:before="36"/>
        <w:ind w:left="1196" w:right="210"/>
      </w:pPr>
      <w:r>
        <w:rPr/>
        <w:t>指因疾病或意外伤害导致双眼视力永久不可逆性丧失，双眼中较好眼须满足下列至少一项条件：</w:t>
      </w:r>
    </w:p>
    <w:p>
      <w:pPr>
        <w:pStyle w:val="BodyText"/>
        <w:spacing w:before="7"/>
        <w:ind w:left="1253"/>
      </w:pPr>
      <w:r>
        <w:rPr/>
        <w:t>（1）眼球缺失或摘除；</w:t>
      </w:r>
    </w:p>
    <w:p>
      <w:pPr>
        <w:pStyle w:val="BodyText"/>
        <w:spacing w:line="273" w:lineRule="auto"/>
        <w:ind w:left="1735" w:right="141" w:hanging="482"/>
      </w:pPr>
      <w:r>
        <w:rPr/>
        <w:t>（2）矫正视力低于0.02（采用国际标准视力表，如果使用其它视力表应进行换算）；</w:t>
      </w:r>
    </w:p>
    <w:p>
      <w:pPr>
        <w:pStyle w:val="BodyText"/>
        <w:spacing w:before="8"/>
        <w:ind w:left="1253"/>
      </w:pPr>
      <w:r>
        <w:rPr/>
        <w:t>（3）视野半径小于5度。</w:t>
      </w:r>
    </w:p>
    <w:p>
      <w:pPr>
        <w:pStyle w:val="ListParagraph"/>
        <w:numPr>
          <w:ilvl w:val="2"/>
          <w:numId w:val="4"/>
        </w:numPr>
        <w:tabs>
          <w:tab w:pos="1468" w:val="left" w:leader="none"/>
        </w:tabs>
        <w:spacing w:line="240" w:lineRule="auto" w:before="37" w:after="0"/>
        <w:ind w:left="1467" w:right="0" w:hanging="630"/>
        <w:jc w:val="left"/>
        <w:rPr>
          <w:sz w:val="21"/>
        </w:rPr>
      </w:pPr>
      <w:r>
        <w:rPr>
          <w:spacing w:val="-1"/>
          <w:sz w:val="21"/>
        </w:rPr>
        <w:t>严重脑损伤</w:t>
      </w:r>
    </w:p>
    <w:p>
      <w:pPr>
        <w:pStyle w:val="BodyText"/>
        <w:spacing w:line="273" w:lineRule="auto"/>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8"/>
        <w:ind w:left="1196" w:right="211"/>
      </w:pPr>
      <w:r>
        <w:rPr/>
        <w:t>（PET）等影像学检查证实。神经系统永久性的功能障碍，指脑损伤180天后， 仍遗留下列一种或一种以上障碍：</w:t>
      </w:r>
    </w:p>
    <w:p>
      <w:pPr>
        <w:pStyle w:val="BodyText"/>
        <w:spacing w:before="8"/>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4"/>
        </w:numPr>
        <w:tabs>
          <w:tab w:pos="1468" w:val="left" w:leader="none"/>
        </w:tabs>
        <w:spacing w:line="240" w:lineRule="auto" w:before="8" w:after="0"/>
        <w:ind w:left="1467" w:right="0" w:hanging="630"/>
        <w:jc w:val="left"/>
        <w:rPr>
          <w:sz w:val="21"/>
        </w:rPr>
      </w:pPr>
      <w:r>
        <w:rPr>
          <w:spacing w:val="-1"/>
          <w:sz w:val="21"/>
        </w:rPr>
        <w:t>严重Ⅲ度烧伤</w:t>
      </w:r>
    </w:p>
    <w:p>
      <w:pPr>
        <w:pStyle w:val="BodyText"/>
        <w:spacing w:line="273" w:lineRule="auto"/>
        <w:ind w:left="1196" w:right="210"/>
      </w:pPr>
      <w:r>
        <w:rPr/>
        <w:t>指烧伤程度为Ⅲ度，且Ⅲ度烧伤的面积达到全身体表面积的20％或20％以上。体表面积根据《中国新九分法》计算。</w:t>
      </w:r>
    </w:p>
    <w:p>
      <w:pPr>
        <w:pStyle w:val="ListParagraph"/>
        <w:numPr>
          <w:ilvl w:val="1"/>
          <w:numId w:val="5"/>
        </w:numPr>
        <w:tabs>
          <w:tab w:pos="1258" w:val="left" w:leader="none"/>
        </w:tabs>
        <w:spacing w:line="240" w:lineRule="auto" w:before="7" w:after="0"/>
        <w:ind w:left="1257" w:right="0" w:hanging="420"/>
        <w:jc w:val="left"/>
        <w:rPr>
          <w:sz w:val="21"/>
        </w:rPr>
      </w:pPr>
      <w:r>
        <w:rPr>
          <w:spacing w:val="-1"/>
          <w:sz w:val="21"/>
        </w:rPr>
        <w:t>本合同特有的重大疾病种类</w:t>
      </w:r>
    </w:p>
    <w:p>
      <w:pPr>
        <w:pStyle w:val="ListParagraph"/>
        <w:numPr>
          <w:ilvl w:val="2"/>
          <w:numId w:val="5"/>
        </w:numPr>
        <w:tabs>
          <w:tab w:pos="1468" w:val="left" w:leader="none"/>
        </w:tabs>
        <w:spacing w:line="240" w:lineRule="auto" w:before="36" w:after="0"/>
        <w:ind w:left="1467" w:right="0" w:hanging="630"/>
        <w:jc w:val="left"/>
        <w:rPr>
          <w:sz w:val="21"/>
        </w:rPr>
      </w:pPr>
      <w:r>
        <w:rPr>
          <w:spacing w:val="-1"/>
          <w:sz w:val="21"/>
        </w:rPr>
        <w:t>慢性肾功能衰竭尿毒症期</w:t>
      </w:r>
    </w:p>
    <w:p>
      <w:pPr>
        <w:pStyle w:val="BodyText"/>
        <w:spacing w:line="273" w:lineRule="auto" w:before="36"/>
        <w:ind w:left="1196" w:right="208"/>
      </w:pPr>
      <w:r>
        <w:rPr/>
        <w:t>指双肾功能慢性不可逆性衰竭，达到尿毒症期，经诊断后已经进行了至少90天的规律性透析治疗或实施了肾脏移植手术。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重症心肌炎伴充血性心力衰竭</w:t>
      </w:r>
    </w:p>
    <w:p>
      <w:pPr>
        <w:pStyle w:val="BodyText"/>
        <w:spacing w:line="273" w:lineRule="auto" w:before="36"/>
        <w:ind w:left="1196" w:right="210"/>
      </w:pPr>
      <w:r>
        <w:rPr/>
        <w:t>指心肌的局限性或弥漫性炎性病变，心肌纤维发生变性和坏死，导致心脏功能衰竭，但先天性疾病造成的除外。其诊断标准必须同时符合下列条件：</w:t>
      </w:r>
    </w:p>
    <w:p>
      <w:pPr>
        <w:pStyle w:val="BodyText"/>
        <w:spacing w:before="7"/>
        <w:ind w:left="1196"/>
      </w:pPr>
      <w:r>
        <w:rPr/>
        <w:t>（1）明确的心肌炎诊断，须同时具备下列临床表现及检查结果：</w:t>
      </w:r>
    </w:p>
    <w:p>
      <w:pPr>
        <w:pStyle w:val="BodyText"/>
        <w:ind w:left="1406"/>
      </w:pPr>
      <w:r>
        <w:rPr/>
        <w:t>① 胸痛、心悸、全身乏力的症状；</w:t>
      </w:r>
    </w:p>
    <w:p>
      <w:pPr>
        <w:pStyle w:val="BodyText"/>
        <w:ind w:left="1406"/>
      </w:pPr>
      <w:r>
        <w:rPr/>
        <w:t>② 新近的心电图改变提显示心肌炎；</w:t>
      </w:r>
    </w:p>
    <w:p>
      <w:pPr>
        <w:pStyle w:val="BodyText"/>
        <w:ind w:left="1406"/>
      </w:pPr>
      <w:r>
        <w:rPr/>
        <w:t>③ 体检有心脏扩大、心音减弱、心动过速或过缓等体征。</w:t>
      </w:r>
    </w:p>
    <w:p>
      <w:pPr>
        <w:pStyle w:val="BodyText"/>
        <w:ind w:left="1196"/>
      </w:pPr>
      <w:r>
        <w:rPr/>
        <w:t>（2）心力衰竭诊断，下列临床表现及检查结果呈阳性达4 项者：</w:t>
      </w:r>
    </w:p>
    <w:p>
      <w:pPr>
        <w:pStyle w:val="BodyText"/>
        <w:ind w:left="1406"/>
      </w:pPr>
      <w:r>
        <w:rPr/>
        <w:t>① 突发呼吸困难；</w:t>
      </w:r>
    </w:p>
    <w:p>
      <w:pPr>
        <w:pStyle w:val="BodyText"/>
        <w:ind w:left="1406"/>
      </w:pPr>
      <w:r>
        <w:rPr/>
        <w:t>② 心动过速、室性奔马律；</w:t>
      </w:r>
    </w:p>
    <w:p>
      <w:pPr>
        <w:pStyle w:val="BodyText"/>
        <w:ind w:left="1406"/>
      </w:pPr>
      <w:r>
        <w:rPr/>
        <w:t>③ 心脏肿大、肺部罗音；</w:t>
      </w:r>
    </w:p>
    <w:p>
      <w:pPr>
        <w:pStyle w:val="BodyText"/>
        <w:ind w:left="1406"/>
      </w:pPr>
      <w:r>
        <w:rPr/>
        <w:t>④ 颈静脉压&gt;2.1KPa 并有肝肿大或身体水肿；</w:t>
      </w:r>
    </w:p>
    <w:p>
      <w:pPr>
        <w:pStyle w:val="BodyText"/>
        <w:ind w:left="1406"/>
      </w:pPr>
      <w:r>
        <w:rPr/>
        <w:t>⑤ 新近的心电图改变提示心力衰竭；</w:t>
      </w:r>
    </w:p>
    <w:p>
      <w:pPr>
        <w:pStyle w:val="BodyText"/>
        <w:ind w:left="1406"/>
      </w:pPr>
      <w:r>
        <w:rPr/>
        <w:t>⑥ X 线胸片：肺淤血或心影扩大；</w:t>
      </w:r>
    </w:p>
    <w:p>
      <w:pPr>
        <w:pStyle w:val="BodyText"/>
        <w:spacing w:line="273" w:lineRule="auto"/>
        <w:ind w:left="1196" w:right="173" w:firstLine="210"/>
      </w:pPr>
      <w:r>
        <w:rPr/>
        <w:t>⑦ 超声心动图检查：心脏及大血管的解剖结构改变、血液动力学改变、心功能情况改变提示心力衰竭。</w:t>
      </w:r>
    </w:p>
    <w:p>
      <w:pPr>
        <w:spacing w:after="0" w:line="273" w:lineRule="auto"/>
        <w:sectPr>
          <w:pgSz w:w="11910" w:h="16840"/>
          <w:pgMar w:header="0" w:footer="1008" w:top="1400" w:bottom="1200" w:left="1680" w:right="1580"/>
        </w:sectPr>
      </w:pPr>
    </w:p>
    <w:p>
      <w:pPr>
        <w:pStyle w:val="BodyText"/>
        <w:spacing w:line="273" w:lineRule="auto" w:before="25"/>
        <w:ind w:left="1196" w:right="170"/>
      </w:pPr>
      <w:r>
        <w:rPr/>
        <w:t>（3）心脏功能障碍，达到美国纽约心脏病学会心功能状态分级IV级，且持续至少90天。</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严重再生障碍性贫血</w:t>
      </w:r>
    </w:p>
    <w:p>
      <w:pPr>
        <w:pStyle w:val="BodyText"/>
        <w:spacing w:line="273" w:lineRule="auto" w:before="36"/>
        <w:ind w:left="1196" w:right="210"/>
      </w:pPr>
      <w:r>
        <w:rPr/>
        <w:t>指因多种原因（先天性疾病除外）造成骨髓造血功能慢性持续性衰竭，导致贫血、中性粒细胞减少及血小板减少。须满足下列全部条件：</w:t>
      </w:r>
    </w:p>
    <w:p>
      <w:pPr>
        <w:pStyle w:val="BodyText"/>
        <w:spacing w:before="7"/>
        <w:ind w:left="1196"/>
      </w:pPr>
      <w:r>
        <w:rPr/>
        <w:t>（1）骨髓穿刺检查或骨髓活检结果支持诊断；</w:t>
      </w:r>
    </w:p>
    <w:p>
      <w:pPr>
        <w:pStyle w:val="BodyText"/>
        <w:ind w:left="1196"/>
      </w:pPr>
      <w:r>
        <w:rPr/>
        <w:t>（2）外周血象须具备以下三项条件：</w:t>
      </w:r>
    </w:p>
    <w:p>
      <w:pPr>
        <w:pStyle w:val="BodyText"/>
        <w:ind w:left="1406"/>
      </w:pPr>
      <w:r>
        <w:rPr/>
        <w:t>① 中性粒细胞绝对值≤0.5×109/L ；</w:t>
      </w:r>
    </w:p>
    <w:p>
      <w:pPr>
        <w:pStyle w:val="BodyText"/>
        <w:ind w:left="1407"/>
      </w:pPr>
      <w:r>
        <w:rPr/>
        <w:t>② 网织红细胞＜1%；</w:t>
      </w:r>
    </w:p>
    <w:p>
      <w:pPr>
        <w:pStyle w:val="BodyText"/>
        <w:ind w:left="680" w:right="3568"/>
        <w:jc w:val="center"/>
      </w:pPr>
      <w:r>
        <w:rPr/>
        <w:t>③ 血小板绝对值≤20×109/L。</w:t>
      </w:r>
    </w:p>
    <w:p>
      <w:pPr>
        <w:pStyle w:val="ListParagraph"/>
        <w:numPr>
          <w:ilvl w:val="2"/>
          <w:numId w:val="5"/>
        </w:numPr>
        <w:tabs>
          <w:tab w:pos="1469" w:val="left" w:leader="none"/>
        </w:tabs>
        <w:spacing w:line="240" w:lineRule="auto" w:before="37" w:after="0"/>
        <w:ind w:left="1468" w:right="0" w:hanging="631"/>
        <w:jc w:val="left"/>
        <w:rPr>
          <w:sz w:val="21"/>
        </w:rPr>
      </w:pPr>
      <w:r>
        <w:rPr>
          <w:spacing w:val="-1"/>
          <w:sz w:val="21"/>
        </w:rPr>
        <w:t>脊髓灰质炎</w:t>
      </w:r>
      <w:r>
        <w:rPr>
          <w:sz w:val="21"/>
        </w:rPr>
        <w:t>（瘫痪型）</w:t>
      </w:r>
    </w:p>
    <w:p>
      <w:pPr>
        <w:pStyle w:val="BodyText"/>
        <w:spacing w:line="273" w:lineRule="auto"/>
        <w:ind w:left="1196" w:right="210"/>
        <w:jc w:val="both"/>
      </w:pPr>
      <w:r>
        <w:rPr/>
        <w:t>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w:t>
      </w:r>
      <w:r>
        <w:rPr>
          <w:spacing w:val="-1"/>
        </w:rPr>
        <w:t>体机能永久完全丧失，指疾病确诊</w:t>
      </w:r>
      <w:r>
        <w:rPr/>
        <w:t>180</w:t>
      </w:r>
      <w:r>
        <w:rPr>
          <w:spacing w:val="-3"/>
        </w:rPr>
        <w:t>天后，每肢三大关节中的两大关节仍然完全僵硬，或不能随意识活动。</w:t>
      </w:r>
    </w:p>
    <w:p>
      <w:pPr>
        <w:pStyle w:val="ListParagraph"/>
        <w:numPr>
          <w:ilvl w:val="1"/>
          <w:numId w:val="6"/>
        </w:numPr>
        <w:tabs>
          <w:tab w:pos="1206" w:val="left" w:leader="none"/>
        </w:tabs>
        <w:spacing w:line="240" w:lineRule="auto" w:before="7" w:after="0"/>
        <w:ind w:left="1205" w:right="0" w:hanging="368"/>
        <w:jc w:val="left"/>
        <w:rPr>
          <w:sz w:val="21"/>
        </w:rPr>
      </w:pPr>
      <w:r>
        <w:rPr>
          <w:spacing w:val="-2"/>
          <w:sz w:val="21"/>
        </w:rPr>
        <w:t>重大疾病术语释义</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肢体机能完全丧失</w:t>
      </w:r>
    </w:p>
    <w:p>
      <w:pPr>
        <w:pStyle w:val="BodyText"/>
        <w:spacing w:line="273" w:lineRule="auto" w:before="36"/>
        <w:ind w:left="1196" w:right="210"/>
      </w:pPr>
      <w:r>
        <w:rPr/>
        <w:t>指肢体的三大关节中的两大关节僵硬，或不能随意识活动。肢体是指包括肩关节的整个上肢或包括髋关节的整个下肢。</w:t>
      </w:r>
    </w:p>
    <w:p>
      <w:pPr>
        <w:pStyle w:val="ListParagraph"/>
        <w:numPr>
          <w:ilvl w:val="2"/>
          <w:numId w:val="6"/>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ind w:left="1196"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w:t>
      </w:r>
      <w:r>
        <w:rPr>
          <w:spacing w:val="-1"/>
        </w:rPr>
        <w:t>不能作咀嚼吞咽运动，除流质食物外不能摄取或吞咽的状态。</w:t>
      </w:r>
    </w:p>
    <w:p>
      <w:pPr>
        <w:pStyle w:val="ListParagraph"/>
        <w:numPr>
          <w:ilvl w:val="2"/>
          <w:numId w:val="6"/>
        </w:numPr>
        <w:tabs>
          <w:tab w:pos="1416" w:val="left" w:leader="none"/>
        </w:tabs>
        <w:spacing w:line="240" w:lineRule="auto" w:before="8" w:after="0"/>
        <w:ind w:left="1415" w:right="0" w:hanging="578"/>
        <w:jc w:val="left"/>
        <w:rPr>
          <w:sz w:val="21"/>
        </w:rPr>
      </w:pPr>
      <w:r>
        <w:rPr>
          <w:spacing w:val="-1"/>
          <w:sz w:val="21"/>
        </w:rPr>
        <w:t>六项基本日常生活活动</w:t>
      </w:r>
    </w:p>
    <w:p>
      <w:pPr>
        <w:pStyle w:val="BodyText"/>
        <w:ind w:left="1255"/>
      </w:pPr>
      <w:r>
        <w:rPr/>
        <w:t>（1）穿衣：自己能够穿衣及脱衣；</w:t>
      </w:r>
    </w:p>
    <w:p>
      <w:pPr>
        <w:pStyle w:val="BodyText"/>
        <w:ind w:left="1255"/>
      </w:pPr>
      <w:r>
        <w:rPr/>
        <w:t>（2）移动：自己从一个房间到另一个房间；</w:t>
      </w:r>
    </w:p>
    <w:p>
      <w:pPr>
        <w:pStyle w:val="BodyText"/>
        <w:ind w:left="1255"/>
      </w:pPr>
      <w:r>
        <w:rPr/>
        <w:t>（3）行动：自己上下床或上下轮椅；</w:t>
      </w:r>
    </w:p>
    <w:p>
      <w:pPr>
        <w:pStyle w:val="BodyText"/>
        <w:ind w:left="1255"/>
      </w:pPr>
      <w:r>
        <w:rPr/>
        <w:t>（4）如厕：自己控制进行大小便；</w:t>
      </w:r>
    </w:p>
    <w:p>
      <w:pPr>
        <w:pStyle w:val="BodyText"/>
        <w:ind w:left="1255"/>
      </w:pPr>
      <w:r>
        <w:rPr/>
        <w:t>（5）进食：自己从已准备好的碗或碟中取食物放入口中；</w:t>
      </w:r>
    </w:p>
    <w:p>
      <w:pPr>
        <w:pStyle w:val="BodyText"/>
        <w:ind w:left="1255"/>
      </w:pPr>
      <w:r>
        <w:rPr/>
        <w:t>（6）洗澡：自己进行淋浴或盆浴。</w:t>
      </w:r>
    </w:p>
    <w:p>
      <w:pPr>
        <w:pStyle w:val="ListParagraph"/>
        <w:numPr>
          <w:ilvl w:val="2"/>
          <w:numId w:val="6"/>
        </w:numPr>
        <w:tabs>
          <w:tab w:pos="1416" w:val="left" w:leader="none"/>
        </w:tabs>
        <w:spacing w:line="240" w:lineRule="auto" w:before="37" w:after="0"/>
        <w:ind w:left="1415" w:right="0" w:hanging="578"/>
        <w:jc w:val="left"/>
        <w:rPr>
          <w:sz w:val="21"/>
        </w:rPr>
      </w:pPr>
      <w:r>
        <w:rPr>
          <w:spacing w:val="-1"/>
          <w:sz w:val="21"/>
        </w:rPr>
        <w:t>永久不可逆</w:t>
      </w:r>
    </w:p>
    <w:p>
      <w:pPr>
        <w:pStyle w:val="BodyText"/>
        <w:spacing w:line="273" w:lineRule="auto"/>
        <w:ind w:left="1196" w:right="170"/>
      </w:pPr>
      <w:r>
        <w:rPr/>
        <w:t>指自疾病确诊或意外伤害发生之日起，经过积极治疗180日后，仍无法通过现有医疗手段恢复。</w:t>
      </w:r>
    </w:p>
    <w:p>
      <w:pPr>
        <w:pStyle w:val="ListParagraph"/>
        <w:numPr>
          <w:ilvl w:val="0"/>
          <w:numId w:val="4"/>
        </w:numPr>
        <w:tabs>
          <w:tab w:pos="543" w:val="left" w:leader="none"/>
          <w:tab w:pos="544" w:val="left" w:leader="none"/>
        </w:tabs>
        <w:spacing w:line="240" w:lineRule="auto" w:before="8" w:after="0"/>
        <w:ind w:left="543" w:right="0" w:hanging="426"/>
        <w:jc w:val="left"/>
        <w:rPr>
          <w:sz w:val="21"/>
        </w:rPr>
      </w:pPr>
      <w:r>
        <w:rPr>
          <w:b/>
          <w:w w:val="95"/>
          <w:sz w:val="21"/>
        </w:rPr>
        <w:t>专科医生</w:t>
      </w:r>
      <w:r>
        <w:rPr>
          <w:w w:val="95"/>
          <w:sz w:val="21"/>
        </w:rPr>
        <w:t>：应当同时满足以下四项资格条件：</w:t>
      </w:r>
    </w:p>
    <w:p>
      <w:pPr>
        <w:pStyle w:val="BodyText"/>
        <w:ind w:left="853"/>
      </w:pPr>
      <w:r>
        <w:rPr/>
        <w:t>（1）具有有效的中华人民共和国《医师资格证书》；</w:t>
      </w:r>
    </w:p>
    <w:p>
      <w:pPr>
        <w:pStyle w:val="BodyText"/>
        <w:ind w:left="853"/>
      </w:pPr>
      <w:r>
        <w:rPr/>
        <w:t>（2）具有有效的中华人民共和国《医师执业证书》，并按期到相关部门登记注册；</w:t>
      </w:r>
    </w:p>
    <w:p>
      <w:pPr>
        <w:pStyle w:val="BodyText"/>
        <w:ind w:left="853"/>
      </w:pPr>
      <w:r>
        <w:rPr>
          <w:spacing w:val="-15"/>
        </w:rPr>
        <w:t>（3）</w:t>
      </w:r>
      <w:r>
        <w:rPr>
          <w:spacing w:val="-6"/>
        </w:rPr>
        <w:t>具有有效的中华人民共和国主治医师或主治医师以上职称的《医师职称证书》；</w:t>
      </w:r>
    </w:p>
    <w:p>
      <w:pPr>
        <w:pStyle w:val="BodyText"/>
        <w:ind w:left="853"/>
      </w:pPr>
      <w:r>
        <w:rPr/>
        <w:t>（4）在二级或二级以上医院的相应科室从事临床工作三年以上。</w:t>
      </w:r>
    </w:p>
    <w:p>
      <w:pPr>
        <w:pStyle w:val="ListParagraph"/>
        <w:numPr>
          <w:ilvl w:val="0"/>
          <w:numId w:val="4"/>
        </w:numPr>
        <w:tabs>
          <w:tab w:pos="537" w:val="left" w:leader="none"/>
          <w:tab w:pos="538" w:val="left" w:leader="none"/>
        </w:tabs>
        <w:spacing w:line="273" w:lineRule="auto" w:before="37" w:after="0"/>
        <w:ind w:left="539" w:right="105" w:hanging="422"/>
        <w:jc w:val="left"/>
        <w:rPr>
          <w:sz w:val="21"/>
        </w:rPr>
      </w:pPr>
      <w:r>
        <w:rPr>
          <w:b/>
          <w:sz w:val="21"/>
        </w:rPr>
        <w:t>毒品</w:t>
      </w:r>
      <w:r>
        <w:rPr>
          <w:spacing w:val="-7"/>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4"/>
        </w:numPr>
        <w:tabs>
          <w:tab w:pos="537" w:val="left" w:leader="none"/>
          <w:tab w:pos="538" w:val="left" w:leader="none"/>
        </w:tabs>
        <w:spacing w:line="240" w:lineRule="auto" w:before="7" w:after="0"/>
        <w:ind w:left="539" w:right="0" w:hanging="422"/>
        <w:jc w:val="left"/>
        <w:rPr>
          <w:sz w:val="21"/>
        </w:rPr>
      </w:pPr>
      <w:r>
        <w:rPr>
          <w:b/>
          <w:w w:val="95"/>
          <w:sz w:val="21"/>
        </w:rPr>
        <w:t>酒后驾驶</w:t>
      </w:r>
      <w:r>
        <w:rPr>
          <w:spacing w:val="-10"/>
          <w:w w:val="95"/>
          <w:sz w:val="21"/>
        </w:rPr>
        <w:t>：指经检测或鉴定，发生事故时车辆驾驶人员每百毫升血液中的酒精含量达到</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540" w:right="212"/>
      </w:pPr>
      <w:r>
        <w:rPr>
          <w:spacing w:val="-7"/>
        </w:rPr>
        <w:t>或超过一定的标准，公安机关交通管理部门依据《道路交通安全法》的规定认定为饮酒后驾驶或醉酒后驾驶。</w:t>
      </w:r>
    </w:p>
    <w:p>
      <w:pPr>
        <w:pStyle w:val="ListParagraph"/>
        <w:numPr>
          <w:ilvl w:val="0"/>
          <w:numId w:val="4"/>
        </w:numPr>
        <w:tabs>
          <w:tab w:pos="537" w:val="left" w:leader="none"/>
          <w:tab w:pos="538" w:val="left" w:leader="none"/>
        </w:tabs>
        <w:spacing w:line="240" w:lineRule="auto" w:before="7" w:after="0"/>
        <w:ind w:left="539" w:right="0" w:hanging="422"/>
        <w:jc w:val="left"/>
        <w:rPr>
          <w:sz w:val="21"/>
        </w:rPr>
      </w:pPr>
      <w:r>
        <w:rPr>
          <w:b/>
          <w:spacing w:val="-1"/>
          <w:w w:val="95"/>
          <w:sz w:val="21"/>
        </w:rPr>
        <w:t>无合法有效驾驶证驾驶</w:t>
      </w:r>
      <w:r>
        <w:rPr>
          <w:w w:val="95"/>
          <w:sz w:val="21"/>
        </w:rPr>
        <w:t>：指下列情形之一：</w:t>
      </w:r>
    </w:p>
    <w:p>
      <w:pPr>
        <w:pStyle w:val="ListParagraph"/>
        <w:numPr>
          <w:ilvl w:val="0"/>
          <w:numId w:val="7"/>
        </w:numPr>
        <w:tabs>
          <w:tab w:pos="958" w:val="left" w:leader="none"/>
        </w:tabs>
        <w:spacing w:line="240" w:lineRule="auto" w:before="36" w:after="0"/>
        <w:ind w:left="957" w:right="0" w:hanging="420"/>
        <w:jc w:val="left"/>
        <w:rPr>
          <w:sz w:val="21"/>
        </w:rPr>
      </w:pPr>
      <w:r>
        <w:rPr>
          <w:sz w:val="21"/>
        </w:rPr>
        <w:t>没有取得驾驶资格；</w:t>
      </w:r>
    </w:p>
    <w:p>
      <w:pPr>
        <w:pStyle w:val="ListParagraph"/>
        <w:numPr>
          <w:ilvl w:val="0"/>
          <w:numId w:val="7"/>
        </w:numPr>
        <w:tabs>
          <w:tab w:pos="958" w:val="left" w:leader="none"/>
        </w:tabs>
        <w:spacing w:line="240" w:lineRule="auto" w:before="36" w:after="0"/>
        <w:ind w:left="957" w:right="0" w:hanging="420"/>
        <w:jc w:val="left"/>
        <w:rPr>
          <w:sz w:val="21"/>
        </w:rPr>
      </w:pPr>
      <w:r>
        <w:rPr>
          <w:sz w:val="21"/>
        </w:rPr>
        <w:t>驾驶与驾驶证准驾车型不相符合的车辆；</w:t>
      </w:r>
    </w:p>
    <w:p>
      <w:pPr>
        <w:pStyle w:val="ListParagraph"/>
        <w:numPr>
          <w:ilvl w:val="0"/>
          <w:numId w:val="7"/>
        </w:numPr>
        <w:tabs>
          <w:tab w:pos="958" w:val="left" w:leader="none"/>
        </w:tabs>
        <w:spacing w:line="240" w:lineRule="auto" w:before="36" w:after="0"/>
        <w:ind w:left="957" w:right="0" w:hanging="420"/>
        <w:jc w:val="left"/>
        <w:rPr>
          <w:sz w:val="21"/>
        </w:rPr>
      </w:pPr>
      <w:r>
        <w:rPr>
          <w:sz w:val="21"/>
        </w:rPr>
        <w:t>持审验不合格或应审验而未审验的驾驶证驾驶；</w:t>
      </w:r>
    </w:p>
    <w:p>
      <w:pPr>
        <w:pStyle w:val="ListParagraph"/>
        <w:numPr>
          <w:ilvl w:val="0"/>
          <w:numId w:val="7"/>
        </w:numPr>
        <w:tabs>
          <w:tab w:pos="958" w:val="left" w:leader="none"/>
        </w:tabs>
        <w:spacing w:line="240" w:lineRule="auto" w:before="36" w:after="0"/>
        <w:ind w:left="957" w:right="0" w:hanging="420"/>
        <w:jc w:val="left"/>
        <w:rPr>
          <w:sz w:val="21"/>
        </w:rPr>
      </w:pPr>
      <w:r>
        <w:rPr>
          <w:sz w:val="21"/>
        </w:rPr>
        <w:t>持学习驾驶证学习驾车时，无教练员随车指导，或不按指定时间路线学习驾车。</w:t>
      </w:r>
    </w:p>
    <w:p>
      <w:pPr>
        <w:pStyle w:val="ListParagraph"/>
        <w:numPr>
          <w:ilvl w:val="0"/>
          <w:numId w:val="4"/>
        </w:numPr>
        <w:tabs>
          <w:tab w:pos="537" w:val="left" w:leader="none"/>
          <w:tab w:pos="538" w:val="left" w:leader="none"/>
        </w:tabs>
        <w:spacing w:line="240" w:lineRule="auto" w:before="36" w:after="0"/>
        <w:ind w:left="539" w:right="0" w:hanging="422"/>
        <w:jc w:val="left"/>
        <w:rPr>
          <w:sz w:val="21"/>
        </w:rPr>
      </w:pPr>
      <w:r>
        <w:rPr>
          <w:b/>
          <w:w w:val="95"/>
          <w:sz w:val="21"/>
        </w:rPr>
        <w:t>无有效行驶证</w:t>
      </w:r>
      <w:r>
        <w:rPr>
          <w:w w:val="95"/>
          <w:sz w:val="21"/>
        </w:rPr>
        <w:t>：指下列情形之一：</w:t>
      </w:r>
    </w:p>
    <w:p>
      <w:pPr>
        <w:pStyle w:val="ListParagraph"/>
        <w:numPr>
          <w:ilvl w:val="0"/>
          <w:numId w:val="8"/>
        </w:numPr>
        <w:tabs>
          <w:tab w:pos="958" w:val="left" w:leader="none"/>
        </w:tabs>
        <w:spacing w:line="240" w:lineRule="auto" w:before="36" w:after="0"/>
        <w:ind w:left="957" w:right="0" w:hanging="420"/>
        <w:jc w:val="left"/>
        <w:rPr>
          <w:sz w:val="21"/>
        </w:rPr>
      </w:pPr>
      <w:r>
        <w:rPr>
          <w:sz w:val="21"/>
        </w:rPr>
        <w:t>没有机动车行驶证；</w:t>
      </w:r>
    </w:p>
    <w:p>
      <w:pPr>
        <w:pStyle w:val="ListParagraph"/>
        <w:numPr>
          <w:ilvl w:val="0"/>
          <w:numId w:val="8"/>
        </w:numPr>
        <w:tabs>
          <w:tab w:pos="958" w:val="left" w:leader="none"/>
        </w:tabs>
        <w:spacing w:line="240" w:lineRule="auto" w:before="36" w:after="0"/>
        <w:ind w:left="957" w:right="0" w:hanging="420"/>
        <w:jc w:val="left"/>
        <w:rPr>
          <w:sz w:val="21"/>
        </w:rPr>
      </w:pPr>
      <w:r>
        <w:rPr>
          <w:sz w:val="21"/>
        </w:rPr>
        <w:t>未在法律规定期限内按时进行或通过安全技术检验。</w:t>
      </w:r>
    </w:p>
    <w:p>
      <w:pPr>
        <w:pStyle w:val="ListParagraph"/>
        <w:numPr>
          <w:ilvl w:val="0"/>
          <w:numId w:val="4"/>
        </w:numPr>
        <w:tabs>
          <w:tab w:pos="538" w:val="left" w:leader="none"/>
        </w:tabs>
        <w:spacing w:line="273" w:lineRule="auto" w:before="36" w:after="0"/>
        <w:ind w:left="539" w:right="106" w:hanging="422"/>
        <w:jc w:val="both"/>
        <w:rPr>
          <w:sz w:val="21"/>
        </w:rPr>
      </w:pPr>
      <w:r>
        <w:rPr>
          <w:b/>
          <w:sz w:val="21"/>
        </w:rPr>
        <w:t>先天性疾病、先天性畸形</w:t>
      </w:r>
      <w:r>
        <w:rPr>
          <w:sz w:val="21"/>
        </w:rPr>
        <w:t>：是指被保险人一出生时就具有的疾病（病症或体征</w:t>
      </w:r>
      <w:r>
        <w:rPr>
          <w:spacing w:val="-105"/>
          <w:sz w:val="21"/>
        </w:rPr>
        <w:t>）</w:t>
      </w:r>
      <w:r>
        <w:rPr>
          <w:sz w:val="21"/>
        </w:rPr>
        <w:t>。这些</w:t>
      </w:r>
      <w:r>
        <w:rPr>
          <w:spacing w:val="-5"/>
          <w:sz w:val="21"/>
        </w:rPr>
        <w:t>疾病是指因人的遗传物质</w:t>
      </w:r>
      <w:r>
        <w:rPr>
          <w:sz w:val="21"/>
        </w:rPr>
        <w:t>（包括染色体以及位于其中的基因</w:t>
      </w:r>
      <w:r>
        <w:rPr>
          <w:spacing w:val="-46"/>
          <w:sz w:val="21"/>
        </w:rPr>
        <w:t>）</w:t>
      </w:r>
      <w:r>
        <w:rPr>
          <w:sz w:val="21"/>
        </w:rPr>
        <w:t>发生了对人体有害的改变</w:t>
      </w:r>
      <w:r>
        <w:rPr>
          <w:spacing w:val="-8"/>
          <w:sz w:val="21"/>
        </w:rPr>
        <w:t>而引起的，或因母亲怀孕期间受到内外环境中某些物理、化学和生物等因素的作用，使</w:t>
      </w:r>
      <w:r>
        <w:rPr>
          <w:spacing w:val="-18"/>
          <w:sz w:val="21"/>
        </w:rPr>
        <w:t>胎儿局部体细胞发育不正常，导致婴儿出生时有关器官、系统在形态或功能上呈现异常。</w:t>
      </w:r>
    </w:p>
    <w:p>
      <w:pPr>
        <w:pStyle w:val="ListParagraph"/>
        <w:numPr>
          <w:ilvl w:val="0"/>
          <w:numId w:val="4"/>
        </w:numPr>
        <w:tabs>
          <w:tab w:pos="538" w:val="left" w:leader="none"/>
        </w:tabs>
        <w:spacing w:line="273" w:lineRule="auto" w:before="7" w:after="0"/>
        <w:ind w:left="539" w:right="212" w:hanging="422"/>
        <w:jc w:val="left"/>
        <w:rPr>
          <w:sz w:val="21"/>
        </w:rPr>
      </w:pPr>
      <w:r>
        <w:rPr>
          <w:b/>
          <w:sz w:val="21"/>
        </w:rPr>
        <w:t>遗传性疾病</w:t>
      </w:r>
      <w:r>
        <w:rPr>
          <w:spacing w:val="-9"/>
          <w:sz w:val="21"/>
        </w:rPr>
        <w:t>：指由人体生殖细胞或受精卵的遗传物质异常或发生改变而引起的疾病，可以从亲代传至后代，即指单基因遗传病及染色体病。</w:t>
      </w:r>
    </w:p>
    <w:p>
      <w:pPr>
        <w:pStyle w:val="ListParagraph"/>
        <w:numPr>
          <w:ilvl w:val="0"/>
          <w:numId w:val="4"/>
        </w:numPr>
        <w:tabs>
          <w:tab w:pos="538" w:val="left" w:leader="none"/>
        </w:tabs>
        <w:spacing w:line="240" w:lineRule="auto" w:before="7" w:after="0"/>
        <w:ind w:left="539" w:right="0" w:hanging="422"/>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4"/>
        </w:numPr>
        <w:tabs>
          <w:tab w:pos="538" w:val="left" w:leader="none"/>
        </w:tabs>
        <w:spacing w:line="240" w:lineRule="auto" w:before="36" w:after="0"/>
        <w:ind w:left="539" w:right="0" w:hanging="422"/>
        <w:jc w:val="left"/>
        <w:rPr>
          <w:sz w:val="21"/>
        </w:rPr>
      </w:pPr>
      <w:r>
        <w:rPr>
          <w:b/>
          <w:w w:val="95"/>
          <w:sz w:val="21"/>
        </w:rPr>
        <w:t>攀岩</w:t>
      </w:r>
      <w:r>
        <w:rPr>
          <w:w w:val="95"/>
          <w:sz w:val="21"/>
        </w:rPr>
        <w:t>：指攀登悬崖、楼宇外墙、人造悬崖、冰崖、冰ft等运动。</w:t>
      </w:r>
    </w:p>
    <w:p>
      <w:pPr>
        <w:pStyle w:val="ListParagraph"/>
        <w:numPr>
          <w:ilvl w:val="0"/>
          <w:numId w:val="4"/>
        </w:numPr>
        <w:tabs>
          <w:tab w:pos="538" w:val="left" w:leader="none"/>
        </w:tabs>
        <w:spacing w:line="273" w:lineRule="auto" w:before="36" w:after="0"/>
        <w:ind w:left="539" w:right="212" w:hanging="422"/>
        <w:jc w:val="both"/>
        <w:rPr>
          <w:sz w:val="21"/>
        </w:rPr>
      </w:pPr>
      <w:r>
        <w:rPr>
          <w:b/>
          <w:sz w:val="21"/>
        </w:rPr>
        <w:t>探险</w:t>
      </w:r>
      <w:r>
        <w:rPr>
          <w:spacing w:val="-9"/>
          <w:sz w:val="21"/>
        </w:rPr>
        <w:t>：指明知在某种特定的自然条件下有失去生命或使身体受到伤害的危险，而故意使</w:t>
      </w:r>
      <w:r>
        <w:rPr>
          <w:spacing w:val="-13"/>
          <w:sz w:val="21"/>
        </w:rPr>
        <w:t>自己置身其中的行为，包括但不限于江河漂流、徒步穿越沙漠或人迹罕至的原始森林等活动。</w:t>
      </w:r>
    </w:p>
    <w:p>
      <w:pPr>
        <w:pStyle w:val="ListParagraph"/>
        <w:numPr>
          <w:ilvl w:val="0"/>
          <w:numId w:val="4"/>
        </w:numPr>
        <w:tabs>
          <w:tab w:pos="538" w:val="left" w:leader="none"/>
        </w:tabs>
        <w:spacing w:line="273" w:lineRule="auto" w:before="7" w:after="0"/>
        <w:ind w:left="539" w:right="212" w:hanging="422"/>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4"/>
        </w:numPr>
        <w:tabs>
          <w:tab w:pos="538" w:val="left" w:leader="none"/>
        </w:tabs>
        <w:spacing w:line="240" w:lineRule="auto" w:before="7" w:after="0"/>
        <w:ind w:left="539" w:right="0" w:hanging="422"/>
        <w:jc w:val="left"/>
        <w:rPr>
          <w:sz w:val="21"/>
        </w:rPr>
      </w:pPr>
      <w:r>
        <w:rPr>
          <w:b/>
          <w:w w:val="95"/>
          <w:sz w:val="21"/>
        </w:rPr>
        <w:t>特技表演</w:t>
      </w:r>
      <w:r>
        <w:rPr>
          <w:w w:val="95"/>
          <w:sz w:val="21"/>
        </w:rPr>
        <w:t>：指进行马术、杂技、驯兽等表演。</w:t>
      </w:r>
    </w:p>
    <w:p>
      <w:pPr>
        <w:pStyle w:val="ListParagraph"/>
        <w:numPr>
          <w:ilvl w:val="0"/>
          <w:numId w:val="4"/>
        </w:numPr>
        <w:tabs>
          <w:tab w:pos="538" w:val="left" w:leader="none"/>
        </w:tabs>
        <w:spacing w:line="273" w:lineRule="auto" w:before="36" w:after="0"/>
        <w:ind w:left="539" w:right="211" w:hanging="422"/>
        <w:jc w:val="both"/>
        <w:rPr>
          <w:sz w:val="21"/>
        </w:rPr>
      </w:pPr>
      <w:r>
        <w:rPr>
          <w:b/>
          <w:sz w:val="21"/>
        </w:rPr>
        <w:t>未满期净保费</w:t>
      </w:r>
      <w:r>
        <w:rPr>
          <w:spacing w:val="-6"/>
          <w:sz w:val="21"/>
        </w:rPr>
        <w:t>：计算公式为“保险费×</w:t>
      </w:r>
      <w:r>
        <w:rPr>
          <w:spacing w:val="-5"/>
          <w:sz w:val="21"/>
        </w:rPr>
        <w:t>（1-35%）×（1-</w:t>
      </w:r>
      <w:r>
        <w:rPr>
          <w:sz w:val="21"/>
        </w:rPr>
        <w:t>保险单已经过日数/保险期间日数</w:t>
      </w:r>
      <w:r>
        <w:rPr>
          <w:spacing w:val="-105"/>
          <w:sz w:val="21"/>
        </w:rPr>
        <w:t>）”</w:t>
      </w:r>
      <w:r>
        <w:rPr>
          <w:spacing w:val="-11"/>
          <w:sz w:val="21"/>
        </w:rPr>
        <w:t>。“保险单已经过日数”指自保险单生效日起至依照本合同约定本公司向投保人退还未满期净保费期间的日数，不足一日按一日计。</w:t>
      </w:r>
    </w:p>
    <w:p>
      <w:pPr>
        <w:pStyle w:val="ListParagraph"/>
        <w:numPr>
          <w:ilvl w:val="0"/>
          <w:numId w:val="4"/>
        </w:numPr>
        <w:tabs>
          <w:tab w:pos="538" w:val="left" w:leader="none"/>
        </w:tabs>
        <w:spacing w:line="273" w:lineRule="auto" w:before="7" w:after="0"/>
        <w:ind w:left="540" w:right="212" w:hanging="423"/>
        <w:jc w:val="left"/>
        <w:rPr>
          <w:sz w:val="21"/>
        </w:rPr>
      </w:pPr>
      <w:r>
        <w:rPr>
          <w:b/>
          <w:sz w:val="21"/>
        </w:rPr>
        <w:t>医院</w:t>
      </w:r>
      <w:r>
        <w:rPr>
          <w:spacing w:val="-9"/>
          <w:sz w:val="21"/>
        </w:rPr>
        <w:t>：指本公司指定医院或国家卫生部医院等级分类中的二级或二级以上的医院，但不包括主要作为康复、护理、疗养、戒酒、戒毒或相类似的医疗机构。</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3.940002pt;margin-top:780.579651pt;width:69.5pt;height:12pt;mso-position-horizontal-relative:page;mso-position-vertical-relative:page;z-index:-108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6" w:hanging="241"/>
      </w:pPr>
      <w:rPr>
        <w:rFonts w:hint="default"/>
      </w:rPr>
    </w:lvl>
    <w:lvl w:ilvl="2">
      <w:start w:val="0"/>
      <w:numFmt w:val="bullet"/>
      <w:lvlText w:val="•"/>
      <w:lvlJc w:val="left"/>
      <w:pPr>
        <w:ind w:left="2272"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865" w:hanging="241"/>
      </w:pPr>
      <w:rPr>
        <w:rFonts w:hint="default"/>
      </w:rPr>
    </w:lvl>
    <w:lvl w:ilvl="5">
      <w:start w:val="0"/>
      <w:numFmt w:val="bullet"/>
      <w:lvlText w:val="•"/>
      <w:lvlJc w:val="left"/>
      <w:pPr>
        <w:ind w:left="4662" w:hanging="241"/>
      </w:pPr>
      <w:rPr>
        <w:rFonts w:hint="default"/>
      </w:rPr>
    </w:lvl>
    <w:lvl w:ilvl="6">
      <w:start w:val="0"/>
      <w:numFmt w:val="bullet"/>
      <w:lvlText w:val="•"/>
      <w:lvlJc w:val="left"/>
      <w:pPr>
        <w:ind w:left="5458" w:hanging="241"/>
      </w:pPr>
      <w:rPr>
        <w:rFonts w:hint="default"/>
      </w:rPr>
    </w:lvl>
    <w:lvl w:ilvl="7">
      <w:start w:val="0"/>
      <w:numFmt w:val="bullet"/>
      <w:lvlText w:val="•"/>
      <w:lvlJc w:val="left"/>
      <w:pPr>
        <w:ind w:left="6255" w:hanging="241"/>
      </w:pPr>
      <w:rPr>
        <w:rFonts w:hint="default"/>
      </w:rPr>
    </w:lvl>
    <w:lvl w:ilvl="8">
      <w:start w:val="0"/>
      <w:numFmt w:val="bullet"/>
      <w:lvlText w:val="•"/>
      <w:lvlJc w:val="left"/>
      <w:pPr>
        <w:ind w:left="7051"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5">
    <w:multiLevelType w:val="hybridMultilevel"/>
    <w:lvl w:ilvl="0">
      <w:start w:val="3"/>
      <w:numFmt w:val="decimal"/>
      <w:lvlText w:val="%1"/>
      <w:lvlJc w:val="left"/>
      <w:pPr>
        <w:ind w:left="1205" w:hanging="369"/>
        <w:jc w:val="left"/>
      </w:pPr>
      <w:rPr>
        <w:rFonts w:hint="default"/>
      </w:rPr>
    </w:lvl>
    <w:lvl w:ilvl="1">
      <w:start w:val="3"/>
      <w:numFmt w:val="decimal"/>
      <w:lvlText w:val="%1.%2"/>
      <w:lvlJc w:val="left"/>
      <w:pPr>
        <w:ind w:left="1205" w:hanging="369"/>
        <w:jc w:val="left"/>
      </w:pPr>
      <w:rPr>
        <w:rFonts w:hint="default" w:ascii="宋体" w:hAnsi="宋体" w:eastAsia="宋体" w:cs="宋体"/>
        <w:spacing w:val="-1"/>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4">
    <w:multiLevelType w:val="hybridMultilevel"/>
    <w:lvl w:ilvl="0">
      <w:start w:val="3"/>
      <w:numFmt w:val="decimal"/>
      <w:lvlText w:val="%1"/>
      <w:lvlJc w:val="left"/>
      <w:pPr>
        <w:ind w:left="1257" w:hanging="421"/>
        <w:jc w:val="left"/>
      </w:pPr>
      <w:rPr>
        <w:rFonts w:hint="default"/>
      </w:rPr>
    </w:lvl>
    <w:lvl w:ilvl="1">
      <w:start w:val="2"/>
      <w:numFmt w:val="decimal"/>
      <w:lvlText w:val="%1.%2"/>
      <w:lvlJc w:val="left"/>
      <w:pPr>
        <w:ind w:left="1257" w:hanging="421"/>
        <w:jc w:val="lef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3">
    <w:multiLevelType w:val="hybridMultilevel"/>
    <w:lvl w:ilvl="0">
      <w:start w:val="1"/>
      <w:numFmt w:val="decimal"/>
      <w:lvlText w:val="%1."/>
      <w:lvlJc w:val="left"/>
      <w:pPr>
        <w:ind w:left="539" w:hanging="420"/>
        <w:jc w:val="left"/>
      </w:pPr>
      <w:rPr>
        <w:rFonts w:hint="default" w:ascii="宋体" w:hAnsi="宋体" w:eastAsia="宋体" w:cs="宋体"/>
        <w:spacing w:val="-2"/>
        <w:w w:val="99"/>
        <w:sz w:val="21"/>
        <w:szCs w:val="21"/>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0"/>
      <w:numFmt w:val="bullet"/>
      <w:lvlText w:val="•"/>
      <w:lvlJc w:val="left"/>
      <w:pPr>
        <w:ind w:left="1740" w:hanging="631"/>
      </w:pPr>
      <w:rPr>
        <w:rFonts w:hint="default"/>
      </w:rPr>
    </w:lvl>
    <w:lvl w:ilvl="4">
      <w:start w:val="0"/>
      <w:numFmt w:val="bullet"/>
      <w:lvlText w:val="•"/>
      <w:lvlJc w:val="left"/>
      <w:pPr>
        <w:ind w:left="1780" w:hanging="631"/>
      </w:pPr>
      <w:rPr>
        <w:rFonts w:hint="default"/>
      </w:rPr>
    </w:lvl>
    <w:lvl w:ilvl="5">
      <w:start w:val="0"/>
      <w:numFmt w:val="bullet"/>
      <w:lvlText w:val="•"/>
      <w:lvlJc w:val="left"/>
      <w:pPr>
        <w:ind w:left="2924" w:hanging="631"/>
      </w:pPr>
      <w:rPr>
        <w:rFonts w:hint="default"/>
      </w:rPr>
    </w:lvl>
    <w:lvl w:ilvl="6">
      <w:start w:val="0"/>
      <w:numFmt w:val="bullet"/>
      <w:lvlText w:val="•"/>
      <w:lvlJc w:val="left"/>
      <w:pPr>
        <w:ind w:left="4068" w:hanging="631"/>
      </w:pPr>
      <w:rPr>
        <w:rFonts w:hint="default"/>
      </w:rPr>
    </w:lvl>
    <w:lvl w:ilvl="7">
      <w:start w:val="0"/>
      <w:numFmt w:val="bullet"/>
      <w:lvlText w:val="•"/>
      <w:lvlJc w:val="left"/>
      <w:pPr>
        <w:ind w:left="5212" w:hanging="631"/>
      </w:pPr>
      <w:rPr>
        <w:rFonts w:hint="default"/>
      </w:rPr>
    </w:lvl>
    <w:lvl w:ilvl="8">
      <w:start w:val="0"/>
      <w:numFmt w:val="bullet"/>
      <w:lvlText w:val="•"/>
      <w:lvlJc w:val="left"/>
      <w:pPr>
        <w:ind w:left="6356" w:hanging="631"/>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num w:numId="3">
    <w:abstractNumId w:val="2"/>
  </w:num>
  <w:num w:numId="1">
    <w:abstractNumId w:val="0"/>
  </w:num>
  <w:num w:numId="8">
    <w:abstractNumId w:val="7"/>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0" w:right="2988"/>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95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2018-10-20T01:47:15Z</dcterms:created>
  <dcterms:modified xsi:type="dcterms:W3CDTF">2018-10-20T01:47:15Z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