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26704"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913" w:right="0" w:firstLine="0"/>
        <w:jc w:val="left"/>
        <w:rPr>
          <w:b/>
          <w:sz w:val="32"/>
        </w:rPr>
      </w:pPr>
      <w:r>
        <w:rPr>
          <w:b/>
          <w:sz w:val="32"/>
        </w:rPr>
        <w:t>友邦附加康悦保重大疾病保险</w:t>
      </w:r>
    </w:p>
    <w:p>
      <w:pPr>
        <w:pStyle w:val="BodyText"/>
        <w:spacing w:before="12"/>
        <w:rPr>
          <w:b/>
          <w:sz w:val="28"/>
        </w:rPr>
      </w:pPr>
    </w:p>
    <w:p>
      <w:pPr>
        <w:pStyle w:val="Heading1"/>
        <w:tabs>
          <w:tab w:pos="926" w:val="left" w:leader="none"/>
        </w:tabs>
        <w:spacing w:before="0"/>
        <w:jc w:val="left"/>
      </w:pPr>
      <w:r>
        <w:rPr/>
        <w:t>第一条</w:t>
        <w:tab/>
      </w:r>
      <w:r>
        <w:rPr>
          <w:spacing w:val="-5"/>
        </w:rPr>
        <w:t>附</w:t>
      </w:r>
      <w:r>
        <w:rPr/>
        <w:t>加合</w:t>
      </w:r>
      <w:r>
        <w:rPr>
          <w:spacing w:val="-5"/>
        </w:rPr>
        <w:t>同</w:t>
      </w:r>
      <w:r>
        <w:rPr/>
        <w:t>的订</w:t>
      </w:r>
      <w:r>
        <w:rPr>
          <w:spacing w:val="-5"/>
        </w:rPr>
        <w:t>立</w:t>
      </w:r>
      <w:r>
        <w:rPr/>
        <w:t>和构成</w:t>
      </w:r>
    </w:p>
    <w:p>
      <w:pPr>
        <w:pStyle w:val="BodyText"/>
        <w:spacing w:line="285" w:lineRule="auto" w:before="49"/>
        <w:ind w:left="119" w:right="113"/>
      </w:pPr>
      <w:r>
        <w:rPr>
          <w:spacing w:val="-5"/>
        </w:rPr>
        <w:t>《友邦附加康悦保重大疾病保险》合同（以下简称本附加合同</w:t>
      </w:r>
      <w:r>
        <w:rPr>
          <w:spacing w:val="-3"/>
        </w:rPr>
        <w:t>）</w:t>
      </w:r>
      <w:r>
        <w:rPr>
          <w:spacing w:val="-5"/>
        </w:rPr>
        <w:t>，依主保险合同《友邦康悦保两全保险》（以下简称主合同） </w:t>
      </w:r>
      <w:r>
        <w:rPr>
          <w:spacing w:val="-11"/>
        </w:rPr>
        <w:t>投保人的申请，经本公司同意而订立。主合同的条款也适用于本附加合同，若本附加合同的条款与主合同的条款互有冲突，则 </w:t>
      </w:r>
      <w:r>
        <w:rPr>
          <w:spacing w:val="-5"/>
        </w:rPr>
        <w:t>以本附加合同的条款为准。</w:t>
      </w:r>
    </w:p>
    <w:p>
      <w:pPr>
        <w:pStyle w:val="BodyText"/>
        <w:spacing w:before="4"/>
        <w:rPr>
          <w:sz w:val="22"/>
        </w:rPr>
      </w:pPr>
    </w:p>
    <w:p>
      <w:pPr>
        <w:pStyle w:val="BodyText"/>
        <w:ind w:left="119"/>
      </w:pPr>
      <w:r>
        <w:rPr/>
        <w:t>若本附加合同的承保事项未在保险单上载明或批注，则本附加合同不产生效力。</w:t>
      </w:r>
    </w:p>
    <w:p>
      <w:pPr>
        <w:pStyle w:val="BodyText"/>
        <w:spacing w:before="12"/>
        <w:rPr>
          <w:sz w:val="24"/>
        </w:rPr>
      </w:pPr>
    </w:p>
    <w:p>
      <w:pPr>
        <w:pStyle w:val="Heading1"/>
        <w:tabs>
          <w:tab w:pos="926" w:val="left" w:leader="none"/>
        </w:tabs>
        <w:spacing w:before="0"/>
        <w:jc w:val="left"/>
      </w:pPr>
      <w:r>
        <w:rPr/>
        <w:t>第二条</w:t>
        <w:tab/>
      </w:r>
      <w:r>
        <w:rPr>
          <w:spacing w:val="-5"/>
        </w:rPr>
        <w:t>保</w:t>
      </w:r>
      <w:r>
        <w:rPr/>
        <w:t>险责任</w:t>
      </w:r>
    </w:p>
    <w:p>
      <w:pPr>
        <w:pStyle w:val="BodyText"/>
        <w:spacing w:before="49"/>
        <w:ind w:left="120"/>
      </w:pPr>
      <w:r>
        <w:rPr/>
        <w:t>一、第一类重大疾病保险金</w:t>
      </w:r>
    </w:p>
    <w:p>
      <w:pPr>
        <w:pStyle w:val="BodyText"/>
        <w:spacing w:line="283" w:lineRule="auto" w:before="47"/>
        <w:ind w:left="120" w:right="109" w:hanging="1"/>
      </w:pPr>
      <w:r>
        <w:rPr>
          <w:spacing w:val="-5"/>
        </w:rPr>
        <w:t>在本附加合同有效期内，若被保险人首次</w:t>
      </w:r>
      <w:r>
        <w:rPr>
          <w:b/>
        </w:rPr>
        <w:t>发病</w:t>
      </w:r>
      <w:r>
        <w:rPr>
          <w:spacing w:val="-5"/>
        </w:rPr>
        <w:t>（</w:t>
      </w:r>
      <w:r>
        <w:rPr>
          <w:spacing w:val="-4"/>
        </w:rPr>
        <w:t>释义一</w:t>
      </w:r>
      <w:r>
        <w:rPr/>
        <w:t>）</w:t>
      </w:r>
      <w:r>
        <w:rPr>
          <w:spacing w:val="-5"/>
        </w:rPr>
        <w:t>并被</w:t>
      </w:r>
      <w:r>
        <w:rPr>
          <w:b/>
          <w:spacing w:val="-2"/>
        </w:rPr>
        <w:t>专科医生</w:t>
      </w:r>
      <w:r>
        <w:rPr>
          <w:spacing w:val="-5"/>
        </w:rPr>
        <w:t>（</w:t>
      </w:r>
      <w:r>
        <w:rPr>
          <w:spacing w:val="-4"/>
        </w:rPr>
        <w:t>释义二</w:t>
      </w:r>
      <w:r>
        <w:rPr/>
        <w:t>）</w:t>
      </w:r>
      <w:r>
        <w:rPr>
          <w:spacing w:val="-5"/>
        </w:rPr>
        <w:t>首次确诊患有</w:t>
      </w:r>
      <w:r>
        <w:rPr>
          <w:b/>
          <w:spacing w:val="-3"/>
        </w:rPr>
        <w:t>第一类重大疾病</w:t>
      </w:r>
      <w:r>
        <w:rPr>
          <w:spacing w:val="-5"/>
        </w:rPr>
        <w:t>（</w:t>
      </w:r>
      <w:r>
        <w:rPr>
          <w:spacing w:val="-4"/>
        </w:rPr>
        <w:t>释义三</w:t>
      </w:r>
      <w:r>
        <w:rPr>
          <w:spacing w:val="-3"/>
        </w:rPr>
        <w:t>）， </w:t>
      </w:r>
      <w:r>
        <w:rPr>
          <w:spacing w:val="-6"/>
        </w:rPr>
        <w:t>则本公司将给付第一类重大疾病保险金予被保险人，其金额按以下两种情形计算：</w:t>
      </w:r>
    </w:p>
    <w:p>
      <w:pPr>
        <w:pStyle w:val="BodyText"/>
        <w:spacing w:before="5"/>
        <w:rPr>
          <w:sz w:val="22"/>
        </w:rPr>
      </w:pPr>
    </w:p>
    <w:p>
      <w:pPr>
        <w:pStyle w:val="BodyText"/>
        <w:spacing w:line="288" w:lineRule="auto"/>
        <w:ind w:left="120" w:right="104" w:hanging="1"/>
      </w:pPr>
      <w:r>
        <w:rPr>
          <w:spacing w:val="-20"/>
        </w:rPr>
        <w:t>（1）</w:t>
      </w:r>
      <w:r>
        <w:rPr>
          <w:spacing w:val="-9"/>
        </w:rPr>
        <w:t>若被保险人于本附加合同生效日起一年内</w:t>
      </w:r>
      <w:r>
        <w:rPr>
          <w:spacing w:val="-5"/>
        </w:rPr>
        <w:t>（</w:t>
      </w:r>
      <w:r>
        <w:rPr>
          <w:spacing w:val="-12"/>
        </w:rPr>
        <w:t>若发生合同效力恢复，则为最后一次效力恢复之日起九十日内</w:t>
      </w:r>
      <w:r>
        <w:rPr/>
        <w:t>（</w:t>
      </w:r>
      <w:r>
        <w:rPr>
          <w:spacing w:val="-4"/>
        </w:rPr>
        <w:t>含第九十日</w:t>
      </w:r>
      <w:r>
        <w:rPr>
          <w:spacing w:val="-29"/>
        </w:rPr>
        <w:t>）） </w:t>
      </w:r>
      <w:r>
        <w:rPr>
          <w:spacing w:val="-5"/>
        </w:rPr>
        <w:t>首次发病并于本附加合同有效期内被首次确诊患有第一类重大疾病，则</w:t>
      </w:r>
    </w:p>
    <w:p>
      <w:pPr>
        <w:pStyle w:val="BodyText"/>
        <w:spacing w:before="2"/>
        <w:rPr>
          <w:sz w:val="22"/>
        </w:rPr>
      </w:pPr>
    </w:p>
    <w:p>
      <w:pPr>
        <w:pStyle w:val="BodyText"/>
        <w:spacing w:line="285" w:lineRule="auto"/>
        <w:ind w:left="120" w:right="286"/>
        <w:jc w:val="both"/>
      </w:pPr>
      <w:r>
        <w:rPr>
          <w:spacing w:val="-5"/>
        </w:rPr>
        <w:t>第一类重大疾病保险金 =被保险人被确诊患有第一类重大疾病时的保险单年度数与保险单上所载的本附加合同的付费年限数两者中的较小者×被保险人被确诊患有第一类重大疾病时本附加合同的基本保险金额 × 本附加合同所附《给付系数表》中的对应系数</w:t>
      </w:r>
    </w:p>
    <w:p>
      <w:pPr>
        <w:pStyle w:val="BodyText"/>
        <w:spacing w:before="3"/>
        <w:rPr>
          <w:sz w:val="22"/>
        </w:rPr>
      </w:pPr>
    </w:p>
    <w:p>
      <w:pPr>
        <w:pStyle w:val="BodyText"/>
        <w:spacing w:line="283" w:lineRule="auto" w:before="1"/>
        <w:ind w:left="120" w:right="194" w:hanging="1"/>
      </w:pPr>
      <w:r>
        <w:rPr>
          <w:spacing w:val="-10"/>
        </w:rPr>
        <w:t>在上述情况下，本附加合同的第一类重大疾病保险金、第二类重大疾病保险金及主合同的身故保险金，本公司仅给付一项，并</w:t>
      </w:r>
      <w:r>
        <w:rPr>
          <w:spacing w:val="-5"/>
        </w:rPr>
        <w:t>以最先发生者予以给付。最先发生时日以第一类重大疾病确诊时日、第二类重大疾病确诊时日或身故时日为准。</w:t>
      </w:r>
    </w:p>
    <w:p>
      <w:pPr>
        <w:pStyle w:val="BodyText"/>
        <w:spacing w:before="5"/>
        <w:rPr>
          <w:sz w:val="22"/>
        </w:rPr>
      </w:pPr>
    </w:p>
    <w:p>
      <w:pPr>
        <w:pStyle w:val="BodyText"/>
        <w:spacing w:line="288" w:lineRule="auto" w:before="1"/>
        <w:ind w:left="120" w:right="199" w:hanging="1"/>
      </w:pPr>
      <w:r>
        <w:rPr/>
        <w:t>（2）</w:t>
      </w:r>
      <w:r>
        <w:rPr>
          <w:spacing w:val="-5"/>
        </w:rPr>
        <w:t>若被保险人于本附加合同生效日起一年后</w:t>
      </w:r>
      <w:r>
        <w:rPr/>
        <w:t>（</w:t>
      </w:r>
      <w:r>
        <w:rPr>
          <w:spacing w:val="-5"/>
        </w:rPr>
        <w:t>若发生合同效力恢复，则为最后一次效力恢复之日起九十日后</w:t>
      </w:r>
      <w:r>
        <w:rPr/>
        <w:t>）</w:t>
      </w:r>
      <w:r>
        <w:rPr>
          <w:spacing w:val="-5"/>
        </w:rPr>
        <w:t>首次发病并被首次确诊患有第一类重大疾病，则</w:t>
      </w:r>
    </w:p>
    <w:p>
      <w:pPr>
        <w:pStyle w:val="BodyText"/>
        <w:spacing w:before="2"/>
        <w:rPr>
          <w:sz w:val="22"/>
        </w:rPr>
      </w:pPr>
    </w:p>
    <w:p>
      <w:pPr>
        <w:pStyle w:val="BodyText"/>
        <w:spacing w:line="571" w:lineRule="auto"/>
        <w:ind w:left="120" w:right="1092" w:hanging="1"/>
      </w:pPr>
      <w:r>
        <w:rPr>
          <w:spacing w:val="-5"/>
        </w:rPr>
        <w:t>第一类重大疾病保险金 =被保险人被确诊患有第一类重大疾病时本附加合同的基本保险金额×</w:t>
      </w:r>
      <w:r>
        <w:rPr/>
        <w:t>15%（</w:t>
      </w:r>
      <w:r>
        <w:rPr>
          <w:spacing w:val="-3"/>
        </w:rPr>
        <w:t>百分之十五</w:t>
      </w:r>
      <w:r>
        <w:rPr/>
        <w:t>） </w:t>
      </w:r>
      <w:r>
        <w:rPr>
          <w:spacing w:val="-6"/>
        </w:rPr>
        <w:t>本附加合同的第一类重大疾病保险金给付以一次为限。</w:t>
      </w:r>
    </w:p>
    <w:p>
      <w:pPr>
        <w:pStyle w:val="BodyText"/>
        <w:spacing w:before="106"/>
        <w:ind w:left="120"/>
      </w:pPr>
      <w:r>
        <w:rPr/>
        <w:t>二、第二类重大疾病保险金</w:t>
      </w:r>
    </w:p>
    <w:p>
      <w:pPr>
        <w:pStyle w:val="BodyText"/>
        <w:spacing w:line="283" w:lineRule="auto" w:before="47"/>
        <w:ind w:left="120" w:right="281"/>
      </w:pPr>
      <w:r>
        <w:rPr>
          <w:spacing w:val="-6"/>
        </w:rPr>
        <w:t>在本附加合同有效期内，若被保险人首次发病并被专科医生首次确诊患有</w:t>
      </w:r>
      <w:r>
        <w:rPr>
          <w:b/>
          <w:spacing w:val="-3"/>
        </w:rPr>
        <w:t>第二类重大疾病</w:t>
      </w:r>
      <w:r>
        <w:rPr>
          <w:spacing w:val="-5"/>
        </w:rPr>
        <w:t>（</w:t>
      </w:r>
      <w:r>
        <w:rPr>
          <w:spacing w:val="-2"/>
        </w:rPr>
        <w:t>释义四</w:t>
      </w:r>
      <w:r>
        <w:rPr>
          <w:spacing w:val="-3"/>
        </w:rPr>
        <w:t>）</w:t>
      </w:r>
      <w:r>
        <w:rPr>
          <w:spacing w:val="-5"/>
        </w:rPr>
        <w:t>，则本公司将给付第二类重大疾病保险金予被保险人，其金额按以下两种情形计算：</w:t>
      </w:r>
    </w:p>
    <w:p>
      <w:pPr>
        <w:pStyle w:val="BodyText"/>
        <w:spacing w:before="5"/>
        <w:rPr>
          <w:sz w:val="22"/>
        </w:rPr>
      </w:pPr>
    </w:p>
    <w:p>
      <w:pPr>
        <w:pStyle w:val="BodyText"/>
        <w:spacing w:line="288" w:lineRule="auto"/>
        <w:ind w:left="120" w:right="104" w:hanging="1"/>
      </w:pPr>
      <w:r>
        <w:rPr>
          <w:spacing w:val="-20"/>
        </w:rPr>
        <w:t>（1）</w:t>
      </w:r>
      <w:r>
        <w:rPr>
          <w:spacing w:val="-9"/>
        </w:rPr>
        <w:t>若被保险人于本附加合同生效日起一年内</w:t>
      </w:r>
      <w:r>
        <w:rPr>
          <w:spacing w:val="-5"/>
        </w:rPr>
        <w:t>（</w:t>
      </w:r>
      <w:r>
        <w:rPr>
          <w:spacing w:val="-12"/>
        </w:rPr>
        <w:t>若发生合同效力恢复，则为最后一次效力恢复之日起九十日内</w:t>
      </w:r>
      <w:r>
        <w:rPr/>
        <w:t>（</w:t>
      </w:r>
      <w:r>
        <w:rPr>
          <w:spacing w:val="-4"/>
        </w:rPr>
        <w:t>含第九十日</w:t>
      </w:r>
      <w:r>
        <w:rPr>
          <w:spacing w:val="-29"/>
        </w:rPr>
        <w:t>）） </w:t>
      </w:r>
      <w:r>
        <w:rPr>
          <w:spacing w:val="-5"/>
        </w:rPr>
        <w:t>首次发病并于本附加合同有效期内被首次确诊患有第二类重大疾病，则</w:t>
      </w:r>
    </w:p>
    <w:p>
      <w:pPr>
        <w:pStyle w:val="BodyText"/>
        <w:spacing w:before="2"/>
        <w:rPr>
          <w:sz w:val="22"/>
        </w:rPr>
      </w:pPr>
    </w:p>
    <w:p>
      <w:pPr>
        <w:pStyle w:val="BodyText"/>
        <w:spacing w:line="285" w:lineRule="auto"/>
        <w:ind w:left="120" w:right="286"/>
        <w:jc w:val="both"/>
      </w:pPr>
      <w:r>
        <w:rPr>
          <w:spacing w:val="-5"/>
        </w:rPr>
        <w:t>第二类重大疾病保险金 =被保险人被确诊患有第二类重大疾病时的保险单年度数与保险单上所载的本附加合同的付费年限数</w:t>
      </w:r>
      <w:r>
        <w:rPr>
          <w:spacing w:val="-6"/>
        </w:rPr>
        <w:t>两者中的较小者×被保险人被确诊患有第二类重大疾病时本附加合同的基本保险金额×本附加合同所附《给付系数表》中的</w:t>
      </w:r>
      <w:r>
        <w:rPr>
          <w:spacing w:val="-3"/>
        </w:rPr>
        <w:t>对应系数</w:t>
      </w:r>
    </w:p>
    <w:p>
      <w:pPr>
        <w:pStyle w:val="BodyText"/>
        <w:spacing w:before="3"/>
        <w:rPr>
          <w:sz w:val="22"/>
        </w:rPr>
      </w:pPr>
    </w:p>
    <w:p>
      <w:pPr>
        <w:pStyle w:val="BodyText"/>
        <w:spacing w:line="283" w:lineRule="auto" w:before="1"/>
        <w:ind w:left="120" w:right="200" w:hanging="1"/>
      </w:pPr>
      <w:r>
        <w:rPr/>
        <w:t>（2）</w:t>
      </w:r>
      <w:r>
        <w:rPr>
          <w:spacing w:val="-5"/>
        </w:rPr>
        <w:t>若被保险人于本附加合同生效日起一年后</w:t>
      </w:r>
      <w:r>
        <w:rPr/>
        <w:t>（</w:t>
      </w:r>
      <w:r>
        <w:rPr>
          <w:spacing w:val="-5"/>
        </w:rPr>
        <w:t>若发生合同效力恢复，则为最后一次效力恢复之日起九十日后</w:t>
      </w:r>
      <w:r>
        <w:rPr/>
        <w:t>）</w:t>
      </w:r>
      <w:r>
        <w:rPr>
          <w:spacing w:val="-5"/>
        </w:rPr>
        <w:t>首次发病并被首次确诊患有第二类重大疾病，则</w:t>
      </w:r>
    </w:p>
    <w:p>
      <w:pPr>
        <w:pStyle w:val="BodyText"/>
        <w:rPr>
          <w:sz w:val="20"/>
        </w:rPr>
      </w:pPr>
    </w:p>
    <w:p>
      <w:pPr>
        <w:pStyle w:val="BodyText"/>
        <w:rPr>
          <w:sz w:val="20"/>
        </w:rPr>
      </w:pPr>
    </w:p>
    <w:p>
      <w:pPr>
        <w:pStyle w:val="BodyText"/>
        <w:spacing w:before="1"/>
        <w:rPr>
          <w:sz w:val="15"/>
        </w:rPr>
      </w:pPr>
    </w:p>
    <w:p>
      <w:pPr>
        <w:pStyle w:val="Heading2"/>
        <w:spacing w:before="1"/>
      </w:pPr>
      <w:r>
        <w:rPr>
          <w:rFonts w:ascii="宋体" w:eastAsia="宋体" w:hint="eastAsia"/>
        </w:rPr>
        <w:t>条款编号</w:t>
      </w:r>
      <w:r>
        <w:rPr/>
        <w:t>: L2080-01</w:t>
      </w:r>
    </w:p>
    <w:p>
      <w:pPr>
        <w:spacing w:after="0"/>
        <w:sectPr>
          <w:type w:val="continuous"/>
          <w:pgSz w:w="11910" w:h="16840"/>
          <w:pgMar w:top="1580" w:bottom="280" w:left="960" w:right="820"/>
        </w:sectPr>
      </w:pPr>
    </w:p>
    <w:p>
      <w:pPr>
        <w:pStyle w:val="BodyText"/>
        <w:spacing w:before="29"/>
        <w:ind w:left="120"/>
      </w:pPr>
      <w:r>
        <w:rPr/>
        <w:pict>
          <v:group style="position:absolute;margin-left:.119203pt;margin-top:0pt;width:595.3pt;height:833.2pt;mso-position-horizontal-relative:page;mso-position-vertical-relative:page;z-index:-2668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第二类重大疾病保险金 = 被保险人被确诊患有第二类重大疾病时本附加合同的基本保险金额</w:t>
      </w:r>
    </w:p>
    <w:p>
      <w:pPr>
        <w:pStyle w:val="BodyText"/>
        <w:spacing w:before="12"/>
        <w:rPr>
          <w:sz w:val="24"/>
        </w:rPr>
      </w:pPr>
    </w:p>
    <w:p>
      <w:pPr>
        <w:pStyle w:val="BodyText"/>
        <w:spacing w:line="285" w:lineRule="auto"/>
        <w:ind w:left="119" w:right="246"/>
        <w:jc w:val="both"/>
      </w:pPr>
      <w:r>
        <w:rPr>
          <w:spacing w:val="-5"/>
        </w:rPr>
        <w:t>本附加合同的第二类重大疾病保险金给付以一次为限，且对于本附加合同的第二类重大疾病保险金、主合同的身故保险金及</w:t>
      </w:r>
      <w:r>
        <w:rPr>
          <w:spacing w:val="-6"/>
        </w:rPr>
        <w:t>主合同的满期金，本公司仅给付一项，并以最先发生者予以给付。最先发生时日以第二类重大疾病确诊时日、身故时日或满</w:t>
      </w:r>
      <w:r>
        <w:rPr>
          <w:spacing w:val="-3"/>
        </w:rPr>
        <w:t>期时日为准。</w:t>
      </w:r>
    </w:p>
    <w:p>
      <w:pPr>
        <w:pStyle w:val="BodyText"/>
        <w:spacing w:before="3"/>
        <w:rPr>
          <w:sz w:val="22"/>
        </w:rPr>
      </w:pPr>
    </w:p>
    <w:p>
      <w:pPr>
        <w:pStyle w:val="BodyText"/>
        <w:spacing w:line="288" w:lineRule="auto" w:before="1"/>
        <w:ind w:left="120" w:right="249"/>
      </w:pPr>
      <w:r>
        <w:rPr>
          <w:spacing w:val="-5"/>
        </w:rPr>
        <w:t>若被保险人先被确诊患有第二类重大疾病且可以根据本附加合同的约定给付第二类重大疾病保险金，则本附加合同将不再给付任何第一类重大疾病保险金。</w:t>
      </w:r>
    </w:p>
    <w:p>
      <w:pPr>
        <w:pStyle w:val="BodyText"/>
        <w:spacing w:before="2"/>
        <w:rPr>
          <w:sz w:val="22"/>
        </w:rPr>
      </w:pPr>
    </w:p>
    <w:p>
      <w:pPr>
        <w:pStyle w:val="Heading1"/>
        <w:spacing w:before="0"/>
      </w:pPr>
      <w:r>
        <w:rPr/>
        <w:t>第三条  责任免除</w:t>
      </w:r>
    </w:p>
    <w:p>
      <w:pPr>
        <w:spacing w:before="49"/>
        <w:ind w:left="120" w:right="0" w:firstLine="0"/>
        <w:jc w:val="both"/>
        <w:rPr>
          <w:b/>
          <w:sz w:val="20"/>
        </w:rPr>
      </w:pPr>
      <w:r>
        <w:rPr>
          <w:b/>
          <w:spacing w:val="-12"/>
          <w:sz w:val="20"/>
        </w:rPr>
        <w:t>因下列情形之一导致被保险人发生疾病、达到疾病状态或进行手术的，本公司不承担给付重大疾病保险金的责任：</w:t>
      </w:r>
    </w:p>
    <w:p>
      <w:pPr>
        <w:spacing w:before="49"/>
        <w:ind w:left="120" w:right="0" w:firstLine="0"/>
        <w:jc w:val="both"/>
        <w:rPr>
          <w:b/>
          <w:sz w:val="20"/>
        </w:rPr>
      </w:pPr>
      <w:r>
        <w:rPr>
          <w:b/>
          <w:sz w:val="20"/>
        </w:rPr>
        <w:t>（1）投保人对被保险人的故意杀害、故意伤害；</w:t>
      </w:r>
    </w:p>
    <w:p>
      <w:pPr>
        <w:spacing w:before="49"/>
        <w:ind w:left="120" w:right="0" w:firstLine="0"/>
        <w:jc w:val="both"/>
        <w:rPr>
          <w:b/>
          <w:sz w:val="20"/>
        </w:rPr>
      </w:pPr>
      <w:r>
        <w:rPr>
          <w:b/>
          <w:sz w:val="20"/>
        </w:rPr>
        <w:t>（2）被保险人故意自伤；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w:t>
      </w:r>
    </w:p>
    <w:p>
      <w:pPr>
        <w:spacing w:before="49"/>
        <w:ind w:left="120" w:right="0" w:firstLine="0"/>
        <w:jc w:val="both"/>
        <w:rPr>
          <w:b/>
          <w:sz w:val="20"/>
        </w:rPr>
      </w:pPr>
      <w:r>
        <w:rPr>
          <w:b/>
          <w:sz w:val="20"/>
        </w:rPr>
        <w:t>（5）被保险人酒后驾驶、无合法有效驾驶证驾驶，或驾驶无有效行驶证的机动车；</w:t>
      </w:r>
    </w:p>
    <w:p>
      <w:pPr>
        <w:spacing w:before="49"/>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9"/>
        <w:ind w:left="120" w:right="0" w:firstLine="0"/>
        <w:jc w:val="both"/>
        <w:rPr>
          <w:b/>
          <w:sz w:val="20"/>
        </w:rPr>
      </w:pPr>
      <w:r>
        <w:rPr>
          <w:b/>
          <w:sz w:val="20"/>
        </w:rPr>
        <w:t>（8）遗传性疾病（释义五），先天性畸形、变形或染色体异常（释义六）；</w:t>
      </w:r>
    </w:p>
    <w:p>
      <w:pPr>
        <w:spacing w:before="49"/>
        <w:ind w:left="120" w:right="0" w:firstLine="0"/>
        <w:jc w:val="both"/>
        <w:rPr>
          <w:b/>
          <w:sz w:val="20"/>
        </w:rPr>
      </w:pPr>
      <w:r>
        <w:rPr>
          <w:b/>
          <w:sz w:val="20"/>
        </w:rPr>
        <w:t>（9）被保险人感染艾滋病病毒或患艾滋病（释义七）。</w:t>
      </w:r>
    </w:p>
    <w:p>
      <w:pPr>
        <w:pStyle w:val="BodyText"/>
        <w:rPr>
          <w:b/>
          <w:sz w:val="25"/>
        </w:rPr>
      </w:pPr>
    </w:p>
    <w:p>
      <w:pPr>
        <w:spacing w:before="0"/>
        <w:ind w:left="120" w:right="0" w:firstLine="0"/>
        <w:jc w:val="both"/>
        <w:rPr>
          <w:b/>
          <w:sz w:val="20"/>
        </w:rPr>
      </w:pPr>
      <w:r>
        <w:rPr>
          <w:b/>
          <w:sz w:val="20"/>
        </w:rPr>
        <w:t>第四条  保险合同成立与生效</w:t>
      </w:r>
    </w:p>
    <w:p>
      <w:pPr>
        <w:pStyle w:val="BodyText"/>
        <w:spacing w:before="49"/>
        <w:ind w:left="120"/>
        <w:jc w:val="both"/>
      </w:pPr>
      <w:r>
        <w:rPr/>
        <w:t>本附加合同须与主合同同时投保，并以主合同的生效日为本附加合同的生效日。</w:t>
      </w:r>
    </w:p>
    <w:p>
      <w:pPr>
        <w:pStyle w:val="BodyText"/>
        <w:spacing w:before="12"/>
        <w:rPr>
          <w:sz w:val="24"/>
        </w:rPr>
      </w:pPr>
    </w:p>
    <w:p>
      <w:pPr>
        <w:pStyle w:val="Heading1"/>
        <w:spacing w:before="0"/>
      </w:pPr>
      <w:r>
        <w:rPr/>
        <w:t>第五条  投保年龄和保险期间</w:t>
      </w:r>
    </w:p>
    <w:p>
      <w:pPr>
        <w:pStyle w:val="BodyText"/>
        <w:spacing w:before="49"/>
        <w:ind w:left="120"/>
        <w:jc w:val="both"/>
      </w:pPr>
      <w:r>
        <w:rPr/>
        <w:t>本附加合同的投保年龄和保险期间均同主合同。</w:t>
      </w:r>
    </w:p>
    <w:p>
      <w:pPr>
        <w:pStyle w:val="BodyText"/>
        <w:spacing w:before="12"/>
        <w:rPr>
          <w:sz w:val="24"/>
        </w:rPr>
      </w:pPr>
    </w:p>
    <w:p>
      <w:pPr>
        <w:pStyle w:val="Heading1"/>
        <w:spacing w:before="0"/>
      </w:pPr>
      <w:r>
        <w:rPr/>
        <w:t>第六条  附加合同效力的终止</w:t>
      </w:r>
    </w:p>
    <w:p>
      <w:pPr>
        <w:pStyle w:val="BodyText"/>
        <w:spacing w:before="49"/>
        <w:ind w:left="120"/>
        <w:jc w:val="both"/>
      </w:pPr>
      <w:r>
        <w:rPr/>
        <w:t>发生下列情况之一时，本附加合同效力即时终止：</w:t>
      </w:r>
    </w:p>
    <w:p>
      <w:pPr>
        <w:pStyle w:val="BodyText"/>
        <w:spacing w:before="48"/>
        <w:ind w:left="120"/>
        <w:jc w:val="both"/>
      </w:pPr>
      <w:r>
        <w:rPr/>
        <w:t>（1）投保人于犹豫期内向本公司申请撤销本附加合同或于犹豫期后向本公司申请解除本附加合同；</w:t>
      </w:r>
    </w:p>
    <w:p>
      <w:pPr>
        <w:pStyle w:val="BodyText"/>
        <w:spacing w:line="288" w:lineRule="auto" w:before="43"/>
        <w:ind w:left="120" w:right="126" w:hanging="1"/>
      </w:pPr>
      <w:r>
        <w:rPr>
          <w:spacing w:val="-12"/>
        </w:rPr>
        <w:t>（2）</w:t>
      </w:r>
      <w:r>
        <w:rPr>
          <w:spacing w:val="-7"/>
        </w:rPr>
        <w:t>被保险人于本附加合同生效日起一年内</w:t>
      </w:r>
      <w:r>
        <w:rPr>
          <w:spacing w:val="-5"/>
        </w:rPr>
        <w:t>（</w:t>
      </w:r>
      <w:r>
        <w:rPr>
          <w:spacing w:val="-9"/>
        </w:rPr>
        <w:t>若发生合同效力恢复，则为最后一次效力恢复之日起九十日内</w:t>
      </w:r>
      <w:r>
        <w:rPr>
          <w:spacing w:val="-5"/>
        </w:rPr>
        <w:t>（</w:t>
      </w:r>
      <w:r>
        <w:rPr>
          <w:spacing w:val="-4"/>
        </w:rPr>
        <w:t>含第九十日</w:t>
      </w:r>
      <w:r>
        <w:rPr>
          <w:spacing w:val="-15"/>
        </w:rPr>
        <w:t>）） </w:t>
      </w:r>
      <w:r>
        <w:rPr>
          <w:spacing w:val="-6"/>
        </w:rPr>
        <w:t>首次发病并被首次确诊患有第一类重大疾病且本公司已给付约定的第一类重大疾病保险金；</w:t>
      </w:r>
    </w:p>
    <w:p>
      <w:pPr>
        <w:pStyle w:val="BodyText"/>
        <w:spacing w:before="7"/>
        <w:ind w:left="120"/>
        <w:jc w:val="both"/>
      </w:pPr>
      <w:r>
        <w:rPr/>
        <w:t>（3）本公司已给付本附加合同约定的第二类重大疾病保险金；</w:t>
      </w:r>
    </w:p>
    <w:p>
      <w:pPr>
        <w:pStyle w:val="BodyText"/>
        <w:spacing w:before="48"/>
        <w:ind w:left="120"/>
        <w:jc w:val="both"/>
      </w:pPr>
      <w:r>
        <w:rPr/>
        <w:t>（4）主合同效力终止；</w:t>
      </w:r>
    </w:p>
    <w:p>
      <w:pPr>
        <w:pStyle w:val="BodyText"/>
        <w:spacing w:before="43"/>
        <w:ind w:left="120"/>
        <w:jc w:val="both"/>
      </w:pPr>
      <w:r>
        <w:rPr/>
        <w:t>（5）本附加合同因其他条款所列情况而效力中止，且未按主合同条款中相关约定办理效力恢复；</w:t>
      </w:r>
    </w:p>
    <w:p>
      <w:pPr>
        <w:pStyle w:val="BodyText"/>
        <w:spacing w:before="48"/>
        <w:ind w:left="120"/>
        <w:jc w:val="both"/>
      </w:pPr>
      <w:r>
        <w:rPr/>
        <w:t>（6）本附加合同因其他条款所列情况而效力终止。</w:t>
      </w:r>
    </w:p>
    <w:p>
      <w:pPr>
        <w:pStyle w:val="BodyText"/>
        <w:spacing w:before="12"/>
        <w:rPr>
          <w:sz w:val="24"/>
        </w:rPr>
      </w:pPr>
    </w:p>
    <w:p>
      <w:pPr>
        <w:pStyle w:val="Heading1"/>
        <w:spacing w:before="0"/>
      </w:pPr>
      <w:r>
        <w:rPr/>
        <w:t>第七条  基本保险金额</w:t>
      </w:r>
    </w:p>
    <w:p>
      <w:pPr>
        <w:pStyle w:val="BodyText"/>
        <w:spacing w:before="49"/>
        <w:ind w:left="120"/>
        <w:jc w:val="both"/>
      </w:pPr>
      <w:r>
        <w:rPr/>
        <w:t>本附加合同的基本保险金额载于本附加合同的保险单上。</w:t>
      </w:r>
    </w:p>
    <w:p>
      <w:pPr>
        <w:pStyle w:val="BodyText"/>
        <w:spacing w:before="12"/>
        <w:rPr>
          <w:sz w:val="24"/>
        </w:rPr>
      </w:pPr>
    </w:p>
    <w:p>
      <w:pPr>
        <w:pStyle w:val="Heading1"/>
        <w:spacing w:before="0"/>
      </w:pPr>
      <w:r>
        <w:rPr/>
        <w:t>第八条  保险费率的调整</w:t>
      </w:r>
    </w:p>
    <w:p>
      <w:pPr>
        <w:pStyle w:val="BodyText"/>
        <w:spacing w:line="283" w:lineRule="auto" w:before="49"/>
        <w:ind w:left="120" w:right="24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rPr>
          <w:sz w:val="22"/>
        </w:rPr>
      </w:pPr>
    </w:p>
    <w:p>
      <w:pPr>
        <w:pStyle w:val="BodyText"/>
        <w:spacing w:line="288" w:lineRule="auto" w:before="1"/>
        <w:ind w:left="120" w:right="24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2"/>
        <w:rPr>
          <w:sz w:val="22"/>
        </w:rPr>
      </w:pPr>
    </w:p>
    <w:p>
      <w:pPr>
        <w:pStyle w:val="BodyText"/>
        <w:ind w:left="120"/>
        <w:jc w:val="both"/>
      </w:pPr>
      <w:r>
        <w:rPr/>
        <w:t>若本附加合同有保险费的调整，则本公司将书面通知投保人。</w:t>
      </w:r>
    </w:p>
    <w:p>
      <w:pPr>
        <w:pStyle w:val="BodyText"/>
        <w:rPr>
          <w:sz w:val="20"/>
        </w:rPr>
      </w:pPr>
    </w:p>
    <w:p>
      <w:pPr>
        <w:pStyle w:val="BodyText"/>
        <w:rPr>
          <w:sz w:val="20"/>
        </w:rPr>
      </w:pPr>
    </w:p>
    <w:p>
      <w:pPr>
        <w:pStyle w:val="BodyText"/>
        <w:rPr>
          <w:sz w:val="21"/>
        </w:rPr>
      </w:pPr>
    </w:p>
    <w:p>
      <w:pPr>
        <w:pStyle w:val="Heading2"/>
      </w:pPr>
      <w:r>
        <w:rPr>
          <w:rFonts w:ascii="宋体" w:eastAsia="宋体" w:hint="eastAsia"/>
        </w:rPr>
        <w:t>条款编号</w:t>
      </w:r>
      <w:r>
        <w:rPr/>
        <w:t>: L2080-01</w:t>
      </w:r>
    </w:p>
    <w:p>
      <w:pPr>
        <w:spacing w:after="0"/>
        <w:sectPr>
          <w:pgSz w:w="11910" w:h="16840"/>
          <w:pgMar w:top="1000" w:bottom="280" w:left="960" w:right="860"/>
        </w:sectPr>
      </w:pPr>
    </w:p>
    <w:p>
      <w:pPr>
        <w:tabs>
          <w:tab w:pos="926" w:val="left" w:leader="none"/>
        </w:tabs>
        <w:spacing w:before="29"/>
        <w:ind w:left="120" w:right="0" w:firstLine="0"/>
        <w:jc w:val="left"/>
        <w:rPr>
          <w:b/>
          <w:sz w:val="20"/>
        </w:rPr>
      </w:pPr>
      <w:r>
        <w:rPr/>
        <w:pict>
          <v:group style="position:absolute;margin-left:.119203pt;margin-top:0pt;width:595.3pt;height:833.2pt;mso-position-horizontal-relative:page;mso-position-vertical-relative:page;z-index:-2665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第九条</w:t>
        <w:tab/>
      </w:r>
      <w:r>
        <w:rPr>
          <w:b/>
          <w:spacing w:val="-5"/>
          <w:sz w:val="20"/>
        </w:rPr>
        <w:t>投</w:t>
      </w:r>
      <w:r>
        <w:rPr>
          <w:b/>
          <w:sz w:val="20"/>
        </w:rPr>
        <w:t>保人</w:t>
      </w:r>
      <w:r>
        <w:rPr>
          <w:b/>
          <w:spacing w:val="-5"/>
          <w:sz w:val="20"/>
        </w:rPr>
        <w:t>解</w:t>
      </w:r>
      <w:r>
        <w:rPr>
          <w:b/>
          <w:sz w:val="20"/>
        </w:rPr>
        <w:t>除合</w:t>
      </w:r>
      <w:r>
        <w:rPr>
          <w:b/>
          <w:spacing w:val="-5"/>
          <w:sz w:val="20"/>
        </w:rPr>
        <w:t>同</w:t>
      </w:r>
      <w:r>
        <w:rPr>
          <w:b/>
          <w:sz w:val="20"/>
        </w:rPr>
        <w:t>的手续</w:t>
      </w:r>
      <w:r>
        <w:rPr>
          <w:b/>
          <w:spacing w:val="-5"/>
          <w:sz w:val="20"/>
        </w:rPr>
        <w:t>及</w:t>
      </w:r>
      <w:r>
        <w:rPr>
          <w:b/>
          <w:sz w:val="20"/>
        </w:rPr>
        <w:t>风险</w:t>
      </w:r>
    </w:p>
    <w:p>
      <w:pPr>
        <w:spacing w:before="49"/>
        <w:ind w:left="120" w:right="0" w:firstLine="0"/>
        <w:jc w:val="left"/>
        <w:rPr>
          <w:b/>
          <w:sz w:val="20"/>
        </w:rPr>
      </w:pPr>
      <w:r>
        <w:rPr>
          <w:b/>
          <w:sz w:val="20"/>
        </w:rPr>
        <w:t>如投保人在犹豫期后申请解除本附加合同，请填写解除合同申请书并向本公司提供下列资料：</w:t>
      </w:r>
    </w:p>
    <w:p>
      <w:pPr>
        <w:spacing w:before="49"/>
        <w:ind w:left="120" w:right="0" w:firstLine="0"/>
        <w:jc w:val="left"/>
        <w:rPr>
          <w:b/>
          <w:sz w:val="20"/>
        </w:rPr>
      </w:pPr>
      <w:r>
        <w:rPr>
          <w:b/>
          <w:sz w:val="20"/>
        </w:rPr>
        <w:t>（1）保险合同；</w:t>
      </w:r>
    </w:p>
    <w:p>
      <w:pPr>
        <w:spacing w:before="49"/>
        <w:ind w:left="120" w:right="0" w:firstLine="0"/>
        <w:jc w:val="left"/>
        <w:rPr>
          <w:b/>
          <w:sz w:val="20"/>
        </w:rPr>
      </w:pPr>
      <w:r>
        <w:rPr>
          <w:b/>
          <w:sz w:val="20"/>
        </w:rPr>
        <w:t>（2）投保人的有效身份证件。</w:t>
      </w:r>
    </w:p>
    <w:p>
      <w:pPr>
        <w:spacing w:line="285" w:lineRule="auto" w:before="49"/>
        <w:ind w:left="120" w:right="198" w:firstLine="0"/>
        <w:jc w:val="left"/>
        <w:rPr>
          <w:b/>
          <w:sz w:val="20"/>
        </w:rPr>
      </w:pPr>
      <w:r>
        <w:rPr>
          <w:b/>
          <w:spacing w:val="-8"/>
          <w:sz w:val="20"/>
        </w:rPr>
        <w:t>自本公司收到解除合同申请书时起，本附加合同终止。本公司自收到解除合同申请书之日起三十日内向投保人退</w:t>
      </w:r>
      <w:r>
        <w:rPr>
          <w:b/>
          <w:spacing w:val="-6"/>
          <w:sz w:val="20"/>
        </w:rPr>
        <w:t>还本附加合同的现金价值。</w:t>
      </w:r>
    </w:p>
    <w:p>
      <w:pPr>
        <w:spacing w:before="11"/>
        <w:ind w:left="120" w:right="0" w:firstLine="0"/>
        <w:jc w:val="left"/>
        <w:rPr>
          <w:b/>
          <w:sz w:val="20"/>
        </w:rPr>
      </w:pPr>
      <w:r>
        <w:rPr>
          <w:b/>
          <w:sz w:val="20"/>
        </w:rPr>
        <w:t>投保人犹豫期后解除合同会遭受一定损失。</w:t>
      </w:r>
    </w:p>
    <w:p>
      <w:pPr>
        <w:pStyle w:val="BodyText"/>
        <w:spacing w:before="8"/>
        <w:rPr>
          <w:b/>
          <w:sz w:val="27"/>
        </w:rPr>
      </w:pPr>
    </w:p>
    <w:p>
      <w:pPr>
        <w:spacing w:before="0"/>
        <w:ind w:left="120" w:right="0" w:firstLine="0"/>
        <w:jc w:val="left"/>
        <w:rPr>
          <w:b/>
          <w:sz w:val="20"/>
        </w:rPr>
      </w:pPr>
      <w:r>
        <w:rPr>
          <w:b/>
          <w:sz w:val="20"/>
        </w:rPr>
        <w:t>发生下列情况之一时，本附加合同按解除合同处理：</w:t>
      </w:r>
    </w:p>
    <w:p>
      <w:pPr>
        <w:spacing w:before="50"/>
        <w:ind w:left="120" w:right="0" w:firstLine="0"/>
        <w:jc w:val="left"/>
        <w:rPr>
          <w:b/>
          <w:sz w:val="20"/>
        </w:rPr>
      </w:pPr>
      <w:r>
        <w:rPr>
          <w:b/>
          <w:sz w:val="20"/>
        </w:rPr>
        <w:t>（1）投保人向本公司申请解除主合同；</w:t>
      </w:r>
    </w:p>
    <w:p>
      <w:pPr>
        <w:spacing w:before="50"/>
        <w:ind w:left="120" w:right="0" w:firstLine="0"/>
        <w:jc w:val="left"/>
        <w:rPr>
          <w:b/>
          <w:sz w:val="20"/>
        </w:rPr>
      </w:pPr>
      <w:r>
        <w:rPr>
          <w:b/>
          <w:sz w:val="20"/>
        </w:rPr>
        <w:t>（2）自本附加合同中止效力之日起满二年投保人与本公司未达成效力恢复协议。</w:t>
      </w:r>
    </w:p>
    <w:p>
      <w:pPr>
        <w:pStyle w:val="BodyText"/>
        <w:spacing w:before="6"/>
        <w:rPr>
          <w:b/>
          <w:sz w:val="25"/>
        </w:rPr>
      </w:pPr>
    </w:p>
    <w:p>
      <w:pPr>
        <w:tabs>
          <w:tab w:pos="926" w:val="left" w:leader="none"/>
        </w:tabs>
        <w:spacing w:before="0"/>
        <w:ind w:left="120" w:right="0" w:firstLine="0"/>
        <w:jc w:val="left"/>
        <w:rPr>
          <w:b/>
          <w:sz w:val="20"/>
        </w:rPr>
      </w:pPr>
      <w:r>
        <w:rPr>
          <w:b/>
          <w:sz w:val="20"/>
        </w:rPr>
        <w:t>第十条</w:t>
        <w:tab/>
      </w:r>
      <w:r>
        <w:rPr>
          <w:b/>
          <w:spacing w:val="-5"/>
          <w:sz w:val="20"/>
        </w:rPr>
        <w:t>保</w:t>
      </w:r>
      <w:r>
        <w:rPr>
          <w:b/>
          <w:sz w:val="20"/>
        </w:rPr>
        <w:t>险金</w:t>
      </w:r>
      <w:r>
        <w:rPr>
          <w:b/>
          <w:spacing w:val="-5"/>
          <w:sz w:val="20"/>
        </w:rPr>
        <w:t>申请</w:t>
      </w:r>
    </w:p>
    <w:p>
      <w:pPr>
        <w:pStyle w:val="BodyText"/>
        <w:spacing w:before="49"/>
        <w:ind w:left="120"/>
      </w:pPr>
      <w:r>
        <w:rPr/>
        <w:t>在申请重大疾病保险金时，申请人须填写保险金给付申请书，并提供下列证明和资料：</w:t>
      </w:r>
    </w:p>
    <w:p>
      <w:pPr>
        <w:pStyle w:val="BodyText"/>
        <w:spacing w:before="42"/>
        <w:ind w:left="119"/>
      </w:pPr>
      <w:r>
        <w:rPr/>
        <w:t>（1）保险合同；</w:t>
      </w:r>
    </w:p>
    <w:p>
      <w:pPr>
        <w:pStyle w:val="BodyText"/>
        <w:spacing w:before="47"/>
        <w:ind w:left="119"/>
      </w:pPr>
      <w:r>
        <w:rPr/>
        <w:t>（2）被保险人的有效身份证件；</w:t>
      </w:r>
    </w:p>
    <w:p>
      <w:pPr>
        <w:pStyle w:val="BodyText"/>
        <w:spacing w:before="42"/>
        <w:ind w:left="119"/>
      </w:pPr>
      <w:r>
        <w:rPr/>
        <w:t>（3）由医院出具的病历、必需的病理检验、血液检验及其他科学诊断报告以及由专科医生出具的诊断书、手术证明；</w:t>
      </w:r>
    </w:p>
    <w:p>
      <w:pPr>
        <w:pStyle w:val="BodyText"/>
        <w:spacing w:before="47"/>
        <w:ind w:left="120"/>
      </w:pPr>
      <w:r>
        <w:rPr/>
        <w:t>（4）所能提供的与确认保险事故的性质、原因等有关的其他证明和资料。</w:t>
      </w:r>
    </w:p>
    <w:p>
      <w:pPr>
        <w:pStyle w:val="BodyText"/>
        <w:spacing w:before="11"/>
        <w:rPr>
          <w:sz w:val="24"/>
        </w:rPr>
      </w:pPr>
    </w:p>
    <w:p>
      <w:pPr>
        <w:pStyle w:val="BodyText"/>
        <w:ind w:left="120"/>
      </w:pPr>
      <w:r>
        <w:rPr/>
        <w:t>以上证明和资料不完整的，本公司将及时一次性通知申请人补充提供有关证明和资料。</w:t>
      </w:r>
    </w:p>
    <w:p>
      <w:pPr>
        <w:pStyle w:val="BodyText"/>
        <w:spacing w:before="12"/>
        <w:rPr>
          <w:sz w:val="24"/>
        </w:rPr>
      </w:pPr>
    </w:p>
    <w:p>
      <w:pPr>
        <w:pStyle w:val="Heading1"/>
        <w:spacing w:before="0"/>
        <w:jc w:val="left"/>
      </w:pPr>
      <w:r>
        <w:rPr/>
        <w:t>第十一条  保险金给付</w:t>
      </w:r>
    </w:p>
    <w:p>
      <w:pPr>
        <w:pStyle w:val="BodyText"/>
        <w:spacing w:line="571" w:lineRule="auto" w:before="49"/>
        <w:ind w:left="120" w:right="402"/>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11"/>
        <w:rPr>
          <w:sz w:val="24"/>
        </w:rPr>
      </w:pPr>
    </w:p>
    <w:p>
      <w:pPr>
        <w:pStyle w:val="BodyText"/>
        <w:spacing w:before="1"/>
        <w:ind w:left="120"/>
      </w:pPr>
      <w:r>
        <w:rPr/>
        <w:t>对不属于保险责任的，本公司自作出核定之日起三日内向被保险人发出拒绝给付保险金通知书并说明理由。</w:t>
      </w:r>
    </w:p>
    <w:p>
      <w:pPr>
        <w:pStyle w:val="BodyText"/>
        <w:spacing w:before="12"/>
        <w:rPr>
          <w:sz w:val="24"/>
        </w:rPr>
      </w:pPr>
    </w:p>
    <w:p>
      <w:pPr>
        <w:pStyle w:val="BodyText"/>
        <w:spacing w:line="283" w:lineRule="auto"/>
        <w:ind w:left="120"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2"/>
        </w:rPr>
      </w:pPr>
    </w:p>
    <w:p>
      <w:pPr>
        <w:pStyle w:val="Heading1"/>
        <w:spacing w:before="0"/>
        <w:jc w:val="left"/>
      </w:pPr>
      <w:r>
        <w:rPr/>
        <w:t>第十二条  诉讼时效</w:t>
      </w:r>
    </w:p>
    <w:p>
      <w:pPr>
        <w:pStyle w:val="BodyText"/>
        <w:spacing w:before="49"/>
        <w:ind w:left="120"/>
      </w:pPr>
      <w:r>
        <w:rPr/>
        <w:t>被保险人向本公司请求给付保险金的诉讼时效期间为二年，自其知道或者应当知道保险事故发生之日起计算。</w:t>
      </w:r>
    </w:p>
    <w:p>
      <w:pPr>
        <w:pStyle w:val="BodyText"/>
        <w:spacing w:before="12"/>
        <w:rPr>
          <w:sz w:val="24"/>
        </w:rPr>
      </w:pPr>
    </w:p>
    <w:p>
      <w:pPr>
        <w:pStyle w:val="Heading1"/>
        <w:spacing w:before="0"/>
        <w:jc w:val="left"/>
      </w:pPr>
      <w:r>
        <w:rPr/>
        <w:t>第十三条 释义</w:t>
      </w:r>
    </w:p>
    <w:p>
      <w:pPr>
        <w:pStyle w:val="BodyText"/>
        <w:spacing w:line="288" w:lineRule="auto" w:before="49"/>
        <w:ind w:left="120" w:right="110"/>
      </w:pPr>
      <w:r>
        <w:rPr>
          <w:spacing w:val="-10"/>
        </w:rPr>
        <w:t>一、发病：指被保险人出现重大疾病的前兆或异常的身体状况，或已经显现足以促使一般普通谨慎人士引起注意并寻求诊断、</w:t>
      </w:r>
      <w:r>
        <w:rPr>
          <w:spacing w:val="-5"/>
        </w:rPr>
        <w:t>治疗或护理的病症。</w:t>
      </w:r>
    </w:p>
    <w:p>
      <w:pPr>
        <w:pStyle w:val="BodyText"/>
        <w:spacing w:before="1"/>
        <w:rPr>
          <w:sz w:val="22"/>
        </w:rPr>
      </w:pPr>
    </w:p>
    <w:p>
      <w:pPr>
        <w:pStyle w:val="BodyText"/>
        <w:spacing w:before="1"/>
        <w:ind w:left="120"/>
      </w:pPr>
      <w:r>
        <w:rPr/>
        <w:t>二、专科医生</w:t>
      </w:r>
    </w:p>
    <w:p>
      <w:pPr>
        <w:pStyle w:val="BodyText"/>
        <w:spacing w:before="43"/>
        <w:ind w:left="120"/>
      </w:pPr>
      <w:r>
        <w:rPr/>
        <w:t>专科医生应当同时满足以下四项资格条件：</w:t>
      </w:r>
    </w:p>
    <w:p>
      <w:pPr>
        <w:pStyle w:val="BodyText"/>
        <w:spacing w:before="47"/>
        <w:ind w:left="120"/>
      </w:pPr>
      <w:r>
        <w:rPr/>
        <w:t>（1）具有有效的中华人民共和国《医师资格证书》；</w:t>
      </w:r>
    </w:p>
    <w:p>
      <w:pPr>
        <w:pStyle w:val="BodyText"/>
        <w:spacing w:before="42"/>
        <w:ind w:left="120"/>
      </w:pPr>
      <w:r>
        <w:rPr/>
        <w:t>（2）具有有效的中华人民共和国《医师执业证书》，并按期到相关部门登记注册；</w:t>
      </w:r>
    </w:p>
    <w:p>
      <w:pPr>
        <w:pStyle w:val="BodyText"/>
        <w:spacing w:before="47"/>
        <w:ind w:left="120"/>
      </w:pPr>
      <w:r>
        <w:rPr/>
        <w:t>（3）具有有效的中华人民共和国主治医师或主治医师以上职称的《医师职称证书》；</w:t>
      </w:r>
    </w:p>
    <w:p>
      <w:pPr>
        <w:pStyle w:val="BodyText"/>
        <w:spacing w:line="571" w:lineRule="auto" w:before="42"/>
        <w:ind w:left="120" w:right="4723"/>
      </w:pPr>
      <w:r>
        <w:rPr/>
        <w:t>（4）</w:t>
      </w:r>
      <w:r>
        <w:rPr>
          <w:spacing w:val="-5"/>
        </w:rPr>
        <w:t>在二级或二级以上医院的相应科室从事临床工作三年以上。三、第一类重大疾病：指符合下列定义的疾病、疾病状态或手术。</w:t>
      </w:r>
    </w:p>
    <w:p>
      <w:pPr>
        <w:pStyle w:val="BodyText"/>
        <w:rPr>
          <w:sz w:val="20"/>
        </w:rPr>
      </w:pPr>
    </w:p>
    <w:p>
      <w:pPr>
        <w:pStyle w:val="BodyText"/>
        <w:spacing w:before="8"/>
        <w:rPr>
          <w:sz w:val="24"/>
        </w:rPr>
      </w:pPr>
    </w:p>
    <w:p>
      <w:pPr>
        <w:pStyle w:val="Heading2"/>
      </w:pPr>
      <w:r>
        <w:rPr>
          <w:rFonts w:ascii="宋体" w:eastAsia="宋体" w:hint="eastAsia"/>
        </w:rPr>
        <w:t>条款编号</w:t>
      </w:r>
      <w:r>
        <w:rPr/>
        <w:t>: L2080-01</w:t>
      </w:r>
    </w:p>
    <w:p>
      <w:pPr>
        <w:spacing w:after="0"/>
        <w:sectPr>
          <w:pgSz w:w="11910" w:h="16840"/>
          <w:pgMar w:top="100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2663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bookmarkStart w:name="1）极早期恶性肿瘤或恶性病变" w:id="1"/>
      <w:bookmarkEnd w:id="1"/>
      <w:r>
        <w:rPr/>
      </w:r>
      <w:r>
        <w:rPr/>
        <w:t>1）极早期恶性肿瘤或恶性病变</w:t>
      </w:r>
    </w:p>
    <w:p>
      <w:pPr>
        <w:pStyle w:val="BodyText"/>
        <w:spacing w:before="47"/>
        <w:ind w:left="120"/>
      </w:pPr>
      <w:r>
        <w:rPr/>
        <w:t>指经组织病理学检查被明确诊断为下列恶性病变，并且接受了相应的治疗。</w:t>
      </w:r>
    </w:p>
    <w:p>
      <w:pPr>
        <w:pStyle w:val="BodyText"/>
        <w:spacing w:before="42"/>
        <w:ind w:left="340"/>
      </w:pPr>
      <w:r>
        <w:rPr/>
        <w:t>（1）原位癌*；</w:t>
      </w:r>
    </w:p>
    <w:p>
      <w:pPr>
        <w:pStyle w:val="BodyText"/>
        <w:spacing w:before="47"/>
        <w:ind w:left="340"/>
      </w:pPr>
      <w:r>
        <w:rPr/>
        <w:t>（2）相当于Binet 分期方案A期程度的慢性淋巴细胞白血病；</w:t>
      </w:r>
    </w:p>
    <w:p>
      <w:pPr>
        <w:pStyle w:val="BodyText"/>
        <w:spacing w:before="42"/>
        <w:ind w:left="340"/>
      </w:pPr>
      <w:r>
        <w:rPr/>
        <w:t>（3）相当于Ann Arbor 分期方案I期程度的何杰金氏病；</w:t>
      </w:r>
    </w:p>
    <w:p>
      <w:pPr>
        <w:pStyle w:val="BodyText"/>
        <w:spacing w:before="47"/>
        <w:ind w:left="340"/>
      </w:pPr>
      <w:r>
        <w:rPr/>
        <w:t>（4）皮肤癌（不包括恶性黑色素瘤及已发生转移的皮肤癌）；</w:t>
      </w:r>
    </w:p>
    <w:p>
      <w:pPr>
        <w:pStyle w:val="BodyText"/>
        <w:spacing w:before="41"/>
        <w:ind w:left="340"/>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7"/>
        <w:ind w:left="119"/>
      </w:pPr>
      <w:r>
        <w:rPr/>
        <w:t>*原位癌</w:t>
      </w:r>
    </w:p>
    <w:p>
      <w:pPr>
        <w:pStyle w:val="BodyText"/>
        <w:spacing w:line="288" w:lineRule="auto" w:before="42"/>
        <w:ind w:left="119" w:right="230"/>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
        <w:rPr>
          <w:sz w:val="22"/>
        </w:rPr>
      </w:pPr>
    </w:p>
    <w:p>
      <w:pPr>
        <w:pStyle w:val="BodyText"/>
        <w:ind w:left="119"/>
      </w:pPr>
      <w:r>
        <w:rPr/>
        <w:t>2）较小面积III度烧伤</w:t>
      </w:r>
    </w:p>
    <w:p>
      <w:pPr>
        <w:pStyle w:val="BodyText"/>
        <w:spacing w:line="288" w:lineRule="auto" w:before="42"/>
        <w:ind w:left="120" w:right="226" w:hanging="1"/>
      </w:pPr>
      <w:r>
        <w:rPr>
          <w:spacing w:val="-5"/>
        </w:rPr>
        <w:t>指烧伤程度为Ⅲ度，且Ⅲ度烧伤面积达到全身体表面积的</w:t>
      </w:r>
      <w:r>
        <w:rPr/>
        <w:t>10%（</w:t>
      </w:r>
      <w:r>
        <w:rPr>
          <w:spacing w:val="-3"/>
        </w:rPr>
        <w:t>百分之十</w:t>
      </w:r>
      <w:r>
        <w:rPr>
          <w:spacing w:val="-5"/>
        </w:rPr>
        <w:t>）</w:t>
      </w:r>
      <w:r>
        <w:rPr>
          <w:spacing w:val="-2"/>
        </w:rPr>
        <w:t>但少于</w:t>
      </w:r>
      <w:r>
        <w:rPr/>
        <w:t>20%（</w:t>
      </w:r>
      <w:r>
        <w:rPr>
          <w:spacing w:val="-4"/>
        </w:rPr>
        <w:t>百分之二十</w:t>
      </w:r>
      <w:r>
        <w:rPr/>
        <w:t>）</w:t>
      </w:r>
      <w:r>
        <w:rPr>
          <w:spacing w:val="-5"/>
        </w:rPr>
        <w:t>。体表面积根据《中国</w:t>
      </w:r>
      <w:r>
        <w:rPr>
          <w:spacing w:val="-4"/>
        </w:rPr>
        <w:t>新九分法》计算。</w:t>
      </w:r>
    </w:p>
    <w:p>
      <w:pPr>
        <w:pStyle w:val="BodyText"/>
        <w:spacing w:before="2"/>
        <w:rPr>
          <w:sz w:val="22"/>
        </w:rPr>
      </w:pPr>
    </w:p>
    <w:p>
      <w:pPr>
        <w:pStyle w:val="BodyText"/>
        <w:ind w:left="120"/>
      </w:pPr>
      <w:bookmarkStart w:name="3）轻微脑中风" w:id="2"/>
      <w:bookmarkEnd w:id="2"/>
      <w:r>
        <w:rPr/>
      </w:r>
      <w:r>
        <w:rPr/>
        <w:t>3）轻微脑中风</w:t>
      </w:r>
    </w:p>
    <w:p>
      <w:pPr>
        <w:pStyle w:val="BodyText"/>
        <w:spacing w:line="285" w:lineRule="auto" w:before="42"/>
        <w:ind w:left="119" w:right="101"/>
      </w:pPr>
      <w:r>
        <w:rPr>
          <w:spacing w:val="-10"/>
        </w:rPr>
        <w:t>指实际发生了脑血管的突发病变，出现了神经系统功能障碍表现，并接受住院治疗，经头颅断层扫描</w:t>
      </w:r>
      <w:r>
        <w:rPr>
          <w:spacing w:val="-7"/>
        </w:rPr>
        <w:t>（CT）</w:t>
      </w:r>
      <w:r>
        <w:rPr>
          <w:spacing w:val="-13"/>
        </w:rPr>
        <w:t>、核磁共振</w:t>
      </w:r>
      <w:r>
        <w:rPr/>
        <w:t>（MRI） </w:t>
      </w:r>
      <w:r>
        <w:rPr>
          <w:spacing w:val="-8"/>
        </w:rPr>
        <w:t>等影像学检查证实存在对应病灶，确诊为脑出血、脑栓塞或脑梗塞，在确诊</w:t>
      </w:r>
      <w:r>
        <w:rPr/>
        <w:t>180</w:t>
      </w:r>
      <w:r>
        <w:rPr>
          <w:spacing w:val="-6"/>
        </w:rPr>
        <w:t>天后神经系统功能障碍程度未达到第二类重大 </w:t>
      </w:r>
      <w:r>
        <w:rPr>
          <w:spacing w:val="-5"/>
        </w:rPr>
        <w:t>疾病“脑中风后遗症”的给付标准。</w:t>
      </w:r>
    </w:p>
    <w:p>
      <w:pPr>
        <w:pStyle w:val="BodyText"/>
        <w:spacing w:before="3"/>
        <w:rPr>
          <w:sz w:val="22"/>
        </w:rPr>
      </w:pPr>
    </w:p>
    <w:p>
      <w:pPr>
        <w:pStyle w:val="BodyText"/>
        <w:spacing w:line="288" w:lineRule="auto"/>
        <w:ind w:left="120" w:right="197"/>
      </w:pPr>
      <w:r>
        <w:rPr>
          <w:spacing w:val="-7"/>
        </w:rPr>
        <w:t>若本次发病已符合第二类重大疾病“脑中风后遗症”给付标准的，则不在本疾病保障范围内。被保险人需在确诊</w:t>
      </w:r>
      <w:r>
        <w:rPr/>
        <w:t>180</w:t>
      </w:r>
      <w:r>
        <w:rPr>
          <w:spacing w:val="-2"/>
        </w:rPr>
        <w:t>天后申请</w:t>
      </w:r>
      <w:r>
        <w:rPr>
          <w:spacing w:val="-5"/>
        </w:rPr>
        <w:t>理赔。</w:t>
      </w:r>
    </w:p>
    <w:p>
      <w:pPr>
        <w:pStyle w:val="BodyText"/>
        <w:spacing w:before="1"/>
        <w:rPr>
          <w:sz w:val="22"/>
        </w:rPr>
      </w:pPr>
    </w:p>
    <w:p>
      <w:pPr>
        <w:pStyle w:val="BodyText"/>
        <w:spacing w:before="1"/>
        <w:ind w:left="120"/>
      </w:pPr>
      <w:bookmarkStart w:name="4）冠状动脉介入手术（非开胸手术）" w:id="3"/>
      <w:bookmarkEnd w:id="3"/>
      <w:r>
        <w:rPr/>
      </w:r>
      <w:r>
        <w:rPr/>
        <w:t>4）冠状动脉介入手术（非开胸手术）</w:t>
      </w:r>
    </w:p>
    <w:p>
      <w:pPr>
        <w:pStyle w:val="BodyText"/>
        <w:spacing w:line="288" w:lineRule="auto" w:before="43"/>
        <w:ind w:left="120" w:right="229"/>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2"/>
        <w:rPr>
          <w:sz w:val="22"/>
        </w:rPr>
      </w:pPr>
    </w:p>
    <w:p>
      <w:pPr>
        <w:pStyle w:val="BodyText"/>
        <w:ind w:left="120"/>
      </w:pPr>
      <w:bookmarkStart w:name="5）心脏瓣膜介入手术（非开胸手术）" w:id="4"/>
      <w:bookmarkEnd w:id="4"/>
      <w:r>
        <w:rPr/>
      </w:r>
      <w:r>
        <w:rPr/>
        <w:t>5）心脏瓣膜介入手术（非开胸手术）</w:t>
      </w:r>
    </w:p>
    <w:p>
      <w:pPr>
        <w:pStyle w:val="Heading2"/>
        <w:spacing w:line="285" w:lineRule="auto" w:before="43"/>
        <w:ind w:right="227"/>
        <w:rPr>
          <w:rFonts w:ascii="宋体" w:eastAsia="宋体" w:hint="eastAsia"/>
        </w:rPr>
      </w:pPr>
      <w:r>
        <w:rPr>
          <w:rFonts w:ascii="宋体" w:eastAsia="宋体" w:hint="eastAsia"/>
          <w:spacing w:val="-11"/>
        </w:rPr>
        <w:t>为了治疗心脏瓣膜疾病，实际实施了非开胸的经胸壁打孔内镜手术或经皮经导管介入手术进行的心脏瓣膜置换或</w:t>
      </w:r>
      <w:r>
        <w:rPr>
          <w:rFonts w:ascii="宋体" w:eastAsia="宋体" w:hint="eastAsia"/>
          <w:spacing w:val="-8"/>
        </w:rPr>
        <w:t>修复手术。</w:t>
      </w:r>
    </w:p>
    <w:p>
      <w:pPr>
        <w:pStyle w:val="BodyText"/>
        <w:spacing w:before="6"/>
        <w:rPr>
          <w:sz w:val="22"/>
        </w:rPr>
      </w:pPr>
    </w:p>
    <w:p>
      <w:pPr>
        <w:pStyle w:val="BodyText"/>
        <w:spacing w:before="1"/>
        <w:ind w:left="119"/>
      </w:pPr>
      <w:r>
        <w:rPr/>
        <w:t>6）视力严重受损－须三岁后申请理赔</w:t>
      </w:r>
    </w:p>
    <w:p>
      <w:pPr>
        <w:pStyle w:val="BodyText"/>
        <w:spacing w:line="288" w:lineRule="auto" w:before="43"/>
        <w:ind w:left="120" w:right="226" w:hanging="1"/>
      </w:pPr>
      <w:r>
        <w:rPr>
          <w:spacing w:val="-5"/>
        </w:rPr>
        <w:t>指因疾病或意外伤害导致双目视力永久不可逆</w:t>
      </w:r>
      <w:r>
        <w:rPr/>
        <w:t>（</w:t>
      </w:r>
      <w:r>
        <w:rPr>
          <w:spacing w:val="-4"/>
        </w:rPr>
        <w:t>释义八</w:t>
      </w:r>
      <w:r>
        <w:rPr/>
        <w:t>）</w:t>
      </w:r>
      <w:r>
        <w:rPr>
          <w:spacing w:val="-5"/>
        </w:rPr>
        <w:t>性丧失，虽然未达到第二类重大疾病“双目失明”的给付标准，但满足下列条件之一：</w:t>
      </w:r>
    </w:p>
    <w:p>
      <w:pPr>
        <w:pStyle w:val="BodyText"/>
        <w:spacing w:before="7"/>
        <w:ind w:left="120"/>
      </w:pPr>
      <w:r>
        <w:rPr/>
        <w:t>（1）双眼中较好眼矫正视力低于0.1（采用国际标准视力表，如果使用其他视力表应进行换算）；</w:t>
      </w:r>
    </w:p>
    <w:p>
      <w:pPr>
        <w:pStyle w:val="BodyText"/>
        <w:spacing w:before="48"/>
        <w:ind w:left="120"/>
      </w:pPr>
      <w:r>
        <w:rPr/>
        <w:t>（2）双眼中较好眼视野半径小于20度。</w:t>
      </w:r>
    </w:p>
    <w:p>
      <w:pPr>
        <w:pStyle w:val="BodyText"/>
        <w:spacing w:before="12"/>
        <w:rPr>
          <w:sz w:val="24"/>
        </w:rPr>
      </w:pPr>
    </w:p>
    <w:p>
      <w:pPr>
        <w:pStyle w:val="BodyText"/>
        <w:spacing w:line="571" w:lineRule="auto"/>
        <w:ind w:left="120" w:right="1842"/>
      </w:pPr>
      <w:r>
        <w:rPr>
          <w:spacing w:val="-5"/>
        </w:rPr>
        <w:t>被保险人申请理赔时年龄必须在三岁以上，并且提供理赔当时的视力严重受损诊断及检查证明和资料。若本次发病已符合第二类重大疾病“双目失明”给付标准的，则不在本疾病保障范围内。</w:t>
      </w:r>
    </w:p>
    <w:p>
      <w:pPr>
        <w:pStyle w:val="BodyText"/>
        <w:spacing w:before="77"/>
        <w:ind w:left="120"/>
      </w:pPr>
      <w:bookmarkStart w:name="7）主动脉内手术（非开胸手术）" w:id="5"/>
      <w:bookmarkEnd w:id="5"/>
      <w:r>
        <w:rPr/>
      </w:r>
      <w:r>
        <w:rPr/>
        <w:t>7）主动脉内手术（非开胸手术）</w:t>
      </w:r>
    </w:p>
    <w:p>
      <w:pPr>
        <w:pStyle w:val="BodyText"/>
        <w:spacing w:line="288" w:lineRule="auto" w:before="42"/>
        <w:ind w:left="120" w:right="201" w:firstLine="422"/>
      </w:pPr>
      <w:r>
        <w:rPr>
          <w:spacing w:val="-7"/>
        </w:rPr>
        <w:t>为了治疗主动脉疾病实际实施了经皮经导管进行的动脉内手术。主动脉指胸主动脉和腹主动脉，不包括胸主动脉和腹主</w:t>
      </w:r>
      <w:r>
        <w:rPr>
          <w:spacing w:val="-4"/>
        </w:rPr>
        <w:t>动脉的分支血管。</w:t>
      </w:r>
    </w:p>
    <w:p>
      <w:pPr>
        <w:pStyle w:val="BodyText"/>
        <w:spacing w:before="1"/>
        <w:rPr>
          <w:sz w:val="22"/>
        </w:rPr>
      </w:pPr>
    </w:p>
    <w:p>
      <w:pPr>
        <w:pStyle w:val="BodyText"/>
        <w:spacing w:before="1"/>
        <w:ind w:left="120"/>
      </w:pPr>
      <w:bookmarkStart w:name="8）脑垂体瘤、脑囊肿、脑动脉瘤及脑血管瘤" w:id="6"/>
      <w:bookmarkEnd w:id="6"/>
      <w:r>
        <w:rPr/>
      </w:r>
      <w:r>
        <w:rPr/>
        <w:t>8）脑垂体瘤、脑囊肿、脑动脉瘤及脑血管瘤</w:t>
      </w:r>
    </w:p>
    <w:p>
      <w:pPr>
        <w:pStyle w:val="BodyText"/>
        <w:spacing w:before="43"/>
        <w:ind w:left="542"/>
      </w:pPr>
      <w:r>
        <w:rPr/>
        <w:t>指经头颅断层扫描（CT）、核磁共振（MRI）或其他影像学检查被确诊为下列病变，并实际接受了手术或放射治疗。</w:t>
      </w:r>
    </w:p>
    <w:p>
      <w:pPr>
        <w:pStyle w:val="BodyText"/>
        <w:spacing w:before="48"/>
        <w:ind w:left="341"/>
      </w:pPr>
      <w:r>
        <w:rPr/>
        <w:t>（1）脑垂体瘤；</w:t>
      </w:r>
    </w:p>
    <w:p>
      <w:pPr>
        <w:pStyle w:val="BodyText"/>
        <w:spacing w:before="43"/>
        <w:ind w:left="341"/>
      </w:pPr>
      <w:r>
        <w:rPr/>
        <w:t>（2）脑囊肿；</w:t>
      </w:r>
    </w:p>
    <w:p>
      <w:pPr>
        <w:pStyle w:val="BodyText"/>
        <w:spacing w:before="47"/>
        <w:ind w:left="341"/>
      </w:pPr>
      <w:r>
        <w:rPr/>
        <w:t>（3）脑动脉瘤、脑血管瘤。</w:t>
      </w:r>
    </w:p>
    <w:p>
      <w:pPr>
        <w:pStyle w:val="BodyText"/>
        <w:rPr>
          <w:sz w:val="20"/>
        </w:rPr>
      </w:pPr>
    </w:p>
    <w:p>
      <w:pPr>
        <w:pStyle w:val="BodyText"/>
        <w:rPr>
          <w:sz w:val="20"/>
        </w:rPr>
      </w:pPr>
    </w:p>
    <w:p>
      <w:pPr>
        <w:pStyle w:val="Heading2"/>
        <w:spacing w:before="196"/>
      </w:pPr>
      <w:r>
        <w:rPr>
          <w:rFonts w:ascii="宋体" w:eastAsia="宋体" w:hint="eastAsia"/>
        </w:rPr>
        <w:t>条款编号</w:t>
      </w:r>
      <w:r>
        <w:rPr/>
        <w:t>: L2080-01</w:t>
      </w:r>
    </w:p>
    <w:p>
      <w:pPr>
        <w:spacing w:after="0"/>
        <w:sectPr>
          <w:pgSz w:w="11910" w:h="16840"/>
          <w:pgMar w:top="1000" w:bottom="280" w:left="960" w:right="880"/>
        </w:sectPr>
      </w:pPr>
    </w:p>
    <w:p>
      <w:pPr>
        <w:pStyle w:val="BodyText"/>
        <w:spacing w:before="32"/>
        <w:ind w:left="120"/>
      </w:pPr>
      <w:r>
        <w:rPr/>
        <w:pict>
          <v:group style="position:absolute;margin-left:.119203pt;margin-top:0pt;width:595.3pt;height:833.2pt;mso-position-horizontal-relative:page;mso-position-vertical-relative:page;z-index:-2660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四、第二类重大疾病：指符合下列定义的疾病、疾病状态或手术。</w:t>
      </w:r>
    </w:p>
    <w:p>
      <w:pPr>
        <w:pStyle w:val="BodyText"/>
        <w:spacing w:before="11"/>
        <w:rPr>
          <w:sz w:val="24"/>
        </w:rPr>
      </w:pPr>
    </w:p>
    <w:p>
      <w:pPr>
        <w:pStyle w:val="BodyText"/>
        <w:ind w:left="120"/>
      </w:pPr>
      <w:r>
        <w:rPr/>
        <w:t>1）恶性肿瘤</w:t>
      </w:r>
    </w:p>
    <w:p>
      <w:pPr>
        <w:pStyle w:val="BodyText"/>
        <w:spacing w:line="285" w:lineRule="auto" w:before="42"/>
        <w:ind w:left="120" w:right="229"/>
        <w:jc w:val="both"/>
      </w:pPr>
      <w:r>
        <w:rPr>
          <w:spacing w:val="-5"/>
        </w:rPr>
        <w:t>指恶性细胞不受控制的进行性增长和扩散，浸润和破坏周围正常组织，可以经血管、淋巴管和体腔扩散转移到身体其他部位</w:t>
      </w:r>
      <w:r>
        <w:rPr>
          <w:spacing w:val="-6"/>
        </w:rPr>
        <w:t>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spacing w:before="1"/>
        <w:ind w:left="120"/>
        <w:jc w:val="both"/>
      </w:pPr>
      <w:r>
        <w:rPr/>
        <w:t>下列疾病不在保障范围内：</w:t>
      </w:r>
    </w:p>
    <w:p>
      <w:pPr>
        <w:pStyle w:val="BodyText"/>
        <w:spacing w:before="47"/>
        <w:ind w:left="120"/>
        <w:jc w:val="both"/>
      </w:pPr>
      <w:r>
        <w:rPr/>
        <w:t>（1）原位癌；</w:t>
      </w:r>
    </w:p>
    <w:p>
      <w:pPr>
        <w:pStyle w:val="BodyText"/>
        <w:spacing w:before="42"/>
        <w:ind w:left="120"/>
        <w:jc w:val="both"/>
      </w:pPr>
      <w:r>
        <w:rPr/>
        <w:t>（2）相当于Binet 分期方案A 期程度的慢性淋巴细胞白血病；</w:t>
      </w:r>
    </w:p>
    <w:p>
      <w:pPr>
        <w:pStyle w:val="BodyText"/>
        <w:spacing w:before="47"/>
        <w:ind w:left="120"/>
        <w:jc w:val="both"/>
      </w:pPr>
      <w:r>
        <w:rPr/>
        <w:t>（3）相当于Ann Arbor 分期方案I 期程度的何杰金氏病；</w:t>
      </w:r>
    </w:p>
    <w:p>
      <w:pPr>
        <w:pStyle w:val="BodyText"/>
        <w:spacing w:before="42"/>
        <w:ind w:left="119"/>
        <w:jc w:val="both"/>
      </w:pPr>
      <w:r>
        <w:rPr/>
        <w:t>（4）皮肤癌（不包括恶性黑色素瘤及已发生转移的皮肤癌）；</w:t>
      </w:r>
    </w:p>
    <w:p>
      <w:pPr>
        <w:pStyle w:val="BodyText"/>
        <w:spacing w:before="47"/>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8"/>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2"/>
        <w:ind w:left="120"/>
        <w:jc w:val="both"/>
      </w:pPr>
      <w:r>
        <w:rPr/>
        <w:t>（4）发病90 天后，经检查证实左心室功能降低，如左心室射血分数低于50%。</w:t>
      </w:r>
    </w:p>
    <w:p>
      <w:pPr>
        <w:pStyle w:val="BodyText"/>
        <w:spacing w:before="11"/>
        <w:rPr>
          <w:sz w:val="24"/>
        </w:rPr>
      </w:pPr>
    </w:p>
    <w:p>
      <w:pPr>
        <w:pStyle w:val="BodyText"/>
        <w:ind w:left="120"/>
        <w:jc w:val="both"/>
      </w:pPr>
      <w:r>
        <w:rPr/>
        <w:t>3）脑中风后遗症</w:t>
      </w:r>
    </w:p>
    <w:p>
      <w:pPr>
        <w:pStyle w:val="BodyText"/>
        <w:spacing w:line="283" w:lineRule="auto" w:before="47"/>
        <w:ind w:left="120" w:right="22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spacing w:before="5"/>
        <w:rPr>
          <w:sz w:val="22"/>
        </w:rPr>
      </w:pPr>
    </w:p>
    <w:p>
      <w:pPr>
        <w:spacing w:before="0"/>
        <w:ind w:left="120" w:right="0" w:firstLine="0"/>
        <w:jc w:val="both"/>
        <w:rPr>
          <w:sz w:val="18"/>
        </w:rPr>
      </w:pPr>
      <w:r>
        <w:rPr>
          <w:sz w:val="18"/>
        </w:rPr>
        <w:t>（1）一肢或一肢以上</w:t>
      </w:r>
      <w:r>
        <w:rPr>
          <w:b/>
          <w:sz w:val="18"/>
        </w:rPr>
        <w:t>肢体机能完全丧失</w:t>
      </w:r>
      <w:r>
        <w:rPr>
          <w:sz w:val="18"/>
        </w:rPr>
        <w:t>（释义九）；</w:t>
      </w:r>
    </w:p>
    <w:p>
      <w:pPr>
        <w:spacing w:before="47"/>
        <w:ind w:left="120" w:right="0" w:firstLine="0"/>
        <w:jc w:val="both"/>
        <w:rPr>
          <w:sz w:val="18"/>
        </w:rPr>
      </w:pPr>
      <w:r>
        <w:rPr>
          <w:sz w:val="18"/>
        </w:rPr>
        <w:t>（2）</w:t>
      </w:r>
      <w:r>
        <w:rPr>
          <w:b/>
          <w:sz w:val="18"/>
        </w:rPr>
        <w:t>语言能力或咀嚼吞咽能力完全丧失</w:t>
      </w:r>
      <w:r>
        <w:rPr>
          <w:sz w:val="18"/>
        </w:rPr>
        <w:t>（释义十）；</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rPr>
          <w:sz w:val="24"/>
        </w:rPr>
      </w:pPr>
    </w:p>
    <w:p>
      <w:pPr>
        <w:pStyle w:val="BodyText"/>
        <w:ind w:left="119"/>
        <w:jc w:val="both"/>
      </w:pPr>
      <w:r>
        <w:rPr/>
        <w:t>4）重大器官移植术或造血干细胞移植术</w:t>
      </w:r>
    </w:p>
    <w:p>
      <w:pPr>
        <w:pStyle w:val="BodyText"/>
        <w:spacing w:before="47"/>
        <w:ind w:left="119"/>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before="1"/>
        <w:ind w:left="119" w:right="230"/>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spacing w:before="1"/>
        <w:ind w:left="119"/>
        <w:jc w:val="both"/>
      </w:pPr>
      <w:r>
        <w:rPr/>
        <w:t>5）冠状动脉搭桥术（或称冠状动脉旁路移植术）</w:t>
      </w:r>
    </w:p>
    <w:p>
      <w:pPr>
        <w:pStyle w:val="BodyText"/>
        <w:spacing w:before="48"/>
        <w:ind w:left="119"/>
        <w:jc w:val="both"/>
      </w:pPr>
      <w:r>
        <w:rPr/>
        <w:t>指为治疗严重的冠心病，实际实施了开胸进行的冠状动脉血管旁路移植的手术。</w:t>
      </w:r>
    </w:p>
    <w:p>
      <w:pPr>
        <w:pStyle w:val="BodyText"/>
        <w:spacing w:before="43"/>
        <w:ind w:left="119"/>
        <w:jc w:val="both"/>
      </w:pPr>
      <w:r>
        <w:rPr/>
        <w:t>冠状动脉支架植入术、心导管球囊扩张术、激光射频技术及其他非开胸的介入手术、腔镜手术不在保障范围内。</w:t>
      </w:r>
    </w:p>
    <w:p>
      <w:pPr>
        <w:pStyle w:val="BodyText"/>
        <w:spacing w:before="12"/>
        <w:rPr>
          <w:sz w:val="24"/>
        </w:rPr>
      </w:pPr>
    </w:p>
    <w:p>
      <w:pPr>
        <w:pStyle w:val="BodyText"/>
        <w:ind w:left="119"/>
        <w:jc w:val="both"/>
      </w:pPr>
      <w:r>
        <w:rPr/>
        <w:t>6）终末期肾病（或称慢性肾功能衰竭尿毒症期）</w:t>
      </w:r>
    </w:p>
    <w:p>
      <w:pPr>
        <w:pStyle w:val="BodyText"/>
        <w:spacing w:before="47"/>
        <w:ind w:left="119"/>
        <w:jc w:val="both"/>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before="47"/>
        <w:ind w:left="120"/>
        <w:jc w:val="both"/>
      </w:pPr>
      <w:r>
        <w:rPr/>
        <w:t>指因肝炎病毒感染引起肝脏组织弥漫性坏死，导致急性肝功能衰竭，且经血清学或病毒学检查证实，并须满足下列全部条件：</w:t>
      </w:r>
    </w:p>
    <w:p>
      <w:pPr>
        <w:pStyle w:val="BodyText"/>
        <w:rPr>
          <w:sz w:val="20"/>
        </w:rPr>
      </w:pPr>
    </w:p>
    <w:p>
      <w:pPr>
        <w:pStyle w:val="BodyText"/>
        <w:rPr>
          <w:sz w:val="20"/>
        </w:rPr>
      </w:pPr>
    </w:p>
    <w:p>
      <w:pPr>
        <w:pStyle w:val="BodyText"/>
        <w:spacing w:before="3"/>
        <w:rPr>
          <w:sz w:val="16"/>
        </w:rPr>
      </w:pPr>
    </w:p>
    <w:p>
      <w:pPr>
        <w:pStyle w:val="Heading2"/>
      </w:pPr>
      <w:r>
        <w:rPr>
          <w:rFonts w:ascii="宋体" w:eastAsia="宋体" w:hint="eastAsia"/>
        </w:rPr>
        <w:t>条款编号</w:t>
      </w:r>
      <w:r>
        <w:rPr/>
        <w:t>: L2080-01</w:t>
      </w:r>
    </w:p>
    <w:p>
      <w:pPr>
        <w:spacing w:after="0"/>
        <w:sectPr>
          <w:pgSz w:w="11910" w:h="16840"/>
          <w:pgMar w:top="1280" w:bottom="280" w:left="960" w:right="880"/>
        </w:sectPr>
      </w:pPr>
    </w:p>
    <w:p>
      <w:pPr>
        <w:pStyle w:val="BodyText"/>
        <w:spacing w:before="29"/>
        <w:ind w:left="100"/>
        <w:jc w:val="both"/>
      </w:pPr>
      <w:r>
        <w:rPr/>
        <w:pict>
          <v:group style="position:absolute;margin-left:.119203pt;margin-top:0pt;width:595.3pt;height:833.2pt;mso-position-horizontal-relative:page;mso-position-vertical-relative:page;z-index:-2658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（1）重度黄疸或黄疸迅速加重；</w:t>
      </w:r>
    </w:p>
    <w:p>
      <w:pPr>
        <w:pStyle w:val="BodyText"/>
        <w:spacing w:before="47"/>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8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00"/>
        <w:jc w:val="both"/>
      </w:pPr>
      <w:r>
        <w:rPr/>
        <w:t>（1）实际实施了开颅进行的脑肿瘤完全切除或部分切除的手术；</w:t>
      </w:r>
    </w:p>
    <w:p>
      <w:pPr>
        <w:pStyle w:val="BodyText"/>
        <w:spacing w:before="47"/>
        <w:ind w:left="100"/>
        <w:jc w:val="both"/>
      </w:pPr>
      <w:r>
        <w:rPr/>
        <w:t>（2）实际实施了对脑肿瘤进行的放射治疗。</w:t>
      </w:r>
    </w:p>
    <w:p>
      <w:pPr>
        <w:pStyle w:val="BodyText"/>
        <w:spacing w:before="11"/>
        <w:rPr>
          <w:sz w:val="24"/>
        </w:rPr>
      </w:pPr>
    </w:p>
    <w:p>
      <w:pPr>
        <w:pStyle w:val="BodyText"/>
        <w:ind w:left="100"/>
        <w:jc w:val="both"/>
      </w:pPr>
      <w:r>
        <w:rPr/>
        <w:t>脑垂体瘤、脑囊肿、脑血管性疾病不在保障范围内。</w:t>
      </w:r>
    </w:p>
    <w:p>
      <w:pPr>
        <w:pStyle w:val="BodyText"/>
        <w:spacing w:before="11"/>
        <w:rPr>
          <w:sz w:val="24"/>
        </w:rPr>
      </w:pPr>
    </w:p>
    <w:p>
      <w:pPr>
        <w:pStyle w:val="BodyText"/>
        <w:ind w:left="100"/>
        <w:jc w:val="both"/>
      </w:pPr>
      <w:r>
        <w:rPr/>
        <w:t>10）慢性肝功能衰竭失代偿期</w:t>
      </w:r>
    </w:p>
    <w:p>
      <w:pPr>
        <w:pStyle w:val="BodyText"/>
        <w:spacing w:before="42"/>
        <w:ind w:left="100"/>
        <w:jc w:val="both"/>
      </w:pPr>
      <w:r>
        <w:rPr/>
        <w:t>指因慢性肝脏疾病导致肝功能衰竭。须满足下列全部条件：</w:t>
      </w:r>
    </w:p>
    <w:p>
      <w:pPr>
        <w:pStyle w:val="BodyText"/>
        <w:spacing w:before="11"/>
        <w:rPr>
          <w:sz w:val="24"/>
        </w:rPr>
      </w:pPr>
    </w:p>
    <w:p>
      <w:pPr>
        <w:pStyle w:val="BodyText"/>
        <w:ind w:left="100"/>
        <w:jc w:val="both"/>
      </w:pPr>
      <w:r>
        <w:rPr/>
        <w:t>（1）持续性黄疸；</w:t>
      </w:r>
    </w:p>
    <w:p>
      <w:pPr>
        <w:pStyle w:val="BodyText"/>
        <w:spacing w:before="47"/>
        <w:ind w:left="100"/>
        <w:jc w:val="both"/>
      </w:pPr>
      <w:r>
        <w:rPr/>
        <w:t>（2）腹水；</w:t>
      </w:r>
    </w:p>
    <w:p>
      <w:pPr>
        <w:pStyle w:val="BodyText"/>
        <w:spacing w:before="42"/>
        <w:ind w:left="100"/>
        <w:jc w:val="both"/>
      </w:pPr>
      <w:r>
        <w:rPr/>
        <w:t>（3）肝性脑病；</w:t>
      </w:r>
    </w:p>
    <w:p>
      <w:pPr>
        <w:pStyle w:val="BodyText"/>
        <w:spacing w:line="571" w:lineRule="auto" w:before="47"/>
        <w:ind w:left="100" w:right="5489"/>
      </w:pPr>
      <w:r>
        <w:rPr/>
        <w:t>（4）充血性脾肿大伴脾功能亢进或食管胃底静脉曲张。因酗酒或药物滥用导致的肝功能衰竭不在保障范围内。</w:t>
      </w:r>
    </w:p>
    <w:p>
      <w:pPr>
        <w:pStyle w:val="BodyText"/>
        <w:spacing w:before="77"/>
        <w:ind w:left="100"/>
      </w:pPr>
      <w:r>
        <w:rPr/>
        <w:t>11）脑炎后遗症或脑膜炎后遗症</w:t>
      </w:r>
    </w:p>
    <w:p>
      <w:pPr>
        <w:pStyle w:val="BodyText"/>
        <w:spacing w:line="288" w:lineRule="auto" w:before="42"/>
        <w:ind w:left="100" w:right="162"/>
      </w:pPr>
      <w:r>
        <w:rPr>
          <w:spacing w:val="-7"/>
        </w:rPr>
        <w:t>指因患脑炎或脑膜炎导致的神经系统永久性的功能障碍。神经系统永久性的功能障碍，指疾病确诊</w:t>
      </w:r>
      <w:r>
        <w:rPr/>
        <w:t>180</w:t>
      </w:r>
      <w:r>
        <w:rPr>
          <w:spacing w:val="-7"/>
        </w:rPr>
        <w:t>天后，仍遗留下列一种</w:t>
      </w:r>
      <w:r>
        <w:rPr>
          <w:spacing w:val="-4"/>
        </w:rPr>
        <w:t>或一种以上障碍：</w:t>
      </w:r>
    </w:p>
    <w:p>
      <w:pPr>
        <w:pStyle w:val="BodyText"/>
        <w:spacing w:before="1"/>
        <w:rPr>
          <w:sz w:val="22"/>
        </w:rPr>
      </w:pPr>
    </w:p>
    <w:p>
      <w:pPr>
        <w:pStyle w:val="BodyText"/>
        <w:spacing w:before="1"/>
        <w:ind w:left="100"/>
        <w:jc w:val="both"/>
      </w:pPr>
      <w:r>
        <w:rPr/>
        <w:t>（1）一肢或一肢以上肢体机能完全丧失；</w:t>
      </w:r>
    </w:p>
    <w:p>
      <w:pPr>
        <w:pStyle w:val="BodyText"/>
        <w:spacing w:before="43"/>
        <w:ind w:left="100"/>
        <w:jc w:val="both"/>
      </w:pPr>
      <w:r>
        <w:rPr/>
        <w:t>（2）语言能力或咀嚼吞咽能力完全丧失；</w:t>
      </w:r>
    </w:p>
    <w:p>
      <w:pPr>
        <w:pStyle w:val="BodyText"/>
        <w:spacing w:before="47"/>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571" w:lineRule="auto" w:before="47"/>
        <w:ind w:left="100" w:right="2970" w:hanging="1"/>
      </w:pPr>
      <w:r>
        <w:rPr/>
        <w:t>scale）结果为5分或5分以下，且已经持续使用呼吸机及其他生命维持系统96小时以上。因酗酒或药物滥用导致的深度昏迷不在保障范围内。</w:t>
      </w:r>
    </w:p>
    <w:p>
      <w:pPr>
        <w:pStyle w:val="BodyText"/>
        <w:spacing w:before="77"/>
        <w:ind w:left="100"/>
      </w:pPr>
      <w:r>
        <w:rPr/>
        <w:t>13）双耳失聪 －须三岁后申请理赔</w:t>
      </w:r>
    </w:p>
    <w:p>
      <w:pPr>
        <w:pStyle w:val="BodyText"/>
        <w:spacing w:line="288" w:lineRule="auto" w:before="42"/>
        <w:ind w:left="100" w:right="99"/>
      </w:pPr>
      <w:r>
        <w:rPr>
          <w:spacing w:val="-5"/>
        </w:rPr>
        <w:t>指因疾病或意外伤害导致双耳听力永久不可逆性丧失，在</w:t>
      </w:r>
      <w:r>
        <w:rPr/>
        <w:t>500</w:t>
      </w:r>
      <w:r>
        <w:rPr>
          <w:spacing w:val="-2"/>
        </w:rPr>
        <w:t>赫兹、</w:t>
      </w:r>
      <w:r>
        <w:rPr/>
        <w:t>1000</w:t>
      </w:r>
      <w:r>
        <w:rPr>
          <w:spacing w:val="-2"/>
        </w:rPr>
        <w:t>赫兹和</w:t>
      </w:r>
      <w:r>
        <w:rPr>
          <w:spacing w:val="-3"/>
        </w:rPr>
        <w:t>2000</w:t>
      </w:r>
      <w:r>
        <w:rPr>
          <w:spacing w:val="-5"/>
        </w:rPr>
        <w:t>赫兹语音频率下，平均听阈大于</w:t>
      </w:r>
      <w:r>
        <w:rPr>
          <w:spacing w:val="-3"/>
        </w:rPr>
        <w:t>90</w:t>
      </w:r>
      <w:r>
        <w:rPr>
          <w:spacing w:val="-5"/>
        </w:rPr>
        <w:t>分贝， 且经纯音听力测试、声导抗检测或听觉诱发电位检测等证实。</w:t>
      </w:r>
    </w:p>
    <w:p>
      <w:pPr>
        <w:pStyle w:val="BodyText"/>
        <w:spacing w:before="1"/>
        <w:rPr>
          <w:sz w:val="22"/>
        </w:rPr>
      </w:pPr>
    </w:p>
    <w:p>
      <w:pPr>
        <w:pStyle w:val="BodyText"/>
        <w:spacing w:before="1"/>
        <w:ind w:left="100"/>
        <w:jc w:val="both"/>
      </w:pPr>
      <w:r>
        <w:rPr/>
        <w:t>被保险人申请理赔时年龄必须在三岁以上，并且提供理赔当时的听力丧失诊断及检查证明和资料。</w:t>
      </w:r>
    </w:p>
    <w:p>
      <w:pPr>
        <w:pStyle w:val="BodyText"/>
        <w:spacing w:before="12"/>
        <w:rPr>
          <w:sz w:val="24"/>
        </w:rPr>
      </w:pPr>
    </w:p>
    <w:p>
      <w:pPr>
        <w:pStyle w:val="BodyText"/>
        <w:ind w:left="100"/>
        <w:jc w:val="both"/>
      </w:pPr>
      <w:r>
        <w:rPr/>
        <w:t>14）双目失明 －须三岁后申请理赔</w:t>
      </w:r>
    </w:p>
    <w:p>
      <w:pPr>
        <w:pStyle w:val="BodyText"/>
        <w:spacing w:before="42"/>
        <w:ind w:left="100"/>
        <w:jc w:val="both"/>
      </w:pPr>
      <w:r>
        <w:rPr/>
        <w:t>指因疾病或意外伤害导致双眼视力永久不可逆性丧失，双眼中较好眼须满足下列至少一项条件：</w:t>
      </w:r>
    </w:p>
    <w:p>
      <w:pPr>
        <w:pStyle w:val="BodyText"/>
        <w:spacing w:before="11"/>
        <w:rPr>
          <w:sz w:val="24"/>
        </w:rPr>
      </w:pPr>
    </w:p>
    <w:p>
      <w:pPr>
        <w:pStyle w:val="BodyText"/>
        <w:ind w:left="100"/>
        <w:jc w:val="both"/>
      </w:pPr>
      <w:r>
        <w:rPr/>
        <w:t>（1）眼球缺失或摘除；</w:t>
      </w:r>
    </w:p>
    <w:p>
      <w:pPr>
        <w:pStyle w:val="BodyText"/>
        <w:spacing w:before="47"/>
        <w:ind w:left="100"/>
        <w:jc w:val="both"/>
      </w:pPr>
      <w:r>
        <w:rPr/>
        <w:t>（2）矫正视力低于0.02（采用国际标准视力表，如果使用其他视力表应进行换算）；</w:t>
      </w:r>
    </w:p>
    <w:p>
      <w:pPr>
        <w:pStyle w:val="BodyText"/>
        <w:spacing w:before="42"/>
        <w:ind w:left="100"/>
        <w:jc w:val="both"/>
      </w:pPr>
      <w:r>
        <w:rPr/>
        <w:t>（3）视野半径小于5 度。</w:t>
      </w:r>
    </w:p>
    <w:p>
      <w:pPr>
        <w:pStyle w:val="BodyText"/>
        <w:rPr>
          <w:sz w:val="20"/>
        </w:rPr>
      </w:pPr>
    </w:p>
    <w:p>
      <w:pPr>
        <w:pStyle w:val="BodyText"/>
        <w:spacing w:before="12"/>
        <w:rPr>
          <w:sz w:val="14"/>
        </w:rPr>
      </w:pPr>
    </w:p>
    <w:p>
      <w:pPr>
        <w:pStyle w:val="Heading2"/>
        <w:ind w:left="100"/>
      </w:pPr>
      <w:r>
        <w:rPr>
          <w:rFonts w:ascii="宋体" w:eastAsia="宋体" w:hint="eastAsia"/>
        </w:rPr>
        <w:t>条款编号</w:t>
      </w:r>
      <w:r>
        <w:rPr/>
        <w:t>: L2080-01</w:t>
      </w:r>
    </w:p>
    <w:p>
      <w:pPr>
        <w:spacing w:after="0"/>
        <w:sectPr>
          <w:pgSz w:w="11910" w:h="16840"/>
          <w:pgMar w:top="1000" w:bottom="280" w:left="980" w:right="920"/>
        </w:sectPr>
      </w:pPr>
    </w:p>
    <w:p>
      <w:pPr>
        <w:pStyle w:val="BodyText"/>
        <w:spacing w:before="32"/>
        <w:ind w:left="100"/>
      </w:pPr>
      <w:r>
        <w:rPr/>
        <w:pict>
          <v:group style="position:absolute;margin-left:.119203pt;margin-top:0pt;width:595.3pt;height:833.2pt;mso-position-horizontal-relative:page;mso-position-vertical-relative:page;z-index:-2656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被保险人申请理赔时年龄必须在三岁以上，并且提供理赔当时的视力丧失诊断及检查证明和资料。</w:t>
      </w:r>
    </w:p>
    <w:p>
      <w:pPr>
        <w:pStyle w:val="BodyText"/>
        <w:spacing w:before="11"/>
        <w:rPr>
          <w:sz w:val="24"/>
        </w:rPr>
      </w:pPr>
    </w:p>
    <w:p>
      <w:pPr>
        <w:pStyle w:val="BodyText"/>
        <w:ind w:left="100"/>
      </w:pPr>
      <w:r>
        <w:rPr/>
        <w:t>15）瘫痪</w:t>
      </w:r>
    </w:p>
    <w:p>
      <w:pPr>
        <w:pStyle w:val="BodyText"/>
        <w:spacing w:line="288" w:lineRule="auto" w:before="42"/>
        <w:ind w:left="100" w:right="117"/>
      </w:pPr>
      <w:r>
        <w:rPr>
          <w:spacing w:val="-7"/>
        </w:rPr>
        <w:t>指因疾病或意外伤害导致两肢或两肢以上肢体机能永久完全丧失。肢体机能永久完全丧失，指疾病确诊</w:t>
      </w:r>
      <w:r>
        <w:rPr/>
        <w:t>180</w:t>
      </w:r>
      <w:r>
        <w:rPr>
          <w:spacing w:val="-5"/>
        </w:rPr>
        <w:t>天后或意外伤害发生180 天后，每肢三大关节中的两大关节仍然完全僵硬，或不能随意识活动。</w:t>
      </w:r>
    </w:p>
    <w:p>
      <w:pPr>
        <w:pStyle w:val="BodyText"/>
        <w:spacing w:before="2"/>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rPr>
          <w:sz w:val="24"/>
        </w:rPr>
      </w:pPr>
    </w:p>
    <w:p>
      <w:pPr>
        <w:pStyle w:val="BodyText"/>
        <w:ind w:left="100"/>
      </w:pPr>
      <w:r>
        <w:rPr/>
        <w:t>17）严重阿尔茨海默病</w:t>
      </w:r>
    </w:p>
    <w:p>
      <w:pPr>
        <w:pStyle w:val="BodyText"/>
        <w:spacing w:line="285" w:lineRule="auto" w:before="47"/>
        <w:ind w:left="100" w:right="14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5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3"/>
        <w:rPr>
          <w:sz w:val="22"/>
        </w:rPr>
      </w:pPr>
    </w:p>
    <w:p>
      <w:pPr>
        <w:pStyle w:val="BodyText"/>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11"/>
        <w:rPr>
          <w:sz w:val="24"/>
        </w:rPr>
      </w:pPr>
    </w:p>
    <w:p>
      <w:pPr>
        <w:pStyle w:val="BodyText"/>
        <w:ind w:left="100"/>
      </w:pPr>
      <w:r>
        <w:rPr/>
        <w:t>（1）药物治疗无法控制病情；</w:t>
      </w:r>
    </w:p>
    <w:p>
      <w:pPr>
        <w:pStyle w:val="BodyText"/>
        <w:spacing w:line="571" w:lineRule="auto" w:before="42"/>
        <w:ind w:left="100" w:right="2756"/>
      </w:pPr>
      <w:r>
        <w:rPr/>
        <w:t>（2）</w:t>
      </w:r>
      <w:r>
        <w:rPr>
          <w:spacing w:val="-5"/>
        </w:rPr>
        <w:t>自主生活能力完全丧失，无法独立完成六项基本日常生活活动中的三项或三项以上。继发性帕金森综合征不在保障范围内。</w:t>
      </w:r>
    </w:p>
    <w:p>
      <w:pPr>
        <w:pStyle w:val="BodyText"/>
        <w:spacing w:before="77"/>
        <w:ind w:left="100"/>
      </w:pPr>
      <w:r>
        <w:rPr/>
        <w:t>20）严重Ⅲ度烧伤</w:t>
      </w:r>
    </w:p>
    <w:p>
      <w:pPr>
        <w:pStyle w:val="BodyText"/>
        <w:spacing w:before="47"/>
        <w:ind w:left="100"/>
      </w:pPr>
      <w:r>
        <w:rPr/>
        <w:t>指烧伤程度为Ⅲ度，且Ⅲ度烧伤的面积达到全身体表面积的20%或20%以上。体表面积根据《中国新九分法》计算。</w:t>
      </w:r>
    </w:p>
    <w:p>
      <w:pPr>
        <w:pStyle w:val="BodyText"/>
        <w:spacing w:before="11"/>
        <w:rPr>
          <w:sz w:val="24"/>
        </w:rPr>
      </w:pPr>
    </w:p>
    <w:p>
      <w:pPr>
        <w:pStyle w:val="BodyText"/>
        <w:ind w:left="100"/>
      </w:pPr>
      <w:r>
        <w:rPr/>
        <w:t>21）严重原发性肺动脉高压</w:t>
      </w:r>
    </w:p>
    <w:p>
      <w:pPr>
        <w:pStyle w:val="BodyText"/>
        <w:spacing w:line="288" w:lineRule="auto" w:before="42"/>
        <w:ind w:left="100" w:right="149"/>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2"/>
        <w:rPr>
          <w:sz w:val="22"/>
        </w:rPr>
      </w:pPr>
    </w:p>
    <w:p>
      <w:pPr>
        <w:pStyle w:val="BodyText"/>
        <w:ind w:left="100"/>
      </w:pPr>
      <w:r>
        <w:rPr/>
        <w:t>22）严重运动神经元病</w:t>
      </w:r>
    </w:p>
    <w:p>
      <w:pPr>
        <w:pStyle w:val="BodyText"/>
        <w:spacing w:line="288" w:lineRule="auto" w:before="42"/>
        <w:ind w:left="100" w:right="14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
        <w:rPr>
          <w:sz w:val="22"/>
        </w:rPr>
      </w:pPr>
    </w:p>
    <w:p>
      <w:pPr>
        <w:pStyle w:val="BodyText"/>
        <w:ind w:left="100"/>
      </w:pPr>
      <w:r>
        <w:rPr/>
        <w:t>23）语言能力丧失 －须三岁后申请理赔</w:t>
      </w:r>
    </w:p>
    <w:p>
      <w:pPr>
        <w:pStyle w:val="BodyText"/>
        <w:spacing w:line="288" w:lineRule="auto" w:before="42"/>
        <w:ind w:left="100" w:right="149"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
        <w:rPr>
          <w:sz w:val="22"/>
        </w:rPr>
      </w:pPr>
    </w:p>
    <w:p>
      <w:pPr>
        <w:pStyle w:val="BodyText"/>
        <w:spacing w:before="1"/>
        <w:ind w:left="100"/>
      </w:pPr>
      <w:r>
        <w:rPr/>
        <w:t>精神心理因素所致的语言能力丧失不在保障范围内。</w:t>
      </w:r>
    </w:p>
    <w:p>
      <w:pPr>
        <w:pStyle w:val="BodyText"/>
        <w:rPr>
          <w:sz w:val="20"/>
        </w:rPr>
      </w:pPr>
    </w:p>
    <w:p>
      <w:pPr>
        <w:pStyle w:val="BodyText"/>
        <w:rPr>
          <w:sz w:val="20"/>
        </w:rPr>
      </w:pPr>
    </w:p>
    <w:p>
      <w:pPr>
        <w:pStyle w:val="BodyText"/>
        <w:spacing w:before="3"/>
        <w:rPr>
          <w:sz w:val="16"/>
        </w:rPr>
      </w:pPr>
    </w:p>
    <w:p>
      <w:pPr>
        <w:pStyle w:val="Heading2"/>
        <w:ind w:left="100"/>
      </w:pPr>
      <w:r>
        <w:rPr>
          <w:rFonts w:ascii="宋体" w:eastAsia="宋体" w:hint="eastAsia"/>
        </w:rPr>
        <w:t>条款编号</w:t>
      </w:r>
      <w:r>
        <w:rPr/>
        <w:t>: L2080-01</w:t>
      </w:r>
    </w:p>
    <w:p>
      <w:pPr>
        <w:spacing w:after="0"/>
        <w:sectPr>
          <w:pgSz w:w="11910" w:h="16840"/>
          <w:pgMar w:top="1280" w:bottom="280" w:left="980" w:right="960"/>
        </w:sectPr>
      </w:pPr>
    </w:p>
    <w:p>
      <w:pPr>
        <w:pStyle w:val="BodyText"/>
        <w:spacing w:before="29"/>
        <w:ind w:left="120"/>
      </w:pPr>
      <w:r>
        <w:rPr/>
        <w:pict>
          <v:group style="position:absolute;margin-left:.119203pt;margin-top:0pt;width:595.3pt;height:833.2pt;mso-position-horizontal-relative:page;mso-position-vertical-relative:page;z-index:-2653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被保险人申请理赔时年龄必须在三岁以上，并且提供理赔当时的语言能力丧失诊断及检查证明和资料。</w:t>
      </w:r>
    </w:p>
    <w:p>
      <w:pPr>
        <w:pStyle w:val="BodyText"/>
        <w:spacing w:before="12"/>
        <w:rPr>
          <w:sz w:val="24"/>
        </w:rPr>
      </w:pPr>
    </w:p>
    <w:p>
      <w:pPr>
        <w:pStyle w:val="BodyText"/>
        <w:ind w:left="119"/>
      </w:pPr>
      <w:r>
        <w:rPr/>
        <w:t>24）重型再生障碍性贫血</w:t>
      </w:r>
    </w:p>
    <w:p>
      <w:pPr>
        <w:pStyle w:val="BodyText"/>
        <w:spacing w:before="47"/>
        <w:ind w:left="119"/>
      </w:pPr>
      <w:r>
        <w:rPr/>
        <w:t>指因骨髓造血功能慢性持续性衰竭导致的贫血、中性粒细胞减少及血小板减少。须满足下列全部条件：</w:t>
      </w:r>
    </w:p>
    <w:p>
      <w:pPr>
        <w:pStyle w:val="BodyText"/>
        <w:spacing w:before="11"/>
        <w:rPr>
          <w:sz w:val="24"/>
        </w:rPr>
      </w:pPr>
    </w:p>
    <w:p>
      <w:pPr>
        <w:pStyle w:val="BodyText"/>
        <w:ind w:left="119"/>
      </w:pPr>
      <w:r>
        <w:rPr/>
        <w:t>（1）骨髓穿刺检查或骨髓活检结果支持诊断；</w:t>
      </w:r>
    </w:p>
    <w:p>
      <w:pPr>
        <w:pStyle w:val="BodyText"/>
        <w:spacing w:before="42"/>
        <w:ind w:left="119"/>
      </w:pPr>
      <w:r>
        <w:rPr/>
        <w:t>（2）外周血象须具备以下三项条件：</w:t>
      </w:r>
    </w:p>
    <w:p>
      <w:pPr>
        <w:pStyle w:val="BodyText"/>
        <w:spacing w:before="47"/>
        <w:ind w:left="571"/>
      </w:pPr>
      <w:r>
        <w:rPr/>
        <w:t>① 中性粒细胞绝对值≤0.5×10</w:t>
      </w:r>
      <w:r>
        <w:rPr>
          <w:position w:val="9"/>
          <w:sz w:val="9"/>
        </w:rPr>
        <w:t>9</w:t>
      </w:r>
      <w:r>
        <w:rPr/>
        <w:t>/L；</w:t>
      </w:r>
    </w:p>
    <w:p>
      <w:pPr>
        <w:pStyle w:val="BodyText"/>
        <w:spacing w:before="42"/>
        <w:ind w:left="571"/>
      </w:pPr>
      <w:r>
        <w:rPr/>
        <w:t>② 网织红细胞＜1%；</w:t>
      </w:r>
    </w:p>
    <w:p>
      <w:pPr>
        <w:pStyle w:val="BodyText"/>
        <w:spacing w:before="47"/>
        <w:ind w:left="571"/>
      </w:pPr>
      <w:r>
        <w:rPr/>
        <w:t>③ 血小板绝对值≤20×10</w:t>
      </w:r>
      <w:r>
        <w:rPr>
          <w:position w:val="9"/>
          <w:sz w:val="9"/>
        </w:rPr>
        <w:t>9</w:t>
      </w:r>
      <w:r>
        <w:rPr/>
        <w:t>/L。</w:t>
      </w:r>
    </w:p>
    <w:p>
      <w:pPr>
        <w:pStyle w:val="BodyText"/>
        <w:spacing w:before="11"/>
        <w:rPr>
          <w:sz w:val="24"/>
        </w:rPr>
      </w:pPr>
    </w:p>
    <w:p>
      <w:pPr>
        <w:pStyle w:val="BodyText"/>
        <w:ind w:left="120"/>
      </w:pPr>
      <w:r>
        <w:rPr/>
        <w:t>25）主动脉手术</w:t>
      </w:r>
    </w:p>
    <w:p>
      <w:pPr>
        <w:pStyle w:val="BodyText"/>
        <w:spacing w:line="288" w:lineRule="auto" w:before="42"/>
        <w:ind w:left="120" w:right="22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2"/>
        <w:rPr>
          <w:sz w:val="22"/>
        </w:rPr>
      </w:pPr>
    </w:p>
    <w:p>
      <w:pPr>
        <w:pStyle w:val="BodyText"/>
        <w:ind w:left="120"/>
      </w:pPr>
      <w:r>
        <w:rPr/>
        <w:t>动脉内血管成形术不在保障范围内。</w:t>
      </w:r>
    </w:p>
    <w:p>
      <w:pPr>
        <w:pStyle w:val="BodyText"/>
        <w:spacing w:before="11"/>
        <w:rPr>
          <w:sz w:val="24"/>
        </w:rPr>
      </w:pPr>
    </w:p>
    <w:p>
      <w:pPr>
        <w:spacing w:before="1"/>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12"/>
        <w:rPr>
          <w:b/>
          <w:sz w:val="24"/>
        </w:rPr>
      </w:pPr>
    </w:p>
    <w:p>
      <w:pPr>
        <w:pStyle w:val="BodyText"/>
        <w:ind w:left="120"/>
      </w:pPr>
      <w:r>
        <w:rPr/>
        <w:t>26）植物人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27）I型糖尿病或胰岛素依赖型糖尿病</w:t>
      </w:r>
    </w:p>
    <w:p>
      <w:pPr>
        <w:pStyle w:val="BodyText"/>
        <w:spacing w:line="283" w:lineRule="auto" w:before="47"/>
        <w:ind w:left="120" w:right="22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3" w:lineRule="auto" w:before="47"/>
        <w:ind w:left="120" w:right="109"/>
      </w:pPr>
      <w:r>
        <w:rPr>
          <w:spacing w:val="-5"/>
        </w:rPr>
        <w:t>指伴有致命性电解质紊乱的急性暴发性溃疡性结肠炎，病变累及全结肠，表现为严重的血便和系统性症状体征，治疗通常采 </w:t>
      </w:r>
      <w:r>
        <w:rPr>
          <w:spacing w:val="-9"/>
        </w:rPr>
        <w:t>取全结肠切除和回肠造瘘术。溃疡性结肠炎必须根据组织病理学特点诊断，并且被保险人已经接受了结肠切除和回肠造瘘术。</w:t>
      </w:r>
    </w:p>
    <w:p>
      <w:pPr>
        <w:pStyle w:val="BodyText"/>
        <w:spacing w:before="5"/>
        <w:rPr>
          <w:sz w:val="22"/>
        </w:rPr>
      </w:pPr>
    </w:p>
    <w:p>
      <w:pPr>
        <w:pStyle w:val="BodyText"/>
        <w:ind w:left="120"/>
      </w:pPr>
      <w:r>
        <w:rPr/>
        <w:t>29）严重心肌病</w:t>
      </w:r>
    </w:p>
    <w:p>
      <w:pPr>
        <w:pStyle w:val="BodyText"/>
        <w:spacing w:line="283" w:lineRule="auto" w:before="47"/>
        <w:ind w:left="120" w:right="229" w:hanging="1"/>
      </w:pPr>
      <w:r>
        <w:rPr>
          <w:spacing w:val="-5"/>
        </w:rPr>
        <w:t>指因原发性心肌病导致慢性心功能损害造成永久不可逆性的心功能衰竭。心功能衰竭程度达到纽约心脏病学会的心功能分级</w:t>
      </w:r>
      <w:r>
        <w:rPr>
          <w:spacing w:val="-3"/>
        </w:rPr>
        <w:t>标准之心功能IV</w:t>
      </w:r>
      <w:r>
        <w:rPr>
          <w:spacing w:val="-5"/>
        </w:rPr>
        <w:t>级。被保险人永久不可逆性的体力活动能力受限，不能从事任何体力活动。</w:t>
      </w:r>
    </w:p>
    <w:p>
      <w:pPr>
        <w:pStyle w:val="BodyText"/>
        <w:spacing w:before="5"/>
        <w:rPr>
          <w:sz w:val="22"/>
        </w:rPr>
      </w:pPr>
    </w:p>
    <w:p>
      <w:pPr>
        <w:pStyle w:val="BodyText"/>
        <w:ind w:left="120"/>
      </w:pPr>
      <w:r>
        <w:rPr/>
        <w:t>30）多样性硬化</w:t>
      </w:r>
    </w:p>
    <w:p>
      <w:pPr>
        <w:pStyle w:val="BodyText"/>
        <w:spacing w:line="283" w:lineRule="auto" w:before="47"/>
        <w:ind w:left="120" w:right="230"/>
      </w:pPr>
      <w:r>
        <w:rPr>
          <w:spacing w:val="-5"/>
        </w:rPr>
        <w:t>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spacing w:before="47"/>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ind w:left="120"/>
      </w:pPr>
      <w:r>
        <w:rPr/>
        <w:t>31）严重急性坏死性胰腺炎</w:t>
      </w:r>
    </w:p>
    <w:p>
      <w:pPr>
        <w:pStyle w:val="BodyText"/>
        <w:spacing w:line="283" w:lineRule="auto" w:before="47"/>
        <w:ind w:left="120" w:right="22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7"/>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rPr>
          <w:sz w:val="20"/>
        </w:rPr>
      </w:pPr>
    </w:p>
    <w:p>
      <w:pPr>
        <w:pStyle w:val="BodyText"/>
        <w:spacing w:before="12"/>
        <w:rPr>
          <w:sz w:val="14"/>
        </w:rPr>
      </w:pPr>
    </w:p>
    <w:p>
      <w:pPr>
        <w:pStyle w:val="Heading2"/>
        <w:spacing w:before="47"/>
      </w:pPr>
      <w:r>
        <w:rPr>
          <w:rFonts w:ascii="宋体" w:eastAsia="宋体" w:hint="eastAsia"/>
        </w:rPr>
        <w:t>条款编号</w:t>
      </w:r>
      <w:r>
        <w:rPr/>
        <w:t>: L2080-01</w:t>
      </w:r>
    </w:p>
    <w:p>
      <w:pPr>
        <w:spacing w:after="0"/>
        <w:sectPr>
          <w:pgSz w:w="11910" w:h="16840"/>
          <w:pgMar w:top="100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2651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（2）肌肉活检的病理学诊断符合肌营养不良症的肌肉细胞变性、坏死等阳性改变；</w:t>
      </w:r>
    </w:p>
    <w:p>
      <w:pPr>
        <w:pStyle w:val="BodyText"/>
        <w:spacing w:before="47"/>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34）系统性红斑狼疮 － III型或以上狼疮性肾炎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8" w:lineRule="auto" w:before="42"/>
        <w:ind w:left="120"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1" w:hRule="atLeast"/>
        </w:trPr>
        <w:tc>
          <w:tcPr>
            <w:tcW w:w="4457" w:type="dxa"/>
          </w:tcPr>
          <w:p>
            <w:pPr>
              <w:pStyle w:val="TableParagraph"/>
              <w:spacing w:line="182" w:lineRule="exact"/>
              <w:ind w:left="200" w:right="0"/>
              <w:jc w:val="left"/>
              <w:rPr>
                <w:sz w:val="18"/>
              </w:rPr>
            </w:pPr>
            <w:r>
              <w:rPr>
                <w:sz w:val="18"/>
              </w:rPr>
              <w:t>I 型 – 轻微病变型狼疮性肾小球肾炎</w:t>
            </w:r>
          </w:p>
        </w:tc>
      </w:tr>
      <w:tr>
        <w:trPr>
          <w:trHeight w:val="340" w:hRule="atLeast"/>
        </w:trPr>
        <w:tc>
          <w:tcPr>
            <w:tcW w:w="4457" w:type="dxa"/>
          </w:tcPr>
          <w:p>
            <w:pPr>
              <w:pStyle w:val="TableParagraph"/>
              <w:spacing w:line="240" w:lineRule="auto" w:before="25"/>
              <w:ind w:left="200" w:right="0"/>
              <w:jc w:val="left"/>
              <w:rPr>
                <w:sz w:val="18"/>
              </w:rPr>
            </w:pPr>
            <w:r>
              <w:rPr>
                <w:sz w:val="18"/>
              </w:rPr>
              <w:t>II型 –  系膜病变型狼疮性肾小球肾炎</w:t>
            </w:r>
          </w:p>
        </w:tc>
      </w:tr>
      <w:tr>
        <w:trPr>
          <w:trHeight w:val="343" w:hRule="atLeast"/>
        </w:trPr>
        <w:tc>
          <w:tcPr>
            <w:tcW w:w="4457" w:type="dxa"/>
          </w:tcPr>
          <w:p>
            <w:pPr>
              <w:pStyle w:val="TableParagraph"/>
              <w:spacing w:line="240" w:lineRule="auto" w:before="25"/>
              <w:ind w:left="200" w:right="0"/>
              <w:jc w:val="left"/>
              <w:rPr>
                <w:sz w:val="18"/>
              </w:rPr>
            </w:pPr>
            <w:r>
              <w:rPr>
                <w:sz w:val="18"/>
              </w:rPr>
              <w:t>III型 – 节段增生型狼疮性肾小球肾炎</w:t>
            </w:r>
          </w:p>
        </w:tc>
      </w:tr>
      <w:tr>
        <w:trPr>
          <w:trHeight w:val="343" w:hRule="atLeast"/>
        </w:trPr>
        <w:tc>
          <w:tcPr>
            <w:tcW w:w="4457" w:type="dxa"/>
          </w:tcPr>
          <w:p>
            <w:pPr>
              <w:pStyle w:val="TableParagraph"/>
              <w:spacing w:line="240" w:lineRule="auto" w:before="28"/>
              <w:ind w:left="200" w:right="0"/>
              <w:jc w:val="left"/>
              <w:rPr>
                <w:sz w:val="18"/>
              </w:rPr>
            </w:pPr>
            <w:r>
              <w:rPr>
                <w:sz w:val="18"/>
              </w:rPr>
              <w:t>IV型 – 弥漫增殖型狼疮性肾小球肾炎</w:t>
            </w:r>
          </w:p>
        </w:tc>
      </w:tr>
      <w:tr>
        <w:trPr>
          <w:trHeight w:val="340" w:hRule="atLeast"/>
        </w:trPr>
        <w:tc>
          <w:tcPr>
            <w:tcW w:w="4457" w:type="dxa"/>
          </w:tcPr>
          <w:p>
            <w:pPr>
              <w:pStyle w:val="TableParagraph"/>
              <w:spacing w:line="240" w:lineRule="auto" w:before="25"/>
              <w:ind w:left="200" w:right="0"/>
              <w:jc w:val="left"/>
              <w:rPr>
                <w:sz w:val="18"/>
              </w:rPr>
            </w:pPr>
            <w:r>
              <w:rPr>
                <w:sz w:val="18"/>
              </w:rPr>
              <w:t>V型 – 广泛的肾小球基底膜增厚狼疮性肾小球肾炎</w:t>
            </w:r>
          </w:p>
        </w:tc>
      </w:tr>
      <w:tr>
        <w:trPr>
          <w:trHeight w:val="261" w:hRule="atLeast"/>
        </w:trPr>
        <w:tc>
          <w:tcPr>
            <w:tcW w:w="4457" w:type="dxa"/>
          </w:tcPr>
          <w:p>
            <w:pPr>
              <w:pStyle w:val="TableParagraph"/>
              <w:spacing w:line="216" w:lineRule="exact" w:before="25"/>
              <w:ind w:left="200" w:right="0"/>
              <w:jc w:val="left"/>
              <w:rPr>
                <w:sz w:val="18"/>
              </w:rPr>
            </w:pPr>
            <w:r>
              <w:rPr>
                <w:sz w:val="18"/>
              </w:rPr>
              <w:t>VI型 – 肾小球硬化型狼疮性肾小球肾炎</w:t>
            </w:r>
          </w:p>
        </w:tc>
      </w:tr>
    </w:tbl>
    <w:p>
      <w:pPr>
        <w:pStyle w:val="BodyText"/>
      </w:pPr>
    </w:p>
    <w:p>
      <w:pPr>
        <w:pStyle w:val="BodyText"/>
        <w:spacing w:before="124"/>
        <w:ind w:left="121"/>
      </w:pPr>
      <w:r>
        <w:rPr/>
        <w:t>五、遗传性疾病</w:t>
      </w:r>
    </w:p>
    <w:p>
      <w:pPr>
        <w:pStyle w:val="BodyText"/>
        <w:spacing w:line="288" w:lineRule="auto" w:before="43"/>
        <w:ind w:left="121" w:right="108"/>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2"/>
        <w:rPr>
          <w:sz w:val="22"/>
        </w:rPr>
      </w:pPr>
    </w:p>
    <w:p>
      <w:pPr>
        <w:pStyle w:val="BodyText"/>
        <w:ind w:left="121"/>
      </w:pPr>
      <w:r>
        <w:rPr/>
        <w:t>六、先天性畸形、变形或染色体异常</w:t>
      </w:r>
    </w:p>
    <w:p>
      <w:pPr>
        <w:pStyle w:val="BodyText"/>
        <w:spacing w:line="288" w:lineRule="auto" w:before="42"/>
        <w:ind w:left="121" w:right="108"/>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1"/>
        <w:rPr>
          <w:sz w:val="22"/>
        </w:rPr>
      </w:pPr>
    </w:p>
    <w:p>
      <w:pPr>
        <w:pStyle w:val="BodyText"/>
        <w:ind w:left="121"/>
      </w:pPr>
      <w:r>
        <w:rPr/>
        <w:t>七、感染艾滋病病毒或患艾滋病：</w:t>
      </w:r>
    </w:p>
    <w:p>
      <w:pPr>
        <w:pStyle w:val="BodyText"/>
        <w:spacing w:before="42"/>
        <w:ind w:left="121"/>
      </w:pPr>
      <w:r>
        <w:rPr/>
        <w:t>艾滋病病毒指人类免疫缺陷病毒，英文缩写为HIV。艾滋病指人类免疫缺陷病毒引起的获得性免疫缺陷综合征，英文缩写为</w:t>
      </w:r>
    </w:p>
    <w:p>
      <w:pPr>
        <w:pStyle w:val="BodyText"/>
        <w:spacing w:line="283" w:lineRule="auto" w:before="47"/>
        <w:ind w:left="121" w:right="108"/>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ind w:left="121"/>
      </w:pPr>
      <w:r>
        <w:rPr/>
        <w:t>八、永久不可逆</w:t>
      </w:r>
    </w:p>
    <w:p>
      <w:pPr>
        <w:pStyle w:val="BodyText"/>
        <w:spacing w:before="47"/>
        <w:ind w:left="121"/>
      </w:pPr>
      <w:r>
        <w:rPr/>
        <w:t>指自疾病确诊或意外伤害发生之日起，经过积极治疗180天后，仍无法通过现有医疗手段恢复。</w:t>
      </w:r>
    </w:p>
    <w:p>
      <w:pPr>
        <w:pStyle w:val="BodyText"/>
        <w:spacing w:before="11"/>
        <w:rPr>
          <w:sz w:val="24"/>
        </w:rPr>
      </w:pPr>
    </w:p>
    <w:p>
      <w:pPr>
        <w:pStyle w:val="BodyText"/>
        <w:ind w:left="121"/>
      </w:pPr>
      <w:r>
        <w:rPr/>
        <w:t>九、肢体机能完全丧失</w:t>
      </w:r>
    </w:p>
    <w:p>
      <w:pPr>
        <w:pStyle w:val="BodyText"/>
        <w:spacing w:before="42"/>
        <w:ind w:left="121"/>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21"/>
      </w:pPr>
      <w:r>
        <w:rPr/>
        <w:t>十、语言能力或咀嚼吞咽能力完全丧失</w:t>
      </w:r>
    </w:p>
    <w:p>
      <w:pPr>
        <w:pStyle w:val="BodyText"/>
        <w:spacing w:line="283" w:lineRule="auto" w:before="47"/>
        <w:ind w:left="121"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21" w:right="108"/>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21"/>
      </w:pPr>
      <w:r>
        <w:rPr/>
        <w:t>十一、六项基本日常生活活动</w:t>
      </w:r>
    </w:p>
    <w:p>
      <w:pPr>
        <w:pStyle w:val="BodyText"/>
        <w:spacing w:before="47"/>
        <w:ind w:left="121"/>
      </w:pPr>
      <w:r>
        <w:rPr/>
        <w:t>（1）穿衣：自己能够穿衣及脱衣；</w:t>
      </w:r>
    </w:p>
    <w:p>
      <w:pPr>
        <w:pStyle w:val="BodyText"/>
        <w:rPr>
          <w:sz w:val="20"/>
        </w:rPr>
      </w:pPr>
    </w:p>
    <w:p>
      <w:pPr>
        <w:pStyle w:val="BodyText"/>
        <w:spacing w:before="8"/>
        <w:rPr>
          <w:sz w:val="29"/>
        </w:rPr>
      </w:pPr>
    </w:p>
    <w:p>
      <w:pPr>
        <w:pStyle w:val="Heading2"/>
        <w:spacing w:before="47"/>
      </w:pPr>
      <w:r>
        <w:rPr>
          <w:rFonts w:ascii="宋体" w:eastAsia="宋体" w:hint="eastAsia"/>
        </w:rPr>
        <w:t>条款编号</w:t>
      </w:r>
      <w:r>
        <w:rPr/>
        <w:t>: L2080-01</w:t>
      </w:r>
    </w:p>
    <w:p>
      <w:pPr>
        <w:spacing w:after="0"/>
        <w:sectPr>
          <w:pgSz w:w="11910" w:h="16840"/>
          <w:pgMar w:top="1000" w:bottom="280" w:left="960" w:right="1000"/>
        </w:sectPr>
      </w:pPr>
    </w:p>
    <w:p>
      <w:pPr>
        <w:pStyle w:val="BodyText"/>
        <w:spacing w:before="29"/>
        <w:ind w:left="100"/>
      </w:pPr>
      <w:r>
        <w:rPr/>
        <w:pict>
          <v:group style="position:absolute;margin-left:.119203pt;margin-top:0pt;width:595.3pt;height:833.2pt;mso-position-horizontal-relative:page;mso-position-vertical-relative:page;z-index:-2648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spacing w:before="1"/>
        <w:ind w:left="4039" w:right="3349"/>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Heading2"/>
        <w:ind w:left="100"/>
      </w:pPr>
      <w:r>
        <w:rPr>
          <w:rFonts w:ascii="宋体" w:eastAsia="宋体" w:hint="eastAsia"/>
        </w:rPr>
        <w:t>条款编号</w:t>
      </w:r>
      <w:r>
        <w:rPr/>
        <w:t>: L2080-01</w:t>
      </w:r>
    </w:p>
    <w:p>
      <w:pPr>
        <w:spacing w:after="0"/>
        <w:sectPr>
          <w:pgSz w:w="11910" w:h="16840"/>
          <w:pgMar w:top="1000" w:bottom="280" w:left="980" w:right="1680"/>
        </w:sectPr>
      </w:pPr>
    </w:p>
    <w:p>
      <w:pPr>
        <w:spacing w:before="11"/>
        <w:ind w:left="4053" w:right="3349" w:firstLine="0"/>
        <w:jc w:val="center"/>
        <w:rPr>
          <w:b/>
          <w:sz w:val="20"/>
        </w:rPr>
      </w:pPr>
      <w:r>
        <w:rPr/>
        <w:pict>
          <v:group style="position:absolute;margin-left:.119203pt;margin-top:0pt;width:595.3pt;height:833.2pt;mso-position-horizontal-relative:page;mso-position-vertical-relative:page;z-index:-2646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附：《给付系数表》</w:t>
      </w:r>
    </w:p>
    <w:p>
      <w:pPr>
        <w:pStyle w:val="BodyText"/>
        <w:spacing w:before="3"/>
        <w:rPr>
          <w:b/>
          <w:sz w:val="6"/>
        </w:rPr>
      </w:pPr>
    </w:p>
    <w:tbl>
      <w:tblPr>
        <w:tblW w:w="0" w:type="auto"/>
        <w:jc w:val="left"/>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080"/>
        <w:gridCol w:w="1080"/>
        <w:gridCol w:w="1080"/>
        <w:gridCol w:w="1080"/>
        <w:gridCol w:w="1080"/>
      </w:tblGrid>
      <w:tr>
        <w:trPr>
          <w:trHeight w:val="311" w:hRule="atLeast"/>
        </w:trPr>
        <w:tc>
          <w:tcPr>
            <w:tcW w:w="1080" w:type="dxa"/>
          </w:tcPr>
          <w:p>
            <w:pPr>
              <w:pStyle w:val="TableParagraph"/>
              <w:ind w:left="112" w:right="88"/>
              <w:rPr>
                <w:sz w:val="20"/>
              </w:rPr>
            </w:pPr>
            <w:r>
              <w:rPr>
                <w:sz w:val="20"/>
              </w:rPr>
              <w:t>投保年龄</w:t>
            </w:r>
          </w:p>
        </w:tc>
        <w:tc>
          <w:tcPr>
            <w:tcW w:w="1080" w:type="dxa"/>
          </w:tcPr>
          <w:p>
            <w:pPr>
              <w:pStyle w:val="TableParagraph"/>
              <w:ind w:left="102"/>
              <w:rPr>
                <w:sz w:val="20"/>
              </w:rPr>
            </w:pPr>
            <w:r>
              <w:rPr>
                <w:sz w:val="20"/>
              </w:rPr>
              <w:t>男性</w:t>
            </w:r>
          </w:p>
        </w:tc>
        <w:tc>
          <w:tcPr>
            <w:tcW w:w="1080" w:type="dxa"/>
          </w:tcPr>
          <w:p>
            <w:pPr>
              <w:pStyle w:val="TableParagraph"/>
              <w:ind w:right="325"/>
              <w:jc w:val="right"/>
              <w:rPr>
                <w:sz w:val="20"/>
              </w:rPr>
            </w:pPr>
            <w:r>
              <w:rPr>
                <w:sz w:val="20"/>
              </w:rPr>
              <w:t>女性</w:t>
            </w:r>
          </w:p>
        </w:tc>
        <w:tc>
          <w:tcPr>
            <w:tcW w:w="1080" w:type="dxa"/>
          </w:tcPr>
          <w:p>
            <w:pPr>
              <w:pStyle w:val="TableParagraph"/>
              <w:ind w:left="102"/>
              <w:rPr>
                <w:sz w:val="20"/>
              </w:rPr>
            </w:pPr>
            <w:r>
              <w:rPr>
                <w:sz w:val="20"/>
              </w:rPr>
              <w:t>投保年龄</w:t>
            </w:r>
          </w:p>
        </w:tc>
        <w:tc>
          <w:tcPr>
            <w:tcW w:w="1080" w:type="dxa"/>
          </w:tcPr>
          <w:p>
            <w:pPr>
              <w:pStyle w:val="TableParagraph"/>
              <w:ind w:right="325"/>
              <w:jc w:val="right"/>
              <w:rPr>
                <w:sz w:val="20"/>
              </w:rPr>
            </w:pPr>
            <w:r>
              <w:rPr>
                <w:sz w:val="20"/>
              </w:rPr>
              <w:t>男性</w:t>
            </w:r>
          </w:p>
        </w:tc>
        <w:tc>
          <w:tcPr>
            <w:tcW w:w="1080" w:type="dxa"/>
          </w:tcPr>
          <w:p>
            <w:pPr>
              <w:pStyle w:val="TableParagraph"/>
              <w:ind w:left="102"/>
              <w:rPr>
                <w:sz w:val="20"/>
              </w:rPr>
            </w:pPr>
            <w:r>
              <w:rPr>
                <w:sz w:val="20"/>
              </w:rPr>
              <w:t>女性</w:t>
            </w:r>
          </w:p>
        </w:tc>
      </w:tr>
      <w:tr>
        <w:trPr>
          <w:trHeight w:val="311" w:hRule="atLeast"/>
        </w:trPr>
        <w:tc>
          <w:tcPr>
            <w:tcW w:w="1080" w:type="dxa"/>
          </w:tcPr>
          <w:p>
            <w:pPr>
              <w:pStyle w:val="TableParagraph"/>
              <w:ind w:left="19" w:right="0"/>
              <w:rPr>
                <w:sz w:val="20"/>
              </w:rPr>
            </w:pPr>
            <w:r>
              <w:rPr>
                <w:w w:val="100"/>
                <w:sz w:val="20"/>
              </w:rPr>
              <w:t>0</w:t>
            </w:r>
          </w:p>
        </w:tc>
        <w:tc>
          <w:tcPr>
            <w:tcW w:w="1080" w:type="dxa"/>
          </w:tcPr>
          <w:p>
            <w:pPr>
              <w:pStyle w:val="TableParagraph"/>
              <w:ind w:left="98"/>
              <w:rPr>
                <w:sz w:val="20"/>
              </w:rPr>
            </w:pPr>
            <w:r>
              <w:rPr>
                <w:sz w:val="20"/>
              </w:rPr>
              <w:t>2.59%</w:t>
            </w:r>
          </w:p>
        </w:tc>
        <w:tc>
          <w:tcPr>
            <w:tcW w:w="1080" w:type="dxa"/>
          </w:tcPr>
          <w:p>
            <w:pPr>
              <w:pStyle w:val="TableParagraph"/>
              <w:ind w:right="277"/>
              <w:jc w:val="right"/>
              <w:rPr>
                <w:sz w:val="20"/>
              </w:rPr>
            </w:pPr>
            <w:r>
              <w:rPr>
                <w:sz w:val="20"/>
              </w:rPr>
              <w:t>2.45%</w:t>
            </w:r>
          </w:p>
        </w:tc>
        <w:tc>
          <w:tcPr>
            <w:tcW w:w="1080" w:type="dxa"/>
          </w:tcPr>
          <w:p>
            <w:pPr>
              <w:pStyle w:val="TableParagraph"/>
              <w:ind w:left="96"/>
              <w:rPr>
                <w:sz w:val="20"/>
              </w:rPr>
            </w:pPr>
            <w:r>
              <w:rPr>
                <w:sz w:val="20"/>
              </w:rPr>
              <w:t>26</w:t>
            </w:r>
          </w:p>
        </w:tc>
        <w:tc>
          <w:tcPr>
            <w:tcW w:w="1080" w:type="dxa"/>
          </w:tcPr>
          <w:p>
            <w:pPr>
              <w:pStyle w:val="TableParagraph"/>
              <w:ind w:right="277"/>
              <w:jc w:val="right"/>
              <w:rPr>
                <w:sz w:val="20"/>
              </w:rPr>
            </w:pPr>
            <w:r>
              <w:rPr>
                <w:sz w:val="20"/>
              </w:rPr>
              <w:t>4.17%</w:t>
            </w:r>
          </w:p>
        </w:tc>
        <w:tc>
          <w:tcPr>
            <w:tcW w:w="1080" w:type="dxa"/>
          </w:tcPr>
          <w:p>
            <w:pPr>
              <w:pStyle w:val="TableParagraph"/>
              <w:ind w:left="98"/>
              <w:rPr>
                <w:sz w:val="20"/>
              </w:rPr>
            </w:pPr>
            <w:r>
              <w:rPr>
                <w:sz w:val="20"/>
              </w:rPr>
              <w:t>4.72%</w:t>
            </w:r>
          </w:p>
        </w:tc>
      </w:tr>
      <w:tr>
        <w:trPr>
          <w:trHeight w:val="315" w:hRule="atLeast"/>
        </w:trPr>
        <w:tc>
          <w:tcPr>
            <w:tcW w:w="1080" w:type="dxa"/>
          </w:tcPr>
          <w:p>
            <w:pPr>
              <w:pStyle w:val="TableParagraph"/>
              <w:spacing w:line="234" w:lineRule="exact"/>
              <w:ind w:left="19" w:right="0"/>
              <w:rPr>
                <w:sz w:val="20"/>
              </w:rPr>
            </w:pPr>
            <w:r>
              <w:rPr>
                <w:w w:val="100"/>
                <w:sz w:val="20"/>
              </w:rPr>
              <w:t>1</w:t>
            </w:r>
          </w:p>
        </w:tc>
        <w:tc>
          <w:tcPr>
            <w:tcW w:w="1080" w:type="dxa"/>
          </w:tcPr>
          <w:p>
            <w:pPr>
              <w:pStyle w:val="TableParagraph"/>
              <w:spacing w:line="234" w:lineRule="exact"/>
              <w:ind w:left="98"/>
              <w:rPr>
                <w:sz w:val="20"/>
              </w:rPr>
            </w:pPr>
            <w:r>
              <w:rPr>
                <w:sz w:val="20"/>
              </w:rPr>
              <w:t>2.53%</w:t>
            </w:r>
          </w:p>
        </w:tc>
        <w:tc>
          <w:tcPr>
            <w:tcW w:w="1080" w:type="dxa"/>
          </w:tcPr>
          <w:p>
            <w:pPr>
              <w:pStyle w:val="TableParagraph"/>
              <w:spacing w:line="234" w:lineRule="exact"/>
              <w:ind w:right="277"/>
              <w:jc w:val="right"/>
              <w:rPr>
                <w:sz w:val="20"/>
              </w:rPr>
            </w:pPr>
            <w:r>
              <w:rPr>
                <w:sz w:val="20"/>
              </w:rPr>
              <w:t>2.44%</w:t>
            </w:r>
          </w:p>
        </w:tc>
        <w:tc>
          <w:tcPr>
            <w:tcW w:w="1080" w:type="dxa"/>
          </w:tcPr>
          <w:p>
            <w:pPr>
              <w:pStyle w:val="TableParagraph"/>
              <w:spacing w:line="234" w:lineRule="exact"/>
              <w:ind w:left="96"/>
              <w:rPr>
                <w:sz w:val="20"/>
              </w:rPr>
            </w:pPr>
            <w:r>
              <w:rPr>
                <w:sz w:val="20"/>
              </w:rPr>
              <w:t>27</w:t>
            </w:r>
          </w:p>
        </w:tc>
        <w:tc>
          <w:tcPr>
            <w:tcW w:w="1080" w:type="dxa"/>
          </w:tcPr>
          <w:p>
            <w:pPr>
              <w:pStyle w:val="TableParagraph"/>
              <w:spacing w:line="234" w:lineRule="exact"/>
              <w:ind w:right="277"/>
              <w:jc w:val="right"/>
              <w:rPr>
                <w:sz w:val="20"/>
              </w:rPr>
            </w:pPr>
            <w:r>
              <w:rPr>
                <w:sz w:val="20"/>
              </w:rPr>
              <w:t>4.35%</w:t>
            </w:r>
          </w:p>
        </w:tc>
        <w:tc>
          <w:tcPr>
            <w:tcW w:w="1080" w:type="dxa"/>
          </w:tcPr>
          <w:p>
            <w:pPr>
              <w:pStyle w:val="TableParagraph"/>
              <w:spacing w:line="234" w:lineRule="exact"/>
              <w:ind w:left="98"/>
              <w:rPr>
                <w:sz w:val="20"/>
              </w:rPr>
            </w:pPr>
            <w:r>
              <w:rPr>
                <w:sz w:val="20"/>
              </w:rPr>
              <w:t>4.86%</w:t>
            </w:r>
          </w:p>
        </w:tc>
      </w:tr>
      <w:tr>
        <w:trPr>
          <w:trHeight w:val="311" w:hRule="atLeast"/>
        </w:trPr>
        <w:tc>
          <w:tcPr>
            <w:tcW w:w="1080" w:type="dxa"/>
          </w:tcPr>
          <w:p>
            <w:pPr>
              <w:pStyle w:val="TableParagraph"/>
              <w:ind w:left="19" w:right="0"/>
              <w:rPr>
                <w:sz w:val="20"/>
              </w:rPr>
            </w:pPr>
            <w:r>
              <w:rPr>
                <w:w w:val="100"/>
                <w:sz w:val="20"/>
              </w:rPr>
              <w:t>2</w:t>
            </w:r>
          </w:p>
        </w:tc>
        <w:tc>
          <w:tcPr>
            <w:tcW w:w="1080" w:type="dxa"/>
          </w:tcPr>
          <w:p>
            <w:pPr>
              <w:pStyle w:val="TableParagraph"/>
              <w:ind w:left="98"/>
              <w:rPr>
                <w:sz w:val="20"/>
              </w:rPr>
            </w:pPr>
            <w:r>
              <w:rPr>
                <w:sz w:val="20"/>
              </w:rPr>
              <w:t>2.46%</w:t>
            </w:r>
          </w:p>
        </w:tc>
        <w:tc>
          <w:tcPr>
            <w:tcW w:w="1080" w:type="dxa"/>
          </w:tcPr>
          <w:p>
            <w:pPr>
              <w:pStyle w:val="TableParagraph"/>
              <w:ind w:right="277"/>
              <w:jc w:val="right"/>
              <w:rPr>
                <w:sz w:val="20"/>
              </w:rPr>
            </w:pPr>
            <w:r>
              <w:rPr>
                <w:sz w:val="20"/>
              </w:rPr>
              <w:t>2.43%</w:t>
            </w:r>
          </w:p>
        </w:tc>
        <w:tc>
          <w:tcPr>
            <w:tcW w:w="1080" w:type="dxa"/>
          </w:tcPr>
          <w:p>
            <w:pPr>
              <w:pStyle w:val="TableParagraph"/>
              <w:ind w:left="96"/>
              <w:rPr>
                <w:sz w:val="20"/>
              </w:rPr>
            </w:pPr>
            <w:r>
              <w:rPr>
                <w:sz w:val="20"/>
              </w:rPr>
              <w:t>28</w:t>
            </w:r>
          </w:p>
        </w:tc>
        <w:tc>
          <w:tcPr>
            <w:tcW w:w="1080" w:type="dxa"/>
          </w:tcPr>
          <w:p>
            <w:pPr>
              <w:pStyle w:val="TableParagraph"/>
              <w:ind w:right="277"/>
              <w:jc w:val="right"/>
              <w:rPr>
                <w:sz w:val="20"/>
              </w:rPr>
            </w:pPr>
            <w:r>
              <w:rPr>
                <w:sz w:val="20"/>
              </w:rPr>
              <w:t>4.53%</w:t>
            </w:r>
          </w:p>
        </w:tc>
        <w:tc>
          <w:tcPr>
            <w:tcW w:w="1080" w:type="dxa"/>
          </w:tcPr>
          <w:p>
            <w:pPr>
              <w:pStyle w:val="TableParagraph"/>
              <w:ind w:left="98"/>
              <w:rPr>
                <w:sz w:val="20"/>
              </w:rPr>
            </w:pPr>
            <w:r>
              <w:rPr>
                <w:sz w:val="20"/>
              </w:rPr>
              <w:t>5.00%</w:t>
            </w:r>
          </w:p>
        </w:tc>
      </w:tr>
      <w:tr>
        <w:trPr>
          <w:trHeight w:val="311" w:hRule="atLeast"/>
        </w:trPr>
        <w:tc>
          <w:tcPr>
            <w:tcW w:w="1080" w:type="dxa"/>
          </w:tcPr>
          <w:p>
            <w:pPr>
              <w:pStyle w:val="TableParagraph"/>
              <w:ind w:left="19" w:right="0"/>
              <w:rPr>
                <w:sz w:val="20"/>
              </w:rPr>
            </w:pPr>
            <w:r>
              <w:rPr>
                <w:w w:val="100"/>
                <w:sz w:val="20"/>
              </w:rPr>
              <w:t>3</w:t>
            </w:r>
          </w:p>
        </w:tc>
        <w:tc>
          <w:tcPr>
            <w:tcW w:w="1080" w:type="dxa"/>
          </w:tcPr>
          <w:p>
            <w:pPr>
              <w:pStyle w:val="TableParagraph"/>
              <w:ind w:left="98"/>
              <w:rPr>
                <w:sz w:val="20"/>
              </w:rPr>
            </w:pPr>
            <w:r>
              <w:rPr>
                <w:sz w:val="20"/>
              </w:rPr>
              <w:t>2.44%</w:t>
            </w:r>
          </w:p>
        </w:tc>
        <w:tc>
          <w:tcPr>
            <w:tcW w:w="1080" w:type="dxa"/>
          </w:tcPr>
          <w:p>
            <w:pPr>
              <w:pStyle w:val="TableParagraph"/>
              <w:ind w:right="277"/>
              <w:jc w:val="right"/>
              <w:rPr>
                <w:sz w:val="20"/>
              </w:rPr>
            </w:pPr>
            <w:r>
              <w:rPr>
                <w:sz w:val="20"/>
              </w:rPr>
              <w:t>2.42%</w:t>
            </w:r>
          </w:p>
        </w:tc>
        <w:tc>
          <w:tcPr>
            <w:tcW w:w="1080" w:type="dxa"/>
          </w:tcPr>
          <w:p>
            <w:pPr>
              <w:pStyle w:val="TableParagraph"/>
              <w:ind w:left="96"/>
              <w:rPr>
                <w:sz w:val="20"/>
              </w:rPr>
            </w:pPr>
            <w:r>
              <w:rPr>
                <w:sz w:val="20"/>
              </w:rPr>
              <w:t>29</w:t>
            </w:r>
          </w:p>
        </w:tc>
        <w:tc>
          <w:tcPr>
            <w:tcW w:w="1080" w:type="dxa"/>
          </w:tcPr>
          <w:p>
            <w:pPr>
              <w:pStyle w:val="TableParagraph"/>
              <w:ind w:right="277"/>
              <w:jc w:val="right"/>
              <w:rPr>
                <w:sz w:val="20"/>
              </w:rPr>
            </w:pPr>
            <w:r>
              <w:rPr>
                <w:sz w:val="20"/>
              </w:rPr>
              <w:t>4.71%</w:t>
            </w:r>
          </w:p>
        </w:tc>
        <w:tc>
          <w:tcPr>
            <w:tcW w:w="1080" w:type="dxa"/>
          </w:tcPr>
          <w:p>
            <w:pPr>
              <w:pStyle w:val="TableParagraph"/>
              <w:ind w:left="98"/>
              <w:rPr>
                <w:sz w:val="20"/>
              </w:rPr>
            </w:pPr>
            <w:r>
              <w:rPr>
                <w:sz w:val="20"/>
              </w:rPr>
              <w:t>5.15%</w:t>
            </w:r>
          </w:p>
        </w:tc>
      </w:tr>
      <w:tr>
        <w:trPr>
          <w:trHeight w:val="311" w:hRule="atLeast"/>
        </w:trPr>
        <w:tc>
          <w:tcPr>
            <w:tcW w:w="1080" w:type="dxa"/>
          </w:tcPr>
          <w:p>
            <w:pPr>
              <w:pStyle w:val="TableParagraph"/>
              <w:ind w:left="19" w:right="0"/>
              <w:rPr>
                <w:sz w:val="20"/>
              </w:rPr>
            </w:pPr>
            <w:r>
              <w:rPr>
                <w:w w:val="100"/>
                <w:sz w:val="20"/>
              </w:rPr>
              <w:t>4</w:t>
            </w:r>
          </w:p>
        </w:tc>
        <w:tc>
          <w:tcPr>
            <w:tcW w:w="1080" w:type="dxa"/>
          </w:tcPr>
          <w:p>
            <w:pPr>
              <w:pStyle w:val="TableParagraph"/>
              <w:ind w:left="98"/>
              <w:rPr>
                <w:sz w:val="20"/>
              </w:rPr>
            </w:pPr>
            <w:r>
              <w:rPr>
                <w:sz w:val="20"/>
              </w:rPr>
              <w:t>2.45%</w:t>
            </w:r>
          </w:p>
        </w:tc>
        <w:tc>
          <w:tcPr>
            <w:tcW w:w="1080" w:type="dxa"/>
          </w:tcPr>
          <w:p>
            <w:pPr>
              <w:pStyle w:val="TableParagraph"/>
              <w:ind w:right="277"/>
              <w:jc w:val="right"/>
              <w:rPr>
                <w:sz w:val="20"/>
              </w:rPr>
            </w:pPr>
            <w:r>
              <w:rPr>
                <w:sz w:val="20"/>
              </w:rPr>
              <w:t>2.43%</w:t>
            </w:r>
          </w:p>
        </w:tc>
        <w:tc>
          <w:tcPr>
            <w:tcW w:w="1080" w:type="dxa"/>
          </w:tcPr>
          <w:p>
            <w:pPr>
              <w:pStyle w:val="TableParagraph"/>
              <w:ind w:left="96"/>
              <w:rPr>
                <w:sz w:val="20"/>
              </w:rPr>
            </w:pPr>
            <w:r>
              <w:rPr>
                <w:sz w:val="20"/>
              </w:rPr>
              <w:t>30</w:t>
            </w:r>
          </w:p>
        </w:tc>
        <w:tc>
          <w:tcPr>
            <w:tcW w:w="1080" w:type="dxa"/>
          </w:tcPr>
          <w:p>
            <w:pPr>
              <w:pStyle w:val="TableParagraph"/>
              <w:ind w:right="277"/>
              <w:jc w:val="right"/>
              <w:rPr>
                <w:sz w:val="20"/>
              </w:rPr>
            </w:pPr>
            <w:r>
              <w:rPr>
                <w:sz w:val="20"/>
              </w:rPr>
              <w:t>4.89%</w:t>
            </w:r>
          </w:p>
        </w:tc>
        <w:tc>
          <w:tcPr>
            <w:tcW w:w="1080" w:type="dxa"/>
          </w:tcPr>
          <w:p>
            <w:pPr>
              <w:pStyle w:val="TableParagraph"/>
              <w:ind w:left="98"/>
              <w:rPr>
                <w:sz w:val="20"/>
              </w:rPr>
            </w:pPr>
            <w:r>
              <w:rPr>
                <w:sz w:val="20"/>
              </w:rPr>
              <w:t>5.30%</w:t>
            </w:r>
          </w:p>
        </w:tc>
      </w:tr>
      <w:tr>
        <w:trPr>
          <w:trHeight w:val="311" w:hRule="atLeast"/>
        </w:trPr>
        <w:tc>
          <w:tcPr>
            <w:tcW w:w="1080" w:type="dxa"/>
          </w:tcPr>
          <w:p>
            <w:pPr>
              <w:pStyle w:val="TableParagraph"/>
              <w:ind w:left="19" w:right="0"/>
              <w:rPr>
                <w:sz w:val="20"/>
              </w:rPr>
            </w:pPr>
            <w:r>
              <w:rPr>
                <w:w w:val="100"/>
                <w:sz w:val="20"/>
              </w:rPr>
              <w:t>5</w:t>
            </w:r>
          </w:p>
        </w:tc>
        <w:tc>
          <w:tcPr>
            <w:tcW w:w="1080" w:type="dxa"/>
          </w:tcPr>
          <w:p>
            <w:pPr>
              <w:pStyle w:val="TableParagraph"/>
              <w:ind w:left="98"/>
              <w:rPr>
                <w:sz w:val="20"/>
              </w:rPr>
            </w:pPr>
            <w:r>
              <w:rPr>
                <w:sz w:val="20"/>
              </w:rPr>
              <w:t>2.47%</w:t>
            </w:r>
          </w:p>
        </w:tc>
        <w:tc>
          <w:tcPr>
            <w:tcW w:w="1080" w:type="dxa"/>
          </w:tcPr>
          <w:p>
            <w:pPr>
              <w:pStyle w:val="TableParagraph"/>
              <w:ind w:right="277"/>
              <w:jc w:val="right"/>
              <w:rPr>
                <w:sz w:val="20"/>
              </w:rPr>
            </w:pPr>
            <w:r>
              <w:rPr>
                <w:sz w:val="20"/>
              </w:rPr>
              <w:t>2.44%</w:t>
            </w:r>
          </w:p>
        </w:tc>
        <w:tc>
          <w:tcPr>
            <w:tcW w:w="1080" w:type="dxa"/>
          </w:tcPr>
          <w:p>
            <w:pPr>
              <w:pStyle w:val="TableParagraph"/>
              <w:ind w:left="96"/>
              <w:rPr>
                <w:sz w:val="20"/>
              </w:rPr>
            </w:pPr>
            <w:r>
              <w:rPr>
                <w:sz w:val="20"/>
              </w:rPr>
              <w:t>31</w:t>
            </w:r>
          </w:p>
        </w:tc>
        <w:tc>
          <w:tcPr>
            <w:tcW w:w="1080" w:type="dxa"/>
          </w:tcPr>
          <w:p>
            <w:pPr>
              <w:pStyle w:val="TableParagraph"/>
              <w:ind w:right="277"/>
              <w:jc w:val="right"/>
              <w:rPr>
                <w:sz w:val="20"/>
              </w:rPr>
            </w:pPr>
            <w:r>
              <w:rPr>
                <w:sz w:val="20"/>
              </w:rPr>
              <w:t>5.11%</w:t>
            </w:r>
          </w:p>
        </w:tc>
        <w:tc>
          <w:tcPr>
            <w:tcW w:w="1080" w:type="dxa"/>
          </w:tcPr>
          <w:p>
            <w:pPr>
              <w:pStyle w:val="TableParagraph"/>
              <w:ind w:left="98"/>
              <w:rPr>
                <w:sz w:val="20"/>
              </w:rPr>
            </w:pPr>
            <w:r>
              <w:rPr>
                <w:sz w:val="20"/>
              </w:rPr>
              <w:t>5.48%</w:t>
            </w:r>
          </w:p>
        </w:tc>
      </w:tr>
      <w:tr>
        <w:trPr>
          <w:trHeight w:val="311" w:hRule="atLeast"/>
        </w:trPr>
        <w:tc>
          <w:tcPr>
            <w:tcW w:w="1080" w:type="dxa"/>
          </w:tcPr>
          <w:p>
            <w:pPr>
              <w:pStyle w:val="TableParagraph"/>
              <w:ind w:left="19" w:right="0"/>
              <w:rPr>
                <w:sz w:val="20"/>
              </w:rPr>
            </w:pPr>
            <w:r>
              <w:rPr>
                <w:w w:val="100"/>
                <w:sz w:val="20"/>
              </w:rPr>
              <w:t>6</w:t>
            </w:r>
          </w:p>
        </w:tc>
        <w:tc>
          <w:tcPr>
            <w:tcW w:w="1080" w:type="dxa"/>
          </w:tcPr>
          <w:p>
            <w:pPr>
              <w:pStyle w:val="TableParagraph"/>
              <w:ind w:left="98"/>
              <w:rPr>
                <w:sz w:val="20"/>
              </w:rPr>
            </w:pPr>
            <w:r>
              <w:rPr>
                <w:sz w:val="20"/>
              </w:rPr>
              <w:t>2.51%</w:t>
            </w:r>
          </w:p>
        </w:tc>
        <w:tc>
          <w:tcPr>
            <w:tcW w:w="1080" w:type="dxa"/>
          </w:tcPr>
          <w:p>
            <w:pPr>
              <w:pStyle w:val="TableParagraph"/>
              <w:ind w:right="277"/>
              <w:jc w:val="right"/>
              <w:rPr>
                <w:sz w:val="20"/>
              </w:rPr>
            </w:pPr>
            <w:r>
              <w:rPr>
                <w:sz w:val="20"/>
              </w:rPr>
              <w:t>2.50%</w:t>
            </w:r>
          </w:p>
        </w:tc>
        <w:tc>
          <w:tcPr>
            <w:tcW w:w="1080" w:type="dxa"/>
          </w:tcPr>
          <w:p>
            <w:pPr>
              <w:pStyle w:val="TableParagraph"/>
              <w:ind w:left="96"/>
              <w:rPr>
                <w:sz w:val="20"/>
              </w:rPr>
            </w:pPr>
            <w:r>
              <w:rPr>
                <w:sz w:val="20"/>
              </w:rPr>
              <w:t>32</w:t>
            </w:r>
          </w:p>
        </w:tc>
        <w:tc>
          <w:tcPr>
            <w:tcW w:w="1080" w:type="dxa"/>
          </w:tcPr>
          <w:p>
            <w:pPr>
              <w:pStyle w:val="TableParagraph"/>
              <w:ind w:right="277"/>
              <w:jc w:val="right"/>
              <w:rPr>
                <w:sz w:val="20"/>
              </w:rPr>
            </w:pPr>
            <w:r>
              <w:rPr>
                <w:sz w:val="20"/>
              </w:rPr>
              <w:t>5.34%</w:t>
            </w:r>
          </w:p>
        </w:tc>
        <w:tc>
          <w:tcPr>
            <w:tcW w:w="1080" w:type="dxa"/>
          </w:tcPr>
          <w:p>
            <w:pPr>
              <w:pStyle w:val="TableParagraph"/>
              <w:ind w:left="98"/>
              <w:rPr>
                <w:sz w:val="20"/>
              </w:rPr>
            </w:pPr>
            <w:r>
              <w:rPr>
                <w:sz w:val="20"/>
              </w:rPr>
              <w:t>5.58%</w:t>
            </w:r>
          </w:p>
        </w:tc>
      </w:tr>
      <w:tr>
        <w:trPr>
          <w:trHeight w:val="315" w:hRule="atLeast"/>
        </w:trPr>
        <w:tc>
          <w:tcPr>
            <w:tcW w:w="1080" w:type="dxa"/>
          </w:tcPr>
          <w:p>
            <w:pPr>
              <w:pStyle w:val="TableParagraph"/>
              <w:spacing w:line="234" w:lineRule="exact"/>
              <w:ind w:left="19" w:right="0"/>
              <w:rPr>
                <w:sz w:val="20"/>
              </w:rPr>
            </w:pPr>
            <w:r>
              <w:rPr>
                <w:w w:val="100"/>
                <w:sz w:val="20"/>
              </w:rPr>
              <w:t>7</w:t>
            </w:r>
          </w:p>
        </w:tc>
        <w:tc>
          <w:tcPr>
            <w:tcW w:w="1080" w:type="dxa"/>
          </w:tcPr>
          <w:p>
            <w:pPr>
              <w:pStyle w:val="TableParagraph"/>
              <w:spacing w:line="234" w:lineRule="exact"/>
              <w:ind w:left="98"/>
              <w:rPr>
                <w:sz w:val="20"/>
              </w:rPr>
            </w:pPr>
            <w:r>
              <w:rPr>
                <w:sz w:val="20"/>
              </w:rPr>
              <w:t>2.55%</w:t>
            </w:r>
          </w:p>
        </w:tc>
        <w:tc>
          <w:tcPr>
            <w:tcW w:w="1080" w:type="dxa"/>
          </w:tcPr>
          <w:p>
            <w:pPr>
              <w:pStyle w:val="TableParagraph"/>
              <w:spacing w:line="234" w:lineRule="exact"/>
              <w:ind w:right="277"/>
              <w:jc w:val="right"/>
              <w:rPr>
                <w:sz w:val="20"/>
              </w:rPr>
            </w:pPr>
            <w:r>
              <w:rPr>
                <w:sz w:val="20"/>
              </w:rPr>
              <w:t>2.56%</w:t>
            </w:r>
          </w:p>
        </w:tc>
        <w:tc>
          <w:tcPr>
            <w:tcW w:w="1080" w:type="dxa"/>
          </w:tcPr>
          <w:p>
            <w:pPr>
              <w:pStyle w:val="TableParagraph"/>
              <w:spacing w:line="234" w:lineRule="exact"/>
              <w:ind w:left="96"/>
              <w:rPr>
                <w:sz w:val="20"/>
              </w:rPr>
            </w:pPr>
            <w:r>
              <w:rPr>
                <w:sz w:val="20"/>
              </w:rPr>
              <w:t>33</w:t>
            </w:r>
          </w:p>
        </w:tc>
        <w:tc>
          <w:tcPr>
            <w:tcW w:w="1080" w:type="dxa"/>
          </w:tcPr>
          <w:p>
            <w:pPr>
              <w:pStyle w:val="TableParagraph"/>
              <w:spacing w:line="234" w:lineRule="exact"/>
              <w:ind w:right="277"/>
              <w:jc w:val="right"/>
              <w:rPr>
                <w:sz w:val="20"/>
              </w:rPr>
            </w:pPr>
            <w:r>
              <w:rPr>
                <w:sz w:val="20"/>
              </w:rPr>
              <w:t>5.56%</w:t>
            </w:r>
          </w:p>
        </w:tc>
        <w:tc>
          <w:tcPr>
            <w:tcW w:w="1080" w:type="dxa"/>
          </w:tcPr>
          <w:p>
            <w:pPr>
              <w:pStyle w:val="TableParagraph"/>
              <w:spacing w:line="234" w:lineRule="exact"/>
              <w:ind w:left="98"/>
              <w:rPr>
                <w:sz w:val="20"/>
              </w:rPr>
            </w:pPr>
            <w:r>
              <w:rPr>
                <w:sz w:val="20"/>
              </w:rPr>
              <w:t>5.73%</w:t>
            </w:r>
          </w:p>
        </w:tc>
      </w:tr>
      <w:tr>
        <w:trPr>
          <w:trHeight w:val="311" w:hRule="atLeast"/>
        </w:trPr>
        <w:tc>
          <w:tcPr>
            <w:tcW w:w="1080" w:type="dxa"/>
          </w:tcPr>
          <w:p>
            <w:pPr>
              <w:pStyle w:val="TableParagraph"/>
              <w:ind w:left="19" w:right="0"/>
              <w:rPr>
                <w:sz w:val="20"/>
              </w:rPr>
            </w:pPr>
            <w:r>
              <w:rPr>
                <w:w w:val="100"/>
                <w:sz w:val="20"/>
              </w:rPr>
              <w:t>8</w:t>
            </w:r>
          </w:p>
        </w:tc>
        <w:tc>
          <w:tcPr>
            <w:tcW w:w="1080" w:type="dxa"/>
          </w:tcPr>
          <w:p>
            <w:pPr>
              <w:pStyle w:val="TableParagraph"/>
              <w:ind w:left="98"/>
              <w:rPr>
                <w:sz w:val="20"/>
              </w:rPr>
            </w:pPr>
            <w:r>
              <w:rPr>
                <w:sz w:val="20"/>
              </w:rPr>
              <w:t>2.60%</w:t>
            </w:r>
          </w:p>
        </w:tc>
        <w:tc>
          <w:tcPr>
            <w:tcW w:w="1080" w:type="dxa"/>
          </w:tcPr>
          <w:p>
            <w:pPr>
              <w:pStyle w:val="TableParagraph"/>
              <w:ind w:right="277"/>
              <w:jc w:val="right"/>
              <w:rPr>
                <w:sz w:val="20"/>
              </w:rPr>
            </w:pPr>
            <w:r>
              <w:rPr>
                <w:sz w:val="20"/>
              </w:rPr>
              <w:t>2.62%</w:t>
            </w:r>
          </w:p>
        </w:tc>
        <w:tc>
          <w:tcPr>
            <w:tcW w:w="1080" w:type="dxa"/>
          </w:tcPr>
          <w:p>
            <w:pPr>
              <w:pStyle w:val="TableParagraph"/>
              <w:ind w:left="96"/>
              <w:rPr>
                <w:sz w:val="20"/>
              </w:rPr>
            </w:pPr>
            <w:r>
              <w:rPr>
                <w:sz w:val="20"/>
              </w:rPr>
              <w:t>34</w:t>
            </w:r>
          </w:p>
        </w:tc>
        <w:tc>
          <w:tcPr>
            <w:tcW w:w="1080" w:type="dxa"/>
          </w:tcPr>
          <w:p>
            <w:pPr>
              <w:pStyle w:val="TableParagraph"/>
              <w:ind w:right="277"/>
              <w:jc w:val="right"/>
              <w:rPr>
                <w:sz w:val="20"/>
              </w:rPr>
            </w:pPr>
            <w:r>
              <w:rPr>
                <w:sz w:val="20"/>
              </w:rPr>
              <w:t>5.75%</w:t>
            </w:r>
          </w:p>
        </w:tc>
        <w:tc>
          <w:tcPr>
            <w:tcW w:w="1080" w:type="dxa"/>
          </w:tcPr>
          <w:p>
            <w:pPr>
              <w:pStyle w:val="TableParagraph"/>
              <w:ind w:left="98"/>
              <w:rPr>
                <w:sz w:val="20"/>
              </w:rPr>
            </w:pPr>
            <w:r>
              <w:rPr>
                <w:sz w:val="20"/>
              </w:rPr>
              <w:t>5.88%</w:t>
            </w:r>
          </w:p>
        </w:tc>
      </w:tr>
      <w:tr>
        <w:trPr>
          <w:trHeight w:val="311" w:hRule="atLeast"/>
        </w:trPr>
        <w:tc>
          <w:tcPr>
            <w:tcW w:w="1080" w:type="dxa"/>
          </w:tcPr>
          <w:p>
            <w:pPr>
              <w:pStyle w:val="TableParagraph"/>
              <w:ind w:left="19" w:right="0"/>
              <w:rPr>
                <w:sz w:val="20"/>
              </w:rPr>
            </w:pPr>
            <w:r>
              <w:rPr>
                <w:w w:val="100"/>
                <w:sz w:val="20"/>
              </w:rPr>
              <w:t>9</w:t>
            </w:r>
          </w:p>
        </w:tc>
        <w:tc>
          <w:tcPr>
            <w:tcW w:w="1080" w:type="dxa"/>
          </w:tcPr>
          <w:p>
            <w:pPr>
              <w:pStyle w:val="TableParagraph"/>
              <w:ind w:left="98"/>
              <w:rPr>
                <w:sz w:val="20"/>
              </w:rPr>
            </w:pPr>
            <w:r>
              <w:rPr>
                <w:sz w:val="20"/>
              </w:rPr>
              <w:t>2.64%</w:t>
            </w:r>
          </w:p>
        </w:tc>
        <w:tc>
          <w:tcPr>
            <w:tcW w:w="1080" w:type="dxa"/>
          </w:tcPr>
          <w:p>
            <w:pPr>
              <w:pStyle w:val="TableParagraph"/>
              <w:ind w:right="277"/>
              <w:jc w:val="right"/>
              <w:rPr>
                <w:sz w:val="20"/>
              </w:rPr>
            </w:pPr>
            <w:r>
              <w:rPr>
                <w:sz w:val="20"/>
              </w:rPr>
              <w:t>2.68%</w:t>
            </w:r>
          </w:p>
        </w:tc>
        <w:tc>
          <w:tcPr>
            <w:tcW w:w="1080" w:type="dxa"/>
          </w:tcPr>
          <w:p>
            <w:pPr>
              <w:pStyle w:val="TableParagraph"/>
              <w:ind w:left="96"/>
              <w:rPr>
                <w:sz w:val="20"/>
              </w:rPr>
            </w:pPr>
            <w:r>
              <w:rPr>
                <w:sz w:val="20"/>
              </w:rPr>
              <w:t>35</w:t>
            </w:r>
          </w:p>
        </w:tc>
        <w:tc>
          <w:tcPr>
            <w:tcW w:w="1080" w:type="dxa"/>
          </w:tcPr>
          <w:p>
            <w:pPr>
              <w:pStyle w:val="TableParagraph"/>
              <w:ind w:right="277"/>
              <w:jc w:val="right"/>
              <w:rPr>
                <w:sz w:val="20"/>
              </w:rPr>
            </w:pPr>
            <w:r>
              <w:rPr>
                <w:sz w:val="20"/>
              </w:rPr>
              <w:t>5.97%</w:t>
            </w:r>
          </w:p>
        </w:tc>
        <w:tc>
          <w:tcPr>
            <w:tcW w:w="1080" w:type="dxa"/>
          </w:tcPr>
          <w:p>
            <w:pPr>
              <w:pStyle w:val="TableParagraph"/>
              <w:ind w:left="98"/>
              <w:rPr>
                <w:sz w:val="20"/>
              </w:rPr>
            </w:pPr>
            <w:r>
              <w:rPr>
                <w:sz w:val="20"/>
              </w:rPr>
              <w:t>5.99%</w:t>
            </w:r>
          </w:p>
        </w:tc>
      </w:tr>
      <w:tr>
        <w:trPr>
          <w:trHeight w:val="311" w:hRule="atLeast"/>
        </w:trPr>
        <w:tc>
          <w:tcPr>
            <w:tcW w:w="1080" w:type="dxa"/>
          </w:tcPr>
          <w:p>
            <w:pPr>
              <w:pStyle w:val="TableParagraph"/>
              <w:ind w:left="112"/>
              <w:rPr>
                <w:sz w:val="20"/>
              </w:rPr>
            </w:pPr>
            <w:r>
              <w:rPr>
                <w:sz w:val="20"/>
              </w:rPr>
              <w:t>10</w:t>
            </w:r>
          </w:p>
        </w:tc>
        <w:tc>
          <w:tcPr>
            <w:tcW w:w="1080" w:type="dxa"/>
          </w:tcPr>
          <w:p>
            <w:pPr>
              <w:pStyle w:val="TableParagraph"/>
              <w:ind w:left="98"/>
              <w:rPr>
                <w:sz w:val="20"/>
              </w:rPr>
            </w:pPr>
            <w:r>
              <w:rPr>
                <w:sz w:val="20"/>
              </w:rPr>
              <w:t>2.68%</w:t>
            </w:r>
          </w:p>
        </w:tc>
        <w:tc>
          <w:tcPr>
            <w:tcW w:w="1080" w:type="dxa"/>
          </w:tcPr>
          <w:p>
            <w:pPr>
              <w:pStyle w:val="TableParagraph"/>
              <w:ind w:right="277"/>
              <w:jc w:val="right"/>
              <w:rPr>
                <w:sz w:val="20"/>
              </w:rPr>
            </w:pPr>
            <w:r>
              <w:rPr>
                <w:sz w:val="20"/>
              </w:rPr>
              <w:t>2.74%</w:t>
            </w:r>
          </w:p>
        </w:tc>
        <w:tc>
          <w:tcPr>
            <w:tcW w:w="1080" w:type="dxa"/>
          </w:tcPr>
          <w:p>
            <w:pPr>
              <w:pStyle w:val="TableParagraph"/>
              <w:ind w:left="96"/>
              <w:rPr>
                <w:sz w:val="20"/>
              </w:rPr>
            </w:pPr>
            <w:r>
              <w:rPr>
                <w:sz w:val="20"/>
              </w:rPr>
              <w:t>36</w:t>
            </w:r>
          </w:p>
        </w:tc>
        <w:tc>
          <w:tcPr>
            <w:tcW w:w="1080" w:type="dxa"/>
          </w:tcPr>
          <w:p>
            <w:pPr>
              <w:pStyle w:val="TableParagraph"/>
              <w:ind w:right="277"/>
              <w:jc w:val="right"/>
              <w:rPr>
                <w:sz w:val="20"/>
              </w:rPr>
            </w:pPr>
            <w:r>
              <w:rPr>
                <w:sz w:val="20"/>
              </w:rPr>
              <w:t>6.20%</w:t>
            </w:r>
          </w:p>
        </w:tc>
        <w:tc>
          <w:tcPr>
            <w:tcW w:w="1080" w:type="dxa"/>
          </w:tcPr>
          <w:p>
            <w:pPr>
              <w:pStyle w:val="TableParagraph"/>
              <w:ind w:left="98"/>
              <w:rPr>
                <w:sz w:val="20"/>
              </w:rPr>
            </w:pPr>
            <w:r>
              <w:rPr>
                <w:sz w:val="20"/>
              </w:rPr>
              <w:t>6.16%</w:t>
            </w:r>
          </w:p>
        </w:tc>
      </w:tr>
      <w:tr>
        <w:trPr>
          <w:trHeight w:val="311" w:hRule="atLeast"/>
        </w:trPr>
        <w:tc>
          <w:tcPr>
            <w:tcW w:w="1080" w:type="dxa"/>
          </w:tcPr>
          <w:p>
            <w:pPr>
              <w:pStyle w:val="TableParagraph"/>
              <w:ind w:left="112"/>
              <w:rPr>
                <w:sz w:val="20"/>
              </w:rPr>
            </w:pPr>
            <w:r>
              <w:rPr>
                <w:sz w:val="20"/>
              </w:rPr>
              <w:t>11</w:t>
            </w:r>
          </w:p>
        </w:tc>
        <w:tc>
          <w:tcPr>
            <w:tcW w:w="1080" w:type="dxa"/>
          </w:tcPr>
          <w:p>
            <w:pPr>
              <w:pStyle w:val="TableParagraph"/>
              <w:ind w:left="98"/>
              <w:rPr>
                <w:sz w:val="20"/>
              </w:rPr>
            </w:pPr>
            <w:r>
              <w:rPr>
                <w:sz w:val="20"/>
              </w:rPr>
              <w:t>2.74%</w:t>
            </w:r>
          </w:p>
        </w:tc>
        <w:tc>
          <w:tcPr>
            <w:tcW w:w="1080" w:type="dxa"/>
          </w:tcPr>
          <w:p>
            <w:pPr>
              <w:pStyle w:val="TableParagraph"/>
              <w:ind w:right="277"/>
              <w:jc w:val="right"/>
              <w:rPr>
                <w:sz w:val="20"/>
              </w:rPr>
            </w:pPr>
            <w:r>
              <w:rPr>
                <w:sz w:val="20"/>
              </w:rPr>
              <w:t>2.83%</w:t>
            </w:r>
          </w:p>
        </w:tc>
        <w:tc>
          <w:tcPr>
            <w:tcW w:w="1080" w:type="dxa"/>
          </w:tcPr>
          <w:p>
            <w:pPr>
              <w:pStyle w:val="TableParagraph"/>
              <w:ind w:left="96"/>
              <w:rPr>
                <w:sz w:val="20"/>
              </w:rPr>
            </w:pPr>
            <w:r>
              <w:rPr>
                <w:sz w:val="20"/>
              </w:rPr>
              <w:t>37</w:t>
            </w:r>
          </w:p>
        </w:tc>
        <w:tc>
          <w:tcPr>
            <w:tcW w:w="1080" w:type="dxa"/>
          </w:tcPr>
          <w:p>
            <w:pPr>
              <w:pStyle w:val="TableParagraph"/>
              <w:ind w:right="277"/>
              <w:jc w:val="right"/>
              <w:rPr>
                <w:sz w:val="20"/>
              </w:rPr>
            </w:pPr>
            <w:r>
              <w:rPr>
                <w:sz w:val="20"/>
              </w:rPr>
              <w:t>6.43%</w:t>
            </w:r>
          </w:p>
        </w:tc>
        <w:tc>
          <w:tcPr>
            <w:tcW w:w="1080" w:type="dxa"/>
          </w:tcPr>
          <w:p>
            <w:pPr>
              <w:pStyle w:val="TableParagraph"/>
              <w:ind w:left="98"/>
              <w:rPr>
                <w:sz w:val="20"/>
              </w:rPr>
            </w:pPr>
            <w:r>
              <w:rPr>
                <w:sz w:val="20"/>
              </w:rPr>
              <w:t>6.27%</w:t>
            </w:r>
          </w:p>
        </w:tc>
      </w:tr>
      <w:tr>
        <w:trPr>
          <w:trHeight w:val="311" w:hRule="atLeast"/>
        </w:trPr>
        <w:tc>
          <w:tcPr>
            <w:tcW w:w="1080" w:type="dxa"/>
          </w:tcPr>
          <w:p>
            <w:pPr>
              <w:pStyle w:val="TableParagraph"/>
              <w:ind w:left="112"/>
              <w:rPr>
                <w:sz w:val="20"/>
              </w:rPr>
            </w:pPr>
            <w:r>
              <w:rPr>
                <w:sz w:val="20"/>
              </w:rPr>
              <w:t>12</w:t>
            </w:r>
          </w:p>
        </w:tc>
        <w:tc>
          <w:tcPr>
            <w:tcW w:w="1080" w:type="dxa"/>
          </w:tcPr>
          <w:p>
            <w:pPr>
              <w:pStyle w:val="TableParagraph"/>
              <w:ind w:left="98"/>
              <w:rPr>
                <w:sz w:val="20"/>
              </w:rPr>
            </w:pPr>
            <w:r>
              <w:rPr>
                <w:sz w:val="20"/>
              </w:rPr>
              <w:t>2.81%</w:t>
            </w:r>
          </w:p>
        </w:tc>
        <w:tc>
          <w:tcPr>
            <w:tcW w:w="1080" w:type="dxa"/>
          </w:tcPr>
          <w:p>
            <w:pPr>
              <w:pStyle w:val="TableParagraph"/>
              <w:ind w:right="277"/>
              <w:jc w:val="right"/>
              <w:rPr>
                <w:sz w:val="20"/>
              </w:rPr>
            </w:pPr>
            <w:r>
              <w:rPr>
                <w:sz w:val="20"/>
              </w:rPr>
              <w:t>2.92%</w:t>
            </w:r>
          </w:p>
        </w:tc>
        <w:tc>
          <w:tcPr>
            <w:tcW w:w="1080" w:type="dxa"/>
          </w:tcPr>
          <w:p>
            <w:pPr>
              <w:pStyle w:val="TableParagraph"/>
              <w:ind w:left="96"/>
              <w:rPr>
                <w:sz w:val="20"/>
              </w:rPr>
            </w:pPr>
            <w:r>
              <w:rPr>
                <w:sz w:val="20"/>
              </w:rPr>
              <w:t>38</w:t>
            </w:r>
          </w:p>
        </w:tc>
        <w:tc>
          <w:tcPr>
            <w:tcW w:w="1080" w:type="dxa"/>
          </w:tcPr>
          <w:p>
            <w:pPr>
              <w:pStyle w:val="TableParagraph"/>
              <w:ind w:right="277"/>
              <w:jc w:val="right"/>
              <w:rPr>
                <w:sz w:val="20"/>
              </w:rPr>
            </w:pPr>
            <w:r>
              <w:rPr>
                <w:sz w:val="20"/>
              </w:rPr>
              <w:t>6.67%</w:t>
            </w:r>
          </w:p>
        </w:tc>
        <w:tc>
          <w:tcPr>
            <w:tcW w:w="1080" w:type="dxa"/>
          </w:tcPr>
          <w:p>
            <w:pPr>
              <w:pStyle w:val="TableParagraph"/>
              <w:ind w:left="98"/>
              <w:rPr>
                <w:sz w:val="20"/>
              </w:rPr>
            </w:pPr>
            <w:r>
              <w:rPr>
                <w:sz w:val="20"/>
              </w:rPr>
              <w:t>6.40%</w:t>
            </w:r>
          </w:p>
        </w:tc>
      </w:tr>
      <w:tr>
        <w:trPr>
          <w:trHeight w:val="316" w:hRule="atLeast"/>
        </w:trPr>
        <w:tc>
          <w:tcPr>
            <w:tcW w:w="1080" w:type="dxa"/>
          </w:tcPr>
          <w:p>
            <w:pPr>
              <w:pStyle w:val="TableParagraph"/>
              <w:spacing w:line="234" w:lineRule="exact"/>
              <w:ind w:left="112"/>
              <w:rPr>
                <w:sz w:val="20"/>
              </w:rPr>
            </w:pPr>
            <w:r>
              <w:rPr>
                <w:sz w:val="20"/>
              </w:rPr>
              <w:t>13</w:t>
            </w:r>
          </w:p>
        </w:tc>
        <w:tc>
          <w:tcPr>
            <w:tcW w:w="1080" w:type="dxa"/>
          </w:tcPr>
          <w:p>
            <w:pPr>
              <w:pStyle w:val="TableParagraph"/>
              <w:spacing w:line="234" w:lineRule="exact"/>
              <w:ind w:left="98"/>
              <w:rPr>
                <w:sz w:val="20"/>
              </w:rPr>
            </w:pPr>
            <w:r>
              <w:rPr>
                <w:sz w:val="20"/>
              </w:rPr>
              <w:t>2.87%</w:t>
            </w:r>
          </w:p>
        </w:tc>
        <w:tc>
          <w:tcPr>
            <w:tcW w:w="1080" w:type="dxa"/>
          </w:tcPr>
          <w:p>
            <w:pPr>
              <w:pStyle w:val="TableParagraph"/>
              <w:spacing w:line="234" w:lineRule="exact"/>
              <w:ind w:right="277"/>
              <w:jc w:val="right"/>
              <w:rPr>
                <w:sz w:val="20"/>
              </w:rPr>
            </w:pPr>
            <w:r>
              <w:rPr>
                <w:sz w:val="20"/>
              </w:rPr>
              <w:t>3.01%</w:t>
            </w:r>
          </w:p>
        </w:tc>
        <w:tc>
          <w:tcPr>
            <w:tcW w:w="1080" w:type="dxa"/>
          </w:tcPr>
          <w:p>
            <w:pPr>
              <w:pStyle w:val="TableParagraph"/>
              <w:spacing w:line="234" w:lineRule="exact"/>
              <w:ind w:left="96"/>
              <w:rPr>
                <w:sz w:val="20"/>
              </w:rPr>
            </w:pPr>
            <w:r>
              <w:rPr>
                <w:sz w:val="20"/>
              </w:rPr>
              <w:t>39</w:t>
            </w:r>
          </w:p>
        </w:tc>
        <w:tc>
          <w:tcPr>
            <w:tcW w:w="1080" w:type="dxa"/>
          </w:tcPr>
          <w:p>
            <w:pPr>
              <w:pStyle w:val="TableParagraph"/>
              <w:spacing w:line="234" w:lineRule="exact"/>
              <w:ind w:right="277"/>
              <w:jc w:val="right"/>
              <w:rPr>
                <w:sz w:val="20"/>
              </w:rPr>
            </w:pPr>
            <w:r>
              <w:rPr>
                <w:sz w:val="20"/>
              </w:rPr>
              <w:t>6.88%</w:t>
            </w:r>
          </w:p>
        </w:tc>
        <w:tc>
          <w:tcPr>
            <w:tcW w:w="1080" w:type="dxa"/>
          </w:tcPr>
          <w:p>
            <w:pPr>
              <w:pStyle w:val="TableParagraph"/>
              <w:spacing w:line="234" w:lineRule="exact"/>
              <w:ind w:left="98"/>
              <w:rPr>
                <w:sz w:val="20"/>
              </w:rPr>
            </w:pPr>
            <w:r>
              <w:rPr>
                <w:sz w:val="20"/>
              </w:rPr>
              <w:t>6.54%</w:t>
            </w:r>
          </w:p>
        </w:tc>
      </w:tr>
      <w:tr>
        <w:trPr>
          <w:trHeight w:val="311" w:hRule="atLeast"/>
        </w:trPr>
        <w:tc>
          <w:tcPr>
            <w:tcW w:w="1080" w:type="dxa"/>
          </w:tcPr>
          <w:p>
            <w:pPr>
              <w:pStyle w:val="TableParagraph"/>
              <w:ind w:left="112"/>
              <w:rPr>
                <w:sz w:val="20"/>
              </w:rPr>
            </w:pPr>
            <w:r>
              <w:rPr>
                <w:sz w:val="20"/>
              </w:rPr>
              <w:t>14</w:t>
            </w:r>
          </w:p>
        </w:tc>
        <w:tc>
          <w:tcPr>
            <w:tcW w:w="1080" w:type="dxa"/>
          </w:tcPr>
          <w:p>
            <w:pPr>
              <w:pStyle w:val="TableParagraph"/>
              <w:ind w:left="98"/>
              <w:rPr>
                <w:sz w:val="20"/>
              </w:rPr>
            </w:pPr>
            <w:r>
              <w:rPr>
                <w:sz w:val="20"/>
              </w:rPr>
              <w:t>2.94%</w:t>
            </w:r>
          </w:p>
        </w:tc>
        <w:tc>
          <w:tcPr>
            <w:tcW w:w="1080" w:type="dxa"/>
          </w:tcPr>
          <w:p>
            <w:pPr>
              <w:pStyle w:val="TableParagraph"/>
              <w:ind w:right="277"/>
              <w:jc w:val="right"/>
              <w:rPr>
                <w:sz w:val="20"/>
              </w:rPr>
            </w:pPr>
            <w:r>
              <w:rPr>
                <w:sz w:val="20"/>
              </w:rPr>
              <w:t>3.10%</w:t>
            </w:r>
          </w:p>
        </w:tc>
        <w:tc>
          <w:tcPr>
            <w:tcW w:w="1080" w:type="dxa"/>
          </w:tcPr>
          <w:p>
            <w:pPr>
              <w:pStyle w:val="TableParagraph"/>
              <w:ind w:left="96"/>
              <w:rPr>
                <w:sz w:val="20"/>
              </w:rPr>
            </w:pPr>
            <w:r>
              <w:rPr>
                <w:sz w:val="20"/>
              </w:rPr>
              <w:t>40</w:t>
            </w:r>
          </w:p>
        </w:tc>
        <w:tc>
          <w:tcPr>
            <w:tcW w:w="1080" w:type="dxa"/>
          </w:tcPr>
          <w:p>
            <w:pPr>
              <w:pStyle w:val="TableParagraph"/>
              <w:ind w:right="277"/>
              <w:jc w:val="right"/>
              <w:rPr>
                <w:sz w:val="20"/>
              </w:rPr>
            </w:pPr>
            <w:r>
              <w:rPr>
                <w:sz w:val="20"/>
              </w:rPr>
              <w:t>7.11%</w:t>
            </w:r>
          </w:p>
        </w:tc>
        <w:tc>
          <w:tcPr>
            <w:tcW w:w="1080" w:type="dxa"/>
          </w:tcPr>
          <w:p>
            <w:pPr>
              <w:pStyle w:val="TableParagraph"/>
              <w:ind w:left="98"/>
              <w:rPr>
                <w:sz w:val="20"/>
              </w:rPr>
            </w:pPr>
            <w:r>
              <w:rPr>
                <w:sz w:val="20"/>
              </w:rPr>
              <w:t>6.68%</w:t>
            </w:r>
          </w:p>
        </w:tc>
      </w:tr>
      <w:tr>
        <w:trPr>
          <w:trHeight w:val="311" w:hRule="atLeast"/>
        </w:trPr>
        <w:tc>
          <w:tcPr>
            <w:tcW w:w="1080" w:type="dxa"/>
          </w:tcPr>
          <w:p>
            <w:pPr>
              <w:pStyle w:val="TableParagraph"/>
              <w:ind w:left="112"/>
              <w:rPr>
                <w:sz w:val="20"/>
              </w:rPr>
            </w:pPr>
            <w:r>
              <w:rPr>
                <w:sz w:val="20"/>
              </w:rPr>
              <w:t>15</w:t>
            </w:r>
          </w:p>
        </w:tc>
        <w:tc>
          <w:tcPr>
            <w:tcW w:w="1080" w:type="dxa"/>
          </w:tcPr>
          <w:p>
            <w:pPr>
              <w:pStyle w:val="TableParagraph"/>
              <w:ind w:left="98"/>
              <w:rPr>
                <w:sz w:val="20"/>
              </w:rPr>
            </w:pPr>
            <w:r>
              <w:rPr>
                <w:sz w:val="20"/>
              </w:rPr>
              <w:t>3.00%</w:t>
            </w:r>
          </w:p>
        </w:tc>
        <w:tc>
          <w:tcPr>
            <w:tcW w:w="1080" w:type="dxa"/>
          </w:tcPr>
          <w:p>
            <w:pPr>
              <w:pStyle w:val="TableParagraph"/>
              <w:ind w:right="277"/>
              <w:jc w:val="right"/>
              <w:rPr>
                <w:sz w:val="20"/>
              </w:rPr>
            </w:pPr>
            <w:r>
              <w:rPr>
                <w:sz w:val="20"/>
              </w:rPr>
              <w:t>3.19%</w:t>
            </w:r>
          </w:p>
        </w:tc>
        <w:tc>
          <w:tcPr>
            <w:tcW w:w="1080" w:type="dxa"/>
          </w:tcPr>
          <w:p>
            <w:pPr>
              <w:pStyle w:val="TableParagraph"/>
              <w:ind w:left="96"/>
              <w:rPr>
                <w:sz w:val="20"/>
              </w:rPr>
            </w:pPr>
            <w:r>
              <w:rPr>
                <w:sz w:val="20"/>
              </w:rPr>
              <w:t>41</w:t>
            </w:r>
          </w:p>
        </w:tc>
        <w:tc>
          <w:tcPr>
            <w:tcW w:w="1080" w:type="dxa"/>
          </w:tcPr>
          <w:p>
            <w:pPr>
              <w:pStyle w:val="TableParagraph"/>
              <w:ind w:right="277"/>
              <w:jc w:val="right"/>
              <w:rPr>
                <w:sz w:val="20"/>
              </w:rPr>
            </w:pPr>
            <w:r>
              <w:rPr>
                <w:sz w:val="20"/>
              </w:rPr>
              <w:t>7.39%</w:t>
            </w:r>
          </w:p>
        </w:tc>
        <w:tc>
          <w:tcPr>
            <w:tcW w:w="1080" w:type="dxa"/>
          </w:tcPr>
          <w:p>
            <w:pPr>
              <w:pStyle w:val="TableParagraph"/>
              <w:ind w:left="98"/>
              <w:rPr>
                <w:sz w:val="20"/>
              </w:rPr>
            </w:pPr>
            <w:r>
              <w:rPr>
                <w:sz w:val="20"/>
              </w:rPr>
              <w:t>6.87%</w:t>
            </w:r>
          </w:p>
        </w:tc>
      </w:tr>
      <w:tr>
        <w:trPr>
          <w:trHeight w:val="311" w:hRule="atLeast"/>
        </w:trPr>
        <w:tc>
          <w:tcPr>
            <w:tcW w:w="1080" w:type="dxa"/>
          </w:tcPr>
          <w:p>
            <w:pPr>
              <w:pStyle w:val="TableParagraph"/>
              <w:ind w:left="112"/>
              <w:rPr>
                <w:sz w:val="20"/>
              </w:rPr>
            </w:pPr>
            <w:r>
              <w:rPr>
                <w:sz w:val="20"/>
              </w:rPr>
              <w:t>16</w:t>
            </w:r>
          </w:p>
        </w:tc>
        <w:tc>
          <w:tcPr>
            <w:tcW w:w="1080" w:type="dxa"/>
          </w:tcPr>
          <w:p>
            <w:pPr>
              <w:pStyle w:val="TableParagraph"/>
              <w:ind w:left="98"/>
              <w:rPr>
                <w:sz w:val="20"/>
              </w:rPr>
            </w:pPr>
            <w:r>
              <w:rPr>
                <w:sz w:val="20"/>
              </w:rPr>
              <w:t>3.08%</w:t>
            </w:r>
          </w:p>
        </w:tc>
        <w:tc>
          <w:tcPr>
            <w:tcW w:w="1080" w:type="dxa"/>
          </w:tcPr>
          <w:p>
            <w:pPr>
              <w:pStyle w:val="TableParagraph"/>
              <w:ind w:right="277"/>
              <w:jc w:val="right"/>
              <w:rPr>
                <w:sz w:val="20"/>
              </w:rPr>
            </w:pPr>
            <w:r>
              <w:rPr>
                <w:sz w:val="20"/>
              </w:rPr>
              <w:t>3.32%</w:t>
            </w:r>
          </w:p>
        </w:tc>
        <w:tc>
          <w:tcPr>
            <w:tcW w:w="1080" w:type="dxa"/>
          </w:tcPr>
          <w:p>
            <w:pPr>
              <w:pStyle w:val="TableParagraph"/>
              <w:ind w:left="96"/>
              <w:rPr>
                <w:sz w:val="20"/>
              </w:rPr>
            </w:pPr>
            <w:r>
              <w:rPr>
                <w:sz w:val="20"/>
              </w:rPr>
              <w:t>42</w:t>
            </w:r>
          </w:p>
        </w:tc>
        <w:tc>
          <w:tcPr>
            <w:tcW w:w="1080" w:type="dxa"/>
          </w:tcPr>
          <w:p>
            <w:pPr>
              <w:pStyle w:val="TableParagraph"/>
              <w:ind w:right="277"/>
              <w:jc w:val="right"/>
              <w:rPr>
                <w:sz w:val="20"/>
              </w:rPr>
            </w:pPr>
            <w:r>
              <w:rPr>
                <w:sz w:val="20"/>
              </w:rPr>
              <w:t>7.66%</w:t>
            </w:r>
          </w:p>
        </w:tc>
        <w:tc>
          <w:tcPr>
            <w:tcW w:w="1080" w:type="dxa"/>
          </w:tcPr>
          <w:p>
            <w:pPr>
              <w:pStyle w:val="TableParagraph"/>
              <w:ind w:left="98"/>
              <w:rPr>
                <w:sz w:val="20"/>
              </w:rPr>
            </w:pPr>
            <w:r>
              <w:rPr>
                <w:sz w:val="20"/>
              </w:rPr>
              <w:t>7.06%</w:t>
            </w:r>
          </w:p>
        </w:tc>
      </w:tr>
      <w:tr>
        <w:trPr>
          <w:trHeight w:val="311" w:hRule="atLeast"/>
        </w:trPr>
        <w:tc>
          <w:tcPr>
            <w:tcW w:w="1080" w:type="dxa"/>
          </w:tcPr>
          <w:p>
            <w:pPr>
              <w:pStyle w:val="TableParagraph"/>
              <w:ind w:left="112"/>
              <w:rPr>
                <w:sz w:val="20"/>
              </w:rPr>
            </w:pPr>
            <w:r>
              <w:rPr>
                <w:sz w:val="20"/>
              </w:rPr>
              <w:t>17</w:t>
            </w:r>
          </w:p>
        </w:tc>
        <w:tc>
          <w:tcPr>
            <w:tcW w:w="1080" w:type="dxa"/>
          </w:tcPr>
          <w:p>
            <w:pPr>
              <w:pStyle w:val="TableParagraph"/>
              <w:ind w:left="98"/>
              <w:rPr>
                <w:sz w:val="20"/>
              </w:rPr>
            </w:pPr>
            <w:r>
              <w:rPr>
                <w:sz w:val="20"/>
              </w:rPr>
              <w:t>3.18%</w:t>
            </w:r>
          </w:p>
        </w:tc>
        <w:tc>
          <w:tcPr>
            <w:tcW w:w="1080" w:type="dxa"/>
          </w:tcPr>
          <w:p>
            <w:pPr>
              <w:pStyle w:val="TableParagraph"/>
              <w:ind w:right="277"/>
              <w:jc w:val="right"/>
              <w:rPr>
                <w:sz w:val="20"/>
              </w:rPr>
            </w:pPr>
            <w:r>
              <w:rPr>
                <w:sz w:val="20"/>
              </w:rPr>
              <w:t>3.45%</w:t>
            </w:r>
          </w:p>
        </w:tc>
        <w:tc>
          <w:tcPr>
            <w:tcW w:w="1080" w:type="dxa"/>
          </w:tcPr>
          <w:p>
            <w:pPr>
              <w:pStyle w:val="TableParagraph"/>
              <w:ind w:left="96"/>
              <w:rPr>
                <w:sz w:val="20"/>
              </w:rPr>
            </w:pPr>
            <w:r>
              <w:rPr>
                <w:sz w:val="20"/>
              </w:rPr>
              <w:t>43</w:t>
            </w:r>
          </w:p>
        </w:tc>
        <w:tc>
          <w:tcPr>
            <w:tcW w:w="1080" w:type="dxa"/>
          </w:tcPr>
          <w:p>
            <w:pPr>
              <w:pStyle w:val="TableParagraph"/>
              <w:ind w:right="277"/>
              <w:jc w:val="right"/>
              <w:rPr>
                <w:sz w:val="20"/>
              </w:rPr>
            </w:pPr>
            <w:r>
              <w:rPr>
                <w:sz w:val="20"/>
              </w:rPr>
              <w:t>7.94%</w:t>
            </w:r>
          </w:p>
        </w:tc>
        <w:tc>
          <w:tcPr>
            <w:tcW w:w="1080" w:type="dxa"/>
          </w:tcPr>
          <w:p>
            <w:pPr>
              <w:pStyle w:val="TableParagraph"/>
              <w:ind w:left="98"/>
              <w:rPr>
                <w:sz w:val="20"/>
              </w:rPr>
            </w:pPr>
            <w:r>
              <w:rPr>
                <w:sz w:val="20"/>
              </w:rPr>
              <w:t>7.24%</w:t>
            </w:r>
          </w:p>
        </w:tc>
      </w:tr>
      <w:tr>
        <w:trPr>
          <w:trHeight w:val="311" w:hRule="atLeast"/>
        </w:trPr>
        <w:tc>
          <w:tcPr>
            <w:tcW w:w="1080" w:type="dxa"/>
          </w:tcPr>
          <w:p>
            <w:pPr>
              <w:pStyle w:val="TableParagraph"/>
              <w:ind w:left="112"/>
              <w:rPr>
                <w:sz w:val="20"/>
              </w:rPr>
            </w:pPr>
            <w:r>
              <w:rPr>
                <w:sz w:val="20"/>
              </w:rPr>
              <w:t>18</w:t>
            </w:r>
          </w:p>
        </w:tc>
        <w:tc>
          <w:tcPr>
            <w:tcW w:w="1080" w:type="dxa"/>
          </w:tcPr>
          <w:p>
            <w:pPr>
              <w:pStyle w:val="TableParagraph"/>
              <w:ind w:left="98"/>
              <w:rPr>
                <w:sz w:val="20"/>
              </w:rPr>
            </w:pPr>
            <w:r>
              <w:rPr>
                <w:sz w:val="20"/>
              </w:rPr>
              <w:t>3.25%</w:t>
            </w:r>
          </w:p>
        </w:tc>
        <w:tc>
          <w:tcPr>
            <w:tcW w:w="1080" w:type="dxa"/>
          </w:tcPr>
          <w:p>
            <w:pPr>
              <w:pStyle w:val="TableParagraph"/>
              <w:ind w:right="277"/>
              <w:jc w:val="right"/>
              <w:rPr>
                <w:sz w:val="20"/>
              </w:rPr>
            </w:pPr>
            <w:r>
              <w:rPr>
                <w:sz w:val="20"/>
              </w:rPr>
              <w:t>3.59%</w:t>
            </w:r>
          </w:p>
        </w:tc>
        <w:tc>
          <w:tcPr>
            <w:tcW w:w="1080" w:type="dxa"/>
          </w:tcPr>
          <w:p>
            <w:pPr>
              <w:pStyle w:val="TableParagraph"/>
              <w:ind w:left="96"/>
              <w:rPr>
                <w:sz w:val="20"/>
              </w:rPr>
            </w:pPr>
            <w:r>
              <w:rPr>
                <w:sz w:val="20"/>
              </w:rPr>
              <w:t>44</w:t>
            </w:r>
          </w:p>
        </w:tc>
        <w:tc>
          <w:tcPr>
            <w:tcW w:w="1080" w:type="dxa"/>
          </w:tcPr>
          <w:p>
            <w:pPr>
              <w:pStyle w:val="TableParagraph"/>
              <w:ind w:right="277"/>
              <w:jc w:val="right"/>
              <w:rPr>
                <w:sz w:val="20"/>
              </w:rPr>
            </w:pPr>
            <w:r>
              <w:rPr>
                <w:sz w:val="20"/>
              </w:rPr>
              <w:t>8.21%</w:t>
            </w:r>
          </w:p>
        </w:tc>
        <w:tc>
          <w:tcPr>
            <w:tcW w:w="1080" w:type="dxa"/>
          </w:tcPr>
          <w:p>
            <w:pPr>
              <w:pStyle w:val="TableParagraph"/>
              <w:ind w:left="98"/>
              <w:rPr>
                <w:sz w:val="20"/>
              </w:rPr>
            </w:pPr>
            <w:r>
              <w:rPr>
                <w:sz w:val="20"/>
              </w:rPr>
              <w:t>7.43%</w:t>
            </w:r>
          </w:p>
        </w:tc>
      </w:tr>
      <w:tr>
        <w:trPr>
          <w:trHeight w:val="315" w:hRule="atLeast"/>
        </w:trPr>
        <w:tc>
          <w:tcPr>
            <w:tcW w:w="1080" w:type="dxa"/>
          </w:tcPr>
          <w:p>
            <w:pPr>
              <w:pStyle w:val="TableParagraph"/>
              <w:spacing w:line="234" w:lineRule="exact"/>
              <w:ind w:left="112"/>
              <w:rPr>
                <w:sz w:val="20"/>
              </w:rPr>
            </w:pPr>
            <w:r>
              <w:rPr>
                <w:sz w:val="20"/>
              </w:rPr>
              <w:t>19</w:t>
            </w:r>
          </w:p>
        </w:tc>
        <w:tc>
          <w:tcPr>
            <w:tcW w:w="1080" w:type="dxa"/>
          </w:tcPr>
          <w:p>
            <w:pPr>
              <w:pStyle w:val="TableParagraph"/>
              <w:spacing w:line="234" w:lineRule="exact"/>
              <w:ind w:left="98"/>
              <w:rPr>
                <w:sz w:val="20"/>
              </w:rPr>
            </w:pPr>
            <w:r>
              <w:rPr>
                <w:sz w:val="20"/>
              </w:rPr>
              <w:t>3.34%</w:t>
            </w:r>
          </w:p>
        </w:tc>
        <w:tc>
          <w:tcPr>
            <w:tcW w:w="1080" w:type="dxa"/>
          </w:tcPr>
          <w:p>
            <w:pPr>
              <w:pStyle w:val="TableParagraph"/>
              <w:spacing w:line="234" w:lineRule="exact"/>
              <w:ind w:right="277"/>
              <w:jc w:val="right"/>
              <w:rPr>
                <w:sz w:val="20"/>
              </w:rPr>
            </w:pPr>
            <w:r>
              <w:rPr>
                <w:sz w:val="20"/>
              </w:rPr>
              <w:t>3.71%</w:t>
            </w:r>
          </w:p>
        </w:tc>
        <w:tc>
          <w:tcPr>
            <w:tcW w:w="1080" w:type="dxa"/>
          </w:tcPr>
          <w:p>
            <w:pPr>
              <w:pStyle w:val="TableParagraph"/>
              <w:spacing w:line="234" w:lineRule="exact"/>
              <w:ind w:left="96"/>
              <w:rPr>
                <w:sz w:val="20"/>
              </w:rPr>
            </w:pPr>
            <w:r>
              <w:rPr>
                <w:sz w:val="20"/>
              </w:rPr>
              <w:t>45</w:t>
            </w:r>
          </w:p>
        </w:tc>
        <w:tc>
          <w:tcPr>
            <w:tcW w:w="1080" w:type="dxa"/>
          </w:tcPr>
          <w:p>
            <w:pPr>
              <w:pStyle w:val="TableParagraph"/>
              <w:spacing w:line="234" w:lineRule="exact"/>
              <w:ind w:right="277"/>
              <w:jc w:val="right"/>
              <w:rPr>
                <w:sz w:val="20"/>
              </w:rPr>
            </w:pPr>
            <w:r>
              <w:rPr>
                <w:sz w:val="20"/>
              </w:rPr>
              <w:t>8.49%</w:t>
            </w:r>
          </w:p>
        </w:tc>
        <w:tc>
          <w:tcPr>
            <w:tcW w:w="1080" w:type="dxa"/>
          </w:tcPr>
          <w:p>
            <w:pPr>
              <w:pStyle w:val="TableParagraph"/>
              <w:spacing w:line="234" w:lineRule="exact"/>
              <w:ind w:left="98"/>
              <w:rPr>
                <w:sz w:val="20"/>
              </w:rPr>
            </w:pPr>
            <w:r>
              <w:rPr>
                <w:sz w:val="20"/>
              </w:rPr>
              <w:t>7.62%</w:t>
            </w:r>
          </w:p>
        </w:tc>
      </w:tr>
      <w:tr>
        <w:trPr>
          <w:trHeight w:val="311" w:hRule="atLeast"/>
        </w:trPr>
        <w:tc>
          <w:tcPr>
            <w:tcW w:w="1080" w:type="dxa"/>
          </w:tcPr>
          <w:p>
            <w:pPr>
              <w:pStyle w:val="TableParagraph"/>
              <w:ind w:left="112"/>
              <w:rPr>
                <w:sz w:val="20"/>
              </w:rPr>
            </w:pPr>
            <w:r>
              <w:rPr>
                <w:sz w:val="20"/>
              </w:rPr>
              <w:t>20</w:t>
            </w:r>
          </w:p>
        </w:tc>
        <w:tc>
          <w:tcPr>
            <w:tcW w:w="1080" w:type="dxa"/>
          </w:tcPr>
          <w:p>
            <w:pPr>
              <w:pStyle w:val="TableParagraph"/>
              <w:ind w:left="98"/>
              <w:rPr>
                <w:sz w:val="20"/>
              </w:rPr>
            </w:pPr>
            <w:r>
              <w:rPr>
                <w:sz w:val="20"/>
              </w:rPr>
              <w:t>3.42%</w:t>
            </w:r>
          </w:p>
        </w:tc>
        <w:tc>
          <w:tcPr>
            <w:tcW w:w="1080" w:type="dxa"/>
          </w:tcPr>
          <w:p>
            <w:pPr>
              <w:pStyle w:val="TableParagraph"/>
              <w:ind w:right="277"/>
              <w:jc w:val="right"/>
              <w:rPr>
                <w:sz w:val="20"/>
              </w:rPr>
            </w:pPr>
            <w:r>
              <w:rPr>
                <w:sz w:val="20"/>
              </w:rPr>
              <w:t>3.82%</w:t>
            </w:r>
          </w:p>
        </w:tc>
        <w:tc>
          <w:tcPr>
            <w:tcW w:w="1080" w:type="dxa"/>
          </w:tcPr>
          <w:p>
            <w:pPr>
              <w:pStyle w:val="TableParagraph"/>
              <w:ind w:left="96"/>
              <w:rPr>
                <w:sz w:val="20"/>
              </w:rPr>
            </w:pPr>
            <w:r>
              <w:rPr>
                <w:sz w:val="20"/>
              </w:rPr>
              <w:t>46</w:t>
            </w:r>
          </w:p>
        </w:tc>
        <w:tc>
          <w:tcPr>
            <w:tcW w:w="1080" w:type="dxa"/>
          </w:tcPr>
          <w:p>
            <w:pPr>
              <w:pStyle w:val="TableParagraph"/>
              <w:ind w:right="277"/>
              <w:jc w:val="right"/>
              <w:rPr>
                <w:sz w:val="20"/>
              </w:rPr>
            </w:pPr>
            <w:r>
              <w:rPr>
                <w:sz w:val="20"/>
              </w:rPr>
              <w:t>8.77%</w:t>
            </w:r>
          </w:p>
        </w:tc>
        <w:tc>
          <w:tcPr>
            <w:tcW w:w="1080" w:type="dxa"/>
          </w:tcPr>
          <w:p>
            <w:pPr>
              <w:pStyle w:val="TableParagraph"/>
              <w:ind w:left="98"/>
              <w:rPr>
                <w:sz w:val="20"/>
              </w:rPr>
            </w:pPr>
            <w:r>
              <w:rPr>
                <w:sz w:val="20"/>
              </w:rPr>
              <w:t>7.84%</w:t>
            </w:r>
          </w:p>
        </w:tc>
      </w:tr>
      <w:tr>
        <w:trPr>
          <w:trHeight w:val="311" w:hRule="atLeast"/>
        </w:trPr>
        <w:tc>
          <w:tcPr>
            <w:tcW w:w="1080" w:type="dxa"/>
          </w:tcPr>
          <w:p>
            <w:pPr>
              <w:pStyle w:val="TableParagraph"/>
              <w:ind w:left="112"/>
              <w:rPr>
                <w:sz w:val="20"/>
              </w:rPr>
            </w:pPr>
            <w:r>
              <w:rPr>
                <w:sz w:val="20"/>
              </w:rPr>
              <w:t>21</w:t>
            </w:r>
          </w:p>
        </w:tc>
        <w:tc>
          <w:tcPr>
            <w:tcW w:w="1080" w:type="dxa"/>
          </w:tcPr>
          <w:p>
            <w:pPr>
              <w:pStyle w:val="TableParagraph"/>
              <w:ind w:left="98"/>
              <w:rPr>
                <w:sz w:val="20"/>
              </w:rPr>
            </w:pPr>
            <w:r>
              <w:rPr>
                <w:sz w:val="20"/>
              </w:rPr>
              <w:t>3.53%</w:t>
            </w:r>
          </w:p>
        </w:tc>
        <w:tc>
          <w:tcPr>
            <w:tcW w:w="1080" w:type="dxa"/>
          </w:tcPr>
          <w:p>
            <w:pPr>
              <w:pStyle w:val="TableParagraph"/>
              <w:ind w:right="277"/>
              <w:jc w:val="right"/>
              <w:rPr>
                <w:sz w:val="20"/>
              </w:rPr>
            </w:pPr>
            <w:r>
              <w:rPr>
                <w:sz w:val="20"/>
              </w:rPr>
              <w:t>3.96%</w:t>
            </w:r>
          </w:p>
        </w:tc>
        <w:tc>
          <w:tcPr>
            <w:tcW w:w="1080" w:type="dxa"/>
          </w:tcPr>
          <w:p>
            <w:pPr>
              <w:pStyle w:val="TableParagraph"/>
              <w:ind w:left="96"/>
              <w:rPr>
                <w:sz w:val="20"/>
              </w:rPr>
            </w:pPr>
            <w:r>
              <w:rPr>
                <w:sz w:val="20"/>
              </w:rPr>
              <w:t>47</w:t>
            </w:r>
          </w:p>
        </w:tc>
        <w:tc>
          <w:tcPr>
            <w:tcW w:w="1080" w:type="dxa"/>
          </w:tcPr>
          <w:p>
            <w:pPr>
              <w:pStyle w:val="TableParagraph"/>
              <w:ind w:right="277"/>
              <w:jc w:val="right"/>
              <w:rPr>
                <w:sz w:val="20"/>
              </w:rPr>
            </w:pPr>
            <w:r>
              <w:rPr>
                <w:sz w:val="20"/>
              </w:rPr>
              <w:t>9.05%</w:t>
            </w:r>
          </w:p>
        </w:tc>
        <w:tc>
          <w:tcPr>
            <w:tcW w:w="1080" w:type="dxa"/>
          </w:tcPr>
          <w:p>
            <w:pPr>
              <w:pStyle w:val="TableParagraph"/>
              <w:ind w:left="98"/>
              <w:rPr>
                <w:sz w:val="20"/>
              </w:rPr>
            </w:pPr>
            <w:r>
              <w:rPr>
                <w:sz w:val="20"/>
              </w:rPr>
              <w:t>8.06%</w:t>
            </w:r>
          </w:p>
        </w:tc>
      </w:tr>
      <w:tr>
        <w:trPr>
          <w:trHeight w:val="311" w:hRule="atLeast"/>
        </w:trPr>
        <w:tc>
          <w:tcPr>
            <w:tcW w:w="1080" w:type="dxa"/>
          </w:tcPr>
          <w:p>
            <w:pPr>
              <w:pStyle w:val="TableParagraph"/>
              <w:ind w:left="112"/>
              <w:rPr>
                <w:sz w:val="20"/>
              </w:rPr>
            </w:pPr>
            <w:r>
              <w:rPr>
                <w:sz w:val="20"/>
              </w:rPr>
              <w:t>22</w:t>
            </w:r>
          </w:p>
        </w:tc>
        <w:tc>
          <w:tcPr>
            <w:tcW w:w="1080" w:type="dxa"/>
          </w:tcPr>
          <w:p>
            <w:pPr>
              <w:pStyle w:val="TableParagraph"/>
              <w:ind w:left="98"/>
              <w:rPr>
                <w:sz w:val="20"/>
              </w:rPr>
            </w:pPr>
            <w:r>
              <w:rPr>
                <w:sz w:val="20"/>
              </w:rPr>
              <w:t>3.65%</w:t>
            </w:r>
          </w:p>
        </w:tc>
        <w:tc>
          <w:tcPr>
            <w:tcW w:w="1080" w:type="dxa"/>
          </w:tcPr>
          <w:p>
            <w:pPr>
              <w:pStyle w:val="TableParagraph"/>
              <w:ind w:right="277"/>
              <w:jc w:val="right"/>
              <w:rPr>
                <w:sz w:val="20"/>
              </w:rPr>
            </w:pPr>
            <w:r>
              <w:rPr>
                <w:sz w:val="20"/>
              </w:rPr>
              <w:t>4.14%</w:t>
            </w:r>
          </w:p>
        </w:tc>
        <w:tc>
          <w:tcPr>
            <w:tcW w:w="1080" w:type="dxa"/>
          </w:tcPr>
          <w:p>
            <w:pPr>
              <w:pStyle w:val="TableParagraph"/>
              <w:ind w:left="96"/>
              <w:rPr>
                <w:sz w:val="20"/>
              </w:rPr>
            </w:pPr>
            <w:r>
              <w:rPr>
                <w:sz w:val="20"/>
              </w:rPr>
              <w:t>48</w:t>
            </w:r>
          </w:p>
        </w:tc>
        <w:tc>
          <w:tcPr>
            <w:tcW w:w="1080" w:type="dxa"/>
          </w:tcPr>
          <w:p>
            <w:pPr>
              <w:pStyle w:val="TableParagraph"/>
              <w:ind w:right="277"/>
              <w:jc w:val="right"/>
              <w:rPr>
                <w:sz w:val="20"/>
              </w:rPr>
            </w:pPr>
            <w:r>
              <w:rPr>
                <w:sz w:val="20"/>
              </w:rPr>
              <w:t>9.32%</w:t>
            </w:r>
          </w:p>
        </w:tc>
        <w:tc>
          <w:tcPr>
            <w:tcW w:w="1080" w:type="dxa"/>
          </w:tcPr>
          <w:p>
            <w:pPr>
              <w:pStyle w:val="TableParagraph"/>
              <w:ind w:left="98"/>
              <w:rPr>
                <w:sz w:val="20"/>
              </w:rPr>
            </w:pPr>
            <w:r>
              <w:rPr>
                <w:sz w:val="20"/>
              </w:rPr>
              <w:t>8.27%</w:t>
            </w:r>
          </w:p>
        </w:tc>
      </w:tr>
      <w:tr>
        <w:trPr>
          <w:trHeight w:val="311" w:hRule="atLeast"/>
        </w:trPr>
        <w:tc>
          <w:tcPr>
            <w:tcW w:w="1080" w:type="dxa"/>
          </w:tcPr>
          <w:p>
            <w:pPr>
              <w:pStyle w:val="TableParagraph"/>
              <w:ind w:left="112"/>
              <w:rPr>
                <w:sz w:val="20"/>
              </w:rPr>
            </w:pPr>
            <w:r>
              <w:rPr>
                <w:sz w:val="20"/>
              </w:rPr>
              <w:t>23</w:t>
            </w:r>
          </w:p>
        </w:tc>
        <w:tc>
          <w:tcPr>
            <w:tcW w:w="1080" w:type="dxa"/>
          </w:tcPr>
          <w:p>
            <w:pPr>
              <w:pStyle w:val="TableParagraph"/>
              <w:ind w:left="98"/>
              <w:rPr>
                <w:sz w:val="20"/>
              </w:rPr>
            </w:pPr>
            <w:r>
              <w:rPr>
                <w:sz w:val="20"/>
              </w:rPr>
              <w:t>3.76%</w:t>
            </w:r>
          </w:p>
        </w:tc>
        <w:tc>
          <w:tcPr>
            <w:tcW w:w="1080" w:type="dxa"/>
          </w:tcPr>
          <w:p>
            <w:pPr>
              <w:pStyle w:val="TableParagraph"/>
              <w:ind w:right="277"/>
              <w:jc w:val="right"/>
              <w:rPr>
                <w:sz w:val="20"/>
              </w:rPr>
            </w:pPr>
            <w:r>
              <w:rPr>
                <w:sz w:val="20"/>
              </w:rPr>
              <w:t>4.27%</w:t>
            </w:r>
          </w:p>
        </w:tc>
        <w:tc>
          <w:tcPr>
            <w:tcW w:w="1080" w:type="dxa"/>
          </w:tcPr>
          <w:p>
            <w:pPr>
              <w:pStyle w:val="TableParagraph"/>
              <w:ind w:left="96"/>
              <w:rPr>
                <w:sz w:val="20"/>
              </w:rPr>
            </w:pPr>
            <w:r>
              <w:rPr>
                <w:sz w:val="20"/>
              </w:rPr>
              <w:t>49</w:t>
            </w:r>
          </w:p>
        </w:tc>
        <w:tc>
          <w:tcPr>
            <w:tcW w:w="1080" w:type="dxa"/>
          </w:tcPr>
          <w:p>
            <w:pPr>
              <w:pStyle w:val="TableParagraph"/>
              <w:ind w:right="277"/>
              <w:jc w:val="right"/>
              <w:rPr>
                <w:sz w:val="20"/>
              </w:rPr>
            </w:pPr>
            <w:r>
              <w:rPr>
                <w:sz w:val="20"/>
              </w:rPr>
              <w:t>9.60%</w:t>
            </w:r>
          </w:p>
        </w:tc>
        <w:tc>
          <w:tcPr>
            <w:tcW w:w="1080" w:type="dxa"/>
          </w:tcPr>
          <w:p>
            <w:pPr>
              <w:pStyle w:val="TableParagraph"/>
              <w:ind w:left="98"/>
              <w:rPr>
                <w:sz w:val="20"/>
              </w:rPr>
            </w:pPr>
            <w:r>
              <w:rPr>
                <w:sz w:val="20"/>
              </w:rPr>
              <w:t>8.49%</w:t>
            </w:r>
          </w:p>
        </w:tc>
      </w:tr>
      <w:tr>
        <w:trPr>
          <w:trHeight w:val="311" w:hRule="atLeast"/>
        </w:trPr>
        <w:tc>
          <w:tcPr>
            <w:tcW w:w="1080" w:type="dxa"/>
          </w:tcPr>
          <w:p>
            <w:pPr>
              <w:pStyle w:val="TableParagraph"/>
              <w:ind w:left="112"/>
              <w:rPr>
                <w:sz w:val="20"/>
              </w:rPr>
            </w:pPr>
            <w:r>
              <w:rPr>
                <w:sz w:val="20"/>
              </w:rPr>
              <w:t>24</w:t>
            </w:r>
          </w:p>
        </w:tc>
        <w:tc>
          <w:tcPr>
            <w:tcW w:w="1080" w:type="dxa"/>
          </w:tcPr>
          <w:p>
            <w:pPr>
              <w:pStyle w:val="TableParagraph"/>
              <w:ind w:left="98"/>
              <w:rPr>
                <w:sz w:val="20"/>
              </w:rPr>
            </w:pPr>
            <w:r>
              <w:rPr>
                <w:sz w:val="20"/>
              </w:rPr>
              <w:t>3.88%</w:t>
            </w:r>
          </w:p>
        </w:tc>
        <w:tc>
          <w:tcPr>
            <w:tcW w:w="1080" w:type="dxa"/>
          </w:tcPr>
          <w:p>
            <w:pPr>
              <w:pStyle w:val="TableParagraph"/>
              <w:ind w:right="277"/>
              <w:jc w:val="right"/>
              <w:rPr>
                <w:sz w:val="20"/>
              </w:rPr>
            </w:pPr>
            <w:r>
              <w:rPr>
                <w:sz w:val="20"/>
              </w:rPr>
              <w:t>4.40%</w:t>
            </w:r>
          </w:p>
        </w:tc>
        <w:tc>
          <w:tcPr>
            <w:tcW w:w="1080" w:type="dxa"/>
          </w:tcPr>
          <w:p>
            <w:pPr>
              <w:pStyle w:val="TableParagraph"/>
              <w:ind w:left="96"/>
              <w:rPr>
                <w:sz w:val="20"/>
              </w:rPr>
            </w:pPr>
            <w:r>
              <w:rPr>
                <w:sz w:val="20"/>
              </w:rPr>
              <w:t>50</w:t>
            </w:r>
          </w:p>
        </w:tc>
        <w:tc>
          <w:tcPr>
            <w:tcW w:w="1080" w:type="dxa"/>
          </w:tcPr>
          <w:p>
            <w:pPr>
              <w:pStyle w:val="TableParagraph"/>
              <w:ind w:right="277"/>
              <w:jc w:val="right"/>
              <w:rPr>
                <w:sz w:val="20"/>
              </w:rPr>
            </w:pPr>
            <w:r>
              <w:rPr>
                <w:sz w:val="20"/>
              </w:rPr>
              <w:t>9.88%</w:t>
            </w:r>
          </w:p>
        </w:tc>
        <w:tc>
          <w:tcPr>
            <w:tcW w:w="1080" w:type="dxa"/>
          </w:tcPr>
          <w:p>
            <w:pPr>
              <w:pStyle w:val="TableParagraph"/>
              <w:ind w:left="98"/>
              <w:rPr>
                <w:sz w:val="20"/>
              </w:rPr>
            </w:pPr>
            <w:r>
              <w:rPr>
                <w:sz w:val="20"/>
              </w:rPr>
              <w:t>8.71%</w:t>
            </w:r>
          </w:p>
        </w:tc>
      </w:tr>
      <w:tr>
        <w:trPr>
          <w:trHeight w:val="378" w:hRule="atLeast"/>
        </w:trPr>
        <w:tc>
          <w:tcPr>
            <w:tcW w:w="1080" w:type="dxa"/>
          </w:tcPr>
          <w:p>
            <w:pPr>
              <w:pStyle w:val="TableParagraph"/>
              <w:spacing w:line="240" w:lineRule="auto" w:before="1"/>
              <w:ind w:left="112"/>
              <w:rPr>
                <w:sz w:val="20"/>
              </w:rPr>
            </w:pPr>
            <w:r>
              <w:rPr>
                <w:sz w:val="20"/>
              </w:rPr>
              <w:t>25</w:t>
            </w:r>
          </w:p>
        </w:tc>
        <w:tc>
          <w:tcPr>
            <w:tcW w:w="1080" w:type="dxa"/>
          </w:tcPr>
          <w:p>
            <w:pPr>
              <w:pStyle w:val="TableParagraph"/>
              <w:spacing w:line="240" w:lineRule="auto" w:before="1"/>
              <w:ind w:left="98"/>
              <w:rPr>
                <w:sz w:val="20"/>
              </w:rPr>
            </w:pPr>
            <w:r>
              <w:rPr>
                <w:sz w:val="20"/>
              </w:rPr>
              <w:t>3.99%</w:t>
            </w:r>
          </w:p>
        </w:tc>
        <w:tc>
          <w:tcPr>
            <w:tcW w:w="1080" w:type="dxa"/>
          </w:tcPr>
          <w:p>
            <w:pPr>
              <w:pStyle w:val="TableParagraph"/>
              <w:spacing w:line="240" w:lineRule="auto" w:before="1"/>
              <w:ind w:right="277"/>
              <w:jc w:val="right"/>
              <w:rPr>
                <w:sz w:val="20"/>
              </w:rPr>
            </w:pPr>
            <w:r>
              <w:rPr>
                <w:sz w:val="20"/>
              </w:rPr>
              <w:t>4.54%</w:t>
            </w:r>
          </w:p>
        </w:tc>
        <w:tc>
          <w:tcPr>
            <w:tcW w:w="1080" w:type="dxa"/>
          </w:tcPr>
          <w:p>
            <w:pPr>
              <w:pStyle w:val="TableParagraph"/>
              <w:spacing w:line="240" w:lineRule="auto"/>
              <w:ind w:right="0"/>
              <w:jc w:val="left"/>
              <w:rPr>
                <w:rFonts w:ascii="Times New Roman"/>
                <w:sz w:val="20"/>
              </w:rPr>
            </w:pPr>
          </w:p>
        </w:tc>
        <w:tc>
          <w:tcPr>
            <w:tcW w:w="1080" w:type="dxa"/>
          </w:tcPr>
          <w:p>
            <w:pPr>
              <w:pStyle w:val="TableParagraph"/>
              <w:spacing w:line="240" w:lineRule="auto"/>
              <w:ind w:right="0"/>
              <w:jc w:val="left"/>
              <w:rPr>
                <w:rFonts w:ascii="Times New Roman"/>
                <w:sz w:val="20"/>
              </w:rPr>
            </w:pPr>
          </w:p>
        </w:tc>
        <w:tc>
          <w:tcPr>
            <w:tcW w:w="1080" w:type="dxa"/>
          </w:tcPr>
          <w:p>
            <w:pPr>
              <w:pStyle w:val="TableParagraph"/>
              <w:spacing w:line="240" w:lineRule="auto"/>
              <w:ind w:right="0"/>
              <w:jc w:val="left"/>
              <w:rPr>
                <w:rFonts w:ascii="Times New Roman"/>
                <w:sz w:val="20"/>
              </w:rPr>
            </w:pPr>
          </w:p>
        </w:tc>
      </w:tr>
    </w:tbl>
    <w:p>
      <w:pPr>
        <w:pStyle w:val="BodyText"/>
        <w:spacing w:before="5"/>
        <w:rPr>
          <w:b/>
          <w:sz w:val="21"/>
        </w:rPr>
      </w:pPr>
    </w:p>
    <w:p>
      <w:pPr>
        <w:pStyle w:val="BodyText"/>
        <w:ind w:left="4039" w:right="3349"/>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Heading2"/>
        <w:ind w:left="100"/>
      </w:pPr>
      <w:r>
        <w:rPr>
          <w:rFonts w:ascii="宋体" w:eastAsia="宋体" w:hint="eastAsia"/>
        </w:rPr>
        <w:t>条款编号</w:t>
      </w:r>
      <w:r>
        <w:rPr/>
        <w:t>: L2080-01</w:t>
      </w:r>
    </w:p>
    <w:sectPr>
      <w:pgSz w:w="11910" w:h="16840"/>
      <w:pgMar w:top="15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49"/>
      <w:ind w:left="120"/>
      <w:jc w:val="both"/>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29" w:lineRule="exact"/>
      <w:ind w:right="98"/>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友邦附加康悦保？？重大疾病保险</dc:title>
  <dcterms:created xsi:type="dcterms:W3CDTF">2018-10-20T00:03:55Z</dcterms:created>
  <dcterms:modified xsi:type="dcterms:W3CDTF">2018-10-20T00:03:55Z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