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79" w:lineRule="exact"/>
      </w:pPr>
      <w:r>
        <w:rPr/>
        <w:t>华汇人寿保险股份有限公司</w:t>
      </w:r>
    </w:p>
    <w:p>
      <w:pPr>
        <w:spacing w:before="306"/>
        <w:ind w:left="1306" w:right="1322" w:firstLine="0"/>
        <w:jc w:val="center"/>
        <w:rPr>
          <w:rFonts w:ascii="微软雅黑" w:eastAsia="微软雅黑" w:hint="eastAsia"/>
          <w:b/>
          <w:sz w:val="32"/>
        </w:rPr>
      </w:pPr>
      <w:r>
        <w:rPr>
          <w:rFonts w:ascii="微软雅黑" w:eastAsia="微软雅黑" w:hint="eastAsia"/>
          <w:b/>
          <w:sz w:val="32"/>
        </w:rPr>
        <w:t>华汇人寿附加汇康呈祥重大疾病保险条款</w:t>
      </w:r>
    </w:p>
    <w:p>
      <w:pPr>
        <w:pStyle w:val="BodyText"/>
        <w:rPr>
          <w:rFonts w:ascii="微软雅黑"/>
          <w:b/>
          <w:sz w:val="20"/>
        </w:rPr>
      </w:pPr>
    </w:p>
    <w:p>
      <w:pPr>
        <w:pStyle w:val="BodyText"/>
        <w:spacing w:before="9"/>
        <w:rPr>
          <w:rFonts w:ascii="微软雅黑"/>
          <w:b/>
          <w:sz w:val="15"/>
        </w:rPr>
      </w:pPr>
      <w:r>
        <w:rPr/>
        <w:pict>
          <v:line style="position:absolute;mso-position-horizontal-relative:page;mso-position-vertical-relative:paragraph;z-index:0;mso-wrap-distance-left:0;mso-wrap-distance-right:0" from="61.549999pt,15.755231pt" to="523.549999pt,15.755231pt" stroked="true" strokeweight=".75pt" strokecolor="#000000">
            <v:stroke dashstyle="solid"/>
            <w10:wrap type="topAndBottom"/>
          </v:line>
        </w:pict>
      </w:r>
    </w:p>
    <w:p>
      <w:pPr>
        <w:pStyle w:val="BodyText"/>
        <w:rPr>
          <w:rFonts w:ascii="微软雅黑"/>
          <w:b/>
          <w:sz w:val="54"/>
        </w:rPr>
      </w:pPr>
    </w:p>
    <w:p>
      <w:pPr>
        <w:spacing w:before="0"/>
        <w:ind w:left="1304" w:right="1322"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4" w:lineRule="auto"/>
        <w:ind w:left="1364" w:right="1322"/>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本</w:t>
      </w:r>
      <w:r>
        <w:rPr>
          <w:spacing w:val="-62"/>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本</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1"/>
          <w:w w:val="100"/>
        </w:rPr>
        <w:t>附</w:t>
      </w:r>
      <w:r>
        <w:rPr>
          <w:spacing w:val="-63"/>
          <w:w w:val="100"/>
          <w:position w:val="-7"/>
        </w:rPr>
        <w:t>．</w:t>
      </w:r>
      <w:r>
        <w:rPr>
          <w:spacing w:val="-149"/>
          <w:w w:val="100"/>
        </w:rPr>
        <w:t>加</w:t>
      </w:r>
      <w:r>
        <w:rPr>
          <w:spacing w:val="-63"/>
          <w:w w:val="100"/>
          <w:position w:val="-7"/>
        </w:rPr>
        <w:t>．</w:t>
      </w:r>
      <w:r>
        <w:rPr>
          <w:spacing w:val="-151"/>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1"/>
          <w:w w:val="100"/>
        </w:rPr>
        <w:t>准</w:t>
      </w:r>
      <w:r>
        <w:rPr>
          <w:spacing w:val="-63"/>
          <w:w w:val="100"/>
          <w:position w:val="-7"/>
        </w:rPr>
        <w:t>．</w:t>
      </w:r>
      <w:r>
        <w:rPr>
          <w:w w:val="100"/>
        </w:rPr>
        <w:t>。</w:t>
      </w:r>
    </w:p>
    <w:p>
      <w:pPr>
        <w:pStyle w:val="BodyText"/>
        <w:rPr>
          <w:sz w:val="28"/>
        </w:rPr>
      </w:pPr>
    </w:p>
    <w:p>
      <w:pPr>
        <w:spacing w:before="250"/>
        <w:ind w:left="1304" w:right="1322" w:firstLine="0"/>
        <w:jc w:val="center"/>
        <w:rPr>
          <w:b/>
          <w:sz w:val="21"/>
        </w:rPr>
      </w:pPr>
      <w:r>
        <w:rPr>
          <w:b/>
          <w:sz w:val="21"/>
        </w:rPr>
        <w:t>您拥有的重要权益</w:t>
      </w:r>
    </w:p>
    <w:p>
      <w:pPr>
        <w:pStyle w:val="BodyText"/>
        <w:tabs>
          <w:tab w:pos="9138" w:val="left" w:leader="dot"/>
        </w:tabs>
        <w:spacing w:before="349"/>
        <w:ind w:right="6"/>
        <w:jc w:val="center"/>
      </w:pPr>
      <w:r>
        <w:rPr/>
        <w:t>签收本附</w:t>
      </w:r>
      <w:r>
        <w:rPr>
          <w:spacing w:val="-3"/>
        </w:rPr>
        <w:t>加</w:t>
      </w:r>
      <w:r>
        <w:rPr/>
        <w:t>合</w:t>
      </w:r>
      <w:r>
        <w:rPr>
          <w:spacing w:val="-3"/>
        </w:rPr>
        <w:t>同</w:t>
      </w:r>
      <w:r>
        <w:rPr/>
        <w:t>次</w:t>
      </w:r>
      <w:r>
        <w:rPr>
          <w:spacing w:val="-3"/>
        </w:rPr>
        <w:t>日</w:t>
      </w:r>
      <w:r>
        <w:rPr/>
        <w:t>起</w:t>
      </w:r>
      <w:r>
        <w:rPr>
          <w:spacing w:val="-3"/>
        </w:rPr>
        <w:t>，</w:t>
      </w:r>
      <w:r>
        <w:rPr/>
        <w:t>您有</w:t>
      </w:r>
      <w:r>
        <w:rPr>
          <w:spacing w:val="-49"/>
        </w:rPr>
        <w:t> </w:t>
      </w:r>
      <w:r>
        <w:rPr/>
        <w:t>10</w:t>
      </w:r>
      <w:r>
        <w:rPr>
          <w:spacing w:val="-50"/>
        </w:rPr>
        <w:t> </w:t>
      </w:r>
      <w:r>
        <w:rPr>
          <w:spacing w:val="-3"/>
        </w:rPr>
        <w:t>天</w:t>
      </w:r>
      <w:r>
        <w:rPr/>
        <w:t>的</w:t>
      </w:r>
      <w:r>
        <w:rPr>
          <w:spacing w:val="-3"/>
        </w:rPr>
        <w:t>犹</w:t>
      </w:r>
      <w:r>
        <w:rPr/>
        <w:t>豫期</w:t>
        <w:tab/>
        <w:t>1.3</w:t>
      </w:r>
    </w:p>
    <w:p>
      <w:pPr>
        <w:pStyle w:val="BodyText"/>
        <w:tabs>
          <w:tab w:pos="9138" w:val="left" w:leader="dot"/>
        </w:tabs>
        <w:spacing w:before="37"/>
        <w:ind w:right="6"/>
        <w:jc w:val="center"/>
      </w:pPr>
      <w:r>
        <w:rPr/>
        <w:t>被保</w:t>
      </w:r>
      <w:r>
        <w:rPr>
          <w:spacing w:val="-3"/>
        </w:rPr>
        <w:t>险</w:t>
      </w:r>
      <w:r>
        <w:rPr/>
        <w:t>人</w:t>
      </w:r>
      <w:r>
        <w:rPr>
          <w:spacing w:val="-3"/>
        </w:rPr>
        <w:t>享</w:t>
      </w:r>
      <w:r>
        <w:rPr/>
        <w:t>受</w:t>
      </w:r>
      <w:r>
        <w:rPr>
          <w:spacing w:val="-3"/>
        </w:rPr>
        <w:t>本</w:t>
      </w:r>
      <w:r>
        <w:rPr/>
        <w:t>附</w:t>
      </w:r>
      <w:r>
        <w:rPr>
          <w:spacing w:val="-3"/>
        </w:rPr>
        <w:t>加</w:t>
      </w:r>
      <w:r>
        <w:rPr/>
        <w:t>合</w:t>
      </w:r>
      <w:r>
        <w:rPr>
          <w:spacing w:val="-3"/>
        </w:rPr>
        <w:t>同</w:t>
      </w:r>
      <w:r>
        <w:rPr/>
        <w:t>提供</w:t>
      </w:r>
      <w:r>
        <w:rPr>
          <w:spacing w:val="-3"/>
        </w:rPr>
        <w:t>的</w:t>
      </w:r>
      <w:r>
        <w:rPr/>
        <w:t>保障</w:t>
        <w:tab/>
        <w:t>2.3</w:t>
      </w:r>
    </w:p>
    <w:p>
      <w:pPr>
        <w:pStyle w:val="BodyText"/>
        <w:tabs>
          <w:tab w:pos="9136" w:val="left" w:leader="dot"/>
        </w:tabs>
        <w:spacing w:before="37"/>
        <w:ind w:right="8"/>
        <w:jc w:val="center"/>
      </w:pPr>
      <w:r>
        <w:rPr/>
        <w:t>您有</w:t>
      </w:r>
      <w:r>
        <w:rPr>
          <w:spacing w:val="-3"/>
        </w:rPr>
        <w:t>退</w:t>
      </w:r>
      <w:r>
        <w:rPr/>
        <w:t>保</w:t>
      </w:r>
      <w:r>
        <w:rPr>
          <w:spacing w:val="-3"/>
        </w:rPr>
        <w:t>的</w:t>
      </w:r>
      <w:r>
        <w:rPr/>
        <w:t>权利</w:t>
        <w:tab/>
        <w:t>7.1</w:t>
      </w:r>
    </w:p>
    <w:p>
      <w:pPr>
        <w:spacing w:before="661"/>
        <w:ind w:left="1307" w:right="1322" w:firstLine="0"/>
        <w:jc w:val="center"/>
        <w:rPr>
          <w:b/>
          <w:sz w:val="21"/>
        </w:rPr>
      </w:pPr>
      <w:r>
        <w:rPr>
          <w:b/>
          <w:sz w:val="21"/>
        </w:rPr>
        <w:t>您应当特别注意的事项</w:t>
      </w:r>
    </w:p>
    <w:p>
      <w:pPr>
        <w:pStyle w:val="BodyText"/>
        <w:tabs>
          <w:tab w:pos="9033" w:val="left" w:leader="dot"/>
        </w:tabs>
        <w:spacing w:before="349"/>
        <w:ind w:right="1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5" w:val="left" w:leader="dot"/>
        </w:tabs>
        <w:spacing w:before="37"/>
        <w:ind w:right="109"/>
        <w:jc w:val="center"/>
      </w:pPr>
      <w:r>
        <w:rPr/>
        <w:t>责任</w:t>
      </w:r>
      <w:r>
        <w:rPr>
          <w:spacing w:val="-3"/>
        </w:rPr>
        <w:t>免</w:t>
      </w:r>
      <w:r>
        <w:rPr/>
        <w:t>除</w:t>
      </w:r>
      <w:r>
        <w:rPr>
          <w:spacing w:val="-3"/>
        </w:rPr>
        <w:t>条</w:t>
      </w:r>
      <w:r>
        <w:rPr/>
        <w:t>款</w:t>
      </w:r>
      <w:r>
        <w:rPr>
          <w:spacing w:val="-3"/>
        </w:rPr>
        <w:t>中</w:t>
      </w:r>
      <w:r>
        <w:rPr/>
        <w:t>列</w:t>
      </w:r>
      <w:r>
        <w:rPr>
          <w:spacing w:val="-3"/>
        </w:rPr>
        <w:t>明</w:t>
      </w:r>
      <w:r>
        <w:rPr/>
        <w:t>了</w:t>
      </w:r>
      <w:r>
        <w:rPr>
          <w:spacing w:val="-3"/>
        </w:rPr>
        <w:t>，</w:t>
      </w: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3" w:val="left" w:leader="dot"/>
        </w:tabs>
        <w:spacing w:before="37"/>
        <w:ind w:right="114"/>
        <w:jc w:val="center"/>
      </w:pPr>
      <w:r>
        <w:rPr/>
        <w:t>您应当按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112"/>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慎</w:t>
      </w:r>
      <w:r>
        <w:rPr>
          <w:spacing w:val="-3"/>
        </w:rPr>
        <w:t>重</w:t>
      </w:r>
      <w:r>
        <w:rPr/>
        <w:t>决策</w:t>
        <w:tab/>
        <w:t>7.1</w:t>
      </w:r>
    </w:p>
    <w:p>
      <w:pPr>
        <w:pStyle w:val="BodyText"/>
        <w:tabs>
          <w:tab w:pos="9033" w:val="left" w:leader="dot"/>
        </w:tabs>
        <w:spacing w:before="37"/>
        <w:ind w:right="114"/>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035" w:val="left" w:leader="dot"/>
        </w:tabs>
        <w:spacing w:before="37"/>
        <w:ind w:right="215"/>
        <w:jc w:val="cente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jc w:val="center"/>
        <w:sectPr>
          <w:type w:val="continuous"/>
          <w:pgSz w:w="11910" w:h="16840"/>
          <w:pgMar w:top="1540" w:bottom="280" w:left="1120" w:right="1100"/>
        </w:sectPr>
      </w:pPr>
    </w:p>
    <w:p>
      <w:pPr>
        <w:pStyle w:val="Heading1"/>
        <w:spacing w:line="478" w:lineRule="exact"/>
        <w:ind w:left="4476" w:right="4894"/>
      </w:pPr>
      <w:r>
        <w:rPr/>
        <w:pict>
          <v:shape style="position:absolute;margin-left:391.630005pt;margin-top:61.139965pt;width:.25pt;height:447.2pt;mso-position-horizontal-relative:page;mso-position-vertical-relative:paragraph;z-index:-31336" coordorigin="7833,1223" coordsize="5,8944" path="m7837,5783l7833,5783,7833,5822,7833,5860,7833,5899,7833,5937,7833,5975,7833,6014,7833,6052,7833,6086,7833,6124,7833,6163,7833,6201,7833,6239,7833,6278,7833,6316,7833,6355,7833,6393,7833,6427,7833,6465,7833,6503,7833,6542,7833,6580,7833,6619,7833,6657,7833,6695,7833,6734,7833,6765,7833,6803,7833,6842,7833,6880,7833,6919,7833,6957,7833,6995,7833,7034,7833,7072,7833,7106,7833,7144,7833,7183,7833,7221,7833,7259,7833,7298,7833,7336,7833,7375,7833,7413,7833,7447,7833,7485,7833,7523,7833,7562,7833,7600,7833,7639,7833,7677,7833,7715,7833,7754,7833,7785,7833,7823,7833,7862,7833,7900,7833,7939,7833,7977,7833,8015,7833,8054,7833,8092,7833,8126,7833,8126,7833,8165,7833,8203,7833,8241,7833,8280,7833,8318,7833,8357,7833,8395,7833,8433,7833,8467,7833,8505,7833,8544,7833,8582,7833,8621,7833,8659,7833,8697,7833,8736,7833,8774,7833,8805,7833,8844,7833,8882,7833,8921,7833,8959,7833,8997,7833,9036,7833,9074,7833,9113,7833,9146,7833,9185,7833,9223,7833,9261,7833,9300,7833,9338,7833,9377,7833,9415,7833,9453,7833,9487,7833,9525,7833,9564,7833,9602,7833,9641,7833,9679,7833,9717,7833,9756,7833,9794,7833,9825,7833,9864,7833,9902,7833,9941,7833,9979,7833,10017,7833,10056,7833,10094,7833,10133,7833,10166,7837,10166,7837,10133,7837,10094,7837,10056,7837,10017,7837,9979,7837,9941,7837,9902,7837,9864,7837,9825,7837,9794,7837,9756,7837,9717,7837,9679,7837,9641,7837,9602,7837,9564,7837,9525,7837,9487,7837,9453,7837,9415,7837,9377,7837,9338,7837,9300,7837,9261,7837,9223,7837,9185,7837,9146,7837,9113,7837,9074,7837,9036,7837,8997,7837,8959,7837,8921,7837,8882,7837,8844,7837,8805,7837,8774,7837,8736,7837,8697,7837,8659,7837,8621,7837,8582,7837,8544,7837,8505,7837,8467,7837,8433,7837,8395,7837,8357,7837,8318,7837,8280,7837,8241,7837,8203,7837,8165,7837,8126,7837,8126,7837,8092,7837,8054,7837,8015,7837,7977,7837,7939,7837,7900,7837,7862,7837,7823,7837,7785,7837,7754,7837,7715,7837,7677,7837,7639,7837,7600,7837,7562,7837,7523,7837,7485,7837,7447,7837,7413,7837,7375,7837,7336,7837,7298,7837,7259,7837,7221,7837,7183,7837,7144,7837,7106,7837,7072,7837,7034,7837,6995,7837,6957,7837,6919,7837,6880,7837,6842,7837,6803,7837,6765,7837,6734,7837,6695,7837,6657,7837,6619,7837,6580,7837,6542,7837,6503,7837,6465,7837,6427,7837,6393,7837,6355,7837,6316,7837,6278,7837,6239,7837,6201,7837,6163,7837,6124,7837,6086,7837,6052,7837,6014,7837,5975,7837,5937,7837,5899,7837,5860,7837,5822,7837,5783m7837,5363l7833,5363,7833,5402,7833,5433,7833,5471,7833,5510,7833,5548,7833,5587,7833,5625,7833,5663,7833,5702,7833,5740,7837,5740,7837,5702,7837,5663,7837,5625,7837,5587,7837,5548,7837,5510,7837,5471,7837,5433,7837,5402,7837,5363m7837,5248l7833,5248,7833,5287,7833,5325,7833,5363,7837,5363,7837,5325,7837,5287,7837,5248m7837,5133l7833,5133,7833,5171,7833,5210,7833,5248,7837,5248,7837,5210,7837,5171,7837,5133m7837,5023l7833,5023,7833,5061,7833,5095,7833,5133,7837,5133,7837,5095,7837,5061,7837,5023m7837,4946l7833,4946,7833,4984,7833,5023,7837,5023,7837,4984,7837,4946m7837,4831l7833,4831,7833,4869,7833,4907,7833,4946,7837,4946,7837,4907,7837,4869,7837,4831m7837,4720l7833,4720,7833,4754,7833,4792,7833,4831,7837,4831,7837,4792,7837,4754,7837,4720m7837,4643l7833,4643,7833,4682,7833,4720,7837,4720,7837,4682,7837,4643m7837,4528l7833,4528,7833,4567,7833,4605,7833,4643,7837,4643,7837,4605,7837,4567,7837,4528m7837,4413l7833,4413,7833,4451,7833,4490,7833,4528,7837,4528,7837,4490,7837,4451,7837,4413m7837,4381l7833,4381,7833,4412,7837,4412,7837,4381m7837,4266l7833,4266,7833,4304,7833,4343,7833,4381,7837,4381,7837,4343,7837,4304,7837,4266m7837,4151l7833,4151,7833,4189,7833,4228,7833,4266,7837,4266,7837,4228,7837,4189,7837,4151m7837,4040l7833,4040,7833,4074,7833,4112,7833,4151,7837,4151,7837,4112,7837,4074,7837,4040m7837,3964l7833,3964,7833,4002,7833,4040,7837,4040,7837,4002,7837,3964m7837,3848l7833,3848,7833,3887,7833,3925,7833,3964,7837,3964,7837,3925,7837,3887,7837,3848m7837,3733l7833,3733,7833,3772,7833,3810,7833,3848,7837,3848,7837,3810,7837,3772,7837,3733m7837,3661l7833,3661,7833,3700,7833,3733,7837,3733,7837,3700,7837,3661m7837,3546l7833,3546,7833,3584,7833,3623,7833,3661,7837,3661,7837,3623,7837,3584,7837,3546m7837,3431l7833,3431,7833,3469,7833,3508,7833,3546,7837,3546,7837,3508,7837,3469,7837,3431m7837,3361l7833,3361,7833,3392,7833,3431,7837,3431,7837,3392,7837,3361m7837,3246l7833,3246,7833,3284,7833,3323,7833,3361,7837,3361,7837,3323,7837,3284,7837,3246m7837,3131l7833,3131,7833,3169,7833,3208,7833,3246,7837,3246,7837,3208,7837,3169,7837,3131m7837,3020l7833,3020,7833,3054,7833,3092,7833,3131,7837,3131,7837,3092,7837,3054,7837,3020m7837,2944l7833,2944,7833,2982,7833,3020,7837,3020,7837,2982,7837,2944m7837,2828l7833,2828,7833,2867,7833,2905,7833,2944,7837,2944,7837,2905,7837,2867,7837,2828m7837,2713l7833,2713,7833,2752,7833,2790,7833,2828,7837,2828,7837,2790,7837,2752,7837,2713m7837,2641l7833,2641,7833,2680,7833,2713,7837,2713,7837,2680,7837,2641m7837,2526l7833,2526,7833,2564,7833,2603,7833,2641,7837,2641,7837,2603,7837,2564,7837,2526m7837,2411l7833,2411,7833,2449,7833,2488,7833,2526,7837,2526,7837,2488,7837,2449,7837,2411m7837,2341l7833,2341,7833,2372,7833,2411,7837,2411,7837,2372,7837,2341m7837,2226l7833,2226,7833,2264,7833,2303,7833,2341,7837,2341,7837,2303,7837,2264,7837,2226m7837,2111l7833,2111,7833,2149,7833,2188,7833,2226,7837,2226,7837,2188,7837,2149,7837,2111m7837,2000l7833,2000,7833,2034,7833,2072,7833,2111,7837,2111,7837,2072,7837,2034,7837,2000m7837,1924l7833,1924,7833,1962,7833,2000,7837,2000,7837,1962,7837,1924m7837,1808l7833,1808,7833,1847,7833,1885,7833,1924,7837,1924,7837,1885,7837,1847,7837,1808m7837,1693l7833,1693,7833,1732,7833,1770,7833,1808,7837,1808,7837,1770,7837,1732,7837,1693m7837,1684l7833,1684,7833,1693,7837,1693,7837,1684m7837,1568l7833,1568,7833,1607,7833,1645,7833,1684,7837,1684,7837,1645,7837,1607,7837,1568m7837,1453l7833,1453,7833,1492,7833,1530,7833,1568,7837,1568,7837,1530,7837,1492,7837,1453m7837,1338l7833,1338,7833,1376,7833,1415,7833,1453,7837,1453,7837,1415,7837,1376,7837,1338m7837,1261l7833,1261,7833,1300,7833,1338,7837,1338,7837,1300,7837,1261m7837,1223l7833,1223,7833,1261,7837,1261,7837,1223e" filled="true" fillcolor="#000000" stroked="false">
            <v:path arrowok="t"/>
            <v:fill type="solid"/>
            <w10:wrap type="none"/>
          </v:shape>
        </w:pict>
      </w:r>
      <w:r>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9"/>
        <w:gridCol w:w="3769"/>
        <w:gridCol w:w="3569"/>
      </w:tblGrid>
      <w:tr>
        <w:trPr>
          <w:trHeight w:val="392" w:hRule="atLeast"/>
        </w:trPr>
        <w:tc>
          <w:tcPr>
            <w:tcW w:w="3139"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tcBorders>
          </w:tcPr>
          <w:p>
            <w:pPr>
              <w:pStyle w:val="TableParagraph"/>
              <w:spacing w:line="262" w:lineRule="exact"/>
              <w:ind w:left="105"/>
              <w:rPr>
                <w:b/>
                <w:sz w:val="21"/>
              </w:rPr>
            </w:pPr>
            <w:r>
              <w:rPr>
                <w:b/>
                <w:sz w:val="21"/>
              </w:rPr>
              <w:t>5 保险费的交纳</w:t>
            </w:r>
          </w:p>
        </w:tc>
        <w:tc>
          <w:tcPr>
            <w:tcW w:w="3569" w:type="dxa"/>
          </w:tcPr>
          <w:p>
            <w:pPr>
              <w:pStyle w:val="TableParagraph"/>
              <w:spacing w:line="262" w:lineRule="exact"/>
              <w:ind w:left="107"/>
              <w:rPr>
                <w:b/>
                <w:sz w:val="21"/>
              </w:rPr>
            </w:pPr>
            <w:r>
              <w:rPr>
                <w:b/>
                <w:sz w:val="21"/>
              </w:rPr>
              <w:t>9 其他需要关注的事项</w:t>
            </w:r>
          </w:p>
        </w:tc>
      </w:tr>
      <w:tr>
        <w:trPr>
          <w:trHeight w:val="405" w:hRule="atLeast"/>
        </w:trPr>
        <w:tc>
          <w:tcPr>
            <w:tcW w:w="3139"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tcBorders>
          </w:tcPr>
          <w:p>
            <w:pPr>
              <w:pStyle w:val="TableParagraph"/>
              <w:spacing w:before="66"/>
              <w:ind w:left="316"/>
              <w:rPr>
                <w:sz w:val="21"/>
              </w:rPr>
            </w:pPr>
            <w:r>
              <w:rPr>
                <w:sz w:val="21"/>
              </w:rPr>
              <w:t>5.1 保险费的交纳</w:t>
            </w:r>
          </w:p>
        </w:tc>
        <w:tc>
          <w:tcPr>
            <w:tcW w:w="3569" w:type="dxa"/>
          </w:tcPr>
          <w:p>
            <w:pPr>
              <w:pStyle w:val="TableParagraph"/>
              <w:spacing w:before="66"/>
              <w:ind w:left="318"/>
              <w:rPr>
                <w:sz w:val="21"/>
              </w:rPr>
            </w:pPr>
            <w:r>
              <w:rPr>
                <w:sz w:val="21"/>
              </w:rPr>
              <w:t>9.1 年龄性别错误处理</w:t>
            </w: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spacing w:before="1"/>
              <w:ind w:left="318"/>
              <w:rPr>
                <w:sz w:val="21"/>
              </w:rPr>
            </w:pPr>
            <w:r>
              <w:rPr>
                <w:sz w:val="21"/>
              </w:rPr>
              <w:t>9.2 合同效力终止</w:t>
            </w:r>
          </w:p>
        </w:tc>
      </w:tr>
      <w:tr>
        <w:trPr>
          <w:trHeight w:val="679" w:hRule="atLeast"/>
        </w:trPr>
        <w:tc>
          <w:tcPr>
            <w:tcW w:w="3139"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ind w:left="318"/>
              <w:rPr>
                <w:sz w:val="21"/>
              </w:rPr>
            </w:pPr>
            <w:r>
              <w:rPr>
                <w:sz w:val="21"/>
              </w:rPr>
              <w:t>9.3 适用主合同条款</w:t>
            </w:r>
          </w:p>
        </w:tc>
      </w:tr>
      <w:tr>
        <w:trPr>
          <w:trHeight w:val="680" w:hRule="atLeast"/>
        </w:trPr>
        <w:tc>
          <w:tcPr>
            <w:tcW w:w="3139" w:type="dxa"/>
            <w:tcBorders>
              <w:right w:val="single" w:sz="2" w:space="0" w:color="000000"/>
            </w:tcBorders>
          </w:tcPr>
          <w:p>
            <w:pPr>
              <w:pStyle w:val="TableParagraph"/>
              <w:spacing w:before="12"/>
              <w:ind w:left="0"/>
              <w:rPr>
                <w:rFonts w:ascii="微软雅黑"/>
                <w:b/>
                <w:sz w:val="19"/>
              </w:rPr>
            </w:pPr>
          </w:p>
          <w:p>
            <w:pPr>
              <w:pStyle w:val="TableParagraph"/>
              <w:ind w:left="200"/>
              <w:rPr>
                <w:b/>
                <w:sz w:val="21"/>
              </w:rPr>
            </w:pPr>
            <w:r>
              <w:rPr>
                <w:b/>
                <w:sz w:val="21"/>
              </w:rPr>
              <w:t>2 我们提供的保障</w:t>
            </w:r>
          </w:p>
        </w:tc>
        <w:tc>
          <w:tcPr>
            <w:tcW w:w="3769" w:type="dxa"/>
            <w:tcBorders>
              <w:left w:val="single" w:sz="2" w:space="0" w:color="000000"/>
            </w:tcBorders>
          </w:tcPr>
          <w:p>
            <w:pPr>
              <w:pStyle w:val="TableParagraph"/>
              <w:spacing w:before="12"/>
              <w:ind w:left="0"/>
              <w:rPr>
                <w:rFonts w:ascii="微软雅黑"/>
                <w:b/>
                <w:sz w:val="19"/>
              </w:rPr>
            </w:pPr>
          </w:p>
          <w:p>
            <w:pPr>
              <w:pStyle w:val="TableParagraph"/>
              <w:ind w:left="105"/>
              <w:rPr>
                <w:b/>
                <w:sz w:val="21"/>
              </w:rPr>
            </w:pPr>
            <w:r>
              <w:rPr>
                <w:b/>
                <w:sz w:val="21"/>
              </w:rPr>
              <w:t>6 合同效力的中止与恢复</w:t>
            </w:r>
          </w:p>
        </w:tc>
        <w:tc>
          <w:tcPr>
            <w:tcW w:w="3569" w:type="dxa"/>
          </w:tcPr>
          <w:p>
            <w:pPr>
              <w:pStyle w:val="TableParagraph"/>
              <w:spacing w:before="12"/>
              <w:ind w:left="0"/>
              <w:rPr>
                <w:rFonts w:ascii="微软雅黑"/>
                <w:b/>
                <w:sz w:val="19"/>
              </w:rPr>
            </w:pPr>
          </w:p>
          <w:p>
            <w:pPr>
              <w:pStyle w:val="TableParagraph"/>
              <w:ind w:left="107"/>
              <w:rPr>
                <w:b/>
                <w:sz w:val="21"/>
              </w:rPr>
            </w:pPr>
            <w:r>
              <w:rPr>
                <w:b/>
                <w:sz w:val="21"/>
              </w:rPr>
              <w:t>10 释义</w:t>
            </w:r>
          </w:p>
        </w:tc>
      </w:tr>
      <w:tr>
        <w:trPr>
          <w:trHeight w:val="340" w:hRule="atLeast"/>
        </w:trPr>
        <w:tc>
          <w:tcPr>
            <w:tcW w:w="3139"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tcBorders>
          </w:tcPr>
          <w:p>
            <w:pPr>
              <w:pStyle w:val="TableParagraph"/>
              <w:spacing w:before="1"/>
              <w:ind w:left="316"/>
              <w:rPr>
                <w:sz w:val="21"/>
              </w:rPr>
            </w:pPr>
            <w:r>
              <w:rPr>
                <w:sz w:val="21"/>
              </w:rPr>
              <w:t>6.1 合同效力中止</w:t>
            </w:r>
          </w:p>
        </w:tc>
        <w:tc>
          <w:tcPr>
            <w:tcW w:w="3569" w:type="dxa"/>
          </w:tcPr>
          <w:p>
            <w:pPr>
              <w:pStyle w:val="TableParagraph"/>
              <w:spacing w:before="1"/>
              <w:ind w:left="318"/>
              <w:rPr>
                <w:sz w:val="21"/>
              </w:rPr>
            </w:pPr>
            <w:r>
              <w:rPr>
                <w:sz w:val="21"/>
              </w:rPr>
              <w:t>10.1 意外伤害</w:t>
            </w: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tcBorders>
          </w:tcPr>
          <w:p>
            <w:pPr>
              <w:pStyle w:val="TableParagraph"/>
              <w:spacing w:before="1"/>
              <w:ind w:left="316"/>
              <w:rPr>
                <w:sz w:val="21"/>
              </w:rPr>
            </w:pPr>
            <w:r>
              <w:rPr>
                <w:sz w:val="21"/>
              </w:rPr>
              <w:t>6.2 合同效力恢复（复效）</w:t>
            </w:r>
          </w:p>
        </w:tc>
        <w:tc>
          <w:tcPr>
            <w:tcW w:w="3569" w:type="dxa"/>
          </w:tcPr>
          <w:p>
            <w:pPr>
              <w:pStyle w:val="TableParagraph"/>
              <w:spacing w:before="1"/>
              <w:ind w:left="318"/>
              <w:rPr>
                <w:sz w:val="21"/>
              </w:rPr>
            </w:pPr>
            <w:r>
              <w:rPr>
                <w:sz w:val="21"/>
              </w:rPr>
              <w:t>10.2 我们认可的医院</w:t>
            </w:r>
          </w:p>
        </w:tc>
      </w:tr>
      <w:tr>
        <w:trPr>
          <w:trHeight w:val="339" w:hRule="atLeast"/>
        </w:trPr>
        <w:tc>
          <w:tcPr>
            <w:tcW w:w="3139" w:type="dxa"/>
            <w:tcBorders>
              <w:right w:val="single" w:sz="2" w:space="0" w:color="000000"/>
            </w:tcBorders>
          </w:tcPr>
          <w:p>
            <w:pPr>
              <w:pStyle w:val="TableParagraph"/>
              <w:ind w:left="411"/>
              <w:rPr>
                <w:sz w:val="21"/>
              </w:rPr>
            </w:pPr>
            <w:r>
              <w:rPr>
                <w:sz w:val="21"/>
              </w:rPr>
              <w:t>2.3 保险责任</w:t>
            </w: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ind w:left="318"/>
              <w:rPr>
                <w:sz w:val="21"/>
              </w:rPr>
            </w:pPr>
            <w:r>
              <w:rPr>
                <w:sz w:val="21"/>
              </w:rPr>
              <w:t>10.3 专科医生</w:t>
            </w:r>
          </w:p>
        </w:tc>
      </w:tr>
      <w:tr>
        <w:trPr>
          <w:trHeight w:val="340" w:hRule="atLeast"/>
        </w:trPr>
        <w:tc>
          <w:tcPr>
            <w:tcW w:w="3139"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spacing w:before="1"/>
              <w:ind w:left="318"/>
              <w:rPr>
                <w:sz w:val="21"/>
              </w:rPr>
            </w:pPr>
            <w:r>
              <w:rPr>
                <w:sz w:val="21"/>
              </w:rPr>
              <w:t>10.4 毒品</w:t>
            </w:r>
          </w:p>
        </w:tc>
      </w:tr>
      <w:tr>
        <w:trPr>
          <w:trHeight w:val="339" w:hRule="atLeast"/>
        </w:trPr>
        <w:tc>
          <w:tcPr>
            <w:tcW w:w="3139"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spacing w:before="1"/>
              <w:ind w:left="318"/>
              <w:rPr>
                <w:sz w:val="21"/>
              </w:rPr>
            </w:pPr>
            <w:r>
              <w:rPr>
                <w:sz w:val="21"/>
              </w:rPr>
              <w:t>10.5 患艾滋病或感染艾滋病病毒</w:t>
            </w:r>
          </w:p>
        </w:tc>
      </w:tr>
      <w:tr>
        <w:trPr>
          <w:trHeight w:val="343" w:hRule="atLeast"/>
        </w:trPr>
        <w:tc>
          <w:tcPr>
            <w:tcW w:w="3139"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ind w:left="318"/>
              <w:rPr>
                <w:sz w:val="21"/>
              </w:rPr>
            </w:pPr>
            <w:r>
              <w:rPr>
                <w:sz w:val="21"/>
              </w:rPr>
              <w:t>10.6 遗传性疾病</w:t>
            </w:r>
          </w:p>
        </w:tc>
      </w:tr>
      <w:tr>
        <w:trPr>
          <w:trHeight w:val="308" w:hRule="atLeast"/>
        </w:trPr>
        <w:tc>
          <w:tcPr>
            <w:tcW w:w="3139"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tcBorders>
          </w:tcPr>
          <w:p>
            <w:pPr>
              <w:pStyle w:val="TableParagraph"/>
              <w:spacing w:line="243" w:lineRule="exact"/>
              <w:ind w:left="105"/>
              <w:rPr>
                <w:b/>
                <w:sz w:val="21"/>
              </w:rPr>
            </w:pPr>
            <w:r>
              <w:rPr>
                <w:b/>
                <w:sz w:val="21"/>
              </w:rPr>
              <w:t>7 合同解除</w:t>
            </w:r>
          </w:p>
        </w:tc>
        <w:tc>
          <w:tcPr>
            <w:tcW w:w="3569" w:type="dxa"/>
          </w:tcPr>
          <w:p>
            <w:pPr>
              <w:pStyle w:val="TableParagraph"/>
              <w:spacing w:line="243" w:lineRule="exact"/>
              <w:ind w:left="318"/>
              <w:rPr>
                <w:sz w:val="21"/>
              </w:rPr>
            </w:pPr>
            <w:r>
              <w:rPr>
                <w:sz w:val="21"/>
              </w:rPr>
              <w:t>10.7 先天性畸形、变形或染</w:t>
            </w:r>
          </w:p>
        </w:tc>
      </w:tr>
      <w:tr>
        <w:trPr>
          <w:trHeight w:val="340" w:hRule="atLeast"/>
        </w:trPr>
        <w:tc>
          <w:tcPr>
            <w:tcW w:w="3139" w:type="dxa"/>
            <w:tcBorders>
              <w:right w:val="single" w:sz="2" w:space="0" w:color="000000"/>
            </w:tcBorders>
          </w:tcPr>
          <w:p>
            <w:pPr>
              <w:pStyle w:val="TableParagraph"/>
              <w:spacing w:before="1"/>
              <w:ind w:left="0" w:right="828"/>
              <w:jc w:val="right"/>
              <w:rPr>
                <w:sz w:val="21"/>
              </w:rPr>
            </w:pPr>
            <w:r>
              <w:rPr>
                <w:sz w:val="21"/>
              </w:rPr>
              <w:t>3.1 重大疾病的范围</w:t>
            </w:r>
          </w:p>
        </w:tc>
        <w:tc>
          <w:tcPr>
            <w:tcW w:w="3769" w:type="dxa"/>
            <w:tcBorders>
              <w:left w:val="single" w:sz="2" w:space="0" w:color="000000"/>
            </w:tcBorders>
          </w:tcPr>
          <w:p>
            <w:pPr>
              <w:pStyle w:val="TableParagraph"/>
              <w:spacing w:before="1"/>
              <w:ind w:left="316"/>
              <w:rPr>
                <w:sz w:val="21"/>
              </w:rPr>
            </w:pPr>
            <w:r>
              <w:rPr>
                <w:sz w:val="21"/>
              </w:rPr>
              <w:t>7.1 犹豫期后解除合同（退保）的</w:t>
            </w:r>
          </w:p>
        </w:tc>
        <w:tc>
          <w:tcPr>
            <w:tcW w:w="3569" w:type="dxa"/>
          </w:tcPr>
          <w:p>
            <w:pPr>
              <w:pStyle w:val="TableParagraph"/>
              <w:spacing w:before="1"/>
              <w:ind w:left="851"/>
              <w:rPr>
                <w:sz w:val="21"/>
              </w:rPr>
            </w:pPr>
            <w:r>
              <w:rPr>
                <w:sz w:val="21"/>
              </w:rPr>
              <w:t>色体异常</w:t>
            </w:r>
          </w:p>
        </w:tc>
      </w:tr>
      <w:tr>
        <w:trPr>
          <w:trHeight w:val="339" w:hRule="atLeast"/>
        </w:trPr>
        <w:tc>
          <w:tcPr>
            <w:tcW w:w="3139" w:type="dxa"/>
            <w:tcBorders>
              <w:right w:val="single" w:sz="2" w:space="0" w:color="000000"/>
            </w:tcBorders>
          </w:tcPr>
          <w:p>
            <w:pPr>
              <w:pStyle w:val="TableParagraph"/>
              <w:spacing w:before="1"/>
              <w:ind w:left="0" w:right="828"/>
              <w:jc w:val="right"/>
              <w:rPr>
                <w:sz w:val="21"/>
              </w:rPr>
            </w:pPr>
            <w:r>
              <w:rPr>
                <w:sz w:val="21"/>
              </w:rPr>
              <w:t>3.2 重大疾病的定义</w:t>
            </w:r>
          </w:p>
        </w:tc>
        <w:tc>
          <w:tcPr>
            <w:tcW w:w="3769" w:type="dxa"/>
            <w:tcBorders>
              <w:left w:val="single" w:sz="2" w:space="0" w:color="000000"/>
            </w:tcBorders>
          </w:tcPr>
          <w:p>
            <w:pPr>
              <w:pStyle w:val="TableParagraph"/>
              <w:spacing w:before="1"/>
              <w:ind w:left="316"/>
              <w:rPr>
                <w:sz w:val="21"/>
              </w:rPr>
            </w:pPr>
            <w:r>
              <w:rPr>
                <w:sz w:val="21"/>
              </w:rPr>
              <w:t>手续及风险</w:t>
            </w:r>
          </w:p>
        </w:tc>
        <w:tc>
          <w:tcPr>
            <w:tcW w:w="3569" w:type="dxa"/>
          </w:tcPr>
          <w:p>
            <w:pPr>
              <w:pStyle w:val="TableParagraph"/>
              <w:spacing w:before="1"/>
              <w:ind w:left="318"/>
              <w:rPr>
                <w:sz w:val="21"/>
              </w:rPr>
            </w:pPr>
            <w:r>
              <w:rPr>
                <w:sz w:val="21"/>
              </w:rPr>
              <w:t>10.8 六项基本日常生活活动</w:t>
            </w:r>
          </w:p>
        </w:tc>
      </w:tr>
      <w:tr>
        <w:trPr>
          <w:trHeight w:val="339" w:hRule="atLeast"/>
        </w:trPr>
        <w:tc>
          <w:tcPr>
            <w:tcW w:w="3139"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ind w:left="318"/>
              <w:rPr>
                <w:sz w:val="21"/>
              </w:rPr>
            </w:pPr>
            <w:r>
              <w:rPr>
                <w:sz w:val="21"/>
              </w:rPr>
              <w:t>10.9 肢体机能完全丧失</w:t>
            </w:r>
          </w:p>
        </w:tc>
      </w:tr>
      <w:tr>
        <w:trPr>
          <w:trHeight w:val="340" w:hRule="atLeast"/>
        </w:trPr>
        <w:tc>
          <w:tcPr>
            <w:tcW w:w="3139"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spacing w:before="1"/>
              <w:ind w:left="318"/>
              <w:rPr>
                <w:sz w:val="21"/>
              </w:rPr>
            </w:pPr>
            <w:r>
              <w:rPr>
                <w:sz w:val="21"/>
              </w:rPr>
              <w:t>10.10 语言能力或咀嚼吞咽</w:t>
            </w:r>
          </w:p>
        </w:tc>
      </w:tr>
      <w:tr>
        <w:trPr>
          <w:trHeight w:val="339" w:hRule="atLeast"/>
        </w:trPr>
        <w:tc>
          <w:tcPr>
            <w:tcW w:w="3139"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tcBorders>
          </w:tcPr>
          <w:p>
            <w:pPr>
              <w:pStyle w:val="TableParagraph"/>
              <w:spacing w:before="1"/>
              <w:ind w:left="105"/>
              <w:rPr>
                <w:b/>
                <w:sz w:val="21"/>
              </w:rPr>
            </w:pPr>
            <w:r>
              <w:rPr>
                <w:b/>
                <w:sz w:val="21"/>
              </w:rPr>
              <w:t>8 如实告知</w:t>
            </w:r>
          </w:p>
        </w:tc>
        <w:tc>
          <w:tcPr>
            <w:tcW w:w="3569" w:type="dxa"/>
          </w:tcPr>
          <w:p>
            <w:pPr>
              <w:pStyle w:val="TableParagraph"/>
              <w:spacing w:before="1"/>
              <w:ind w:left="954"/>
              <w:rPr>
                <w:sz w:val="21"/>
              </w:rPr>
            </w:pPr>
            <w:r>
              <w:rPr>
                <w:sz w:val="21"/>
              </w:rPr>
              <w:t>能力完全丧失</w:t>
            </w:r>
          </w:p>
        </w:tc>
      </w:tr>
      <w:tr>
        <w:trPr>
          <w:trHeight w:val="339" w:hRule="atLeast"/>
        </w:trPr>
        <w:tc>
          <w:tcPr>
            <w:tcW w:w="3139" w:type="dxa"/>
            <w:tcBorders>
              <w:right w:val="single" w:sz="2" w:space="0" w:color="000000"/>
            </w:tcBorders>
          </w:tcPr>
          <w:p>
            <w:pPr>
              <w:pStyle w:val="TableParagraph"/>
              <w:ind w:left="411"/>
              <w:rPr>
                <w:sz w:val="21"/>
              </w:rPr>
            </w:pPr>
            <w:r>
              <w:rPr>
                <w:sz w:val="21"/>
              </w:rPr>
              <w:t>4.1 受益人</w:t>
            </w:r>
          </w:p>
        </w:tc>
        <w:tc>
          <w:tcPr>
            <w:tcW w:w="3769" w:type="dxa"/>
            <w:tcBorders>
              <w:left w:val="single" w:sz="2" w:space="0" w:color="000000"/>
            </w:tcBorders>
          </w:tcPr>
          <w:p>
            <w:pPr>
              <w:pStyle w:val="TableParagraph"/>
              <w:ind w:left="316"/>
              <w:rPr>
                <w:sz w:val="21"/>
              </w:rPr>
            </w:pPr>
            <w:r>
              <w:rPr>
                <w:sz w:val="21"/>
              </w:rPr>
              <w:t>8.1 明确说明与如实告知</w:t>
            </w:r>
          </w:p>
        </w:tc>
        <w:tc>
          <w:tcPr>
            <w:tcW w:w="3569" w:type="dxa"/>
          </w:tcPr>
          <w:p>
            <w:pPr>
              <w:pStyle w:val="TableParagraph"/>
              <w:ind w:left="318"/>
              <w:rPr>
                <w:sz w:val="21"/>
              </w:rPr>
            </w:pPr>
            <w:r>
              <w:rPr>
                <w:sz w:val="21"/>
              </w:rPr>
              <w:t>10.11 永久不可逆</w:t>
            </w:r>
          </w:p>
        </w:tc>
      </w:tr>
      <w:tr>
        <w:trPr>
          <w:trHeight w:val="341" w:hRule="atLeast"/>
        </w:trPr>
        <w:tc>
          <w:tcPr>
            <w:tcW w:w="3139"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tcBorders>
          </w:tcPr>
          <w:p>
            <w:pPr>
              <w:pStyle w:val="TableParagraph"/>
              <w:spacing w:before="1"/>
              <w:ind w:left="316"/>
              <w:rPr>
                <w:sz w:val="21"/>
              </w:rPr>
            </w:pPr>
            <w:r>
              <w:rPr>
                <w:sz w:val="21"/>
              </w:rPr>
              <w:t>8.2 本公司合同解除权的限制</w:t>
            </w:r>
          </w:p>
        </w:tc>
        <w:tc>
          <w:tcPr>
            <w:tcW w:w="3569" w:type="dxa"/>
          </w:tcPr>
          <w:p>
            <w:pPr>
              <w:pStyle w:val="TableParagraph"/>
              <w:ind w:left="0"/>
              <w:rPr>
                <w:rFonts w:ascii="Times New Roman"/>
                <w:sz w:val="20"/>
              </w:rPr>
            </w:pPr>
          </w:p>
        </w:tc>
      </w:tr>
      <w:tr>
        <w:trPr>
          <w:trHeight w:val="339" w:hRule="atLeast"/>
        </w:trPr>
        <w:tc>
          <w:tcPr>
            <w:tcW w:w="3139"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ind w:left="0"/>
              <w:rPr>
                <w:rFonts w:ascii="Times New Roman"/>
                <w:sz w:val="20"/>
              </w:rPr>
            </w:pPr>
          </w:p>
        </w:tc>
      </w:tr>
      <w:tr>
        <w:trPr>
          <w:trHeight w:val="1373" w:hRule="atLeast"/>
        </w:trPr>
        <w:tc>
          <w:tcPr>
            <w:tcW w:w="3139" w:type="dxa"/>
            <w:tcBorders>
              <w:right w:val="single" w:sz="2" w:space="0" w:color="000000"/>
            </w:tcBorders>
          </w:tcPr>
          <w:p>
            <w:pPr>
              <w:pStyle w:val="TableParagraph"/>
              <w:ind w:left="411"/>
              <w:rPr>
                <w:sz w:val="21"/>
              </w:rPr>
            </w:pPr>
            <w:r>
              <w:rPr>
                <w:sz w:val="21"/>
              </w:rPr>
              <w:t>4.4 诉讼时效</w:t>
            </w:r>
          </w:p>
        </w:tc>
        <w:tc>
          <w:tcPr>
            <w:tcW w:w="3769" w:type="dxa"/>
            <w:tcBorders>
              <w:left w:val="single" w:sz="2" w:space="0" w:color="000000"/>
            </w:tcBorders>
          </w:tcPr>
          <w:p>
            <w:pPr>
              <w:pStyle w:val="TableParagraph"/>
              <w:ind w:left="0"/>
              <w:rPr>
                <w:rFonts w:ascii="Times New Roman"/>
                <w:sz w:val="20"/>
              </w:rPr>
            </w:pPr>
          </w:p>
        </w:tc>
        <w:tc>
          <w:tcPr>
            <w:tcW w:w="3569" w:type="dxa"/>
          </w:tcPr>
          <w:p>
            <w:pPr>
              <w:pStyle w:val="TableParagraph"/>
              <w:ind w:left="0"/>
              <w:rPr>
                <w:rFonts w:ascii="Times New Roman"/>
                <w:sz w:val="20"/>
              </w:rPr>
            </w:pPr>
          </w:p>
        </w:tc>
      </w:tr>
    </w:tbl>
    <w:p>
      <w:pPr>
        <w:spacing w:after="0"/>
        <w:rPr>
          <w:rFonts w:ascii="Times New Roman"/>
          <w:sz w:val="20"/>
        </w:rPr>
        <w:sectPr>
          <w:pgSz w:w="11910" w:h="16840"/>
          <w:pgMar w:top="1140" w:bottom="280" w:left="820" w:right="400"/>
        </w:sectPr>
      </w:pPr>
    </w:p>
    <w:p>
      <w:pPr>
        <w:pStyle w:val="Heading1"/>
        <w:spacing w:line="404" w:lineRule="exact"/>
        <w:ind w:left="2260" w:right="0"/>
        <w:jc w:val="left"/>
        <w:rPr>
          <w:rFonts w:ascii="黑体" w:eastAsia="黑体" w:hint="eastAsia"/>
        </w:rPr>
      </w:pPr>
      <w:r>
        <w:rPr>
          <w:rFonts w:ascii="黑体" w:eastAsia="黑体" w:hint="eastAsia"/>
          <w:w w:val="95"/>
        </w:rPr>
        <w:t>华汇人寿附加汇康呈祥重大疾病保险条款</w:t>
      </w:r>
    </w:p>
    <w:p>
      <w:pPr>
        <w:pStyle w:val="BodyText"/>
        <w:spacing w:before="9"/>
        <w:rPr>
          <w:rFonts w:ascii="黑体"/>
          <w:b/>
          <w:sz w:val="34"/>
        </w:rPr>
      </w:pPr>
    </w:p>
    <w:p>
      <w:pPr>
        <w:pStyle w:val="BodyText"/>
        <w:spacing w:line="273" w:lineRule="auto"/>
        <w:ind w:left="220" w:right="250"/>
      </w:pPr>
      <w:r>
        <w:rPr>
          <w:w w:val="100"/>
        </w:rPr>
        <w:t>在本条款中，“您”指投保人，“我们”、“本公司”均指华汇人寿保险股份有限公司，“本附加合同”指</w:t>
      </w:r>
      <w:r>
        <w:rPr/>
        <w:t>您与我们之间订立的“华汇人寿附加汇康呈祥重大疾病保险合同”。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532"/>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39"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1247" w:hRule="atLeast"/>
        </w:trPr>
        <w:tc>
          <w:tcPr>
            <w:tcW w:w="953" w:type="dxa"/>
            <w:tcBorders>
              <w:top w:val="double" w:sz="1" w:space="0" w:color="000000"/>
            </w:tcBorders>
          </w:tcPr>
          <w:p>
            <w:pPr>
              <w:pStyle w:val="TableParagraph"/>
              <w:ind w:left="0"/>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ind w:left="0"/>
              <w:rPr>
                <w:sz w:val="14"/>
              </w:rPr>
            </w:pPr>
          </w:p>
          <w:p>
            <w:pPr>
              <w:pStyle w:val="TableParagraph"/>
              <w:ind w:left="316"/>
              <w:rPr>
                <w:b/>
                <w:sz w:val="21"/>
              </w:rPr>
            </w:pPr>
            <w:r>
              <w:rPr>
                <w:b/>
                <w:sz w:val="21"/>
              </w:rPr>
              <w:t>合同订立</w:t>
            </w:r>
          </w:p>
        </w:tc>
        <w:tc>
          <w:tcPr>
            <w:tcW w:w="7532" w:type="dxa"/>
            <w:tcBorders>
              <w:top w:val="double" w:sz="1" w:space="0" w:color="000000"/>
            </w:tcBorders>
          </w:tcPr>
          <w:p>
            <w:pPr>
              <w:pStyle w:val="TableParagraph"/>
              <w:ind w:left="0"/>
              <w:rPr>
                <w:sz w:val="14"/>
              </w:rPr>
            </w:pPr>
          </w:p>
          <w:p>
            <w:pPr>
              <w:pStyle w:val="TableParagraph"/>
              <w:spacing w:line="273" w:lineRule="auto"/>
              <w:ind w:right="53"/>
              <w:rPr>
                <w:sz w:val="21"/>
              </w:rPr>
            </w:pPr>
            <w:r>
              <w:rPr>
                <w:w w:val="100"/>
                <w:sz w:val="21"/>
              </w:rPr>
              <w:t>本附加合同由“华汇人寿汇康呈祥两全保险（分红型）合同”（以下简称“主合</w:t>
            </w:r>
            <w:r>
              <w:rPr>
                <w:sz w:val="21"/>
              </w:rPr>
              <w:t>同”）投保人提出申请，经我们同意而订立。本附加合同须附加于主合同后始为有效。</w:t>
            </w:r>
          </w:p>
        </w:tc>
      </w:tr>
      <w:tr>
        <w:trPr>
          <w:trHeight w:val="1160"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532" w:type="dxa"/>
          </w:tcPr>
          <w:p>
            <w:pPr>
              <w:pStyle w:val="TableParagraph"/>
              <w:spacing w:line="273" w:lineRule="auto" w:before="100"/>
              <w:ind w:right="4083"/>
              <w:rPr>
                <w:sz w:val="21"/>
              </w:rPr>
            </w:pPr>
            <w:r>
              <w:rPr>
                <w:spacing w:val="-3"/>
                <w:sz w:val="21"/>
              </w:rPr>
              <w:t>本附加合同须与主合同同时投保。 本附加合同的生效日与主合同相同。</w:t>
            </w:r>
          </w:p>
          <w:p>
            <w:pPr>
              <w:pStyle w:val="TableParagraph"/>
              <w:spacing w:before="7"/>
              <w:rPr>
                <w:sz w:val="21"/>
              </w:rPr>
            </w:pPr>
            <w:r>
              <w:rPr>
                <w:sz w:val="21"/>
              </w:rPr>
              <w:t>本附加合同的保单年度、保险费约定交纳日均以生效日起算。</w:t>
            </w:r>
          </w:p>
        </w:tc>
      </w:tr>
      <w:tr>
        <w:trPr>
          <w:trHeight w:val="1652" w:hRule="atLeast"/>
        </w:trPr>
        <w:tc>
          <w:tcPr>
            <w:tcW w:w="953" w:type="dxa"/>
          </w:tcPr>
          <w:p>
            <w:pPr>
              <w:pStyle w:val="TableParagraph"/>
              <w:spacing w:before="102"/>
              <w:ind w:left="107"/>
              <w:rPr>
                <w:b/>
                <w:sz w:val="21"/>
              </w:rPr>
            </w:pPr>
            <w:r>
              <w:rPr>
                <w:b/>
                <w:sz w:val="21"/>
              </w:rPr>
              <w:t>1.3</w:t>
            </w:r>
          </w:p>
        </w:tc>
        <w:tc>
          <w:tcPr>
            <w:tcW w:w="1707" w:type="dxa"/>
          </w:tcPr>
          <w:p>
            <w:pPr>
              <w:pStyle w:val="TableParagraph"/>
              <w:spacing w:before="102"/>
              <w:ind w:left="316"/>
              <w:rPr>
                <w:b/>
                <w:sz w:val="21"/>
              </w:rPr>
            </w:pPr>
            <w:r>
              <w:rPr>
                <w:b/>
                <w:sz w:val="21"/>
              </w:rPr>
              <w:t>犹豫期</w:t>
            </w:r>
          </w:p>
        </w:tc>
        <w:tc>
          <w:tcPr>
            <w:tcW w:w="7532" w:type="dxa"/>
          </w:tcPr>
          <w:p>
            <w:pPr>
              <w:pStyle w:val="TableParagraph"/>
              <w:spacing w:line="256" w:lineRule="auto" w:before="102"/>
              <w:ind w:right="100"/>
              <w:rPr>
                <w:sz w:val="21"/>
              </w:rPr>
            </w:pPr>
            <w:r>
              <w:rPr>
                <w:sz w:val="21"/>
              </w:rPr>
              <w:t>自您签收本附加合同的次日起，有 </w:t>
            </w:r>
            <w:r>
              <w:rPr>
                <w:rFonts w:ascii="Times New Roman" w:eastAsia="Times New Roman"/>
                <w:sz w:val="21"/>
              </w:rPr>
              <w:t>10 </w:t>
            </w:r>
            <w:r>
              <w:rPr>
                <w:sz w:val="21"/>
              </w:rPr>
              <w:t>日的犹豫期。在此期间，您可以并同主合同提出解除本附加合同，我们将无息退还您所交纳的保险费。</w:t>
            </w:r>
          </w:p>
          <w:p>
            <w:pPr>
              <w:pStyle w:val="TableParagraph"/>
              <w:spacing w:line="273" w:lineRule="auto" w:before="21"/>
              <w:ind w:right="93"/>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ind w:left="0"/>
              <w:rPr>
                <w:sz w:val="19"/>
              </w:rPr>
            </w:pPr>
          </w:p>
          <w:p>
            <w:pPr>
              <w:pStyle w:val="TableParagraph"/>
              <w:ind w:left="107"/>
              <w:rPr>
                <w:b/>
                <w:sz w:val="28"/>
              </w:rPr>
            </w:pPr>
            <w:r>
              <w:rPr>
                <w:b/>
                <w:w w:val="99"/>
                <w:sz w:val="28"/>
              </w:rPr>
              <w:t>2</w:t>
            </w:r>
          </w:p>
        </w:tc>
        <w:tc>
          <w:tcPr>
            <w:tcW w:w="9239" w:type="dxa"/>
            <w:gridSpan w:val="2"/>
            <w:tcBorders>
              <w:bottom w:val="double" w:sz="1" w:space="0" w:color="000000"/>
            </w:tcBorders>
          </w:tcPr>
          <w:p>
            <w:pPr>
              <w:pStyle w:val="TableParagraph"/>
              <w:spacing w:before="4"/>
              <w:ind w:left="0"/>
              <w:rPr>
                <w:sz w:val="19"/>
              </w:rPr>
            </w:pPr>
          </w:p>
          <w:p>
            <w:pPr>
              <w:pStyle w:val="TableParagraph"/>
              <w:ind w:left="316"/>
              <w:rPr>
                <w:b/>
                <w:sz w:val="28"/>
              </w:rPr>
            </w:pPr>
            <w:r>
              <w:rPr>
                <w:b/>
                <w:w w:val="95"/>
                <w:sz w:val="28"/>
              </w:rPr>
              <w:t>我们提供的保障</w:t>
            </w:r>
          </w:p>
        </w:tc>
      </w:tr>
      <w:tr>
        <w:trPr>
          <w:trHeight w:val="883"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532" w:type="dxa"/>
            <w:tcBorders>
              <w:top w:val="double" w:sz="1" w:space="0" w:color="000000"/>
            </w:tcBorders>
          </w:tcPr>
          <w:p>
            <w:pPr>
              <w:pStyle w:val="TableParagraph"/>
              <w:spacing w:line="273" w:lineRule="auto" w:before="133"/>
              <w:ind w:right="100"/>
              <w:rPr>
                <w:sz w:val="21"/>
              </w:rPr>
            </w:pPr>
            <w:r>
              <w:rPr>
                <w:sz w:val="21"/>
              </w:rPr>
              <w:t>本附加合同的基本保险金额由您在投保时与我们约定，并在保险单上载明。若该金额发生变更，则以变更后的金额为基本保险金额。</w:t>
            </w:r>
          </w:p>
        </w:tc>
      </w:tr>
      <w:tr>
        <w:trPr>
          <w:trHeight w:val="850" w:hRule="atLeast"/>
        </w:trPr>
        <w:tc>
          <w:tcPr>
            <w:tcW w:w="953" w:type="dxa"/>
          </w:tcPr>
          <w:p>
            <w:pPr>
              <w:pStyle w:val="TableParagraph"/>
              <w:spacing w:before="99"/>
              <w:ind w:left="107"/>
              <w:rPr>
                <w:b/>
                <w:sz w:val="21"/>
              </w:rPr>
            </w:pPr>
            <w:r>
              <w:rPr>
                <w:b/>
                <w:sz w:val="21"/>
              </w:rPr>
              <w:t>2.2</w:t>
            </w:r>
          </w:p>
        </w:tc>
        <w:tc>
          <w:tcPr>
            <w:tcW w:w="1707" w:type="dxa"/>
          </w:tcPr>
          <w:p>
            <w:pPr>
              <w:pStyle w:val="TableParagraph"/>
              <w:spacing w:before="99"/>
              <w:ind w:left="316"/>
              <w:rPr>
                <w:b/>
                <w:sz w:val="21"/>
              </w:rPr>
            </w:pPr>
            <w:r>
              <w:rPr>
                <w:b/>
                <w:sz w:val="21"/>
              </w:rPr>
              <w:t>保险期间</w:t>
            </w:r>
          </w:p>
        </w:tc>
        <w:tc>
          <w:tcPr>
            <w:tcW w:w="7532" w:type="dxa"/>
          </w:tcPr>
          <w:p>
            <w:pPr>
              <w:pStyle w:val="TableParagraph"/>
              <w:spacing w:line="273" w:lineRule="auto" w:before="99"/>
              <w:ind w:right="100"/>
              <w:rPr>
                <w:sz w:val="21"/>
              </w:rPr>
            </w:pPr>
            <w:r>
              <w:rPr>
                <w:spacing w:val="-5"/>
                <w:sz w:val="21"/>
              </w:rPr>
              <w:t>本附加合同的保险期间分为 </w:t>
            </w:r>
            <w:r>
              <w:rPr>
                <w:sz w:val="21"/>
              </w:rPr>
              <w:t>5</w:t>
            </w:r>
            <w:r>
              <w:rPr>
                <w:spacing w:val="-8"/>
                <w:sz w:val="21"/>
              </w:rPr>
              <w:t> 年、</w:t>
            </w:r>
            <w:r>
              <w:rPr>
                <w:sz w:val="21"/>
              </w:rPr>
              <w:t>10</w:t>
            </w:r>
            <w:r>
              <w:rPr>
                <w:spacing w:val="-8"/>
                <w:sz w:val="21"/>
              </w:rPr>
              <w:t> 年、</w:t>
            </w:r>
            <w:r>
              <w:rPr>
                <w:sz w:val="21"/>
              </w:rPr>
              <w:t>20</w:t>
            </w:r>
            <w:r>
              <w:rPr>
                <w:spacing w:val="-6"/>
                <w:sz w:val="21"/>
              </w:rPr>
              <w:t> 年三种，由您和我们约定并在保险</w:t>
            </w:r>
            <w:r>
              <w:rPr>
                <w:spacing w:val="-4"/>
                <w:sz w:val="21"/>
              </w:rPr>
              <w:t>单上载明。保险期间自本合同生效日起算。</w:t>
            </w:r>
          </w:p>
        </w:tc>
      </w:tr>
      <w:tr>
        <w:trPr>
          <w:trHeight w:val="551" w:hRule="atLeast"/>
        </w:trPr>
        <w:tc>
          <w:tcPr>
            <w:tcW w:w="953" w:type="dxa"/>
          </w:tcPr>
          <w:p>
            <w:pPr>
              <w:pStyle w:val="TableParagraph"/>
              <w:spacing w:before="100"/>
              <w:ind w:left="107"/>
              <w:rPr>
                <w:b/>
                <w:sz w:val="21"/>
              </w:rPr>
            </w:pPr>
            <w:r>
              <w:rPr>
                <w:b/>
                <w:sz w:val="21"/>
              </w:rPr>
              <w:t>2.3</w:t>
            </w:r>
          </w:p>
        </w:tc>
        <w:tc>
          <w:tcPr>
            <w:tcW w:w="1707" w:type="dxa"/>
          </w:tcPr>
          <w:p>
            <w:pPr>
              <w:pStyle w:val="TableParagraph"/>
              <w:spacing w:before="100"/>
              <w:ind w:left="316"/>
              <w:rPr>
                <w:b/>
                <w:sz w:val="21"/>
              </w:rPr>
            </w:pPr>
            <w:r>
              <w:rPr>
                <w:b/>
                <w:sz w:val="21"/>
              </w:rPr>
              <w:t>保险责任</w:t>
            </w:r>
          </w:p>
        </w:tc>
        <w:tc>
          <w:tcPr>
            <w:tcW w:w="7532" w:type="dxa"/>
          </w:tcPr>
          <w:p>
            <w:pPr>
              <w:pStyle w:val="TableParagraph"/>
              <w:spacing w:before="127"/>
              <w:rPr>
                <w:sz w:val="21"/>
              </w:rPr>
            </w:pPr>
            <w:r>
              <w:rPr>
                <w:sz w:val="21"/>
              </w:rPr>
              <w:t>在本附加合同有效期内，我们承担如下保险责任：</w:t>
            </w:r>
          </w:p>
        </w:tc>
      </w:tr>
      <w:tr>
        <w:trPr>
          <w:trHeight w:val="2754"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rPr>
                <w:i/>
                <w:sz w:val="22"/>
              </w:rPr>
            </w:pPr>
            <w:r>
              <w:rPr>
                <w:i/>
                <w:w w:val="95"/>
                <w:sz w:val="22"/>
              </w:rPr>
              <w:t>重大疾病给</w:t>
            </w:r>
            <w:r>
              <w:rPr>
                <w:i/>
                <w:sz w:val="22"/>
              </w:rPr>
              <w:t>付</w:t>
            </w:r>
          </w:p>
        </w:tc>
        <w:tc>
          <w:tcPr>
            <w:tcW w:w="7532" w:type="dxa"/>
          </w:tcPr>
          <w:p>
            <w:pPr>
              <w:pStyle w:val="TableParagraph"/>
              <w:spacing w:before="122"/>
              <w:ind w:right="-15"/>
              <w:rPr>
                <w:sz w:val="21"/>
              </w:rPr>
            </w:pPr>
            <w:r>
              <w:rPr>
                <w:spacing w:val="-8"/>
                <w:sz w:val="21"/>
              </w:rPr>
              <w:t>自本附加合同生效</w:t>
            </w:r>
            <w:r>
              <w:rPr>
                <w:spacing w:val="-3"/>
                <w:sz w:val="21"/>
              </w:rPr>
              <w:t>（或最后复效</w:t>
            </w:r>
            <w:r>
              <w:rPr>
                <w:spacing w:val="-39"/>
                <w:sz w:val="21"/>
              </w:rPr>
              <w:t>）</w:t>
            </w:r>
            <w:r>
              <w:rPr>
                <w:spacing w:val="-8"/>
                <w:sz w:val="21"/>
              </w:rPr>
              <w:t>之日起一年内，被保险人发生下列情形之一的：</w:t>
            </w:r>
          </w:p>
          <w:p>
            <w:pPr>
              <w:pStyle w:val="TableParagraph"/>
              <w:spacing w:line="278" w:lineRule="auto" w:before="44"/>
              <w:ind w:right="100"/>
              <w:jc w:val="both"/>
              <w:rPr>
                <w:sz w:val="21"/>
              </w:rPr>
            </w:pPr>
            <w:r>
              <w:rPr>
                <w:spacing w:val="1"/>
                <w:w w:val="100"/>
                <w:sz w:val="21"/>
              </w:rPr>
              <w:t>（一）</w:t>
            </w:r>
            <w:r>
              <w:rPr>
                <w:spacing w:val="-22"/>
                <w:w w:val="100"/>
                <w:sz w:val="21"/>
              </w:rPr>
              <w:t>重大疾病，</w:t>
            </w:r>
            <w:r>
              <w:rPr>
                <w:spacing w:val="1"/>
                <w:w w:val="100"/>
                <w:sz w:val="21"/>
              </w:rPr>
              <w:t>（二</w:t>
            </w:r>
            <w:r>
              <w:rPr>
                <w:w w:val="100"/>
                <w:sz w:val="21"/>
              </w:rPr>
              <w:t>）因导致“重大疾病”的相关疾病就诊；我们不承担保险</w:t>
            </w:r>
            <w:r>
              <w:rPr>
                <w:spacing w:val="-4"/>
                <w:sz w:val="21"/>
              </w:rPr>
              <w:t>责任，本附加合同及主合同效力终止，我们将给付本附加合同及主合同累计已交</w:t>
            </w:r>
            <w:r>
              <w:rPr>
                <w:spacing w:val="-8"/>
                <w:sz w:val="21"/>
              </w:rPr>
              <w:t>保险费之和的 </w:t>
            </w:r>
            <w:r>
              <w:rPr>
                <w:sz w:val="21"/>
              </w:rPr>
              <w:t>105</w:t>
            </w:r>
            <w:r>
              <w:rPr>
                <w:spacing w:val="-9"/>
                <w:sz w:val="21"/>
              </w:rPr>
              <w:t>%。这一年的时间称为等待期；被保险人因</w:t>
            </w:r>
            <w:r>
              <w:rPr>
                <w:b/>
                <w:sz w:val="21"/>
              </w:rPr>
              <w:t>意外伤害</w:t>
            </w:r>
            <w:r>
              <w:rPr>
                <w:spacing w:val="-3"/>
                <w:sz w:val="21"/>
              </w:rPr>
              <w:t>发生上述两项情形之一的，无等待期。</w:t>
            </w:r>
          </w:p>
          <w:p>
            <w:pPr>
              <w:pStyle w:val="TableParagraph"/>
              <w:spacing w:line="262" w:lineRule="exact"/>
              <w:rPr>
                <w:sz w:val="21"/>
              </w:rPr>
            </w:pPr>
            <w:r>
              <w:rPr>
                <w:sz w:val="21"/>
              </w:rPr>
              <w:t>若被保险人因</w:t>
            </w:r>
            <w:r>
              <w:rPr>
                <w:b/>
                <w:sz w:val="21"/>
              </w:rPr>
              <w:t>意外伤害</w:t>
            </w:r>
            <w:r>
              <w:rPr>
                <w:sz w:val="21"/>
              </w:rPr>
              <w:t>或于等待期后经</w:t>
            </w:r>
            <w:r>
              <w:rPr>
                <w:b/>
                <w:sz w:val="21"/>
              </w:rPr>
              <w:t>我们认可的医院专科医生</w:t>
            </w:r>
            <w:r>
              <w:rPr>
                <w:sz w:val="21"/>
              </w:rPr>
              <w:t>确诊首次患本</w:t>
            </w:r>
          </w:p>
          <w:p>
            <w:pPr>
              <w:pStyle w:val="TableParagraph"/>
              <w:spacing w:line="273" w:lineRule="auto" w:before="38"/>
              <w:ind w:right="104"/>
              <w:rPr>
                <w:sz w:val="21"/>
              </w:rPr>
            </w:pPr>
            <w:r>
              <w:rPr>
                <w:w w:val="100"/>
                <w:sz w:val="21"/>
              </w:rPr>
              <w:t>附加合同约定的重大疾病</w:t>
            </w:r>
            <w:r>
              <w:rPr>
                <w:spacing w:val="1"/>
                <w:w w:val="100"/>
                <w:sz w:val="21"/>
              </w:rPr>
              <w:t>（</w:t>
            </w:r>
            <w:r>
              <w:rPr>
                <w:w w:val="100"/>
                <w:sz w:val="21"/>
              </w:rPr>
              <w:t>无论一种或多种</w:t>
            </w:r>
            <w:r>
              <w:rPr>
                <w:spacing w:val="-104"/>
                <w:w w:val="100"/>
                <w:sz w:val="21"/>
              </w:rPr>
              <w:t>）</w:t>
            </w:r>
            <w:r>
              <w:rPr>
                <w:w w:val="100"/>
                <w:sz w:val="21"/>
              </w:rPr>
              <w:t>，则我们给付等值于本附加合同基</w:t>
            </w:r>
            <w:r>
              <w:rPr>
                <w:spacing w:val="-3"/>
                <w:sz w:val="21"/>
              </w:rPr>
              <w:t>本保险金额的重大疾病保险金，同时本附加合同效力终止。</w:t>
            </w:r>
          </w:p>
        </w:tc>
      </w:tr>
      <w:tr>
        <w:trPr>
          <w:trHeight w:val="1168" w:hRule="atLeast"/>
        </w:trPr>
        <w:tc>
          <w:tcPr>
            <w:tcW w:w="953" w:type="dxa"/>
          </w:tcPr>
          <w:p>
            <w:pPr>
              <w:pStyle w:val="TableParagraph"/>
              <w:spacing w:before="92"/>
              <w:ind w:left="107"/>
              <w:rPr>
                <w:i/>
                <w:sz w:val="22"/>
              </w:rPr>
            </w:pPr>
            <w:r>
              <w:rPr>
                <w:i/>
                <w:sz w:val="22"/>
              </w:rPr>
              <w:t>2.3.2</w:t>
            </w:r>
          </w:p>
        </w:tc>
        <w:tc>
          <w:tcPr>
            <w:tcW w:w="1707" w:type="dxa"/>
          </w:tcPr>
          <w:p>
            <w:pPr>
              <w:pStyle w:val="TableParagraph"/>
              <w:spacing w:line="259" w:lineRule="auto" w:before="92"/>
              <w:ind w:left="316" w:right="81"/>
              <w:jc w:val="both"/>
              <w:rPr>
                <w:i/>
                <w:sz w:val="22"/>
              </w:rPr>
            </w:pPr>
            <w:r>
              <w:rPr>
                <w:i/>
                <w:w w:val="95"/>
                <w:sz w:val="22"/>
              </w:rPr>
              <w:t>本附加合同与主合同关</w:t>
            </w:r>
            <w:r>
              <w:rPr>
                <w:i/>
                <w:sz w:val="22"/>
              </w:rPr>
              <w:t>联</w:t>
            </w:r>
          </w:p>
        </w:tc>
        <w:tc>
          <w:tcPr>
            <w:tcW w:w="7532" w:type="dxa"/>
          </w:tcPr>
          <w:p>
            <w:pPr>
              <w:pStyle w:val="TableParagraph"/>
              <w:spacing w:before="104"/>
              <w:rPr>
                <w:sz w:val="21"/>
              </w:rPr>
            </w:pPr>
            <w:r>
              <w:rPr>
                <w:sz w:val="21"/>
              </w:rPr>
              <w:t>我们给付重大疾病保险金后，主合同及本附加合同效力终止。</w:t>
            </w:r>
          </w:p>
        </w:tc>
      </w:tr>
      <w:tr>
        <w:trPr>
          <w:trHeight w:val="717" w:hRule="atLeast"/>
        </w:trPr>
        <w:tc>
          <w:tcPr>
            <w:tcW w:w="953" w:type="dxa"/>
          </w:tcPr>
          <w:p>
            <w:pPr>
              <w:pStyle w:val="TableParagraph"/>
              <w:spacing w:before="99"/>
              <w:ind w:left="107"/>
              <w:rPr>
                <w:b/>
                <w:sz w:val="21"/>
              </w:rPr>
            </w:pPr>
            <w:r>
              <w:rPr>
                <w:b/>
                <w:sz w:val="21"/>
              </w:rPr>
              <w:t>2.4</w:t>
            </w:r>
          </w:p>
        </w:tc>
        <w:tc>
          <w:tcPr>
            <w:tcW w:w="1707" w:type="dxa"/>
          </w:tcPr>
          <w:p>
            <w:pPr>
              <w:pStyle w:val="TableParagraph"/>
              <w:spacing w:before="99"/>
              <w:ind w:left="316"/>
              <w:rPr>
                <w:b/>
                <w:sz w:val="21"/>
              </w:rPr>
            </w:pPr>
            <w:r>
              <w:rPr>
                <w:b/>
                <w:sz w:val="21"/>
              </w:rPr>
              <w:t>责任免除</w:t>
            </w:r>
          </w:p>
        </w:tc>
        <w:tc>
          <w:tcPr>
            <w:tcW w:w="7532" w:type="dxa"/>
          </w:tcPr>
          <w:p>
            <w:pPr>
              <w:pStyle w:val="TableParagraph"/>
              <w:spacing w:line="320" w:lineRule="atLeast" w:before="78"/>
              <w:ind w:right="100"/>
              <w:rPr>
                <w:rFonts w:ascii="黑体" w:eastAsia="黑体" w:hint="eastAsia"/>
                <w:sz w:val="21"/>
              </w:rPr>
            </w:pPr>
            <w:r>
              <w:rPr>
                <w:rFonts w:ascii="黑体" w:eastAsia="黑体" w:hint="eastAsia"/>
                <w:sz w:val="21"/>
              </w:rPr>
              <w:t>因下列情形之一，导致被保险人发Th重大疾病的，我们不承担给付重大疾病保险金的责任：</w:t>
            </w:r>
          </w:p>
        </w:tc>
      </w:tr>
    </w:tbl>
    <w:p>
      <w:pPr>
        <w:spacing w:after="0" w:line="320" w:lineRule="atLeast"/>
        <w:rPr>
          <w:rFonts w:ascii="黑体" w:eastAsia="黑体" w:hint="eastAsia"/>
          <w:sz w:val="21"/>
        </w:rPr>
        <w:sectPr>
          <w:footerReference w:type="default" r:id="rId5"/>
          <w:pgSz w:w="11910" w:h="16840"/>
          <w:pgMar w:footer="629" w:header="0" w:top="1180" w:bottom="820" w:left="800" w:right="70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6"/>
        <w:gridCol w:w="7534"/>
      </w:tblGrid>
      <w:tr>
        <w:trPr>
          <w:trHeight w:val="4200" w:hRule="atLeast"/>
        </w:trPr>
        <w:tc>
          <w:tcPr>
            <w:tcW w:w="953" w:type="dxa"/>
          </w:tcPr>
          <w:p>
            <w:pPr>
              <w:pStyle w:val="TableParagraph"/>
              <w:ind w:left="0"/>
              <w:rPr>
                <w:rFonts w:ascii="Times New Roman"/>
                <w:sz w:val="20"/>
              </w:rPr>
            </w:pPr>
          </w:p>
        </w:tc>
        <w:tc>
          <w:tcPr>
            <w:tcW w:w="1706" w:type="dxa"/>
          </w:tcPr>
          <w:p>
            <w:pPr>
              <w:pStyle w:val="TableParagraph"/>
              <w:ind w:left="0"/>
              <w:rPr>
                <w:rFonts w:ascii="Times New Roman"/>
                <w:sz w:val="20"/>
              </w:rPr>
            </w:pPr>
          </w:p>
        </w:tc>
        <w:tc>
          <w:tcPr>
            <w:tcW w:w="7534" w:type="dxa"/>
          </w:tcPr>
          <w:p>
            <w:pPr>
              <w:pStyle w:val="TableParagraph"/>
              <w:spacing w:line="211" w:lineRule="exact"/>
              <w:ind w:left="82"/>
              <w:rPr>
                <w:rFonts w:ascii="黑体" w:eastAsia="黑体" w:hint="eastAsia"/>
                <w:sz w:val="21"/>
              </w:rPr>
            </w:pPr>
            <w:r>
              <w:rPr>
                <w:rFonts w:ascii="黑体" w:eastAsia="黑体" w:hint="eastAsia"/>
                <w:sz w:val="21"/>
              </w:rPr>
              <w:t>（1）投保人对被保险人的故意杀害、故意伤害；</w:t>
            </w:r>
          </w:p>
          <w:p>
            <w:pPr>
              <w:pStyle w:val="TableParagraph"/>
              <w:spacing w:line="274" w:lineRule="exact" w:before="46"/>
              <w:ind w:left="82"/>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4" w:lineRule="exact"/>
              <w:ind w:left="82"/>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37" w:lineRule="auto" w:before="3"/>
              <w:ind w:left="82" w:right="104"/>
              <w:rPr>
                <w:rFonts w:ascii="黑体" w:eastAsia="黑体" w:hint="eastAsia"/>
                <w:sz w:val="21"/>
              </w:rPr>
            </w:pPr>
            <w:r>
              <w:rPr>
                <w:rFonts w:ascii="黑体" w:eastAsia="黑体" w:hint="eastAsia"/>
                <w:sz w:val="21"/>
              </w:rPr>
              <w:t>（4）被保险人酒后驾驶，无合法有效驾驶证驾驶，或驾驶无有效行驶证的机动车；</w:t>
            </w:r>
          </w:p>
          <w:p>
            <w:pPr>
              <w:pStyle w:val="TableParagraph"/>
              <w:spacing w:before="44"/>
              <w:ind w:left="82"/>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4"/>
              <w:ind w:left="82"/>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ind w:left="82"/>
              <w:rPr>
                <w:rFonts w:ascii="黑体" w:eastAsia="黑体" w:hint="eastAsia"/>
                <w:sz w:val="21"/>
              </w:rPr>
            </w:pPr>
            <w:r>
              <w:rPr>
                <w:rFonts w:ascii="黑体" w:eastAsia="黑体" w:hint="eastAsia"/>
                <w:sz w:val="21"/>
              </w:rPr>
              <w:t>（7）战争、军事冲突、暴乱或武装叛乱；</w:t>
            </w:r>
          </w:p>
          <w:p>
            <w:pPr>
              <w:pStyle w:val="TableParagraph"/>
              <w:spacing w:before="39"/>
              <w:ind w:left="82"/>
              <w:rPr>
                <w:rFonts w:ascii="黑体" w:eastAsia="黑体" w:hint="eastAsia"/>
                <w:sz w:val="21"/>
              </w:rPr>
            </w:pPr>
            <w:r>
              <w:rPr>
                <w:rFonts w:ascii="黑体" w:eastAsia="黑体" w:hint="eastAsia"/>
                <w:sz w:val="21"/>
              </w:rPr>
              <w:t>（8）核爆炸、核辐射或核污染。</w:t>
            </w:r>
          </w:p>
          <w:p>
            <w:pPr>
              <w:pStyle w:val="TableParagraph"/>
              <w:spacing w:line="273" w:lineRule="auto" w:before="20"/>
              <w:ind w:left="82" w:right="110"/>
              <w:rPr>
                <w:rFonts w:ascii="黑体" w:eastAsia="黑体" w:hint="eastAsia"/>
                <w:sz w:val="21"/>
              </w:rPr>
            </w:pPr>
            <w:r>
              <w:rPr>
                <w:rFonts w:ascii="黑体" w:eastAsia="黑体" w:hint="eastAsia"/>
                <w:sz w:val="21"/>
              </w:rPr>
              <w:t>发Th上述第（1）项情形导致被保险人发Th重大疾病的，本附加合同终止，我们向重大疾病保险金受益人退还本附加合同当时的现金价值。</w:t>
            </w:r>
          </w:p>
          <w:p>
            <w:pPr>
              <w:pStyle w:val="TableParagraph"/>
              <w:spacing w:line="273" w:lineRule="auto" w:before="24"/>
              <w:ind w:left="82" w:right="101"/>
              <w:rPr>
                <w:rFonts w:ascii="黑体" w:eastAsia="黑体" w:hint="eastAsia"/>
                <w:sz w:val="21"/>
              </w:rPr>
            </w:pPr>
            <w:r>
              <w:rPr>
                <w:rFonts w:ascii="黑体" w:eastAsia="黑体" w:hint="eastAsia"/>
                <w:sz w:val="21"/>
              </w:rPr>
              <w:t>发Th上述其他情形导致被保险人发Th重大疾病的，本附加合同终止，我们向投保人退还本附加合同当时的现金价值。</w:t>
            </w:r>
          </w:p>
        </w:tc>
      </w:tr>
      <w:tr>
        <w:trPr>
          <w:trHeight w:val="781" w:hRule="atLeast"/>
        </w:trPr>
        <w:tc>
          <w:tcPr>
            <w:tcW w:w="953" w:type="dxa"/>
            <w:tcBorders>
              <w:bottom w:val="double" w:sz="1" w:space="0" w:color="000000"/>
            </w:tcBorders>
          </w:tcPr>
          <w:p>
            <w:pPr>
              <w:pStyle w:val="TableParagraph"/>
              <w:spacing w:before="243"/>
              <w:ind w:left="107"/>
              <w:rPr>
                <w:b/>
                <w:sz w:val="28"/>
              </w:rPr>
            </w:pPr>
            <w:r>
              <w:rPr>
                <w:b/>
                <w:w w:val="99"/>
                <w:sz w:val="28"/>
              </w:rPr>
              <w:t>3</w:t>
            </w:r>
          </w:p>
        </w:tc>
        <w:tc>
          <w:tcPr>
            <w:tcW w:w="1706" w:type="dxa"/>
            <w:tcBorders>
              <w:bottom w:val="double" w:sz="1" w:space="0" w:color="000000"/>
            </w:tcBorders>
          </w:tcPr>
          <w:p>
            <w:pPr>
              <w:pStyle w:val="TableParagraph"/>
              <w:spacing w:before="243"/>
              <w:ind w:left="316"/>
              <w:rPr>
                <w:b/>
                <w:sz w:val="28"/>
              </w:rPr>
            </w:pPr>
            <w:r>
              <w:rPr>
                <w:b/>
                <w:sz w:val="28"/>
              </w:rPr>
              <w:t>重大疾病</w:t>
            </w:r>
          </w:p>
        </w:tc>
        <w:tc>
          <w:tcPr>
            <w:tcW w:w="7534" w:type="dxa"/>
            <w:tcBorders>
              <w:bottom w:val="double" w:sz="1" w:space="0" w:color="000000"/>
            </w:tcBorders>
          </w:tcPr>
          <w:p>
            <w:pPr>
              <w:pStyle w:val="TableParagraph"/>
              <w:ind w:left="0"/>
              <w:rPr>
                <w:rFonts w:ascii="Times New Roman"/>
                <w:sz w:val="20"/>
              </w:rPr>
            </w:pPr>
          </w:p>
        </w:tc>
      </w:tr>
      <w:tr>
        <w:trPr>
          <w:trHeight w:val="3103" w:hRule="atLeast"/>
        </w:trPr>
        <w:tc>
          <w:tcPr>
            <w:tcW w:w="953" w:type="dxa"/>
            <w:tcBorders>
              <w:top w:val="double" w:sz="1" w:space="0" w:color="000000"/>
            </w:tcBorders>
          </w:tcPr>
          <w:p>
            <w:pPr>
              <w:pStyle w:val="TableParagraph"/>
              <w:spacing w:before="87"/>
              <w:ind w:left="107"/>
              <w:rPr>
                <w:b/>
                <w:sz w:val="21"/>
              </w:rPr>
            </w:pPr>
            <w:r>
              <w:rPr>
                <w:b/>
                <w:sz w:val="21"/>
              </w:rPr>
              <w:t>3.1</w:t>
            </w:r>
          </w:p>
        </w:tc>
        <w:tc>
          <w:tcPr>
            <w:tcW w:w="1706" w:type="dxa"/>
            <w:tcBorders>
              <w:top w:val="double" w:sz="1" w:space="0" w:color="000000"/>
            </w:tcBorders>
          </w:tcPr>
          <w:p>
            <w:pPr>
              <w:pStyle w:val="TableParagraph"/>
              <w:spacing w:line="273" w:lineRule="auto" w:before="87"/>
              <w:ind w:left="316" w:right="80"/>
              <w:rPr>
                <w:b/>
                <w:sz w:val="21"/>
              </w:rPr>
            </w:pPr>
            <w:r>
              <w:rPr>
                <w:b/>
                <w:sz w:val="21"/>
              </w:rPr>
              <w:t>重大疾病的范围</w:t>
            </w:r>
          </w:p>
        </w:tc>
        <w:tc>
          <w:tcPr>
            <w:tcW w:w="7534" w:type="dxa"/>
            <w:tcBorders>
              <w:top w:val="double" w:sz="1" w:space="0" w:color="000000"/>
            </w:tcBorders>
          </w:tcPr>
          <w:p>
            <w:pPr>
              <w:pStyle w:val="TableParagraph"/>
              <w:spacing w:line="278" w:lineRule="auto" w:before="111"/>
              <w:ind w:left="82" w:right="101"/>
              <w:jc w:val="both"/>
              <w:rPr>
                <w:sz w:val="21"/>
              </w:rPr>
            </w:pPr>
            <w:r>
              <w:rPr>
                <w:spacing w:val="-4"/>
                <w:sz w:val="21"/>
              </w:rPr>
              <w:t>本附加合同所指的重大疾病在本附加合同中有确定的含义，不仅包括部分一般意</w:t>
            </w:r>
            <w:r>
              <w:rPr>
                <w:spacing w:val="-5"/>
                <w:sz w:val="21"/>
              </w:rPr>
              <w:t>义上的重大疾病，还包括某些重大手术，本附加合同所指的重大疾病可能与临床医学所指的重大疾病在概念和范围上有所不同，我们将在本附加合同重大疾病定</w:t>
            </w:r>
            <w:r>
              <w:rPr>
                <w:spacing w:val="-6"/>
                <w:sz w:val="21"/>
              </w:rPr>
              <w:t>义中详细列明，您投保本附加合同即表明认可并遵从本附加合同中对重大疾病的定义。</w:t>
            </w:r>
          </w:p>
          <w:p>
            <w:pPr>
              <w:pStyle w:val="TableParagraph"/>
              <w:ind w:left="82"/>
              <w:rPr>
                <w:sz w:val="21"/>
              </w:rPr>
            </w:pPr>
            <w:r>
              <w:rPr>
                <w:spacing w:val="-3"/>
                <w:w w:val="100"/>
                <w:sz w:val="21"/>
              </w:rPr>
              <w:t>在本附加合同有效期内，我们保障的重大疾病共有</w:t>
            </w:r>
            <w:r>
              <w:rPr>
                <w:spacing w:val="-46"/>
                <w:sz w:val="21"/>
              </w:rPr>
              <w:t> </w:t>
            </w:r>
            <w:r>
              <w:rPr>
                <w:w w:val="100"/>
                <w:sz w:val="21"/>
              </w:rPr>
              <w:t>35</w:t>
            </w:r>
            <w:r>
              <w:rPr>
                <w:spacing w:val="-43"/>
                <w:sz w:val="21"/>
              </w:rPr>
              <w:t> </w:t>
            </w:r>
            <w:r>
              <w:rPr>
                <w:spacing w:val="-2"/>
                <w:w w:val="100"/>
                <w:sz w:val="21"/>
              </w:rPr>
              <w:t>种</w:t>
            </w:r>
            <w:r>
              <w:rPr>
                <w:spacing w:val="-3"/>
                <w:w w:val="100"/>
                <w:sz w:val="21"/>
              </w:rPr>
              <w:t>（</w:t>
            </w:r>
            <w:r>
              <w:rPr>
                <w:w w:val="100"/>
                <w:sz w:val="21"/>
              </w:rPr>
              <w:t>见</w:t>
            </w:r>
            <w:r>
              <w:rPr>
                <w:spacing w:val="-43"/>
                <w:sz w:val="21"/>
              </w:rPr>
              <w:t> </w:t>
            </w:r>
            <w:r>
              <w:rPr>
                <w:i/>
                <w:w w:val="96"/>
                <w:sz w:val="22"/>
              </w:rPr>
              <w:t>3</w:t>
            </w:r>
            <w:r>
              <w:rPr>
                <w:i/>
                <w:spacing w:val="-3"/>
                <w:w w:val="96"/>
                <w:sz w:val="22"/>
              </w:rPr>
              <w:t>.</w:t>
            </w:r>
            <w:r>
              <w:rPr>
                <w:i/>
                <w:spacing w:val="-1"/>
                <w:w w:val="96"/>
                <w:sz w:val="22"/>
              </w:rPr>
              <w:t>2</w:t>
            </w:r>
            <w:r>
              <w:rPr>
                <w:spacing w:val="-106"/>
                <w:w w:val="100"/>
                <w:sz w:val="21"/>
              </w:rPr>
              <w:t>）</w:t>
            </w:r>
            <w:r>
              <w:rPr>
                <w:spacing w:val="-3"/>
                <w:w w:val="100"/>
                <w:sz w:val="21"/>
              </w:rPr>
              <w:t>，其中第</w:t>
            </w:r>
            <w:r>
              <w:rPr>
                <w:spacing w:val="-46"/>
                <w:sz w:val="21"/>
              </w:rPr>
              <w:t> </w:t>
            </w:r>
            <w:r>
              <w:rPr>
                <w:w w:val="100"/>
                <w:sz w:val="21"/>
              </w:rPr>
              <w:t>1</w:t>
            </w:r>
            <w:r>
              <w:rPr>
                <w:spacing w:val="-45"/>
                <w:sz w:val="21"/>
              </w:rPr>
              <w:t> </w:t>
            </w:r>
            <w:r>
              <w:rPr>
                <w:w w:val="100"/>
                <w:sz w:val="21"/>
              </w:rPr>
              <w:t>至</w:t>
            </w:r>
          </w:p>
          <w:p>
            <w:pPr>
              <w:pStyle w:val="TableParagraph"/>
              <w:spacing w:before="42"/>
              <w:ind w:left="82"/>
              <w:rPr>
                <w:sz w:val="21"/>
              </w:rPr>
            </w:pPr>
            <w:r>
              <w:rPr>
                <w:sz w:val="21"/>
              </w:rPr>
              <w:t>25</w:t>
            </w:r>
            <w:r>
              <w:rPr>
                <w:spacing w:val="-7"/>
                <w:sz w:val="21"/>
              </w:rPr>
              <w:t> 种重大疾病定义完全采用了中国保险行业协会发布的《重大疾病保险的疾病定</w:t>
            </w:r>
          </w:p>
          <w:p>
            <w:pPr>
              <w:pStyle w:val="TableParagraph"/>
              <w:spacing w:line="280" w:lineRule="auto" w:before="44"/>
              <w:ind w:left="82" w:right="104"/>
              <w:jc w:val="both"/>
              <w:rPr>
                <w:sz w:val="21"/>
              </w:rPr>
            </w:pPr>
            <w:r>
              <w:rPr>
                <w:spacing w:val="-2"/>
                <w:sz w:val="21"/>
              </w:rPr>
              <w:t>义使用规范</w:t>
            </w:r>
            <w:r>
              <w:rPr>
                <w:spacing w:val="-144"/>
                <w:sz w:val="21"/>
              </w:rPr>
              <w:t>》</w:t>
            </w:r>
            <w:r>
              <w:rPr>
                <w:spacing w:val="-3"/>
                <w:sz w:val="21"/>
              </w:rPr>
              <w:t>（</w:t>
            </w:r>
            <w:r>
              <w:rPr>
                <w:spacing w:val="-6"/>
                <w:sz w:val="21"/>
              </w:rPr>
              <w:t>以下简称“规范”</w:t>
            </w:r>
            <w:r>
              <w:rPr>
                <w:spacing w:val="-21"/>
                <w:sz w:val="21"/>
              </w:rPr>
              <w:t>）</w:t>
            </w:r>
            <w:r>
              <w:rPr>
                <w:spacing w:val="-12"/>
                <w:sz w:val="21"/>
              </w:rPr>
              <w:t>中的疾病定义，第 </w:t>
            </w:r>
            <w:r>
              <w:rPr>
                <w:sz w:val="21"/>
              </w:rPr>
              <w:t>26</w:t>
            </w:r>
            <w:r>
              <w:rPr>
                <w:spacing w:val="-30"/>
                <w:sz w:val="21"/>
              </w:rPr>
              <w:t> 至 </w:t>
            </w:r>
            <w:r>
              <w:rPr>
                <w:sz w:val="21"/>
              </w:rPr>
              <w:t>35</w:t>
            </w:r>
            <w:r>
              <w:rPr>
                <w:spacing w:val="-8"/>
                <w:sz w:val="21"/>
              </w:rPr>
              <w:t> 种重大疾病为“规</w:t>
            </w:r>
            <w:r>
              <w:rPr>
                <w:spacing w:val="-5"/>
                <w:sz w:val="21"/>
              </w:rPr>
              <w:t>范”规定范围之外的疾病。</w:t>
            </w:r>
          </w:p>
        </w:tc>
      </w:tr>
      <w:tr>
        <w:trPr>
          <w:trHeight w:val="837" w:hRule="atLeast"/>
        </w:trPr>
        <w:tc>
          <w:tcPr>
            <w:tcW w:w="953" w:type="dxa"/>
          </w:tcPr>
          <w:p>
            <w:pPr>
              <w:pStyle w:val="TableParagraph"/>
              <w:spacing w:before="92"/>
              <w:ind w:left="107"/>
              <w:rPr>
                <w:b/>
                <w:sz w:val="21"/>
              </w:rPr>
            </w:pPr>
            <w:r>
              <w:rPr>
                <w:b/>
                <w:sz w:val="21"/>
              </w:rPr>
              <w:t>3.2</w:t>
            </w:r>
          </w:p>
        </w:tc>
        <w:tc>
          <w:tcPr>
            <w:tcW w:w="1706" w:type="dxa"/>
          </w:tcPr>
          <w:p>
            <w:pPr>
              <w:pStyle w:val="TableParagraph"/>
              <w:spacing w:line="273" w:lineRule="auto" w:before="92"/>
              <w:ind w:left="316" w:right="80"/>
              <w:rPr>
                <w:b/>
                <w:sz w:val="21"/>
              </w:rPr>
            </w:pPr>
            <w:r>
              <w:rPr>
                <w:b/>
                <w:sz w:val="21"/>
              </w:rPr>
              <w:t>重大疾病的定义</w:t>
            </w:r>
          </w:p>
        </w:tc>
        <w:tc>
          <w:tcPr>
            <w:tcW w:w="7534" w:type="dxa"/>
          </w:tcPr>
          <w:p>
            <w:pPr>
              <w:pStyle w:val="TableParagraph"/>
              <w:spacing w:before="12"/>
              <w:ind w:left="0"/>
              <w:rPr>
                <w:sz w:val="18"/>
              </w:rPr>
            </w:pPr>
          </w:p>
          <w:p>
            <w:pPr>
              <w:pStyle w:val="TableParagraph"/>
              <w:spacing w:before="1"/>
              <w:ind w:left="82"/>
              <w:rPr>
                <w:sz w:val="21"/>
              </w:rPr>
            </w:pPr>
            <w:r>
              <w:rPr>
                <w:sz w:val="21"/>
              </w:rPr>
              <w:t>重大疾病须经</w:t>
            </w:r>
            <w:r>
              <w:rPr>
                <w:b/>
                <w:sz w:val="21"/>
              </w:rPr>
              <w:t>我们认可的医院专科医生</w:t>
            </w:r>
            <w:r>
              <w:rPr>
                <w:sz w:val="21"/>
              </w:rPr>
              <w:t>明确诊断，符合以下定义：</w:t>
            </w:r>
          </w:p>
        </w:tc>
      </w:tr>
      <w:tr>
        <w:trPr>
          <w:trHeight w:val="3630" w:hRule="atLeast"/>
        </w:trPr>
        <w:tc>
          <w:tcPr>
            <w:tcW w:w="953" w:type="dxa"/>
          </w:tcPr>
          <w:p>
            <w:pPr>
              <w:pStyle w:val="TableParagraph"/>
              <w:spacing w:before="92"/>
              <w:ind w:left="107"/>
              <w:rPr>
                <w:i/>
                <w:sz w:val="22"/>
              </w:rPr>
            </w:pPr>
            <w:r>
              <w:rPr>
                <w:i/>
                <w:sz w:val="22"/>
              </w:rPr>
              <w:t>3.2.1</w:t>
            </w:r>
          </w:p>
        </w:tc>
        <w:tc>
          <w:tcPr>
            <w:tcW w:w="1706" w:type="dxa"/>
          </w:tcPr>
          <w:p>
            <w:pPr>
              <w:pStyle w:val="TableParagraph"/>
              <w:spacing w:before="92"/>
              <w:ind w:left="316"/>
              <w:rPr>
                <w:i/>
                <w:sz w:val="22"/>
              </w:rPr>
            </w:pPr>
            <w:r>
              <w:rPr>
                <w:i/>
                <w:w w:val="95"/>
                <w:sz w:val="22"/>
              </w:rPr>
              <w:t>恶性肿瘤</w:t>
            </w:r>
          </w:p>
        </w:tc>
        <w:tc>
          <w:tcPr>
            <w:tcW w:w="7534" w:type="dxa"/>
          </w:tcPr>
          <w:p>
            <w:pPr>
              <w:pStyle w:val="TableParagraph"/>
              <w:spacing w:line="273" w:lineRule="auto" w:before="104"/>
              <w:ind w:left="82" w:right="-15"/>
              <w:rPr>
                <w:sz w:val="21"/>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0"/>
                <w:sz w:val="21"/>
              </w:rPr>
              <w:t>临床诊断属于世界卫生组织《疾病和有关健康问题的国际统计分类》</w:t>
            </w:r>
            <w:r>
              <w:rPr>
                <w:sz w:val="21"/>
              </w:rPr>
              <w:t>（ICD-10） </w:t>
            </w:r>
            <w:r>
              <w:rPr>
                <w:spacing w:val="-3"/>
                <w:sz w:val="21"/>
              </w:rPr>
              <w:t>的恶性肿瘤范畴。</w:t>
            </w:r>
          </w:p>
          <w:p>
            <w:pPr>
              <w:pStyle w:val="TableParagraph"/>
              <w:spacing w:before="7"/>
              <w:ind w:left="82"/>
              <w:rPr>
                <w:sz w:val="21"/>
              </w:rPr>
            </w:pPr>
            <w:r>
              <w:rPr>
                <w:sz w:val="21"/>
              </w:rPr>
              <w:t>下列疾病不在保障范围内：</w:t>
            </w:r>
          </w:p>
          <w:p>
            <w:pPr>
              <w:pStyle w:val="TableParagraph"/>
              <w:spacing w:before="36"/>
              <w:ind w:left="82"/>
              <w:rPr>
                <w:sz w:val="21"/>
              </w:rPr>
            </w:pPr>
            <w:r>
              <w:rPr>
                <w:sz w:val="21"/>
              </w:rPr>
              <w:t>（1）原位癌；</w:t>
            </w:r>
          </w:p>
          <w:p>
            <w:pPr>
              <w:pStyle w:val="TableParagraph"/>
              <w:spacing w:before="36"/>
              <w:ind w:left="82"/>
              <w:rPr>
                <w:sz w:val="21"/>
              </w:rPr>
            </w:pPr>
            <w:r>
              <w:rPr>
                <w:sz w:val="21"/>
              </w:rPr>
              <w:t>（2）相当于 Binet 分期方案 A 期程度的慢性淋巴细胞白血病；</w:t>
            </w:r>
          </w:p>
          <w:p>
            <w:pPr>
              <w:pStyle w:val="TableParagraph"/>
              <w:spacing w:before="36"/>
              <w:ind w:left="82"/>
              <w:rPr>
                <w:sz w:val="21"/>
              </w:rPr>
            </w:pPr>
            <w:r>
              <w:rPr>
                <w:sz w:val="21"/>
              </w:rPr>
              <w:t>（3）相当于 Ann Arbor 分期方案 I 期程度的何杰金氏病；</w:t>
            </w:r>
          </w:p>
          <w:p>
            <w:pPr>
              <w:pStyle w:val="TableParagraph"/>
              <w:spacing w:before="37"/>
              <w:ind w:left="82"/>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82"/>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82"/>
              <w:rPr>
                <w:sz w:val="21"/>
              </w:rPr>
            </w:pPr>
            <w:r>
              <w:rPr>
                <w:sz w:val="21"/>
              </w:rPr>
              <w:t>（6）感染艾滋病病毒或患艾滋病期间所患恶性肿瘤。</w:t>
            </w:r>
          </w:p>
        </w:tc>
      </w:tr>
      <w:tr>
        <w:trPr>
          <w:trHeight w:val="1599" w:hRule="atLeast"/>
        </w:trPr>
        <w:tc>
          <w:tcPr>
            <w:tcW w:w="953" w:type="dxa"/>
          </w:tcPr>
          <w:p>
            <w:pPr>
              <w:pStyle w:val="TableParagraph"/>
              <w:spacing w:before="65"/>
              <w:ind w:left="107"/>
              <w:rPr>
                <w:i/>
                <w:sz w:val="22"/>
              </w:rPr>
            </w:pPr>
            <w:r>
              <w:rPr>
                <w:i/>
                <w:sz w:val="22"/>
              </w:rPr>
              <w:t>3.2.2</w:t>
            </w:r>
          </w:p>
        </w:tc>
        <w:tc>
          <w:tcPr>
            <w:tcW w:w="1706" w:type="dxa"/>
          </w:tcPr>
          <w:p>
            <w:pPr>
              <w:pStyle w:val="TableParagraph"/>
              <w:spacing w:line="259" w:lineRule="auto" w:before="65"/>
              <w:ind w:left="316" w:right="333"/>
              <w:rPr>
                <w:i/>
                <w:sz w:val="22"/>
              </w:rPr>
            </w:pPr>
            <w:r>
              <w:rPr>
                <w:i/>
                <w:w w:val="95"/>
                <w:sz w:val="22"/>
              </w:rPr>
              <w:t>急性心肌梗</w:t>
            </w:r>
            <w:r>
              <w:rPr>
                <w:i/>
                <w:sz w:val="22"/>
              </w:rPr>
              <w:t>塞</w:t>
            </w:r>
          </w:p>
        </w:tc>
        <w:tc>
          <w:tcPr>
            <w:tcW w:w="7534" w:type="dxa"/>
          </w:tcPr>
          <w:p>
            <w:pPr>
              <w:pStyle w:val="TableParagraph"/>
              <w:spacing w:line="273" w:lineRule="auto" w:before="76"/>
              <w:ind w:left="82" w:right="67"/>
              <w:rPr>
                <w:sz w:val="21"/>
              </w:rPr>
            </w:pPr>
            <w:r>
              <w:rPr>
                <w:sz w:val="21"/>
              </w:rPr>
              <w:t>指因冠状动脉阻塞导致的相应区域供血不足造成部分心肌坏死。须满足下列至少三项条件：</w:t>
            </w:r>
          </w:p>
          <w:p>
            <w:pPr>
              <w:pStyle w:val="TableParagraph"/>
              <w:spacing w:before="7"/>
              <w:ind w:left="82"/>
              <w:rPr>
                <w:sz w:val="21"/>
              </w:rPr>
            </w:pPr>
            <w:r>
              <w:rPr>
                <w:sz w:val="21"/>
              </w:rPr>
              <w:t>（1）典型临床表现，例如急性胸痛等；</w:t>
            </w:r>
          </w:p>
          <w:p>
            <w:pPr>
              <w:pStyle w:val="TableParagraph"/>
              <w:spacing w:before="37"/>
              <w:ind w:left="82"/>
              <w:rPr>
                <w:sz w:val="21"/>
              </w:rPr>
            </w:pPr>
            <w:r>
              <w:rPr>
                <w:sz w:val="21"/>
              </w:rPr>
              <w:t>（2）新近的心电图改变提示急性心肌梗塞；</w:t>
            </w:r>
          </w:p>
          <w:p>
            <w:pPr>
              <w:pStyle w:val="TableParagraph"/>
              <w:spacing w:line="255" w:lineRule="exact" w:before="37"/>
              <w:ind w:left="82"/>
              <w:rPr>
                <w:sz w:val="21"/>
              </w:rPr>
            </w:pPr>
            <w:r>
              <w:rPr>
                <w:sz w:val="21"/>
              </w:rPr>
              <w:t>（3）心肌酶或肌钙蛋白有诊断意义的升高，或呈符合急性心肌梗塞的动态性变</w:t>
            </w:r>
          </w:p>
        </w:tc>
      </w:tr>
    </w:tbl>
    <w:p>
      <w:pPr>
        <w:spacing w:after="0" w:line="255" w:lineRule="exact"/>
        <w:rPr>
          <w:sz w:val="21"/>
        </w:rPr>
        <w:sectPr>
          <w:pgSz w:w="11910" w:h="16840"/>
          <w:pgMar w:header="0" w:footer="629" w:top="1180" w:bottom="820" w:left="80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1654"/>
        <w:gridCol w:w="7735"/>
      </w:tblGrid>
      <w:tr>
        <w:trPr>
          <w:trHeight w:val="654" w:hRule="atLeast"/>
        </w:trPr>
        <w:tc>
          <w:tcPr>
            <w:tcW w:w="1098" w:type="dxa"/>
          </w:tcPr>
          <w:p>
            <w:pPr>
              <w:pStyle w:val="TableParagraph"/>
              <w:ind w:left="0"/>
              <w:rPr>
                <w:rFonts w:ascii="Times New Roman"/>
                <w:sz w:val="20"/>
              </w:rPr>
            </w:pPr>
          </w:p>
        </w:tc>
        <w:tc>
          <w:tcPr>
            <w:tcW w:w="1654" w:type="dxa"/>
          </w:tcPr>
          <w:p>
            <w:pPr>
              <w:pStyle w:val="TableParagraph"/>
              <w:ind w:left="0"/>
              <w:rPr>
                <w:rFonts w:ascii="Times New Roman"/>
                <w:sz w:val="20"/>
              </w:rPr>
            </w:pPr>
          </w:p>
        </w:tc>
        <w:tc>
          <w:tcPr>
            <w:tcW w:w="7735" w:type="dxa"/>
          </w:tcPr>
          <w:p>
            <w:pPr>
              <w:pStyle w:val="TableParagraph"/>
              <w:spacing w:line="211" w:lineRule="exact"/>
              <w:rPr>
                <w:sz w:val="21"/>
              </w:rPr>
            </w:pPr>
            <w:r>
              <w:rPr>
                <w:sz w:val="21"/>
              </w:rPr>
              <w:t>化；</w:t>
            </w:r>
          </w:p>
          <w:p>
            <w:pPr>
              <w:pStyle w:val="TableParagraph"/>
              <w:spacing w:before="37"/>
              <w:rPr>
                <w:sz w:val="21"/>
              </w:rPr>
            </w:pPr>
            <w:r>
              <w:rPr>
                <w:sz w:val="21"/>
              </w:rPr>
              <w:t>（4）发病 90 天后，经检查证实左心室功能降低，如左心室射血分数低于 50%。</w:t>
            </w:r>
          </w:p>
        </w:tc>
      </w:tr>
      <w:tr>
        <w:trPr>
          <w:trHeight w:val="2343" w:hRule="atLeast"/>
        </w:trPr>
        <w:tc>
          <w:tcPr>
            <w:tcW w:w="1098" w:type="dxa"/>
          </w:tcPr>
          <w:p>
            <w:pPr>
              <w:pStyle w:val="TableParagraph"/>
              <w:spacing w:before="65"/>
              <w:ind w:left="62" w:right="229"/>
              <w:jc w:val="center"/>
              <w:rPr>
                <w:i/>
                <w:sz w:val="22"/>
              </w:rPr>
            </w:pPr>
            <w:r>
              <w:rPr>
                <w:i/>
                <w:sz w:val="22"/>
              </w:rPr>
              <w:t>3.2.3</w:t>
            </w:r>
          </w:p>
        </w:tc>
        <w:tc>
          <w:tcPr>
            <w:tcW w:w="1654" w:type="dxa"/>
          </w:tcPr>
          <w:p>
            <w:pPr>
              <w:pStyle w:val="TableParagraph"/>
              <w:spacing w:line="259" w:lineRule="auto" w:before="65"/>
              <w:ind w:left="263" w:right="334"/>
              <w:rPr>
                <w:i/>
                <w:sz w:val="22"/>
              </w:rPr>
            </w:pPr>
            <w:r>
              <w:rPr>
                <w:i/>
                <w:w w:val="95"/>
                <w:sz w:val="22"/>
              </w:rPr>
              <w:t>脑中风后遗</w:t>
            </w:r>
            <w:r>
              <w:rPr>
                <w:i/>
                <w:sz w:val="22"/>
              </w:rPr>
              <w:t>症</w:t>
            </w:r>
          </w:p>
        </w:tc>
        <w:tc>
          <w:tcPr>
            <w:tcW w:w="7735" w:type="dxa"/>
          </w:tcPr>
          <w:p>
            <w:pPr>
              <w:pStyle w:val="TableParagraph"/>
              <w:spacing w:line="273" w:lineRule="auto" w:before="77"/>
              <w:ind w:right="304"/>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spacing w:before="8"/>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309"/>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098" w:type="dxa"/>
          </w:tcPr>
          <w:p>
            <w:pPr>
              <w:pStyle w:val="TableParagraph"/>
              <w:spacing w:before="76"/>
              <w:ind w:left="62" w:right="229"/>
              <w:jc w:val="center"/>
              <w:rPr>
                <w:i/>
                <w:sz w:val="22"/>
              </w:rPr>
            </w:pPr>
            <w:r>
              <w:rPr>
                <w:i/>
                <w:sz w:val="22"/>
              </w:rPr>
              <w:t>3.2.4</w:t>
            </w:r>
          </w:p>
        </w:tc>
        <w:tc>
          <w:tcPr>
            <w:tcW w:w="1654" w:type="dxa"/>
          </w:tcPr>
          <w:p>
            <w:pPr>
              <w:pStyle w:val="TableParagraph"/>
              <w:spacing w:line="228" w:lineRule="auto" w:before="68"/>
              <w:ind w:left="263" w:right="81"/>
              <w:jc w:val="both"/>
              <w:rPr>
                <w:i/>
                <w:sz w:val="22"/>
              </w:rPr>
            </w:pPr>
            <w:r>
              <w:rPr>
                <w:i/>
                <w:w w:val="95"/>
                <w:sz w:val="22"/>
              </w:rPr>
              <w:t>重大器官移植术或造血干细胞移植</w:t>
            </w:r>
            <w:r>
              <w:rPr>
                <w:i/>
                <w:sz w:val="22"/>
              </w:rPr>
              <w:t>术</w:t>
            </w:r>
          </w:p>
        </w:tc>
        <w:tc>
          <w:tcPr>
            <w:tcW w:w="7735" w:type="dxa"/>
          </w:tcPr>
          <w:p>
            <w:pPr>
              <w:pStyle w:val="TableParagraph"/>
              <w:spacing w:line="273" w:lineRule="auto" w:before="87"/>
              <w:ind w:right="304"/>
              <w:jc w:val="both"/>
              <w:rPr>
                <w:sz w:val="21"/>
              </w:rPr>
            </w:pPr>
            <w:r>
              <w:rPr>
                <w:spacing w:val="-4"/>
                <w:sz w:val="21"/>
              </w:rPr>
              <w:t>重大器官移植术，指因相应器官功能衰竭，已经实施了肾脏、肝脏、心脏或肺脏</w:t>
            </w:r>
            <w:r>
              <w:rPr>
                <w:spacing w:val="-3"/>
                <w:sz w:val="21"/>
              </w:rPr>
              <w:t>的异体移植手术。</w:t>
            </w:r>
          </w:p>
          <w:p>
            <w:pPr>
              <w:pStyle w:val="TableParagraph"/>
              <w:spacing w:line="273" w:lineRule="auto" w:before="7"/>
              <w:ind w:right="304"/>
              <w:jc w:val="both"/>
              <w:rPr>
                <w:sz w:val="21"/>
              </w:rPr>
            </w:pPr>
            <w:r>
              <w:rPr>
                <w:spacing w:val="-5"/>
                <w:sz w:val="21"/>
              </w:rPr>
              <w:t>造血干细胞移植术，指因造血功能损害或造血系统恶性肿瘤，已经实施了造血干细胞</w:t>
            </w:r>
            <w:r>
              <w:rPr>
                <w:sz w:val="21"/>
              </w:rPr>
              <w:t>（</w:t>
            </w:r>
            <w:r>
              <w:rPr>
                <w:spacing w:val="-4"/>
                <w:sz w:val="21"/>
              </w:rPr>
              <w:t>包括骨髓造血干细胞、外周血造血干细胞和脐血造血干细胞</w:t>
            </w:r>
            <w:r>
              <w:rPr>
                <w:spacing w:val="-5"/>
                <w:sz w:val="21"/>
              </w:rPr>
              <w:t>）</w:t>
            </w:r>
            <w:r>
              <w:rPr>
                <w:spacing w:val="-3"/>
                <w:sz w:val="21"/>
              </w:rPr>
              <w:t>的异体移植手术。</w:t>
            </w:r>
          </w:p>
        </w:tc>
      </w:tr>
      <w:tr>
        <w:trPr>
          <w:trHeight w:val="1413" w:hRule="atLeast"/>
        </w:trPr>
        <w:tc>
          <w:tcPr>
            <w:tcW w:w="1098" w:type="dxa"/>
          </w:tcPr>
          <w:p>
            <w:pPr>
              <w:pStyle w:val="TableParagraph"/>
              <w:spacing w:before="65"/>
              <w:ind w:left="62" w:right="229"/>
              <w:jc w:val="center"/>
              <w:rPr>
                <w:i/>
                <w:sz w:val="22"/>
              </w:rPr>
            </w:pPr>
            <w:r>
              <w:rPr>
                <w:i/>
                <w:sz w:val="22"/>
              </w:rPr>
              <w:t>3.2.5</w:t>
            </w:r>
          </w:p>
        </w:tc>
        <w:tc>
          <w:tcPr>
            <w:tcW w:w="1654" w:type="dxa"/>
          </w:tcPr>
          <w:p>
            <w:pPr>
              <w:pStyle w:val="TableParagraph"/>
              <w:spacing w:line="259" w:lineRule="auto" w:before="65"/>
              <w:ind w:left="263" w:right="81"/>
              <w:jc w:val="both"/>
              <w:rPr>
                <w:i/>
                <w:sz w:val="22"/>
              </w:rPr>
            </w:pPr>
            <w:r>
              <w:rPr>
                <w:i/>
                <w:w w:val="95"/>
                <w:sz w:val="22"/>
              </w:rPr>
              <w:t>冠状动脉搭桥术（或称冠状动脉旁路移植术）</w:t>
            </w:r>
          </w:p>
        </w:tc>
        <w:tc>
          <w:tcPr>
            <w:tcW w:w="7735" w:type="dxa"/>
          </w:tcPr>
          <w:p>
            <w:pPr>
              <w:pStyle w:val="TableParagraph"/>
              <w:spacing w:line="273" w:lineRule="auto" w:before="76"/>
              <w:ind w:right="296"/>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1" w:hRule="atLeast"/>
        </w:trPr>
        <w:tc>
          <w:tcPr>
            <w:tcW w:w="1098" w:type="dxa"/>
          </w:tcPr>
          <w:p>
            <w:pPr>
              <w:pStyle w:val="TableParagraph"/>
              <w:spacing w:before="70"/>
              <w:ind w:left="62" w:right="229"/>
              <w:jc w:val="center"/>
              <w:rPr>
                <w:i/>
                <w:sz w:val="22"/>
              </w:rPr>
            </w:pPr>
            <w:r>
              <w:rPr>
                <w:i/>
                <w:sz w:val="22"/>
              </w:rPr>
              <w:t>3.2.6</w:t>
            </w:r>
          </w:p>
        </w:tc>
        <w:tc>
          <w:tcPr>
            <w:tcW w:w="1654" w:type="dxa"/>
          </w:tcPr>
          <w:p>
            <w:pPr>
              <w:pStyle w:val="TableParagraph"/>
              <w:spacing w:before="70"/>
              <w:ind w:left="263"/>
              <w:rPr>
                <w:i/>
                <w:sz w:val="22"/>
              </w:rPr>
            </w:pPr>
            <w:r>
              <w:rPr>
                <w:i/>
                <w:w w:val="95"/>
                <w:sz w:val="22"/>
              </w:rPr>
              <w:t>终末期肾病</w:t>
            </w:r>
          </w:p>
          <w:p>
            <w:pPr>
              <w:pStyle w:val="TableParagraph"/>
              <w:spacing w:line="259" w:lineRule="auto" w:before="24"/>
              <w:ind w:left="263" w:right="334"/>
              <w:jc w:val="both"/>
              <w:rPr>
                <w:i/>
                <w:sz w:val="22"/>
              </w:rPr>
            </w:pPr>
            <w:r>
              <w:rPr>
                <w:i/>
                <w:w w:val="95"/>
                <w:sz w:val="22"/>
              </w:rPr>
              <w:t>（或称慢性肾功能衰竭尿毒症期）</w:t>
            </w:r>
          </w:p>
        </w:tc>
        <w:tc>
          <w:tcPr>
            <w:tcW w:w="7735" w:type="dxa"/>
          </w:tcPr>
          <w:p>
            <w:pPr>
              <w:pStyle w:val="TableParagraph"/>
              <w:spacing w:line="237" w:lineRule="auto" w:before="63"/>
              <w:ind w:right="303"/>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1098" w:type="dxa"/>
          </w:tcPr>
          <w:p>
            <w:pPr>
              <w:pStyle w:val="TableParagraph"/>
              <w:spacing w:before="92"/>
              <w:ind w:left="62" w:right="229"/>
              <w:jc w:val="center"/>
              <w:rPr>
                <w:i/>
                <w:sz w:val="22"/>
              </w:rPr>
            </w:pPr>
            <w:r>
              <w:rPr>
                <w:i/>
                <w:sz w:val="22"/>
              </w:rPr>
              <w:t>3.2.7</w:t>
            </w:r>
          </w:p>
        </w:tc>
        <w:tc>
          <w:tcPr>
            <w:tcW w:w="1654" w:type="dxa"/>
          </w:tcPr>
          <w:p>
            <w:pPr>
              <w:pStyle w:val="TableParagraph"/>
              <w:spacing w:line="261" w:lineRule="auto" w:before="92"/>
              <w:ind w:left="263" w:right="81"/>
              <w:rPr>
                <w:i/>
                <w:sz w:val="22"/>
              </w:rPr>
            </w:pPr>
            <w:r>
              <w:rPr>
                <w:i/>
                <w:w w:val="95"/>
                <w:sz w:val="22"/>
              </w:rPr>
              <w:t>多个肢体缺</w:t>
            </w:r>
            <w:r>
              <w:rPr>
                <w:i/>
                <w:sz w:val="22"/>
              </w:rPr>
              <w:t>失</w:t>
            </w:r>
          </w:p>
        </w:tc>
        <w:tc>
          <w:tcPr>
            <w:tcW w:w="7735" w:type="dxa"/>
          </w:tcPr>
          <w:p>
            <w:pPr>
              <w:pStyle w:val="TableParagraph"/>
              <w:spacing w:line="273" w:lineRule="auto" w:before="103"/>
              <w:ind w:right="303"/>
              <w:rPr>
                <w:sz w:val="21"/>
              </w:rPr>
            </w:pPr>
            <w:r>
              <w:rPr>
                <w:sz w:val="21"/>
              </w:rPr>
              <w:t>指因疾病或意外伤害导致两个或两个以上肢体自腕关节或踝关节近端（靠近躯干端）以上完全性断离。</w:t>
            </w:r>
          </w:p>
        </w:tc>
      </w:tr>
      <w:tr>
        <w:trPr>
          <w:trHeight w:val="2099" w:hRule="atLeast"/>
        </w:trPr>
        <w:tc>
          <w:tcPr>
            <w:tcW w:w="1098" w:type="dxa"/>
          </w:tcPr>
          <w:p>
            <w:pPr>
              <w:pStyle w:val="TableParagraph"/>
              <w:spacing w:before="93"/>
              <w:ind w:left="62" w:right="229"/>
              <w:jc w:val="center"/>
              <w:rPr>
                <w:i/>
                <w:sz w:val="22"/>
              </w:rPr>
            </w:pPr>
            <w:r>
              <w:rPr>
                <w:i/>
                <w:sz w:val="22"/>
              </w:rPr>
              <w:t>3.2.8</w:t>
            </w:r>
          </w:p>
        </w:tc>
        <w:tc>
          <w:tcPr>
            <w:tcW w:w="1654" w:type="dxa"/>
          </w:tcPr>
          <w:p>
            <w:pPr>
              <w:pStyle w:val="TableParagraph"/>
              <w:spacing w:line="259" w:lineRule="auto" w:before="93"/>
              <w:ind w:left="263" w:right="81"/>
              <w:rPr>
                <w:i/>
                <w:sz w:val="22"/>
              </w:rPr>
            </w:pPr>
            <w:r>
              <w:rPr>
                <w:i/>
                <w:w w:val="95"/>
                <w:sz w:val="22"/>
              </w:rPr>
              <w:t>急性或亚急性重症肝炎</w:t>
            </w:r>
          </w:p>
        </w:tc>
        <w:tc>
          <w:tcPr>
            <w:tcW w:w="7735" w:type="dxa"/>
          </w:tcPr>
          <w:p>
            <w:pPr>
              <w:pStyle w:val="TableParagraph"/>
              <w:spacing w:line="273" w:lineRule="auto" w:before="104"/>
              <w:ind w:right="304"/>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11" w:hRule="atLeast"/>
        </w:trPr>
        <w:tc>
          <w:tcPr>
            <w:tcW w:w="1098" w:type="dxa"/>
          </w:tcPr>
          <w:p>
            <w:pPr>
              <w:pStyle w:val="TableParagraph"/>
              <w:spacing w:before="94"/>
              <w:ind w:left="62" w:right="229"/>
              <w:jc w:val="center"/>
              <w:rPr>
                <w:i/>
                <w:sz w:val="22"/>
              </w:rPr>
            </w:pPr>
            <w:r>
              <w:rPr>
                <w:i/>
                <w:sz w:val="22"/>
              </w:rPr>
              <w:t>3.2.9</w:t>
            </w:r>
          </w:p>
        </w:tc>
        <w:tc>
          <w:tcPr>
            <w:tcW w:w="1654" w:type="dxa"/>
          </w:tcPr>
          <w:p>
            <w:pPr>
              <w:pStyle w:val="TableParagraph"/>
              <w:spacing w:before="94"/>
              <w:ind w:left="263"/>
              <w:rPr>
                <w:i/>
                <w:sz w:val="22"/>
              </w:rPr>
            </w:pPr>
            <w:r>
              <w:rPr>
                <w:i/>
                <w:w w:val="95"/>
                <w:sz w:val="22"/>
              </w:rPr>
              <w:t>良性脑肿瘤</w:t>
            </w:r>
          </w:p>
        </w:tc>
        <w:tc>
          <w:tcPr>
            <w:tcW w:w="7735" w:type="dxa"/>
          </w:tcPr>
          <w:p>
            <w:pPr>
              <w:pStyle w:val="TableParagraph"/>
              <w:spacing w:line="273" w:lineRule="auto" w:before="105"/>
              <w:ind w:right="198"/>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6"/>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right="265"/>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rPr>
                <w:sz w:val="21"/>
              </w:rPr>
            </w:pPr>
            <w:r>
              <w:rPr>
                <w:sz w:val="21"/>
              </w:rPr>
              <w:t>脑垂体瘤、脑囊肿、脑血管性疾病不在保障范围内。</w:t>
            </w:r>
          </w:p>
        </w:tc>
      </w:tr>
      <w:tr>
        <w:trPr>
          <w:trHeight w:val="1315" w:hRule="atLeast"/>
        </w:trPr>
        <w:tc>
          <w:tcPr>
            <w:tcW w:w="1098" w:type="dxa"/>
          </w:tcPr>
          <w:p>
            <w:pPr>
              <w:pStyle w:val="TableParagraph"/>
              <w:spacing w:before="92"/>
              <w:ind w:left="168" w:right="229"/>
              <w:jc w:val="center"/>
              <w:rPr>
                <w:i/>
                <w:sz w:val="22"/>
              </w:rPr>
            </w:pPr>
            <w:r>
              <w:rPr>
                <w:i/>
                <w:sz w:val="22"/>
              </w:rPr>
              <w:t>3.2.10</w:t>
            </w:r>
          </w:p>
        </w:tc>
        <w:tc>
          <w:tcPr>
            <w:tcW w:w="1654" w:type="dxa"/>
          </w:tcPr>
          <w:p>
            <w:pPr>
              <w:pStyle w:val="TableParagraph"/>
              <w:spacing w:line="259" w:lineRule="auto" w:before="92"/>
              <w:ind w:left="263" w:right="81"/>
              <w:jc w:val="both"/>
              <w:rPr>
                <w:i/>
                <w:sz w:val="22"/>
              </w:rPr>
            </w:pPr>
            <w:r>
              <w:rPr>
                <w:i/>
                <w:sz w:val="22"/>
              </w:rPr>
              <w:t>慢性肝功 能</w:t>
            </w:r>
            <w:r>
              <w:rPr>
                <w:i/>
                <w:w w:val="95"/>
                <w:sz w:val="22"/>
              </w:rPr>
              <w:t>衰竭失代偿</w:t>
            </w:r>
            <w:r>
              <w:rPr>
                <w:i/>
                <w:sz w:val="22"/>
              </w:rPr>
              <w:t>期</w:t>
            </w:r>
          </w:p>
        </w:tc>
        <w:tc>
          <w:tcPr>
            <w:tcW w:w="7735" w:type="dxa"/>
          </w:tcPr>
          <w:p>
            <w:pPr>
              <w:pStyle w:val="TableParagraph"/>
              <w:spacing w:before="104"/>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line="255" w:lineRule="exact" w:before="37"/>
              <w:rPr>
                <w:sz w:val="21"/>
              </w:rPr>
            </w:pPr>
            <w:r>
              <w:rPr>
                <w:sz w:val="21"/>
              </w:rPr>
              <w:t>（3）肝性脑病；</w:t>
            </w:r>
          </w:p>
        </w:tc>
      </w:tr>
    </w:tbl>
    <w:p>
      <w:pPr>
        <w:spacing w:after="0" w:line="255" w:lineRule="exact"/>
        <w:rPr>
          <w:sz w:val="21"/>
        </w:rPr>
        <w:sectPr>
          <w:pgSz w:w="11910" w:h="16840"/>
          <w:pgMar w:header="0" w:footer="629" w:top="1160" w:bottom="820" w:left="720" w:right="5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1654"/>
        <w:gridCol w:w="7733"/>
      </w:tblGrid>
      <w:tr>
        <w:trPr>
          <w:trHeight w:val="682" w:hRule="atLeast"/>
        </w:trPr>
        <w:tc>
          <w:tcPr>
            <w:tcW w:w="1098" w:type="dxa"/>
          </w:tcPr>
          <w:p>
            <w:pPr>
              <w:pStyle w:val="TableParagraph"/>
              <w:ind w:left="0"/>
              <w:rPr>
                <w:rFonts w:ascii="Times New Roman"/>
                <w:sz w:val="20"/>
              </w:rPr>
            </w:pPr>
          </w:p>
        </w:tc>
        <w:tc>
          <w:tcPr>
            <w:tcW w:w="1654" w:type="dxa"/>
          </w:tcPr>
          <w:p>
            <w:pPr>
              <w:pStyle w:val="TableParagraph"/>
              <w:ind w:left="0"/>
              <w:rPr>
                <w:rFonts w:ascii="Times New Roman"/>
                <w:sz w:val="20"/>
              </w:rPr>
            </w:pPr>
          </w:p>
        </w:tc>
        <w:tc>
          <w:tcPr>
            <w:tcW w:w="7733" w:type="dxa"/>
          </w:tcPr>
          <w:p>
            <w:pPr>
              <w:pStyle w:val="TableParagraph"/>
              <w:spacing w:line="211" w:lineRule="exact"/>
              <w:rPr>
                <w:sz w:val="21"/>
              </w:rPr>
            </w:pPr>
            <w:r>
              <w:rPr>
                <w:sz w:val="21"/>
              </w:rPr>
              <w:t>（4）充血性脾肿大伴脾功能亢进或食管胃底静脉曲张。</w:t>
            </w:r>
          </w:p>
          <w:p>
            <w:pPr>
              <w:pStyle w:val="TableParagraph"/>
              <w:spacing w:before="37"/>
              <w:rPr>
                <w:sz w:val="21"/>
              </w:rPr>
            </w:pPr>
            <w:r>
              <w:rPr>
                <w:sz w:val="21"/>
              </w:rPr>
              <w:t>因酗酒或药物滥用导致的肝功能衰竭不在保障范围内。</w:t>
            </w:r>
          </w:p>
        </w:tc>
      </w:tr>
      <w:tr>
        <w:trPr>
          <w:trHeight w:val="2100" w:hRule="atLeast"/>
        </w:trPr>
        <w:tc>
          <w:tcPr>
            <w:tcW w:w="1098" w:type="dxa"/>
          </w:tcPr>
          <w:p>
            <w:pPr>
              <w:pStyle w:val="TableParagraph"/>
              <w:spacing w:before="94"/>
              <w:ind w:left="168" w:right="229"/>
              <w:jc w:val="center"/>
              <w:rPr>
                <w:i/>
                <w:sz w:val="22"/>
              </w:rPr>
            </w:pPr>
            <w:r>
              <w:rPr>
                <w:i/>
                <w:sz w:val="22"/>
              </w:rPr>
              <w:t>3.2.11</w:t>
            </w:r>
          </w:p>
        </w:tc>
        <w:tc>
          <w:tcPr>
            <w:tcW w:w="1654" w:type="dxa"/>
          </w:tcPr>
          <w:p>
            <w:pPr>
              <w:pStyle w:val="TableParagraph"/>
              <w:spacing w:line="259" w:lineRule="auto" w:before="94"/>
              <w:ind w:left="263" w:right="81"/>
              <w:jc w:val="both"/>
              <w:rPr>
                <w:i/>
                <w:sz w:val="22"/>
              </w:rPr>
            </w:pPr>
            <w:r>
              <w:rPr>
                <w:i/>
                <w:w w:val="95"/>
                <w:sz w:val="22"/>
              </w:rPr>
              <w:t>脑炎后遗症或脑膜炎后遗症</w:t>
            </w:r>
          </w:p>
        </w:tc>
        <w:tc>
          <w:tcPr>
            <w:tcW w:w="7733" w:type="dxa"/>
          </w:tcPr>
          <w:p>
            <w:pPr>
              <w:pStyle w:val="TableParagraph"/>
              <w:spacing w:line="273" w:lineRule="auto" w:before="105"/>
              <w:ind w:right="27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307"/>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098" w:type="dxa"/>
          </w:tcPr>
          <w:p>
            <w:pPr>
              <w:pStyle w:val="TableParagraph"/>
              <w:spacing w:before="94"/>
              <w:ind w:left="168" w:right="229"/>
              <w:jc w:val="center"/>
              <w:rPr>
                <w:i/>
                <w:sz w:val="22"/>
              </w:rPr>
            </w:pPr>
            <w:r>
              <w:rPr>
                <w:i/>
                <w:sz w:val="22"/>
              </w:rPr>
              <w:t>3.2.12</w:t>
            </w:r>
          </w:p>
        </w:tc>
        <w:tc>
          <w:tcPr>
            <w:tcW w:w="1654" w:type="dxa"/>
          </w:tcPr>
          <w:p>
            <w:pPr>
              <w:pStyle w:val="TableParagraph"/>
              <w:spacing w:before="94"/>
              <w:ind w:left="263"/>
              <w:rPr>
                <w:i/>
                <w:sz w:val="22"/>
              </w:rPr>
            </w:pPr>
            <w:r>
              <w:rPr>
                <w:i/>
                <w:w w:val="95"/>
                <w:sz w:val="22"/>
              </w:rPr>
              <w:t>深度昏迷</w:t>
            </w:r>
          </w:p>
        </w:tc>
        <w:tc>
          <w:tcPr>
            <w:tcW w:w="7733" w:type="dxa"/>
          </w:tcPr>
          <w:p>
            <w:pPr>
              <w:pStyle w:val="TableParagraph"/>
              <w:spacing w:line="273" w:lineRule="auto" w:before="105"/>
              <w:ind w:right="304"/>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7" w:hRule="atLeast"/>
        </w:trPr>
        <w:tc>
          <w:tcPr>
            <w:tcW w:w="1098" w:type="dxa"/>
          </w:tcPr>
          <w:p>
            <w:pPr>
              <w:pStyle w:val="TableParagraph"/>
              <w:spacing w:before="93"/>
              <w:ind w:left="168" w:right="229"/>
              <w:jc w:val="center"/>
              <w:rPr>
                <w:i/>
                <w:sz w:val="22"/>
              </w:rPr>
            </w:pPr>
            <w:r>
              <w:rPr>
                <w:i/>
                <w:sz w:val="22"/>
              </w:rPr>
              <w:t>3.2.13</w:t>
            </w:r>
          </w:p>
        </w:tc>
        <w:tc>
          <w:tcPr>
            <w:tcW w:w="1654" w:type="dxa"/>
          </w:tcPr>
          <w:p>
            <w:pPr>
              <w:pStyle w:val="TableParagraph"/>
              <w:spacing w:before="93"/>
              <w:ind w:left="263"/>
              <w:rPr>
                <w:i/>
                <w:sz w:val="22"/>
              </w:rPr>
            </w:pPr>
            <w:r>
              <w:rPr>
                <w:i/>
                <w:w w:val="95"/>
                <w:sz w:val="22"/>
              </w:rPr>
              <w:t>双耳失聪</w:t>
            </w:r>
          </w:p>
        </w:tc>
        <w:tc>
          <w:tcPr>
            <w:tcW w:w="7733" w:type="dxa"/>
          </w:tcPr>
          <w:p>
            <w:pPr>
              <w:pStyle w:val="TableParagraph"/>
              <w:spacing w:before="104"/>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right="349"/>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right="267"/>
              <w:rPr>
                <w:sz w:val="21"/>
              </w:rPr>
            </w:pPr>
            <w:r>
              <w:rPr>
                <w:sz w:val="21"/>
              </w:rPr>
              <w:t>被保险人申请理赔时年龄必须在三周岁以上，并且提供理赔当时的听力丧失诊断及检查证据。</w:t>
            </w:r>
          </w:p>
        </w:tc>
      </w:tr>
      <w:tr>
        <w:trPr>
          <w:trHeight w:val="2723" w:hRule="atLeast"/>
        </w:trPr>
        <w:tc>
          <w:tcPr>
            <w:tcW w:w="1098" w:type="dxa"/>
          </w:tcPr>
          <w:p>
            <w:pPr>
              <w:pStyle w:val="TableParagraph"/>
              <w:spacing w:before="94"/>
              <w:ind w:left="168" w:right="229"/>
              <w:jc w:val="center"/>
              <w:rPr>
                <w:i/>
                <w:sz w:val="22"/>
              </w:rPr>
            </w:pPr>
            <w:r>
              <w:rPr>
                <w:i/>
                <w:sz w:val="22"/>
              </w:rPr>
              <w:t>3.2.14</w:t>
            </w:r>
          </w:p>
        </w:tc>
        <w:tc>
          <w:tcPr>
            <w:tcW w:w="1654" w:type="dxa"/>
          </w:tcPr>
          <w:p>
            <w:pPr>
              <w:pStyle w:val="TableParagraph"/>
              <w:spacing w:before="94"/>
              <w:ind w:left="263"/>
              <w:rPr>
                <w:i/>
                <w:sz w:val="22"/>
              </w:rPr>
            </w:pPr>
            <w:r>
              <w:rPr>
                <w:i/>
                <w:w w:val="95"/>
                <w:sz w:val="22"/>
              </w:rPr>
              <w:t>双目失明</w:t>
            </w:r>
          </w:p>
        </w:tc>
        <w:tc>
          <w:tcPr>
            <w:tcW w:w="7733" w:type="dxa"/>
          </w:tcPr>
          <w:p>
            <w:pPr>
              <w:pStyle w:val="TableParagraph"/>
              <w:spacing w:line="273" w:lineRule="auto" w:before="105"/>
              <w:ind w:right="260"/>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45"/>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5"/>
                <w:w w:val="100"/>
                <w:sz w:val="21"/>
              </w:rPr>
              <w:t>）</w:t>
            </w:r>
            <w:r>
              <w:rPr>
                <w:w w:val="100"/>
                <w:sz w:val="21"/>
              </w:rPr>
              <w:t>；</w:t>
            </w:r>
          </w:p>
          <w:p>
            <w:pPr>
              <w:pStyle w:val="TableParagraph"/>
              <w:spacing w:before="8"/>
              <w:rPr>
                <w:sz w:val="21"/>
              </w:rPr>
            </w:pPr>
            <w:r>
              <w:rPr>
                <w:sz w:val="21"/>
              </w:rPr>
              <w:t>（3）视野半径小于 5 度。</w:t>
            </w:r>
          </w:p>
          <w:p>
            <w:pPr>
              <w:pStyle w:val="TableParagraph"/>
              <w:spacing w:line="273" w:lineRule="auto" w:before="37"/>
              <w:ind w:right="267"/>
              <w:rPr>
                <w:sz w:val="21"/>
              </w:rPr>
            </w:pPr>
            <w:r>
              <w:rPr>
                <w:sz w:val="21"/>
              </w:rPr>
              <w:t>被保险人申请理赔时年龄必须在三周岁以上，并且提供理赔当时的视力丧失诊断及检查证据。</w:t>
            </w:r>
          </w:p>
        </w:tc>
      </w:tr>
      <w:tr>
        <w:trPr>
          <w:trHeight w:val="1162" w:hRule="atLeast"/>
        </w:trPr>
        <w:tc>
          <w:tcPr>
            <w:tcW w:w="1098" w:type="dxa"/>
          </w:tcPr>
          <w:p>
            <w:pPr>
              <w:pStyle w:val="TableParagraph"/>
              <w:spacing w:before="92"/>
              <w:ind w:left="168" w:right="229"/>
              <w:jc w:val="center"/>
              <w:rPr>
                <w:i/>
                <w:sz w:val="22"/>
              </w:rPr>
            </w:pPr>
            <w:r>
              <w:rPr>
                <w:i/>
                <w:sz w:val="22"/>
              </w:rPr>
              <w:t>3.2.15</w:t>
            </w:r>
          </w:p>
        </w:tc>
        <w:tc>
          <w:tcPr>
            <w:tcW w:w="1654" w:type="dxa"/>
          </w:tcPr>
          <w:p>
            <w:pPr>
              <w:pStyle w:val="TableParagraph"/>
              <w:spacing w:before="92"/>
              <w:ind w:left="263"/>
              <w:rPr>
                <w:i/>
                <w:sz w:val="22"/>
              </w:rPr>
            </w:pPr>
            <w:r>
              <w:rPr>
                <w:i/>
                <w:w w:val="95"/>
                <w:sz w:val="22"/>
              </w:rPr>
              <w:t>瘫痪</w:t>
            </w:r>
          </w:p>
        </w:tc>
        <w:tc>
          <w:tcPr>
            <w:tcW w:w="7733" w:type="dxa"/>
          </w:tcPr>
          <w:p>
            <w:pPr>
              <w:pStyle w:val="TableParagraph"/>
              <w:spacing w:line="273" w:lineRule="auto" w:before="104"/>
              <w:ind w:right="302"/>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2" w:hRule="atLeast"/>
        </w:trPr>
        <w:tc>
          <w:tcPr>
            <w:tcW w:w="1098" w:type="dxa"/>
          </w:tcPr>
          <w:p>
            <w:pPr>
              <w:pStyle w:val="TableParagraph"/>
              <w:spacing w:before="94"/>
              <w:ind w:left="168" w:right="229"/>
              <w:jc w:val="center"/>
              <w:rPr>
                <w:i/>
                <w:sz w:val="22"/>
              </w:rPr>
            </w:pPr>
            <w:r>
              <w:rPr>
                <w:i/>
                <w:sz w:val="22"/>
              </w:rPr>
              <w:t>3.2.16</w:t>
            </w:r>
          </w:p>
        </w:tc>
        <w:tc>
          <w:tcPr>
            <w:tcW w:w="1654" w:type="dxa"/>
          </w:tcPr>
          <w:p>
            <w:pPr>
              <w:pStyle w:val="TableParagraph"/>
              <w:spacing w:line="259" w:lineRule="auto" w:before="94"/>
              <w:ind w:left="263" w:right="81"/>
              <w:rPr>
                <w:i/>
                <w:sz w:val="22"/>
              </w:rPr>
            </w:pPr>
            <w:r>
              <w:rPr>
                <w:i/>
                <w:w w:val="95"/>
                <w:sz w:val="22"/>
              </w:rPr>
              <w:t>心脏瓣膜手</w:t>
            </w:r>
            <w:r>
              <w:rPr>
                <w:i/>
                <w:sz w:val="22"/>
              </w:rPr>
              <w:t>术</w:t>
            </w:r>
          </w:p>
        </w:tc>
        <w:tc>
          <w:tcPr>
            <w:tcW w:w="7733" w:type="dxa"/>
          </w:tcPr>
          <w:p>
            <w:pPr>
              <w:pStyle w:val="TableParagraph"/>
              <w:spacing w:before="105"/>
              <w:rPr>
                <w:sz w:val="21"/>
              </w:rPr>
            </w:pPr>
            <w:r>
              <w:rPr>
                <w:sz w:val="21"/>
              </w:rPr>
              <w:t>指为治疗心脏瓣膜疾病，实际实施了开胸进行的心脏瓣膜置换或修复的手术。</w:t>
            </w:r>
          </w:p>
        </w:tc>
      </w:tr>
      <w:tr>
        <w:trPr>
          <w:trHeight w:val="2098" w:hRule="atLeast"/>
        </w:trPr>
        <w:tc>
          <w:tcPr>
            <w:tcW w:w="1098" w:type="dxa"/>
          </w:tcPr>
          <w:p>
            <w:pPr>
              <w:pStyle w:val="TableParagraph"/>
              <w:spacing w:before="93"/>
              <w:ind w:left="168" w:right="229"/>
              <w:jc w:val="center"/>
              <w:rPr>
                <w:i/>
                <w:sz w:val="22"/>
              </w:rPr>
            </w:pPr>
            <w:r>
              <w:rPr>
                <w:i/>
                <w:sz w:val="22"/>
              </w:rPr>
              <w:t>3.2.17</w:t>
            </w:r>
          </w:p>
        </w:tc>
        <w:tc>
          <w:tcPr>
            <w:tcW w:w="1654" w:type="dxa"/>
          </w:tcPr>
          <w:p>
            <w:pPr>
              <w:pStyle w:val="TableParagraph"/>
              <w:spacing w:line="259" w:lineRule="auto" w:before="93"/>
              <w:ind w:left="263" w:right="334"/>
              <w:rPr>
                <w:i/>
                <w:sz w:val="22"/>
              </w:rPr>
            </w:pPr>
            <w:r>
              <w:rPr>
                <w:i/>
                <w:w w:val="95"/>
                <w:sz w:val="22"/>
              </w:rPr>
              <w:t>严重阿尔茨海默病</w:t>
            </w:r>
          </w:p>
        </w:tc>
        <w:tc>
          <w:tcPr>
            <w:tcW w:w="7733" w:type="dxa"/>
          </w:tcPr>
          <w:p>
            <w:pPr>
              <w:pStyle w:val="TableParagraph"/>
              <w:spacing w:line="273" w:lineRule="auto" w:before="104"/>
              <w:ind w:right="301"/>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jc w:val="both"/>
              <w:rPr>
                <w:sz w:val="21"/>
              </w:rPr>
            </w:pPr>
            <w:r>
              <w:rPr>
                <w:sz w:val="21"/>
              </w:rPr>
              <w:t>神经官能症和精神疾病不在保障范围内。</w:t>
            </w:r>
          </w:p>
        </w:tc>
      </w:tr>
      <w:tr>
        <w:trPr>
          <w:trHeight w:val="1315" w:hRule="atLeast"/>
        </w:trPr>
        <w:tc>
          <w:tcPr>
            <w:tcW w:w="1098" w:type="dxa"/>
          </w:tcPr>
          <w:p>
            <w:pPr>
              <w:pStyle w:val="TableParagraph"/>
              <w:spacing w:before="92"/>
              <w:ind w:left="168" w:right="229"/>
              <w:jc w:val="center"/>
              <w:rPr>
                <w:i/>
                <w:sz w:val="22"/>
              </w:rPr>
            </w:pPr>
            <w:r>
              <w:rPr>
                <w:i/>
                <w:sz w:val="22"/>
              </w:rPr>
              <w:t>3.2.18</w:t>
            </w:r>
          </w:p>
        </w:tc>
        <w:tc>
          <w:tcPr>
            <w:tcW w:w="1654" w:type="dxa"/>
          </w:tcPr>
          <w:p>
            <w:pPr>
              <w:pStyle w:val="TableParagraph"/>
              <w:spacing w:before="92"/>
              <w:ind w:left="263"/>
              <w:rPr>
                <w:i/>
                <w:sz w:val="22"/>
              </w:rPr>
            </w:pPr>
            <w:r>
              <w:rPr>
                <w:i/>
                <w:w w:val="95"/>
                <w:sz w:val="22"/>
              </w:rPr>
              <w:t>严重脑损伤</w:t>
            </w:r>
          </w:p>
        </w:tc>
        <w:tc>
          <w:tcPr>
            <w:tcW w:w="7733" w:type="dxa"/>
          </w:tcPr>
          <w:p>
            <w:pPr>
              <w:pStyle w:val="TableParagraph"/>
              <w:spacing w:line="310" w:lineRule="atLeast" w:before="69"/>
              <w:ind w:right="198"/>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tc>
      </w:tr>
    </w:tbl>
    <w:p>
      <w:pPr>
        <w:spacing w:after="0" w:line="310" w:lineRule="atLeast"/>
        <w:rPr>
          <w:sz w:val="21"/>
        </w:rPr>
        <w:sectPr>
          <w:pgSz w:w="11910" w:h="16840"/>
          <w:pgMar w:header="0" w:footer="629" w:top="1160" w:bottom="820" w:left="720" w:right="5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1654"/>
        <w:gridCol w:w="7644"/>
      </w:tblGrid>
      <w:tr>
        <w:trPr>
          <w:trHeight w:val="1307" w:hRule="atLeast"/>
        </w:trPr>
        <w:tc>
          <w:tcPr>
            <w:tcW w:w="1098" w:type="dxa"/>
          </w:tcPr>
          <w:p>
            <w:pPr>
              <w:pStyle w:val="TableParagraph"/>
              <w:ind w:left="0"/>
              <w:rPr>
                <w:rFonts w:ascii="Times New Roman"/>
                <w:sz w:val="20"/>
              </w:rPr>
            </w:pPr>
          </w:p>
        </w:tc>
        <w:tc>
          <w:tcPr>
            <w:tcW w:w="1654" w:type="dxa"/>
          </w:tcPr>
          <w:p>
            <w:pPr>
              <w:pStyle w:val="TableParagraph"/>
              <w:ind w:left="0"/>
              <w:rPr>
                <w:rFonts w:ascii="Times New Roman"/>
                <w:sz w:val="20"/>
              </w:rPr>
            </w:pPr>
          </w:p>
        </w:tc>
        <w:tc>
          <w:tcPr>
            <w:tcW w:w="7644" w:type="dxa"/>
          </w:tcPr>
          <w:p>
            <w:pPr>
              <w:pStyle w:val="TableParagraph"/>
              <w:spacing w:line="211" w:lineRule="exact"/>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303"/>
              <w:rPr>
                <w:sz w:val="21"/>
              </w:rPr>
            </w:pPr>
            <w:r>
              <w:rPr>
                <w:sz w:val="21"/>
              </w:rPr>
              <w:t>（3）自主生活能力完全丧失，无法独立完成</w:t>
            </w:r>
            <w:r>
              <w:rPr>
                <w:b/>
                <w:sz w:val="21"/>
              </w:rPr>
              <w:t>六项基本日常生活活动</w:t>
            </w:r>
            <w:r>
              <w:rPr>
                <w:sz w:val="21"/>
              </w:rPr>
              <w:t>中的三项或三项以上。</w:t>
            </w:r>
          </w:p>
        </w:tc>
      </w:tr>
      <w:tr>
        <w:trPr>
          <w:trHeight w:val="2100" w:hRule="atLeast"/>
        </w:trPr>
        <w:tc>
          <w:tcPr>
            <w:tcW w:w="1098" w:type="dxa"/>
          </w:tcPr>
          <w:p>
            <w:pPr>
              <w:pStyle w:val="TableParagraph"/>
              <w:spacing w:before="94"/>
              <w:ind w:left="168" w:right="229"/>
              <w:jc w:val="center"/>
              <w:rPr>
                <w:i/>
                <w:sz w:val="22"/>
              </w:rPr>
            </w:pPr>
            <w:r>
              <w:rPr>
                <w:i/>
                <w:sz w:val="22"/>
              </w:rPr>
              <w:t>3.2.19</w:t>
            </w:r>
          </w:p>
        </w:tc>
        <w:tc>
          <w:tcPr>
            <w:tcW w:w="1654" w:type="dxa"/>
          </w:tcPr>
          <w:p>
            <w:pPr>
              <w:pStyle w:val="TableParagraph"/>
              <w:spacing w:line="259" w:lineRule="auto" w:before="94"/>
              <w:ind w:left="263" w:right="81"/>
              <w:rPr>
                <w:i/>
                <w:sz w:val="22"/>
              </w:rPr>
            </w:pPr>
            <w:r>
              <w:rPr>
                <w:i/>
                <w:w w:val="95"/>
                <w:sz w:val="22"/>
              </w:rPr>
              <w:t>严重帕金森</w:t>
            </w:r>
            <w:r>
              <w:rPr>
                <w:i/>
                <w:sz w:val="22"/>
              </w:rPr>
              <w:t>病</w:t>
            </w:r>
          </w:p>
        </w:tc>
        <w:tc>
          <w:tcPr>
            <w:tcW w:w="7644" w:type="dxa"/>
          </w:tcPr>
          <w:p>
            <w:pPr>
              <w:pStyle w:val="TableParagraph"/>
              <w:spacing w:line="273" w:lineRule="auto" w:before="105"/>
              <w:ind w:right="196"/>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303"/>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rPr>
                <w:sz w:val="21"/>
              </w:rPr>
            </w:pPr>
            <w:r>
              <w:rPr>
                <w:sz w:val="21"/>
              </w:rPr>
              <w:t>继发性帕金森综合征不在保障范围内。</w:t>
            </w:r>
          </w:p>
        </w:tc>
      </w:tr>
      <w:tr>
        <w:trPr>
          <w:trHeight w:val="851" w:hRule="atLeast"/>
        </w:trPr>
        <w:tc>
          <w:tcPr>
            <w:tcW w:w="1098" w:type="dxa"/>
          </w:tcPr>
          <w:p>
            <w:pPr>
              <w:pStyle w:val="TableParagraph"/>
              <w:spacing w:before="94"/>
              <w:ind w:left="168" w:right="229"/>
              <w:jc w:val="center"/>
              <w:rPr>
                <w:i/>
                <w:sz w:val="22"/>
              </w:rPr>
            </w:pPr>
            <w:r>
              <w:rPr>
                <w:i/>
                <w:sz w:val="22"/>
              </w:rPr>
              <w:t>3.2.20</w:t>
            </w:r>
          </w:p>
        </w:tc>
        <w:tc>
          <w:tcPr>
            <w:tcW w:w="1654" w:type="dxa"/>
          </w:tcPr>
          <w:p>
            <w:pPr>
              <w:pStyle w:val="TableParagraph"/>
              <w:spacing w:line="259" w:lineRule="auto" w:before="94"/>
              <w:ind w:left="263" w:right="334"/>
              <w:rPr>
                <w:i/>
                <w:sz w:val="22"/>
              </w:rPr>
            </w:pPr>
            <w:r>
              <w:rPr>
                <w:i/>
                <w:w w:val="95"/>
                <w:sz w:val="22"/>
              </w:rPr>
              <w:t>严重Ⅲ度烧</w:t>
            </w:r>
            <w:r>
              <w:rPr>
                <w:i/>
                <w:sz w:val="22"/>
              </w:rPr>
              <w:t>伤</w:t>
            </w:r>
          </w:p>
        </w:tc>
        <w:tc>
          <w:tcPr>
            <w:tcW w:w="7644" w:type="dxa"/>
          </w:tcPr>
          <w:p>
            <w:pPr>
              <w:pStyle w:val="TableParagraph"/>
              <w:spacing w:line="273" w:lineRule="auto" w:before="105"/>
              <w:ind w:right="170"/>
              <w:rPr>
                <w:sz w:val="21"/>
              </w:rPr>
            </w:pPr>
            <w:r>
              <w:rPr>
                <w:sz w:val="21"/>
              </w:rPr>
              <w:t>指烧伤程度为Ⅲ度，且Ⅲ度烧伤面积达到全身体表面积的 20％或 20％以上。体表面积根据 《中国新九分法》计算。</w:t>
            </w:r>
          </w:p>
        </w:tc>
      </w:tr>
      <w:tr>
        <w:trPr>
          <w:trHeight w:val="1162" w:hRule="atLeast"/>
        </w:trPr>
        <w:tc>
          <w:tcPr>
            <w:tcW w:w="1098" w:type="dxa"/>
          </w:tcPr>
          <w:p>
            <w:pPr>
              <w:pStyle w:val="TableParagraph"/>
              <w:spacing w:before="92"/>
              <w:ind w:left="168" w:right="229"/>
              <w:jc w:val="center"/>
              <w:rPr>
                <w:i/>
                <w:sz w:val="22"/>
              </w:rPr>
            </w:pPr>
            <w:r>
              <w:rPr>
                <w:i/>
                <w:sz w:val="22"/>
              </w:rPr>
              <w:t>3.2.21</w:t>
            </w:r>
          </w:p>
        </w:tc>
        <w:tc>
          <w:tcPr>
            <w:tcW w:w="1654" w:type="dxa"/>
          </w:tcPr>
          <w:p>
            <w:pPr>
              <w:pStyle w:val="TableParagraph"/>
              <w:spacing w:line="259" w:lineRule="auto" w:before="92"/>
              <w:ind w:left="263" w:right="81"/>
              <w:rPr>
                <w:i/>
                <w:sz w:val="22"/>
              </w:rPr>
            </w:pPr>
            <w:r>
              <w:rPr>
                <w:i/>
                <w:w w:val="95"/>
                <w:sz w:val="22"/>
              </w:rPr>
              <w:t>严重原发性肺动脉高压</w:t>
            </w:r>
          </w:p>
        </w:tc>
        <w:tc>
          <w:tcPr>
            <w:tcW w:w="7644" w:type="dxa"/>
          </w:tcPr>
          <w:p>
            <w:pPr>
              <w:pStyle w:val="TableParagraph"/>
              <w:spacing w:line="273" w:lineRule="auto" w:before="104"/>
              <w:ind w:right="213"/>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098" w:type="dxa"/>
          </w:tcPr>
          <w:p>
            <w:pPr>
              <w:pStyle w:val="TableParagraph"/>
              <w:spacing w:before="94"/>
              <w:ind w:left="168" w:right="229"/>
              <w:jc w:val="center"/>
              <w:rPr>
                <w:i/>
                <w:sz w:val="22"/>
              </w:rPr>
            </w:pPr>
            <w:r>
              <w:rPr>
                <w:i/>
                <w:sz w:val="22"/>
              </w:rPr>
              <w:t>3.2.22</w:t>
            </w:r>
          </w:p>
        </w:tc>
        <w:tc>
          <w:tcPr>
            <w:tcW w:w="1654" w:type="dxa"/>
          </w:tcPr>
          <w:p>
            <w:pPr>
              <w:pStyle w:val="TableParagraph"/>
              <w:spacing w:line="259" w:lineRule="auto" w:before="94"/>
              <w:ind w:left="263" w:right="81"/>
              <w:rPr>
                <w:i/>
                <w:sz w:val="22"/>
              </w:rPr>
            </w:pPr>
            <w:r>
              <w:rPr>
                <w:i/>
                <w:w w:val="95"/>
                <w:sz w:val="22"/>
              </w:rPr>
              <w:t>严重运动神经元病</w:t>
            </w:r>
          </w:p>
        </w:tc>
        <w:tc>
          <w:tcPr>
            <w:tcW w:w="7644" w:type="dxa"/>
          </w:tcPr>
          <w:p>
            <w:pPr>
              <w:pStyle w:val="TableParagraph"/>
              <w:spacing w:line="273" w:lineRule="auto" w:before="105"/>
              <w:ind w:right="19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1098" w:type="dxa"/>
          </w:tcPr>
          <w:p>
            <w:pPr>
              <w:pStyle w:val="TableParagraph"/>
              <w:spacing w:before="92"/>
              <w:ind w:left="168" w:right="229"/>
              <w:jc w:val="center"/>
              <w:rPr>
                <w:i/>
                <w:sz w:val="22"/>
              </w:rPr>
            </w:pPr>
            <w:r>
              <w:rPr>
                <w:i/>
                <w:sz w:val="22"/>
              </w:rPr>
              <w:t>3.2.23</w:t>
            </w:r>
          </w:p>
        </w:tc>
        <w:tc>
          <w:tcPr>
            <w:tcW w:w="1654" w:type="dxa"/>
          </w:tcPr>
          <w:p>
            <w:pPr>
              <w:pStyle w:val="TableParagraph"/>
              <w:spacing w:line="259" w:lineRule="auto" w:before="92"/>
              <w:ind w:left="263" w:right="334"/>
              <w:rPr>
                <w:i/>
                <w:sz w:val="22"/>
              </w:rPr>
            </w:pPr>
            <w:r>
              <w:rPr>
                <w:i/>
                <w:w w:val="95"/>
                <w:sz w:val="22"/>
              </w:rPr>
              <w:t>语言能力丧</w:t>
            </w:r>
            <w:r>
              <w:rPr>
                <w:i/>
                <w:sz w:val="22"/>
              </w:rPr>
              <w:t>失</w:t>
            </w:r>
          </w:p>
        </w:tc>
        <w:tc>
          <w:tcPr>
            <w:tcW w:w="7644" w:type="dxa"/>
          </w:tcPr>
          <w:p>
            <w:pPr>
              <w:pStyle w:val="TableParagraph"/>
              <w:spacing w:line="273" w:lineRule="auto" w:before="104"/>
              <w:ind w:right="212"/>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178"/>
              <w:rPr>
                <w:sz w:val="21"/>
              </w:rPr>
            </w:pPr>
            <w:r>
              <w:rPr>
                <w:sz w:val="21"/>
              </w:rPr>
              <w:t>被保险人申请理赔时年龄必须在三周岁以上，并且提供理赔当时的语言能力丧失诊断及检查证据。</w:t>
            </w:r>
          </w:p>
        </w:tc>
      </w:tr>
      <w:tr>
        <w:trPr>
          <w:trHeight w:val="2411" w:hRule="atLeast"/>
        </w:trPr>
        <w:tc>
          <w:tcPr>
            <w:tcW w:w="1098" w:type="dxa"/>
          </w:tcPr>
          <w:p>
            <w:pPr>
              <w:pStyle w:val="TableParagraph"/>
              <w:spacing w:before="94"/>
              <w:ind w:left="168" w:right="229"/>
              <w:jc w:val="center"/>
              <w:rPr>
                <w:i/>
                <w:sz w:val="22"/>
              </w:rPr>
            </w:pPr>
            <w:r>
              <w:rPr>
                <w:i/>
                <w:sz w:val="22"/>
              </w:rPr>
              <w:t>3.2.24</w:t>
            </w:r>
          </w:p>
        </w:tc>
        <w:tc>
          <w:tcPr>
            <w:tcW w:w="1654" w:type="dxa"/>
          </w:tcPr>
          <w:p>
            <w:pPr>
              <w:pStyle w:val="TableParagraph"/>
              <w:spacing w:line="259" w:lineRule="auto" w:before="94"/>
              <w:ind w:left="263" w:right="81"/>
              <w:rPr>
                <w:i/>
                <w:sz w:val="22"/>
              </w:rPr>
            </w:pPr>
            <w:r>
              <w:rPr>
                <w:i/>
                <w:w w:val="95"/>
                <w:sz w:val="22"/>
              </w:rPr>
              <w:t>重型再生障碍性贫血</w:t>
            </w:r>
          </w:p>
        </w:tc>
        <w:tc>
          <w:tcPr>
            <w:tcW w:w="7644" w:type="dxa"/>
          </w:tcPr>
          <w:p>
            <w:pPr>
              <w:pStyle w:val="TableParagraph"/>
              <w:spacing w:line="273" w:lineRule="auto" w:before="105"/>
              <w:ind w:right="203"/>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01"/>
              <w:rPr>
                <w:sz w:val="21"/>
              </w:rPr>
            </w:pPr>
            <w:r>
              <w:rPr>
                <w:sz w:val="21"/>
              </w:rPr>
              <w:t>① 中性粒细胞绝对值≤0.5×10</w:t>
            </w:r>
            <w:r>
              <w:rPr>
                <w:b/>
                <w:position w:val="11"/>
                <w:sz w:val="11"/>
              </w:rPr>
              <w:t>9</w:t>
            </w:r>
            <w:r>
              <w:rPr>
                <w:sz w:val="21"/>
              </w:rPr>
              <w:t>/L ；</w:t>
            </w:r>
          </w:p>
          <w:p>
            <w:pPr>
              <w:pStyle w:val="TableParagraph"/>
              <w:spacing w:before="37"/>
              <w:ind w:left="501"/>
              <w:rPr>
                <w:sz w:val="21"/>
              </w:rPr>
            </w:pPr>
            <w:r>
              <w:rPr>
                <w:sz w:val="21"/>
              </w:rPr>
              <w:t>② 网织红细胞＜1%；</w:t>
            </w:r>
          </w:p>
          <w:p>
            <w:pPr>
              <w:pStyle w:val="TableParagraph"/>
              <w:spacing w:before="37"/>
              <w:ind w:left="501"/>
              <w:rPr>
                <w:sz w:val="21"/>
              </w:rPr>
            </w:pPr>
            <w:r>
              <w:rPr>
                <w:sz w:val="21"/>
              </w:rPr>
              <w:t>③ 血小板绝对值≤20×10</w:t>
            </w:r>
            <w:r>
              <w:rPr>
                <w:b/>
                <w:position w:val="11"/>
                <w:sz w:val="11"/>
              </w:rPr>
              <w:t>9</w:t>
            </w:r>
            <w:r>
              <w:rPr>
                <w:sz w:val="21"/>
              </w:rPr>
              <w:t>/L。</w:t>
            </w:r>
          </w:p>
        </w:tc>
      </w:tr>
      <w:tr>
        <w:trPr>
          <w:trHeight w:val="1475" w:hRule="atLeast"/>
        </w:trPr>
        <w:tc>
          <w:tcPr>
            <w:tcW w:w="1098" w:type="dxa"/>
          </w:tcPr>
          <w:p>
            <w:pPr>
              <w:pStyle w:val="TableParagraph"/>
              <w:spacing w:before="94"/>
              <w:ind w:left="168" w:right="229"/>
              <w:jc w:val="center"/>
              <w:rPr>
                <w:i/>
                <w:sz w:val="22"/>
              </w:rPr>
            </w:pPr>
            <w:r>
              <w:rPr>
                <w:i/>
                <w:sz w:val="22"/>
              </w:rPr>
              <w:t>3.2.25</w:t>
            </w:r>
          </w:p>
        </w:tc>
        <w:tc>
          <w:tcPr>
            <w:tcW w:w="1654" w:type="dxa"/>
          </w:tcPr>
          <w:p>
            <w:pPr>
              <w:pStyle w:val="TableParagraph"/>
              <w:spacing w:before="94"/>
              <w:ind w:left="263"/>
              <w:rPr>
                <w:i/>
                <w:sz w:val="22"/>
              </w:rPr>
            </w:pPr>
            <w:r>
              <w:rPr>
                <w:i/>
                <w:w w:val="95"/>
                <w:sz w:val="22"/>
              </w:rPr>
              <w:t>主动脉手术</w:t>
            </w:r>
          </w:p>
        </w:tc>
        <w:tc>
          <w:tcPr>
            <w:tcW w:w="7644" w:type="dxa"/>
          </w:tcPr>
          <w:p>
            <w:pPr>
              <w:pStyle w:val="TableParagraph"/>
              <w:spacing w:line="273" w:lineRule="auto" w:before="105"/>
              <w:ind w:right="21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jc w:val="both"/>
              <w:rPr>
                <w:sz w:val="21"/>
              </w:rPr>
            </w:pPr>
            <w:r>
              <w:rPr>
                <w:sz w:val="21"/>
              </w:rPr>
              <w:t>动脉内血管成形术不在保障范围内。</w:t>
            </w:r>
          </w:p>
        </w:tc>
      </w:tr>
      <w:tr>
        <w:trPr>
          <w:trHeight w:val="1939" w:hRule="atLeast"/>
        </w:trPr>
        <w:tc>
          <w:tcPr>
            <w:tcW w:w="1098" w:type="dxa"/>
          </w:tcPr>
          <w:p>
            <w:pPr>
              <w:pStyle w:val="TableParagraph"/>
              <w:spacing w:before="92"/>
              <w:ind w:left="168" w:right="229"/>
              <w:jc w:val="center"/>
              <w:rPr>
                <w:i/>
                <w:sz w:val="22"/>
              </w:rPr>
            </w:pPr>
            <w:r>
              <w:rPr>
                <w:i/>
                <w:sz w:val="22"/>
              </w:rPr>
              <w:t>3.2.26</w:t>
            </w:r>
          </w:p>
        </w:tc>
        <w:tc>
          <w:tcPr>
            <w:tcW w:w="1654" w:type="dxa"/>
          </w:tcPr>
          <w:p>
            <w:pPr>
              <w:pStyle w:val="TableParagraph"/>
              <w:spacing w:line="259" w:lineRule="auto" w:before="92"/>
              <w:ind w:left="263" w:right="81"/>
              <w:rPr>
                <w:i/>
                <w:sz w:val="22"/>
              </w:rPr>
            </w:pPr>
            <w:r>
              <w:rPr>
                <w:i/>
                <w:w w:val="95"/>
                <w:sz w:val="22"/>
              </w:rPr>
              <w:t>肌营养不良</w:t>
            </w:r>
            <w:r>
              <w:rPr>
                <w:i/>
                <w:sz w:val="22"/>
              </w:rPr>
              <w:t>症</w:t>
            </w:r>
          </w:p>
        </w:tc>
        <w:tc>
          <w:tcPr>
            <w:tcW w:w="7644" w:type="dxa"/>
          </w:tcPr>
          <w:p>
            <w:pPr>
              <w:pStyle w:val="TableParagraph"/>
              <w:spacing w:line="273" w:lineRule="auto" w:before="104"/>
              <w:ind w:right="212"/>
              <w:rPr>
                <w:sz w:val="21"/>
              </w:rPr>
            </w:pPr>
            <w:r>
              <w:rPr>
                <w:sz w:val="21"/>
              </w:rPr>
              <w:t>肌营养不良症是一组遗传性肌肉变性坏死性病变，临床特征为与神经系统无关的骨骼肌对称地进行性无力和萎缩，其诊断需同时符合以下条件：</w:t>
            </w:r>
          </w:p>
          <w:p>
            <w:pPr>
              <w:pStyle w:val="TableParagraph"/>
              <w:spacing w:before="7"/>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21"/>
              <w:rPr>
                <w:sz w:val="21"/>
              </w:rPr>
            </w:pPr>
            <w:r>
              <w:rPr>
                <w:sz w:val="21"/>
              </w:rPr>
              <w:t>（</w:t>
            </w:r>
            <w:r>
              <w:rPr>
                <w:rFonts w:ascii="Times New Roman" w:eastAsia="Times New Roman"/>
                <w:sz w:val="21"/>
              </w:rPr>
              <w:t>2</w:t>
            </w:r>
            <w:r>
              <w:rPr>
                <w:sz w:val="21"/>
              </w:rPr>
              <w:t>）血清肌酸磷酸激酶（</w:t>
            </w:r>
            <w:r>
              <w:rPr>
                <w:rFonts w:ascii="Times New Roman" w:eastAsia="Times New Roman"/>
                <w:sz w:val="21"/>
              </w:rPr>
              <w:t>CPK</w:t>
            </w:r>
            <w:r>
              <w:rPr>
                <w:sz w:val="21"/>
              </w:rPr>
              <w:t>）升高；</w:t>
            </w:r>
          </w:p>
          <w:p>
            <w:pPr>
              <w:pStyle w:val="TableParagraph"/>
              <w:spacing w:line="290" w:lineRule="atLeast" w:before="21"/>
              <w:ind w:right="222"/>
              <w:rPr>
                <w:sz w:val="21"/>
              </w:rPr>
            </w:pPr>
            <w:r>
              <w:rPr>
                <w:sz w:val="21"/>
              </w:rPr>
              <w:t>（</w:t>
            </w:r>
            <w:r>
              <w:rPr>
                <w:rFonts w:ascii="Times New Roman" w:eastAsia="Times New Roman"/>
                <w:sz w:val="21"/>
              </w:rPr>
              <w:t>3</w:t>
            </w:r>
            <w:r>
              <w:rPr>
                <w:sz w:val="21"/>
              </w:rPr>
              <w:t>）肌肉活检的病理学诊断符合肌营养不良症的肌肉细胞变性、坏死等阳性改变；</w:t>
            </w:r>
          </w:p>
        </w:tc>
      </w:tr>
    </w:tbl>
    <w:p>
      <w:pPr>
        <w:spacing w:after="0" w:line="290" w:lineRule="atLeast"/>
        <w:rPr>
          <w:sz w:val="21"/>
        </w:rPr>
        <w:sectPr>
          <w:pgSz w:w="11910" w:h="16840"/>
          <w:pgMar w:header="0" w:footer="629" w:top="1160" w:bottom="820" w:left="7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1654"/>
        <w:gridCol w:w="7637"/>
      </w:tblGrid>
      <w:tr>
        <w:trPr>
          <w:trHeight w:val="660" w:hRule="atLeast"/>
        </w:trPr>
        <w:tc>
          <w:tcPr>
            <w:tcW w:w="1098" w:type="dxa"/>
          </w:tcPr>
          <w:p>
            <w:pPr>
              <w:pStyle w:val="TableParagraph"/>
              <w:ind w:left="0"/>
              <w:rPr>
                <w:rFonts w:ascii="Times New Roman"/>
                <w:sz w:val="20"/>
              </w:rPr>
            </w:pPr>
          </w:p>
        </w:tc>
        <w:tc>
          <w:tcPr>
            <w:tcW w:w="1654" w:type="dxa"/>
          </w:tcPr>
          <w:p>
            <w:pPr>
              <w:pStyle w:val="TableParagraph"/>
              <w:ind w:left="0"/>
              <w:rPr>
                <w:rFonts w:ascii="Times New Roman"/>
                <w:sz w:val="20"/>
              </w:rPr>
            </w:pPr>
          </w:p>
        </w:tc>
        <w:tc>
          <w:tcPr>
            <w:tcW w:w="7637" w:type="dxa"/>
          </w:tcPr>
          <w:p>
            <w:pPr>
              <w:pStyle w:val="TableParagraph"/>
              <w:spacing w:line="234" w:lineRule="exact"/>
              <w:rPr>
                <w:sz w:val="21"/>
              </w:rPr>
            </w:pPr>
            <w:r>
              <w:rPr>
                <w:sz w:val="21"/>
              </w:rPr>
              <w:t>（</w:t>
            </w:r>
            <w:r>
              <w:rPr>
                <w:rFonts w:ascii="Times New Roman" w:eastAsia="Times New Roman"/>
                <w:sz w:val="21"/>
              </w:rPr>
              <w:t>4</w:t>
            </w:r>
            <w:r>
              <w:rPr>
                <w:sz w:val="21"/>
              </w:rPr>
              <w:t>）疾病确诊 </w:t>
            </w:r>
            <w:r>
              <w:rPr>
                <w:rFonts w:ascii="Times New Roman" w:eastAsia="Times New Roman"/>
                <w:sz w:val="21"/>
              </w:rPr>
              <w:t>180  </w:t>
            </w:r>
            <w:r>
              <w:rPr>
                <w:sz w:val="21"/>
              </w:rPr>
              <w:t>天以后，被保险人仍完全丧失独立生活能力，无法独立完成</w:t>
            </w:r>
          </w:p>
          <w:p>
            <w:pPr>
              <w:pStyle w:val="TableParagraph"/>
              <w:spacing w:before="21"/>
              <w:rPr>
                <w:sz w:val="21"/>
              </w:rPr>
            </w:pPr>
            <w:r>
              <w:rPr>
                <w:b/>
                <w:sz w:val="21"/>
              </w:rPr>
              <w:t>六项基本日常生活活动</w:t>
            </w:r>
            <w:r>
              <w:rPr>
                <w:sz w:val="21"/>
              </w:rPr>
              <w:t>中的三项或三项以上。</w:t>
            </w:r>
          </w:p>
        </w:tc>
      </w:tr>
      <w:tr>
        <w:trPr>
          <w:trHeight w:val="2383" w:hRule="atLeast"/>
        </w:trPr>
        <w:tc>
          <w:tcPr>
            <w:tcW w:w="1098" w:type="dxa"/>
          </w:tcPr>
          <w:p>
            <w:pPr>
              <w:pStyle w:val="TableParagraph"/>
              <w:spacing w:before="65"/>
              <w:ind w:left="168" w:right="229"/>
              <w:jc w:val="center"/>
              <w:rPr>
                <w:i/>
                <w:sz w:val="22"/>
              </w:rPr>
            </w:pPr>
            <w:r>
              <w:rPr>
                <w:i/>
                <w:sz w:val="22"/>
              </w:rPr>
              <w:t>3.2.27</w:t>
            </w:r>
          </w:p>
        </w:tc>
        <w:tc>
          <w:tcPr>
            <w:tcW w:w="1654" w:type="dxa"/>
          </w:tcPr>
          <w:p>
            <w:pPr>
              <w:pStyle w:val="TableParagraph"/>
              <w:spacing w:line="259" w:lineRule="auto" w:before="65"/>
              <w:ind w:left="263" w:right="334"/>
              <w:rPr>
                <w:i/>
                <w:sz w:val="22"/>
              </w:rPr>
            </w:pPr>
            <w:r>
              <w:rPr>
                <w:i/>
                <w:w w:val="95"/>
                <w:sz w:val="22"/>
              </w:rPr>
              <w:t>严重的原发性心肌病</w:t>
            </w:r>
          </w:p>
        </w:tc>
        <w:tc>
          <w:tcPr>
            <w:tcW w:w="7637" w:type="dxa"/>
          </w:tcPr>
          <w:p>
            <w:pPr>
              <w:pStyle w:val="TableParagraph"/>
              <w:spacing w:line="261" w:lineRule="auto" w:before="77"/>
              <w:ind w:right="198"/>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8"/>
              <w:ind w:right="203"/>
              <w:rPr>
                <w:sz w:val="21"/>
              </w:rPr>
            </w:pPr>
            <w:r>
              <w:rPr>
                <w:rFonts w:ascii="Times New Roman" w:eastAsia="Times New Roman"/>
                <w:sz w:val="21"/>
              </w:rPr>
              <w:t>*</w:t>
            </w:r>
            <w:r>
              <w:rPr>
                <w:sz w:val="21"/>
              </w:rPr>
              <w:t>纽约心脏病协会分类标准心功能</w:t>
            </w:r>
            <w:r>
              <w:rPr>
                <w:rFonts w:ascii="Times New Roman" w:eastAsia="Times New Roman"/>
                <w:sz w:val="21"/>
              </w:rPr>
              <w:t>IV</w:t>
            </w:r>
            <w:r>
              <w:rPr>
                <w:sz w:val="21"/>
              </w:rPr>
              <w:t>级是指有医院的医疗记录显示病人不能进行任何活动，休息时仍有心悸、呼吸困难等心力衰竭表现，并且体检及实验室检查显示有心功能异常的证据。</w:t>
            </w:r>
          </w:p>
        </w:tc>
      </w:tr>
      <w:tr>
        <w:trPr>
          <w:trHeight w:val="850" w:hRule="atLeast"/>
        </w:trPr>
        <w:tc>
          <w:tcPr>
            <w:tcW w:w="1098" w:type="dxa"/>
          </w:tcPr>
          <w:p>
            <w:pPr>
              <w:pStyle w:val="TableParagraph"/>
              <w:spacing w:before="94"/>
              <w:ind w:left="168" w:right="229"/>
              <w:jc w:val="center"/>
              <w:rPr>
                <w:i/>
                <w:sz w:val="22"/>
              </w:rPr>
            </w:pPr>
            <w:r>
              <w:rPr>
                <w:i/>
                <w:sz w:val="22"/>
              </w:rPr>
              <w:t>3.2.28</w:t>
            </w:r>
          </w:p>
        </w:tc>
        <w:tc>
          <w:tcPr>
            <w:tcW w:w="1654" w:type="dxa"/>
          </w:tcPr>
          <w:p>
            <w:pPr>
              <w:pStyle w:val="TableParagraph"/>
              <w:spacing w:before="94"/>
              <w:ind w:left="263"/>
              <w:rPr>
                <w:i/>
                <w:sz w:val="22"/>
              </w:rPr>
            </w:pPr>
            <w:r>
              <w:rPr>
                <w:i/>
                <w:w w:val="95"/>
                <w:sz w:val="22"/>
              </w:rPr>
              <w:t>植物人状态</w:t>
            </w:r>
          </w:p>
        </w:tc>
        <w:tc>
          <w:tcPr>
            <w:tcW w:w="7637" w:type="dxa"/>
          </w:tcPr>
          <w:p>
            <w:pPr>
              <w:pStyle w:val="TableParagraph"/>
              <w:spacing w:line="256" w:lineRule="auto" w:before="105"/>
              <w:ind w:right="210"/>
              <w:rPr>
                <w:sz w:val="21"/>
              </w:rPr>
            </w:pPr>
            <w:r>
              <w:rPr>
                <w:spacing w:val="-4"/>
                <w:sz w:val="21"/>
              </w:rPr>
              <w:t>指经神经科医生确诊，</w:t>
            </w:r>
            <w:r>
              <w:rPr>
                <w:rFonts w:ascii="Times New Roman" w:eastAsia="Times New Roman"/>
                <w:spacing w:val="-13"/>
                <w:sz w:val="21"/>
              </w:rPr>
              <w:t>CT</w:t>
            </w:r>
            <w:r>
              <w:rPr>
                <w:spacing w:val="-32"/>
                <w:sz w:val="21"/>
              </w:rPr>
              <w:t>、</w:t>
            </w:r>
            <w:r>
              <w:rPr>
                <w:rFonts w:ascii="Times New Roman" w:eastAsia="Times New Roman"/>
                <w:sz w:val="21"/>
              </w:rPr>
              <w:t>MRI </w:t>
            </w:r>
            <w:r>
              <w:rPr>
                <w:spacing w:val="-6"/>
                <w:sz w:val="21"/>
              </w:rPr>
              <w:t>等证实大脑皮质全面坏死。患者临床表现意识完</w:t>
            </w:r>
            <w:r>
              <w:rPr>
                <w:spacing w:val="-4"/>
                <w:sz w:val="21"/>
              </w:rPr>
              <w:t>全丧失，但脑干功能仍保持完好，且此情况持续一个月或一个月以上。</w:t>
            </w:r>
          </w:p>
        </w:tc>
      </w:tr>
      <w:tr>
        <w:trPr>
          <w:trHeight w:val="3971" w:hRule="atLeast"/>
        </w:trPr>
        <w:tc>
          <w:tcPr>
            <w:tcW w:w="1098" w:type="dxa"/>
          </w:tcPr>
          <w:p>
            <w:pPr>
              <w:pStyle w:val="TableParagraph"/>
              <w:spacing w:before="92"/>
              <w:ind w:left="168" w:right="229"/>
              <w:jc w:val="center"/>
              <w:rPr>
                <w:i/>
                <w:sz w:val="22"/>
              </w:rPr>
            </w:pPr>
            <w:r>
              <w:rPr>
                <w:i/>
                <w:sz w:val="22"/>
              </w:rPr>
              <w:t>3.2.29</w:t>
            </w:r>
          </w:p>
        </w:tc>
        <w:tc>
          <w:tcPr>
            <w:tcW w:w="1654" w:type="dxa"/>
          </w:tcPr>
          <w:p>
            <w:pPr>
              <w:pStyle w:val="TableParagraph"/>
              <w:spacing w:line="259" w:lineRule="auto" w:before="92"/>
              <w:ind w:left="263" w:right="334"/>
              <w:jc w:val="both"/>
              <w:rPr>
                <w:i/>
                <w:sz w:val="22"/>
              </w:rPr>
            </w:pPr>
            <w:r>
              <w:rPr>
                <w:i/>
                <w:w w:val="95"/>
                <w:sz w:val="22"/>
              </w:rPr>
              <w:t>经输血导致的人类免疫缺陷病毒感</w:t>
            </w:r>
            <w:r>
              <w:rPr>
                <w:i/>
                <w:sz w:val="22"/>
              </w:rPr>
              <w:t>染</w:t>
            </w:r>
          </w:p>
        </w:tc>
        <w:tc>
          <w:tcPr>
            <w:tcW w:w="7637" w:type="dxa"/>
          </w:tcPr>
          <w:p>
            <w:pPr>
              <w:pStyle w:val="TableParagraph"/>
              <w:spacing w:line="273" w:lineRule="auto" w:before="104"/>
              <w:ind w:right="211"/>
              <w:rPr>
                <w:sz w:val="21"/>
              </w:rPr>
            </w:pPr>
            <w:r>
              <w:rPr>
                <w:sz w:val="21"/>
              </w:rPr>
              <w:t>被保险人因输血而感染上人类免疫缺陷病毒( HIV )或罹患获得性免疫缺陷综合征(AIDS ),并且符合下列所有条件：</w:t>
            </w:r>
          </w:p>
          <w:p>
            <w:pPr>
              <w:pStyle w:val="TableParagraph"/>
              <w:spacing w:line="273" w:lineRule="auto" w:before="7"/>
              <w:ind w:right="208"/>
              <w:rPr>
                <w:sz w:val="21"/>
              </w:rPr>
            </w:pPr>
            <w:r>
              <w:rPr>
                <w:spacing w:val="-12"/>
                <w:sz w:val="21"/>
              </w:rPr>
              <w:t>（1）</w:t>
            </w:r>
            <w:r>
              <w:rPr>
                <w:spacing w:val="-6"/>
                <w:sz w:val="21"/>
              </w:rPr>
              <w:t>造成感染的输血事件发生在本合同生效日之后或复效日之后，血清出现 </w:t>
            </w:r>
            <w:r>
              <w:rPr>
                <w:sz w:val="21"/>
              </w:rPr>
              <w:t>HIV </w:t>
            </w:r>
            <w:r>
              <w:rPr>
                <w:spacing w:val="-6"/>
                <w:sz w:val="21"/>
              </w:rPr>
              <w:t>感染必须发生在接受输血后 </w:t>
            </w:r>
            <w:r>
              <w:rPr>
                <w:sz w:val="21"/>
              </w:rPr>
              <w:t>180</w:t>
            </w:r>
            <w:r>
              <w:rPr>
                <w:spacing w:val="-13"/>
                <w:sz w:val="21"/>
              </w:rPr>
              <w:t> 天内；</w:t>
            </w:r>
          </w:p>
          <w:p>
            <w:pPr>
              <w:pStyle w:val="TableParagraph"/>
              <w:spacing w:line="273" w:lineRule="auto" w:before="7"/>
              <w:ind w:right="215"/>
              <w:rPr>
                <w:sz w:val="21"/>
              </w:rPr>
            </w:pPr>
            <w:r>
              <w:rPr>
                <w:sz w:val="21"/>
              </w:rPr>
              <w:t>（2）我们认可的提供输血治疗的正规输血中心或医院出具该项输血感染属医疗责任事故的报告，或者法院终审裁定为医疗责任；</w:t>
            </w:r>
          </w:p>
          <w:p>
            <w:pPr>
              <w:pStyle w:val="TableParagraph"/>
              <w:spacing w:before="7"/>
              <w:rPr>
                <w:sz w:val="21"/>
              </w:rPr>
            </w:pPr>
            <w:r>
              <w:rPr>
                <w:sz w:val="21"/>
              </w:rPr>
              <w:t>（3）受感染的被保险人不是血友病患者；</w:t>
            </w:r>
          </w:p>
          <w:p>
            <w:pPr>
              <w:pStyle w:val="TableParagraph"/>
              <w:spacing w:line="273" w:lineRule="auto" w:before="36"/>
              <w:ind w:right="209"/>
              <w:rPr>
                <w:sz w:val="21"/>
              </w:rPr>
            </w:pPr>
            <w:r>
              <w:rPr>
                <w:sz w:val="21"/>
              </w:rPr>
              <w:t>（4）病情须对生命造成威胁并且在索赔当时的医疗技术条件下尚无已知的治愈方法。</w:t>
            </w:r>
          </w:p>
          <w:p>
            <w:pPr>
              <w:pStyle w:val="TableParagraph"/>
              <w:spacing w:line="273" w:lineRule="auto" w:before="7"/>
              <w:ind w:right="210"/>
              <w:rPr>
                <w:sz w:val="21"/>
              </w:rPr>
            </w:pPr>
            <w:r>
              <w:rPr>
                <w:spacing w:val="-4"/>
                <w:sz w:val="21"/>
              </w:rPr>
              <w:t>任何因其他传播方式</w:t>
            </w:r>
            <w:r>
              <w:rPr>
                <w:spacing w:val="-3"/>
                <w:sz w:val="21"/>
              </w:rPr>
              <w:t>（包括：性传播或静脉注射毒品</w:t>
            </w:r>
            <w:r>
              <w:rPr>
                <w:spacing w:val="-5"/>
                <w:sz w:val="21"/>
              </w:rPr>
              <w:t>）</w:t>
            </w:r>
            <w:r>
              <w:rPr>
                <w:spacing w:val="-11"/>
                <w:sz w:val="21"/>
              </w:rPr>
              <w:t>导致的 </w:t>
            </w:r>
            <w:r>
              <w:rPr>
                <w:sz w:val="21"/>
              </w:rPr>
              <w:t>HIV</w:t>
            </w:r>
            <w:r>
              <w:rPr>
                <w:spacing w:val="-9"/>
                <w:sz w:val="21"/>
              </w:rPr>
              <w:t> 感染不在保障</w:t>
            </w:r>
            <w:r>
              <w:rPr>
                <w:spacing w:val="-6"/>
                <w:sz w:val="21"/>
              </w:rPr>
              <w:t>范围内。</w:t>
            </w:r>
          </w:p>
          <w:p>
            <w:pPr>
              <w:pStyle w:val="TableParagraph"/>
              <w:spacing w:before="7"/>
              <w:rPr>
                <w:sz w:val="21"/>
              </w:rPr>
            </w:pPr>
            <w:r>
              <w:rPr>
                <w:sz w:val="21"/>
              </w:rPr>
              <w:t>本附加合同条款责任免除中的 HIV 规定，不适用于本重大疾病。</w:t>
            </w:r>
          </w:p>
        </w:tc>
      </w:tr>
      <w:tr>
        <w:trPr>
          <w:trHeight w:val="2100" w:hRule="atLeast"/>
        </w:trPr>
        <w:tc>
          <w:tcPr>
            <w:tcW w:w="1098" w:type="dxa"/>
          </w:tcPr>
          <w:p>
            <w:pPr>
              <w:pStyle w:val="TableParagraph"/>
              <w:spacing w:before="94"/>
              <w:ind w:left="168" w:right="229"/>
              <w:jc w:val="center"/>
              <w:rPr>
                <w:i/>
                <w:sz w:val="22"/>
              </w:rPr>
            </w:pPr>
            <w:r>
              <w:rPr>
                <w:i/>
                <w:sz w:val="22"/>
              </w:rPr>
              <w:t>3.2.30</w:t>
            </w:r>
          </w:p>
        </w:tc>
        <w:tc>
          <w:tcPr>
            <w:tcW w:w="1654" w:type="dxa"/>
          </w:tcPr>
          <w:p>
            <w:pPr>
              <w:pStyle w:val="TableParagraph"/>
              <w:spacing w:line="259" w:lineRule="auto" w:before="94"/>
              <w:ind w:left="263" w:right="81"/>
              <w:jc w:val="both"/>
              <w:rPr>
                <w:i/>
                <w:sz w:val="22"/>
              </w:rPr>
            </w:pPr>
            <w:r>
              <w:rPr>
                <w:i/>
                <w:w w:val="95"/>
                <w:sz w:val="22"/>
              </w:rPr>
              <w:t>由于医务职业感染艾滋病病毒</w:t>
            </w:r>
          </w:p>
        </w:tc>
        <w:tc>
          <w:tcPr>
            <w:tcW w:w="7637" w:type="dxa"/>
          </w:tcPr>
          <w:p>
            <w:pPr>
              <w:pStyle w:val="TableParagraph"/>
              <w:spacing w:line="266" w:lineRule="auto" w:before="105"/>
              <w:ind w:right="205"/>
              <w:jc w:val="both"/>
              <w:rPr>
                <w:sz w:val="21"/>
              </w:rPr>
            </w:pPr>
            <w:r>
              <w:rPr>
                <w:spacing w:val="-4"/>
                <w:sz w:val="21"/>
              </w:rPr>
              <w:t>指的是在从事正常的医务工作过程中发生意外而感染艾滋病病毒，该艾滋病感染的血清转化是在意外发生的六个月内出现的。任何可能造成潜在索赔的意外必须</w:t>
            </w:r>
            <w:r>
              <w:rPr>
                <w:spacing w:val="-9"/>
                <w:sz w:val="21"/>
              </w:rPr>
              <w:t>在意外发生 </w:t>
            </w:r>
            <w:r>
              <w:rPr>
                <w:rFonts w:ascii="Times New Roman" w:eastAsia="Times New Roman"/>
                <w:sz w:val="21"/>
              </w:rPr>
              <w:t>7 </w:t>
            </w:r>
            <w:r>
              <w:rPr>
                <w:spacing w:val="-4"/>
                <w:sz w:val="21"/>
              </w:rPr>
              <w:t>天内通知我们，同时要提供意外后立即进行的艾滋病抗体阴性的测</w:t>
            </w:r>
            <w:r>
              <w:rPr>
                <w:spacing w:val="-3"/>
                <w:sz w:val="21"/>
              </w:rPr>
              <w:t>试结果。</w:t>
            </w:r>
          </w:p>
          <w:p>
            <w:pPr>
              <w:pStyle w:val="TableParagraph"/>
              <w:spacing w:line="273" w:lineRule="auto" w:before="13"/>
              <w:ind w:right="208"/>
              <w:jc w:val="both"/>
              <w:rPr>
                <w:sz w:val="21"/>
              </w:rPr>
            </w:pPr>
            <w:r>
              <w:rPr>
                <w:spacing w:val="-3"/>
                <w:sz w:val="21"/>
              </w:rPr>
              <w:t>医务职业：包括医生和牙科医生、护士、实验室工作人员、医院护工、医生助理和牙医助理、救护车工作人员、助产士。</w:t>
            </w:r>
          </w:p>
        </w:tc>
      </w:tr>
      <w:tr>
        <w:trPr>
          <w:trHeight w:val="1474" w:hRule="atLeast"/>
        </w:trPr>
        <w:tc>
          <w:tcPr>
            <w:tcW w:w="1098" w:type="dxa"/>
          </w:tcPr>
          <w:p>
            <w:pPr>
              <w:pStyle w:val="TableParagraph"/>
              <w:spacing w:before="94"/>
              <w:ind w:left="168" w:right="229"/>
              <w:jc w:val="center"/>
              <w:rPr>
                <w:i/>
                <w:sz w:val="22"/>
              </w:rPr>
            </w:pPr>
            <w:r>
              <w:rPr>
                <w:i/>
                <w:sz w:val="22"/>
              </w:rPr>
              <w:t>3.2.31</w:t>
            </w:r>
          </w:p>
        </w:tc>
        <w:tc>
          <w:tcPr>
            <w:tcW w:w="1654" w:type="dxa"/>
          </w:tcPr>
          <w:p>
            <w:pPr>
              <w:pStyle w:val="TableParagraph"/>
              <w:spacing w:line="259" w:lineRule="auto" w:before="94"/>
              <w:ind w:left="263" w:right="81"/>
              <w:rPr>
                <w:i/>
                <w:sz w:val="22"/>
              </w:rPr>
            </w:pPr>
            <w:r>
              <w:rPr>
                <w:i/>
                <w:w w:val="95"/>
                <w:sz w:val="22"/>
              </w:rPr>
              <w:t>肾髓质囊性</w:t>
            </w:r>
            <w:r>
              <w:rPr>
                <w:i/>
                <w:sz w:val="22"/>
              </w:rPr>
              <w:t>病</w:t>
            </w:r>
          </w:p>
        </w:tc>
        <w:tc>
          <w:tcPr>
            <w:tcW w:w="7637" w:type="dxa"/>
          </w:tcPr>
          <w:p>
            <w:pPr>
              <w:pStyle w:val="TableParagraph"/>
              <w:spacing w:before="105"/>
              <w:rPr>
                <w:sz w:val="21"/>
              </w:rPr>
            </w:pPr>
            <w:r>
              <w:rPr>
                <w:sz w:val="21"/>
              </w:rPr>
              <w:t>肾髓质囊性病的诊断必须同时符合下列要求：</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（2）贫血、多尿及肾功能衰竭等临床表现；</w:t>
            </w:r>
          </w:p>
          <w:p>
            <w:pPr>
              <w:pStyle w:val="TableParagraph"/>
              <w:spacing w:before="36"/>
              <w:rPr>
                <w:sz w:val="21"/>
              </w:rPr>
            </w:pPr>
            <w:r>
              <w:rPr>
                <w:sz w:val="21"/>
              </w:rPr>
              <w:t>（3）诊断须由肾组织活检确定。</w:t>
            </w:r>
          </w:p>
        </w:tc>
      </w:tr>
      <w:tr>
        <w:trPr>
          <w:trHeight w:val="2107" w:hRule="atLeast"/>
        </w:trPr>
        <w:tc>
          <w:tcPr>
            <w:tcW w:w="1098" w:type="dxa"/>
          </w:tcPr>
          <w:p>
            <w:pPr>
              <w:pStyle w:val="TableParagraph"/>
              <w:spacing w:before="92"/>
              <w:ind w:left="168" w:right="229"/>
              <w:jc w:val="center"/>
              <w:rPr>
                <w:i/>
                <w:sz w:val="22"/>
              </w:rPr>
            </w:pPr>
            <w:r>
              <w:rPr>
                <w:i/>
                <w:sz w:val="22"/>
              </w:rPr>
              <w:t>3.2.32</w:t>
            </w:r>
          </w:p>
        </w:tc>
        <w:tc>
          <w:tcPr>
            <w:tcW w:w="1654" w:type="dxa"/>
          </w:tcPr>
          <w:p>
            <w:pPr>
              <w:pStyle w:val="TableParagraph"/>
              <w:spacing w:before="92"/>
              <w:ind w:left="263"/>
              <w:rPr>
                <w:i/>
                <w:sz w:val="22"/>
              </w:rPr>
            </w:pPr>
            <w:r>
              <w:rPr>
                <w:i/>
                <w:w w:val="95"/>
                <w:sz w:val="22"/>
              </w:rPr>
              <w:t>脊髓灰质炎</w:t>
            </w:r>
          </w:p>
        </w:tc>
        <w:tc>
          <w:tcPr>
            <w:tcW w:w="7637" w:type="dxa"/>
          </w:tcPr>
          <w:p>
            <w:pPr>
              <w:pStyle w:val="TableParagraph"/>
              <w:spacing w:line="273" w:lineRule="auto" w:before="104"/>
              <w:ind w:right="206"/>
              <w:jc w:val="both"/>
              <w:rPr>
                <w:sz w:val="21"/>
              </w:rPr>
            </w:pP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1"/>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3"/>
                <w:sz w:val="21"/>
              </w:rPr>
              <w:t>痪是指诊断为脊髓灰质炎后肢体瘫痪需持续</w:t>
            </w:r>
            <w:r>
              <w:rPr>
                <w:rFonts w:ascii="Times New Roman" w:eastAsia="Times New Roman"/>
                <w:sz w:val="21"/>
              </w:rPr>
              <w:t>180</w:t>
            </w:r>
            <w:r>
              <w:rPr>
                <w:spacing w:val="-2"/>
                <w:sz w:val="21"/>
              </w:rPr>
              <w:t>天以上。</w:t>
            </w:r>
          </w:p>
        </w:tc>
      </w:tr>
      <w:tr>
        <w:trPr>
          <w:trHeight w:val="686" w:hRule="atLeast"/>
        </w:trPr>
        <w:tc>
          <w:tcPr>
            <w:tcW w:w="1098" w:type="dxa"/>
          </w:tcPr>
          <w:p>
            <w:pPr>
              <w:pStyle w:val="TableParagraph"/>
              <w:spacing w:before="86"/>
              <w:ind w:left="168" w:right="229"/>
              <w:jc w:val="center"/>
              <w:rPr>
                <w:i/>
                <w:sz w:val="22"/>
              </w:rPr>
            </w:pPr>
            <w:r>
              <w:rPr>
                <w:i/>
                <w:sz w:val="22"/>
              </w:rPr>
              <w:t>3.2.33</w:t>
            </w:r>
          </w:p>
        </w:tc>
        <w:tc>
          <w:tcPr>
            <w:tcW w:w="1654" w:type="dxa"/>
          </w:tcPr>
          <w:p>
            <w:pPr>
              <w:pStyle w:val="TableParagraph"/>
              <w:spacing w:line="310" w:lineRule="atLeast" w:before="63"/>
              <w:ind w:left="263" w:right="81"/>
              <w:rPr>
                <w:i/>
                <w:sz w:val="22"/>
              </w:rPr>
            </w:pPr>
            <w:r>
              <w:rPr>
                <w:i/>
                <w:w w:val="95"/>
                <w:sz w:val="22"/>
              </w:rPr>
              <w:t>进行性系统性硬化（硬皮</w:t>
            </w:r>
          </w:p>
        </w:tc>
        <w:tc>
          <w:tcPr>
            <w:tcW w:w="7637" w:type="dxa"/>
          </w:tcPr>
          <w:p>
            <w:pPr>
              <w:pStyle w:val="TableParagraph"/>
              <w:spacing w:line="310" w:lineRule="atLeast" w:before="62"/>
              <w:ind w:right="172"/>
              <w:rPr>
                <w:sz w:val="21"/>
              </w:rPr>
            </w:pPr>
            <w:r>
              <w:rPr>
                <w:sz w:val="21"/>
              </w:rPr>
              <w:t>是一种以皮肤、血管和内脏器官的进行性、弥漫性纤维化为特点的系统性结缔组织病。须经专科医生根据组织活检和血清学检查结果作出明确诊断并提供下列一</w:t>
            </w:r>
          </w:p>
        </w:tc>
      </w:tr>
    </w:tbl>
    <w:p>
      <w:pPr>
        <w:spacing w:after="0" w:line="310" w:lineRule="atLeast"/>
        <w:rPr>
          <w:sz w:val="21"/>
        </w:rPr>
        <w:sectPr>
          <w:pgSz w:w="11910" w:h="16840"/>
          <w:pgMar w:header="0" w:footer="629" w:top="1160" w:bottom="820" w:left="72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1654"/>
        <w:gridCol w:w="7536"/>
      </w:tblGrid>
      <w:tr>
        <w:trPr>
          <w:trHeight w:val="2572" w:hRule="atLeast"/>
        </w:trPr>
        <w:tc>
          <w:tcPr>
            <w:tcW w:w="1006" w:type="dxa"/>
          </w:tcPr>
          <w:p>
            <w:pPr>
              <w:pStyle w:val="TableParagraph"/>
              <w:ind w:left="0"/>
              <w:rPr>
                <w:rFonts w:ascii="Times New Roman"/>
                <w:sz w:val="20"/>
              </w:rPr>
            </w:pPr>
          </w:p>
        </w:tc>
        <w:tc>
          <w:tcPr>
            <w:tcW w:w="1654" w:type="dxa"/>
          </w:tcPr>
          <w:p>
            <w:pPr>
              <w:pStyle w:val="TableParagraph"/>
              <w:spacing w:line="218" w:lineRule="exact"/>
              <w:ind w:left="263"/>
              <w:rPr>
                <w:i/>
                <w:sz w:val="22"/>
              </w:rPr>
            </w:pPr>
            <w:r>
              <w:rPr>
                <w:i/>
                <w:w w:val="95"/>
                <w:sz w:val="22"/>
              </w:rPr>
              <w:t>病）</w:t>
            </w:r>
          </w:p>
        </w:tc>
        <w:tc>
          <w:tcPr>
            <w:tcW w:w="7536" w:type="dxa"/>
          </w:tcPr>
          <w:p>
            <w:pPr>
              <w:pStyle w:val="TableParagraph"/>
              <w:spacing w:line="217" w:lineRule="exact"/>
              <w:rPr>
                <w:sz w:val="21"/>
              </w:rPr>
            </w:pPr>
            <w:r>
              <w:rPr>
                <w:sz w:val="21"/>
              </w:rPr>
              <w:t>项或一项以上内脏器官受累的检查报告及诊疗记录：</w:t>
            </w:r>
          </w:p>
          <w:p>
            <w:pPr>
              <w:pStyle w:val="TableParagraph"/>
              <w:spacing w:before="37"/>
              <w:rPr>
                <w:sz w:val="21"/>
              </w:rPr>
            </w:pPr>
            <w:r>
              <w:rPr>
                <w:sz w:val="21"/>
              </w:rPr>
              <w:t>肺脏：肺纤维化，已经发展为肺动脉高压、肺心病；</w:t>
            </w:r>
          </w:p>
          <w:p>
            <w:pPr>
              <w:pStyle w:val="TableParagraph"/>
              <w:spacing w:line="273" w:lineRule="auto" w:before="37"/>
              <w:ind w:right="514"/>
              <w:rPr>
                <w:sz w:val="21"/>
              </w:rPr>
            </w:pPr>
            <w:r>
              <w:rPr>
                <w:sz w:val="21"/>
              </w:rPr>
              <w:t>心脏：心室功能受损，至少达到美国纽约心脏病学会心功能状态分级Ⅲ级； 肾脏：肾脏受损，已经出现肾功能不全。</w:t>
            </w:r>
          </w:p>
          <w:p>
            <w:pPr>
              <w:pStyle w:val="TableParagraph"/>
              <w:spacing w:before="7"/>
              <w:rPr>
                <w:sz w:val="21"/>
              </w:rPr>
            </w:pPr>
            <w:r>
              <w:rPr>
                <w:sz w:val="21"/>
              </w:rPr>
              <w:t>下列疾病不在保障范围内：</w:t>
            </w:r>
          </w:p>
          <w:p>
            <w:pPr>
              <w:pStyle w:val="TableParagraph"/>
              <w:spacing w:before="36"/>
              <w:rPr>
                <w:sz w:val="21"/>
              </w:rPr>
            </w:pPr>
            <w:r>
              <w:rPr>
                <w:w w:val="100"/>
                <w:sz w:val="21"/>
              </w:rPr>
              <w:t>（</w:t>
            </w:r>
            <w:r>
              <w:rPr>
                <w:rFonts w:ascii="Times New Roman" w:eastAsia="Times New Roman"/>
                <w:w w:val="100"/>
                <w:sz w:val="21"/>
              </w:rPr>
              <w:t>1</w:t>
            </w:r>
            <w:r>
              <w:rPr>
                <w:spacing w:val="-3"/>
                <w:w w:val="100"/>
                <w:sz w:val="21"/>
              </w:rPr>
              <w:t>）局部性硬皮病</w:t>
            </w:r>
            <w:r>
              <w:rPr>
                <w:w w:val="100"/>
                <w:sz w:val="21"/>
              </w:rPr>
              <w:t>（</w:t>
            </w:r>
            <w:r>
              <w:rPr>
                <w:spacing w:val="-3"/>
                <w:w w:val="100"/>
                <w:sz w:val="21"/>
              </w:rPr>
              <w:t>如：带状硬皮病、硬斑病</w:t>
            </w:r>
            <w:r>
              <w:rPr>
                <w:spacing w:val="-106"/>
                <w:w w:val="100"/>
                <w:sz w:val="21"/>
              </w:rPr>
              <w:t>）</w:t>
            </w:r>
            <w:r>
              <w:rPr>
                <w:w w:val="100"/>
                <w:sz w:val="21"/>
              </w:rPr>
              <w:t>；</w:t>
            </w:r>
          </w:p>
          <w:p>
            <w:pPr>
              <w:pStyle w:val="TableParagraph"/>
              <w:spacing w:before="20"/>
              <w:rPr>
                <w:sz w:val="21"/>
              </w:rPr>
            </w:pPr>
            <w:r>
              <w:rPr>
                <w:sz w:val="21"/>
              </w:rPr>
              <w:t>（</w:t>
            </w:r>
            <w:r>
              <w:rPr>
                <w:rFonts w:ascii="Times New Roman" w:eastAsia="Times New Roman"/>
                <w:sz w:val="21"/>
              </w:rPr>
              <w:t>2</w:t>
            </w:r>
            <w:r>
              <w:rPr>
                <w:sz w:val="21"/>
              </w:rPr>
              <w:t>）嗜酸性粒细胞性筋膜炎；</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CREST</w:t>
            </w:r>
            <w:r>
              <w:rPr>
                <w:sz w:val="21"/>
              </w:rPr>
              <w:t>综合征。</w:t>
            </w:r>
          </w:p>
        </w:tc>
      </w:tr>
      <w:tr>
        <w:trPr>
          <w:trHeight w:val="1468" w:hRule="atLeast"/>
        </w:trPr>
        <w:tc>
          <w:tcPr>
            <w:tcW w:w="1006" w:type="dxa"/>
          </w:tcPr>
          <w:p>
            <w:pPr>
              <w:pStyle w:val="TableParagraph"/>
              <w:spacing w:before="81"/>
              <w:ind w:left="107"/>
              <w:rPr>
                <w:i/>
                <w:sz w:val="22"/>
              </w:rPr>
            </w:pPr>
            <w:r>
              <w:rPr>
                <w:i/>
                <w:sz w:val="22"/>
              </w:rPr>
              <w:t>3.2.34</w:t>
            </w:r>
          </w:p>
        </w:tc>
        <w:tc>
          <w:tcPr>
            <w:tcW w:w="1654" w:type="dxa"/>
          </w:tcPr>
          <w:p>
            <w:pPr>
              <w:pStyle w:val="TableParagraph"/>
              <w:spacing w:line="259" w:lineRule="auto" w:before="81"/>
              <w:ind w:left="263" w:right="81"/>
              <w:jc w:val="both"/>
              <w:rPr>
                <w:i/>
                <w:sz w:val="22"/>
              </w:rPr>
            </w:pPr>
            <w:r>
              <w:rPr>
                <w:i/>
                <w:w w:val="95"/>
                <w:sz w:val="22"/>
              </w:rPr>
              <w:t>冠状动脉粥样斑块切除</w:t>
            </w:r>
            <w:r>
              <w:rPr>
                <w:i/>
                <w:sz w:val="22"/>
              </w:rPr>
              <w:t>术</w:t>
            </w:r>
          </w:p>
        </w:tc>
        <w:tc>
          <w:tcPr>
            <w:tcW w:w="7536" w:type="dxa"/>
          </w:tcPr>
          <w:p>
            <w:pPr>
              <w:pStyle w:val="TableParagraph"/>
              <w:spacing w:line="256" w:lineRule="auto" w:before="93"/>
              <w:ind w:right="1"/>
              <w:jc w:val="both"/>
              <w:rPr>
                <w:sz w:val="21"/>
              </w:rPr>
            </w:pPr>
            <w:r>
              <w:rPr>
                <w:spacing w:val="-9"/>
                <w:sz w:val="21"/>
              </w:rPr>
              <w:t>是指有心绞痛等心脏不适症状，经过血管造影技术检查证实同时存在两支</w:t>
            </w:r>
            <w:r>
              <w:rPr>
                <w:rFonts w:ascii="Times New Roman" w:eastAsia="Times New Roman"/>
                <w:spacing w:val="-4"/>
                <w:sz w:val="21"/>
              </w:rPr>
              <w:t>(</w:t>
            </w:r>
            <w:r>
              <w:rPr>
                <w:spacing w:val="-2"/>
                <w:sz w:val="21"/>
              </w:rPr>
              <w:t>其中一</w:t>
            </w:r>
            <w:r>
              <w:rPr>
                <w:spacing w:val="-11"/>
                <w:sz w:val="21"/>
              </w:rPr>
              <w:t>支为左冠状动脉主干、左前降支或左回旋支</w:t>
            </w:r>
            <w:r>
              <w:rPr>
                <w:rFonts w:ascii="Times New Roman" w:eastAsia="Times New Roman"/>
                <w:spacing w:val="-4"/>
                <w:sz w:val="21"/>
              </w:rPr>
              <w:t>)</w:t>
            </w:r>
            <w:r>
              <w:rPr>
                <w:spacing w:val="-3"/>
                <w:sz w:val="21"/>
              </w:rPr>
              <w:t>或更多支的冠状动脉血管发生严重的</w:t>
            </w:r>
            <w:r>
              <w:rPr>
                <w:spacing w:val="1"/>
                <w:w w:val="100"/>
                <w:sz w:val="21"/>
              </w:rPr>
              <w:t>狭窄（</w:t>
            </w:r>
            <w:r>
              <w:rPr>
                <w:w w:val="100"/>
                <w:sz w:val="21"/>
              </w:rPr>
              <w:t>狭窄程度在</w:t>
            </w:r>
            <w:r>
              <w:rPr>
                <w:rFonts w:ascii="Times New Roman" w:eastAsia="Times New Roman"/>
                <w:w w:val="100"/>
                <w:sz w:val="21"/>
              </w:rPr>
              <w:t>7</w:t>
            </w:r>
            <w:r>
              <w:rPr>
                <w:rFonts w:ascii="Times New Roman" w:eastAsia="Times New Roman"/>
                <w:spacing w:val="1"/>
                <w:w w:val="100"/>
                <w:sz w:val="21"/>
              </w:rPr>
              <w:t>0</w:t>
            </w:r>
            <w:r>
              <w:rPr>
                <w:w w:val="100"/>
                <w:sz w:val="21"/>
              </w:rPr>
              <w:t>％以上</w:t>
            </w:r>
            <w:r>
              <w:rPr>
                <w:spacing w:val="-104"/>
                <w:w w:val="100"/>
                <w:sz w:val="21"/>
              </w:rPr>
              <w:t>）</w:t>
            </w:r>
            <w:r>
              <w:rPr>
                <w:w w:val="100"/>
                <w:sz w:val="21"/>
              </w:rPr>
              <w:t>，需要并且已实施冠状动脉粥样斑块切除术以改善</w:t>
            </w:r>
            <w:r>
              <w:rPr>
                <w:spacing w:val="-12"/>
                <w:sz w:val="21"/>
              </w:rPr>
              <w:t>血管的血流状况。索赔时必须提供血管造影的影像资料、报告、手术记录和病历。</w:t>
            </w:r>
          </w:p>
        </w:tc>
      </w:tr>
      <w:tr>
        <w:trPr>
          <w:trHeight w:val="1654" w:hRule="atLeast"/>
        </w:trPr>
        <w:tc>
          <w:tcPr>
            <w:tcW w:w="1006" w:type="dxa"/>
          </w:tcPr>
          <w:p>
            <w:pPr>
              <w:pStyle w:val="TableParagraph"/>
              <w:spacing w:before="89"/>
              <w:ind w:left="107"/>
              <w:rPr>
                <w:i/>
                <w:sz w:val="22"/>
              </w:rPr>
            </w:pPr>
            <w:r>
              <w:rPr>
                <w:i/>
                <w:sz w:val="22"/>
              </w:rPr>
              <w:t>3.2.35</w:t>
            </w:r>
          </w:p>
        </w:tc>
        <w:tc>
          <w:tcPr>
            <w:tcW w:w="1654" w:type="dxa"/>
          </w:tcPr>
          <w:p>
            <w:pPr>
              <w:pStyle w:val="TableParagraph"/>
              <w:spacing w:line="261" w:lineRule="auto" w:before="89"/>
              <w:ind w:left="263" w:right="81"/>
              <w:rPr>
                <w:i/>
                <w:sz w:val="22"/>
              </w:rPr>
            </w:pPr>
            <w:r>
              <w:rPr>
                <w:i/>
                <w:w w:val="95"/>
                <w:sz w:val="22"/>
              </w:rPr>
              <w:t>冠状动脉激光成形术</w:t>
            </w:r>
          </w:p>
        </w:tc>
        <w:tc>
          <w:tcPr>
            <w:tcW w:w="7536" w:type="dxa"/>
          </w:tcPr>
          <w:p>
            <w:pPr>
              <w:pStyle w:val="TableParagraph"/>
              <w:spacing w:line="256" w:lineRule="auto" w:before="101"/>
              <w:ind w:right="107"/>
              <w:jc w:val="both"/>
              <w:rPr>
                <w:sz w:val="21"/>
              </w:rPr>
            </w:pPr>
            <w:r>
              <w:rPr>
                <w:spacing w:val="-9"/>
                <w:sz w:val="21"/>
              </w:rPr>
              <w:t>是指有心绞痛等心脏不适症状，经过血管造影技术检查证实同时存在两支</w:t>
            </w:r>
            <w:r>
              <w:rPr>
                <w:rFonts w:ascii="Times New Roman" w:eastAsia="Times New Roman"/>
                <w:spacing w:val="-4"/>
                <w:sz w:val="21"/>
              </w:rPr>
              <w:t>(</w:t>
            </w:r>
            <w:r>
              <w:rPr>
                <w:spacing w:val="-2"/>
                <w:sz w:val="21"/>
              </w:rPr>
              <w:t>其中一</w:t>
            </w:r>
            <w:r>
              <w:rPr>
                <w:spacing w:val="-11"/>
                <w:sz w:val="21"/>
              </w:rPr>
              <w:t>支为左冠状动脉主干、左前降支或左回旋支</w:t>
            </w:r>
            <w:r>
              <w:rPr>
                <w:rFonts w:ascii="Times New Roman" w:eastAsia="Times New Roman"/>
                <w:spacing w:val="-4"/>
                <w:sz w:val="21"/>
              </w:rPr>
              <w:t>)</w:t>
            </w:r>
            <w:r>
              <w:rPr>
                <w:spacing w:val="-3"/>
                <w:sz w:val="21"/>
              </w:rPr>
              <w:t>或更多支的冠状动脉血管发生严重的</w:t>
            </w:r>
            <w:r>
              <w:rPr>
                <w:spacing w:val="-3"/>
                <w:w w:val="100"/>
                <w:sz w:val="21"/>
              </w:rPr>
              <w:t>狭窄（狭窄程度在</w:t>
            </w:r>
            <w:r>
              <w:rPr>
                <w:spacing w:val="-3"/>
                <w:sz w:val="21"/>
              </w:rPr>
              <w:t> </w:t>
            </w:r>
            <w:r>
              <w:rPr>
                <w:rFonts w:ascii="Times New Roman" w:eastAsia="Times New Roman"/>
                <w:w w:val="100"/>
                <w:sz w:val="21"/>
              </w:rPr>
              <w:t>7</w:t>
            </w:r>
            <w:r>
              <w:rPr>
                <w:rFonts w:ascii="Times New Roman" w:eastAsia="Times New Roman"/>
                <w:spacing w:val="-3"/>
                <w:w w:val="100"/>
                <w:sz w:val="21"/>
              </w:rPr>
              <w:t>0</w:t>
            </w:r>
            <w:r>
              <w:rPr>
                <w:spacing w:val="-2"/>
                <w:w w:val="100"/>
                <w:sz w:val="21"/>
              </w:rPr>
              <w:t>％以上</w:t>
            </w:r>
            <w:r>
              <w:rPr>
                <w:spacing w:val="-106"/>
                <w:w w:val="100"/>
                <w:sz w:val="21"/>
              </w:rPr>
              <w:t>）</w:t>
            </w:r>
            <w:r>
              <w:rPr>
                <w:spacing w:val="-3"/>
                <w:w w:val="100"/>
                <w:sz w:val="21"/>
              </w:rPr>
              <w:t>，需要并且已实施冠状动脉激光成形术以改善血管</w:t>
            </w:r>
            <w:r>
              <w:rPr>
                <w:spacing w:val="-3"/>
                <w:sz w:val="21"/>
              </w:rPr>
              <w:t>的血流状况。索赔时必须提供血管造影的影像资料、报告、手术记录和病历。</w:t>
            </w:r>
          </w:p>
        </w:tc>
      </w:tr>
      <w:tr>
        <w:trPr>
          <w:trHeight w:val="789" w:hRule="atLeast"/>
        </w:trPr>
        <w:tc>
          <w:tcPr>
            <w:tcW w:w="1006" w:type="dxa"/>
            <w:tcBorders>
              <w:bottom w:val="double" w:sz="1" w:space="0" w:color="000000"/>
            </w:tcBorders>
          </w:tcPr>
          <w:p>
            <w:pPr>
              <w:pStyle w:val="TableParagraph"/>
              <w:spacing w:before="247"/>
              <w:ind w:left="107"/>
              <w:rPr>
                <w:b/>
                <w:sz w:val="28"/>
              </w:rPr>
            </w:pPr>
            <w:r>
              <w:rPr>
                <w:b/>
                <w:w w:val="99"/>
                <w:sz w:val="28"/>
              </w:rPr>
              <w:t>4</w:t>
            </w:r>
          </w:p>
        </w:tc>
        <w:tc>
          <w:tcPr>
            <w:tcW w:w="9190" w:type="dxa"/>
            <w:gridSpan w:val="2"/>
            <w:tcBorders>
              <w:bottom w:val="double" w:sz="1" w:space="0" w:color="000000"/>
            </w:tcBorders>
          </w:tcPr>
          <w:p>
            <w:pPr>
              <w:pStyle w:val="TableParagraph"/>
              <w:spacing w:before="247"/>
              <w:ind w:left="263"/>
              <w:rPr>
                <w:b/>
                <w:sz w:val="28"/>
              </w:rPr>
            </w:pPr>
            <w:r>
              <w:rPr>
                <w:b/>
                <w:sz w:val="28"/>
              </w:rPr>
              <w:t>保险金的申请</w:t>
            </w:r>
          </w:p>
        </w:tc>
      </w:tr>
      <w:tr>
        <w:trPr>
          <w:trHeight w:val="527" w:hRule="atLeast"/>
        </w:trPr>
        <w:tc>
          <w:tcPr>
            <w:tcW w:w="1006" w:type="dxa"/>
            <w:tcBorders>
              <w:top w:val="double" w:sz="1" w:space="0" w:color="000000"/>
            </w:tcBorders>
          </w:tcPr>
          <w:p>
            <w:pPr>
              <w:pStyle w:val="TableParagraph"/>
              <w:spacing w:before="83"/>
              <w:ind w:left="107"/>
              <w:rPr>
                <w:b/>
                <w:sz w:val="21"/>
              </w:rPr>
            </w:pPr>
            <w:r>
              <w:rPr>
                <w:b/>
                <w:sz w:val="21"/>
              </w:rPr>
              <w:t>4.1</w:t>
            </w:r>
          </w:p>
        </w:tc>
        <w:tc>
          <w:tcPr>
            <w:tcW w:w="1654" w:type="dxa"/>
            <w:tcBorders>
              <w:top w:val="double" w:sz="1" w:space="0" w:color="000000"/>
            </w:tcBorders>
          </w:tcPr>
          <w:p>
            <w:pPr>
              <w:pStyle w:val="TableParagraph"/>
              <w:spacing w:before="83"/>
              <w:ind w:left="263"/>
              <w:rPr>
                <w:b/>
                <w:sz w:val="21"/>
              </w:rPr>
            </w:pPr>
            <w:r>
              <w:rPr>
                <w:b/>
                <w:sz w:val="21"/>
              </w:rPr>
              <w:t>受益人</w:t>
            </w:r>
          </w:p>
        </w:tc>
        <w:tc>
          <w:tcPr>
            <w:tcW w:w="7536" w:type="dxa"/>
            <w:tcBorders>
              <w:top w:val="double" w:sz="1" w:space="0" w:color="000000"/>
            </w:tcBorders>
          </w:tcPr>
          <w:p>
            <w:pPr>
              <w:pStyle w:val="TableParagraph"/>
              <w:spacing w:before="83"/>
              <w:rPr>
                <w:sz w:val="21"/>
              </w:rPr>
            </w:pPr>
            <w:r>
              <w:rPr>
                <w:sz w:val="21"/>
              </w:rPr>
              <w:t>除另有约定外，本附加合同重大疾病保险金的受益人为被保险人本人。</w:t>
            </w:r>
          </w:p>
        </w:tc>
      </w:tr>
      <w:tr>
        <w:trPr>
          <w:trHeight w:val="533" w:hRule="atLeast"/>
        </w:trPr>
        <w:tc>
          <w:tcPr>
            <w:tcW w:w="1006" w:type="dxa"/>
          </w:tcPr>
          <w:p>
            <w:pPr>
              <w:pStyle w:val="TableParagraph"/>
              <w:spacing w:before="96"/>
              <w:ind w:left="107"/>
              <w:rPr>
                <w:b/>
                <w:sz w:val="21"/>
              </w:rPr>
            </w:pPr>
            <w:r>
              <w:rPr>
                <w:b/>
                <w:sz w:val="21"/>
              </w:rPr>
              <w:t>4.2</w:t>
            </w:r>
          </w:p>
        </w:tc>
        <w:tc>
          <w:tcPr>
            <w:tcW w:w="1654" w:type="dxa"/>
          </w:tcPr>
          <w:p>
            <w:pPr>
              <w:pStyle w:val="TableParagraph"/>
              <w:spacing w:before="96"/>
              <w:ind w:left="263"/>
              <w:rPr>
                <w:b/>
                <w:sz w:val="21"/>
              </w:rPr>
            </w:pPr>
            <w:r>
              <w:rPr>
                <w:b/>
                <w:sz w:val="21"/>
              </w:rPr>
              <w:t>保险金申请</w:t>
            </w:r>
          </w:p>
        </w:tc>
        <w:tc>
          <w:tcPr>
            <w:tcW w:w="7536" w:type="dxa"/>
          </w:tcPr>
          <w:p>
            <w:pPr>
              <w:pStyle w:val="TableParagraph"/>
              <w:spacing w:before="96"/>
              <w:rPr>
                <w:sz w:val="21"/>
              </w:rPr>
            </w:pPr>
            <w:r>
              <w:rPr>
                <w:sz w:val="21"/>
              </w:rPr>
              <w:t>在申请保险金时，请按照下列方式办理：</w:t>
            </w:r>
          </w:p>
        </w:tc>
      </w:tr>
      <w:tr>
        <w:trPr>
          <w:trHeight w:val="2107" w:hRule="atLeast"/>
        </w:trPr>
        <w:tc>
          <w:tcPr>
            <w:tcW w:w="1006" w:type="dxa"/>
          </w:tcPr>
          <w:p>
            <w:pPr>
              <w:pStyle w:val="TableParagraph"/>
              <w:spacing w:before="88"/>
              <w:ind w:left="107"/>
              <w:rPr>
                <w:i/>
                <w:sz w:val="22"/>
              </w:rPr>
            </w:pPr>
            <w:r>
              <w:rPr>
                <w:i/>
                <w:sz w:val="22"/>
              </w:rPr>
              <w:t>4.2.1</w:t>
            </w:r>
          </w:p>
        </w:tc>
        <w:tc>
          <w:tcPr>
            <w:tcW w:w="1654" w:type="dxa"/>
          </w:tcPr>
          <w:p>
            <w:pPr>
              <w:pStyle w:val="TableParagraph"/>
              <w:spacing w:line="266" w:lineRule="auto" w:before="112"/>
              <w:ind w:left="263" w:right="81"/>
              <w:rPr>
                <w:i/>
                <w:sz w:val="22"/>
              </w:rPr>
            </w:pPr>
            <w:r>
              <w:rPr>
                <w:i/>
                <w:w w:val="95"/>
                <w:sz w:val="22"/>
              </w:rPr>
              <w:t>重大疾病保险金申请</w:t>
            </w:r>
          </w:p>
        </w:tc>
        <w:tc>
          <w:tcPr>
            <w:tcW w:w="7536" w:type="dxa"/>
          </w:tcPr>
          <w:p>
            <w:pPr>
              <w:pStyle w:val="TableParagraph"/>
              <w:spacing w:before="100"/>
              <w:rPr>
                <w:sz w:val="21"/>
              </w:rPr>
            </w:pPr>
            <w:r>
              <w:rPr>
                <w:sz w:val="21"/>
              </w:rPr>
              <w:t>申请人须填写保险金给付申请书，并须提供下列证明和资料：</w:t>
            </w:r>
          </w:p>
          <w:p>
            <w:pPr>
              <w:pStyle w:val="TableParagraph"/>
              <w:spacing w:before="37"/>
              <w:rPr>
                <w:sz w:val="21"/>
              </w:rPr>
            </w:pPr>
            <w:r>
              <w:rPr>
                <w:sz w:val="21"/>
              </w:rPr>
              <w:t>（</w:t>
            </w:r>
            <w:r>
              <w:rPr>
                <w:rFonts w:ascii="Times New Roman" w:eastAsia="Times New Roman"/>
                <w:sz w:val="21"/>
              </w:rPr>
              <w:t>1</w:t>
            </w:r>
            <w:r>
              <w:rPr>
                <w:sz w:val="21"/>
              </w:rPr>
              <w:t>）保险合同原件；</w:t>
            </w:r>
          </w:p>
          <w:p>
            <w:pPr>
              <w:pStyle w:val="TableParagraph"/>
              <w:spacing w:before="21"/>
              <w:rPr>
                <w:sz w:val="21"/>
              </w:rPr>
            </w:pPr>
            <w:r>
              <w:rPr>
                <w:sz w:val="21"/>
              </w:rPr>
              <w:t>（</w:t>
            </w:r>
            <w:r>
              <w:rPr>
                <w:rFonts w:ascii="Times New Roman" w:eastAsia="Times New Roman"/>
                <w:sz w:val="21"/>
              </w:rPr>
              <w:t>2</w:t>
            </w:r>
            <w:r>
              <w:rPr>
                <w:sz w:val="21"/>
              </w:rPr>
              <w:t>）受益人或其他有权领取保险金的人的法定有效身份证明；</w:t>
            </w:r>
          </w:p>
          <w:p>
            <w:pPr>
              <w:pStyle w:val="TableParagraph"/>
              <w:spacing w:line="256" w:lineRule="auto" w:before="21"/>
              <w:ind w:left="607" w:right="196" w:hanging="527"/>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6" w:hRule="atLeast"/>
        </w:trPr>
        <w:tc>
          <w:tcPr>
            <w:tcW w:w="1006" w:type="dxa"/>
          </w:tcPr>
          <w:p>
            <w:pPr>
              <w:pStyle w:val="TableParagraph"/>
              <w:spacing w:before="81"/>
              <w:ind w:left="107"/>
              <w:rPr>
                <w:i/>
                <w:sz w:val="22"/>
              </w:rPr>
            </w:pPr>
            <w:r>
              <w:rPr>
                <w:i/>
                <w:sz w:val="22"/>
              </w:rPr>
              <w:t>4.2.2</w:t>
            </w:r>
          </w:p>
        </w:tc>
        <w:tc>
          <w:tcPr>
            <w:tcW w:w="1654" w:type="dxa"/>
          </w:tcPr>
          <w:p>
            <w:pPr>
              <w:pStyle w:val="TableParagraph"/>
              <w:spacing w:line="266" w:lineRule="auto" w:before="105"/>
              <w:ind w:left="263" w:right="81"/>
              <w:jc w:val="both"/>
              <w:rPr>
                <w:i/>
                <w:sz w:val="22"/>
              </w:rPr>
            </w:pPr>
            <w:r>
              <w:rPr>
                <w:i/>
                <w:w w:val="95"/>
                <w:sz w:val="22"/>
              </w:rPr>
              <w:t>委托他人代为申请保险</w:t>
            </w:r>
            <w:r>
              <w:rPr>
                <w:i/>
                <w:sz w:val="22"/>
              </w:rPr>
              <w:t>金</w:t>
            </w:r>
          </w:p>
        </w:tc>
        <w:tc>
          <w:tcPr>
            <w:tcW w:w="7536" w:type="dxa"/>
          </w:tcPr>
          <w:p>
            <w:pPr>
              <w:pStyle w:val="TableParagraph"/>
              <w:spacing w:line="273" w:lineRule="auto" w:before="93"/>
              <w:ind w:right="104"/>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8" w:hRule="atLeast"/>
        </w:trPr>
        <w:tc>
          <w:tcPr>
            <w:tcW w:w="1006" w:type="dxa"/>
          </w:tcPr>
          <w:p>
            <w:pPr>
              <w:pStyle w:val="TableParagraph"/>
              <w:spacing w:before="80"/>
              <w:ind w:left="107"/>
              <w:rPr>
                <w:i/>
                <w:sz w:val="22"/>
              </w:rPr>
            </w:pPr>
            <w:r>
              <w:rPr>
                <w:i/>
                <w:sz w:val="22"/>
              </w:rPr>
              <w:t>4.2.3</w:t>
            </w:r>
          </w:p>
        </w:tc>
        <w:tc>
          <w:tcPr>
            <w:tcW w:w="1654" w:type="dxa"/>
          </w:tcPr>
          <w:p>
            <w:pPr>
              <w:pStyle w:val="TableParagraph"/>
              <w:spacing w:before="80"/>
              <w:ind w:left="263"/>
              <w:rPr>
                <w:i/>
                <w:sz w:val="22"/>
              </w:rPr>
            </w:pPr>
            <w:r>
              <w:rPr>
                <w:i/>
                <w:w w:val="95"/>
                <w:sz w:val="22"/>
              </w:rPr>
              <w:t>补充通知</w:t>
            </w:r>
          </w:p>
        </w:tc>
        <w:tc>
          <w:tcPr>
            <w:tcW w:w="7536" w:type="dxa"/>
          </w:tcPr>
          <w:p>
            <w:pPr>
              <w:pStyle w:val="TableParagraph"/>
              <w:spacing w:line="273" w:lineRule="auto" w:before="92"/>
              <w:ind w:right="71"/>
              <w:rPr>
                <w:sz w:val="21"/>
              </w:rPr>
            </w:pPr>
            <w:r>
              <w:rPr>
                <w:sz w:val="21"/>
              </w:rPr>
              <w:t>以上证明和资料不完整的，我们将及时一次性通知申请人补充提供有关的证明和资料。</w:t>
            </w:r>
          </w:p>
        </w:tc>
      </w:tr>
      <w:tr>
        <w:trPr>
          <w:trHeight w:val="2559" w:hRule="atLeast"/>
        </w:trPr>
        <w:tc>
          <w:tcPr>
            <w:tcW w:w="1006" w:type="dxa"/>
          </w:tcPr>
          <w:p>
            <w:pPr>
              <w:pStyle w:val="TableParagraph"/>
              <w:spacing w:before="97"/>
              <w:ind w:left="107"/>
              <w:rPr>
                <w:b/>
                <w:sz w:val="21"/>
              </w:rPr>
            </w:pPr>
            <w:r>
              <w:rPr>
                <w:b/>
                <w:sz w:val="21"/>
              </w:rPr>
              <w:t>4.3</w:t>
            </w:r>
          </w:p>
        </w:tc>
        <w:tc>
          <w:tcPr>
            <w:tcW w:w="1654" w:type="dxa"/>
          </w:tcPr>
          <w:p>
            <w:pPr>
              <w:pStyle w:val="TableParagraph"/>
              <w:spacing w:before="97"/>
              <w:ind w:left="263"/>
              <w:rPr>
                <w:b/>
                <w:sz w:val="21"/>
              </w:rPr>
            </w:pPr>
            <w:r>
              <w:rPr>
                <w:b/>
                <w:sz w:val="21"/>
              </w:rPr>
              <w:t>保险金给付</w:t>
            </w:r>
          </w:p>
        </w:tc>
        <w:tc>
          <w:tcPr>
            <w:tcW w:w="7536" w:type="dxa"/>
          </w:tcPr>
          <w:p>
            <w:pPr>
              <w:pStyle w:val="TableParagraph"/>
              <w:spacing w:before="97"/>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7"/>
              <w:rPr>
                <w:sz w:val="21"/>
              </w:rPr>
            </w:pPr>
            <w:r>
              <w:rPr>
                <w:sz w:val="21"/>
              </w:rPr>
              <w:t>情形复杂的，在 30 日内作出核定。对属于保险责任的，我们在与受益人达成给</w:t>
            </w:r>
          </w:p>
          <w:p>
            <w:pPr>
              <w:pStyle w:val="TableParagraph"/>
              <w:spacing w:before="37"/>
              <w:rPr>
                <w:sz w:val="21"/>
              </w:rPr>
            </w:pPr>
            <w:r>
              <w:rPr>
                <w:sz w:val="21"/>
              </w:rPr>
              <w:t>付保险金的协议后 10 日内，履行给付保险金义务。</w:t>
            </w:r>
          </w:p>
          <w:p>
            <w:pPr>
              <w:pStyle w:val="TableParagraph"/>
              <w:spacing w:before="37"/>
              <w:rPr>
                <w:sz w:val="21"/>
              </w:rPr>
            </w:pPr>
            <w:r>
              <w:rPr>
                <w:sz w:val="21"/>
              </w:rPr>
              <w:t>若我们在收齐相关证明和资料后第 30 日仍未作出核定，除支付保险金外，我们</w:t>
            </w:r>
          </w:p>
          <w:p>
            <w:pPr>
              <w:pStyle w:val="TableParagraph"/>
              <w:spacing w:line="273" w:lineRule="auto" w:before="37"/>
              <w:ind w:right="62"/>
              <w:rPr>
                <w:sz w:val="21"/>
              </w:rPr>
            </w:pPr>
            <w:r>
              <w:rPr>
                <w:sz w:val="21"/>
              </w:rPr>
              <w:t>将从第 31 日起按超过天数赔偿受益人因此受到的利息损失。利息按照最近一次中国人民银行公布的金融机构人民币一年期定期存款基准利率按单利计算。</w:t>
            </w:r>
          </w:p>
          <w:p>
            <w:pPr>
              <w:pStyle w:val="TableParagraph"/>
              <w:spacing w:line="312" w:lineRule="exact" w:before="3"/>
              <w:ind w:right="104"/>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tc>
      </w:tr>
    </w:tbl>
    <w:p>
      <w:pPr>
        <w:spacing w:after="0" w:line="312" w:lineRule="exact"/>
        <w:rPr>
          <w:sz w:val="21"/>
        </w:rPr>
        <w:sectPr>
          <w:pgSz w:w="11910" w:h="16840"/>
          <w:pgMar w:header="0" w:footer="629" w:top="1160" w:bottom="820" w:left="80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812"/>
        <w:gridCol w:w="7530"/>
      </w:tblGrid>
      <w:tr>
        <w:trPr>
          <w:trHeight w:val="1000" w:hRule="atLeast"/>
        </w:trPr>
        <w:tc>
          <w:tcPr>
            <w:tcW w:w="847" w:type="dxa"/>
          </w:tcPr>
          <w:p>
            <w:pPr>
              <w:pStyle w:val="TableParagraph"/>
              <w:ind w:left="0"/>
              <w:rPr>
                <w:rFonts w:ascii="Times New Roman"/>
                <w:sz w:val="20"/>
              </w:rPr>
            </w:pPr>
          </w:p>
        </w:tc>
        <w:tc>
          <w:tcPr>
            <w:tcW w:w="1812" w:type="dxa"/>
          </w:tcPr>
          <w:p>
            <w:pPr>
              <w:pStyle w:val="TableParagraph"/>
              <w:ind w:left="0"/>
              <w:rPr>
                <w:rFonts w:ascii="Times New Roman"/>
                <w:sz w:val="20"/>
              </w:rPr>
            </w:pPr>
          </w:p>
        </w:tc>
        <w:tc>
          <w:tcPr>
            <w:tcW w:w="7530" w:type="dxa"/>
          </w:tcPr>
          <w:p>
            <w:pPr>
              <w:pStyle w:val="TableParagraph"/>
              <w:spacing w:line="211" w:lineRule="exact"/>
              <w:ind w:left="82"/>
              <w:rPr>
                <w:sz w:val="21"/>
              </w:rPr>
            </w:pPr>
            <w:r>
              <w:rPr>
                <w:sz w:val="21"/>
              </w:rPr>
              <w:t>我们在收到保险金给付申请书及有关证明和资料之日起 60 日内，对给付保险金</w:t>
            </w:r>
          </w:p>
          <w:p>
            <w:pPr>
              <w:pStyle w:val="TableParagraph"/>
              <w:spacing w:line="273" w:lineRule="auto" w:before="37"/>
              <w:ind w:left="82" w:right="97"/>
              <w:rPr>
                <w:sz w:val="21"/>
              </w:rPr>
            </w:pPr>
            <w:r>
              <w:rPr>
                <w:sz w:val="21"/>
              </w:rPr>
              <w:t>的数额不能确定的，根据已有证明和资料可以确定的数额先予支付；我们最终确定给付保险金的数额后，将支付相应的差额。</w:t>
            </w:r>
          </w:p>
        </w:tc>
      </w:tr>
      <w:tr>
        <w:trPr>
          <w:trHeight w:val="1024" w:hRule="atLeast"/>
        </w:trPr>
        <w:tc>
          <w:tcPr>
            <w:tcW w:w="847" w:type="dxa"/>
          </w:tcPr>
          <w:p>
            <w:pPr>
              <w:pStyle w:val="TableParagraph"/>
              <w:spacing w:before="100"/>
              <w:ind w:left="107"/>
              <w:rPr>
                <w:b/>
                <w:sz w:val="21"/>
              </w:rPr>
            </w:pPr>
            <w:r>
              <w:rPr>
                <w:b/>
                <w:sz w:val="21"/>
              </w:rPr>
              <w:t>4.4</w:t>
            </w:r>
          </w:p>
        </w:tc>
        <w:tc>
          <w:tcPr>
            <w:tcW w:w="1812" w:type="dxa"/>
          </w:tcPr>
          <w:p>
            <w:pPr>
              <w:pStyle w:val="TableParagraph"/>
              <w:spacing w:before="100"/>
              <w:ind w:left="422"/>
              <w:rPr>
                <w:b/>
                <w:sz w:val="21"/>
              </w:rPr>
            </w:pPr>
            <w:r>
              <w:rPr>
                <w:b/>
                <w:sz w:val="21"/>
              </w:rPr>
              <w:t>诉讼时效</w:t>
            </w:r>
          </w:p>
        </w:tc>
        <w:tc>
          <w:tcPr>
            <w:tcW w:w="7530" w:type="dxa"/>
          </w:tcPr>
          <w:p>
            <w:pPr>
              <w:pStyle w:val="TableParagraph"/>
              <w:spacing w:line="273" w:lineRule="auto" w:before="100"/>
              <w:ind w:left="82" w:right="102"/>
              <w:rPr>
                <w:sz w:val="21"/>
              </w:rPr>
            </w:pPr>
            <w:r>
              <w:rPr>
                <w:sz w:val="21"/>
              </w:rPr>
              <w:t>受益人及其他有权领取保险金的人向本公司请求给付重大疾病保险金的诉讼时效期间为 2 年，自其知道或者应当知道保险事故发生之日起计算。</w:t>
            </w:r>
          </w:p>
        </w:tc>
      </w:tr>
      <w:tr>
        <w:trPr>
          <w:trHeight w:val="789" w:hRule="atLeast"/>
        </w:trPr>
        <w:tc>
          <w:tcPr>
            <w:tcW w:w="847" w:type="dxa"/>
            <w:tcBorders>
              <w:bottom w:val="double" w:sz="1" w:space="0" w:color="000000"/>
            </w:tcBorders>
          </w:tcPr>
          <w:p>
            <w:pPr>
              <w:pStyle w:val="TableParagraph"/>
              <w:spacing w:before="251"/>
              <w:ind w:left="107"/>
              <w:rPr>
                <w:b/>
                <w:sz w:val="28"/>
              </w:rPr>
            </w:pPr>
            <w:r>
              <w:rPr>
                <w:b/>
                <w:w w:val="99"/>
                <w:sz w:val="28"/>
              </w:rPr>
              <w:t>5</w:t>
            </w:r>
          </w:p>
        </w:tc>
        <w:tc>
          <w:tcPr>
            <w:tcW w:w="9342" w:type="dxa"/>
            <w:gridSpan w:val="2"/>
            <w:tcBorders>
              <w:bottom w:val="double" w:sz="1" w:space="0" w:color="000000"/>
            </w:tcBorders>
          </w:tcPr>
          <w:p>
            <w:pPr>
              <w:pStyle w:val="TableParagraph"/>
              <w:spacing w:before="251"/>
              <w:ind w:left="422"/>
              <w:rPr>
                <w:b/>
                <w:sz w:val="28"/>
              </w:rPr>
            </w:pPr>
            <w:r>
              <w:rPr>
                <w:b/>
                <w:sz w:val="28"/>
              </w:rPr>
              <w:t>保险费的交纳</w:t>
            </w:r>
          </w:p>
        </w:tc>
      </w:tr>
      <w:tr>
        <w:trPr>
          <w:trHeight w:val="1734" w:hRule="atLeast"/>
        </w:trPr>
        <w:tc>
          <w:tcPr>
            <w:tcW w:w="847" w:type="dxa"/>
            <w:tcBorders>
              <w:top w:val="double" w:sz="1" w:space="0" w:color="000000"/>
            </w:tcBorders>
          </w:tcPr>
          <w:p>
            <w:pPr>
              <w:pStyle w:val="TableParagraph"/>
              <w:spacing w:before="2"/>
              <w:ind w:left="0"/>
              <w:rPr>
                <w:sz w:val="14"/>
              </w:rPr>
            </w:pPr>
          </w:p>
          <w:p>
            <w:pPr>
              <w:pStyle w:val="TableParagraph"/>
              <w:spacing w:before="1"/>
              <w:ind w:left="107"/>
              <w:rPr>
                <w:b/>
                <w:sz w:val="21"/>
              </w:rPr>
            </w:pPr>
            <w:r>
              <w:rPr>
                <w:b/>
                <w:sz w:val="21"/>
              </w:rPr>
              <w:t>5.1</w:t>
            </w:r>
          </w:p>
        </w:tc>
        <w:tc>
          <w:tcPr>
            <w:tcW w:w="1812" w:type="dxa"/>
            <w:tcBorders>
              <w:top w:val="double" w:sz="1" w:space="0" w:color="000000"/>
            </w:tcBorders>
          </w:tcPr>
          <w:p>
            <w:pPr>
              <w:pStyle w:val="TableParagraph"/>
              <w:spacing w:before="2"/>
              <w:ind w:left="0"/>
              <w:rPr>
                <w:sz w:val="14"/>
              </w:rPr>
            </w:pPr>
          </w:p>
          <w:p>
            <w:pPr>
              <w:pStyle w:val="TableParagraph"/>
              <w:spacing w:line="273" w:lineRule="auto" w:before="1"/>
              <w:ind w:left="422" w:right="80"/>
              <w:rPr>
                <w:b/>
                <w:sz w:val="21"/>
              </w:rPr>
            </w:pPr>
            <w:r>
              <w:rPr>
                <w:b/>
                <w:sz w:val="21"/>
              </w:rPr>
              <w:t>保险费的交纳</w:t>
            </w:r>
          </w:p>
        </w:tc>
        <w:tc>
          <w:tcPr>
            <w:tcW w:w="7530" w:type="dxa"/>
            <w:tcBorders>
              <w:top w:val="double" w:sz="1" w:space="0" w:color="000000"/>
            </w:tcBorders>
          </w:tcPr>
          <w:p>
            <w:pPr>
              <w:pStyle w:val="TableParagraph"/>
              <w:spacing w:before="2"/>
              <w:ind w:left="0"/>
              <w:rPr>
                <w:sz w:val="14"/>
              </w:rPr>
            </w:pPr>
          </w:p>
          <w:p>
            <w:pPr>
              <w:pStyle w:val="TableParagraph"/>
              <w:spacing w:before="1"/>
              <w:ind w:left="82"/>
              <w:rPr>
                <w:sz w:val="21"/>
              </w:rPr>
            </w:pPr>
            <w:r>
              <w:rPr>
                <w:sz w:val="21"/>
              </w:rPr>
              <w:t>您应当按照本附加合同的约定向我们交纳保险费。</w:t>
            </w:r>
          </w:p>
          <w:p>
            <w:pPr>
              <w:pStyle w:val="TableParagraph"/>
              <w:spacing w:line="273" w:lineRule="auto" w:before="37"/>
              <w:ind w:left="82" w:right="63"/>
              <w:rPr>
                <w:sz w:val="21"/>
              </w:rPr>
            </w:pPr>
            <w:r>
              <w:rPr>
                <w:sz w:val="21"/>
              </w:rPr>
              <w:t>分期交纳保险费的，在交纳首期保险费后，您应当按照约定，在每个保险费约定交纳日交纳其余各期的保险费。</w:t>
            </w:r>
          </w:p>
          <w:p>
            <w:pPr>
              <w:pStyle w:val="TableParagraph"/>
              <w:spacing w:before="7"/>
              <w:ind w:left="82"/>
              <w:rPr>
                <w:sz w:val="21"/>
              </w:rPr>
            </w:pPr>
            <w:r>
              <w:rPr>
                <w:sz w:val="21"/>
              </w:rPr>
              <w:t>本附加合同的保险费必须随主合同保险费一同交纳，不能单独交纳。</w:t>
            </w:r>
          </w:p>
        </w:tc>
      </w:tr>
      <w:tr>
        <w:trPr>
          <w:trHeight w:val="789" w:hRule="atLeast"/>
        </w:trPr>
        <w:tc>
          <w:tcPr>
            <w:tcW w:w="847" w:type="dxa"/>
            <w:tcBorders>
              <w:bottom w:val="double" w:sz="1" w:space="0" w:color="000000"/>
            </w:tcBorders>
          </w:tcPr>
          <w:p>
            <w:pPr>
              <w:pStyle w:val="TableParagraph"/>
              <w:spacing w:before="252"/>
              <w:ind w:left="107"/>
              <w:rPr>
                <w:b/>
                <w:sz w:val="28"/>
              </w:rPr>
            </w:pPr>
            <w:r>
              <w:rPr>
                <w:b/>
                <w:w w:val="99"/>
                <w:sz w:val="28"/>
              </w:rPr>
              <w:t>6</w:t>
            </w:r>
          </w:p>
        </w:tc>
        <w:tc>
          <w:tcPr>
            <w:tcW w:w="9342" w:type="dxa"/>
            <w:gridSpan w:val="2"/>
            <w:tcBorders>
              <w:bottom w:val="double" w:sz="1" w:space="0" w:color="000000"/>
            </w:tcBorders>
          </w:tcPr>
          <w:p>
            <w:pPr>
              <w:pStyle w:val="TableParagraph"/>
              <w:spacing w:before="252"/>
              <w:ind w:left="422"/>
              <w:rPr>
                <w:b/>
                <w:sz w:val="28"/>
              </w:rPr>
            </w:pPr>
            <w:r>
              <w:rPr>
                <w:b/>
                <w:w w:val="95"/>
                <w:sz w:val="28"/>
              </w:rPr>
              <w:t>合同效力的中止与恢复</w:t>
            </w:r>
          </w:p>
        </w:tc>
      </w:tr>
      <w:tr>
        <w:trPr>
          <w:trHeight w:val="934" w:hRule="atLeast"/>
        </w:trPr>
        <w:tc>
          <w:tcPr>
            <w:tcW w:w="847" w:type="dxa"/>
            <w:tcBorders>
              <w:top w:val="double" w:sz="1" w:space="0" w:color="000000"/>
            </w:tcBorders>
          </w:tcPr>
          <w:p>
            <w:pPr>
              <w:pStyle w:val="TableParagraph"/>
              <w:spacing w:before="2"/>
              <w:ind w:left="0"/>
              <w:rPr>
                <w:sz w:val="14"/>
              </w:rPr>
            </w:pPr>
          </w:p>
          <w:p>
            <w:pPr>
              <w:pStyle w:val="TableParagraph"/>
              <w:spacing w:before="1"/>
              <w:ind w:left="107"/>
              <w:rPr>
                <w:b/>
                <w:sz w:val="21"/>
              </w:rPr>
            </w:pPr>
            <w:r>
              <w:rPr>
                <w:b/>
                <w:sz w:val="21"/>
              </w:rPr>
              <w:t>6.1</w:t>
            </w:r>
          </w:p>
        </w:tc>
        <w:tc>
          <w:tcPr>
            <w:tcW w:w="1812" w:type="dxa"/>
            <w:tcBorders>
              <w:top w:val="double" w:sz="1" w:space="0" w:color="000000"/>
            </w:tcBorders>
          </w:tcPr>
          <w:p>
            <w:pPr>
              <w:pStyle w:val="TableParagraph"/>
              <w:spacing w:before="2"/>
              <w:ind w:left="0"/>
              <w:rPr>
                <w:sz w:val="14"/>
              </w:rPr>
            </w:pPr>
          </w:p>
          <w:p>
            <w:pPr>
              <w:pStyle w:val="TableParagraph"/>
              <w:spacing w:line="273" w:lineRule="auto" w:before="1"/>
              <w:ind w:left="422" w:right="80"/>
              <w:rPr>
                <w:b/>
                <w:sz w:val="21"/>
              </w:rPr>
            </w:pPr>
            <w:r>
              <w:rPr>
                <w:b/>
                <w:sz w:val="21"/>
              </w:rPr>
              <w:t>合同 效力中止</w:t>
            </w:r>
          </w:p>
        </w:tc>
        <w:tc>
          <w:tcPr>
            <w:tcW w:w="7530" w:type="dxa"/>
            <w:tcBorders>
              <w:top w:val="double" w:sz="1" w:space="0" w:color="000000"/>
            </w:tcBorders>
          </w:tcPr>
          <w:p>
            <w:pPr>
              <w:pStyle w:val="TableParagraph"/>
              <w:spacing w:line="256" w:lineRule="auto" w:before="164"/>
              <w:ind w:left="82" w:right="2610"/>
              <w:rPr>
                <w:sz w:val="21"/>
              </w:rPr>
            </w:pPr>
            <w:r>
              <w:rPr>
                <w:sz w:val="21"/>
              </w:rPr>
              <w:t>主合同效力中止的同时，本附加合同的效力也中止。在本附加合同效力中止期间，我们不承担保险责任。</w:t>
            </w:r>
          </w:p>
        </w:tc>
      </w:tr>
      <w:tr>
        <w:trPr>
          <w:trHeight w:val="3212" w:hRule="atLeast"/>
        </w:trPr>
        <w:tc>
          <w:tcPr>
            <w:tcW w:w="847" w:type="dxa"/>
          </w:tcPr>
          <w:p>
            <w:pPr>
              <w:pStyle w:val="TableParagraph"/>
              <w:spacing w:before="104"/>
              <w:ind w:left="107"/>
              <w:rPr>
                <w:b/>
                <w:sz w:val="21"/>
              </w:rPr>
            </w:pPr>
            <w:r>
              <w:rPr>
                <w:b/>
                <w:sz w:val="21"/>
              </w:rPr>
              <w:t>6.2</w:t>
            </w:r>
          </w:p>
        </w:tc>
        <w:tc>
          <w:tcPr>
            <w:tcW w:w="1812" w:type="dxa"/>
          </w:tcPr>
          <w:p>
            <w:pPr>
              <w:pStyle w:val="TableParagraph"/>
              <w:spacing w:line="273" w:lineRule="auto" w:before="104"/>
              <w:ind w:left="422" w:right="80"/>
              <w:rPr>
                <w:b/>
                <w:sz w:val="21"/>
              </w:rPr>
            </w:pPr>
            <w:r>
              <w:rPr>
                <w:b/>
                <w:sz w:val="21"/>
              </w:rPr>
              <w:t>合同 效力恢复（复效）</w:t>
            </w:r>
          </w:p>
        </w:tc>
        <w:tc>
          <w:tcPr>
            <w:tcW w:w="7530" w:type="dxa"/>
          </w:tcPr>
          <w:p>
            <w:pPr>
              <w:pStyle w:val="TableParagraph"/>
              <w:spacing w:line="264" w:lineRule="auto" w:before="104"/>
              <w:ind w:left="82" w:right="97"/>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9"/>
                <w:sz w:val="21"/>
              </w:rPr>
              <w:t>）</w:t>
            </w:r>
            <w:r>
              <w:rPr>
                <w:spacing w:val="-3"/>
                <w:sz w:val="21"/>
              </w:rPr>
              <w:t>。您应填</w:t>
            </w:r>
            <w:r>
              <w:rPr>
                <w:spacing w:val="-5"/>
                <w:sz w:val="21"/>
              </w:rPr>
              <w:t>写复效申请书，我们会要求您提供被保险人的补充告知问卷、体检报告书及其他</w:t>
            </w:r>
            <w:r>
              <w:rPr>
                <w:spacing w:val="-3"/>
                <w:sz w:val="21"/>
              </w:rPr>
              <w:t>相关证明文件，我们会对材料进行审核，做出是否同意复效的决定。</w:t>
            </w:r>
          </w:p>
          <w:p>
            <w:pPr>
              <w:pStyle w:val="TableParagraph"/>
              <w:spacing w:line="273" w:lineRule="auto" w:before="16"/>
              <w:ind w:left="82" w:right="97"/>
              <w:jc w:val="both"/>
              <w:rPr>
                <w:sz w:val="21"/>
              </w:rPr>
            </w:pPr>
            <w:r>
              <w:rPr>
                <w:sz w:val="21"/>
              </w:rPr>
              <w:t>经双方达成复效协议，自您补交保险费及其他欠款之日后的次日零时起，本附加合同效力恢复。</w:t>
            </w:r>
          </w:p>
          <w:p>
            <w:pPr>
              <w:pStyle w:val="TableParagraph"/>
              <w:spacing w:before="8"/>
              <w:ind w:left="82"/>
              <w:rPr>
                <w:sz w:val="21"/>
              </w:rPr>
            </w:pPr>
            <w:r>
              <w:rPr>
                <w:spacing w:val="-5"/>
                <w:sz w:val="21"/>
              </w:rPr>
              <w:t>自本附加合同效力中止之日起满 </w:t>
            </w:r>
            <w:r>
              <w:rPr>
                <w:sz w:val="21"/>
              </w:rPr>
              <w:t>2</w:t>
            </w:r>
            <w:r>
              <w:rPr>
                <w:spacing w:val="-8"/>
                <w:sz w:val="21"/>
              </w:rPr>
              <w:t> 年内，若您没有申请恢复合同效力或您和我们</w:t>
            </w:r>
          </w:p>
          <w:p>
            <w:pPr>
              <w:pStyle w:val="TableParagraph"/>
              <w:spacing w:line="273" w:lineRule="auto" w:before="37"/>
              <w:ind w:left="82" w:right="97"/>
              <w:jc w:val="both"/>
              <w:rPr>
                <w:sz w:val="21"/>
              </w:rPr>
            </w:pPr>
            <w:r>
              <w:rPr>
                <w:spacing w:val="-5"/>
                <w:sz w:val="21"/>
              </w:rPr>
              <w:t>未达成复效协议的，本附加合同自效力中止 </w:t>
            </w:r>
            <w:r>
              <w:rPr>
                <w:sz w:val="21"/>
              </w:rPr>
              <w:t>2</w:t>
            </w:r>
            <w:r>
              <w:rPr>
                <w:spacing w:val="-8"/>
                <w:sz w:val="21"/>
              </w:rPr>
              <w:t> 年期限届满次日零时起终止，我们</w:t>
            </w:r>
            <w:r>
              <w:rPr>
                <w:spacing w:val="-3"/>
                <w:sz w:val="21"/>
              </w:rPr>
              <w:t>向您退还本附加合同效力中止时的现金价值，并扣除欠款后给付。</w:t>
            </w:r>
          </w:p>
          <w:p>
            <w:pPr>
              <w:pStyle w:val="TableParagraph"/>
              <w:spacing w:before="7"/>
              <w:ind w:left="82"/>
              <w:jc w:val="both"/>
              <w:rPr>
                <w:sz w:val="21"/>
              </w:rPr>
            </w:pPr>
            <w:r>
              <w:rPr>
                <w:sz w:val="21"/>
              </w:rPr>
              <w:t>主合同效力中止期间，本附加合同不得单独申请复效。</w:t>
            </w:r>
          </w:p>
        </w:tc>
      </w:tr>
      <w:tr>
        <w:trPr>
          <w:trHeight w:val="789" w:hRule="atLeast"/>
        </w:trPr>
        <w:tc>
          <w:tcPr>
            <w:tcW w:w="847" w:type="dxa"/>
            <w:tcBorders>
              <w:bottom w:val="double" w:sz="1" w:space="0" w:color="000000"/>
            </w:tcBorders>
          </w:tcPr>
          <w:p>
            <w:pPr>
              <w:pStyle w:val="TableParagraph"/>
              <w:spacing w:before="251"/>
              <w:ind w:left="107"/>
              <w:rPr>
                <w:b/>
                <w:sz w:val="28"/>
              </w:rPr>
            </w:pPr>
            <w:r>
              <w:rPr>
                <w:b/>
                <w:w w:val="99"/>
                <w:sz w:val="28"/>
              </w:rPr>
              <w:t>7</w:t>
            </w:r>
          </w:p>
        </w:tc>
        <w:tc>
          <w:tcPr>
            <w:tcW w:w="1812" w:type="dxa"/>
            <w:tcBorders>
              <w:bottom w:val="double" w:sz="1" w:space="0" w:color="000000"/>
            </w:tcBorders>
          </w:tcPr>
          <w:p>
            <w:pPr>
              <w:pStyle w:val="TableParagraph"/>
              <w:spacing w:before="251"/>
              <w:ind w:left="422"/>
              <w:rPr>
                <w:b/>
                <w:sz w:val="28"/>
              </w:rPr>
            </w:pPr>
            <w:r>
              <w:rPr>
                <w:b/>
                <w:sz w:val="28"/>
              </w:rPr>
              <w:t>合同解除</w:t>
            </w:r>
          </w:p>
        </w:tc>
        <w:tc>
          <w:tcPr>
            <w:tcW w:w="7530" w:type="dxa"/>
            <w:tcBorders>
              <w:bottom w:val="double" w:sz="1" w:space="0" w:color="000000"/>
            </w:tcBorders>
          </w:tcPr>
          <w:p>
            <w:pPr>
              <w:pStyle w:val="TableParagraph"/>
              <w:ind w:left="0"/>
              <w:rPr>
                <w:rFonts w:ascii="Times New Roman"/>
                <w:sz w:val="20"/>
              </w:rPr>
            </w:pPr>
          </w:p>
        </w:tc>
      </w:tr>
      <w:tr>
        <w:trPr>
          <w:trHeight w:val="2670" w:hRule="atLeast"/>
        </w:trPr>
        <w:tc>
          <w:tcPr>
            <w:tcW w:w="847" w:type="dxa"/>
            <w:tcBorders>
              <w:top w:val="double" w:sz="1" w:space="0" w:color="000000"/>
            </w:tcBorders>
          </w:tcPr>
          <w:p>
            <w:pPr>
              <w:pStyle w:val="TableParagraph"/>
              <w:spacing w:before="2"/>
              <w:ind w:left="0"/>
              <w:rPr>
                <w:sz w:val="14"/>
              </w:rPr>
            </w:pPr>
          </w:p>
          <w:p>
            <w:pPr>
              <w:pStyle w:val="TableParagraph"/>
              <w:spacing w:before="1"/>
              <w:ind w:left="107"/>
              <w:rPr>
                <w:b/>
                <w:sz w:val="21"/>
              </w:rPr>
            </w:pPr>
            <w:r>
              <w:rPr>
                <w:b/>
                <w:sz w:val="21"/>
              </w:rPr>
              <w:t>7.1</w:t>
            </w:r>
          </w:p>
        </w:tc>
        <w:tc>
          <w:tcPr>
            <w:tcW w:w="1812" w:type="dxa"/>
            <w:tcBorders>
              <w:top w:val="double" w:sz="1" w:space="0" w:color="000000"/>
            </w:tcBorders>
          </w:tcPr>
          <w:p>
            <w:pPr>
              <w:pStyle w:val="TableParagraph"/>
              <w:spacing w:before="2"/>
              <w:ind w:left="0"/>
              <w:rPr>
                <w:sz w:val="14"/>
              </w:rPr>
            </w:pPr>
          </w:p>
          <w:p>
            <w:pPr>
              <w:pStyle w:val="TableParagraph"/>
              <w:spacing w:line="273" w:lineRule="auto" w:before="1"/>
              <w:ind w:left="422" w:right="80"/>
              <w:jc w:val="both"/>
              <w:rPr>
                <w:b/>
                <w:sz w:val="21"/>
              </w:rPr>
            </w:pPr>
            <w:r>
              <w:rPr>
                <w:b/>
                <w:sz w:val="21"/>
              </w:rPr>
              <w:t>犹豫期后解除合同（退保）的手续及风险</w:t>
            </w:r>
          </w:p>
        </w:tc>
        <w:tc>
          <w:tcPr>
            <w:tcW w:w="7530" w:type="dxa"/>
            <w:tcBorders>
              <w:top w:val="double" w:sz="1" w:space="0" w:color="000000"/>
            </w:tcBorders>
          </w:tcPr>
          <w:p>
            <w:pPr>
              <w:pStyle w:val="TableParagraph"/>
              <w:spacing w:before="2"/>
              <w:ind w:left="0"/>
              <w:rPr>
                <w:sz w:val="14"/>
              </w:rPr>
            </w:pPr>
          </w:p>
          <w:p>
            <w:pPr>
              <w:pStyle w:val="TableParagraph"/>
              <w:spacing w:line="273" w:lineRule="auto" w:before="1"/>
              <w:ind w:left="82" w:right="104"/>
              <w:rPr>
                <w:sz w:val="21"/>
              </w:rPr>
            </w:pPr>
            <w:r>
              <w:rPr>
                <w:w w:val="100"/>
                <w:sz w:val="21"/>
              </w:rPr>
              <w:t>如您在犹豫期后申请合并主合同解除本附加合同（简称退保</w:t>
            </w:r>
            <w:r>
              <w:rPr>
                <w:spacing w:val="-106"/>
                <w:w w:val="100"/>
                <w:sz w:val="21"/>
              </w:rPr>
              <w:t>）</w:t>
            </w:r>
            <w:r>
              <w:rPr>
                <w:w w:val="100"/>
                <w:sz w:val="21"/>
              </w:rPr>
              <w:t>，请填写解除合同</w:t>
            </w:r>
            <w:r>
              <w:rPr>
                <w:spacing w:val="-3"/>
                <w:sz w:val="21"/>
              </w:rPr>
              <w:t>申请书并向我们提供下列资料：</w:t>
            </w:r>
          </w:p>
          <w:p>
            <w:pPr>
              <w:pStyle w:val="TableParagraph"/>
              <w:spacing w:before="8"/>
              <w:ind w:left="82"/>
              <w:rPr>
                <w:sz w:val="21"/>
              </w:rPr>
            </w:pPr>
            <w:r>
              <w:rPr>
                <w:sz w:val="21"/>
              </w:rPr>
              <w:t>（1）保险合同原件；</w:t>
            </w:r>
          </w:p>
          <w:p>
            <w:pPr>
              <w:pStyle w:val="TableParagraph"/>
              <w:spacing w:before="37"/>
              <w:ind w:left="82"/>
              <w:rPr>
                <w:sz w:val="21"/>
              </w:rPr>
            </w:pPr>
            <w:r>
              <w:rPr>
                <w:sz w:val="21"/>
              </w:rPr>
              <w:t>（2）您的法定有效身份证明。</w:t>
            </w:r>
          </w:p>
          <w:p>
            <w:pPr>
              <w:pStyle w:val="TableParagraph"/>
              <w:spacing w:line="273" w:lineRule="auto" w:before="37"/>
              <w:ind w:left="82" w:right="98"/>
              <w:rPr>
                <w:sz w:val="21"/>
              </w:rPr>
            </w:pPr>
            <w:r>
              <w:rPr>
                <w:sz w:val="21"/>
              </w:rPr>
              <w:t>自我们收到解除合同申请书时起，本附加合同终止。我们自收到解除合同申请书之日起 30 日内向您退还本附加合同当时的现金价值，并扣除欠款后给付。</w:t>
            </w:r>
          </w:p>
          <w:p>
            <w:pPr>
              <w:pStyle w:val="TableParagraph"/>
              <w:spacing w:before="7"/>
              <w:ind w:left="82"/>
              <w:rPr>
                <w:sz w:val="21"/>
              </w:rPr>
            </w:pPr>
            <w:r>
              <w:rPr>
                <w:sz w:val="21"/>
              </w:rPr>
              <w:t>您犹豫期后解除合同会遭受一定损失。</w:t>
            </w:r>
          </w:p>
        </w:tc>
      </w:tr>
      <w:tr>
        <w:trPr>
          <w:trHeight w:val="789" w:hRule="atLeast"/>
        </w:trPr>
        <w:tc>
          <w:tcPr>
            <w:tcW w:w="847" w:type="dxa"/>
            <w:tcBorders>
              <w:bottom w:val="double" w:sz="1" w:space="0" w:color="000000"/>
            </w:tcBorders>
          </w:tcPr>
          <w:p>
            <w:pPr>
              <w:pStyle w:val="TableParagraph"/>
              <w:spacing w:before="251"/>
              <w:ind w:left="107"/>
              <w:rPr>
                <w:b/>
                <w:sz w:val="28"/>
              </w:rPr>
            </w:pPr>
            <w:r>
              <w:rPr>
                <w:b/>
                <w:w w:val="99"/>
                <w:sz w:val="28"/>
              </w:rPr>
              <w:t>8</w:t>
            </w:r>
          </w:p>
        </w:tc>
        <w:tc>
          <w:tcPr>
            <w:tcW w:w="1812" w:type="dxa"/>
            <w:tcBorders>
              <w:bottom w:val="double" w:sz="1" w:space="0" w:color="000000"/>
            </w:tcBorders>
          </w:tcPr>
          <w:p>
            <w:pPr>
              <w:pStyle w:val="TableParagraph"/>
              <w:spacing w:before="251"/>
              <w:ind w:left="422"/>
              <w:rPr>
                <w:b/>
                <w:sz w:val="28"/>
              </w:rPr>
            </w:pPr>
            <w:r>
              <w:rPr>
                <w:b/>
                <w:sz w:val="28"/>
              </w:rPr>
              <w:t>如实告知</w:t>
            </w:r>
          </w:p>
        </w:tc>
        <w:tc>
          <w:tcPr>
            <w:tcW w:w="7530" w:type="dxa"/>
            <w:tcBorders>
              <w:bottom w:val="double" w:sz="1" w:space="0" w:color="000000"/>
            </w:tcBorders>
          </w:tcPr>
          <w:p>
            <w:pPr>
              <w:pStyle w:val="TableParagraph"/>
              <w:ind w:left="0"/>
              <w:rPr>
                <w:rFonts w:ascii="Times New Roman"/>
                <w:sz w:val="20"/>
              </w:rPr>
            </w:pPr>
          </w:p>
        </w:tc>
      </w:tr>
      <w:tr>
        <w:trPr>
          <w:trHeight w:val="458" w:hRule="atLeast"/>
        </w:trPr>
        <w:tc>
          <w:tcPr>
            <w:tcW w:w="847" w:type="dxa"/>
            <w:tcBorders>
              <w:top w:val="double" w:sz="1" w:space="0" w:color="000000"/>
            </w:tcBorders>
          </w:tcPr>
          <w:p>
            <w:pPr>
              <w:pStyle w:val="TableParagraph"/>
              <w:ind w:left="0"/>
              <w:rPr>
                <w:sz w:val="14"/>
              </w:rPr>
            </w:pPr>
          </w:p>
          <w:p>
            <w:pPr>
              <w:pStyle w:val="TableParagraph"/>
              <w:spacing w:line="255" w:lineRule="exact"/>
              <w:ind w:left="107"/>
              <w:rPr>
                <w:b/>
                <w:sz w:val="21"/>
              </w:rPr>
            </w:pPr>
            <w:r>
              <w:rPr>
                <w:b/>
                <w:sz w:val="21"/>
              </w:rPr>
              <w:t>8.1</w:t>
            </w:r>
          </w:p>
        </w:tc>
        <w:tc>
          <w:tcPr>
            <w:tcW w:w="1812" w:type="dxa"/>
            <w:tcBorders>
              <w:top w:val="double" w:sz="1" w:space="0" w:color="000000"/>
            </w:tcBorders>
          </w:tcPr>
          <w:p>
            <w:pPr>
              <w:pStyle w:val="TableParagraph"/>
              <w:ind w:left="0"/>
              <w:rPr>
                <w:sz w:val="14"/>
              </w:rPr>
            </w:pPr>
          </w:p>
          <w:p>
            <w:pPr>
              <w:pStyle w:val="TableParagraph"/>
              <w:spacing w:line="255" w:lineRule="exact"/>
              <w:ind w:left="422"/>
              <w:rPr>
                <w:b/>
                <w:sz w:val="21"/>
              </w:rPr>
            </w:pPr>
            <w:r>
              <w:rPr>
                <w:b/>
                <w:sz w:val="21"/>
              </w:rPr>
              <w:t>明确说明与 </w:t>
            </w:r>
          </w:p>
        </w:tc>
        <w:tc>
          <w:tcPr>
            <w:tcW w:w="7530" w:type="dxa"/>
            <w:tcBorders>
              <w:top w:val="double" w:sz="1" w:space="0" w:color="000000"/>
            </w:tcBorders>
          </w:tcPr>
          <w:p>
            <w:pPr>
              <w:pStyle w:val="TableParagraph"/>
              <w:ind w:left="0"/>
              <w:rPr>
                <w:sz w:val="14"/>
              </w:rPr>
            </w:pPr>
          </w:p>
          <w:p>
            <w:pPr>
              <w:pStyle w:val="TableParagraph"/>
              <w:spacing w:line="255" w:lineRule="exact"/>
              <w:ind w:left="82"/>
              <w:rPr>
                <w:sz w:val="21"/>
              </w:rPr>
            </w:pPr>
            <w:r>
              <w:rPr>
                <w:sz w:val="21"/>
              </w:rPr>
              <w:t>订立本附加合同时，我们会向您说明本附加合同的内容。</w:t>
            </w:r>
          </w:p>
        </w:tc>
      </w:tr>
    </w:tbl>
    <w:p>
      <w:pPr>
        <w:spacing w:after="0" w:line="255" w:lineRule="exact"/>
        <w:rPr>
          <w:sz w:val="21"/>
        </w:rPr>
        <w:sectPr>
          <w:pgSz w:w="11910" w:h="16840"/>
          <w:pgMar w:header="0" w:footer="629" w:top="1160" w:bottom="820" w:left="80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812"/>
        <w:gridCol w:w="7535"/>
      </w:tblGrid>
      <w:tr>
        <w:trPr>
          <w:trHeight w:val="4121" w:hRule="atLeast"/>
        </w:trPr>
        <w:tc>
          <w:tcPr>
            <w:tcW w:w="847" w:type="dxa"/>
          </w:tcPr>
          <w:p>
            <w:pPr>
              <w:pStyle w:val="TableParagraph"/>
              <w:ind w:left="0"/>
              <w:rPr>
                <w:rFonts w:ascii="Times New Roman"/>
                <w:sz w:val="20"/>
              </w:rPr>
            </w:pPr>
          </w:p>
        </w:tc>
        <w:tc>
          <w:tcPr>
            <w:tcW w:w="1812" w:type="dxa"/>
          </w:tcPr>
          <w:p>
            <w:pPr>
              <w:pStyle w:val="TableParagraph"/>
              <w:spacing w:line="211" w:lineRule="exact"/>
              <w:ind w:left="422"/>
              <w:rPr>
                <w:b/>
                <w:sz w:val="21"/>
              </w:rPr>
            </w:pPr>
            <w:r>
              <w:rPr>
                <w:b/>
                <w:sz w:val="21"/>
              </w:rPr>
              <w:t>如实告知</w:t>
            </w:r>
          </w:p>
        </w:tc>
        <w:tc>
          <w:tcPr>
            <w:tcW w:w="7535" w:type="dxa"/>
          </w:tcPr>
          <w:p>
            <w:pPr>
              <w:pStyle w:val="TableParagraph"/>
              <w:spacing w:line="211" w:lineRule="exact"/>
              <w:ind w:left="82"/>
              <w:rPr>
                <w:sz w:val="21"/>
              </w:rPr>
            </w:pPr>
            <w:r>
              <w:rPr>
                <w:sz w:val="21"/>
              </w:rPr>
              <w:t>对保险条款中免除本公司责任的条款，我们在订立合同时会在投保单、保险单或</w:t>
            </w:r>
          </w:p>
          <w:p>
            <w:pPr>
              <w:pStyle w:val="TableParagraph"/>
              <w:spacing w:line="273" w:lineRule="auto" w:before="37"/>
              <w:ind w:left="82" w:right="102"/>
              <w:jc w:val="both"/>
              <w:rPr>
                <w:sz w:val="21"/>
              </w:rPr>
            </w:pPr>
            <w:r>
              <w:rPr>
                <w:sz w:val="21"/>
              </w:rPr>
              <w:t>者其他保险凭证上作出足以引起您注意的提示，并对该条款的内容以书面或者口头形式向您作出明确说明，未作提示或者明确说明的，该条款不产生效力。</w:t>
            </w:r>
          </w:p>
          <w:p>
            <w:pPr>
              <w:pStyle w:val="TableParagraph"/>
              <w:spacing w:before="7"/>
              <w:ind w:left="82"/>
              <w:rPr>
                <w:sz w:val="21"/>
              </w:rPr>
            </w:pPr>
            <w:r>
              <w:rPr>
                <w:sz w:val="21"/>
              </w:rPr>
              <w:t>我们就您和被保险人的有关情况提出询问，您应当如实告知。</w:t>
            </w:r>
          </w:p>
          <w:p>
            <w:pPr>
              <w:pStyle w:val="TableParagraph"/>
              <w:spacing w:line="273" w:lineRule="auto" w:before="36"/>
              <w:ind w:left="82" w:right="102"/>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82" w:right="102"/>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82" w:right="102"/>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82" w:right="103"/>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847" w:type="dxa"/>
          </w:tcPr>
          <w:p>
            <w:pPr>
              <w:pStyle w:val="TableParagraph"/>
              <w:spacing w:before="102"/>
              <w:ind w:left="107"/>
              <w:rPr>
                <w:b/>
                <w:sz w:val="21"/>
              </w:rPr>
            </w:pPr>
            <w:r>
              <w:rPr>
                <w:b/>
                <w:sz w:val="21"/>
              </w:rPr>
              <w:t>8.2</w:t>
            </w:r>
          </w:p>
        </w:tc>
        <w:tc>
          <w:tcPr>
            <w:tcW w:w="1812" w:type="dxa"/>
          </w:tcPr>
          <w:p>
            <w:pPr>
              <w:pStyle w:val="TableParagraph"/>
              <w:spacing w:line="273" w:lineRule="auto" w:before="102"/>
              <w:ind w:left="422" w:right="80"/>
              <w:jc w:val="both"/>
              <w:rPr>
                <w:b/>
                <w:sz w:val="21"/>
              </w:rPr>
            </w:pPr>
            <w:r>
              <w:rPr>
                <w:b/>
                <w:sz w:val="21"/>
              </w:rPr>
              <w:t>本公司合同解除权的限制</w:t>
            </w:r>
          </w:p>
        </w:tc>
        <w:tc>
          <w:tcPr>
            <w:tcW w:w="7535" w:type="dxa"/>
          </w:tcPr>
          <w:p>
            <w:pPr>
              <w:pStyle w:val="TableParagraph"/>
              <w:spacing w:before="102"/>
              <w:ind w:left="82"/>
              <w:rPr>
                <w:sz w:val="21"/>
              </w:rPr>
            </w:pPr>
            <w:r>
              <w:rPr>
                <w:sz w:val="21"/>
              </w:rPr>
              <w:t>前条规定的合同解除权，自我们知道有解除事由之日起，超过 30 日不行使而消</w:t>
            </w:r>
          </w:p>
          <w:p>
            <w:pPr>
              <w:pStyle w:val="TableParagraph"/>
              <w:spacing w:line="273" w:lineRule="auto" w:before="37"/>
              <w:ind w:left="82"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89" w:hRule="atLeast"/>
        </w:trPr>
        <w:tc>
          <w:tcPr>
            <w:tcW w:w="847" w:type="dxa"/>
            <w:tcBorders>
              <w:bottom w:val="double" w:sz="1" w:space="0" w:color="000000"/>
            </w:tcBorders>
          </w:tcPr>
          <w:p>
            <w:pPr>
              <w:pStyle w:val="TableParagraph"/>
              <w:spacing w:before="251"/>
              <w:ind w:left="107"/>
              <w:rPr>
                <w:b/>
                <w:sz w:val="28"/>
              </w:rPr>
            </w:pPr>
            <w:r>
              <w:rPr>
                <w:b/>
                <w:w w:val="99"/>
                <w:sz w:val="28"/>
              </w:rPr>
              <w:t>9</w:t>
            </w:r>
          </w:p>
        </w:tc>
        <w:tc>
          <w:tcPr>
            <w:tcW w:w="9347" w:type="dxa"/>
            <w:gridSpan w:val="2"/>
            <w:tcBorders>
              <w:bottom w:val="double" w:sz="1" w:space="0" w:color="000000"/>
            </w:tcBorders>
          </w:tcPr>
          <w:p>
            <w:pPr>
              <w:pStyle w:val="TableParagraph"/>
              <w:spacing w:before="251"/>
              <w:ind w:left="422"/>
              <w:rPr>
                <w:b/>
                <w:sz w:val="28"/>
              </w:rPr>
            </w:pPr>
            <w:r>
              <w:rPr>
                <w:b/>
                <w:w w:val="95"/>
                <w:sz w:val="28"/>
              </w:rPr>
              <w:t>其他需要关注的事项</w:t>
            </w:r>
          </w:p>
        </w:tc>
      </w:tr>
      <w:tr>
        <w:trPr>
          <w:trHeight w:val="4056" w:hRule="atLeast"/>
        </w:trPr>
        <w:tc>
          <w:tcPr>
            <w:tcW w:w="847" w:type="dxa"/>
            <w:tcBorders>
              <w:top w:val="double" w:sz="1" w:space="0" w:color="000000"/>
            </w:tcBorders>
          </w:tcPr>
          <w:p>
            <w:pPr>
              <w:pStyle w:val="TableParagraph"/>
              <w:spacing w:before="2"/>
              <w:ind w:left="0"/>
              <w:rPr>
                <w:sz w:val="14"/>
              </w:rPr>
            </w:pPr>
          </w:p>
          <w:p>
            <w:pPr>
              <w:pStyle w:val="TableParagraph"/>
              <w:spacing w:before="1"/>
              <w:ind w:left="107"/>
              <w:rPr>
                <w:b/>
                <w:sz w:val="21"/>
              </w:rPr>
            </w:pPr>
            <w:r>
              <w:rPr>
                <w:b/>
                <w:sz w:val="21"/>
              </w:rPr>
              <w:t>9.1</w:t>
            </w:r>
          </w:p>
        </w:tc>
        <w:tc>
          <w:tcPr>
            <w:tcW w:w="1812" w:type="dxa"/>
            <w:tcBorders>
              <w:top w:val="double" w:sz="1" w:space="0" w:color="000000"/>
            </w:tcBorders>
          </w:tcPr>
          <w:p>
            <w:pPr>
              <w:pStyle w:val="TableParagraph"/>
              <w:spacing w:before="2"/>
              <w:ind w:left="0"/>
              <w:rPr>
                <w:sz w:val="14"/>
              </w:rPr>
            </w:pPr>
          </w:p>
          <w:p>
            <w:pPr>
              <w:pStyle w:val="TableParagraph"/>
              <w:spacing w:line="273" w:lineRule="auto" w:before="1"/>
              <w:ind w:left="422" w:right="80"/>
              <w:rPr>
                <w:b/>
                <w:sz w:val="21"/>
              </w:rPr>
            </w:pPr>
            <w:r>
              <w:rPr>
                <w:b/>
                <w:sz w:val="21"/>
              </w:rPr>
              <w:t>年龄性别错误处理</w:t>
            </w:r>
          </w:p>
        </w:tc>
        <w:tc>
          <w:tcPr>
            <w:tcW w:w="7535" w:type="dxa"/>
            <w:tcBorders>
              <w:top w:val="double" w:sz="1" w:space="0" w:color="000000"/>
            </w:tcBorders>
          </w:tcPr>
          <w:p>
            <w:pPr>
              <w:pStyle w:val="TableParagraph"/>
              <w:spacing w:before="2"/>
              <w:ind w:left="0"/>
              <w:rPr>
                <w:sz w:val="14"/>
              </w:rPr>
            </w:pPr>
          </w:p>
          <w:p>
            <w:pPr>
              <w:pStyle w:val="TableParagraph"/>
              <w:spacing w:line="273" w:lineRule="auto" w:before="1"/>
              <w:ind w:left="82" w:right="102"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68" w:lineRule="auto" w:before="8"/>
              <w:ind w:left="586" w:right="104" w:hanging="505"/>
              <w:jc w:val="both"/>
              <w:rPr>
                <w:sz w:val="21"/>
              </w:rPr>
            </w:pPr>
            <w:r>
              <w:rPr>
                <w:sz w:val="21"/>
              </w:rPr>
              <w:t>（1）您申报的被保险人年龄不真实，并且其真实年龄不符合本附加合同约定投</w:t>
            </w:r>
            <w:r>
              <w:rPr>
                <w:spacing w:val="-12"/>
                <w:sz w:val="21"/>
              </w:rPr>
              <w:t>保年龄限制的，我们有权解除合同，并同时向您退还本附加合同当时的现金</w:t>
            </w:r>
            <w:r>
              <w:rPr>
                <w:spacing w:val="-10"/>
                <w:sz w:val="21"/>
              </w:rPr>
              <w:t>价值，扣除欠款后给付。本公司行使合同解除权适用 </w:t>
            </w:r>
            <w:r>
              <w:rPr>
                <w:i/>
                <w:spacing w:val="-5"/>
                <w:sz w:val="22"/>
              </w:rPr>
              <w:t>8.2</w:t>
            </w:r>
            <w:r>
              <w:rPr>
                <w:spacing w:val="-3"/>
                <w:sz w:val="21"/>
              </w:rPr>
              <w:t>“本公司合同解除权的限制”的规定。</w:t>
            </w:r>
          </w:p>
          <w:p>
            <w:pPr>
              <w:pStyle w:val="TableParagraph"/>
              <w:spacing w:line="273" w:lineRule="auto" w:before="12"/>
              <w:ind w:left="586" w:right="102" w:hanging="505"/>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7"/>
              <w:ind w:left="586" w:right="112" w:hanging="505"/>
              <w:jc w:val="both"/>
              <w:rPr>
                <w:sz w:val="21"/>
              </w:rPr>
            </w:pPr>
            <w:r>
              <w:rPr>
                <w:sz w:val="21"/>
              </w:rPr>
              <w:t>（3）您申报的被保险人年龄或性别不真实，致使您实交保险费多于应交保险费的，我们会将多收的保险费无息退还给您。</w:t>
            </w:r>
          </w:p>
        </w:tc>
      </w:tr>
      <w:tr>
        <w:trPr>
          <w:trHeight w:val="1787" w:hRule="atLeast"/>
        </w:trPr>
        <w:tc>
          <w:tcPr>
            <w:tcW w:w="847" w:type="dxa"/>
          </w:tcPr>
          <w:p>
            <w:pPr>
              <w:pStyle w:val="TableParagraph"/>
              <w:spacing w:before="99"/>
              <w:ind w:left="107"/>
              <w:rPr>
                <w:b/>
                <w:sz w:val="21"/>
              </w:rPr>
            </w:pPr>
            <w:r>
              <w:rPr>
                <w:b/>
                <w:sz w:val="21"/>
              </w:rPr>
              <w:t>9.2</w:t>
            </w:r>
          </w:p>
        </w:tc>
        <w:tc>
          <w:tcPr>
            <w:tcW w:w="1812" w:type="dxa"/>
          </w:tcPr>
          <w:p>
            <w:pPr>
              <w:pStyle w:val="TableParagraph"/>
              <w:spacing w:line="273" w:lineRule="auto" w:before="99"/>
              <w:ind w:left="422" w:right="80"/>
              <w:rPr>
                <w:b/>
                <w:sz w:val="21"/>
              </w:rPr>
            </w:pPr>
            <w:r>
              <w:rPr>
                <w:b/>
                <w:sz w:val="21"/>
              </w:rPr>
              <w:t>合同效力终止</w:t>
            </w:r>
          </w:p>
        </w:tc>
        <w:tc>
          <w:tcPr>
            <w:tcW w:w="7535" w:type="dxa"/>
          </w:tcPr>
          <w:p>
            <w:pPr>
              <w:pStyle w:val="TableParagraph"/>
              <w:spacing w:before="99"/>
              <w:ind w:left="82"/>
              <w:rPr>
                <w:sz w:val="21"/>
              </w:rPr>
            </w:pPr>
            <w:r>
              <w:rPr>
                <w:sz w:val="21"/>
              </w:rPr>
              <w:t>当发生下列情形之一时，本附加合同效力终止：</w:t>
            </w:r>
          </w:p>
          <w:p>
            <w:pPr>
              <w:pStyle w:val="TableParagraph"/>
              <w:spacing w:before="36"/>
              <w:ind w:left="82"/>
              <w:rPr>
                <w:sz w:val="21"/>
              </w:rPr>
            </w:pPr>
            <w:r>
              <w:rPr>
                <w:sz w:val="21"/>
              </w:rPr>
              <w:t>（</w:t>
            </w:r>
            <w:r>
              <w:rPr>
                <w:rFonts w:ascii="Times New Roman" w:eastAsia="Times New Roman"/>
                <w:sz w:val="21"/>
              </w:rPr>
              <w:t>1</w:t>
            </w:r>
            <w:r>
              <w:rPr>
                <w:sz w:val="21"/>
              </w:rPr>
              <w:t>）主合同效力终止；</w:t>
            </w:r>
          </w:p>
          <w:p>
            <w:pPr>
              <w:pStyle w:val="TableParagraph"/>
              <w:spacing w:before="20"/>
              <w:ind w:left="82"/>
              <w:rPr>
                <w:sz w:val="21"/>
              </w:rPr>
            </w:pPr>
            <w:r>
              <w:rPr>
                <w:sz w:val="21"/>
              </w:rPr>
              <w:t>（</w:t>
            </w:r>
            <w:r>
              <w:rPr>
                <w:rFonts w:ascii="Times New Roman" w:eastAsia="Times New Roman"/>
                <w:sz w:val="21"/>
              </w:rPr>
              <w:t>2</w:t>
            </w:r>
            <w:r>
              <w:rPr>
                <w:sz w:val="21"/>
              </w:rPr>
              <w:t>）您申请解除本附加合同；</w:t>
            </w:r>
          </w:p>
          <w:p>
            <w:pPr>
              <w:pStyle w:val="TableParagraph"/>
              <w:spacing w:before="20"/>
              <w:ind w:left="82"/>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1"/>
              <w:ind w:left="82"/>
              <w:rPr>
                <w:sz w:val="21"/>
              </w:rPr>
            </w:pPr>
            <w:r>
              <w:rPr>
                <w:sz w:val="21"/>
              </w:rPr>
              <w:t>本附加合同效力终止后，除另有规定外，我们不退还本附加合同的现金价值。</w:t>
            </w:r>
          </w:p>
        </w:tc>
      </w:tr>
      <w:tr>
        <w:trPr>
          <w:trHeight w:val="2263" w:hRule="atLeast"/>
        </w:trPr>
        <w:tc>
          <w:tcPr>
            <w:tcW w:w="847" w:type="dxa"/>
          </w:tcPr>
          <w:p>
            <w:pPr>
              <w:pStyle w:val="TableParagraph"/>
              <w:spacing w:before="100"/>
              <w:ind w:left="107"/>
              <w:rPr>
                <w:b/>
                <w:sz w:val="21"/>
              </w:rPr>
            </w:pPr>
            <w:r>
              <w:rPr>
                <w:b/>
                <w:sz w:val="21"/>
              </w:rPr>
              <w:t>9.3</w:t>
            </w:r>
          </w:p>
        </w:tc>
        <w:tc>
          <w:tcPr>
            <w:tcW w:w="1812" w:type="dxa"/>
          </w:tcPr>
          <w:p>
            <w:pPr>
              <w:pStyle w:val="TableParagraph"/>
              <w:spacing w:line="273" w:lineRule="auto" w:before="100"/>
              <w:ind w:left="422" w:right="80"/>
              <w:rPr>
                <w:b/>
                <w:sz w:val="21"/>
              </w:rPr>
            </w:pPr>
            <w:r>
              <w:rPr>
                <w:b/>
                <w:sz w:val="21"/>
              </w:rPr>
              <w:t>适用 主合同条款</w:t>
            </w:r>
          </w:p>
        </w:tc>
        <w:tc>
          <w:tcPr>
            <w:tcW w:w="7535" w:type="dxa"/>
          </w:tcPr>
          <w:p>
            <w:pPr>
              <w:pStyle w:val="TableParagraph"/>
              <w:spacing w:before="100"/>
              <w:ind w:left="82"/>
              <w:rPr>
                <w:sz w:val="21"/>
              </w:rPr>
            </w:pPr>
            <w:r>
              <w:rPr>
                <w:sz w:val="21"/>
              </w:rPr>
              <w:t>下列各项条款，适用主合同条款：</w:t>
            </w:r>
          </w:p>
          <w:p>
            <w:pPr>
              <w:pStyle w:val="TableParagraph"/>
              <w:spacing w:before="36"/>
              <w:ind w:left="82"/>
              <w:rPr>
                <w:sz w:val="21"/>
              </w:rPr>
            </w:pPr>
            <w:r>
              <w:rPr>
                <w:sz w:val="21"/>
              </w:rPr>
              <w:t>（</w:t>
            </w:r>
            <w:r>
              <w:rPr>
                <w:rFonts w:ascii="Times New Roman" w:eastAsia="Times New Roman"/>
                <w:sz w:val="21"/>
              </w:rPr>
              <w:t>1</w:t>
            </w:r>
            <w:r>
              <w:rPr>
                <w:sz w:val="21"/>
              </w:rPr>
              <w:t>）保险事故通知；</w:t>
            </w:r>
          </w:p>
          <w:p>
            <w:pPr>
              <w:pStyle w:val="TableParagraph"/>
              <w:spacing w:before="20"/>
              <w:ind w:left="82"/>
              <w:rPr>
                <w:sz w:val="21"/>
              </w:rPr>
            </w:pPr>
            <w:r>
              <w:rPr>
                <w:sz w:val="21"/>
              </w:rPr>
              <w:t>（</w:t>
            </w:r>
            <w:r>
              <w:rPr>
                <w:rFonts w:ascii="Times New Roman" w:eastAsia="Times New Roman"/>
                <w:sz w:val="21"/>
              </w:rPr>
              <w:t>2</w:t>
            </w:r>
            <w:r>
              <w:rPr>
                <w:sz w:val="21"/>
              </w:rPr>
              <w:t>）宽限期；</w:t>
            </w:r>
          </w:p>
          <w:p>
            <w:pPr>
              <w:pStyle w:val="TableParagraph"/>
              <w:spacing w:before="20"/>
              <w:ind w:left="82"/>
              <w:rPr>
                <w:sz w:val="21"/>
              </w:rPr>
            </w:pPr>
            <w:r>
              <w:rPr>
                <w:sz w:val="21"/>
              </w:rPr>
              <w:t>（</w:t>
            </w:r>
            <w:r>
              <w:rPr>
                <w:rFonts w:ascii="Times New Roman" w:eastAsia="Times New Roman"/>
                <w:sz w:val="21"/>
              </w:rPr>
              <w:t>3</w:t>
            </w:r>
            <w:r>
              <w:rPr>
                <w:sz w:val="21"/>
              </w:rPr>
              <w:t>）欠款的扣除；</w:t>
            </w:r>
          </w:p>
          <w:p>
            <w:pPr>
              <w:pStyle w:val="TableParagraph"/>
              <w:spacing w:before="20"/>
              <w:ind w:left="82"/>
              <w:rPr>
                <w:sz w:val="21"/>
              </w:rPr>
            </w:pPr>
            <w:r>
              <w:rPr>
                <w:sz w:val="21"/>
              </w:rPr>
              <w:t>（</w:t>
            </w:r>
            <w:r>
              <w:rPr>
                <w:rFonts w:ascii="Times New Roman" w:eastAsia="Times New Roman"/>
                <w:sz w:val="21"/>
              </w:rPr>
              <w:t>4</w:t>
            </w:r>
            <w:r>
              <w:rPr>
                <w:sz w:val="21"/>
              </w:rPr>
              <w:t>）合同内容变更；</w:t>
            </w:r>
          </w:p>
          <w:p>
            <w:pPr>
              <w:pStyle w:val="TableParagraph"/>
              <w:spacing w:before="20"/>
              <w:ind w:left="82"/>
              <w:rPr>
                <w:sz w:val="21"/>
              </w:rPr>
            </w:pPr>
            <w:r>
              <w:rPr>
                <w:sz w:val="21"/>
              </w:rPr>
              <w:t>（</w:t>
            </w:r>
            <w:r>
              <w:rPr>
                <w:rFonts w:ascii="Times New Roman" w:eastAsia="Times New Roman"/>
                <w:sz w:val="21"/>
              </w:rPr>
              <w:t>5</w:t>
            </w:r>
            <w:r>
              <w:rPr>
                <w:sz w:val="21"/>
              </w:rPr>
              <w:t>）联系方式变更；</w:t>
            </w:r>
          </w:p>
          <w:p>
            <w:pPr>
              <w:pStyle w:val="TableParagraph"/>
              <w:spacing w:line="271" w:lineRule="exact" w:before="20"/>
              <w:ind w:left="82"/>
              <w:rPr>
                <w:sz w:val="21"/>
              </w:rPr>
            </w:pPr>
            <w:r>
              <w:rPr>
                <w:sz w:val="21"/>
              </w:rPr>
              <w:t>（</w:t>
            </w:r>
            <w:r>
              <w:rPr>
                <w:rFonts w:ascii="Times New Roman" w:eastAsia="Times New Roman"/>
                <w:sz w:val="21"/>
              </w:rPr>
              <w:t>6</w:t>
            </w:r>
            <w:r>
              <w:rPr>
                <w:sz w:val="21"/>
              </w:rPr>
              <w:t>）争议处理。</w:t>
            </w:r>
          </w:p>
        </w:tc>
      </w:tr>
    </w:tbl>
    <w:p>
      <w:pPr>
        <w:spacing w:after="0" w:line="271" w:lineRule="exact"/>
        <w:rPr>
          <w:sz w:val="21"/>
        </w:rPr>
        <w:sectPr>
          <w:pgSz w:w="11910" w:h="16840"/>
          <w:pgMar w:header="0" w:footer="629" w:top="1160" w:bottom="820" w:left="80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6"/>
        <w:gridCol w:w="7534"/>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sz w:val="28"/>
              </w:rPr>
              <w:t>10</w:t>
            </w:r>
          </w:p>
        </w:tc>
        <w:tc>
          <w:tcPr>
            <w:tcW w:w="1706" w:type="dxa"/>
            <w:tcBorders>
              <w:bottom w:val="double" w:sz="1" w:space="0" w:color="000000"/>
            </w:tcBorders>
          </w:tcPr>
          <w:p>
            <w:pPr>
              <w:pStyle w:val="TableParagraph"/>
              <w:spacing w:line="281" w:lineRule="exact"/>
              <w:ind w:left="316"/>
              <w:rPr>
                <w:b/>
                <w:sz w:val="28"/>
              </w:rPr>
            </w:pPr>
            <w:r>
              <w:rPr>
                <w:b/>
                <w:w w:val="95"/>
                <w:sz w:val="28"/>
              </w:rPr>
              <w:t>释义</w:t>
            </w:r>
          </w:p>
        </w:tc>
        <w:tc>
          <w:tcPr>
            <w:tcW w:w="7534" w:type="dxa"/>
            <w:tcBorders>
              <w:bottom w:val="double" w:sz="1" w:space="0" w:color="000000"/>
            </w:tcBorders>
          </w:tcPr>
          <w:p>
            <w:pPr>
              <w:pStyle w:val="TableParagraph"/>
              <w:ind w:left="0"/>
              <w:rPr>
                <w:rFonts w:ascii="Times New Roman"/>
                <w:sz w:val="20"/>
              </w:rPr>
            </w:pPr>
          </w:p>
        </w:tc>
      </w:tr>
      <w:tr>
        <w:trPr>
          <w:trHeight w:val="586" w:hRule="atLeast"/>
        </w:trPr>
        <w:tc>
          <w:tcPr>
            <w:tcW w:w="10193" w:type="dxa"/>
            <w:gridSpan w:val="3"/>
            <w:tcBorders>
              <w:top w:val="double" w:sz="1" w:space="0" w:color="000000"/>
            </w:tcBorders>
          </w:tcPr>
          <w:p>
            <w:pPr>
              <w:pStyle w:val="TableParagraph"/>
              <w:spacing w:before="3"/>
              <w:ind w:left="0"/>
              <w:rPr>
                <w:sz w:val="14"/>
              </w:rPr>
            </w:pPr>
          </w:p>
          <w:p>
            <w:pPr>
              <w:pStyle w:val="TableParagraph"/>
              <w:ind w:left="107"/>
              <w:rPr>
                <w:sz w:val="21"/>
              </w:rPr>
            </w:pPr>
            <w:r>
              <w:rPr>
                <w:sz w:val="21"/>
              </w:rPr>
              <w:t>本附加合同中具有特定含义的名词，除非本附加合同另有释义，适用主合同的释义。</w:t>
            </w:r>
          </w:p>
        </w:tc>
      </w:tr>
      <w:tr>
        <w:trPr>
          <w:trHeight w:val="493" w:hRule="atLeast"/>
        </w:trPr>
        <w:tc>
          <w:tcPr>
            <w:tcW w:w="953" w:type="dxa"/>
          </w:tcPr>
          <w:p>
            <w:pPr>
              <w:pStyle w:val="TableParagraph"/>
              <w:spacing w:before="82"/>
              <w:ind w:left="107"/>
              <w:rPr>
                <w:b/>
                <w:sz w:val="21"/>
              </w:rPr>
            </w:pPr>
            <w:r>
              <w:rPr>
                <w:b/>
                <w:sz w:val="21"/>
              </w:rPr>
              <w:t>10.1</w:t>
            </w:r>
          </w:p>
        </w:tc>
        <w:tc>
          <w:tcPr>
            <w:tcW w:w="1706" w:type="dxa"/>
          </w:tcPr>
          <w:p>
            <w:pPr>
              <w:pStyle w:val="TableParagraph"/>
              <w:spacing w:before="82"/>
              <w:ind w:left="316"/>
              <w:rPr>
                <w:b/>
                <w:sz w:val="21"/>
              </w:rPr>
            </w:pPr>
            <w:r>
              <w:rPr>
                <w:b/>
                <w:sz w:val="21"/>
              </w:rPr>
              <w:t>意外伤害</w:t>
            </w:r>
          </w:p>
        </w:tc>
        <w:tc>
          <w:tcPr>
            <w:tcW w:w="7534" w:type="dxa"/>
          </w:tcPr>
          <w:p>
            <w:pPr>
              <w:pStyle w:val="TableParagraph"/>
              <w:spacing w:before="61"/>
              <w:ind w:left="82"/>
              <w:rPr>
                <w:sz w:val="21"/>
              </w:rPr>
            </w:pPr>
            <w:r>
              <w:rPr>
                <w:spacing w:val="-13"/>
                <w:sz w:val="21"/>
              </w:rPr>
              <w:t>指遭受外来的、突发的、非本意的、非疾病的客观事件直接致使身体受到的伤害。</w:t>
            </w:r>
          </w:p>
        </w:tc>
      </w:tr>
      <w:tr>
        <w:trPr>
          <w:trHeight w:val="1418" w:hRule="atLeast"/>
        </w:trPr>
        <w:tc>
          <w:tcPr>
            <w:tcW w:w="953" w:type="dxa"/>
          </w:tcPr>
          <w:p>
            <w:pPr>
              <w:pStyle w:val="TableParagraph"/>
              <w:spacing w:before="72"/>
              <w:ind w:left="107"/>
              <w:rPr>
                <w:b/>
                <w:sz w:val="21"/>
              </w:rPr>
            </w:pPr>
            <w:r>
              <w:rPr>
                <w:b/>
                <w:sz w:val="21"/>
              </w:rPr>
              <w:t>10.2</w:t>
            </w:r>
          </w:p>
        </w:tc>
        <w:tc>
          <w:tcPr>
            <w:tcW w:w="1706" w:type="dxa"/>
          </w:tcPr>
          <w:p>
            <w:pPr>
              <w:pStyle w:val="TableParagraph"/>
              <w:spacing w:line="273" w:lineRule="auto" w:before="72"/>
              <w:ind w:left="316" w:right="332"/>
              <w:rPr>
                <w:b/>
                <w:sz w:val="21"/>
              </w:rPr>
            </w:pPr>
            <w:r>
              <w:rPr>
                <w:b/>
                <w:sz w:val="21"/>
              </w:rPr>
              <w:t>我们认可的医院</w:t>
            </w:r>
          </w:p>
        </w:tc>
        <w:tc>
          <w:tcPr>
            <w:tcW w:w="7534" w:type="dxa"/>
          </w:tcPr>
          <w:p>
            <w:pPr>
              <w:pStyle w:val="TableParagraph"/>
              <w:spacing w:line="273" w:lineRule="auto" w:before="72"/>
              <w:ind w:left="82" w:right="101"/>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29" w:hRule="atLeast"/>
        </w:trPr>
        <w:tc>
          <w:tcPr>
            <w:tcW w:w="953" w:type="dxa"/>
          </w:tcPr>
          <w:p>
            <w:pPr>
              <w:pStyle w:val="TableParagraph"/>
              <w:spacing w:before="72"/>
              <w:ind w:left="107"/>
              <w:rPr>
                <w:b/>
                <w:sz w:val="21"/>
              </w:rPr>
            </w:pPr>
            <w:r>
              <w:rPr>
                <w:b/>
                <w:sz w:val="21"/>
              </w:rPr>
              <w:t>10.3</w:t>
            </w:r>
          </w:p>
        </w:tc>
        <w:tc>
          <w:tcPr>
            <w:tcW w:w="1706" w:type="dxa"/>
          </w:tcPr>
          <w:p>
            <w:pPr>
              <w:pStyle w:val="TableParagraph"/>
              <w:spacing w:before="72"/>
              <w:ind w:left="316"/>
              <w:rPr>
                <w:b/>
                <w:sz w:val="21"/>
              </w:rPr>
            </w:pPr>
            <w:r>
              <w:rPr>
                <w:b/>
                <w:sz w:val="21"/>
              </w:rPr>
              <w:t>专科医生</w:t>
            </w:r>
          </w:p>
        </w:tc>
        <w:tc>
          <w:tcPr>
            <w:tcW w:w="7534" w:type="dxa"/>
          </w:tcPr>
          <w:p>
            <w:pPr>
              <w:pStyle w:val="TableParagraph"/>
              <w:spacing w:line="273" w:lineRule="auto" w:before="72"/>
              <w:ind w:left="82" w:right="102"/>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3"/>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w w:val="100"/>
                <w:sz w:val="21"/>
              </w:rPr>
              <w:t>（</w:t>
            </w:r>
            <w:r>
              <w:rPr>
                <w:spacing w:val="-3"/>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spacing w:val="-1"/>
                <w:w w:val="100"/>
                <w:sz w:val="21"/>
              </w:rPr>
              <w:t>（</w:t>
            </w:r>
            <w:r>
              <w:rPr>
                <w:spacing w:val="-3"/>
                <w:w w:val="100"/>
                <w:sz w:val="21"/>
              </w:rPr>
              <w:t>4）在二级或二级以上医院的相应科室从事临床工作三年</w:t>
            </w:r>
            <w:r>
              <w:rPr>
                <w:spacing w:val="-3"/>
                <w:sz w:val="21"/>
              </w:rPr>
              <w:t>以上。</w:t>
            </w:r>
          </w:p>
        </w:tc>
      </w:tr>
      <w:tr>
        <w:trPr>
          <w:trHeight w:val="1105" w:hRule="atLeast"/>
        </w:trPr>
        <w:tc>
          <w:tcPr>
            <w:tcW w:w="953" w:type="dxa"/>
          </w:tcPr>
          <w:p>
            <w:pPr>
              <w:pStyle w:val="TableParagraph"/>
              <w:spacing w:before="70"/>
              <w:ind w:left="107"/>
              <w:rPr>
                <w:b/>
                <w:sz w:val="21"/>
              </w:rPr>
            </w:pPr>
            <w:r>
              <w:rPr>
                <w:b/>
                <w:sz w:val="21"/>
              </w:rPr>
              <w:t>10.4</w:t>
            </w:r>
          </w:p>
        </w:tc>
        <w:tc>
          <w:tcPr>
            <w:tcW w:w="1706" w:type="dxa"/>
          </w:tcPr>
          <w:p>
            <w:pPr>
              <w:pStyle w:val="TableParagraph"/>
              <w:spacing w:before="70"/>
              <w:ind w:left="316"/>
              <w:rPr>
                <w:b/>
                <w:sz w:val="21"/>
              </w:rPr>
            </w:pPr>
            <w:r>
              <w:rPr>
                <w:b/>
                <w:sz w:val="21"/>
              </w:rPr>
              <w:t>毒品</w:t>
            </w:r>
          </w:p>
        </w:tc>
        <w:tc>
          <w:tcPr>
            <w:tcW w:w="7534" w:type="dxa"/>
          </w:tcPr>
          <w:p>
            <w:pPr>
              <w:pStyle w:val="TableParagraph"/>
              <w:spacing w:line="273" w:lineRule="auto" w:before="70"/>
              <w:ind w:left="82" w:right="1"/>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730" w:hRule="atLeast"/>
        </w:trPr>
        <w:tc>
          <w:tcPr>
            <w:tcW w:w="953" w:type="dxa"/>
          </w:tcPr>
          <w:p>
            <w:pPr>
              <w:pStyle w:val="TableParagraph"/>
              <w:spacing w:before="72"/>
              <w:ind w:left="107"/>
              <w:rPr>
                <w:b/>
                <w:sz w:val="21"/>
              </w:rPr>
            </w:pPr>
            <w:r>
              <w:rPr>
                <w:b/>
                <w:sz w:val="21"/>
              </w:rPr>
              <w:t>10.5</w:t>
            </w:r>
          </w:p>
        </w:tc>
        <w:tc>
          <w:tcPr>
            <w:tcW w:w="1706" w:type="dxa"/>
          </w:tcPr>
          <w:p>
            <w:pPr>
              <w:pStyle w:val="TableParagraph"/>
              <w:spacing w:line="273" w:lineRule="auto" w:before="72"/>
              <w:ind w:left="316" w:right="80"/>
              <w:jc w:val="both"/>
              <w:rPr>
                <w:b/>
                <w:sz w:val="21"/>
              </w:rPr>
            </w:pPr>
            <w:r>
              <w:rPr>
                <w:b/>
                <w:sz w:val="21"/>
              </w:rPr>
              <w:t>患艾滋病或感染艾滋病病毒</w:t>
            </w:r>
          </w:p>
        </w:tc>
        <w:tc>
          <w:tcPr>
            <w:tcW w:w="7534" w:type="dxa"/>
          </w:tcPr>
          <w:p>
            <w:pPr>
              <w:pStyle w:val="TableParagraph"/>
              <w:spacing w:line="273" w:lineRule="auto" w:before="72"/>
              <w:ind w:left="82" w:right="102"/>
              <w:jc w:val="both"/>
              <w:rPr>
                <w:sz w:val="21"/>
              </w:rPr>
            </w:pPr>
            <w:r>
              <w:rPr>
                <w:spacing w:val="-2"/>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8"/>
              <w:ind w:left="82" w:right="102"/>
              <w:jc w:val="both"/>
              <w:rPr>
                <w:sz w:val="21"/>
              </w:rPr>
            </w:pPr>
            <w:r>
              <w:rPr>
                <w:spacing w:val="-4"/>
                <w:sz w:val="21"/>
              </w:rPr>
              <w:t>在人体血液或其他样本中检测到艾滋病病毒或其抗体呈阳性，没有出现临床症状</w:t>
            </w:r>
            <w:r>
              <w:rPr>
                <w:spacing w:val="-5"/>
                <w:sz w:val="21"/>
              </w:rPr>
              <w:t>或体征的，为感染艾滋病病毒；如果同时出现了明显临床症状或体征的，为患艾滋病。</w:t>
            </w:r>
          </w:p>
        </w:tc>
      </w:tr>
      <w:tr>
        <w:trPr>
          <w:trHeight w:val="872" w:hRule="atLeast"/>
        </w:trPr>
        <w:tc>
          <w:tcPr>
            <w:tcW w:w="953" w:type="dxa"/>
          </w:tcPr>
          <w:p>
            <w:pPr>
              <w:pStyle w:val="TableParagraph"/>
              <w:spacing w:before="72"/>
              <w:ind w:left="107"/>
              <w:rPr>
                <w:b/>
                <w:sz w:val="21"/>
              </w:rPr>
            </w:pPr>
            <w:r>
              <w:rPr>
                <w:b/>
                <w:sz w:val="21"/>
              </w:rPr>
              <w:t>10.6</w:t>
            </w:r>
          </w:p>
        </w:tc>
        <w:tc>
          <w:tcPr>
            <w:tcW w:w="1706" w:type="dxa"/>
          </w:tcPr>
          <w:p>
            <w:pPr>
              <w:pStyle w:val="TableParagraph"/>
              <w:spacing w:before="148"/>
              <w:ind w:left="316"/>
              <w:rPr>
                <w:b/>
                <w:sz w:val="21"/>
              </w:rPr>
            </w:pPr>
            <w:r>
              <w:rPr>
                <w:b/>
                <w:sz w:val="21"/>
              </w:rPr>
              <w:t>遗传性疾病</w:t>
            </w:r>
          </w:p>
        </w:tc>
        <w:tc>
          <w:tcPr>
            <w:tcW w:w="7534" w:type="dxa"/>
          </w:tcPr>
          <w:p>
            <w:pPr>
              <w:pStyle w:val="TableParagraph"/>
              <w:spacing w:line="273" w:lineRule="auto" w:before="72"/>
              <w:ind w:left="82" w:right="-15"/>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84" w:hRule="atLeast"/>
        </w:trPr>
        <w:tc>
          <w:tcPr>
            <w:tcW w:w="953" w:type="dxa"/>
          </w:tcPr>
          <w:p>
            <w:pPr>
              <w:pStyle w:val="TableParagraph"/>
              <w:spacing w:before="150"/>
              <w:ind w:left="107"/>
              <w:rPr>
                <w:b/>
                <w:sz w:val="21"/>
              </w:rPr>
            </w:pPr>
            <w:r>
              <w:rPr>
                <w:b/>
                <w:sz w:val="21"/>
              </w:rPr>
              <w:t>10.7</w:t>
            </w:r>
          </w:p>
        </w:tc>
        <w:tc>
          <w:tcPr>
            <w:tcW w:w="1706" w:type="dxa"/>
          </w:tcPr>
          <w:p>
            <w:pPr>
              <w:pStyle w:val="TableParagraph"/>
              <w:spacing w:line="273" w:lineRule="auto" w:before="150"/>
              <w:ind w:left="316" w:right="119"/>
              <w:rPr>
                <w:b/>
                <w:sz w:val="21"/>
              </w:rPr>
            </w:pPr>
            <w:r>
              <w:rPr>
                <w:b/>
                <w:sz w:val="21"/>
              </w:rPr>
              <w:t>先天性畸形、变形或染色 体异常</w:t>
            </w:r>
          </w:p>
        </w:tc>
        <w:tc>
          <w:tcPr>
            <w:tcW w:w="7534" w:type="dxa"/>
          </w:tcPr>
          <w:p>
            <w:pPr>
              <w:pStyle w:val="TableParagraph"/>
              <w:spacing w:line="264" w:lineRule="auto" w:before="150"/>
              <w:ind w:left="82" w:right="1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953" w:type="dxa"/>
          </w:tcPr>
          <w:p>
            <w:pPr>
              <w:pStyle w:val="TableParagraph"/>
              <w:spacing w:before="72"/>
              <w:ind w:left="107"/>
              <w:rPr>
                <w:b/>
                <w:sz w:val="21"/>
              </w:rPr>
            </w:pPr>
            <w:r>
              <w:rPr>
                <w:b/>
                <w:sz w:val="21"/>
              </w:rPr>
              <w:t>10.8</w:t>
            </w:r>
          </w:p>
        </w:tc>
        <w:tc>
          <w:tcPr>
            <w:tcW w:w="1706" w:type="dxa"/>
          </w:tcPr>
          <w:p>
            <w:pPr>
              <w:pStyle w:val="TableParagraph"/>
              <w:spacing w:line="273" w:lineRule="auto" w:before="72"/>
              <w:ind w:left="316" w:right="80"/>
              <w:rPr>
                <w:b/>
                <w:sz w:val="21"/>
              </w:rPr>
            </w:pPr>
            <w:r>
              <w:rPr>
                <w:b/>
                <w:sz w:val="21"/>
              </w:rPr>
              <w:t>六项基本日常生活活动</w:t>
            </w:r>
          </w:p>
        </w:tc>
        <w:tc>
          <w:tcPr>
            <w:tcW w:w="7534" w:type="dxa"/>
          </w:tcPr>
          <w:p>
            <w:pPr>
              <w:pStyle w:val="TableParagraph"/>
              <w:spacing w:line="273" w:lineRule="auto" w:before="72"/>
              <w:ind w:left="82" w:right="94"/>
              <w:jc w:val="both"/>
              <w:rPr>
                <w:sz w:val="21"/>
              </w:rPr>
            </w:pPr>
            <w:r>
              <w:rPr>
                <w:spacing w:val="-12"/>
                <w:w w:val="100"/>
                <w:sz w:val="21"/>
              </w:rPr>
              <w:t>六项基本日常生活活动是指：</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5" w:hRule="atLeast"/>
        </w:trPr>
        <w:tc>
          <w:tcPr>
            <w:tcW w:w="953" w:type="dxa"/>
          </w:tcPr>
          <w:p>
            <w:pPr>
              <w:pStyle w:val="TableParagraph"/>
              <w:spacing w:before="72"/>
              <w:ind w:left="107"/>
              <w:rPr>
                <w:b/>
                <w:sz w:val="21"/>
              </w:rPr>
            </w:pPr>
            <w:r>
              <w:rPr>
                <w:b/>
                <w:sz w:val="21"/>
              </w:rPr>
              <w:t>10.9</w:t>
            </w:r>
          </w:p>
        </w:tc>
        <w:tc>
          <w:tcPr>
            <w:tcW w:w="1706" w:type="dxa"/>
          </w:tcPr>
          <w:p>
            <w:pPr>
              <w:pStyle w:val="TableParagraph"/>
              <w:spacing w:line="273" w:lineRule="auto" w:before="72"/>
              <w:ind w:left="316" w:right="80"/>
              <w:rPr>
                <w:b/>
                <w:sz w:val="21"/>
              </w:rPr>
            </w:pPr>
            <w:r>
              <w:rPr>
                <w:b/>
                <w:sz w:val="21"/>
              </w:rPr>
              <w:t>肢体机能完全丧失</w:t>
            </w:r>
          </w:p>
        </w:tc>
        <w:tc>
          <w:tcPr>
            <w:tcW w:w="7534" w:type="dxa"/>
          </w:tcPr>
          <w:p>
            <w:pPr>
              <w:pStyle w:val="TableParagraph"/>
              <w:spacing w:line="273" w:lineRule="auto" w:before="72"/>
              <w:ind w:left="82" w:right="101"/>
              <w:rPr>
                <w:sz w:val="21"/>
              </w:rPr>
            </w:pPr>
            <w:r>
              <w:rPr>
                <w:sz w:val="21"/>
              </w:rPr>
              <w:t>指肢体的三大关节中的两大关节僵硬，或不能随意识活动。肢体是指包括肩关节的整个上肢或包括髋关节的整个下肢。</w:t>
            </w:r>
          </w:p>
        </w:tc>
      </w:tr>
      <w:tr>
        <w:trPr>
          <w:trHeight w:val="1419" w:hRule="atLeast"/>
        </w:trPr>
        <w:tc>
          <w:tcPr>
            <w:tcW w:w="953" w:type="dxa"/>
          </w:tcPr>
          <w:p>
            <w:pPr>
              <w:pStyle w:val="TableParagraph"/>
              <w:spacing w:before="73"/>
              <w:ind w:left="107"/>
              <w:rPr>
                <w:b/>
                <w:sz w:val="21"/>
              </w:rPr>
            </w:pPr>
            <w:r>
              <w:rPr>
                <w:b/>
                <w:sz w:val="21"/>
              </w:rPr>
              <w:t>10.10</w:t>
            </w:r>
          </w:p>
        </w:tc>
        <w:tc>
          <w:tcPr>
            <w:tcW w:w="1706" w:type="dxa"/>
          </w:tcPr>
          <w:p>
            <w:pPr>
              <w:pStyle w:val="TableParagraph"/>
              <w:spacing w:line="273" w:lineRule="auto" w:before="73"/>
              <w:ind w:left="316" w:right="80"/>
              <w:jc w:val="both"/>
              <w:rPr>
                <w:b/>
                <w:sz w:val="21"/>
              </w:rPr>
            </w:pPr>
            <w:r>
              <w:rPr>
                <w:b/>
                <w:sz w:val="21"/>
              </w:rPr>
              <w:t>语言能力或咀嚼吞咽能力完全丧失</w:t>
            </w:r>
          </w:p>
        </w:tc>
        <w:tc>
          <w:tcPr>
            <w:tcW w:w="7534" w:type="dxa"/>
          </w:tcPr>
          <w:p>
            <w:pPr>
              <w:pStyle w:val="TableParagraph"/>
              <w:spacing w:line="273" w:lineRule="auto" w:before="73"/>
              <w:ind w:left="82" w:right="102"/>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953" w:type="dxa"/>
          </w:tcPr>
          <w:p>
            <w:pPr>
              <w:pStyle w:val="TableParagraph"/>
              <w:spacing w:before="71"/>
              <w:ind w:left="107"/>
              <w:rPr>
                <w:b/>
                <w:sz w:val="21"/>
              </w:rPr>
            </w:pPr>
            <w:r>
              <w:rPr>
                <w:b/>
                <w:sz w:val="21"/>
              </w:rPr>
              <w:t>10.11</w:t>
            </w:r>
          </w:p>
        </w:tc>
        <w:tc>
          <w:tcPr>
            <w:tcW w:w="1706" w:type="dxa"/>
          </w:tcPr>
          <w:p>
            <w:pPr>
              <w:pStyle w:val="TableParagraph"/>
              <w:spacing w:before="71"/>
              <w:ind w:left="316"/>
              <w:rPr>
                <w:b/>
                <w:sz w:val="21"/>
              </w:rPr>
            </w:pPr>
            <w:r>
              <w:rPr>
                <w:b/>
                <w:sz w:val="21"/>
              </w:rPr>
              <w:t>永久不可逆</w:t>
            </w:r>
          </w:p>
        </w:tc>
        <w:tc>
          <w:tcPr>
            <w:tcW w:w="7534" w:type="dxa"/>
          </w:tcPr>
          <w:p>
            <w:pPr>
              <w:pStyle w:val="TableParagraph"/>
              <w:spacing w:line="310" w:lineRule="atLeast" w:before="36"/>
              <w:ind w:left="82" w:right="101"/>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sectPr>
      <w:pgSz w:w="11910" w:h="16840"/>
      <w:pgMar w:header="0" w:footer="629" w:top="1280" w:bottom="820" w:left="8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9.369995pt;margin-top:795.48584pt;width:96.7pt;height:13.7pt;mso-position-horizontal-relative:page;mso-position-vertical-relative:page;z-index:-31360" type="#_x0000_t202" filled="false" stroked="false">
          <v:textbox inset="0,0,0,0">
            <w:txbxContent>
              <w:p>
                <w:pPr>
                  <w:pStyle w:val="BodyText"/>
                  <w:spacing w:line="254" w:lineRule="exact"/>
                  <w:ind w:left="20"/>
                </w:pPr>
                <w:r>
                  <w:rPr>
                    <w:spacing w:val="-26"/>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r>
                  <w:rPr>
                    <w:spacing w:val="-3"/>
                  </w:rPr>
                  <w:t>（</w:t>
                </w:r>
                <w:r>
                  <w:rPr>
                    <w:spacing w:val="-25"/>
                  </w:rPr>
                  <w:t>共 </w:t>
                </w:r>
                <w:r>
                  <w:rPr>
                    <w:rFonts w:ascii="Times New Roman" w:eastAsia="Times New Roman"/>
                  </w:rPr>
                  <w:t>10 </w:t>
                </w:r>
                <w:r>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01" w:right="1322"/>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8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2018-10-20T01:06:56Z</dcterms:created>
  <dcterms:modified xsi:type="dcterms:W3CDTF">2018-10-20T01:06:56Z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2012-02-23T00:00:00Z</vt:filetime>
  </property>
  <property fmtid="{D5CDD505-2E9C-101B-9397-08002B2CF9AE}" pid="3" name="Creator">
    <vt:lpwstr>Microsoft® Office Word 2007</vt:lpwstr>
  </property>
  <property fmtid="{D5CDD505-2E9C-101B-9397-08002B2CF9AE}" pid="4" name="LastSaved">
    <vt:filetime>2018-10-19T00:00:00Z</vt:filetime>
  </property>
</Properties>
</file>