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31" w:lineRule="exact"/>
      </w:pPr>
      <w:r>
        <w:rPr/>
        <w:t>珠江附加康禧人生重大疾病保险条款</w:t>
      </w:r>
    </w:p>
    <w:p>
      <w:pPr>
        <w:spacing w:before="71"/>
        <w:ind w:left="606" w:right="72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5"/>
        <w:ind w:left="712" w:right="72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1"/>
          <w:w w:val="100"/>
        </w:rPr>
        <w:t>，</w:t>
      </w:r>
      <w:r>
        <w:rPr>
          <w:spacing w:val="-63"/>
          <w:w w:val="100"/>
          <w:position w:val="-7"/>
        </w:rPr>
        <w:t>．</w:t>
      </w:r>
      <w:r>
        <w:rPr>
          <w:spacing w:val="-149"/>
          <w:w w:val="100"/>
        </w:rPr>
        <w:t>以</w:t>
      </w:r>
      <w:r>
        <w:rPr>
          <w:spacing w:val="-63"/>
          <w:w w:val="100"/>
          <w:position w:val="-7"/>
        </w:rPr>
        <w:t>．</w:t>
      </w:r>
      <w:r>
        <w:rPr>
          <w:spacing w:val="-151"/>
          <w:w w:val="100"/>
        </w:rPr>
        <w:t>下</w:t>
      </w:r>
      <w:r>
        <w:rPr>
          <w:spacing w:val="-63"/>
          <w:w w:val="100"/>
          <w:position w:val="-7"/>
        </w:rPr>
        <w:t>．</w:t>
      </w:r>
      <w:r>
        <w:rPr>
          <w:spacing w:val="-149"/>
          <w:w w:val="100"/>
        </w:rPr>
        <w:t>含</w:t>
      </w:r>
      <w:r>
        <w:rPr>
          <w:spacing w:val="-63"/>
          <w:w w:val="100"/>
          <w:position w:val="-7"/>
        </w:rPr>
        <w:t>．</w:t>
      </w:r>
      <w:r>
        <w:rPr>
          <w:spacing w:val="-151"/>
          <w:w w:val="100"/>
        </w:rPr>
        <w:t>义</w:t>
      </w:r>
      <w:r>
        <w:rPr>
          <w:spacing w:val="-63"/>
          <w:w w:val="100"/>
          <w:position w:val="-7"/>
        </w:rPr>
        <w:t>．</w:t>
      </w:r>
      <w:r>
        <w:rPr>
          <w:spacing w:val="-149"/>
          <w:w w:val="100"/>
        </w:rPr>
        <w:t>相</w:t>
      </w:r>
      <w:r>
        <w:rPr>
          <w:spacing w:val="-63"/>
          <w:w w:val="100"/>
          <w:position w:val="-7"/>
        </w:rPr>
        <w:t>．</w:t>
      </w:r>
      <w:r>
        <w:rPr>
          <w:spacing w:val="-151"/>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49"/>
          <w:w w:val="100"/>
        </w:rPr>
        <w:t>，</w:t>
      </w:r>
      <w:r>
        <w:rPr>
          <w:spacing w:val="-63"/>
          <w:w w:val="100"/>
          <w:position w:val="-7"/>
        </w:rPr>
        <w:t>．</w:t>
      </w:r>
      <w:r>
        <w:rPr>
          <w:spacing w:val="-151"/>
          <w:w w:val="100"/>
        </w:rPr>
        <w:t>对</w:t>
      </w:r>
      <w:r>
        <w:rPr>
          <w:spacing w:val="-63"/>
          <w:w w:val="100"/>
          <w:position w:val="-7"/>
        </w:rPr>
        <w:t>．</w:t>
      </w:r>
      <w:r>
        <w:rPr>
          <w:spacing w:val="-149"/>
          <w:w w:val="100"/>
        </w:rPr>
        <w:t>本</w:t>
      </w:r>
      <w:r>
        <w:rPr>
          <w:spacing w:val="-63"/>
          <w:w w:val="100"/>
          <w:position w:val="-7"/>
        </w:rPr>
        <w:t>．</w:t>
      </w:r>
      <w:r>
        <w:rPr>
          <w:spacing w:val="-152"/>
          <w:w w:val="100"/>
        </w:rPr>
        <w:t>附</w:t>
      </w:r>
      <w:r>
        <w:rPr>
          <w:spacing w:val="-63"/>
          <w:w w:val="100"/>
          <w:position w:val="-7"/>
        </w:rPr>
        <w:t>．</w:t>
      </w:r>
      <w:r>
        <w:rPr>
          <w:spacing w:val="-149"/>
          <w:w w:val="100"/>
        </w:rPr>
        <w:t>加</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2"/>
        <w:spacing w:before="170"/>
      </w:pPr>
      <w:r>
        <w:rPr/>
        <w:drawing>
          <wp:anchor distT="0" distB="0" distL="0" distR="0" allowOverlap="1" layoutInCell="1" locked="0" behindDoc="1" simplePos="0" relativeHeight="268391447">
            <wp:simplePos x="0" y="0"/>
            <wp:positionH relativeFrom="page">
              <wp:posOffset>559308</wp:posOffset>
            </wp:positionH>
            <wp:positionV relativeFrom="paragraph">
              <wp:posOffset>77821</wp:posOffset>
            </wp:positionV>
            <wp:extent cx="6510274" cy="784682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510274" cy="7846821"/>
                    </a:xfrm>
                    <a:prstGeom prst="rect">
                      <a:avLst/>
                    </a:prstGeom>
                  </pic:spPr>
                </pic:pic>
              </a:graphicData>
            </a:graphic>
          </wp:anchor>
        </w:drawing>
      </w:r>
      <w:r>
        <w:rPr>
          <w:rFonts w:ascii="Arial" w:hAnsi="Arial" w:eastAsia="Arial"/>
          <w:w w:val="105"/>
          <w:position w:val="-11"/>
          <w:sz w:val="52"/>
        </w:rPr>
        <w:t></w:t>
      </w:r>
      <w:r>
        <w:rPr>
          <w:w w:val="105"/>
        </w:rPr>
        <w:t>您拥有的重要权益</w:t>
      </w:r>
    </w:p>
    <w:p>
      <w:pPr>
        <w:pStyle w:val="ListParagraph"/>
        <w:numPr>
          <w:ilvl w:val="0"/>
          <w:numId w:val="1"/>
        </w:numPr>
        <w:tabs>
          <w:tab w:pos="1632" w:val="left" w:leader="none"/>
          <w:tab w:pos="1633" w:val="left" w:leader="none"/>
        </w:tabs>
        <w:spacing w:line="240" w:lineRule="auto" w:before="25" w:after="0"/>
        <w:ind w:left="1632" w:right="0" w:hanging="420"/>
        <w:jc w:val="left"/>
        <w:rPr>
          <w:sz w:val="21"/>
        </w:rPr>
      </w:pPr>
      <w:r>
        <w:rPr>
          <w:spacing w:val="-6"/>
          <w:sz w:val="21"/>
        </w:rPr>
        <w:t>签收本附加合同次日起 </w:t>
      </w:r>
      <w:r>
        <w:rPr>
          <w:sz w:val="21"/>
        </w:rPr>
        <w:t>10</w:t>
      </w:r>
      <w:r>
        <w:rPr>
          <w:spacing w:val="-17"/>
          <w:sz w:val="21"/>
        </w:rPr>
        <w:t> 日</w:t>
      </w:r>
      <w:r>
        <w:rPr>
          <w:sz w:val="21"/>
        </w:rPr>
        <w:t>（</w:t>
      </w:r>
      <w:r>
        <w:rPr>
          <w:spacing w:val="-3"/>
          <w:sz w:val="21"/>
        </w:rPr>
        <w:t>即犹豫期）内您可以要求退还扣除工本费外的全部保险费</w:t>
      </w:r>
      <w:r>
        <w:rPr>
          <w:sz w:val="21"/>
        </w:rPr>
        <w:t>.1.4</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2.3</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5.1</w:t>
      </w:r>
    </w:p>
    <w:p>
      <w:pPr>
        <w:pStyle w:val="Heading2"/>
        <w:spacing w:before="22"/>
      </w:pPr>
      <w:r>
        <w:rPr>
          <w:rFonts w:ascii="Arial" w:hAnsi="Arial" w:eastAsia="Arial"/>
          <w:w w:val="105"/>
          <w:position w:val="-11"/>
          <w:sz w:val="52"/>
        </w:rPr>
        <w:t></w:t>
      </w:r>
      <w:r>
        <w:rPr>
          <w:w w:val="105"/>
        </w:rPr>
        <w:t>您应当特别注意的事项</w:t>
      </w:r>
      <w:r>
        <w:rPr>
          <w:w w:val="201"/>
        </w:rPr>
        <w:t> </w:t>
      </w:r>
    </w:p>
    <w:p>
      <w:pPr>
        <w:pStyle w:val="ListParagraph"/>
        <w:numPr>
          <w:ilvl w:val="0"/>
          <w:numId w:val="1"/>
        </w:numPr>
        <w:tabs>
          <w:tab w:pos="1632" w:val="left" w:leader="none"/>
          <w:tab w:pos="1633" w:val="left" w:leader="none"/>
          <w:tab w:pos="10141" w:val="right" w:leader="dot"/>
        </w:tabs>
        <w:spacing w:line="240" w:lineRule="auto" w:before="25"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632" w:val="left" w:leader="none"/>
          <w:tab w:pos="1633" w:val="left" w:leader="none"/>
          <w:tab w:pos="10141" w:val="right" w:leader="dot"/>
        </w:tabs>
        <w:spacing w:line="240" w:lineRule="auto" w:before="21"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2" w:val="left" w:leader="none"/>
          <w:tab w:pos="1633" w:val="left" w:leader="none"/>
          <w:tab w:pos="10139" w:val="right" w:leader="dot"/>
        </w:tabs>
        <w:spacing w:line="240" w:lineRule="auto" w:before="21"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保险费</w:t>
        <w:tab/>
        <w:t>4.1</w:t>
      </w:r>
    </w:p>
    <w:p>
      <w:pPr>
        <w:pStyle w:val="ListParagraph"/>
        <w:numPr>
          <w:ilvl w:val="0"/>
          <w:numId w:val="1"/>
        </w:numPr>
        <w:tabs>
          <w:tab w:pos="1632" w:val="left" w:leader="none"/>
          <w:tab w:pos="1633" w:val="left" w:leader="none"/>
          <w:tab w:pos="10139" w:val="right" w:leader="dot"/>
        </w:tabs>
        <w:spacing w:line="240" w:lineRule="auto" w:before="21"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632" w:val="left" w:leader="none"/>
          <w:tab w:pos="1633" w:val="left" w:leader="none"/>
          <w:tab w:pos="9933" w:val="right" w:leader="dot"/>
        </w:tabs>
        <w:spacing w:line="240" w:lineRule="auto" w:before="21"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7</w:t>
      </w:r>
    </w:p>
    <w:p>
      <w:pPr>
        <w:pStyle w:val="Heading2"/>
        <w:spacing w:before="21"/>
        <w:rPr>
          <w:rFonts w:ascii="宋体" w:hAnsi="宋体" w:eastAsia="宋体" w:hint="eastAsia"/>
          <w:b w:val="0"/>
        </w:rPr>
      </w:pPr>
      <w:r>
        <w:rPr>
          <w:rFonts w:ascii="Arial" w:hAnsi="Arial" w:eastAsia="Arial"/>
          <w:position w:val="-11"/>
          <w:sz w:val="52"/>
        </w:rPr>
        <w:t></w:t>
      </w:r>
      <w:r>
        <w:rPr/>
        <w:t>条款是保险合同的重要内容，为充分保障您的权益，请您仔细阅读本条款。</w:t>
      </w:r>
      <w:r>
        <w:rPr>
          <w:rFonts w:ascii="宋体" w:hAnsi="宋体" w:eastAsia="宋体" w:hint="eastAsia"/>
          <w:b w:val="0"/>
        </w:rPr>
        <w:t> </w:t>
      </w:r>
    </w:p>
    <w:p>
      <w:pPr>
        <w:spacing w:before="25" w:after="17"/>
        <w:ind w:left="240"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r>
        <w:rPr>
          <w:rFonts w:ascii="Microsoft JhengHei" w:hAnsi="Microsoft JhengHei" w:eastAsia="Microsoft JhengHei" w:hint="eastAsia"/>
          <w:b/>
          <w:w w:val="201"/>
          <w:sz w:val="21"/>
        </w:rPr>
        <w:t> </w:t>
      </w:r>
    </w:p>
    <w:tbl>
      <w:tblPr>
        <w:tblW w:w="0" w:type="auto"/>
        <w:jc w:val="left"/>
        <w:tblInd w:w="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0"/>
        <w:gridCol w:w="1246"/>
        <w:gridCol w:w="3489"/>
      </w:tblGrid>
      <w:tr>
        <w:trPr>
          <w:trHeight w:val="437" w:hRule="atLeast"/>
        </w:trPr>
        <w:tc>
          <w:tcPr>
            <w:tcW w:w="4390" w:type="dxa"/>
            <w:tcBorders>
              <w:top w:val="dotted" w:sz="6" w:space="0" w:color="000000"/>
              <w:left w:val="dotted" w:sz="6" w:space="0" w:color="000000"/>
            </w:tcBorders>
          </w:tcPr>
          <w:p>
            <w:pPr>
              <w:pStyle w:val="TableParagraph"/>
              <w:spacing w:line="341" w:lineRule="exact" w:before="75"/>
              <w:ind w:left="797"/>
              <w:rPr>
                <w:rFonts w:ascii="微软雅黑" w:eastAsia="微软雅黑" w:hint="eastAsia"/>
                <w:b/>
                <w:sz w:val="21"/>
              </w:rPr>
            </w:pPr>
            <w:r>
              <w:rPr>
                <w:rFonts w:ascii="微软雅黑" w:eastAsia="微软雅黑" w:hint="eastAsia"/>
                <w:b/>
                <w:sz w:val="21"/>
              </w:rPr>
              <w:t>1. 投保人与本公司的合同</w:t>
            </w:r>
          </w:p>
        </w:tc>
        <w:tc>
          <w:tcPr>
            <w:tcW w:w="1246" w:type="dxa"/>
            <w:tcBorders>
              <w:top w:val="dotted" w:sz="6" w:space="0" w:color="000000"/>
            </w:tcBorders>
          </w:tcPr>
          <w:p>
            <w:pPr>
              <w:pStyle w:val="TableParagraph"/>
              <w:spacing w:before="138"/>
              <w:ind w:left="0" w:right="93"/>
              <w:jc w:val="right"/>
              <w:rPr>
                <w:sz w:val="21"/>
              </w:rPr>
            </w:pPr>
            <w:r>
              <w:rPr>
                <w:sz w:val="21"/>
              </w:rPr>
              <w:t>6.5</w:t>
            </w:r>
          </w:p>
        </w:tc>
        <w:tc>
          <w:tcPr>
            <w:tcW w:w="3489" w:type="dxa"/>
            <w:tcBorders>
              <w:top w:val="dotted" w:sz="6" w:space="0" w:color="000000"/>
              <w:right w:val="dotted" w:sz="6" w:space="0" w:color="000000"/>
            </w:tcBorders>
          </w:tcPr>
          <w:p>
            <w:pPr>
              <w:pStyle w:val="TableParagraph"/>
              <w:spacing w:before="138"/>
              <w:ind w:left="8"/>
              <w:rPr>
                <w:sz w:val="21"/>
              </w:rPr>
            </w:pPr>
            <w:r>
              <w:rPr>
                <w:sz w:val="21"/>
              </w:rPr>
              <w:t>合同内容变更</w:t>
            </w:r>
          </w:p>
        </w:tc>
      </w:tr>
      <w:tr>
        <w:trPr>
          <w:trHeight w:val="259" w:hRule="atLeast"/>
        </w:trPr>
        <w:tc>
          <w:tcPr>
            <w:tcW w:w="4390" w:type="dxa"/>
            <w:tcBorders>
              <w:left w:val="dotted" w:sz="6" w:space="0" w:color="000000"/>
            </w:tcBorders>
          </w:tcPr>
          <w:p>
            <w:pPr>
              <w:pStyle w:val="TableParagraph"/>
              <w:spacing w:line="235" w:lineRule="exact"/>
              <w:ind w:left="1111"/>
              <w:rPr>
                <w:sz w:val="21"/>
              </w:rPr>
            </w:pPr>
            <w:r>
              <w:rPr>
                <w:sz w:val="21"/>
              </w:rPr>
              <w:t>1.1 合同构成</w:t>
            </w:r>
          </w:p>
        </w:tc>
        <w:tc>
          <w:tcPr>
            <w:tcW w:w="1246" w:type="dxa"/>
          </w:tcPr>
          <w:p>
            <w:pPr>
              <w:pStyle w:val="TableParagraph"/>
              <w:spacing w:line="235" w:lineRule="exact"/>
              <w:ind w:left="0" w:right="93"/>
              <w:jc w:val="right"/>
              <w:rPr>
                <w:sz w:val="21"/>
              </w:rPr>
            </w:pPr>
            <w:r>
              <w:rPr>
                <w:sz w:val="21"/>
              </w:rPr>
              <w:t>6.6</w:t>
            </w:r>
          </w:p>
        </w:tc>
        <w:tc>
          <w:tcPr>
            <w:tcW w:w="3489" w:type="dxa"/>
            <w:tcBorders>
              <w:right w:val="dotted" w:sz="6" w:space="0" w:color="000000"/>
            </w:tcBorders>
          </w:tcPr>
          <w:p>
            <w:pPr>
              <w:pStyle w:val="TableParagraph"/>
              <w:spacing w:line="235" w:lineRule="exact"/>
              <w:ind w:left="8"/>
              <w:rPr>
                <w:sz w:val="21"/>
              </w:rPr>
            </w:pPr>
            <w:r>
              <w:rPr>
                <w:sz w:val="21"/>
              </w:rPr>
              <w:t>地址变更</w:t>
            </w:r>
          </w:p>
        </w:tc>
      </w:tr>
      <w:tr>
        <w:trPr>
          <w:trHeight w:val="260" w:hRule="atLeast"/>
        </w:trPr>
        <w:tc>
          <w:tcPr>
            <w:tcW w:w="4390" w:type="dxa"/>
            <w:tcBorders>
              <w:left w:val="dotted" w:sz="6" w:space="0" w:color="000000"/>
            </w:tcBorders>
          </w:tcPr>
          <w:p>
            <w:pPr>
              <w:pStyle w:val="TableParagraph"/>
              <w:spacing w:line="235" w:lineRule="exact"/>
              <w:ind w:left="1111"/>
              <w:rPr>
                <w:sz w:val="21"/>
              </w:rPr>
            </w:pPr>
            <w:r>
              <w:rPr>
                <w:sz w:val="21"/>
              </w:rPr>
              <w:t>1.2 合同成立与生效</w:t>
            </w:r>
          </w:p>
        </w:tc>
        <w:tc>
          <w:tcPr>
            <w:tcW w:w="1246" w:type="dxa"/>
          </w:tcPr>
          <w:p>
            <w:pPr>
              <w:pStyle w:val="TableParagraph"/>
              <w:spacing w:line="235" w:lineRule="exact"/>
              <w:ind w:left="0" w:right="93"/>
              <w:jc w:val="right"/>
              <w:rPr>
                <w:sz w:val="21"/>
              </w:rPr>
            </w:pPr>
            <w:r>
              <w:rPr>
                <w:sz w:val="21"/>
              </w:rPr>
              <w:t>6.7</w:t>
            </w:r>
          </w:p>
        </w:tc>
        <w:tc>
          <w:tcPr>
            <w:tcW w:w="3489" w:type="dxa"/>
            <w:tcBorders>
              <w:right w:val="dotted" w:sz="6" w:space="0" w:color="000000"/>
            </w:tcBorders>
          </w:tcPr>
          <w:p>
            <w:pPr>
              <w:pStyle w:val="TableParagraph"/>
              <w:spacing w:line="235" w:lineRule="exact"/>
              <w:ind w:left="8"/>
              <w:rPr>
                <w:sz w:val="21"/>
              </w:rPr>
            </w:pPr>
            <w:r>
              <w:rPr>
                <w:sz w:val="21"/>
              </w:rPr>
              <w:t>本附加合同的终止</w:t>
            </w:r>
          </w:p>
        </w:tc>
      </w:tr>
      <w:tr>
        <w:trPr>
          <w:trHeight w:val="260" w:hRule="atLeast"/>
        </w:trPr>
        <w:tc>
          <w:tcPr>
            <w:tcW w:w="4390" w:type="dxa"/>
            <w:tcBorders>
              <w:left w:val="dotted" w:sz="6" w:space="0" w:color="000000"/>
            </w:tcBorders>
          </w:tcPr>
          <w:p>
            <w:pPr>
              <w:pStyle w:val="TableParagraph"/>
              <w:spacing w:line="236" w:lineRule="exact"/>
              <w:ind w:left="1111"/>
              <w:rPr>
                <w:sz w:val="21"/>
              </w:rPr>
            </w:pPr>
            <w:r>
              <w:rPr>
                <w:sz w:val="21"/>
              </w:rPr>
              <w:t>1.3 投保范围</w:t>
            </w:r>
          </w:p>
        </w:tc>
        <w:tc>
          <w:tcPr>
            <w:tcW w:w="1246" w:type="dxa"/>
          </w:tcPr>
          <w:p>
            <w:pPr>
              <w:pStyle w:val="TableParagraph"/>
              <w:spacing w:line="236" w:lineRule="exact"/>
              <w:ind w:left="0" w:right="93"/>
              <w:jc w:val="right"/>
              <w:rPr>
                <w:sz w:val="21"/>
              </w:rPr>
            </w:pPr>
            <w:r>
              <w:rPr>
                <w:sz w:val="21"/>
              </w:rPr>
              <w:t>6.8</w:t>
            </w:r>
          </w:p>
        </w:tc>
        <w:tc>
          <w:tcPr>
            <w:tcW w:w="3489" w:type="dxa"/>
            <w:tcBorders>
              <w:right w:val="dotted" w:sz="6" w:space="0" w:color="000000"/>
            </w:tcBorders>
          </w:tcPr>
          <w:p>
            <w:pPr>
              <w:pStyle w:val="TableParagraph"/>
              <w:spacing w:line="236" w:lineRule="exact"/>
              <w:ind w:left="8"/>
              <w:rPr>
                <w:sz w:val="21"/>
              </w:rPr>
            </w:pPr>
            <w:r>
              <w:rPr>
                <w:sz w:val="21"/>
              </w:rPr>
              <w:t>争议处理</w:t>
            </w:r>
          </w:p>
        </w:tc>
      </w:tr>
      <w:tr>
        <w:trPr>
          <w:trHeight w:val="259" w:hRule="atLeast"/>
        </w:trPr>
        <w:tc>
          <w:tcPr>
            <w:tcW w:w="4390" w:type="dxa"/>
            <w:tcBorders>
              <w:left w:val="dotted" w:sz="6" w:space="0" w:color="000000"/>
            </w:tcBorders>
          </w:tcPr>
          <w:p>
            <w:pPr>
              <w:pStyle w:val="TableParagraph"/>
              <w:spacing w:line="235" w:lineRule="exact"/>
              <w:ind w:left="1111"/>
              <w:rPr>
                <w:sz w:val="21"/>
              </w:rPr>
            </w:pPr>
            <w:r>
              <w:rPr>
                <w:sz w:val="21"/>
              </w:rPr>
              <w:t>1.4 犹豫期</w:t>
            </w:r>
          </w:p>
        </w:tc>
        <w:tc>
          <w:tcPr>
            <w:tcW w:w="1246" w:type="dxa"/>
          </w:tcPr>
          <w:p>
            <w:pPr>
              <w:pStyle w:val="TableParagraph"/>
              <w:spacing w:line="239" w:lineRule="exact"/>
              <w:ind w:left="0" w:right="59"/>
              <w:jc w:val="right"/>
              <w:rPr>
                <w:rFonts w:ascii="微软雅黑" w:eastAsia="微软雅黑" w:hint="eastAsia"/>
                <w:b/>
                <w:sz w:val="21"/>
              </w:rPr>
            </w:pPr>
            <w:r>
              <w:rPr>
                <w:rFonts w:ascii="微软雅黑" w:eastAsia="微软雅黑" w:hint="eastAsia"/>
                <w:b/>
                <w:sz w:val="21"/>
              </w:rPr>
              <w:t>7.释义</w:t>
            </w:r>
          </w:p>
        </w:tc>
        <w:tc>
          <w:tcPr>
            <w:tcW w:w="3489" w:type="dxa"/>
            <w:tcBorders>
              <w:right w:val="dotted" w:sz="6" w:space="0" w:color="000000"/>
            </w:tcBorders>
          </w:tcPr>
          <w:p>
            <w:pPr>
              <w:pStyle w:val="TableParagraph"/>
              <w:ind w:left="0"/>
              <w:rPr>
                <w:rFonts w:ascii="Times New Roman"/>
                <w:sz w:val="18"/>
              </w:rPr>
            </w:pPr>
          </w:p>
        </w:tc>
      </w:tr>
      <w:tr>
        <w:trPr>
          <w:trHeight w:val="260" w:hRule="atLeast"/>
        </w:trPr>
        <w:tc>
          <w:tcPr>
            <w:tcW w:w="4390" w:type="dxa"/>
            <w:tcBorders>
              <w:left w:val="dotted" w:sz="6" w:space="0" w:color="000000"/>
            </w:tcBorders>
          </w:tcPr>
          <w:p>
            <w:pPr>
              <w:pStyle w:val="TableParagraph"/>
              <w:spacing w:line="240" w:lineRule="exact"/>
              <w:ind w:left="797"/>
              <w:rPr>
                <w:rFonts w:ascii="微软雅黑" w:eastAsia="微软雅黑" w:hint="eastAsia"/>
                <w:b/>
                <w:sz w:val="21"/>
              </w:rPr>
            </w:pPr>
            <w:r>
              <w:rPr>
                <w:rFonts w:ascii="微软雅黑" w:eastAsia="微软雅黑" w:hint="eastAsia"/>
                <w:b/>
                <w:sz w:val="21"/>
              </w:rPr>
              <w:t>2. 本公司提供的保障</w:t>
            </w:r>
          </w:p>
        </w:tc>
        <w:tc>
          <w:tcPr>
            <w:tcW w:w="1246" w:type="dxa"/>
          </w:tcPr>
          <w:p>
            <w:pPr>
              <w:pStyle w:val="TableParagraph"/>
              <w:spacing w:line="235" w:lineRule="exact"/>
              <w:ind w:left="0" w:right="93"/>
              <w:jc w:val="right"/>
              <w:rPr>
                <w:sz w:val="21"/>
              </w:rPr>
            </w:pPr>
            <w:r>
              <w:rPr>
                <w:sz w:val="21"/>
              </w:rPr>
              <w:t>7.1</w:t>
            </w:r>
          </w:p>
        </w:tc>
        <w:tc>
          <w:tcPr>
            <w:tcW w:w="3489" w:type="dxa"/>
            <w:tcBorders>
              <w:right w:val="dotted" w:sz="6" w:space="0" w:color="000000"/>
            </w:tcBorders>
          </w:tcPr>
          <w:p>
            <w:pPr>
              <w:pStyle w:val="TableParagraph"/>
              <w:spacing w:line="235" w:lineRule="exact"/>
              <w:ind w:left="8"/>
              <w:rPr>
                <w:sz w:val="21"/>
              </w:rPr>
            </w:pPr>
            <w:r>
              <w:rPr>
                <w:sz w:val="21"/>
              </w:rPr>
              <w:t>本公司</w:t>
            </w:r>
          </w:p>
        </w:tc>
      </w:tr>
      <w:tr>
        <w:trPr>
          <w:trHeight w:val="260" w:hRule="atLeast"/>
        </w:trPr>
        <w:tc>
          <w:tcPr>
            <w:tcW w:w="4390" w:type="dxa"/>
            <w:tcBorders>
              <w:left w:val="dotted" w:sz="6" w:space="0" w:color="000000"/>
            </w:tcBorders>
          </w:tcPr>
          <w:p>
            <w:pPr>
              <w:pStyle w:val="TableParagraph"/>
              <w:spacing w:line="236" w:lineRule="exact"/>
              <w:ind w:left="1111"/>
              <w:rPr>
                <w:sz w:val="21"/>
              </w:rPr>
            </w:pPr>
            <w:r>
              <w:rPr>
                <w:sz w:val="21"/>
              </w:rPr>
              <w:t>2.1 保险金额</w:t>
            </w:r>
          </w:p>
        </w:tc>
        <w:tc>
          <w:tcPr>
            <w:tcW w:w="1246" w:type="dxa"/>
          </w:tcPr>
          <w:p>
            <w:pPr>
              <w:pStyle w:val="TableParagraph"/>
              <w:spacing w:line="236" w:lineRule="exact"/>
              <w:ind w:left="0" w:right="93"/>
              <w:jc w:val="right"/>
              <w:rPr>
                <w:sz w:val="21"/>
              </w:rPr>
            </w:pPr>
            <w:r>
              <w:rPr>
                <w:sz w:val="21"/>
              </w:rPr>
              <w:t>7.2</w:t>
            </w:r>
          </w:p>
        </w:tc>
        <w:tc>
          <w:tcPr>
            <w:tcW w:w="3489" w:type="dxa"/>
            <w:tcBorders>
              <w:right w:val="dotted" w:sz="6" w:space="0" w:color="000000"/>
            </w:tcBorders>
          </w:tcPr>
          <w:p>
            <w:pPr>
              <w:pStyle w:val="TableParagraph"/>
              <w:spacing w:line="236" w:lineRule="exact"/>
              <w:ind w:left="8"/>
              <w:rPr>
                <w:sz w:val="21"/>
              </w:rPr>
            </w:pPr>
            <w:r>
              <w:rPr>
                <w:sz w:val="21"/>
              </w:rPr>
              <w:t>意外伤害</w:t>
            </w:r>
          </w:p>
        </w:tc>
      </w:tr>
      <w:tr>
        <w:trPr>
          <w:trHeight w:val="259" w:hRule="atLeast"/>
        </w:trPr>
        <w:tc>
          <w:tcPr>
            <w:tcW w:w="4390" w:type="dxa"/>
            <w:tcBorders>
              <w:left w:val="dotted" w:sz="6" w:space="0" w:color="000000"/>
            </w:tcBorders>
          </w:tcPr>
          <w:p>
            <w:pPr>
              <w:pStyle w:val="TableParagraph"/>
              <w:spacing w:line="235" w:lineRule="exact"/>
              <w:ind w:left="1111"/>
              <w:rPr>
                <w:sz w:val="21"/>
              </w:rPr>
            </w:pPr>
            <w:r>
              <w:rPr>
                <w:sz w:val="21"/>
              </w:rPr>
              <w:t>2.2 保险期间</w:t>
            </w:r>
          </w:p>
        </w:tc>
        <w:tc>
          <w:tcPr>
            <w:tcW w:w="1246" w:type="dxa"/>
          </w:tcPr>
          <w:p>
            <w:pPr>
              <w:pStyle w:val="TableParagraph"/>
              <w:spacing w:line="235" w:lineRule="exact"/>
              <w:ind w:left="0" w:right="93"/>
              <w:jc w:val="right"/>
              <w:rPr>
                <w:sz w:val="21"/>
              </w:rPr>
            </w:pPr>
            <w:r>
              <w:rPr>
                <w:sz w:val="21"/>
              </w:rPr>
              <w:t>7.3</w:t>
            </w:r>
          </w:p>
        </w:tc>
        <w:tc>
          <w:tcPr>
            <w:tcW w:w="3489" w:type="dxa"/>
            <w:tcBorders>
              <w:right w:val="dotted" w:sz="6" w:space="0" w:color="000000"/>
            </w:tcBorders>
          </w:tcPr>
          <w:p>
            <w:pPr>
              <w:pStyle w:val="TableParagraph"/>
              <w:spacing w:line="235" w:lineRule="exact"/>
              <w:ind w:left="8"/>
              <w:rPr>
                <w:sz w:val="21"/>
              </w:rPr>
            </w:pPr>
            <w:r>
              <w:rPr>
                <w:sz w:val="21"/>
              </w:rPr>
              <w:t>本公司认可的医疗机构</w:t>
            </w:r>
          </w:p>
        </w:tc>
      </w:tr>
      <w:tr>
        <w:trPr>
          <w:trHeight w:val="260" w:hRule="atLeast"/>
        </w:trPr>
        <w:tc>
          <w:tcPr>
            <w:tcW w:w="4390" w:type="dxa"/>
            <w:tcBorders>
              <w:left w:val="dotted" w:sz="6" w:space="0" w:color="000000"/>
            </w:tcBorders>
          </w:tcPr>
          <w:p>
            <w:pPr>
              <w:pStyle w:val="TableParagraph"/>
              <w:spacing w:line="235" w:lineRule="exact"/>
              <w:ind w:left="1111"/>
              <w:rPr>
                <w:sz w:val="21"/>
              </w:rPr>
            </w:pPr>
            <w:r>
              <w:rPr>
                <w:sz w:val="21"/>
              </w:rPr>
              <w:t>2.3 保险责任</w:t>
            </w:r>
          </w:p>
        </w:tc>
        <w:tc>
          <w:tcPr>
            <w:tcW w:w="1246" w:type="dxa"/>
          </w:tcPr>
          <w:p>
            <w:pPr>
              <w:pStyle w:val="TableParagraph"/>
              <w:spacing w:line="235" w:lineRule="exact"/>
              <w:ind w:left="0" w:right="93"/>
              <w:jc w:val="right"/>
              <w:rPr>
                <w:sz w:val="21"/>
              </w:rPr>
            </w:pPr>
            <w:r>
              <w:rPr>
                <w:sz w:val="21"/>
              </w:rPr>
              <w:t>7.4</w:t>
            </w:r>
          </w:p>
        </w:tc>
        <w:tc>
          <w:tcPr>
            <w:tcW w:w="3489" w:type="dxa"/>
            <w:tcBorders>
              <w:right w:val="dotted" w:sz="6" w:space="0" w:color="000000"/>
            </w:tcBorders>
          </w:tcPr>
          <w:p>
            <w:pPr>
              <w:pStyle w:val="TableParagraph"/>
              <w:spacing w:line="235" w:lineRule="exact"/>
              <w:ind w:left="8"/>
              <w:rPr>
                <w:sz w:val="21"/>
              </w:rPr>
            </w:pPr>
            <w:r>
              <w:rPr>
                <w:sz w:val="21"/>
              </w:rPr>
              <w:t>本附加合同约定的重大疾病</w:t>
            </w:r>
          </w:p>
        </w:tc>
      </w:tr>
      <w:tr>
        <w:trPr>
          <w:trHeight w:val="260" w:hRule="atLeast"/>
        </w:trPr>
        <w:tc>
          <w:tcPr>
            <w:tcW w:w="4390" w:type="dxa"/>
            <w:tcBorders>
              <w:left w:val="dotted" w:sz="6" w:space="0" w:color="000000"/>
            </w:tcBorders>
          </w:tcPr>
          <w:p>
            <w:pPr>
              <w:pStyle w:val="TableParagraph"/>
              <w:spacing w:line="236" w:lineRule="exact"/>
              <w:ind w:left="1111"/>
              <w:rPr>
                <w:sz w:val="21"/>
              </w:rPr>
            </w:pPr>
            <w:r>
              <w:rPr>
                <w:sz w:val="21"/>
              </w:rPr>
              <w:t>2.4 责任免除</w:t>
            </w:r>
          </w:p>
        </w:tc>
        <w:tc>
          <w:tcPr>
            <w:tcW w:w="1246" w:type="dxa"/>
          </w:tcPr>
          <w:p>
            <w:pPr>
              <w:pStyle w:val="TableParagraph"/>
              <w:spacing w:line="236" w:lineRule="exact"/>
              <w:ind w:left="0" w:right="93"/>
              <w:jc w:val="right"/>
              <w:rPr>
                <w:sz w:val="21"/>
              </w:rPr>
            </w:pPr>
            <w:r>
              <w:rPr>
                <w:sz w:val="21"/>
              </w:rPr>
              <w:t>7.5</w:t>
            </w:r>
          </w:p>
        </w:tc>
        <w:tc>
          <w:tcPr>
            <w:tcW w:w="3489" w:type="dxa"/>
            <w:tcBorders>
              <w:right w:val="dotted" w:sz="6" w:space="0" w:color="000000"/>
            </w:tcBorders>
          </w:tcPr>
          <w:p>
            <w:pPr>
              <w:pStyle w:val="TableParagraph"/>
              <w:spacing w:line="236" w:lineRule="exact"/>
              <w:ind w:left="8"/>
              <w:rPr>
                <w:sz w:val="21"/>
              </w:rPr>
            </w:pPr>
            <w:r>
              <w:rPr>
                <w:sz w:val="21"/>
              </w:rPr>
              <w:t>殴斗</w:t>
            </w:r>
          </w:p>
        </w:tc>
      </w:tr>
      <w:tr>
        <w:trPr>
          <w:trHeight w:val="259" w:hRule="atLeast"/>
        </w:trPr>
        <w:tc>
          <w:tcPr>
            <w:tcW w:w="4390" w:type="dxa"/>
            <w:tcBorders>
              <w:left w:val="dotted" w:sz="6" w:space="0" w:color="000000"/>
            </w:tcBorders>
          </w:tcPr>
          <w:p>
            <w:pPr>
              <w:pStyle w:val="TableParagraph"/>
              <w:spacing w:line="240" w:lineRule="exact"/>
              <w:ind w:left="797"/>
              <w:rPr>
                <w:rFonts w:ascii="微软雅黑" w:eastAsia="微软雅黑" w:hint="eastAsia"/>
                <w:b/>
                <w:sz w:val="21"/>
              </w:rPr>
            </w:pPr>
            <w:r>
              <w:rPr>
                <w:rFonts w:ascii="微软雅黑" w:eastAsia="微软雅黑" w:hint="eastAsia"/>
                <w:b/>
                <w:sz w:val="21"/>
              </w:rPr>
              <w:t>3. 保险金的申请与给付</w:t>
            </w:r>
          </w:p>
        </w:tc>
        <w:tc>
          <w:tcPr>
            <w:tcW w:w="1246" w:type="dxa"/>
          </w:tcPr>
          <w:p>
            <w:pPr>
              <w:pStyle w:val="TableParagraph"/>
              <w:spacing w:line="235" w:lineRule="exact"/>
              <w:ind w:left="0" w:right="93"/>
              <w:jc w:val="right"/>
              <w:rPr>
                <w:sz w:val="21"/>
              </w:rPr>
            </w:pPr>
            <w:r>
              <w:rPr>
                <w:sz w:val="21"/>
              </w:rPr>
              <w:t>7.6</w:t>
            </w:r>
          </w:p>
        </w:tc>
        <w:tc>
          <w:tcPr>
            <w:tcW w:w="3489" w:type="dxa"/>
            <w:tcBorders>
              <w:right w:val="dotted" w:sz="6" w:space="0" w:color="000000"/>
            </w:tcBorders>
          </w:tcPr>
          <w:p>
            <w:pPr>
              <w:pStyle w:val="TableParagraph"/>
              <w:spacing w:line="235" w:lineRule="exact"/>
              <w:ind w:left="8"/>
              <w:rPr>
                <w:sz w:val="21"/>
              </w:rPr>
            </w:pPr>
            <w:r>
              <w:rPr>
                <w:sz w:val="21"/>
              </w:rPr>
              <w:t>醉酒</w:t>
            </w:r>
          </w:p>
        </w:tc>
      </w:tr>
      <w:tr>
        <w:trPr>
          <w:trHeight w:val="260" w:hRule="atLeast"/>
        </w:trPr>
        <w:tc>
          <w:tcPr>
            <w:tcW w:w="4390" w:type="dxa"/>
            <w:tcBorders>
              <w:left w:val="dotted" w:sz="6" w:space="0" w:color="000000"/>
            </w:tcBorders>
          </w:tcPr>
          <w:p>
            <w:pPr>
              <w:pStyle w:val="TableParagraph"/>
              <w:spacing w:line="235" w:lineRule="exact"/>
              <w:ind w:left="1111"/>
              <w:rPr>
                <w:sz w:val="21"/>
              </w:rPr>
            </w:pPr>
            <w:r>
              <w:rPr>
                <w:sz w:val="21"/>
              </w:rPr>
              <w:t>3.1 受益人</w:t>
            </w:r>
          </w:p>
        </w:tc>
        <w:tc>
          <w:tcPr>
            <w:tcW w:w="1246" w:type="dxa"/>
          </w:tcPr>
          <w:p>
            <w:pPr>
              <w:pStyle w:val="TableParagraph"/>
              <w:spacing w:line="235" w:lineRule="exact"/>
              <w:ind w:left="0" w:right="93"/>
              <w:jc w:val="right"/>
              <w:rPr>
                <w:sz w:val="21"/>
              </w:rPr>
            </w:pPr>
            <w:r>
              <w:rPr>
                <w:sz w:val="21"/>
              </w:rPr>
              <w:t>7.7</w:t>
            </w:r>
          </w:p>
        </w:tc>
        <w:tc>
          <w:tcPr>
            <w:tcW w:w="3489" w:type="dxa"/>
            <w:tcBorders>
              <w:right w:val="dotted" w:sz="6" w:space="0" w:color="000000"/>
            </w:tcBorders>
          </w:tcPr>
          <w:p>
            <w:pPr>
              <w:pStyle w:val="TableParagraph"/>
              <w:spacing w:line="235" w:lineRule="exact"/>
              <w:ind w:left="8"/>
              <w:rPr>
                <w:sz w:val="21"/>
              </w:rPr>
            </w:pPr>
            <w:r>
              <w:rPr>
                <w:sz w:val="21"/>
              </w:rPr>
              <w:t>毒品</w:t>
            </w:r>
          </w:p>
        </w:tc>
      </w:tr>
      <w:tr>
        <w:trPr>
          <w:trHeight w:val="260" w:hRule="atLeast"/>
        </w:trPr>
        <w:tc>
          <w:tcPr>
            <w:tcW w:w="4390" w:type="dxa"/>
            <w:tcBorders>
              <w:left w:val="dotted" w:sz="6" w:space="0" w:color="000000"/>
            </w:tcBorders>
          </w:tcPr>
          <w:p>
            <w:pPr>
              <w:pStyle w:val="TableParagraph"/>
              <w:spacing w:line="236" w:lineRule="exact"/>
              <w:ind w:left="1111"/>
              <w:rPr>
                <w:sz w:val="21"/>
              </w:rPr>
            </w:pPr>
            <w:r>
              <w:rPr>
                <w:sz w:val="21"/>
              </w:rPr>
              <w:t>3.2 保险事故通知</w:t>
            </w:r>
          </w:p>
        </w:tc>
        <w:tc>
          <w:tcPr>
            <w:tcW w:w="1246" w:type="dxa"/>
          </w:tcPr>
          <w:p>
            <w:pPr>
              <w:pStyle w:val="TableParagraph"/>
              <w:spacing w:line="236" w:lineRule="exact"/>
              <w:ind w:left="0" w:right="93"/>
              <w:jc w:val="right"/>
              <w:rPr>
                <w:sz w:val="21"/>
              </w:rPr>
            </w:pPr>
            <w:r>
              <w:rPr>
                <w:sz w:val="21"/>
              </w:rPr>
              <w:t>7.8</w:t>
            </w:r>
          </w:p>
        </w:tc>
        <w:tc>
          <w:tcPr>
            <w:tcW w:w="3489" w:type="dxa"/>
            <w:tcBorders>
              <w:right w:val="dotted" w:sz="6" w:space="0" w:color="000000"/>
            </w:tcBorders>
          </w:tcPr>
          <w:p>
            <w:pPr>
              <w:pStyle w:val="TableParagraph"/>
              <w:spacing w:line="236" w:lineRule="exact"/>
              <w:ind w:left="8"/>
              <w:rPr>
                <w:sz w:val="21"/>
              </w:rPr>
            </w:pPr>
            <w:r>
              <w:rPr>
                <w:sz w:val="21"/>
              </w:rPr>
              <w:t>酒后驾驶</w:t>
            </w:r>
          </w:p>
        </w:tc>
      </w:tr>
      <w:tr>
        <w:trPr>
          <w:trHeight w:val="259" w:hRule="atLeast"/>
        </w:trPr>
        <w:tc>
          <w:tcPr>
            <w:tcW w:w="4390" w:type="dxa"/>
            <w:tcBorders>
              <w:left w:val="dotted" w:sz="6" w:space="0" w:color="000000"/>
            </w:tcBorders>
          </w:tcPr>
          <w:p>
            <w:pPr>
              <w:pStyle w:val="TableParagraph"/>
              <w:spacing w:line="235" w:lineRule="exact"/>
              <w:ind w:left="1111"/>
              <w:rPr>
                <w:sz w:val="21"/>
              </w:rPr>
            </w:pPr>
            <w:r>
              <w:rPr>
                <w:sz w:val="21"/>
              </w:rPr>
              <w:t>3.3 保险金申请</w:t>
            </w:r>
          </w:p>
        </w:tc>
        <w:tc>
          <w:tcPr>
            <w:tcW w:w="1246" w:type="dxa"/>
          </w:tcPr>
          <w:p>
            <w:pPr>
              <w:pStyle w:val="TableParagraph"/>
              <w:spacing w:line="235" w:lineRule="exact"/>
              <w:ind w:left="0" w:right="93"/>
              <w:jc w:val="right"/>
              <w:rPr>
                <w:sz w:val="21"/>
              </w:rPr>
            </w:pPr>
            <w:r>
              <w:rPr>
                <w:sz w:val="21"/>
              </w:rPr>
              <w:t>7.9</w:t>
            </w:r>
          </w:p>
        </w:tc>
        <w:tc>
          <w:tcPr>
            <w:tcW w:w="3489" w:type="dxa"/>
            <w:tcBorders>
              <w:right w:val="dotted" w:sz="6" w:space="0" w:color="000000"/>
            </w:tcBorders>
          </w:tcPr>
          <w:p>
            <w:pPr>
              <w:pStyle w:val="TableParagraph"/>
              <w:spacing w:line="235" w:lineRule="exact"/>
              <w:ind w:left="8"/>
              <w:rPr>
                <w:sz w:val="21"/>
              </w:rPr>
            </w:pPr>
            <w:r>
              <w:rPr>
                <w:sz w:val="21"/>
              </w:rPr>
              <w:t>无合法有效驾驶证驾驶</w:t>
            </w:r>
          </w:p>
        </w:tc>
      </w:tr>
      <w:tr>
        <w:trPr>
          <w:trHeight w:val="260" w:hRule="atLeast"/>
        </w:trPr>
        <w:tc>
          <w:tcPr>
            <w:tcW w:w="4390" w:type="dxa"/>
            <w:tcBorders>
              <w:left w:val="dotted" w:sz="6" w:space="0" w:color="000000"/>
            </w:tcBorders>
          </w:tcPr>
          <w:p>
            <w:pPr>
              <w:pStyle w:val="TableParagraph"/>
              <w:spacing w:line="235" w:lineRule="exact"/>
              <w:ind w:left="1111"/>
              <w:rPr>
                <w:sz w:val="21"/>
              </w:rPr>
            </w:pPr>
            <w:r>
              <w:rPr>
                <w:sz w:val="21"/>
              </w:rPr>
              <w:t>3.4 保险金给付</w:t>
            </w:r>
          </w:p>
        </w:tc>
        <w:tc>
          <w:tcPr>
            <w:tcW w:w="1246" w:type="dxa"/>
          </w:tcPr>
          <w:p>
            <w:pPr>
              <w:pStyle w:val="TableParagraph"/>
              <w:spacing w:line="235" w:lineRule="exact"/>
              <w:ind w:left="0" w:right="-15"/>
              <w:jc w:val="right"/>
              <w:rPr>
                <w:sz w:val="21"/>
              </w:rPr>
            </w:pPr>
            <w:r>
              <w:rPr>
                <w:sz w:val="21"/>
              </w:rPr>
              <w:t>7.10</w:t>
            </w:r>
          </w:p>
        </w:tc>
        <w:tc>
          <w:tcPr>
            <w:tcW w:w="3489" w:type="dxa"/>
            <w:tcBorders>
              <w:right w:val="dotted" w:sz="6" w:space="0" w:color="000000"/>
            </w:tcBorders>
          </w:tcPr>
          <w:p>
            <w:pPr>
              <w:pStyle w:val="TableParagraph"/>
              <w:spacing w:line="235" w:lineRule="exact"/>
              <w:ind w:left="144"/>
              <w:rPr>
                <w:sz w:val="21"/>
              </w:rPr>
            </w:pPr>
            <w:r>
              <w:rPr>
                <w:sz w:val="21"/>
              </w:rPr>
              <w:t>无有效行驶证</w:t>
            </w:r>
          </w:p>
        </w:tc>
      </w:tr>
      <w:tr>
        <w:trPr>
          <w:trHeight w:val="260" w:hRule="atLeast"/>
        </w:trPr>
        <w:tc>
          <w:tcPr>
            <w:tcW w:w="4390" w:type="dxa"/>
            <w:tcBorders>
              <w:left w:val="dotted" w:sz="6" w:space="0" w:color="000000"/>
            </w:tcBorders>
          </w:tcPr>
          <w:p>
            <w:pPr>
              <w:pStyle w:val="TableParagraph"/>
              <w:spacing w:line="236" w:lineRule="exact"/>
              <w:ind w:left="1111"/>
              <w:rPr>
                <w:sz w:val="21"/>
              </w:rPr>
            </w:pPr>
            <w:r>
              <w:rPr>
                <w:sz w:val="21"/>
              </w:rPr>
              <w:t>3.5 诉讼时效</w:t>
            </w:r>
          </w:p>
        </w:tc>
        <w:tc>
          <w:tcPr>
            <w:tcW w:w="1246" w:type="dxa"/>
          </w:tcPr>
          <w:p>
            <w:pPr>
              <w:pStyle w:val="TableParagraph"/>
              <w:spacing w:line="236" w:lineRule="exact"/>
              <w:ind w:left="0" w:right="-15"/>
              <w:jc w:val="right"/>
              <w:rPr>
                <w:sz w:val="21"/>
              </w:rPr>
            </w:pPr>
            <w:r>
              <w:rPr>
                <w:sz w:val="21"/>
              </w:rPr>
              <w:t>7.11</w:t>
            </w:r>
          </w:p>
        </w:tc>
        <w:tc>
          <w:tcPr>
            <w:tcW w:w="3489" w:type="dxa"/>
            <w:tcBorders>
              <w:right w:val="dotted" w:sz="6" w:space="0" w:color="000000"/>
            </w:tcBorders>
          </w:tcPr>
          <w:p>
            <w:pPr>
              <w:pStyle w:val="TableParagraph"/>
              <w:spacing w:line="236" w:lineRule="exact"/>
              <w:ind w:left="144"/>
              <w:rPr>
                <w:sz w:val="21"/>
              </w:rPr>
            </w:pPr>
            <w:r>
              <w:rPr>
                <w:sz w:val="21"/>
              </w:rPr>
              <w:t>潜水</w:t>
            </w:r>
          </w:p>
        </w:tc>
      </w:tr>
      <w:tr>
        <w:trPr>
          <w:trHeight w:val="259" w:hRule="atLeast"/>
        </w:trPr>
        <w:tc>
          <w:tcPr>
            <w:tcW w:w="4390" w:type="dxa"/>
            <w:tcBorders>
              <w:left w:val="dotted" w:sz="6" w:space="0" w:color="000000"/>
            </w:tcBorders>
          </w:tcPr>
          <w:p>
            <w:pPr>
              <w:pStyle w:val="TableParagraph"/>
              <w:spacing w:line="239" w:lineRule="exact"/>
              <w:ind w:left="797"/>
              <w:rPr>
                <w:rFonts w:ascii="微软雅黑" w:eastAsia="微软雅黑" w:hint="eastAsia"/>
                <w:b/>
                <w:sz w:val="21"/>
              </w:rPr>
            </w:pPr>
            <w:r>
              <w:rPr>
                <w:rFonts w:ascii="微软雅黑" w:eastAsia="微软雅黑" w:hint="eastAsia"/>
                <w:b/>
                <w:sz w:val="21"/>
              </w:rPr>
              <w:t>4. 保险费的交纳</w:t>
            </w:r>
          </w:p>
        </w:tc>
        <w:tc>
          <w:tcPr>
            <w:tcW w:w="1246" w:type="dxa"/>
          </w:tcPr>
          <w:p>
            <w:pPr>
              <w:pStyle w:val="TableParagraph"/>
              <w:spacing w:line="235" w:lineRule="exact"/>
              <w:ind w:left="0" w:right="-15"/>
              <w:jc w:val="right"/>
              <w:rPr>
                <w:sz w:val="21"/>
              </w:rPr>
            </w:pPr>
            <w:r>
              <w:rPr>
                <w:sz w:val="21"/>
              </w:rPr>
              <w:t>7.12</w:t>
            </w:r>
          </w:p>
        </w:tc>
        <w:tc>
          <w:tcPr>
            <w:tcW w:w="3489" w:type="dxa"/>
            <w:tcBorders>
              <w:right w:val="dotted" w:sz="6" w:space="0" w:color="000000"/>
            </w:tcBorders>
          </w:tcPr>
          <w:p>
            <w:pPr>
              <w:pStyle w:val="TableParagraph"/>
              <w:spacing w:line="235" w:lineRule="exact"/>
              <w:ind w:left="144"/>
              <w:rPr>
                <w:sz w:val="21"/>
              </w:rPr>
            </w:pPr>
            <w:r>
              <w:rPr>
                <w:sz w:val="21"/>
              </w:rPr>
              <w:t>攀岩</w:t>
            </w:r>
          </w:p>
        </w:tc>
      </w:tr>
      <w:tr>
        <w:trPr>
          <w:trHeight w:val="260" w:hRule="atLeast"/>
        </w:trPr>
        <w:tc>
          <w:tcPr>
            <w:tcW w:w="4390" w:type="dxa"/>
            <w:tcBorders>
              <w:left w:val="dotted" w:sz="6" w:space="0" w:color="000000"/>
            </w:tcBorders>
          </w:tcPr>
          <w:p>
            <w:pPr>
              <w:pStyle w:val="TableParagraph"/>
              <w:spacing w:line="235" w:lineRule="exact"/>
              <w:ind w:left="1111"/>
              <w:rPr>
                <w:sz w:val="21"/>
              </w:rPr>
            </w:pPr>
            <w:r>
              <w:rPr>
                <w:sz w:val="21"/>
              </w:rPr>
              <w:t>4.1 保险费</w:t>
            </w:r>
          </w:p>
        </w:tc>
        <w:tc>
          <w:tcPr>
            <w:tcW w:w="1246" w:type="dxa"/>
          </w:tcPr>
          <w:p>
            <w:pPr>
              <w:pStyle w:val="TableParagraph"/>
              <w:spacing w:line="235" w:lineRule="exact"/>
              <w:ind w:left="0" w:right="-15"/>
              <w:jc w:val="right"/>
              <w:rPr>
                <w:sz w:val="21"/>
              </w:rPr>
            </w:pPr>
            <w:r>
              <w:rPr>
                <w:sz w:val="21"/>
              </w:rPr>
              <w:t>7.13</w:t>
            </w:r>
          </w:p>
        </w:tc>
        <w:tc>
          <w:tcPr>
            <w:tcW w:w="3489" w:type="dxa"/>
            <w:tcBorders>
              <w:right w:val="dotted" w:sz="6" w:space="0" w:color="000000"/>
            </w:tcBorders>
          </w:tcPr>
          <w:p>
            <w:pPr>
              <w:pStyle w:val="TableParagraph"/>
              <w:spacing w:line="235" w:lineRule="exact"/>
              <w:ind w:left="144"/>
              <w:rPr>
                <w:sz w:val="21"/>
              </w:rPr>
            </w:pPr>
            <w:r>
              <w:rPr>
                <w:sz w:val="21"/>
              </w:rPr>
              <w:t>探险</w:t>
            </w:r>
          </w:p>
        </w:tc>
      </w:tr>
      <w:tr>
        <w:trPr>
          <w:trHeight w:val="260" w:hRule="atLeast"/>
        </w:trPr>
        <w:tc>
          <w:tcPr>
            <w:tcW w:w="4390" w:type="dxa"/>
            <w:tcBorders>
              <w:left w:val="dotted" w:sz="6" w:space="0" w:color="000000"/>
            </w:tcBorders>
          </w:tcPr>
          <w:p>
            <w:pPr>
              <w:pStyle w:val="TableParagraph"/>
              <w:spacing w:line="236" w:lineRule="exact"/>
              <w:ind w:left="1111"/>
              <w:rPr>
                <w:sz w:val="21"/>
              </w:rPr>
            </w:pPr>
            <w:r>
              <w:rPr>
                <w:sz w:val="21"/>
              </w:rPr>
              <w:t>4.2 宽限期</w:t>
            </w:r>
          </w:p>
        </w:tc>
        <w:tc>
          <w:tcPr>
            <w:tcW w:w="1246" w:type="dxa"/>
          </w:tcPr>
          <w:p>
            <w:pPr>
              <w:pStyle w:val="TableParagraph"/>
              <w:spacing w:line="236" w:lineRule="exact"/>
              <w:ind w:left="0" w:right="-15"/>
              <w:jc w:val="right"/>
              <w:rPr>
                <w:sz w:val="21"/>
              </w:rPr>
            </w:pPr>
            <w:r>
              <w:rPr>
                <w:sz w:val="21"/>
              </w:rPr>
              <w:t>7.14</w:t>
            </w:r>
          </w:p>
        </w:tc>
        <w:tc>
          <w:tcPr>
            <w:tcW w:w="3489" w:type="dxa"/>
            <w:tcBorders>
              <w:right w:val="dotted" w:sz="6" w:space="0" w:color="000000"/>
            </w:tcBorders>
          </w:tcPr>
          <w:p>
            <w:pPr>
              <w:pStyle w:val="TableParagraph"/>
              <w:spacing w:line="236" w:lineRule="exact"/>
              <w:ind w:left="144"/>
              <w:rPr>
                <w:sz w:val="21"/>
              </w:rPr>
            </w:pPr>
            <w:r>
              <w:rPr>
                <w:sz w:val="21"/>
              </w:rPr>
              <w:t>武术比赛</w:t>
            </w:r>
          </w:p>
        </w:tc>
      </w:tr>
      <w:tr>
        <w:trPr>
          <w:trHeight w:val="259" w:hRule="atLeast"/>
        </w:trPr>
        <w:tc>
          <w:tcPr>
            <w:tcW w:w="4390" w:type="dxa"/>
            <w:tcBorders>
              <w:left w:val="dotted" w:sz="6" w:space="0" w:color="000000"/>
            </w:tcBorders>
          </w:tcPr>
          <w:p>
            <w:pPr>
              <w:pStyle w:val="TableParagraph"/>
              <w:spacing w:line="239" w:lineRule="exact"/>
              <w:ind w:left="797"/>
              <w:rPr>
                <w:rFonts w:ascii="微软雅黑" w:eastAsia="微软雅黑" w:hint="eastAsia"/>
                <w:b/>
                <w:sz w:val="21"/>
              </w:rPr>
            </w:pPr>
            <w:r>
              <w:rPr>
                <w:rFonts w:ascii="微软雅黑" w:eastAsia="微软雅黑" w:hint="eastAsia"/>
                <w:b/>
                <w:sz w:val="21"/>
              </w:rPr>
              <w:t>5. 保险合同解除</w:t>
            </w:r>
          </w:p>
        </w:tc>
        <w:tc>
          <w:tcPr>
            <w:tcW w:w="1246" w:type="dxa"/>
          </w:tcPr>
          <w:p>
            <w:pPr>
              <w:pStyle w:val="TableParagraph"/>
              <w:spacing w:line="235" w:lineRule="exact"/>
              <w:ind w:left="0" w:right="-15"/>
              <w:jc w:val="right"/>
              <w:rPr>
                <w:sz w:val="21"/>
              </w:rPr>
            </w:pPr>
            <w:r>
              <w:rPr>
                <w:sz w:val="21"/>
              </w:rPr>
              <w:t>7.15</w:t>
            </w:r>
          </w:p>
        </w:tc>
        <w:tc>
          <w:tcPr>
            <w:tcW w:w="3489" w:type="dxa"/>
            <w:tcBorders>
              <w:right w:val="dotted" w:sz="6" w:space="0" w:color="000000"/>
            </w:tcBorders>
          </w:tcPr>
          <w:p>
            <w:pPr>
              <w:pStyle w:val="TableParagraph"/>
              <w:spacing w:line="235" w:lineRule="exact"/>
              <w:ind w:left="144"/>
              <w:rPr>
                <w:sz w:val="21"/>
              </w:rPr>
            </w:pPr>
            <w:r>
              <w:rPr>
                <w:sz w:val="21"/>
              </w:rPr>
              <w:t>特技表演</w:t>
            </w:r>
          </w:p>
        </w:tc>
      </w:tr>
      <w:tr>
        <w:trPr>
          <w:trHeight w:val="260" w:hRule="atLeast"/>
        </w:trPr>
        <w:tc>
          <w:tcPr>
            <w:tcW w:w="4390" w:type="dxa"/>
            <w:tcBorders>
              <w:left w:val="dotted" w:sz="6" w:space="0" w:color="000000"/>
            </w:tcBorders>
          </w:tcPr>
          <w:p>
            <w:pPr>
              <w:pStyle w:val="TableParagraph"/>
              <w:spacing w:line="235" w:lineRule="exact"/>
              <w:ind w:left="1111"/>
              <w:rPr>
                <w:sz w:val="21"/>
              </w:rPr>
            </w:pPr>
            <w:r>
              <w:rPr>
                <w:sz w:val="21"/>
              </w:rPr>
              <w:t>5.1 合同解除</w:t>
            </w:r>
          </w:p>
        </w:tc>
        <w:tc>
          <w:tcPr>
            <w:tcW w:w="1246" w:type="dxa"/>
          </w:tcPr>
          <w:p>
            <w:pPr>
              <w:pStyle w:val="TableParagraph"/>
              <w:spacing w:line="235" w:lineRule="exact"/>
              <w:ind w:left="0" w:right="-15"/>
              <w:jc w:val="right"/>
              <w:rPr>
                <w:sz w:val="21"/>
              </w:rPr>
            </w:pPr>
            <w:r>
              <w:rPr>
                <w:sz w:val="21"/>
              </w:rPr>
              <w:t>7.16</w:t>
            </w:r>
          </w:p>
        </w:tc>
        <w:tc>
          <w:tcPr>
            <w:tcW w:w="3489" w:type="dxa"/>
            <w:tcBorders>
              <w:right w:val="dotted" w:sz="6" w:space="0" w:color="000000"/>
            </w:tcBorders>
          </w:tcPr>
          <w:p>
            <w:pPr>
              <w:pStyle w:val="TableParagraph"/>
              <w:spacing w:line="235" w:lineRule="exact"/>
              <w:ind w:left="144"/>
              <w:rPr>
                <w:sz w:val="21"/>
              </w:rPr>
            </w:pPr>
            <w:r>
              <w:rPr>
                <w:sz w:val="21"/>
              </w:rPr>
              <w:t>遗传性疾病</w:t>
            </w:r>
          </w:p>
        </w:tc>
      </w:tr>
      <w:tr>
        <w:trPr>
          <w:trHeight w:val="260" w:hRule="atLeast"/>
        </w:trPr>
        <w:tc>
          <w:tcPr>
            <w:tcW w:w="4390" w:type="dxa"/>
            <w:tcBorders>
              <w:left w:val="dotted" w:sz="6" w:space="0" w:color="000000"/>
            </w:tcBorders>
          </w:tcPr>
          <w:p>
            <w:pPr>
              <w:pStyle w:val="TableParagraph"/>
              <w:spacing w:line="240" w:lineRule="exact"/>
              <w:ind w:left="797"/>
              <w:rPr>
                <w:rFonts w:ascii="微软雅黑" w:eastAsia="微软雅黑" w:hint="eastAsia"/>
                <w:b/>
                <w:sz w:val="21"/>
              </w:rPr>
            </w:pPr>
            <w:r>
              <w:rPr>
                <w:rFonts w:ascii="微软雅黑" w:eastAsia="微软雅黑" w:hint="eastAsia"/>
                <w:b/>
                <w:sz w:val="21"/>
              </w:rPr>
              <w:t>6. 其他需要关注的事项</w:t>
            </w:r>
          </w:p>
        </w:tc>
        <w:tc>
          <w:tcPr>
            <w:tcW w:w="1246" w:type="dxa"/>
          </w:tcPr>
          <w:p>
            <w:pPr>
              <w:pStyle w:val="TableParagraph"/>
              <w:spacing w:line="236" w:lineRule="exact"/>
              <w:ind w:left="0" w:right="-15"/>
              <w:jc w:val="right"/>
              <w:rPr>
                <w:sz w:val="21"/>
              </w:rPr>
            </w:pPr>
            <w:r>
              <w:rPr>
                <w:sz w:val="21"/>
              </w:rPr>
              <w:t>7.17</w:t>
            </w:r>
          </w:p>
        </w:tc>
        <w:tc>
          <w:tcPr>
            <w:tcW w:w="3489" w:type="dxa"/>
            <w:tcBorders>
              <w:right w:val="dotted" w:sz="6" w:space="0" w:color="000000"/>
            </w:tcBorders>
          </w:tcPr>
          <w:p>
            <w:pPr>
              <w:pStyle w:val="TableParagraph"/>
              <w:spacing w:line="236" w:lineRule="exact"/>
              <w:ind w:left="144"/>
              <w:rPr>
                <w:sz w:val="21"/>
              </w:rPr>
            </w:pPr>
            <w:r>
              <w:rPr>
                <w:sz w:val="21"/>
              </w:rPr>
              <w:t>先天性畸形、变形或染色体异常</w:t>
            </w:r>
          </w:p>
        </w:tc>
      </w:tr>
      <w:tr>
        <w:trPr>
          <w:trHeight w:val="259" w:hRule="atLeast"/>
        </w:trPr>
        <w:tc>
          <w:tcPr>
            <w:tcW w:w="4390" w:type="dxa"/>
            <w:tcBorders>
              <w:left w:val="dotted" w:sz="6" w:space="0" w:color="000000"/>
            </w:tcBorders>
          </w:tcPr>
          <w:p>
            <w:pPr>
              <w:pStyle w:val="TableParagraph"/>
              <w:spacing w:line="235" w:lineRule="exact"/>
              <w:ind w:left="1114"/>
              <w:rPr>
                <w:sz w:val="21"/>
              </w:rPr>
            </w:pPr>
            <w:r>
              <w:rPr>
                <w:sz w:val="21"/>
              </w:rPr>
              <w:t>6.1 如实告知</w:t>
            </w:r>
          </w:p>
        </w:tc>
        <w:tc>
          <w:tcPr>
            <w:tcW w:w="1246" w:type="dxa"/>
          </w:tcPr>
          <w:p>
            <w:pPr>
              <w:pStyle w:val="TableParagraph"/>
              <w:spacing w:line="235" w:lineRule="exact"/>
              <w:ind w:left="0" w:right="-15"/>
              <w:jc w:val="right"/>
              <w:rPr>
                <w:sz w:val="21"/>
              </w:rPr>
            </w:pPr>
            <w:r>
              <w:rPr>
                <w:sz w:val="21"/>
              </w:rPr>
              <w:t>7.18</w:t>
            </w:r>
          </w:p>
        </w:tc>
        <w:tc>
          <w:tcPr>
            <w:tcW w:w="3489" w:type="dxa"/>
            <w:tcBorders>
              <w:right w:val="dotted" w:sz="6" w:space="0" w:color="000000"/>
            </w:tcBorders>
          </w:tcPr>
          <w:p>
            <w:pPr>
              <w:pStyle w:val="TableParagraph"/>
              <w:spacing w:line="235" w:lineRule="exact"/>
              <w:ind w:left="144"/>
              <w:rPr>
                <w:sz w:val="21"/>
              </w:rPr>
            </w:pPr>
            <w:r>
              <w:rPr>
                <w:sz w:val="21"/>
              </w:rPr>
              <w:t>现金价值</w:t>
            </w:r>
          </w:p>
        </w:tc>
      </w:tr>
      <w:tr>
        <w:trPr>
          <w:trHeight w:val="259" w:hRule="atLeast"/>
        </w:trPr>
        <w:tc>
          <w:tcPr>
            <w:tcW w:w="4390" w:type="dxa"/>
            <w:tcBorders>
              <w:left w:val="dotted" w:sz="6" w:space="0" w:color="000000"/>
            </w:tcBorders>
          </w:tcPr>
          <w:p>
            <w:pPr>
              <w:pStyle w:val="TableParagraph"/>
              <w:spacing w:line="235" w:lineRule="exact"/>
              <w:ind w:left="1114"/>
              <w:rPr>
                <w:sz w:val="21"/>
              </w:rPr>
            </w:pPr>
            <w:r>
              <w:rPr>
                <w:sz w:val="21"/>
              </w:rPr>
              <w:t>6.2 本公司合同解除权的限制</w:t>
            </w:r>
          </w:p>
        </w:tc>
        <w:tc>
          <w:tcPr>
            <w:tcW w:w="1246" w:type="dxa"/>
          </w:tcPr>
          <w:p>
            <w:pPr>
              <w:pStyle w:val="TableParagraph"/>
              <w:spacing w:line="235" w:lineRule="exact"/>
              <w:ind w:left="0" w:right="-15"/>
              <w:jc w:val="right"/>
              <w:rPr>
                <w:sz w:val="21"/>
              </w:rPr>
            </w:pPr>
            <w:r>
              <w:rPr>
                <w:sz w:val="21"/>
              </w:rPr>
              <w:t>7.19</w:t>
            </w:r>
          </w:p>
        </w:tc>
        <w:tc>
          <w:tcPr>
            <w:tcW w:w="3489" w:type="dxa"/>
            <w:tcBorders>
              <w:right w:val="dotted" w:sz="6" w:space="0" w:color="000000"/>
            </w:tcBorders>
          </w:tcPr>
          <w:p>
            <w:pPr>
              <w:pStyle w:val="TableParagraph"/>
              <w:spacing w:line="235" w:lineRule="exact"/>
              <w:ind w:left="144"/>
              <w:rPr>
                <w:sz w:val="21"/>
              </w:rPr>
            </w:pPr>
            <w:r>
              <w:rPr>
                <w:sz w:val="21"/>
              </w:rPr>
              <w:t>有效身份证件</w:t>
            </w:r>
          </w:p>
        </w:tc>
      </w:tr>
      <w:tr>
        <w:trPr>
          <w:trHeight w:val="260" w:hRule="atLeast"/>
        </w:trPr>
        <w:tc>
          <w:tcPr>
            <w:tcW w:w="4390" w:type="dxa"/>
            <w:tcBorders>
              <w:left w:val="dotted" w:sz="6" w:space="0" w:color="000000"/>
            </w:tcBorders>
          </w:tcPr>
          <w:p>
            <w:pPr>
              <w:pStyle w:val="TableParagraph"/>
              <w:spacing w:line="238" w:lineRule="exact"/>
              <w:ind w:left="1114"/>
              <w:rPr>
                <w:sz w:val="21"/>
              </w:rPr>
            </w:pPr>
            <w:r>
              <w:rPr>
                <w:sz w:val="21"/>
              </w:rPr>
              <w:t>6.3 续保</w:t>
            </w:r>
          </w:p>
        </w:tc>
        <w:tc>
          <w:tcPr>
            <w:tcW w:w="1246" w:type="dxa"/>
          </w:tcPr>
          <w:p>
            <w:pPr>
              <w:pStyle w:val="TableParagraph"/>
              <w:spacing w:line="235" w:lineRule="exact"/>
              <w:ind w:left="0" w:right="-15"/>
              <w:jc w:val="right"/>
              <w:rPr>
                <w:sz w:val="21"/>
              </w:rPr>
            </w:pPr>
            <w:r>
              <w:rPr>
                <w:sz w:val="21"/>
              </w:rPr>
              <w:t>7.20</w:t>
            </w:r>
          </w:p>
        </w:tc>
        <w:tc>
          <w:tcPr>
            <w:tcW w:w="3489" w:type="dxa"/>
            <w:tcBorders>
              <w:right w:val="dotted" w:sz="6" w:space="0" w:color="000000"/>
            </w:tcBorders>
          </w:tcPr>
          <w:p>
            <w:pPr>
              <w:pStyle w:val="TableParagraph"/>
              <w:spacing w:line="235" w:lineRule="exact"/>
              <w:ind w:left="144"/>
              <w:rPr>
                <w:sz w:val="21"/>
              </w:rPr>
            </w:pPr>
            <w:r>
              <w:rPr>
                <w:sz w:val="21"/>
              </w:rPr>
              <w:t>周岁</w:t>
            </w:r>
          </w:p>
        </w:tc>
      </w:tr>
      <w:tr>
        <w:trPr>
          <w:trHeight w:val="489" w:hRule="atLeast"/>
        </w:trPr>
        <w:tc>
          <w:tcPr>
            <w:tcW w:w="4390" w:type="dxa"/>
            <w:tcBorders>
              <w:left w:val="dotted" w:sz="6" w:space="0" w:color="000000"/>
              <w:bottom w:val="dotted" w:sz="6" w:space="0" w:color="000000"/>
            </w:tcBorders>
          </w:tcPr>
          <w:p>
            <w:pPr>
              <w:pStyle w:val="TableParagraph"/>
              <w:spacing w:line="234" w:lineRule="exact"/>
              <w:ind w:left="1114"/>
              <w:rPr>
                <w:sz w:val="21"/>
              </w:rPr>
            </w:pPr>
            <w:r>
              <w:rPr>
                <w:sz w:val="21"/>
              </w:rPr>
              <w:t>6.4 年龄确定与错误处理</w:t>
            </w:r>
          </w:p>
        </w:tc>
        <w:tc>
          <w:tcPr>
            <w:tcW w:w="1246" w:type="dxa"/>
            <w:tcBorders>
              <w:bottom w:val="dotted" w:sz="6" w:space="0" w:color="000000"/>
            </w:tcBorders>
          </w:tcPr>
          <w:p>
            <w:pPr>
              <w:pStyle w:val="TableParagraph"/>
              <w:ind w:left="0"/>
              <w:rPr>
                <w:rFonts w:ascii="Times New Roman"/>
                <w:sz w:val="20"/>
              </w:rPr>
            </w:pPr>
          </w:p>
        </w:tc>
        <w:tc>
          <w:tcPr>
            <w:tcW w:w="3489" w:type="dxa"/>
            <w:tcBorders>
              <w:bottom w:val="dotted" w:sz="6" w:space="0" w:color="000000"/>
              <w:right w:val="dotted" w:sz="6" w:space="0" w:color="000000"/>
            </w:tcBorders>
          </w:tcPr>
          <w:p>
            <w:pPr>
              <w:pStyle w:val="TableParagraph"/>
              <w:ind w:left="0"/>
              <w:rPr>
                <w:rFonts w:ascii="Times New Roman"/>
                <w:sz w:val="20"/>
              </w:rPr>
            </w:pPr>
          </w:p>
        </w:tc>
      </w:tr>
    </w:tbl>
    <w:p>
      <w:pPr>
        <w:pStyle w:val="BodyText"/>
        <w:spacing w:before="117"/>
        <w:ind w:right="252"/>
        <w:jc w:val="right"/>
      </w:pPr>
      <w:r>
        <w:rPr>
          <w:w w:val="100"/>
        </w:rPr>
        <w:t> </w:t>
      </w:r>
    </w:p>
    <w:p>
      <w:pPr>
        <w:spacing w:after="0"/>
        <w:jc w:val="right"/>
        <w:sectPr>
          <w:type w:val="continuous"/>
          <w:pgSz w:w="11910" w:h="16840"/>
          <w:pgMar w:top="1360" w:bottom="280" w:left="780" w:right="660"/>
        </w:sectPr>
      </w:pPr>
    </w:p>
    <w:p>
      <w:pPr>
        <w:pStyle w:val="BodyText"/>
        <w:spacing w:before="10"/>
        <w:ind w:right="156"/>
        <w:jc w:val="right"/>
      </w:pPr>
      <w:r>
        <w:rPr/>
        <w:drawing>
          <wp:anchor distT="0" distB="0" distL="0" distR="0" allowOverlap="1" layoutInCell="1" locked="0" behindDoc="0" simplePos="0" relativeHeight="1048">
            <wp:simplePos x="0" y="0"/>
            <wp:positionH relativeFrom="page">
              <wp:posOffset>5577840</wp:posOffset>
            </wp:positionH>
            <wp:positionV relativeFrom="paragraph">
              <wp:posOffset>246172</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648334</wp:posOffset>
            </wp:positionH>
            <wp:positionV relativeFrom="paragraph">
              <wp:posOffset>13762</wp:posOffset>
            </wp:positionV>
            <wp:extent cx="1674494" cy="54610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674494" cy="546100"/>
                    </a:xfrm>
                    <a:prstGeom prst="rect">
                      <a:avLst/>
                    </a:prstGeom>
                  </pic:spPr>
                </pic:pic>
              </a:graphicData>
            </a:graphic>
          </wp:anchor>
        </w:drawing>
      </w:r>
      <w:r>
        <w:rPr/>
        <w:t>珠江人寿[2015]疾病保险 005 号</w:t>
      </w:r>
    </w:p>
    <w:p>
      <w:pPr>
        <w:pStyle w:val="BodyText"/>
        <w:spacing w:before="13"/>
        <w:ind w:right="576"/>
        <w:jc w:val="right"/>
      </w:pPr>
      <w:r>
        <w:rPr/>
        <w:t>请扫描以查询验证条款</w:t>
      </w:r>
    </w:p>
    <w:p>
      <w:pPr>
        <w:pStyle w:val="BodyText"/>
        <w:spacing w:before="11"/>
        <w:rPr>
          <w:sz w:val="26"/>
        </w:rPr>
      </w:pPr>
    </w:p>
    <w:p>
      <w:pPr>
        <w:spacing w:line="586" w:lineRule="exact" w:before="0"/>
        <w:ind w:left="2442" w:right="0" w:firstLine="0"/>
        <w:jc w:val="left"/>
        <w:rPr>
          <w:rFonts w:ascii="Microsoft JhengHei" w:eastAsia="Microsoft JhengHei" w:hint="eastAsia"/>
          <w:b/>
          <w:sz w:val="44"/>
        </w:rPr>
      </w:pPr>
      <w:r>
        <w:rPr>
          <w:rFonts w:ascii="Microsoft JhengHei" w:eastAsia="Microsoft JhengHei" w:hint="eastAsia"/>
          <w:b/>
          <w:sz w:val="44"/>
        </w:rPr>
        <w:t>珠江人寿保险股份有限公司</w:t>
      </w:r>
    </w:p>
    <w:p>
      <w:pPr>
        <w:pStyle w:val="Heading1"/>
        <w:spacing w:line="554" w:lineRule="exact"/>
        <w:ind w:left="2522" w:right="0"/>
        <w:jc w:val="left"/>
        <w:rPr>
          <w:rFonts w:ascii="Microsoft JhengHei" w:eastAsia="Microsoft JhengHei" w:hint="eastAsia"/>
        </w:rPr>
      </w:pPr>
      <w:r>
        <w:rPr>
          <w:rFonts w:ascii="Microsoft JhengHei" w:eastAsia="Microsoft JhengHei" w:hint="eastAsia"/>
          <w:w w:val="95"/>
        </w:rPr>
        <w:t>珠江附加康禧人Th重大疾病保险条款</w:t>
      </w:r>
    </w:p>
    <w:p>
      <w:pPr>
        <w:pStyle w:val="BodyText"/>
        <w:spacing w:before="106"/>
        <w:ind w:left="210"/>
        <w:jc w:val="center"/>
      </w:pPr>
      <w:r>
        <w:rPr>
          <w:w w:val="100"/>
        </w:rPr>
        <w:t>  </w:t>
      </w:r>
    </w:p>
    <w:p>
      <w:pPr>
        <w:pStyle w:val="BodyText"/>
        <w:spacing w:before="0"/>
        <w:rPr>
          <w:sz w:val="20"/>
        </w:rPr>
      </w:pPr>
    </w:p>
    <w:p>
      <w:pPr>
        <w:pStyle w:val="BodyText"/>
        <w:spacing w:after="1"/>
        <w:rPr>
          <w:sz w:val="1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901"/>
        <w:gridCol w:w="7419"/>
      </w:tblGrid>
      <w:tr>
        <w:trPr>
          <w:trHeight w:val="522" w:hRule="atLeast"/>
        </w:trPr>
        <w:tc>
          <w:tcPr>
            <w:tcW w:w="659" w:type="dxa"/>
            <w:tcBorders>
              <w:bottom w:val="single" w:sz="8" w:space="0" w:color="000000"/>
            </w:tcBorders>
          </w:tcPr>
          <w:p>
            <w:pPr>
              <w:pStyle w:val="TableParagraph"/>
              <w:spacing w:line="423" w:lineRule="exact"/>
              <w:ind w:left="110"/>
              <w:rPr>
                <w:rFonts w:ascii="Arial" w:hAnsi="Arial"/>
                <w:b/>
                <w:sz w:val="40"/>
              </w:rPr>
            </w:pPr>
            <w:r>
              <w:rPr>
                <w:rFonts w:ascii="Arial" w:hAnsi="Arial"/>
                <w:b/>
                <w:color w:val="333333"/>
                <w:w w:val="119"/>
                <w:sz w:val="40"/>
              </w:rPr>
              <w:t></w:t>
            </w:r>
          </w:p>
        </w:tc>
        <w:tc>
          <w:tcPr>
            <w:tcW w:w="9320" w:type="dxa"/>
            <w:gridSpan w:val="2"/>
            <w:tcBorders>
              <w:bottom w:val="single" w:sz="8" w:space="0" w:color="000000"/>
            </w:tcBorders>
          </w:tcPr>
          <w:p>
            <w:pPr>
              <w:pStyle w:val="TableParagraph"/>
              <w:spacing w:line="358" w:lineRule="exact"/>
              <w:ind w:left="191"/>
              <w:rPr>
                <w:rFonts w:ascii="微软雅黑" w:eastAsia="微软雅黑" w:hint="eastAsia"/>
                <w:b/>
                <w:sz w:val="24"/>
              </w:rPr>
            </w:pPr>
            <w:r>
              <w:rPr>
                <w:rFonts w:ascii="微软雅黑" w:eastAsia="微软雅黑" w:hint="eastAsia"/>
                <w:b/>
                <w:sz w:val="24"/>
              </w:rPr>
              <w:t>投保人与本公司的合同</w:t>
            </w:r>
          </w:p>
        </w:tc>
      </w:tr>
      <w:tr>
        <w:trPr>
          <w:trHeight w:val="2092"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1.1</w:t>
            </w:r>
          </w:p>
        </w:tc>
        <w:tc>
          <w:tcPr>
            <w:tcW w:w="1901" w:type="dxa"/>
            <w:tcBorders>
              <w:top w:val="single" w:sz="8" w:space="0" w:color="000000"/>
            </w:tcBorders>
          </w:tcPr>
          <w:p>
            <w:pPr>
              <w:pStyle w:val="TableParagraph"/>
              <w:spacing w:before="64"/>
              <w:ind w:left="191"/>
              <w:rPr>
                <w:rFonts w:ascii="微软雅黑" w:eastAsia="微软雅黑" w:hint="eastAsia"/>
                <w:b/>
                <w:sz w:val="21"/>
              </w:rPr>
            </w:pPr>
            <w:r>
              <w:rPr>
                <w:rFonts w:ascii="微软雅黑" w:eastAsia="微软雅黑" w:hint="eastAsia"/>
                <w:b/>
                <w:sz w:val="21"/>
              </w:rPr>
              <w:t>合同构成</w:t>
            </w:r>
          </w:p>
        </w:tc>
        <w:tc>
          <w:tcPr>
            <w:tcW w:w="7419" w:type="dxa"/>
            <w:tcBorders>
              <w:top w:val="single" w:sz="8" w:space="0" w:color="000000"/>
            </w:tcBorders>
          </w:tcPr>
          <w:p>
            <w:pPr>
              <w:pStyle w:val="TableParagraph"/>
              <w:spacing w:before="126"/>
              <w:ind w:left="231"/>
              <w:rPr>
                <w:sz w:val="21"/>
              </w:rPr>
            </w:pPr>
            <w:r>
              <w:rPr>
                <w:spacing w:val="-3"/>
                <w:w w:val="100"/>
                <w:sz w:val="21"/>
              </w:rPr>
              <w:t>珠江附加康禧人生重大疾病保险</w:t>
            </w:r>
            <w:r>
              <w:rPr>
                <w:w w:val="100"/>
                <w:sz w:val="21"/>
              </w:rPr>
              <w:t>（</w:t>
            </w:r>
            <w:r>
              <w:rPr>
                <w:spacing w:val="-13"/>
                <w:w w:val="100"/>
                <w:sz w:val="21"/>
              </w:rPr>
              <w:t>以下简称“本附加合同”</w:t>
            </w:r>
            <w:r>
              <w:rPr>
                <w:spacing w:val="-2"/>
                <w:w w:val="100"/>
                <w:sz w:val="21"/>
              </w:rPr>
              <w:t>）</w:t>
            </w:r>
            <w:r>
              <w:rPr>
                <w:spacing w:val="-3"/>
                <w:w w:val="100"/>
                <w:sz w:val="21"/>
              </w:rPr>
              <w:t>是主险保险合同</w:t>
            </w:r>
          </w:p>
          <w:p>
            <w:pPr>
              <w:pStyle w:val="TableParagraph"/>
              <w:spacing w:line="273" w:lineRule="auto" w:before="37"/>
              <w:ind w:left="231" w:right="101"/>
              <w:jc w:val="both"/>
              <w:rPr>
                <w:sz w:val="21"/>
              </w:rPr>
            </w:pPr>
            <w:r>
              <w:rPr>
                <w:w w:val="100"/>
                <w:sz w:val="21"/>
              </w:rPr>
              <w:t>（</w:t>
            </w:r>
            <w:r>
              <w:rPr>
                <w:spacing w:val="-15"/>
                <w:w w:val="100"/>
                <w:sz w:val="21"/>
              </w:rPr>
              <w:t>以下简称“主合同”</w:t>
            </w:r>
            <w:r>
              <w:rPr>
                <w:spacing w:val="-3"/>
                <w:w w:val="100"/>
                <w:sz w:val="21"/>
              </w:rPr>
              <w:t>）的附加合同。主合同所附条款、投保书及与本附加合</w:t>
            </w:r>
            <w:r>
              <w:rPr>
                <w:spacing w:val="-9"/>
                <w:sz w:val="21"/>
              </w:rPr>
              <w:t>同有关的其他投保文件、合法有效的声明、批注、批单、其他书面协议，凡与</w:t>
            </w:r>
            <w:r>
              <w:rPr>
                <w:spacing w:val="-11"/>
                <w:sz w:val="21"/>
              </w:rPr>
              <w:t>本附加合同相关者，都是本附加合同的构成部分。凡本附加合同未做规定的内</w:t>
            </w:r>
            <w:r>
              <w:rPr>
                <w:spacing w:val="-9"/>
                <w:sz w:val="21"/>
              </w:rPr>
              <w:t>容，适用主合同条款相关规定。若主合同与本附加合同的条款互有冲突，则以</w:t>
            </w:r>
            <w:r>
              <w:rPr>
                <w:spacing w:val="-5"/>
                <w:sz w:val="21"/>
              </w:rPr>
              <w:t>本附加合同的条款为准。</w:t>
            </w:r>
          </w:p>
        </w:tc>
      </w:tr>
      <w:tr>
        <w:trPr>
          <w:trHeight w:val="1154" w:hRule="atLeast"/>
        </w:trPr>
        <w:tc>
          <w:tcPr>
            <w:tcW w:w="659" w:type="dxa"/>
          </w:tcPr>
          <w:p>
            <w:pPr>
              <w:pStyle w:val="TableParagraph"/>
              <w:spacing w:before="4"/>
              <w:ind w:left="110"/>
              <w:rPr>
                <w:rFonts w:ascii="微软雅黑"/>
                <w:b/>
                <w:sz w:val="21"/>
              </w:rPr>
            </w:pPr>
            <w:r>
              <w:rPr>
                <w:rFonts w:ascii="微软雅黑"/>
                <w:b/>
                <w:sz w:val="21"/>
              </w:rPr>
              <w:t>1.2</w:t>
            </w:r>
          </w:p>
        </w:tc>
        <w:tc>
          <w:tcPr>
            <w:tcW w:w="1901" w:type="dxa"/>
          </w:tcPr>
          <w:p>
            <w:pPr>
              <w:pStyle w:val="TableParagraph"/>
              <w:spacing w:before="4"/>
              <w:ind w:left="191"/>
              <w:rPr>
                <w:rFonts w:ascii="微软雅黑" w:eastAsia="微软雅黑" w:hint="eastAsia"/>
                <w:b/>
                <w:sz w:val="21"/>
              </w:rPr>
            </w:pPr>
            <w:r>
              <w:rPr>
                <w:rFonts w:ascii="微软雅黑" w:eastAsia="微软雅黑" w:hint="eastAsia"/>
                <w:b/>
                <w:sz w:val="21"/>
              </w:rPr>
              <w:t>合同成立与生效</w:t>
            </w:r>
          </w:p>
        </w:tc>
        <w:tc>
          <w:tcPr>
            <w:tcW w:w="7419" w:type="dxa"/>
          </w:tcPr>
          <w:p>
            <w:pPr>
              <w:pStyle w:val="TableParagraph"/>
              <w:spacing w:before="4"/>
              <w:ind w:left="231"/>
              <w:rPr>
                <w:sz w:val="21"/>
              </w:rPr>
            </w:pPr>
            <w:r>
              <w:rPr>
                <w:sz w:val="21"/>
              </w:rPr>
              <w:t>投保人提出保险申请，</w:t>
            </w:r>
            <w:r>
              <w:rPr>
                <w:rFonts w:ascii="微软雅黑" w:eastAsia="微软雅黑" w:hint="eastAsia"/>
                <w:b/>
                <w:sz w:val="21"/>
              </w:rPr>
              <w:t>本公司</w:t>
            </w:r>
            <w:r>
              <w:rPr>
                <w:sz w:val="21"/>
              </w:rPr>
              <w:t>（见 7.1）同意承保，本附加合同成立。</w:t>
            </w:r>
          </w:p>
          <w:p>
            <w:pPr>
              <w:pStyle w:val="TableParagraph"/>
              <w:spacing w:line="273" w:lineRule="auto" w:before="11"/>
              <w:ind w:left="231" w:right="101"/>
              <w:rPr>
                <w:sz w:val="21"/>
              </w:rPr>
            </w:pPr>
            <w:r>
              <w:rPr>
                <w:spacing w:val="-8"/>
                <w:sz w:val="21"/>
              </w:rPr>
              <w:t>本附加合同自本公司同意承保、收取保险费并签发保险单的次日零时起开始生</w:t>
            </w:r>
            <w:r>
              <w:rPr>
                <w:spacing w:val="-5"/>
                <w:sz w:val="21"/>
              </w:rPr>
              <w:t>效，具体生效日以保险单所载的日期为准。</w:t>
            </w:r>
          </w:p>
        </w:tc>
      </w:tr>
      <w:tr>
        <w:trPr>
          <w:trHeight w:val="572" w:hRule="atLeast"/>
        </w:trPr>
        <w:tc>
          <w:tcPr>
            <w:tcW w:w="659" w:type="dxa"/>
          </w:tcPr>
          <w:p>
            <w:pPr>
              <w:pStyle w:val="TableParagraph"/>
              <w:spacing w:before="62"/>
              <w:ind w:left="110"/>
              <w:rPr>
                <w:rFonts w:ascii="微软雅黑"/>
                <w:b/>
                <w:sz w:val="21"/>
              </w:rPr>
            </w:pPr>
            <w:r>
              <w:rPr>
                <w:rFonts w:ascii="微软雅黑"/>
                <w:b/>
                <w:sz w:val="21"/>
              </w:rPr>
              <w:t>1.3</w:t>
            </w:r>
          </w:p>
        </w:tc>
        <w:tc>
          <w:tcPr>
            <w:tcW w:w="1901" w:type="dxa"/>
          </w:tcPr>
          <w:p>
            <w:pPr>
              <w:pStyle w:val="TableParagraph"/>
              <w:spacing w:before="62"/>
              <w:ind w:left="191"/>
              <w:rPr>
                <w:rFonts w:ascii="微软雅黑" w:eastAsia="微软雅黑" w:hint="eastAsia"/>
                <w:b/>
                <w:sz w:val="21"/>
              </w:rPr>
            </w:pPr>
            <w:r>
              <w:rPr>
                <w:rFonts w:ascii="微软雅黑" w:eastAsia="微软雅黑" w:hint="eastAsia"/>
                <w:b/>
                <w:sz w:val="21"/>
              </w:rPr>
              <w:t>投保范围</w:t>
            </w:r>
          </w:p>
        </w:tc>
        <w:tc>
          <w:tcPr>
            <w:tcW w:w="7419" w:type="dxa"/>
          </w:tcPr>
          <w:p>
            <w:pPr>
              <w:pStyle w:val="TableParagraph"/>
              <w:spacing w:before="124"/>
              <w:ind w:left="231"/>
              <w:rPr>
                <w:sz w:val="21"/>
              </w:rPr>
            </w:pPr>
            <w:r>
              <w:rPr>
                <w:sz w:val="21"/>
              </w:rPr>
              <w:t>除另有约定外，本附加合同的投保范围与主合同的投保范围一致。</w:t>
            </w:r>
          </w:p>
        </w:tc>
      </w:tr>
      <w:tr>
        <w:trPr>
          <w:trHeight w:val="2258" w:hRule="atLeast"/>
        </w:trPr>
        <w:tc>
          <w:tcPr>
            <w:tcW w:w="659" w:type="dxa"/>
          </w:tcPr>
          <w:p>
            <w:pPr>
              <w:pStyle w:val="TableParagraph"/>
              <w:spacing w:before="46"/>
              <w:ind w:left="110"/>
              <w:rPr>
                <w:rFonts w:ascii="微软雅黑"/>
                <w:b/>
                <w:sz w:val="21"/>
              </w:rPr>
            </w:pPr>
            <w:r>
              <w:rPr>
                <w:rFonts w:ascii="微软雅黑"/>
                <w:b/>
                <w:sz w:val="21"/>
              </w:rPr>
              <w:t>1.4</w:t>
            </w:r>
          </w:p>
        </w:tc>
        <w:tc>
          <w:tcPr>
            <w:tcW w:w="1901" w:type="dxa"/>
          </w:tcPr>
          <w:p>
            <w:pPr>
              <w:pStyle w:val="TableParagraph"/>
              <w:spacing w:before="46"/>
              <w:ind w:left="191"/>
              <w:rPr>
                <w:rFonts w:ascii="微软雅黑" w:eastAsia="微软雅黑" w:hint="eastAsia"/>
                <w:b/>
                <w:sz w:val="21"/>
              </w:rPr>
            </w:pPr>
            <w:r>
              <w:rPr>
                <w:rFonts w:ascii="微软雅黑" w:eastAsia="微软雅黑" w:hint="eastAsia"/>
                <w:b/>
                <w:sz w:val="21"/>
              </w:rPr>
              <w:t>犹豫期</w:t>
            </w:r>
          </w:p>
        </w:tc>
        <w:tc>
          <w:tcPr>
            <w:tcW w:w="7419" w:type="dxa"/>
          </w:tcPr>
          <w:p>
            <w:pPr>
              <w:pStyle w:val="TableParagraph"/>
              <w:spacing w:line="300" w:lineRule="auto" w:before="123"/>
              <w:ind w:left="231" w:right="101"/>
              <w:jc w:val="both"/>
              <w:rPr>
                <w:sz w:val="21"/>
              </w:rPr>
            </w:pPr>
            <w:r>
              <w:rPr>
                <w:spacing w:val="-6"/>
                <w:sz w:val="21"/>
              </w:rPr>
              <w:t>自投保人签收本附加合同的次日起，有 </w:t>
            </w:r>
            <w:r>
              <w:rPr>
                <w:sz w:val="21"/>
              </w:rPr>
              <w:t>10</w:t>
            </w:r>
            <w:r>
              <w:rPr>
                <w:spacing w:val="-8"/>
                <w:sz w:val="21"/>
              </w:rPr>
              <w:t> 日的犹豫期。在此期间，如投保人</w:t>
            </w:r>
            <w:r>
              <w:rPr>
                <w:spacing w:val="-9"/>
                <w:sz w:val="21"/>
              </w:rPr>
              <w:t>认为本附加合同与投保人的需求不相符，可以解除本附加合同，本公司将无息</w:t>
            </w:r>
            <w:r>
              <w:rPr>
                <w:spacing w:val="-8"/>
                <w:sz w:val="21"/>
              </w:rPr>
              <w:t>退还保险费并可扣除不超过 </w:t>
            </w:r>
            <w:r>
              <w:rPr>
                <w:sz w:val="21"/>
              </w:rPr>
              <w:t>10</w:t>
            </w:r>
            <w:r>
              <w:rPr>
                <w:spacing w:val="-9"/>
                <w:sz w:val="21"/>
              </w:rPr>
              <w:t> 元的工本费。</w:t>
            </w:r>
          </w:p>
          <w:p>
            <w:pPr>
              <w:pStyle w:val="TableParagraph"/>
              <w:spacing w:line="213" w:lineRule="auto" w:before="31"/>
              <w:ind w:left="231" w:right="101"/>
              <w:jc w:val="both"/>
              <w:rPr>
                <w:rFonts w:ascii="微软雅黑" w:eastAsia="微软雅黑" w:hint="eastAsia"/>
                <w:b/>
                <w:sz w:val="21"/>
              </w:rPr>
            </w:pPr>
            <w:r>
              <w:rPr>
                <w:spacing w:val="-9"/>
                <w:sz w:val="21"/>
              </w:rPr>
              <w:t>解除合同时，投保人需要填写申请书，并提供本附加合同及本公司要求的相关</w:t>
            </w:r>
            <w:r>
              <w:rPr>
                <w:spacing w:val="-21"/>
                <w:sz w:val="21"/>
              </w:rPr>
              <w:t>资料。</w:t>
            </w:r>
            <w:r>
              <w:rPr>
                <w:rFonts w:ascii="微软雅黑" w:eastAsia="微软雅黑" w:hint="eastAsia"/>
                <w:b/>
                <w:spacing w:val="-5"/>
                <w:sz w:val="21"/>
              </w:rPr>
              <w:t>自本公司收到投保人申请解除合同的书面申请之时起，本附加合同即被解除，本公司自本附加合同生效日起自始不承担保险责任。</w:t>
            </w:r>
          </w:p>
        </w:tc>
      </w:tr>
      <w:tr>
        <w:trPr>
          <w:trHeight w:val="742" w:hRule="atLeast"/>
        </w:trPr>
        <w:tc>
          <w:tcPr>
            <w:tcW w:w="659" w:type="dxa"/>
            <w:tcBorders>
              <w:bottom w:val="single" w:sz="8" w:space="0" w:color="000000"/>
            </w:tcBorders>
          </w:tcPr>
          <w:p>
            <w:pPr>
              <w:pStyle w:val="TableParagraph"/>
              <w:spacing w:before="183"/>
              <w:ind w:left="110"/>
              <w:rPr>
                <w:rFonts w:ascii="Arial" w:hAnsi="Arial"/>
                <w:b/>
                <w:sz w:val="40"/>
              </w:rPr>
            </w:pPr>
            <w:r>
              <w:rPr>
                <w:rFonts w:ascii="Arial" w:hAnsi="Arial"/>
                <w:b/>
                <w:color w:val="333333"/>
                <w:w w:val="119"/>
                <w:sz w:val="40"/>
              </w:rPr>
              <w:t></w:t>
            </w:r>
          </w:p>
        </w:tc>
        <w:tc>
          <w:tcPr>
            <w:tcW w:w="9320" w:type="dxa"/>
            <w:gridSpan w:val="2"/>
            <w:tcBorders>
              <w:bottom w:val="single" w:sz="8" w:space="0" w:color="000000"/>
            </w:tcBorders>
          </w:tcPr>
          <w:p>
            <w:pPr>
              <w:pStyle w:val="TableParagraph"/>
              <w:spacing w:before="163"/>
              <w:ind w:left="191"/>
              <w:rPr>
                <w:rFonts w:ascii="微软雅黑" w:eastAsia="微软雅黑" w:hint="eastAsia"/>
                <w:b/>
                <w:sz w:val="24"/>
              </w:rPr>
            </w:pPr>
            <w:r>
              <w:rPr>
                <w:rFonts w:ascii="微软雅黑" w:eastAsia="微软雅黑" w:hint="eastAsia"/>
                <w:b/>
                <w:sz w:val="24"/>
              </w:rPr>
              <w:t>本公司提供的保障</w:t>
            </w:r>
          </w:p>
        </w:tc>
      </w:tr>
      <w:tr>
        <w:trPr>
          <w:trHeight w:val="533" w:hRule="atLeast"/>
        </w:trPr>
        <w:tc>
          <w:tcPr>
            <w:tcW w:w="659" w:type="dxa"/>
            <w:tcBorders>
              <w:top w:val="single" w:sz="8" w:space="0" w:color="000000"/>
            </w:tcBorders>
          </w:tcPr>
          <w:p>
            <w:pPr>
              <w:pStyle w:val="TableParagraph"/>
              <w:spacing w:before="66"/>
              <w:ind w:left="110"/>
              <w:rPr>
                <w:rFonts w:ascii="微软雅黑"/>
                <w:b/>
                <w:sz w:val="21"/>
              </w:rPr>
            </w:pPr>
            <w:r>
              <w:rPr>
                <w:rFonts w:ascii="微软雅黑"/>
                <w:b/>
                <w:sz w:val="21"/>
              </w:rPr>
              <w:t>2.1</w:t>
            </w:r>
          </w:p>
        </w:tc>
        <w:tc>
          <w:tcPr>
            <w:tcW w:w="1901" w:type="dxa"/>
            <w:tcBorders>
              <w:top w:val="single" w:sz="8" w:space="0" w:color="000000"/>
            </w:tcBorders>
          </w:tcPr>
          <w:p>
            <w:pPr>
              <w:pStyle w:val="TableParagraph"/>
              <w:spacing w:before="66"/>
              <w:ind w:left="191"/>
              <w:rPr>
                <w:rFonts w:ascii="微软雅黑" w:eastAsia="微软雅黑" w:hint="eastAsia"/>
                <w:b/>
                <w:sz w:val="21"/>
              </w:rPr>
            </w:pPr>
            <w:r>
              <w:rPr>
                <w:rFonts w:ascii="微软雅黑" w:eastAsia="微软雅黑" w:hint="eastAsia"/>
                <w:b/>
                <w:sz w:val="21"/>
              </w:rPr>
              <w:t>保险金额</w:t>
            </w:r>
          </w:p>
        </w:tc>
        <w:tc>
          <w:tcPr>
            <w:tcW w:w="7419" w:type="dxa"/>
            <w:tcBorders>
              <w:top w:val="single" w:sz="8" w:space="0" w:color="000000"/>
            </w:tcBorders>
          </w:tcPr>
          <w:p>
            <w:pPr>
              <w:pStyle w:val="TableParagraph"/>
              <w:spacing w:before="128"/>
              <w:ind w:left="231"/>
              <w:rPr>
                <w:sz w:val="21"/>
              </w:rPr>
            </w:pPr>
            <w:r>
              <w:rPr>
                <w:sz w:val="21"/>
              </w:rPr>
              <w:t>本附加合同保险金额由投保人在投保时与本公司约定并在保险单上载明。</w:t>
            </w:r>
          </w:p>
        </w:tc>
      </w:tr>
      <w:tr>
        <w:trPr>
          <w:trHeight w:val="783" w:hRule="atLeast"/>
        </w:trPr>
        <w:tc>
          <w:tcPr>
            <w:tcW w:w="659" w:type="dxa"/>
          </w:tcPr>
          <w:p>
            <w:pPr>
              <w:pStyle w:val="TableParagraph"/>
              <w:spacing w:before="3"/>
              <w:ind w:left="110"/>
              <w:rPr>
                <w:rFonts w:ascii="微软雅黑"/>
                <w:b/>
                <w:sz w:val="21"/>
              </w:rPr>
            </w:pPr>
            <w:r>
              <w:rPr>
                <w:rFonts w:ascii="微软雅黑"/>
                <w:b/>
                <w:sz w:val="21"/>
              </w:rPr>
              <w:t>2.2</w:t>
            </w:r>
          </w:p>
        </w:tc>
        <w:tc>
          <w:tcPr>
            <w:tcW w:w="1901" w:type="dxa"/>
          </w:tcPr>
          <w:p>
            <w:pPr>
              <w:pStyle w:val="TableParagraph"/>
              <w:spacing w:before="3"/>
              <w:ind w:left="191"/>
              <w:rPr>
                <w:rFonts w:ascii="微软雅黑" w:eastAsia="微软雅黑" w:hint="eastAsia"/>
                <w:b/>
                <w:sz w:val="21"/>
              </w:rPr>
            </w:pPr>
            <w:r>
              <w:rPr>
                <w:rFonts w:ascii="微软雅黑" w:eastAsia="微软雅黑" w:hint="eastAsia"/>
                <w:b/>
                <w:sz w:val="21"/>
              </w:rPr>
              <w:t>保险期间</w:t>
            </w:r>
          </w:p>
        </w:tc>
        <w:tc>
          <w:tcPr>
            <w:tcW w:w="7419" w:type="dxa"/>
          </w:tcPr>
          <w:p>
            <w:pPr>
              <w:pStyle w:val="TableParagraph"/>
              <w:spacing w:line="273" w:lineRule="auto" w:before="66"/>
              <w:ind w:left="231" w:right="101"/>
              <w:rPr>
                <w:sz w:val="21"/>
              </w:rPr>
            </w:pPr>
            <w:r>
              <w:rPr>
                <w:spacing w:val="-6"/>
                <w:sz w:val="21"/>
              </w:rPr>
              <w:t>本附加合同的保险期间为 </w:t>
            </w:r>
            <w:r>
              <w:rPr>
                <w:sz w:val="21"/>
              </w:rPr>
              <w:t>1</w:t>
            </w:r>
            <w:r>
              <w:rPr>
                <w:spacing w:val="-12"/>
                <w:sz w:val="21"/>
              </w:rPr>
              <w:t> 年，以保险单或其他保险凭证上载明的保险期间为准。</w:t>
            </w:r>
          </w:p>
        </w:tc>
      </w:tr>
      <w:tr>
        <w:trPr>
          <w:trHeight w:val="1590" w:hRule="atLeast"/>
        </w:trPr>
        <w:tc>
          <w:tcPr>
            <w:tcW w:w="659" w:type="dxa"/>
          </w:tcPr>
          <w:p>
            <w:pPr>
              <w:pStyle w:val="TableParagraph"/>
              <w:spacing w:before="4"/>
              <w:ind w:left="110"/>
              <w:rPr>
                <w:rFonts w:ascii="微软雅黑"/>
                <w:b/>
                <w:sz w:val="21"/>
              </w:rPr>
            </w:pPr>
            <w:r>
              <w:rPr>
                <w:rFonts w:ascii="微软雅黑"/>
                <w:b/>
                <w:sz w:val="21"/>
              </w:rPr>
              <w:t>2.3</w:t>
            </w:r>
          </w:p>
        </w:tc>
        <w:tc>
          <w:tcPr>
            <w:tcW w:w="1901" w:type="dxa"/>
          </w:tcPr>
          <w:p>
            <w:pPr>
              <w:pStyle w:val="TableParagraph"/>
              <w:spacing w:before="4"/>
              <w:ind w:left="191"/>
              <w:rPr>
                <w:rFonts w:ascii="微软雅黑" w:eastAsia="微软雅黑" w:hint="eastAsia"/>
                <w:b/>
                <w:sz w:val="21"/>
              </w:rPr>
            </w:pPr>
            <w:r>
              <w:rPr>
                <w:rFonts w:ascii="微软雅黑" w:eastAsia="微软雅黑" w:hint="eastAsia"/>
                <w:b/>
                <w:sz w:val="21"/>
              </w:rPr>
              <w:t>保险责任</w:t>
            </w:r>
          </w:p>
        </w:tc>
        <w:tc>
          <w:tcPr>
            <w:tcW w:w="7419" w:type="dxa"/>
          </w:tcPr>
          <w:p>
            <w:pPr>
              <w:pStyle w:val="TableParagraph"/>
              <w:spacing w:before="67"/>
              <w:ind w:left="231"/>
              <w:rPr>
                <w:sz w:val="21"/>
              </w:rPr>
            </w:pPr>
            <w:r>
              <w:rPr>
                <w:sz w:val="21"/>
              </w:rPr>
              <w:t>在本附加合同有效期内，本公司承担如下保险责任：</w:t>
            </w:r>
          </w:p>
          <w:p>
            <w:pPr>
              <w:pStyle w:val="TableParagraph"/>
              <w:spacing w:line="310" w:lineRule="atLeast" w:before="2"/>
              <w:ind w:left="231" w:right="101" w:firstLine="420"/>
              <w:jc w:val="both"/>
              <w:rPr>
                <w:sz w:val="21"/>
              </w:rPr>
            </w:pPr>
            <w:r>
              <w:rPr>
                <w:spacing w:val="-7"/>
                <w:sz w:val="21"/>
              </w:rPr>
              <w:t>自本附加合同生效之日起 </w:t>
            </w:r>
            <w:r>
              <w:rPr>
                <w:sz w:val="21"/>
              </w:rPr>
              <w:t>90</w:t>
            </w:r>
            <w:r>
              <w:rPr>
                <w:spacing w:val="-17"/>
                <w:sz w:val="21"/>
              </w:rPr>
              <w:t> 日内(含 </w:t>
            </w:r>
            <w:r>
              <w:rPr>
                <w:sz w:val="21"/>
              </w:rPr>
              <w:t>90</w:t>
            </w:r>
            <w:r>
              <w:rPr>
                <w:spacing w:val="-12"/>
                <w:sz w:val="21"/>
              </w:rPr>
              <w:t> 日当日)，被保险人发生下列情形</w:t>
            </w:r>
            <w:r>
              <w:rPr>
                <w:spacing w:val="-37"/>
                <w:w w:val="100"/>
                <w:sz w:val="21"/>
              </w:rPr>
              <w:t>之一的：</w:t>
            </w:r>
            <w:r>
              <w:rPr>
                <w:spacing w:val="-3"/>
                <w:w w:val="100"/>
                <w:sz w:val="21"/>
              </w:rPr>
              <w:t>（</w:t>
            </w:r>
            <w:r>
              <w:rPr>
                <w:w w:val="100"/>
                <w:sz w:val="21"/>
              </w:rPr>
              <w:t>一</w:t>
            </w:r>
            <w:r>
              <w:rPr>
                <w:spacing w:val="-15"/>
                <w:w w:val="100"/>
                <w:sz w:val="21"/>
              </w:rPr>
              <w:t>）</w:t>
            </w:r>
            <w:r>
              <w:rPr>
                <w:spacing w:val="-27"/>
                <w:w w:val="100"/>
                <w:sz w:val="21"/>
              </w:rPr>
              <w:t>重大疾病；</w:t>
            </w:r>
            <w:r>
              <w:rPr>
                <w:w w:val="100"/>
                <w:sz w:val="21"/>
              </w:rPr>
              <w:t>（</w:t>
            </w:r>
            <w:r>
              <w:rPr>
                <w:spacing w:val="-3"/>
                <w:w w:val="100"/>
                <w:sz w:val="21"/>
              </w:rPr>
              <w:t>二</w:t>
            </w:r>
            <w:r>
              <w:rPr>
                <w:spacing w:val="-13"/>
                <w:w w:val="100"/>
                <w:sz w:val="21"/>
              </w:rPr>
              <w:t>）</w:t>
            </w:r>
            <w:r>
              <w:rPr>
                <w:spacing w:val="-4"/>
                <w:w w:val="100"/>
                <w:sz w:val="21"/>
              </w:rPr>
              <w:t>因导致重大疾病的相关疾病就诊。本公司将无</w:t>
            </w:r>
            <w:r>
              <w:rPr>
                <w:spacing w:val="-7"/>
                <w:sz w:val="21"/>
              </w:rPr>
              <w:t>息全额退还该被保险人的所交保险费，本附加合同对该被保险人的保险责任终</w:t>
            </w:r>
            <w:r>
              <w:rPr>
                <w:spacing w:val="-11"/>
                <w:sz w:val="21"/>
              </w:rPr>
              <w:t>止。这 </w:t>
            </w:r>
            <w:r>
              <w:rPr>
                <w:sz w:val="21"/>
              </w:rPr>
              <w:t>90</w:t>
            </w:r>
            <w:r>
              <w:rPr>
                <w:spacing w:val="-8"/>
                <w:sz w:val="21"/>
              </w:rPr>
              <w:t> 日的时间称为等待期。第一次投保本保险或非连续投保本保险时，</w:t>
            </w:r>
          </w:p>
        </w:tc>
      </w:tr>
    </w:tbl>
    <w:p>
      <w:pPr>
        <w:spacing w:after="0" w:line="310" w:lineRule="atLeast"/>
        <w:jc w:val="both"/>
        <w:rPr>
          <w:sz w:val="21"/>
        </w:rPr>
        <w:sectPr>
          <w:footerReference w:type="default" r:id="rId6"/>
          <w:pgSz w:w="11910" w:h="16840"/>
          <w:pgMar w:footer="375" w:header="0" w:top="1260" w:bottom="560" w:left="860" w:right="860"/>
          <w:pgNumType w:start="1"/>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7"/>
        <w:gridCol w:w="7315"/>
      </w:tblGrid>
      <w:tr>
        <w:trPr>
          <w:trHeight w:val="2210" w:hRule="atLeast"/>
        </w:trPr>
        <w:tc>
          <w:tcPr>
            <w:tcW w:w="659" w:type="dxa"/>
          </w:tcPr>
          <w:p>
            <w:pPr>
              <w:pStyle w:val="TableParagraph"/>
              <w:ind w:left="0"/>
              <w:rPr>
                <w:rFonts w:ascii="Times New Roman"/>
                <w:sz w:val="20"/>
              </w:rPr>
            </w:pPr>
          </w:p>
        </w:tc>
        <w:tc>
          <w:tcPr>
            <w:tcW w:w="2007" w:type="dxa"/>
          </w:tcPr>
          <w:p>
            <w:pPr>
              <w:pStyle w:val="TableParagraph"/>
              <w:ind w:left="0"/>
              <w:rPr>
                <w:rFonts w:ascii="Times New Roman"/>
                <w:sz w:val="20"/>
              </w:rPr>
            </w:pPr>
          </w:p>
        </w:tc>
        <w:tc>
          <w:tcPr>
            <w:tcW w:w="7315" w:type="dxa"/>
          </w:tcPr>
          <w:p>
            <w:pPr>
              <w:pStyle w:val="TableParagraph"/>
              <w:spacing w:line="205" w:lineRule="exact"/>
              <w:ind w:left="125"/>
              <w:rPr>
                <w:sz w:val="21"/>
              </w:rPr>
            </w:pPr>
            <w:r>
              <w:rPr>
                <w:sz w:val="21"/>
              </w:rPr>
              <w:t>等待期为 90 天；按期续保本保险的无等待期。 </w:t>
            </w:r>
          </w:p>
          <w:p>
            <w:pPr>
              <w:pStyle w:val="TableParagraph"/>
              <w:spacing w:line="235" w:lineRule="auto" w:before="8"/>
              <w:ind w:left="546" w:right="35"/>
              <w:rPr>
                <w:sz w:val="21"/>
              </w:rPr>
            </w:pPr>
            <w:r>
              <w:rPr>
                <w:sz w:val="21"/>
              </w:rPr>
              <w:t>被保险人因</w:t>
            </w:r>
            <w:r>
              <w:rPr>
                <w:rFonts w:ascii="微软雅黑" w:eastAsia="微软雅黑" w:hint="eastAsia"/>
                <w:b/>
                <w:sz w:val="21"/>
              </w:rPr>
              <w:t>意外伤害</w:t>
            </w:r>
            <w:r>
              <w:rPr>
                <w:sz w:val="21"/>
              </w:rPr>
              <w:t>（见 7.2）发生上述两项情形之一的，无等待期。被保险人因意外伤害或于等待期后发生保险事故，本公司按照下列方式给</w:t>
            </w:r>
          </w:p>
          <w:p>
            <w:pPr>
              <w:pStyle w:val="TableParagraph"/>
              <w:spacing w:line="262" w:lineRule="exact" w:before="36"/>
              <w:ind w:left="125"/>
              <w:rPr>
                <w:sz w:val="21"/>
              </w:rPr>
            </w:pPr>
            <w:r>
              <w:rPr>
                <w:sz w:val="21"/>
              </w:rPr>
              <w:t>付保险金：</w:t>
            </w:r>
          </w:p>
          <w:p>
            <w:pPr>
              <w:pStyle w:val="TableParagraph"/>
              <w:spacing w:line="225" w:lineRule="auto" w:before="8"/>
              <w:ind w:left="125" w:right="138" w:firstLine="420"/>
              <w:jc w:val="both"/>
              <w:rPr>
                <w:sz w:val="21"/>
              </w:rPr>
            </w:pPr>
            <w:r>
              <w:rPr>
                <w:spacing w:val="-3"/>
                <w:sz w:val="21"/>
              </w:rPr>
              <w:t>若被保险人经</w:t>
            </w:r>
            <w:r>
              <w:rPr>
                <w:rFonts w:ascii="微软雅黑" w:eastAsia="微软雅黑" w:hint="eastAsia"/>
                <w:b/>
                <w:spacing w:val="-1"/>
                <w:sz w:val="21"/>
              </w:rPr>
              <w:t>本公司认可的医疗机构</w:t>
            </w:r>
            <w:r>
              <w:rPr>
                <w:spacing w:val="-3"/>
                <w:sz w:val="21"/>
              </w:rPr>
              <w:t>（</w:t>
            </w:r>
            <w:r>
              <w:rPr>
                <w:sz w:val="21"/>
              </w:rPr>
              <w:t>见7.3）</w:t>
            </w:r>
            <w:r>
              <w:rPr>
                <w:spacing w:val="-3"/>
                <w:sz w:val="21"/>
              </w:rPr>
              <w:t>确诊初次患有</w:t>
            </w:r>
            <w:r>
              <w:rPr>
                <w:rFonts w:ascii="微软雅黑" w:eastAsia="微软雅黑" w:hint="eastAsia"/>
                <w:b/>
                <w:sz w:val="21"/>
              </w:rPr>
              <w:t>本附加合同</w:t>
            </w:r>
            <w:r>
              <w:rPr>
                <w:rFonts w:ascii="微软雅黑" w:eastAsia="微软雅黑" w:hint="eastAsia"/>
                <w:b/>
                <w:w w:val="100"/>
                <w:sz w:val="21"/>
              </w:rPr>
              <w:t>约定的重大疾病</w:t>
            </w:r>
            <w:r>
              <w:rPr>
                <w:spacing w:val="-3"/>
                <w:w w:val="100"/>
                <w:sz w:val="21"/>
              </w:rPr>
              <w:t>（</w:t>
            </w:r>
            <w:r>
              <w:rPr>
                <w:w w:val="100"/>
                <w:sz w:val="21"/>
              </w:rPr>
              <w:t>见</w:t>
            </w:r>
            <w:r>
              <w:rPr>
                <w:spacing w:val="-3"/>
                <w:w w:val="100"/>
                <w:sz w:val="21"/>
              </w:rPr>
              <w:t>7</w:t>
            </w:r>
            <w:r>
              <w:rPr>
                <w:w w:val="100"/>
                <w:sz w:val="21"/>
              </w:rPr>
              <w:t>.4</w:t>
            </w:r>
            <w:r>
              <w:rPr>
                <w:spacing w:val="-108"/>
                <w:w w:val="100"/>
                <w:sz w:val="21"/>
              </w:rPr>
              <w:t>）</w:t>
            </w:r>
            <w:r>
              <w:rPr>
                <w:w w:val="100"/>
                <w:sz w:val="21"/>
              </w:rPr>
              <w:t>（</w:t>
            </w:r>
            <w:r>
              <w:rPr>
                <w:spacing w:val="-3"/>
                <w:w w:val="100"/>
                <w:sz w:val="21"/>
              </w:rPr>
              <w:t>无论一种或多种</w:t>
            </w:r>
            <w:r>
              <w:rPr>
                <w:spacing w:val="-108"/>
                <w:w w:val="100"/>
                <w:sz w:val="21"/>
              </w:rPr>
              <w:t>）</w:t>
            </w:r>
            <w:r>
              <w:rPr>
                <w:spacing w:val="-3"/>
                <w:w w:val="100"/>
                <w:sz w:val="21"/>
              </w:rPr>
              <w:t>，则本公司按该被保险人的保险</w:t>
            </w:r>
            <w:r>
              <w:rPr>
                <w:spacing w:val="-3"/>
                <w:sz w:val="21"/>
              </w:rPr>
              <w:t>金额给付重大疾病保险金，本附加合同对该被保险人的保险责任终止。</w:t>
            </w:r>
          </w:p>
        </w:tc>
      </w:tr>
      <w:tr>
        <w:trPr>
          <w:trHeight w:val="922" w:hRule="atLeast"/>
        </w:trPr>
        <w:tc>
          <w:tcPr>
            <w:tcW w:w="659" w:type="dxa"/>
          </w:tcPr>
          <w:p>
            <w:pPr>
              <w:pStyle w:val="TableParagraph"/>
              <w:spacing w:before="9"/>
              <w:ind w:left="110"/>
              <w:rPr>
                <w:rFonts w:ascii="微软雅黑"/>
                <w:b/>
                <w:sz w:val="21"/>
              </w:rPr>
            </w:pPr>
            <w:r>
              <w:rPr>
                <w:rFonts w:ascii="微软雅黑"/>
                <w:b/>
                <w:sz w:val="21"/>
              </w:rPr>
              <w:t>2.4</w:t>
            </w:r>
          </w:p>
        </w:tc>
        <w:tc>
          <w:tcPr>
            <w:tcW w:w="2007" w:type="dxa"/>
          </w:tcPr>
          <w:p>
            <w:pPr>
              <w:pStyle w:val="TableParagraph"/>
              <w:spacing w:before="9"/>
              <w:ind w:left="191"/>
              <w:rPr>
                <w:rFonts w:ascii="微软雅黑" w:eastAsia="微软雅黑" w:hint="eastAsia"/>
                <w:b/>
                <w:sz w:val="21"/>
              </w:rPr>
            </w:pPr>
            <w:r>
              <w:rPr>
                <w:rFonts w:ascii="微软雅黑" w:eastAsia="微软雅黑" w:hint="eastAsia"/>
                <w:b/>
                <w:sz w:val="21"/>
              </w:rPr>
              <w:t>责任免除</w:t>
            </w:r>
          </w:p>
        </w:tc>
        <w:tc>
          <w:tcPr>
            <w:tcW w:w="7315" w:type="dxa"/>
          </w:tcPr>
          <w:p>
            <w:pPr>
              <w:pStyle w:val="TableParagraph"/>
              <w:spacing w:line="180" w:lineRule="auto" w:before="78"/>
              <w:ind w:left="125" w:right="46"/>
              <w:rPr>
                <w:rFonts w:ascii="微软雅黑" w:eastAsia="微软雅黑" w:hint="eastAsia"/>
                <w:b/>
                <w:sz w:val="21"/>
              </w:rPr>
            </w:pPr>
            <w:r>
              <w:rPr>
                <w:rFonts w:ascii="微软雅黑" w:eastAsia="微软雅黑" w:hint="eastAsia"/>
                <w:b/>
                <w:sz w:val="21"/>
              </w:rPr>
              <w:t>因下列情形之一导致被保险人发生本附加合同约定的保险事故的，本公司不承担给付保险金的责任：</w:t>
            </w:r>
          </w:p>
          <w:p>
            <w:pPr>
              <w:pStyle w:val="TableParagraph"/>
              <w:spacing w:line="274" w:lineRule="exact"/>
              <w:ind w:left="231"/>
              <w:rPr>
                <w:rFonts w:ascii="微软雅黑" w:eastAsia="微软雅黑" w:hint="eastAsia"/>
                <w:b/>
                <w:sz w:val="21"/>
              </w:rPr>
            </w:pPr>
            <w:r>
              <w:rPr>
                <w:rFonts w:ascii="微软雅黑" w:eastAsia="微软雅黑" w:hint="eastAsia"/>
                <w:b/>
                <w:sz w:val="21"/>
              </w:rPr>
              <w:t>（1） 投保人对被保险人的故意杀害、故意伤害；</w:t>
            </w:r>
          </w:p>
        </w:tc>
      </w:tr>
      <w:tr>
        <w:trPr>
          <w:trHeight w:val="5496" w:hRule="atLeast"/>
        </w:trPr>
        <w:tc>
          <w:tcPr>
            <w:tcW w:w="659" w:type="dxa"/>
          </w:tcPr>
          <w:p>
            <w:pPr>
              <w:pStyle w:val="TableParagraph"/>
              <w:ind w:left="0"/>
              <w:rPr>
                <w:rFonts w:ascii="Times New Roman"/>
                <w:sz w:val="20"/>
              </w:rPr>
            </w:pPr>
          </w:p>
        </w:tc>
        <w:tc>
          <w:tcPr>
            <w:tcW w:w="2007" w:type="dxa"/>
          </w:tcPr>
          <w:p>
            <w:pPr>
              <w:pStyle w:val="TableParagraph"/>
              <w:ind w:left="0"/>
              <w:rPr>
                <w:rFonts w:ascii="Times New Roman"/>
                <w:sz w:val="20"/>
              </w:rPr>
            </w:pPr>
          </w:p>
        </w:tc>
        <w:tc>
          <w:tcPr>
            <w:tcW w:w="7315" w:type="dxa"/>
          </w:tcPr>
          <w:p>
            <w:pPr>
              <w:pStyle w:val="TableParagraph"/>
              <w:spacing w:line="182" w:lineRule="auto" w:before="1"/>
              <w:ind w:left="863" w:hanging="632"/>
              <w:rPr>
                <w:rFonts w:ascii="微软雅黑" w:eastAsia="微软雅黑" w:hint="eastAsia"/>
                <w:b/>
                <w:sz w:val="21"/>
              </w:rPr>
            </w:pPr>
            <w:r>
              <w:rPr>
                <w:rFonts w:ascii="微软雅黑" w:eastAsia="微软雅黑" w:hint="eastAsia"/>
                <w:b/>
                <w:sz w:val="21"/>
              </w:rPr>
              <w:t>（2）</w:t>
            </w:r>
            <w:r>
              <w:rPr>
                <w:rFonts w:ascii="微软雅黑" w:eastAsia="微软雅黑" w:hint="eastAsia"/>
                <w:b/>
                <w:spacing w:val="-6"/>
                <w:sz w:val="21"/>
              </w:rPr>
              <w:t> 被保险人故意自伤、故意犯罪、抗拒依法采取的刑事强制措施或自杀， 但被保险人自杀时为无民事行为能力人的除外；</w:t>
            </w:r>
          </w:p>
          <w:p>
            <w:pPr>
              <w:pStyle w:val="TableParagraph"/>
              <w:spacing w:line="180" w:lineRule="auto"/>
              <w:ind w:left="863" w:right="108" w:hanging="632"/>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3</w:t>
            </w:r>
            <w:r>
              <w:rPr>
                <w:rFonts w:ascii="微软雅黑" w:eastAsia="微软雅黑" w:hint="eastAsia"/>
                <w:b/>
                <w:w w:val="100"/>
                <w:sz w:val="21"/>
              </w:rPr>
              <w:t>）</w:t>
            </w:r>
            <w:r>
              <w:rPr>
                <w:rFonts w:ascii="Microsoft JhengHei" w:eastAsia="Microsoft JhengHei" w:hint="eastAsia"/>
                <w:b/>
                <w:spacing w:val="-3"/>
                <w:w w:val="201"/>
                <w:sz w:val="21"/>
              </w:rPr>
              <w:t> </w:t>
            </w:r>
            <w:r>
              <w:rPr>
                <w:rFonts w:ascii="微软雅黑" w:eastAsia="微软雅黑" w:hint="eastAsia"/>
                <w:b/>
                <w:w w:val="100"/>
                <w:sz w:val="21"/>
              </w:rPr>
              <w:t>被保险人殴斗（见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w w:val="81"/>
                <w:sz w:val="21"/>
              </w:rPr>
              <w:t>5</w:t>
            </w:r>
            <w:r>
              <w:rPr>
                <w:rFonts w:ascii="微软雅黑" w:eastAsia="微软雅黑" w:hint="eastAsia"/>
                <w:b/>
                <w:spacing w:val="-106"/>
                <w:w w:val="100"/>
                <w:sz w:val="21"/>
              </w:rPr>
              <w:t>）</w:t>
            </w:r>
            <w:r>
              <w:rPr>
                <w:rFonts w:ascii="微软雅黑" w:eastAsia="微软雅黑" w:hint="eastAsia"/>
                <w:b/>
                <w:w w:val="100"/>
                <w:sz w:val="21"/>
              </w:rPr>
              <w:t>、醉酒（见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spacing w:val="1"/>
                <w:w w:val="111"/>
                <w:sz w:val="21"/>
              </w:rPr>
              <w:t>.</w:t>
            </w:r>
            <w:r>
              <w:rPr>
                <w:rFonts w:ascii="微软雅黑" w:eastAsia="微软雅黑" w:hint="eastAsia"/>
                <w:b/>
                <w:w w:val="81"/>
                <w:sz w:val="21"/>
              </w:rPr>
              <w:t>6</w:t>
            </w:r>
            <w:r>
              <w:rPr>
                <w:rFonts w:ascii="微软雅黑" w:eastAsia="微软雅黑" w:hint="eastAsia"/>
                <w:b/>
                <w:spacing w:val="-106"/>
                <w:w w:val="100"/>
                <w:sz w:val="21"/>
              </w:rPr>
              <w:t>）</w:t>
            </w:r>
            <w:r>
              <w:rPr>
                <w:rFonts w:ascii="微软雅黑" w:eastAsia="微软雅黑" w:hint="eastAsia"/>
                <w:b/>
                <w:w w:val="100"/>
                <w:sz w:val="21"/>
              </w:rPr>
              <w:t>，主动吸食或注射毒品（见 </w:t>
            </w:r>
            <w:r>
              <w:rPr>
                <w:rFonts w:ascii="微软雅黑" w:eastAsia="微软雅黑" w:hint="eastAsia"/>
                <w:b/>
                <w:w w:val="111"/>
                <w:sz w:val="21"/>
              </w:rPr>
              <w:t>7.</w:t>
            </w:r>
            <w:r>
              <w:rPr>
                <w:rFonts w:ascii="微软雅黑" w:eastAsia="微软雅黑" w:hint="eastAsia"/>
                <w:b/>
                <w:w w:val="81"/>
                <w:sz w:val="21"/>
              </w:rPr>
              <w:t>7</w:t>
            </w:r>
            <w:r>
              <w:rPr>
                <w:rFonts w:ascii="微软雅黑" w:eastAsia="微软雅黑" w:hint="eastAsia"/>
                <w:b/>
                <w:spacing w:val="-106"/>
                <w:w w:val="100"/>
                <w:sz w:val="21"/>
              </w:rPr>
              <w:t>）；</w:t>
            </w:r>
          </w:p>
          <w:p>
            <w:pPr>
              <w:pStyle w:val="TableParagraph"/>
              <w:spacing w:line="180" w:lineRule="auto"/>
              <w:ind w:left="863" w:right="103" w:hanging="632"/>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w:t>
            </w:r>
            <w:r>
              <w:rPr>
                <w:rFonts w:ascii="Microsoft JhengHei" w:eastAsia="Microsoft JhengHei" w:hint="eastAsia"/>
                <w:b/>
                <w:w w:val="201"/>
                <w:sz w:val="21"/>
              </w:rPr>
              <w:t> </w:t>
            </w:r>
            <w:r>
              <w:rPr>
                <w:rFonts w:ascii="微软雅黑" w:eastAsia="微软雅黑" w:hint="eastAsia"/>
                <w:b/>
                <w:w w:val="100"/>
                <w:sz w:val="21"/>
              </w:rPr>
              <w:t>被保险人酒后驾驶（见</w:t>
            </w:r>
            <w:r>
              <w:rPr>
                <w:rFonts w:ascii="微软雅黑" w:eastAsia="微软雅黑" w:hint="eastAsia"/>
                <w:b/>
                <w:sz w:val="21"/>
              </w:rPr>
              <w:t> </w:t>
            </w:r>
            <w:r>
              <w:rPr>
                <w:rFonts w:ascii="微软雅黑" w:eastAsia="微软雅黑" w:hint="eastAsia"/>
                <w:b/>
                <w:w w:val="111"/>
                <w:sz w:val="21"/>
              </w:rPr>
              <w:t>7</w:t>
            </w:r>
            <w:r>
              <w:rPr>
                <w:rFonts w:ascii="微软雅黑" w:eastAsia="微软雅黑" w:hint="eastAsia"/>
                <w:b/>
                <w:spacing w:val="-3"/>
                <w:w w:val="111"/>
                <w:sz w:val="21"/>
              </w:rPr>
              <w:t>.</w:t>
            </w:r>
            <w:r>
              <w:rPr>
                <w:rFonts w:ascii="微软雅黑" w:eastAsia="微软雅黑" w:hint="eastAsia"/>
                <w:b/>
                <w:w w:val="81"/>
                <w:sz w:val="21"/>
              </w:rPr>
              <w:t>8</w:t>
            </w:r>
            <w:r>
              <w:rPr>
                <w:rFonts w:ascii="微软雅黑" w:eastAsia="微软雅黑" w:hint="eastAsia"/>
                <w:b/>
                <w:spacing w:val="-106"/>
                <w:w w:val="100"/>
                <w:sz w:val="21"/>
              </w:rPr>
              <w:t>）</w:t>
            </w:r>
            <w:r>
              <w:rPr>
                <w:rFonts w:ascii="微软雅黑" w:eastAsia="微软雅黑" w:hint="eastAsia"/>
                <w:b/>
                <w:spacing w:val="-1"/>
                <w:w w:val="100"/>
                <w:sz w:val="21"/>
              </w:rPr>
              <w:t>、无合法有效驾驶证驾驶</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111"/>
                <w:sz w:val="21"/>
              </w:rPr>
              <w:t>7.</w:t>
            </w:r>
            <w:r>
              <w:rPr>
                <w:rFonts w:ascii="微软雅黑" w:eastAsia="微软雅黑" w:hint="eastAsia"/>
                <w:b/>
                <w:w w:val="81"/>
                <w:sz w:val="21"/>
              </w:rPr>
              <w:t>9</w:t>
            </w:r>
            <w:r>
              <w:rPr>
                <w:rFonts w:ascii="微软雅黑" w:eastAsia="微软雅黑" w:hint="eastAsia"/>
                <w:b/>
                <w:w w:val="100"/>
                <w:sz w:val="21"/>
              </w:rPr>
              <w:t>）或驾</w:t>
            </w:r>
            <w:r>
              <w:rPr>
                <w:rFonts w:ascii="微软雅黑" w:eastAsia="微软雅黑" w:hint="eastAsia"/>
                <w:b/>
                <w:sz w:val="21"/>
              </w:rPr>
              <w:t>驶无有效行驶证（</w:t>
            </w:r>
            <w:r>
              <w:rPr>
                <w:rFonts w:ascii="微软雅黑" w:eastAsia="微软雅黑" w:hint="eastAsia"/>
                <w:b/>
                <w:spacing w:val="-11"/>
                <w:sz w:val="21"/>
              </w:rPr>
              <w:t>见 </w:t>
            </w:r>
            <w:r>
              <w:rPr>
                <w:rFonts w:ascii="微软雅黑" w:eastAsia="微软雅黑" w:hint="eastAsia"/>
                <w:b/>
                <w:sz w:val="21"/>
              </w:rPr>
              <w:t>7.10）的机动车；</w:t>
            </w:r>
          </w:p>
          <w:p>
            <w:pPr>
              <w:pStyle w:val="TableParagraph"/>
              <w:spacing w:line="227" w:lineRule="exact"/>
              <w:ind w:left="231"/>
              <w:rPr>
                <w:rFonts w:ascii="微软雅黑" w:eastAsia="微软雅黑" w:hint="eastAsia"/>
                <w:b/>
                <w:sz w:val="21"/>
              </w:rPr>
            </w:pPr>
            <w:r>
              <w:rPr>
                <w:rFonts w:ascii="微软雅黑" w:eastAsia="微软雅黑" w:hint="eastAsia"/>
                <w:b/>
                <w:sz w:val="21"/>
              </w:rPr>
              <w:t>（5） 战争、军事冲突、暴乱或武装叛乱；</w:t>
            </w:r>
          </w:p>
          <w:p>
            <w:pPr>
              <w:pStyle w:val="TableParagraph"/>
              <w:spacing w:line="272" w:lineRule="exact"/>
              <w:ind w:left="231"/>
              <w:rPr>
                <w:rFonts w:ascii="微软雅黑" w:eastAsia="微软雅黑" w:hint="eastAsia"/>
                <w:b/>
                <w:sz w:val="21"/>
              </w:rPr>
            </w:pPr>
            <w:r>
              <w:rPr>
                <w:rFonts w:ascii="微软雅黑" w:eastAsia="微软雅黑" w:hint="eastAsia"/>
                <w:b/>
                <w:sz w:val="21"/>
              </w:rPr>
              <w:t>（6） 核爆炸、核辐射或核污染；</w:t>
            </w:r>
          </w:p>
          <w:p>
            <w:pPr>
              <w:pStyle w:val="TableParagraph"/>
              <w:spacing w:line="180" w:lineRule="auto" w:before="44"/>
              <w:ind w:left="863" w:right="103" w:hanging="632"/>
              <w:jc w:val="both"/>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7</w:t>
            </w:r>
            <w:r>
              <w:rPr>
                <w:rFonts w:ascii="微软雅黑" w:eastAsia="微软雅黑" w:hint="eastAsia"/>
                <w:b/>
                <w:w w:val="100"/>
                <w:sz w:val="21"/>
              </w:rPr>
              <w:t>）</w:t>
            </w:r>
            <w:r>
              <w:rPr>
                <w:rFonts w:ascii="Microsoft JhengHei" w:eastAsia="Microsoft JhengHei" w:hint="eastAsia"/>
                <w:b/>
                <w:spacing w:val="-3"/>
                <w:w w:val="201"/>
                <w:sz w:val="21"/>
              </w:rPr>
              <w:t> </w:t>
            </w:r>
            <w:r>
              <w:rPr>
                <w:rFonts w:ascii="微软雅黑" w:eastAsia="微软雅黑" w:hint="eastAsia"/>
                <w:b/>
                <w:spacing w:val="-3"/>
                <w:w w:val="100"/>
                <w:sz w:val="21"/>
              </w:rPr>
              <w:t>被保险人参加潜水</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111"/>
                <w:sz w:val="21"/>
              </w:rPr>
              <w:t>7</w:t>
            </w:r>
            <w:r>
              <w:rPr>
                <w:rFonts w:ascii="微软雅黑" w:eastAsia="微软雅黑" w:hint="eastAsia"/>
                <w:b/>
                <w:spacing w:val="-3"/>
                <w:w w:val="111"/>
                <w:sz w:val="21"/>
              </w:rPr>
              <w:t>.</w:t>
            </w:r>
            <w:r>
              <w:rPr>
                <w:rFonts w:ascii="微软雅黑" w:eastAsia="微软雅黑" w:hint="eastAsia"/>
                <w:b/>
                <w:spacing w:val="-1"/>
                <w:w w:val="81"/>
                <w:sz w:val="21"/>
              </w:rPr>
              <w:t>1</w:t>
            </w:r>
            <w:r>
              <w:rPr>
                <w:rFonts w:ascii="微软雅黑" w:eastAsia="微软雅黑" w:hint="eastAsia"/>
                <w:b/>
                <w:w w:val="81"/>
                <w:sz w:val="21"/>
              </w:rPr>
              <w:t>1</w:t>
            </w:r>
            <w:r>
              <w:rPr>
                <w:rFonts w:ascii="微软雅黑" w:eastAsia="微软雅黑" w:hint="eastAsia"/>
                <w:b/>
                <w:spacing w:val="-106"/>
                <w:w w:val="100"/>
                <w:sz w:val="21"/>
              </w:rPr>
              <w:t>）</w:t>
            </w:r>
            <w:r>
              <w:rPr>
                <w:rFonts w:ascii="微软雅黑" w:eastAsia="微软雅黑" w:hint="eastAsia"/>
                <w:b/>
                <w:spacing w:val="-10"/>
                <w:w w:val="100"/>
                <w:sz w:val="21"/>
              </w:rPr>
              <w:t>、跳伞、攀岩</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99"/>
                <w:sz w:val="21"/>
              </w:rPr>
              <w:t>7.1</w:t>
            </w:r>
            <w:r>
              <w:rPr>
                <w:rFonts w:ascii="微软雅黑" w:eastAsia="微软雅黑" w:hint="eastAsia"/>
                <w:b/>
                <w:spacing w:val="-3"/>
                <w:w w:val="81"/>
                <w:sz w:val="21"/>
              </w:rPr>
              <w:t>2</w:t>
            </w:r>
            <w:r>
              <w:rPr>
                <w:rFonts w:ascii="微软雅黑" w:eastAsia="微软雅黑" w:hint="eastAsia"/>
                <w:b/>
                <w:spacing w:val="-106"/>
                <w:w w:val="100"/>
                <w:sz w:val="21"/>
              </w:rPr>
              <w:t>）</w:t>
            </w:r>
            <w:r>
              <w:rPr>
                <w:rFonts w:ascii="微软雅黑" w:eastAsia="微软雅黑" w:hint="eastAsia"/>
                <w:b/>
                <w:spacing w:val="-6"/>
                <w:w w:val="100"/>
                <w:sz w:val="21"/>
              </w:rPr>
              <w:t>、蹦极、驾驶滑</w:t>
            </w:r>
            <w:r>
              <w:rPr>
                <w:rFonts w:ascii="微软雅黑" w:eastAsia="微软雅黑" w:hint="eastAsia"/>
                <w:b/>
                <w:spacing w:val="-8"/>
                <w:w w:val="100"/>
                <w:sz w:val="21"/>
              </w:rPr>
              <w:t>翔机或滑翔伞、探险</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spacing w:val="-3"/>
                <w:w w:val="81"/>
                <w:sz w:val="21"/>
              </w:rPr>
              <w:t>7</w:t>
            </w:r>
            <w:r>
              <w:rPr>
                <w:rFonts w:ascii="微软雅黑" w:eastAsia="微软雅黑" w:hint="eastAsia"/>
                <w:b/>
                <w:w w:val="111"/>
                <w:sz w:val="21"/>
              </w:rPr>
              <w:t>.</w:t>
            </w:r>
            <w:r>
              <w:rPr>
                <w:rFonts w:ascii="微软雅黑" w:eastAsia="微软雅黑" w:hint="eastAsia"/>
                <w:b/>
                <w:spacing w:val="-1"/>
                <w:w w:val="111"/>
                <w:sz w:val="21"/>
              </w:rPr>
              <w:t>1</w:t>
            </w:r>
            <w:r>
              <w:rPr>
                <w:rFonts w:ascii="微软雅黑" w:eastAsia="微软雅黑" w:hint="eastAsia"/>
                <w:b/>
                <w:w w:val="81"/>
                <w:sz w:val="21"/>
              </w:rPr>
              <w:t>3</w:t>
            </w:r>
            <w:r>
              <w:rPr>
                <w:rFonts w:ascii="微软雅黑" w:eastAsia="微软雅黑" w:hint="eastAsia"/>
                <w:b/>
                <w:spacing w:val="-106"/>
                <w:w w:val="100"/>
                <w:sz w:val="21"/>
              </w:rPr>
              <w:t>）</w:t>
            </w:r>
            <w:r>
              <w:rPr>
                <w:rFonts w:ascii="微软雅黑" w:eastAsia="微软雅黑" w:hint="eastAsia"/>
                <w:b/>
                <w:spacing w:val="-8"/>
                <w:w w:val="100"/>
                <w:sz w:val="21"/>
              </w:rPr>
              <w:t>、摔跤、武术比赛</w:t>
            </w:r>
            <w:r>
              <w:rPr>
                <w:rFonts w:ascii="微软雅黑" w:eastAsia="微软雅黑" w:hint="eastAsia"/>
                <w:b/>
                <w:spacing w:val="-2"/>
                <w:w w:val="100"/>
                <w:sz w:val="21"/>
              </w:rPr>
              <w:t>（</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99"/>
                <w:sz w:val="21"/>
              </w:rPr>
              <w:t>7.1</w:t>
            </w:r>
            <w:r>
              <w:rPr>
                <w:rFonts w:ascii="微软雅黑" w:eastAsia="微软雅黑" w:hint="eastAsia"/>
                <w:b/>
                <w:w w:val="81"/>
                <w:sz w:val="21"/>
              </w:rPr>
              <w:t>4</w:t>
            </w:r>
            <w:r>
              <w:rPr>
                <w:rFonts w:ascii="微软雅黑" w:eastAsia="微软雅黑" w:hint="eastAsia"/>
                <w:b/>
                <w:spacing w:val="-106"/>
                <w:w w:val="100"/>
                <w:sz w:val="21"/>
              </w:rPr>
              <w:t>）</w:t>
            </w:r>
            <w:r>
              <w:rPr>
                <w:rFonts w:ascii="微软雅黑" w:eastAsia="微软雅黑" w:hint="eastAsia"/>
                <w:b/>
                <w:spacing w:val="-5"/>
                <w:w w:val="100"/>
                <w:sz w:val="21"/>
              </w:rPr>
              <w:t>、特技表演（见</w:t>
            </w:r>
            <w:r>
              <w:rPr>
                <w:rFonts w:ascii="微软雅黑" w:eastAsia="微软雅黑" w:hint="eastAsia"/>
                <w:b/>
                <w:spacing w:val="-10"/>
                <w:sz w:val="21"/>
              </w:rPr>
              <w:t> </w:t>
            </w:r>
            <w:r>
              <w:rPr>
                <w:rFonts w:ascii="微软雅黑" w:eastAsia="微软雅黑" w:hint="eastAsia"/>
                <w:b/>
                <w:w w:val="99"/>
                <w:sz w:val="21"/>
              </w:rPr>
              <w:t>7.1</w:t>
            </w:r>
            <w:r>
              <w:rPr>
                <w:rFonts w:ascii="微软雅黑" w:eastAsia="微软雅黑" w:hint="eastAsia"/>
                <w:b/>
                <w:w w:val="81"/>
                <w:sz w:val="21"/>
              </w:rPr>
              <w:t>5</w:t>
            </w:r>
            <w:r>
              <w:rPr>
                <w:rFonts w:ascii="微软雅黑" w:eastAsia="微软雅黑" w:hint="eastAsia"/>
                <w:b/>
                <w:spacing w:val="-106"/>
                <w:w w:val="100"/>
                <w:sz w:val="21"/>
              </w:rPr>
              <w:t>）</w:t>
            </w:r>
            <w:r>
              <w:rPr>
                <w:rFonts w:ascii="微软雅黑" w:eastAsia="微软雅黑" w:hint="eastAsia"/>
                <w:b/>
                <w:spacing w:val="-1"/>
                <w:w w:val="100"/>
                <w:sz w:val="21"/>
              </w:rPr>
              <w:t>、赛马、赛车等高风险运动；</w:t>
            </w:r>
          </w:p>
          <w:p>
            <w:pPr>
              <w:pStyle w:val="TableParagraph"/>
              <w:spacing w:line="227" w:lineRule="exact"/>
              <w:ind w:left="231"/>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8</w:t>
            </w:r>
            <w:r>
              <w:rPr>
                <w:rFonts w:ascii="微软雅黑" w:eastAsia="微软雅黑" w:hint="eastAsia"/>
                <w:b/>
                <w:w w:val="100"/>
                <w:sz w:val="21"/>
              </w:rPr>
              <w:t>）</w:t>
            </w:r>
            <w:r>
              <w:rPr>
                <w:rFonts w:ascii="Microsoft JhengHei" w:eastAsia="Microsoft JhengHei" w:hint="eastAsia"/>
                <w:b/>
                <w:spacing w:val="-3"/>
                <w:w w:val="201"/>
                <w:sz w:val="21"/>
              </w:rPr>
              <w:t> </w:t>
            </w:r>
            <w:r>
              <w:rPr>
                <w:rFonts w:ascii="微软雅黑" w:eastAsia="微软雅黑" w:hint="eastAsia"/>
                <w:b/>
                <w:w w:val="100"/>
                <w:sz w:val="21"/>
              </w:rPr>
              <w:t>遗传性疾病（见</w:t>
            </w:r>
            <w:r>
              <w:rPr>
                <w:rFonts w:ascii="微软雅黑" w:eastAsia="微软雅黑" w:hint="eastAsia"/>
                <w:b/>
                <w:spacing w:val="-10"/>
                <w:sz w:val="21"/>
              </w:rPr>
              <w:t> </w:t>
            </w:r>
            <w:r>
              <w:rPr>
                <w:rFonts w:ascii="微软雅黑" w:eastAsia="微软雅黑" w:hint="eastAsia"/>
                <w:b/>
                <w:w w:val="99"/>
                <w:sz w:val="21"/>
              </w:rPr>
              <w:t>7.1</w:t>
            </w:r>
            <w:r>
              <w:rPr>
                <w:rFonts w:ascii="微软雅黑" w:eastAsia="微软雅黑" w:hint="eastAsia"/>
                <w:b/>
                <w:w w:val="81"/>
                <w:sz w:val="21"/>
              </w:rPr>
              <w:t>6</w:t>
            </w:r>
            <w:r>
              <w:rPr>
                <w:rFonts w:ascii="微软雅黑" w:eastAsia="微软雅黑" w:hint="eastAsia"/>
                <w:b/>
                <w:spacing w:val="-106"/>
                <w:w w:val="100"/>
                <w:sz w:val="21"/>
              </w:rPr>
              <w:t>）</w:t>
            </w:r>
            <w:r>
              <w:rPr>
                <w:rFonts w:ascii="微软雅黑" w:eastAsia="微软雅黑" w:hint="eastAsia"/>
                <w:b/>
                <w:spacing w:val="-3"/>
                <w:w w:val="100"/>
                <w:sz w:val="21"/>
              </w:rPr>
              <w:t>，先天性畸形、变形或染色体异常</w:t>
            </w:r>
            <w:r>
              <w:rPr>
                <w:rFonts w:ascii="微软雅黑" w:eastAsia="微软雅黑" w:hint="eastAsia"/>
                <w:b/>
                <w:w w:val="100"/>
                <w:sz w:val="21"/>
              </w:rPr>
              <w:t>（见</w:t>
            </w:r>
            <w:r>
              <w:rPr>
                <w:rFonts w:ascii="微软雅黑" w:eastAsia="微软雅黑" w:hint="eastAsia"/>
                <w:b/>
                <w:spacing w:val="-9"/>
                <w:sz w:val="21"/>
              </w:rPr>
              <w:t> </w:t>
            </w:r>
            <w:r>
              <w:rPr>
                <w:rFonts w:ascii="微软雅黑" w:eastAsia="微软雅黑" w:hint="eastAsia"/>
                <w:b/>
                <w:w w:val="99"/>
                <w:sz w:val="21"/>
              </w:rPr>
              <w:t>7.1</w:t>
            </w:r>
            <w:r>
              <w:rPr>
                <w:rFonts w:ascii="微软雅黑" w:eastAsia="微软雅黑" w:hint="eastAsia"/>
                <w:b/>
                <w:w w:val="81"/>
                <w:sz w:val="21"/>
              </w:rPr>
              <w:t>7</w:t>
            </w:r>
            <w:r>
              <w:rPr>
                <w:rFonts w:ascii="微软雅黑" w:eastAsia="微软雅黑" w:hint="eastAsia"/>
                <w:b/>
                <w:spacing w:val="-106"/>
                <w:w w:val="100"/>
                <w:sz w:val="21"/>
              </w:rPr>
              <w:t>）；</w:t>
            </w:r>
          </w:p>
          <w:p>
            <w:pPr>
              <w:pStyle w:val="TableParagraph"/>
              <w:spacing w:line="180" w:lineRule="auto" w:before="46"/>
              <w:ind w:left="863" w:right="106" w:hanging="632"/>
              <w:rPr>
                <w:rFonts w:ascii="微软雅黑" w:eastAsia="微软雅黑" w:hint="eastAsia"/>
                <w:b/>
                <w:sz w:val="21"/>
              </w:rPr>
            </w:pPr>
            <w:r>
              <w:rPr>
                <w:rFonts w:ascii="微软雅黑" w:eastAsia="微软雅黑" w:hint="eastAsia"/>
                <w:b/>
                <w:sz w:val="21"/>
              </w:rPr>
              <w:t>（9） 被保险人在投保或续保本附加合同时已经患有本附加合同约定的重大疾病。</w:t>
            </w:r>
          </w:p>
          <w:p>
            <w:pPr>
              <w:pStyle w:val="TableParagraph"/>
              <w:spacing w:line="270" w:lineRule="exact"/>
              <w:ind w:left="125"/>
              <w:rPr>
                <w:rFonts w:ascii="微软雅黑" w:eastAsia="微软雅黑" w:hint="eastAsia"/>
                <w:b/>
                <w:sz w:val="21"/>
              </w:rPr>
            </w:pPr>
            <w:r>
              <w:rPr>
                <w:rFonts w:ascii="微软雅黑" w:eastAsia="微软雅黑" w:hint="eastAsia"/>
                <w:b/>
                <w:sz w:val="21"/>
              </w:rPr>
              <w:t>发生上述第（1）项情形导致被保险人发生本附加合同约定的保险事故的，本</w:t>
            </w:r>
          </w:p>
          <w:p>
            <w:pPr>
              <w:pStyle w:val="TableParagraph"/>
              <w:spacing w:line="206" w:lineRule="auto" w:before="26"/>
              <w:ind w:left="125" w:right="439"/>
              <w:rPr>
                <w:rFonts w:ascii="微软雅黑" w:eastAsia="微软雅黑" w:hint="eastAsia"/>
                <w:b/>
                <w:sz w:val="21"/>
              </w:rPr>
            </w:pPr>
            <w:r>
              <w:rPr>
                <w:rFonts w:ascii="微软雅黑" w:eastAsia="微软雅黑" w:hint="eastAsia"/>
                <w:b/>
                <w:spacing w:val="-3"/>
                <w:sz w:val="21"/>
              </w:rPr>
              <w:t>附加合同效力即行终止，本公司向受益人退还本附加合同的现金价值（</w:t>
            </w:r>
            <w:r>
              <w:rPr>
                <w:rFonts w:ascii="微软雅黑" w:eastAsia="微软雅黑" w:hint="eastAsia"/>
                <w:b/>
                <w:sz w:val="21"/>
              </w:rPr>
              <w:t>见</w:t>
            </w:r>
            <w:r>
              <w:rPr>
                <w:rFonts w:ascii="微软雅黑" w:eastAsia="微软雅黑" w:hint="eastAsia"/>
                <w:b/>
                <w:w w:val="81"/>
                <w:sz w:val="21"/>
              </w:rPr>
              <w:t>7</w:t>
            </w:r>
            <w:r>
              <w:rPr>
                <w:rFonts w:ascii="微软雅黑" w:eastAsia="微软雅黑" w:hint="eastAsia"/>
                <w:b/>
                <w:w w:val="111"/>
                <w:sz w:val="21"/>
              </w:rPr>
              <w:t>.1</w:t>
            </w:r>
            <w:r>
              <w:rPr>
                <w:rFonts w:ascii="微软雅黑" w:eastAsia="微软雅黑" w:hint="eastAsia"/>
                <w:b/>
                <w:w w:val="81"/>
                <w:sz w:val="21"/>
              </w:rPr>
              <w:t>8</w:t>
            </w:r>
            <w:r>
              <w:rPr>
                <w:rFonts w:ascii="微软雅黑" w:eastAsia="微软雅黑" w:hint="eastAsia"/>
                <w:b/>
                <w:spacing w:val="-106"/>
                <w:w w:val="100"/>
                <w:sz w:val="21"/>
              </w:rPr>
              <w:t>）。</w:t>
            </w:r>
          </w:p>
          <w:p>
            <w:pPr>
              <w:pStyle w:val="TableParagraph"/>
              <w:spacing w:line="206" w:lineRule="auto"/>
              <w:ind w:left="125" w:right="105"/>
              <w:rPr>
                <w:rFonts w:ascii="微软雅黑" w:eastAsia="微软雅黑" w:hint="eastAsia"/>
                <w:b/>
                <w:sz w:val="21"/>
              </w:rPr>
            </w:pPr>
            <w:r>
              <w:rPr>
                <w:rFonts w:ascii="微软雅黑" w:eastAsia="微软雅黑" w:hint="eastAsia"/>
                <w:b/>
                <w:spacing w:val="-6"/>
                <w:sz w:val="21"/>
              </w:rPr>
              <w:t>发生上述其他情形导致被保险人发生本附加合同约定的保险事故的，本附加合同效力即行终止，本公司向投保人退还本附加合同的现金价值。</w:t>
            </w:r>
          </w:p>
        </w:tc>
      </w:tr>
      <w:tr>
        <w:trPr>
          <w:trHeight w:val="676" w:hRule="atLeast"/>
        </w:trPr>
        <w:tc>
          <w:tcPr>
            <w:tcW w:w="659" w:type="dxa"/>
            <w:tcBorders>
              <w:bottom w:val="single" w:sz="8" w:space="0" w:color="000000"/>
            </w:tcBorders>
          </w:tcPr>
          <w:p>
            <w:pPr>
              <w:pStyle w:val="TableParagraph"/>
              <w:spacing w:before="111"/>
              <w:ind w:left="110"/>
              <w:rPr>
                <w:rFonts w:ascii="Arial" w:hAnsi="Arial"/>
                <w:b/>
                <w:sz w:val="40"/>
              </w:rPr>
            </w:pPr>
            <w:r>
              <w:rPr>
                <w:rFonts w:ascii="Arial" w:hAnsi="Arial"/>
                <w:b/>
                <w:color w:val="333333"/>
                <w:w w:val="119"/>
                <w:sz w:val="40"/>
              </w:rPr>
              <w:t></w:t>
            </w:r>
          </w:p>
        </w:tc>
        <w:tc>
          <w:tcPr>
            <w:tcW w:w="9322" w:type="dxa"/>
            <w:gridSpan w:val="2"/>
            <w:tcBorders>
              <w:bottom w:val="single" w:sz="8" w:space="0" w:color="000000"/>
            </w:tcBorders>
          </w:tcPr>
          <w:p>
            <w:pPr>
              <w:pStyle w:val="TableParagraph"/>
              <w:spacing w:before="91"/>
              <w:ind w:left="191"/>
              <w:rPr>
                <w:rFonts w:ascii="微软雅黑" w:eastAsia="微软雅黑" w:hint="eastAsia"/>
                <w:b/>
                <w:sz w:val="24"/>
              </w:rPr>
            </w:pPr>
            <w:r>
              <w:rPr>
                <w:rFonts w:ascii="微软雅黑" w:eastAsia="微软雅黑" w:hint="eastAsia"/>
                <w:b/>
                <w:sz w:val="24"/>
              </w:rPr>
              <w:t>保险金的申请与给付</w:t>
            </w:r>
          </w:p>
        </w:tc>
      </w:tr>
      <w:tr>
        <w:trPr>
          <w:trHeight w:val="579" w:hRule="atLeast"/>
        </w:trPr>
        <w:tc>
          <w:tcPr>
            <w:tcW w:w="659" w:type="dxa"/>
            <w:tcBorders>
              <w:top w:val="single" w:sz="8" w:space="0" w:color="000000"/>
            </w:tcBorders>
          </w:tcPr>
          <w:p>
            <w:pPr>
              <w:pStyle w:val="TableParagraph"/>
              <w:spacing w:before="60"/>
              <w:ind w:left="110"/>
              <w:rPr>
                <w:rFonts w:ascii="微软雅黑"/>
                <w:b/>
                <w:sz w:val="21"/>
              </w:rPr>
            </w:pPr>
            <w:r>
              <w:rPr>
                <w:rFonts w:ascii="微软雅黑"/>
                <w:b/>
                <w:sz w:val="21"/>
              </w:rPr>
              <w:t>3.1</w:t>
            </w:r>
          </w:p>
        </w:tc>
        <w:tc>
          <w:tcPr>
            <w:tcW w:w="2007" w:type="dxa"/>
            <w:tcBorders>
              <w:top w:val="single" w:sz="8" w:space="0" w:color="000000"/>
            </w:tcBorders>
          </w:tcPr>
          <w:p>
            <w:pPr>
              <w:pStyle w:val="TableParagraph"/>
              <w:spacing w:before="60"/>
              <w:ind w:left="191"/>
              <w:rPr>
                <w:rFonts w:ascii="微软雅黑" w:eastAsia="微软雅黑" w:hint="eastAsia"/>
                <w:b/>
                <w:sz w:val="21"/>
              </w:rPr>
            </w:pPr>
            <w:r>
              <w:rPr>
                <w:rFonts w:ascii="微软雅黑" w:eastAsia="微软雅黑" w:hint="eastAsia"/>
                <w:b/>
                <w:sz w:val="21"/>
              </w:rPr>
              <w:t>受益人</w:t>
            </w:r>
          </w:p>
        </w:tc>
        <w:tc>
          <w:tcPr>
            <w:tcW w:w="7315" w:type="dxa"/>
            <w:tcBorders>
              <w:top w:val="single" w:sz="8" w:space="0" w:color="000000"/>
            </w:tcBorders>
          </w:tcPr>
          <w:p>
            <w:pPr>
              <w:pStyle w:val="TableParagraph"/>
              <w:spacing w:before="122"/>
              <w:ind w:left="125"/>
              <w:rPr>
                <w:sz w:val="21"/>
              </w:rPr>
            </w:pPr>
            <w:r>
              <w:rPr>
                <w:sz w:val="21"/>
              </w:rPr>
              <w:t>除另有约定外，本附加合同重大疾病保险金的受益人为被保险人本人。</w:t>
            </w:r>
          </w:p>
        </w:tc>
      </w:tr>
      <w:tr>
        <w:trPr>
          <w:trHeight w:val="2076" w:hRule="atLeast"/>
        </w:trPr>
        <w:tc>
          <w:tcPr>
            <w:tcW w:w="659" w:type="dxa"/>
          </w:tcPr>
          <w:p>
            <w:pPr>
              <w:pStyle w:val="TableParagraph"/>
              <w:spacing w:before="43"/>
              <w:ind w:left="110"/>
              <w:rPr>
                <w:rFonts w:ascii="微软雅黑"/>
                <w:b/>
                <w:sz w:val="21"/>
              </w:rPr>
            </w:pPr>
            <w:r>
              <w:rPr>
                <w:rFonts w:ascii="微软雅黑"/>
                <w:b/>
                <w:sz w:val="21"/>
              </w:rPr>
              <w:t>3.2</w:t>
            </w:r>
          </w:p>
        </w:tc>
        <w:tc>
          <w:tcPr>
            <w:tcW w:w="2007" w:type="dxa"/>
          </w:tcPr>
          <w:p>
            <w:pPr>
              <w:pStyle w:val="TableParagraph"/>
              <w:spacing w:before="43"/>
              <w:ind w:left="191"/>
              <w:rPr>
                <w:rFonts w:ascii="微软雅黑" w:eastAsia="微软雅黑" w:hint="eastAsia"/>
                <w:b/>
                <w:sz w:val="21"/>
              </w:rPr>
            </w:pPr>
            <w:r>
              <w:rPr>
                <w:rFonts w:ascii="微软雅黑" w:eastAsia="微软雅黑" w:hint="eastAsia"/>
                <w:b/>
                <w:sz w:val="21"/>
              </w:rPr>
              <w:t>保险事故通知</w:t>
            </w:r>
          </w:p>
        </w:tc>
        <w:tc>
          <w:tcPr>
            <w:tcW w:w="7315" w:type="dxa"/>
          </w:tcPr>
          <w:p>
            <w:pPr>
              <w:pStyle w:val="TableParagraph"/>
              <w:spacing w:line="262" w:lineRule="exact" w:before="105"/>
              <w:ind w:left="125"/>
              <w:rPr>
                <w:sz w:val="21"/>
              </w:rPr>
            </w:pPr>
            <w:r>
              <w:rPr>
                <w:sz w:val="21"/>
              </w:rPr>
              <w:t>投保人或受益人知道保险事故后应当在 10 日内通知本公司。</w:t>
            </w:r>
          </w:p>
          <w:p>
            <w:pPr>
              <w:pStyle w:val="TableParagraph"/>
              <w:spacing w:line="206" w:lineRule="auto" w:before="37"/>
              <w:ind w:left="125" w:right="18"/>
              <w:jc w:val="both"/>
              <w:rPr>
                <w:rFonts w:ascii="微软雅黑" w:eastAsia="微软雅黑" w:hint="eastAsia"/>
                <w:b/>
                <w:sz w:val="21"/>
              </w:rPr>
            </w:pPr>
            <w:r>
              <w:rPr>
                <w:rFonts w:ascii="微软雅黑" w:eastAsia="微软雅黑" w:hint="eastAsia"/>
                <w:b/>
                <w:spacing w:val="-3"/>
                <w:sz w:val="21"/>
              </w:rPr>
              <w:t>如果投保人或受益人故意或者因重大过失未及时通知，致使保险事故的性质、</w:t>
            </w:r>
            <w:r>
              <w:rPr>
                <w:rFonts w:ascii="微软雅黑" w:eastAsia="微软雅黑" w:hint="eastAsia"/>
                <w:b/>
                <w:spacing w:val="-10"/>
                <w:sz w:val="21"/>
              </w:rPr>
              <w:t>原因、损失程度等难以确定的，本公司对无法确定的部分，不承担给付保险金</w:t>
            </w:r>
            <w:r>
              <w:rPr>
                <w:rFonts w:ascii="微软雅黑" w:eastAsia="微软雅黑" w:hint="eastAsia"/>
                <w:b/>
                <w:spacing w:val="-12"/>
                <w:sz w:val="21"/>
              </w:rPr>
              <w:t>的责任，但本公司通过其他途径已经及时知道或者应当及时知道保险事故发生</w:t>
            </w:r>
            <w:r>
              <w:rPr>
                <w:rFonts w:ascii="微软雅黑" w:eastAsia="微软雅黑" w:hint="eastAsia"/>
                <w:b/>
                <w:spacing w:val="-14"/>
                <w:sz w:val="21"/>
              </w:rPr>
              <w:t>或者虽未及时通知但不影响本公司确定保险事故的性质、原因、损失程度的除外。</w:t>
            </w:r>
          </w:p>
        </w:tc>
      </w:tr>
      <w:tr>
        <w:trPr>
          <w:trHeight w:val="471" w:hRule="atLeast"/>
        </w:trPr>
        <w:tc>
          <w:tcPr>
            <w:tcW w:w="659" w:type="dxa"/>
          </w:tcPr>
          <w:p>
            <w:pPr>
              <w:pStyle w:val="TableParagraph"/>
              <w:spacing w:line="360" w:lineRule="exact"/>
              <w:ind w:left="110"/>
              <w:rPr>
                <w:rFonts w:ascii="微软雅黑"/>
                <w:b/>
                <w:sz w:val="21"/>
              </w:rPr>
            </w:pPr>
            <w:r>
              <w:rPr>
                <w:rFonts w:ascii="微软雅黑"/>
                <w:b/>
                <w:sz w:val="21"/>
              </w:rPr>
              <w:t>3.3</w:t>
            </w:r>
          </w:p>
        </w:tc>
        <w:tc>
          <w:tcPr>
            <w:tcW w:w="2007" w:type="dxa"/>
          </w:tcPr>
          <w:p>
            <w:pPr>
              <w:pStyle w:val="TableParagraph"/>
              <w:spacing w:line="360" w:lineRule="exact"/>
              <w:ind w:left="191"/>
              <w:rPr>
                <w:rFonts w:ascii="微软雅黑" w:eastAsia="微软雅黑" w:hint="eastAsia"/>
                <w:b/>
                <w:sz w:val="21"/>
              </w:rPr>
            </w:pPr>
            <w:r>
              <w:rPr>
                <w:rFonts w:ascii="微软雅黑" w:eastAsia="微软雅黑" w:hint="eastAsia"/>
                <w:b/>
                <w:sz w:val="21"/>
              </w:rPr>
              <w:t>保险金申请</w:t>
            </w:r>
          </w:p>
        </w:tc>
        <w:tc>
          <w:tcPr>
            <w:tcW w:w="7315" w:type="dxa"/>
          </w:tcPr>
          <w:p>
            <w:pPr>
              <w:pStyle w:val="TableParagraph"/>
              <w:spacing w:before="59"/>
              <w:ind w:left="125"/>
              <w:rPr>
                <w:sz w:val="21"/>
              </w:rPr>
            </w:pPr>
            <w:r>
              <w:rPr>
                <w:sz w:val="21"/>
              </w:rPr>
              <w:t>在申请保险金时，请按照下列方式办理：</w:t>
            </w:r>
          </w:p>
        </w:tc>
      </w:tr>
      <w:tr>
        <w:trPr>
          <w:trHeight w:val="1902" w:hRule="atLeast"/>
        </w:trPr>
        <w:tc>
          <w:tcPr>
            <w:tcW w:w="659" w:type="dxa"/>
          </w:tcPr>
          <w:p>
            <w:pPr>
              <w:pStyle w:val="TableParagraph"/>
              <w:ind w:left="0"/>
              <w:rPr>
                <w:rFonts w:ascii="Times New Roman"/>
                <w:sz w:val="20"/>
              </w:rPr>
            </w:pPr>
          </w:p>
        </w:tc>
        <w:tc>
          <w:tcPr>
            <w:tcW w:w="2007" w:type="dxa"/>
          </w:tcPr>
          <w:p>
            <w:pPr>
              <w:pStyle w:val="TableParagraph"/>
              <w:spacing w:line="206" w:lineRule="auto" w:before="49"/>
              <w:ind w:left="191" w:right="124"/>
              <w:rPr>
                <w:rFonts w:ascii="微软雅黑" w:eastAsia="微软雅黑" w:hint="eastAsia"/>
                <w:b/>
                <w:sz w:val="21"/>
              </w:rPr>
            </w:pPr>
            <w:r>
              <w:rPr>
                <w:rFonts w:ascii="微软雅黑" w:eastAsia="微软雅黑" w:hint="eastAsia"/>
                <w:b/>
                <w:sz w:val="21"/>
              </w:rPr>
              <w:t>重大疾病保险金申请</w:t>
            </w:r>
          </w:p>
        </w:tc>
        <w:tc>
          <w:tcPr>
            <w:tcW w:w="7315" w:type="dxa"/>
          </w:tcPr>
          <w:p>
            <w:pPr>
              <w:pStyle w:val="TableParagraph"/>
              <w:spacing w:before="60"/>
              <w:ind w:left="125"/>
              <w:rPr>
                <w:sz w:val="21"/>
              </w:rPr>
            </w:pPr>
            <w:r>
              <w:rPr>
                <w:sz w:val="21"/>
              </w:rPr>
              <w:t>由重大疾病保险金申请人填写保险金给付申请书，并提供下列证明和资料：</w:t>
            </w:r>
          </w:p>
          <w:p>
            <w:pPr>
              <w:pStyle w:val="TableParagraph"/>
              <w:spacing w:line="262" w:lineRule="exact" w:before="36"/>
              <w:ind w:left="125"/>
              <w:rPr>
                <w:sz w:val="21"/>
              </w:rPr>
            </w:pPr>
            <w:r>
              <w:rPr>
                <w:sz w:val="21"/>
              </w:rPr>
              <w:t>（1） 保险合同；</w:t>
            </w:r>
          </w:p>
          <w:p>
            <w:pPr>
              <w:pStyle w:val="TableParagraph"/>
              <w:spacing w:line="350" w:lineRule="exact"/>
              <w:ind w:left="125"/>
              <w:rPr>
                <w:sz w:val="21"/>
              </w:rPr>
            </w:pPr>
            <w:r>
              <w:rPr>
                <w:w w:val="100"/>
                <w:sz w:val="21"/>
              </w:rPr>
              <w:t>（2</w:t>
            </w:r>
            <w:r>
              <w:rPr>
                <w:spacing w:val="-3"/>
                <w:w w:val="100"/>
                <w:sz w:val="21"/>
              </w:rPr>
              <w:t>）</w:t>
            </w:r>
            <w:r>
              <w:rPr>
                <w:spacing w:val="-23"/>
                <w:w w:val="100"/>
                <w:sz w:val="21"/>
              </w:rPr>
              <w:t> 申请人的</w:t>
            </w:r>
            <w:r>
              <w:rPr>
                <w:rFonts w:ascii="微软雅黑" w:eastAsia="微软雅黑" w:hint="eastAsia"/>
                <w:b/>
                <w:w w:val="100"/>
                <w:sz w:val="21"/>
              </w:rPr>
              <w:t>有效身份证件</w:t>
            </w:r>
            <w:r>
              <w:rPr>
                <w:spacing w:val="-2"/>
                <w:w w:val="100"/>
                <w:sz w:val="21"/>
              </w:rPr>
              <w:t>（</w:t>
            </w:r>
            <w:r>
              <w:rPr>
                <w:w w:val="100"/>
                <w:sz w:val="21"/>
              </w:rPr>
              <w:t>见</w:t>
            </w:r>
            <w:r>
              <w:rPr>
                <w:spacing w:val="-53"/>
                <w:sz w:val="21"/>
              </w:rPr>
              <w:t> </w:t>
            </w:r>
            <w:r>
              <w:rPr>
                <w:w w:val="100"/>
                <w:sz w:val="21"/>
              </w:rPr>
              <w:t>7.</w:t>
            </w:r>
            <w:r>
              <w:rPr>
                <w:spacing w:val="-3"/>
                <w:w w:val="100"/>
                <w:sz w:val="21"/>
              </w:rPr>
              <w:t>1</w:t>
            </w:r>
            <w:r>
              <w:rPr>
                <w:w w:val="100"/>
                <w:sz w:val="21"/>
              </w:rPr>
              <w:t>9</w:t>
            </w:r>
            <w:r>
              <w:rPr>
                <w:spacing w:val="-106"/>
                <w:w w:val="100"/>
                <w:sz w:val="21"/>
              </w:rPr>
              <w:t>）</w:t>
            </w:r>
            <w:r>
              <w:rPr>
                <w:w w:val="100"/>
                <w:sz w:val="21"/>
              </w:rPr>
              <w:t>；</w:t>
            </w:r>
          </w:p>
          <w:p>
            <w:pPr>
              <w:pStyle w:val="TableParagraph"/>
              <w:spacing w:line="273" w:lineRule="auto" w:before="12"/>
              <w:ind w:left="654" w:right="353" w:hanging="529"/>
              <w:rPr>
                <w:sz w:val="21"/>
              </w:rPr>
            </w:pPr>
            <w:r>
              <w:rPr>
                <w:sz w:val="21"/>
              </w:rPr>
              <w:t>（3）</w:t>
            </w:r>
            <w:r>
              <w:rPr>
                <w:spacing w:val="-12"/>
                <w:sz w:val="21"/>
              </w:rPr>
              <w:t> 国家卫生行政部门认定的医疗机构出具的诊断证明</w:t>
            </w:r>
            <w:r>
              <w:rPr>
                <w:sz w:val="21"/>
              </w:rPr>
              <w:t>（</w:t>
            </w:r>
            <w:r>
              <w:rPr>
                <w:spacing w:val="-3"/>
                <w:sz w:val="21"/>
              </w:rPr>
              <w:t>含相关的诊断依据</w:t>
            </w:r>
            <w:r>
              <w:rPr>
                <w:spacing w:val="-106"/>
                <w:sz w:val="21"/>
              </w:rPr>
              <w:t>）</w:t>
            </w:r>
            <w:r>
              <w:rPr>
                <w:spacing w:val="-3"/>
                <w:sz w:val="21"/>
              </w:rPr>
              <w:t>、病历、住院及出院证明文件；</w:t>
            </w:r>
          </w:p>
          <w:p>
            <w:pPr>
              <w:pStyle w:val="TableParagraph"/>
              <w:spacing w:line="261" w:lineRule="exact" w:before="7"/>
              <w:ind w:left="125"/>
              <w:rPr>
                <w:sz w:val="21"/>
              </w:rPr>
            </w:pPr>
            <w:r>
              <w:rPr>
                <w:sz w:val="21"/>
              </w:rPr>
              <w:t>（4） 所能提供的与确认保险事故的性质、原因等有关的其他证明和资料。</w:t>
            </w:r>
          </w:p>
        </w:tc>
      </w:tr>
    </w:tbl>
    <w:p>
      <w:pPr>
        <w:spacing w:after="0" w:line="261" w:lineRule="exact"/>
        <w:rPr>
          <w:sz w:val="21"/>
        </w:rPr>
        <w:sectPr>
          <w:pgSz w:w="11910" w:h="16840"/>
          <w:pgMar w:header="0" w:footer="375" w:top="1340" w:bottom="560" w:left="86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690"/>
        <w:gridCol w:w="7630"/>
      </w:tblGrid>
      <w:tr>
        <w:trPr>
          <w:trHeight w:val="886" w:hRule="atLeast"/>
        </w:trPr>
        <w:tc>
          <w:tcPr>
            <w:tcW w:w="659" w:type="dxa"/>
          </w:tcPr>
          <w:p>
            <w:pPr>
              <w:pStyle w:val="TableParagraph"/>
              <w:ind w:left="0"/>
              <w:rPr>
                <w:rFonts w:ascii="Times New Roman"/>
                <w:sz w:val="20"/>
              </w:rPr>
            </w:pPr>
          </w:p>
        </w:tc>
        <w:tc>
          <w:tcPr>
            <w:tcW w:w="1690" w:type="dxa"/>
          </w:tcPr>
          <w:p>
            <w:pPr>
              <w:pStyle w:val="TableParagraph"/>
              <w:ind w:left="0"/>
              <w:rPr>
                <w:rFonts w:ascii="Times New Roman"/>
                <w:sz w:val="20"/>
              </w:rPr>
            </w:pPr>
          </w:p>
        </w:tc>
        <w:tc>
          <w:tcPr>
            <w:tcW w:w="7630" w:type="dxa"/>
          </w:tcPr>
          <w:p>
            <w:pPr>
              <w:pStyle w:val="TableParagraph"/>
              <w:spacing w:line="205" w:lineRule="exact"/>
              <w:ind w:left="442"/>
              <w:rPr>
                <w:sz w:val="21"/>
              </w:rPr>
            </w:pPr>
            <w:r>
              <w:rPr>
                <w:sz w:val="21"/>
              </w:rPr>
              <w:t>保险金作为被保险人遗产时，必须提供可证明合法继承权的相关权利文件。</w:t>
            </w:r>
          </w:p>
          <w:p>
            <w:pPr>
              <w:pStyle w:val="TableParagraph"/>
              <w:spacing w:line="273" w:lineRule="auto" w:before="37"/>
              <w:ind w:left="442" w:right="101"/>
              <w:rPr>
                <w:sz w:val="21"/>
              </w:rPr>
            </w:pPr>
            <w:r>
              <w:rPr>
                <w:spacing w:val="-8"/>
                <w:sz w:val="21"/>
              </w:rPr>
              <w:t>以上证明和资料不完整的，本公司将及时一次性通知申请人补充提供有关证明</w:t>
            </w:r>
            <w:r>
              <w:rPr>
                <w:spacing w:val="-6"/>
                <w:sz w:val="21"/>
              </w:rPr>
              <w:t>和资料。</w:t>
            </w:r>
          </w:p>
        </w:tc>
      </w:tr>
      <w:tr>
        <w:trPr>
          <w:trHeight w:val="3511" w:hRule="atLeast"/>
        </w:trPr>
        <w:tc>
          <w:tcPr>
            <w:tcW w:w="659" w:type="dxa"/>
          </w:tcPr>
          <w:p>
            <w:pPr>
              <w:pStyle w:val="TableParagraph"/>
              <w:spacing w:line="281" w:lineRule="exact"/>
              <w:ind w:left="110"/>
              <w:rPr>
                <w:rFonts w:ascii="微软雅黑"/>
                <w:b/>
                <w:sz w:val="21"/>
              </w:rPr>
            </w:pPr>
            <w:r>
              <w:rPr>
                <w:rFonts w:ascii="微软雅黑"/>
                <w:b/>
                <w:sz w:val="21"/>
              </w:rPr>
              <w:t>3.4</w:t>
            </w:r>
          </w:p>
        </w:tc>
        <w:tc>
          <w:tcPr>
            <w:tcW w:w="1690" w:type="dxa"/>
          </w:tcPr>
          <w:p>
            <w:pPr>
              <w:pStyle w:val="TableParagraph"/>
              <w:spacing w:line="281" w:lineRule="exact"/>
              <w:ind w:left="191"/>
              <w:rPr>
                <w:rFonts w:ascii="微软雅黑" w:eastAsia="微软雅黑" w:hint="eastAsia"/>
                <w:b/>
                <w:sz w:val="21"/>
              </w:rPr>
            </w:pPr>
            <w:r>
              <w:rPr>
                <w:rFonts w:ascii="微软雅黑" w:eastAsia="微软雅黑" w:hint="eastAsia"/>
                <w:b/>
                <w:sz w:val="21"/>
              </w:rPr>
              <w:t>保险金给付</w:t>
            </w:r>
          </w:p>
        </w:tc>
        <w:tc>
          <w:tcPr>
            <w:tcW w:w="7630" w:type="dxa"/>
          </w:tcPr>
          <w:p>
            <w:pPr>
              <w:pStyle w:val="TableParagraph"/>
              <w:spacing w:line="255" w:lineRule="exact"/>
              <w:ind w:left="442"/>
              <w:rPr>
                <w:sz w:val="21"/>
              </w:rPr>
            </w:pPr>
            <w:r>
              <w:rPr>
                <w:spacing w:val="-7"/>
                <w:sz w:val="21"/>
              </w:rPr>
              <w:t>本公司在收到保险金给付申请书及合同约定的证明和资料后，将在 </w:t>
            </w:r>
            <w:r>
              <w:rPr>
                <w:sz w:val="21"/>
              </w:rPr>
              <w:t>5</w:t>
            </w:r>
            <w:r>
              <w:rPr>
                <w:spacing w:val="-9"/>
                <w:sz w:val="21"/>
              </w:rPr>
              <w:t> 日内作出</w:t>
            </w:r>
          </w:p>
          <w:p>
            <w:pPr>
              <w:pStyle w:val="TableParagraph"/>
              <w:spacing w:before="37"/>
              <w:ind w:left="442"/>
              <w:rPr>
                <w:sz w:val="21"/>
              </w:rPr>
            </w:pPr>
            <w:r>
              <w:rPr>
                <w:sz w:val="21"/>
              </w:rPr>
              <w:t>核定；情形复杂的，在 30 日内作出核定。</w:t>
            </w:r>
          </w:p>
          <w:p>
            <w:pPr>
              <w:pStyle w:val="TableParagraph"/>
              <w:spacing w:line="273" w:lineRule="auto" w:before="37"/>
              <w:ind w:left="442" w:right="144"/>
              <w:jc w:val="both"/>
              <w:rPr>
                <w:sz w:val="21"/>
              </w:rPr>
            </w:pPr>
            <w:r>
              <w:rPr>
                <w:spacing w:val="-5"/>
                <w:sz w:val="21"/>
              </w:rPr>
              <w:t>对属于保险责任的，本公司在与受益人达成给付保险金的协议后 </w:t>
            </w:r>
            <w:r>
              <w:rPr>
                <w:sz w:val="21"/>
              </w:rPr>
              <w:t>10</w:t>
            </w:r>
            <w:r>
              <w:rPr>
                <w:spacing w:val="-10"/>
                <w:sz w:val="21"/>
              </w:rPr>
              <w:t> 日内，履</w:t>
            </w:r>
            <w:r>
              <w:rPr>
                <w:spacing w:val="-5"/>
                <w:sz w:val="21"/>
              </w:rPr>
              <w:t>行给付保险金义务。</w:t>
            </w:r>
          </w:p>
          <w:p>
            <w:pPr>
              <w:pStyle w:val="TableParagraph"/>
              <w:spacing w:line="273" w:lineRule="auto" w:before="7"/>
              <w:ind w:left="442" w:right="101"/>
              <w:jc w:val="both"/>
              <w:rPr>
                <w:sz w:val="21"/>
              </w:rPr>
            </w:pPr>
            <w:r>
              <w:rPr>
                <w:spacing w:val="-7"/>
                <w:sz w:val="21"/>
              </w:rPr>
              <w:t>本公司未及时履行前款规定义务的，除支付保险金外，应当赔偿受益人因此受</w:t>
            </w:r>
            <w:r>
              <w:rPr>
                <w:spacing w:val="-4"/>
                <w:sz w:val="21"/>
              </w:rPr>
              <w:t>到的损失。</w:t>
            </w:r>
          </w:p>
          <w:p>
            <w:pPr>
              <w:pStyle w:val="TableParagraph"/>
              <w:spacing w:line="273" w:lineRule="auto" w:before="7"/>
              <w:ind w:left="442" w:right="101"/>
              <w:jc w:val="both"/>
              <w:rPr>
                <w:sz w:val="21"/>
              </w:rPr>
            </w:pPr>
            <w:r>
              <w:rPr>
                <w:spacing w:val="-11"/>
                <w:sz w:val="21"/>
              </w:rPr>
              <w:t>对不属于保险责任的，本公司自作出核定之日起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8"/>
              <w:ind w:left="442" w:right="101"/>
              <w:jc w:val="both"/>
              <w:rPr>
                <w:sz w:val="21"/>
              </w:rPr>
            </w:pPr>
            <w:r>
              <w:rPr>
                <w:spacing w:val="-5"/>
                <w:sz w:val="21"/>
              </w:rPr>
              <w:t>本公司在收到保险金给付申请书及有关证明和资料之日起 </w:t>
            </w:r>
            <w:r>
              <w:rPr>
                <w:sz w:val="21"/>
              </w:rPr>
              <w:t>60</w:t>
            </w:r>
            <w:r>
              <w:rPr>
                <w:spacing w:val="-8"/>
                <w:sz w:val="21"/>
              </w:rPr>
              <w:t> 日内，对给付保</w:t>
            </w:r>
            <w:r>
              <w:rPr>
                <w:spacing w:val="-9"/>
                <w:sz w:val="21"/>
              </w:rPr>
              <w:t>险金的数额不能确定的，根据已有证明和资料可以确定的数额先予支付；本公</w:t>
            </w:r>
            <w:r>
              <w:rPr>
                <w:spacing w:val="-5"/>
                <w:sz w:val="21"/>
              </w:rPr>
              <w:t>司最终确定给付保险金的数额后，将支付相应的差额。</w:t>
            </w:r>
          </w:p>
        </w:tc>
      </w:tr>
      <w:tr>
        <w:trPr>
          <w:trHeight w:val="808" w:hRule="atLeast"/>
        </w:trPr>
        <w:tc>
          <w:tcPr>
            <w:tcW w:w="659" w:type="dxa"/>
          </w:tcPr>
          <w:p>
            <w:pPr>
              <w:pStyle w:val="TableParagraph"/>
              <w:spacing w:line="360" w:lineRule="exact"/>
              <w:ind w:left="110"/>
              <w:rPr>
                <w:rFonts w:ascii="微软雅黑"/>
                <w:b/>
                <w:sz w:val="21"/>
              </w:rPr>
            </w:pPr>
            <w:r>
              <w:rPr>
                <w:rFonts w:ascii="微软雅黑"/>
                <w:b/>
                <w:sz w:val="21"/>
              </w:rPr>
              <w:t>3.5</w:t>
            </w:r>
          </w:p>
        </w:tc>
        <w:tc>
          <w:tcPr>
            <w:tcW w:w="1690" w:type="dxa"/>
          </w:tcPr>
          <w:p>
            <w:pPr>
              <w:pStyle w:val="TableParagraph"/>
              <w:spacing w:line="360" w:lineRule="exact"/>
              <w:ind w:left="191"/>
              <w:rPr>
                <w:rFonts w:ascii="微软雅黑" w:eastAsia="微软雅黑" w:hint="eastAsia"/>
                <w:b/>
                <w:sz w:val="21"/>
              </w:rPr>
            </w:pPr>
            <w:r>
              <w:rPr>
                <w:rFonts w:ascii="微软雅黑" w:eastAsia="微软雅黑" w:hint="eastAsia"/>
                <w:b/>
                <w:sz w:val="21"/>
              </w:rPr>
              <w:t>诉讼时效</w:t>
            </w:r>
          </w:p>
        </w:tc>
        <w:tc>
          <w:tcPr>
            <w:tcW w:w="7630" w:type="dxa"/>
          </w:tcPr>
          <w:p>
            <w:pPr>
              <w:pStyle w:val="TableParagraph"/>
              <w:spacing w:line="273" w:lineRule="auto" w:before="59"/>
              <w:ind w:left="442" w:right="46"/>
              <w:rPr>
                <w:sz w:val="21"/>
              </w:rPr>
            </w:pPr>
            <w:r>
              <w:rPr>
                <w:sz w:val="21"/>
              </w:rPr>
              <w:t>受益人向本公司请求给付保险金的诉讼时效期间为二年，自其知道或者应当知道保险事故发生之日起计算。</w:t>
            </w:r>
          </w:p>
        </w:tc>
      </w:tr>
      <w:tr>
        <w:trPr>
          <w:trHeight w:val="582" w:hRule="atLeast"/>
        </w:trPr>
        <w:tc>
          <w:tcPr>
            <w:tcW w:w="659" w:type="dxa"/>
            <w:tcBorders>
              <w:bottom w:val="single" w:sz="8" w:space="0" w:color="000000"/>
            </w:tcBorders>
          </w:tcPr>
          <w:p>
            <w:pPr>
              <w:pStyle w:val="TableParagraph"/>
              <w:spacing w:line="450" w:lineRule="exact" w:before="112"/>
              <w:ind w:left="110"/>
              <w:rPr>
                <w:rFonts w:ascii="Arial" w:hAnsi="Arial"/>
                <w:b/>
                <w:sz w:val="40"/>
              </w:rPr>
            </w:pPr>
            <w:r>
              <w:rPr>
                <w:rFonts w:ascii="Arial" w:hAnsi="Arial"/>
                <w:b/>
                <w:color w:val="333333"/>
                <w:w w:val="119"/>
                <w:sz w:val="40"/>
              </w:rPr>
              <w:t></w:t>
            </w:r>
          </w:p>
        </w:tc>
        <w:tc>
          <w:tcPr>
            <w:tcW w:w="1690" w:type="dxa"/>
            <w:tcBorders>
              <w:bottom w:val="single" w:sz="8" w:space="0" w:color="000000"/>
            </w:tcBorders>
          </w:tcPr>
          <w:p>
            <w:pPr>
              <w:pStyle w:val="TableParagraph"/>
              <w:spacing w:before="44"/>
              <w:ind w:left="191"/>
              <w:rPr>
                <w:rFonts w:ascii="微软雅黑" w:eastAsia="微软雅黑" w:hint="eastAsia"/>
                <w:b/>
                <w:sz w:val="24"/>
              </w:rPr>
            </w:pPr>
            <w:r>
              <w:rPr>
                <w:rFonts w:ascii="微软雅黑" w:eastAsia="微软雅黑" w:hint="eastAsia"/>
                <w:b/>
                <w:sz w:val="24"/>
              </w:rPr>
              <w:t>保险费的交纳</w:t>
            </w:r>
          </w:p>
        </w:tc>
        <w:tc>
          <w:tcPr>
            <w:tcW w:w="7630" w:type="dxa"/>
            <w:tcBorders>
              <w:bottom w:val="single" w:sz="8" w:space="0" w:color="000000"/>
            </w:tcBorders>
          </w:tcPr>
          <w:p>
            <w:pPr>
              <w:pStyle w:val="TableParagraph"/>
              <w:ind w:left="0"/>
              <w:rPr>
                <w:rFonts w:ascii="Times New Roman"/>
                <w:sz w:val="20"/>
              </w:rPr>
            </w:pPr>
          </w:p>
        </w:tc>
      </w:tr>
      <w:tr>
        <w:trPr>
          <w:trHeight w:val="1228" w:hRule="atLeast"/>
        </w:trPr>
        <w:tc>
          <w:tcPr>
            <w:tcW w:w="659" w:type="dxa"/>
            <w:tcBorders>
              <w:top w:val="single" w:sz="8" w:space="0" w:color="000000"/>
            </w:tcBorders>
          </w:tcPr>
          <w:p>
            <w:pPr>
              <w:pStyle w:val="TableParagraph"/>
              <w:spacing w:before="60"/>
              <w:ind w:left="110"/>
              <w:rPr>
                <w:rFonts w:ascii="微软雅黑"/>
                <w:b/>
                <w:sz w:val="21"/>
              </w:rPr>
            </w:pPr>
            <w:r>
              <w:rPr>
                <w:rFonts w:ascii="微软雅黑"/>
                <w:b/>
                <w:sz w:val="21"/>
              </w:rPr>
              <w:t>4.1</w:t>
            </w:r>
          </w:p>
        </w:tc>
        <w:tc>
          <w:tcPr>
            <w:tcW w:w="1690" w:type="dxa"/>
            <w:tcBorders>
              <w:top w:val="single" w:sz="8" w:space="0" w:color="000000"/>
            </w:tcBorders>
          </w:tcPr>
          <w:p>
            <w:pPr>
              <w:pStyle w:val="TableParagraph"/>
              <w:spacing w:before="60"/>
              <w:ind w:left="191"/>
              <w:rPr>
                <w:rFonts w:ascii="微软雅黑" w:eastAsia="微软雅黑" w:hint="eastAsia"/>
                <w:b/>
                <w:sz w:val="21"/>
              </w:rPr>
            </w:pPr>
            <w:r>
              <w:rPr>
                <w:rFonts w:ascii="微软雅黑" w:eastAsia="微软雅黑" w:hint="eastAsia"/>
                <w:b/>
                <w:sz w:val="21"/>
              </w:rPr>
              <w:t>保险费</w:t>
            </w:r>
          </w:p>
        </w:tc>
        <w:tc>
          <w:tcPr>
            <w:tcW w:w="7630" w:type="dxa"/>
            <w:tcBorders>
              <w:top w:val="single" w:sz="8" w:space="0" w:color="000000"/>
            </w:tcBorders>
          </w:tcPr>
          <w:p>
            <w:pPr>
              <w:pStyle w:val="TableParagraph"/>
              <w:spacing w:line="273" w:lineRule="auto" w:before="122"/>
              <w:ind w:left="442" w:right="34"/>
              <w:rPr>
                <w:sz w:val="21"/>
              </w:rPr>
            </w:pPr>
            <w:r>
              <w:rPr>
                <w:sz w:val="21"/>
              </w:rPr>
              <w:t>本附加合同的保险费由投保人与本公司在投保时约定并在保险单中载明。投保人须在投保时一次性支付整个保险期间的保险费。</w:t>
            </w:r>
          </w:p>
          <w:p>
            <w:pPr>
              <w:pStyle w:val="TableParagraph"/>
              <w:spacing w:before="7"/>
              <w:ind w:left="442"/>
              <w:rPr>
                <w:sz w:val="21"/>
              </w:rPr>
            </w:pPr>
            <w:r>
              <w:rPr>
                <w:sz w:val="21"/>
              </w:rPr>
              <w:t>投保人在投保时可选择从主合同的个人账户价值中扣除本附加合同的保险费。</w:t>
            </w:r>
          </w:p>
        </w:tc>
      </w:tr>
      <w:tr>
        <w:trPr>
          <w:trHeight w:val="2196" w:hRule="atLeast"/>
        </w:trPr>
        <w:tc>
          <w:tcPr>
            <w:tcW w:w="659" w:type="dxa"/>
          </w:tcPr>
          <w:p>
            <w:pPr>
              <w:pStyle w:val="TableParagraph"/>
              <w:spacing w:before="68"/>
              <w:ind w:left="110"/>
              <w:rPr>
                <w:rFonts w:ascii="微软雅黑"/>
                <w:b/>
                <w:sz w:val="21"/>
              </w:rPr>
            </w:pPr>
            <w:r>
              <w:rPr>
                <w:rFonts w:ascii="微软雅黑"/>
                <w:b/>
                <w:sz w:val="21"/>
              </w:rPr>
              <w:t>4.2</w:t>
            </w:r>
          </w:p>
        </w:tc>
        <w:tc>
          <w:tcPr>
            <w:tcW w:w="1690" w:type="dxa"/>
          </w:tcPr>
          <w:p>
            <w:pPr>
              <w:pStyle w:val="TableParagraph"/>
              <w:spacing w:before="68"/>
              <w:ind w:left="191"/>
              <w:rPr>
                <w:rFonts w:ascii="微软雅黑" w:eastAsia="微软雅黑" w:hint="eastAsia"/>
                <w:b/>
                <w:sz w:val="21"/>
              </w:rPr>
            </w:pPr>
            <w:r>
              <w:rPr>
                <w:rFonts w:ascii="微软雅黑" w:eastAsia="微软雅黑" w:hint="eastAsia"/>
                <w:b/>
                <w:sz w:val="21"/>
              </w:rPr>
              <w:t>宽限期</w:t>
            </w:r>
          </w:p>
        </w:tc>
        <w:tc>
          <w:tcPr>
            <w:tcW w:w="7630" w:type="dxa"/>
          </w:tcPr>
          <w:p>
            <w:pPr>
              <w:pStyle w:val="TableParagraph"/>
              <w:spacing w:line="273" w:lineRule="auto" w:before="130"/>
              <w:ind w:left="442" w:right="144"/>
              <w:rPr>
                <w:sz w:val="21"/>
              </w:rPr>
            </w:pPr>
            <w:r>
              <w:rPr>
                <w:spacing w:val="-3"/>
                <w:sz w:val="21"/>
              </w:rPr>
              <w:t>若投保人在本附加合同保险期间届满时未交纳续保保险费,自本附加合同保险</w:t>
            </w:r>
            <w:r>
              <w:rPr>
                <w:spacing w:val="-6"/>
                <w:sz w:val="21"/>
              </w:rPr>
              <w:t>期间届满后的次日零时起 </w:t>
            </w:r>
            <w:r>
              <w:rPr>
                <w:sz w:val="21"/>
              </w:rPr>
              <w:t>60</w:t>
            </w:r>
            <w:r>
              <w:rPr>
                <w:spacing w:val="-7"/>
                <w:sz w:val="21"/>
              </w:rPr>
              <w:t> 日为宽限期。宽限期内发生的保险事故，本公司</w:t>
            </w:r>
          </w:p>
          <w:p>
            <w:pPr>
              <w:pStyle w:val="TableParagraph"/>
              <w:spacing w:line="273" w:lineRule="auto" w:before="7"/>
              <w:ind w:left="442" w:right="101"/>
              <w:rPr>
                <w:sz w:val="21"/>
              </w:rPr>
            </w:pPr>
            <w:r>
              <w:rPr>
                <w:spacing w:val="-7"/>
                <w:sz w:val="21"/>
              </w:rPr>
              <w:t>仍承担本附加合同 </w:t>
            </w:r>
            <w:r>
              <w:rPr>
                <w:sz w:val="21"/>
              </w:rPr>
              <w:t>2.3</w:t>
            </w:r>
            <w:r>
              <w:rPr>
                <w:spacing w:val="-13"/>
                <w:sz w:val="21"/>
              </w:rPr>
              <w:t> 条约定的保险责任，但在给付保险金时会扣除投保人欠</w:t>
            </w:r>
            <w:r>
              <w:rPr>
                <w:spacing w:val="-6"/>
                <w:sz w:val="21"/>
              </w:rPr>
              <w:t>交的保险费。</w:t>
            </w:r>
          </w:p>
          <w:p>
            <w:pPr>
              <w:pStyle w:val="TableParagraph"/>
              <w:spacing w:line="300" w:lineRule="auto" w:before="21"/>
              <w:ind w:left="442" w:right="101"/>
              <w:rPr>
                <w:sz w:val="21"/>
              </w:rPr>
            </w:pPr>
            <w:r>
              <w:rPr>
                <w:spacing w:val="-7"/>
                <w:sz w:val="21"/>
              </w:rPr>
              <w:t>如果投保人在宽限期内未交纳续保保险费，则本附加合同自宽限期满的次日零</w:t>
            </w:r>
            <w:r>
              <w:rPr>
                <w:spacing w:val="-5"/>
                <w:sz w:val="21"/>
              </w:rPr>
              <w:t>时起效力终止，但本附加合同另有约定的除外。</w:t>
            </w:r>
          </w:p>
        </w:tc>
      </w:tr>
      <w:tr>
        <w:trPr>
          <w:trHeight w:val="700" w:hRule="atLeast"/>
        </w:trPr>
        <w:tc>
          <w:tcPr>
            <w:tcW w:w="659" w:type="dxa"/>
            <w:tcBorders>
              <w:bottom w:val="single" w:sz="8" w:space="0" w:color="000000"/>
            </w:tcBorders>
          </w:tcPr>
          <w:p>
            <w:pPr>
              <w:pStyle w:val="TableParagraph"/>
              <w:spacing w:before="136"/>
              <w:ind w:left="110"/>
              <w:rPr>
                <w:rFonts w:ascii="Arial" w:hAnsi="Arial"/>
                <w:b/>
                <w:sz w:val="40"/>
              </w:rPr>
            </w:pPr>
            <w:r>
              <w:rPr>
                <w:rFonts w:ascii="Arial" w:hAnsi="Arial"/>
                <w:b/>
                <w:color w:val="333333"/>
                <w:w w:val="119"/>
                <w:sz w:val="40"/>
              </w:rPr>
              <w:t></w:t>
            </w:r>
          </w:p>
        </w:tc>
        <w:tc>
          <w:tcPr>
            <w:tcW w:w="1690" w:type="dxa"/>
            <w:tcBorders>
              <w:bottom w:val="single" w:sz="8" w:space="0" w:color="000000"/>
            </w:tcBorders>
          </w:tcPr>
          <w:p>
            <w:pPr>
              <w:pStyle w:val="TableParagraph"/>
              <w:spacing w:before="114"/>
              <w:ind w:left="191"/>
              <w:rPr>
                <w:rFonts w:ascii="微软雅黑" w:eastAsia="微软雅黑" w:hint="eastAsia"/>
                <w:b/>
                <w:sz w:val="24"/>
              </w:rPr>
            </w:pPr>
            <w:r>
              <w:rPr>
                <w:rFonts w:ascii="微软雅黑" w:eastAsia="微软雅黑" w:hint="eastAsia"/>
                <w:b/>
                <w:sz w:val="24"/>
              </w:rPr>
              <w:t>保险合同解除</w:t>
            </w:r>
          </w:p>
        </w:tc>
        <w:tc>
          <w:tcPr>
            <w:tcW w:w="7630" w:type="dxa"/>
            <w:tcBorders>
              <w:bottom w:val="single" w:sz="8" w:space="0" w:color="000000"/>
            </w:tcBorders>
          </w:tcPr>
          <w:p>
            <w:pPr>
              <w:pStyle w:val="TableParagraph"/>
              <w:ind w:left="0"/>
              <w:rPr>
                <w:rFonts w:ascii="Times New Roman"/>
                <w:sz w:val="20"/>
              </w:rPr>
            </w:pPr>
          </w:p>
        </w:tc>
      </w:tr>
      <w:tr>
        <w:trPr>
          <w:trHeight w:val="2429" w:hRule="atLeast"/>
        </w:trPr>
        <w:tc>
          <w:tcPr>
            <w:tcW w:w="659" w:type="dxa"/>
            <w:tcBorders>
              <w:top w:val="single" w:sz="8" w:space="0" w:color="000000"/>
            </w:tcBorders>
          </w:tcPr>
          <w:p>
            <w:pPr>
              <w:pStyle w:val="TableParagraph"/>
              <w:spacing w:before="57"/>
              <w:ind w:left="110"/>
              <w:rPr>
                <w:rFonts w:ascii="微软雅黑"/>
                <w:b/>
                <w:sz w:val="21"/>
              </w:rPr>
            </w:pPr>
            <w:r>
              <w:rPr>
                <w:rFonts w:ascii="微软雅黑"/>
                <w:b/>
                <w:sz w:val="21"/>
              </w:rPr>
              <w:t>5.1</w:t>
            </w:r>
          </w:p>
        </w:tc>
        <w:tc>
          <w:tcPr>
            <w:tcW w:w="1690" w:type="dxa"/>
            <w:tcBorders>
              <w:top w:val="single" w:sz="8" w:space="0" w:color="000000"/>
            </w:tcBorders>
          </w:tcPr>
          <w:p>
            <w:pPr>
              <w:pStyle w:val="TableParagraph"/>
              <w:spacing w:before="57"/>
              <w:ind w:left="191"/>
              <w:rPr>
                <w:rFonts w:ascii="微软雅黑" w:eastAsia="微软雅黑" w:hint="eastAsia"/>
                <w:b/>
                <w:sz w:val="21"/>
              </w:rPr>
            </w:pPr>
            <w:r>
              <w:rPr>
                <w:rFonts w:ascii="微软雅黑" w:eastAsia="微软雅黑" w:hint="eastAsia"/>
                <w:b/>
                <w:sz w:val="21"/>
              </w:rPr>
              <w:t>合同解除</w:t>
            </w:r>
          </w:p>
        </w:tc>
        <w:tc>
          <w:tcPr>
            <w:tcW w:w="7630" w:type="dxa"/>
            <w:tcBorders>
              <w:top w:val="single" w:sz="8" w:space="0" w:color="000000"/>
            </w:tcBorders>
          </w:tcPr>
          <w:p>
            <w:pPr>
              <w:pStyle w:val="TableParagraph"/>
              <w:spacing w:line="273" w:lineRule="auto" w:before="120"/>
              <w:ind w:left="442" w:right="101"/>
              <w:rPr>
                <w:sz w:val="21"/>
              </w:rPr>
            </w:pPr>
            <w:r>
              <w:rPr>
                <w:spacing w:val="-8"/>
                <w:sz w:val="21"/>
              </w:rPr>
              <w:t>如投保人申请解除本附加合同，请填写解除合同申请书并向本公司提供下列资料：</w:t>
            </w:r>
          </w:p>
          <w:p>
            <w:pPr>
              <w:pStyle w:val="TableParagraph"/>
              <w:spacing w:before="7"/>
              <w:ind w:left="442"/>
              <w:rPr>
                <w:sz w:val="21"/>
              </w:rPr>
            </w:pPr>
            <w:r>
              <w:rPr>
                <w:sz w:val="21"/>
              </w:rPr>
              <w:t>（1）保险合同或其他保险凭证；</w:t>
            </w:r>
          </w:p>
          <w:p>
            <w:pPr>
              <w:pStyle w:val="TableParagraph"/>
              <w:spacing w:before="36"/>
              <w:ind w:left="442"/>
              <w:rPr>
                <w:sz w:val="21"/>
              </w:rPr>
            </w:pPr>
            <w:r>
              <w:rPr>
                <w:sz w:val="21"/>
              </w:rPr>
              <w:t>（2）申请人的有效身份证件。</w:t>
            </w:r>
          </w:p>
          <w:p>
            <w:pPr>
              <w:pStyle w:val="TableParagraph"/>
              <w:spacing w:line="273" w:lineRule="auto" w:before="36"/>
              <w:ind w:left="442" w:right="101"/>
              <w:rPr>
                <w:sz w:val="21"/>
              </w:rPr>
            </w:pPr>
            <w:r>
              <w:rPr>
                <w:spacing w:val="-7"/>
                <w:sz w:val="21"/>
              </w:rPr>
              <w:t>自本公司收到解除合同申请书时起，本附加合同终止。本公司自收到解除合同</w:t>
            </w:r>
            <w:r>
              <w:rPr>
                <w:spacing w:val="-10"/>
                <w:sz w:val="21"/>
              </w:rPr>
              <w:t>申请书之日起 </w:t>
            </w:r>
            <w:r>
              <w:rPr>
                <w:sz w:val="21"/>
              </w:rPr>
              <w:t>30</w:t>
            </w:r>
            <w:r>
              <w:rPr>
                <w:spacing w:val="-8"/>
                <w:sz w:val="21"/>
              </w:rPr>
              <w:t> 日内向投保人退还保险单的现金价值。</w:t>
            </w:r>
          </w:p>
          <w:p>
            <w:pPr>
              <w:pStyle w:val="TableParagraph"/>
              <w:spacing w:line="308" w:lineRule="exact"/>
              <w:ind w:left="442"/>
              <w:rPr>
                <w:rFonts w:ascii="微软雅黑" w:eastAsia="微软雅黑" w:hint="eastAsia"/>
                <w:b/>
                <w:sz w:val="21"/>
              </w:rPr>
            </w:pPr>
            <w:r>
              <w:rPr>
                <w:rFonts w:ascii="微软雅黑" w:eastAsia="微软雅黑" w:hint="eastAsia"/>
                <w:b/>
                <w:sz w:val="21"/>
              </w:rPr>
              <w:t>投保人犹豫期后解除合同会遭受一定损失。</w:t>
            </w:r>
          </w:p>
        </w:tc>
      </w:tr>
      <w:tr>
        <w:trPr>
          <w:trHeight w:val="673" w:hRule="atLeast"/>
        </w:trPr>
        <w:tc>
          <w:tcPr>
            <w:tcW w:w="659" w:type="dxa"/>
            <w:tcBorders>
              <w:bottom w:val="single" w:sz="8" w:space="0" w:color="000000"/>
            </w:tcBorders>
          </w:tcPr>
          <w:p>
            <w:pPr>
              <w:pStyle w:val="TableParagraph"/>
              <w:spacing w:before="112"/>
              <w:ind w:left="110"/>
              <w:rPr>
                <w:rFonts w:ascii="Arial" w:hAnsi="Arial"/>
                <w:b/>
                <w:sz w:val="40"/>
              </w:rPr>
            </w:pPr>
            <w:r>
              <w:rPr>
                <w:rFonts w:ascii="Arial" w:hAnsi="Arial"/>
                <w:b/>
                <w:color w:val="333333"/>
                <w:w w:val="119"/>
                <w:sz w:val="40"/>
              </w:rPr>
              <w:t></w:t>
            </w:r>
          </w:p>
        </w:tc>
        <w:tc>
          <w:tcPr>
            <w:tcW w:w="9320" w:type="dxa"/>
            <w:gridSpan w:val="2"/>
            <w:tcBorders>
              <w:bottom w:val="single" w:sz="8" w:space="0" w:color="000000"/>
            </w:tcBorders>
          </w:tcPr>
          <w:p>
            <w:pPr>
              <w:pStyle w:val="TableParagraph"/>
              <w:spacing w:before="90"/>
              <w:ind w:left="191"/>
              <w:rPr>
                <w:rFonts w:ascii="微软雅黑" w:eastAsia="微软雅黑" w:hint="eastAsia"/>
                <w:b/>
                <w:sz w:val="24"/>
              </w:rPr>
            </w:pPr>
            <w:r>
              <w:rPr>
                <w:rFonts w:ascii="微软雅黑" w:eastAsia="微软雅黑" w:hint="eastAsia"/>
                <w:b/>
                <w:sz w:val="24"/>
              </w:rPr>
              <w:t>其他需要关注的事项</w:t>
            </w:r>
          </w:p>
        </w:tc>
      </w:tr>
      <w:tr>
        <w:trPr>
          <w:trHeight w:val="1054" w:hRule="atLeast"/>
        </w:trPr>
        <w:tc>
          <w:tcPr>
            <w:tcW w:w="659" w:type="dxa"/>
            <w:tcBorders>
              <w:top w:val="single" w:sz="8" w:space="0" w:color="000000"/>
            </w:tcBorders>
          </w:tcPr>
          <w:p>
            <w:pPr>
              <w:pStyle w:val="TableParagraph"/>
              <w:spacing w:before="58"/>
              <w:ind w:left="110"/>
              <w:rPr>
                <w:rFonts w:ascii="微软雅黑"/>
                <w:b/>
                <w:sz w:val="21"/>
              </w:rPr>
            </w:pPr>
            <w:r>
              <w:rPr>
                <w:rFonts w:ascii="微软雅黑"/>
                <w:b/>
                <w:sz w:val="21"/>
              </w:rPr>
              <w:t>6.1</w:t>
            </w:r>
          </w:p>
        </w:tc>
        <w:tc>
          <w:tcPr>
            <w:tcW w:w="1690" w:type="dxa"/>
            <w:tcBorders>
              <w:top w:val="single" w:sz="8" w:space="0" w:color="000000"/>
            </w:tcBorders>
          </w:tcPr>
          <w:p>
            <w:pPr>
              <w:pStyle w:val="TableParagraph"/>
              <w:spacing w:before="58"/>
              <w:ind w:left="191"/>
              <w:rPr>
                <w:rFonts w:ascii="微软雅黑" w:eastAsia="微软雅黑" w:hint="eastAsia"/>
                <w:b/>
                <w:sz w:val="21"/>
              </w:rPr>
            </w:pPr>
            <w:r>
              <w:rPr>
                <w:rFonts w:ascii="微软雅黑" w:eastAsia="微软雅黑" w:hint="eastAsia"/>
                <w:b/>
                <w:sz w:val="21"/>
              </w:rPr>
              <w:t>如实告知</w:t>
            </w:r>
          </w:p>
        </w:tc>
        <w:tc>
          <w:tcPr>
            <w:tcW w:w="7630" w:type="dxa"/>
            <w:tcBorders>
              <w:top w:val="single" w:sz="8" w:space="0" w:color="000000"/>
            </w:tcBorders>
          </w:tcPr>
          <w:p>
            <w:pPr>
              <w:pStyle w:val="TableParagraph"/>
              <w:spacing w:before="149"/>
              <w:ind w:left="442"/>
              <w:rPr>
                <w:sz w:val="21"/>
              </w:rPr>
            </w:pPr>
            <w:r>
              <w:rPr>
                <w:sz w:val="21"/>
              </w:rPr>
              <w:t>订立本附加合同时，本公司应向投保人说明本附加合同的内容。</w:t>
            </w:r>
          </w:p>
          <w:p>
            <w:pPr>
              <w:pStyle w:val="TableParagraph"/>
              <w:spacing w:line="310" w:lineRule="atLeast" w:before="1"/>
              <w:ind w:left="442" w:right="101"/>
              <w:rPr>
                <w:sz w:val="21"/>
              </w:rPr>
            </w:pPr>
            <w:r>
              <w:rPr>
                <w:spacing w:val="-6"/>
                <w:sz w:val="21"/>
              </w:rPr>
              <w:t>对保险条款中免除本公司责任的条款，本公司在订立合同时应当在投保单、保</w:t>
            </w:r>
            <w:r>
              <w:rPr>
                <w:spacing w:val="-7"/>
                <w:sz w:val="21"/>
              </w:rPr>
              <w:t>险单或者其他保险凭证上作出足以引起投保人注意的提示，并对该条款的内容</w:t>
            </w:r>
          </w:p>
        </w:tc>
      </w:tr>
    </w:tbl>
    <w:p>
      <w:pPr>
        <w:spacing w:after="0" w:line="310" w:lineRule="atLeast"/>
        <w:rPr>
          <w:sz w:val="21"/>
        </w:rPr>
        <w:sectPr>
          <w:pgSz w:w="11910" w:h="16840"/>
          <w:pgMar w:header="0" w:footer="375" w:top="1340" w:bottom="560" w:left="86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2017"/>
        <w:gridCol w:w="7526"/>
      </w:tblGrid>
      <w:tr>
        <w:trPr>
          <w:trHeight w:val="3773" w:hRule="atLeast"/>
        </w:trPr>
        <w:tc>
          <w:tcPr>
            <w:tcW w:w="728" w:type="dxa"/>
          </w:tcPr>
          <w:p>
            <w:pPr>
              <w:pStyle w:val="TableParagraph"/>
              <w:ind w:left="0"/>
              <w:rPr>
                <w:rFonts w:ascii="Times New Roman"/>
                <w:sz w:val="20"/>
              </w:rPr>
            </w:pPr>
          </w:p>
        </w:tc>
        <w:tc>
          <w:tcPr>
            <w:tcW w:w="2017" w:type="dxa"/>
          </w:tcPr>
          <w:p>
            <w:pPr>
              <w:pStyle w:val="TableParagraph"/>
              <w:ind w:left="0"/>
              <w:rPr>
                <w:rFonts w:ascii="Times New Roman"/>
                <w:sz w:val="20"/>
              </w:rPr>
            </w:pPr>
          </w:p>
        </w:tc>
        <w:tc>
          <w:tcPr>
            <w:tcW w:w="7526" w:type="dxa"/>
          </w:tcPr>
          <w:p>
            <w:pPr>
              <w:pStyle w:val="TableParagraph"/>
              <w:spacing w:line="205" w:lineRule="exact"/>
              <w:ind w:left="136"/>
              <w:rPr>
                <w:sz w:val="21"/>
              </w:rPr>
            </w:pPr>
            <w:r>
              <w:rPr>
                <w:sz w:val="21"/>
              </w:rPr>
              <w:t>以书面或者口头形式向投保人作出明确说明，未作提示或者明确说明的，该条</w:t>
            </w:r>
          </w:p>
          <w:p>
            <w:pPr>
              <w:pStyle w:val="TableParagraph"/>
              <w:spacing w:line="262" w:lineRule="exact" w:before="37"/>
              <w:ind w:left="136"/>
              <w:rPr>
                <w:sz w:val="21"/>
              </w:rPr>
            </w:pPr>
            <w:r>
              <w:rPr>
                <w:sz w:val="21"/>
              </w:rPr>
              <w:t>款不产生效力。</w:t>
            </w:r>
          </w:p>
          <w:p>
            <w:pPr>
              <w:pStyle w:val="TableParagraph"/>
              <w:spacing w:line="325" w:lineRule="exact"/>
              <w:ind w:left="136"/>
              <w:rPr>
                <w:rFonts w:ascii="微软雅黑" w:eastAsia="微软雅黑" w:hint="eastAsia"/>
                <w:b/>
                <w:sz w:val="21"/>
              </w:rPr>
            </w:pPr>
            <w:r>
              <w:rPr>
                <w:rFonts w:ascii="微软雅黑" w:eastAsia="微软雅黑" w:hint="eastAsia"/>
                <w:b/>
                <w:sz w:val="21"/>
              </w:rPr>
              <w:t>本公司就投保人和被保险人的有关情况提出询问，投保人应当如实告知。</w:t>
            </w:r>
          </w:p>
          <w:p>
            <w:pPr>
              <w:pStyle w:val="TableParagraph"/>
              <w:spacing w:line="206" w:lineRule="auto" w:before="26"/>
              <w:ind w:left="136" w:right="307"/>
              <w:rPr>
                <w:rFonts w:ascii="微软雅黑" w:eastAsia="微软雅黑" w:hint="eastAsia"/>
                <w:b/>
                <w:sz w:val="21"/>
              </w:rPr>
            </w:pPr>
            <w:r>
              <w:rPr>
                <w:rFonts w:ascii="微软雅黑" w:eastAsia="微软雅黑" w:hint="eastAsia"/>
                <w:b/>
                <w:spacing w:val="-6"/>
                <w:sz w:val="21"/>
              </w:rPr>
              <w:t>如果投保人故意或者因重大过失未履行前款规定的如实告知义务，足以影响本公司决定是否同意承保或者提高保险费率的，本公司有权解除本附加合同。如果投保人故意不履行如实告知义务，对于本附加合同解除前发生的保险事故，本公司不承担给付保险金的责任，并不退还保险费。</w:t>
            </w:r>
          </w:p>
          <w:p>
            <w:pPr>
              <w:pStyle w:val="TableParagraph"/>
              <w:spacing w:line="206" w:lineRule="auto"/>
              <w:ind w:left="136" w:right="198"/>
              <w:rPr>
                <w:rFonts w:ascii="微软雅黑" w:eastAsia="微软雅黑" w:hint="eastAsia"/>
                <w:b/>
                <w:sz w:val="21"/>
              </w:rPr>
            </w:pPr>
            <w:r>
              <w:rPr>
                <w:rFonts w:ascii="微软雅黑" w:eastAsia="微软雅黑" w:hint="eastAsia"/>
                <w:b/>
                <w:spacing w:val="-3"/>
                <w:sz w:val="21"/>
              </w:rPr>
              <w:t>如果投保人因重大过失未履行如实告知义务，对保险事故的发生有严重影响  </w:t>
            </w:r>
            <w:r>
              <w:rPr>
                <w:rFonts w:ascii="微软雅黑" w:eastAsia="微软雅黑" w:hint="eastAsia"/>
                <w:b/>
                <w:spacing w:val="-16"/>
                <w:sz w:val="21"/>
              </w:rPr>
              <w:t>的，对于本附加合同解除前发生的保险事故，本公司不承担给付保险金的责任， 但应当退还保险费。</w:t>
            </w:r>
          </w:p>
          <w:p>
            <w:pPr>
              <w:pStyle w:val="TableParagraph"/>
              <w:spacing w:line="273" w:lineRule="auto" w:before="11"/>
              <w:ind w:left="136" w:right="248"/>
              <w:rPr>
                <w:sz w:val="21"/>
              </w:rPr>
            </w:pPr>
            <w:r>
              <w:rPr>
                <w:sz w:val="21"/>
              </w:rPr>
              <w:t>本公司在合同订立时已经知道投保人未如实告知的情况的，本公司不得解除合同；发生保险事故的，本公司承担给付保险金的责任。</w:t>
            </w:r>
          </w:p>
        </w:tc>
      </w:tr>
      <w:tr>
        <w:trPr>
          <w:trHeight w:val="781" w:hRule="atLeast"/>
        </w:trPr>
        <w:tc>
          <w:tcPr>
            <w:tcW w:w="728" w:type="dxa"/>
          </w:tcPr>
          <w:p>
            <w:pPr>
              <w:pStyle w:val="TableParagraph"/>
              <w:spacing w:line="360" w:lineRule="exact"/>
              <w:ind w:left="200"/>
              <w:rPr>
                <w:rFonts w:ascii="微软雅黑"/>
                <w:b/>
                <w:sz w:val="21"/>
              </w:rPr>
            </w:pPr>
            <w:r>
              <w:rPr>
                <w:rFonts w:ascii="微软雅黑"/>
                <w:b/>
                <w:sz w:val="21"/>
              </w:rPr>
              <w:t>6.2</w:t>
            </w:r>
          </w:p>
        </w:tc>
        <w:tc>
          <w:tcPr>
            <w:tcW w:w="2017" w:type="dxa"/>
          </w:tcPr>
          <w:p>
            <w:pPr>
              <w:pStyle w:val="TableParagraph"/>
              <w:spacing w:line="206" w:lineRule="auto" w:before="48"/>
              <w:ind w:left="211" w:right="113"/>
              <w:rPr>
                <w:rFonts w:ascii="微软雅黑" w:eastAsia="微软雅黑" w:hint="eastAsia"/>
                <w:b/>
                <w:sz w:val="21"/>
              </w:rPr>
            </w:pPr>
            <w:r>
              <w:rPr>
                <w:rFonts w:ascii="微软雅黑" w:eastAsia="微软雅黑" w:hint="eastAsia"/>
                <w:b/>
                <w:sz w:val="21"/>
              </w:rPr>
              <w:t>本公司合同解除权的限制</w:t>
            </w:r>
          </w:p>
        </w:tc>
        <w:tc>
          <w:tcPr>
            <w:tcW w:w="7526" w:type="dxa"/>
          </w:tcPr>
          <w:p>
            <w:pPr>
              <w:pStyle w:val="TableParagraph"/>
              <w:spacing w:line="273" w:lineRule="auto" w:before="59"/>
              <w:ind w:left="136" w:right="346"/>
              <w:rPr>
                <w:sz w:val="21"/>
              </w:rPr>
            </w:pPr>
            <w:r>
              <w:rPr>
                <w:spacing w:val="-5"/>
                <w:sz w:val="21"/>
              </w:rPr>
              <w:t>前款规定的合同解除权，自本公司知道有解除事由之日起，超过 </w:t>
            </w:r>
            <w:r>
              <w:rPr>
                <w:sz w:val="21"/>
              </w:rPr>
              <w:t>30</w:t>
            </w:r>
            <w:r>
              <w:rPr>
                <w:spacing w:val="-10"/>
                <w:sz w:val="21"/>
              </w:rPr>
              <w:t> 日不行使</w:t>
            </w:r>
            <w:r>
              <w:rPr>
                <w:spacing w:val="-6"/>
                <w:sz w:val="21"/>
              </w:rPr>
              <w:t>而消灭。</w:t>
            </w:r>
          </w:p>
        </w:tc>
      </w:tr>
      <w:tr>
        <w:trPr>
          <w:trHeight w:val="2347" w:hRule="atLeast"/>
        </w:trPr>
        <w:tc>
          <w:tcPr>
            <w:tcW w:w="728" w:type="dxa"/>
          </w:tcPr>
          <w:p>
            <w:pPr>
              <w:pStyle w:val="TableParagraph"/>
              <w:spacing w:line="359" w:lineRule="exact"/>
              <w:ind w:left="200"/>
              <w:rPr>
                <w:rFonts w:ascii="微软雅黑"/>
                <w:b/>
                <w:sz w:val="21"/>
              </w:rPr>
            </w:pPr>
            <w:r>
              <w:rPr>
                <w:rFonts w:ascii="微软雅黑"/>
                <w:b/>
                <w:sz w:val="21"/>
              </w:rPr>
              <w:t>6.3</w:t>
            </w:r>
          </w:p>
        </w:tc>
        <w:tc>
          <w:tcPr>
            <w:tcW w:w="2017" w:type="dxa"/>
          </w:tcPr>
          <w:p>
            <w:pPr>
              <w:pStyle w:val="TableParagraph"/>
              <w:spacing w:line="359" w:lineRule="exact"/>
              <w:ind w:left="211"/>
              <w:rPr>
                <w:rFonts w:ascii="微软雅黑" w:eastAsia="微软雅黑" w:hint="eastAsia"/>
                <w:b/>
                <w:sz w:val="21"/>
              </w:rPr>
            </w:pPr>
            <w:r>
              <w:rPr>
                <w:rFonts w:ascii="微软雅黑" w:eastAsia="微软雅黑" w:hint="eastAsia"/>
                <w:b/>
                <w:sz w:val="21"/>
              </w:rPr>
              <w:t>续保</w:t>
            </w:r>
          </w:p>
        </w:tc>
        <w:tc>
          <w:tcPr>
            <w:tcW w:w="7526" w:type="dxa"/>
          </w:tcPr>
          <w:p>
            <w:pPr>
              <w:pStyle w:val="TableParagraph"/>
              <w:spacing w:line="273" w:lineRule="auto" w:before="58"/>
              <w:ind w:left="136" w:right="303"/>
              <w:jc w:val="both"/>
              <w:rPr>
                <w:sz w:val="21"/>
              </w:rPr>
            </w:pPr>
            <w:r>
              <w:rPr>
                <w:spacing w:val="-7"/>
                <w:sz w:val="21"/>
              </w:rPr>
              <w:t>本附加合同为每年保证续保的保险合同，最长可续保至与主险合同保险期间一致。</w:t>
            </w:r>
          </w:p>
          <w:p>
            <w:pPr>
              <w:pStyle w:val="TableParagraph"/>
              <w:spacing w:line="273" w:lineRule="auto" w:before="7"/>
              <w:ind w:left="136" w:right="304"/>
              <w:jc w:val="both"/>
              <w:rPr>
                <w:sz w:val="21"/>
              </w:rPr>
            </w:pPr>
            <w:r>
              <w:rPr>
                <w:spacing w:val="-6"/>
                <w:sz w:val="21"/>
              </w:rPr>
              <w:t>若投保人在本附加合同保险期间届满后 </w:t>
            </w:r>
            <w:r>
              <w:rPr>
                <w:sz w:val="21"/>
              </w:rPr>
              <w:t>60</w:t>
            </w:r>
            <w:r>
              <w:rPr>
                <w:spacing w:val="-8"/>
                <w:sz w:val="21"/>
              </w:rPr>
              <w:t> 日内向本公司支付续保保险费，本</w:t>
            </w:r>
            <w:r>
              <w:rPr>
                <w:spacing w:val="-9"/>
                <w:sz w:val="21"/>
              </w:rPr>
              <w:t>公司将为投保人办理相关续保手续，新续保的合同自本附加合同保险期间届满</w:t>
            </w:r>
            <w:r>
              <w:rPr>
                <w:spacing w:val="-5"/>
                <w:sz w:val="21"/>
              </w:rPr>
              <w:t>后的次日零时起开始生效。</w:t>
            </w:r>
          </w:p>
          <w:p>
            <w:pPr>
              <w:pStyle w:val="TableParagraph"/>
              <w:spacing w:line="273" w:lineRule="auto" w:before="7"/>
              <w:ind w:left="136" w:right="452"/>
              <w:rPr>
                <w:sz w:val="21"/>
              </w:rPr>
            </w:pPr>
            <w:r>
              <w:rPr>
                <w:spacing w:val="-5"/>
                <w:sz w:val="21"/>
              </w:rPr>
              <w:t>若投保人在本附加合同保险期间届满 </w:t>
            </w:r>
            <w:r>
              <w:rPr>
                <w:sz w:val="21"/>
              </w:rPr>
              <w:t>60</w:t>
            </w:r>
            <w:r>
              <w:rPr>
                <w:spacing w:val="-8"/>
                <w:sz w:val="21"/>
              </w:rPr>
              <w:t> 日后再次投保本附加险,保证续保终</w:t>
            </w:r>
            <w:r>
              <w:rPr>
                <w:spacing w:val="-5"/>
                <w:sz w:val="21"/>
              </w:rPr>
              <w:t>止，视为重新投保，重新投保需经本公司审核同意，并重新计算等待期。</w:t>
            </w:r>
          </w:p>
        </w:tc>
      </w:tr>
      <w:tr>
        <w:trPr>
          <w:trHeight w:val="2624" w:hRule="atLeast"/>
        </w:trPr>
        <w:tc>
          <w:tcPr>
            <w:tcW w:w="728" w:type="dxa"/>
          </w:tcPr>
          <w:p>
            <w:pPr>
              <w:pStyle w:val="TableParagraph"/>
              <w:spacing w:before="3"/>
              <w:ind w:left="200"/>
              <w:rPr>
                <w:rFonts w:ascii="微软雅黑"/>
                <w:b/>
                <w:sz w:val="21"/>
              </w:rPr>
            </w:pPr>
            <w:r>
              <w:rPr>
                <w:rFonts w:ascii="微软雅黑"/>
                <w:b/>
                <w:sz w:val="21"/>
              </w:rPr>
              <w:t>6.4</w:t>
            </w:r>
          </w:p>
        </w:tc>
        <w:tc>
          <w:tcPr>
            <w:tcW w:w="2017" w:type="dxa"/>
          </w:tcPr>
          <w:p>
            <w:pPr>
              <w:pStyle w:val="TableParagraph"/>
              <w:spacing w:line="206" w:lineRule="auto" w:before="54"/>
              <w:ind w:left="211" w:right="76"/>
              <w:rPr>
                <w:rFonts w:ascii="微软雅黑" w:eastAsia="微软雅黑" w:hint="eastAsia"/>
                <w:b/>
                <w:sz w:val="21"/>
              </w:rPr>
            </w:pPr>
            <w:r>
              <w:rPr>
                <w:rFonts w:ascii="微软雅黑" w:eastAsia="微软雅黑" w:hint="eastAsia"/>
                <w:b/>
                <w:sz w:val="21"/>
              </w:rPr>
              <w:t>年龄确定与错误处理</w:t>
            </w:r>
          </w:p>
        </w:tc>
        <w:tc>
          <w:tcPr>
            <w:tcW w:w="7526" w:type="dxa"/>
          </w:tcPr>
          <w:p>
            <w:pPr>
              <w:pStyle w:val="TableParagraph"/>
              <w:spacing w:line="259" w:lineRule="auto" w:before="3"/>
              <w:ind w:left="136" w:right="303"/>
              <w:jc w:val="both"/>
              <w:rPr>
                <w:sz w:val="21"/>
              </w:rPr>
            </w:pPr>
            <w:r>
              <w:rPr>
                <w:spacing w:val="-3"/>
                <w:sz w:val="21"/>
              </w:rPr>
              <w:t>被保险人的年龄以</w:t>
            </w:r>
            <w:r>
              <w:rPr>
                <w:rFonts w:ascii="微软雅黑" w:eastAsia="微软雅黑" w:hint="eastAsia"/>
                <w:b/>
                <w:spacing w:val="-8"/>
                <w:sz w:val="21"/>
              </w:rPr>
              <w:t>周岁</w:t>
            </w:r>
            <w:r>
              <w:rPr>
                <w:spacing w:val="-3"/>
                <w:sz w:val="21"/>
              </w:rPr>
              <w:t>（</w:t>
            </w:r>
            <w:r>
              <w:rPr>
                <w:sz w:val="21"/>
              </w:rPr>
              <w:t>见</w:t>
            </w:r>
            <w:r>
              <w:rPr>
                <w:spacing w:val="-4"/>
                <w:sz w:val="21"/>
              </w:rPr>
              <w:t>7.20）</w:t>
            </w:r>
            <w:r>
              <w:rPr>
                <w:spacing w:val="-7"/>
                <w:sz w:val="21"/>
              </w:rPr>
              <w:t>计算，投保人在申请投保时，应将与法定有</w:t>
            </w:r>
            <w:r>
              <w:rPr>
                <w:spacing w:val="-8"/>
                <w:sz w:val="21"/>
              </w:rPr>
              <w:t>效身份证件相符的被保险人的出生日期、年龄在投保单上填明，如果发生错误</w:t>
            </w:r>
            <w:r>
              <w:rPr>
                <w:spacing w:val="-5"/>
                <w:sz w:val="21"/>
              </w:rPr>
              <w:t>按照下列方式办理：</w:t>
            </w:r>
          </w:p>
          <w:p>
            <w:pPr>
              <w:pStyle w:val="TableParagraph"/>
              <w:spacing w:line="312" w:lineRule="exact" w:before="16"/>
              <w:ind w:left="648" w:right="303" w:hanging="570"/>
              <w:jc w:val="both"/>
              <w:rPr>
                <w:sz w:val="21"/>
              </w:rPr>
            </w:pPr>
            <w:r>
              <w:rPr>
                <w:sz w:val="21"/>
              </w:rPr>
              <w:t>（1） </w:t>
            </w:r>
            <w:r>
              <w:rPr>
                <w:rFonts w:ascii="微软雅黑" w:hAnsi="微软雅黑" w:eastAsia="微软雅黑" w:hint="eastAsia"/>
                <w:b/>
                <w:spacing w:val="-3"/>
                <w:sz w:val="21"/>
              </w:rPr>
              <w:t>投保人申报的被保险人年龄不真实，并且其真实年龄不符合本附加合同约定投保年龄限制的，本公司有权全部或部分解除本附加合同，并向投</w:t>
            </w:r>
            <w:r>
              <w:rPr>
                <w:rFonts w:ascii="微软雅黑" w:hAnsi="微软雅黑" w:eastAsia="微软雅黑" w:hint="eastAsia"/>
                <w:b/>
                <w:spacing w:val="-5"/>
                <w:sz w:val="21"/>
              </w:rPr>
              <w:t>保人退还本附加合同的现金价值。</w:t>
            </w:r>
            <w:r>
              <w:rPr>
                <w:spacing w:val="-3"/>
                <w:sz w:val="21"/>
              </w:rPr>
              <w:t>本公司行使合同解除权适用</w:t>
            </w:r>
            <w:r>
              <w:rPr>
                <w:spacing w:val="-8"/>
                <w:sz w:val="21"/>
              </w:rPr>
              <w:t>6.2</w:t>
            </w:r>
            <w:r>
              <w:rPr>
                <w:spacing w:val="-4"/>
                <w:sz w:val="21"/>
              </w:rPr>
              <w:t>“本公</w:t>
            </w:r>
            <w:r>
              <w:rPr>
                <w:spacing w:val="-3"/>
                <w:sz w:val="21"/>
              </w:rPr>
              <w:t>司合同解除权的限制”的规定。</w:t>
            </w:r>
          </w:p>
          <w:p>
            <w:pPr>
              <w:pStyle w:val="TableParagraph"/>
              <w:spacing w:before="4"/>
              <w:ind w:left="136"/>
              <w:jc w:val="both"/>
              <w:rPr>
                <w:sz w:val="21"/>
              </w:rPr>
            </w:pPr>
            <w:r>
              <w:rPr>
                <w:sz w:val="21"/>
              </w:rPr>
              <w:t>（2）投保人申报的被保险人年龄不真实，致使投保人实交保险费少于应交保</w:t>
            </w:r>
          </w:p>
        </w:tc>
      </w:tr>
      <w:tr>
        <w:trPr>
          <w:trHeight w:val="1385" w:hRule="atLeast"/>
        </w:trPr>
        <w:tc>
          <w:tcPr>
            <w:tcW w:w="728" w:type="dxa"/>
          </w:tcPr>
          <w:p>
            <w:pPr>
              <w:pStyle w:val="TableParagraph"/>
              <w:ind w:left="0"/>
              <w:rPr>
                <w:rFonts w:ascii="Times New Roman"/>
                <w:sz w:val="20"/>
              </w:rPr>
            </w:pPr>
          </w:p>
        </w:tc>
        <w:tc>
          <w:tcPr>
            <w:tcW w:w="2017" w:type="dxa"/>
          </w:tcPr>
          <w:p>
            <w:pPr>
              <w:pStyle w:val="TableParagraph"/>
              <w:ind w:left="0"/>
              <w:rPr>
                <w:rFonts w:ascii="Times New Roman"/>
                <w:sz w:val="20"/>
              </w:rPr>
            </w:pPr>
          </w:p>
        </w:tc>
        <w:tc>
          <w:tcPr>
            <w:tcW w:w="7526" w:type="dxa"/>
          </w:tcPr>
          <w:p>
            <w:pPr>
              <w:pStyle w:val="TableParagraph"/>
              <w:spacing w:line="273" w:lineRule="auto" w:before="23"/>
              <w:ind w:left="662" w:right="130"/>
              <w:rPr>
                <w:sz w:val="21"/>
              </w:rPr>
            </w:pPr>
            <w:r>
              <w:rPr>
                <w:sz w:val="21"/>
              </w:rPr>
              <w:t>险费的，本公司有权更正并要求投保人补交保险费。若该被保险人已经发生保险事故，在给付保险金时按实交保险费和应交保险费的比例给付。</w:t>
            </w:r>
          </w:p>
          <w:p>
            <w:pPr>
              <w:pStyle w:val="TableParagraph"/>
              <w:spacing w:line="273" w:lineRule="auto" w:before="7"/>
              <w:ind w:left="660" w:right="346" w:hanging="524"/>
              <w:rPr>
                <w:sz w:val="21"/>
              </w:rPr>
            </w:pPr>
            <w:r>
              <w:rPr>
                <w:sz w:val="21"/>
              </w:rPr>
              <w:t>（3）投保人申报的被保险人年龄不真实，致使投保人实交保险费多于应交保险费的，本公司会将多收的保险费无息退还给投保人。</w:t>
            </w:r>
          </w:p>
        </w:tc>
      </w:tr>
      <w:tr>
        <w:trPr>
          <w:trHeight w:val="1110" w:hRule="atLeast"/>
        </w:trPr>
        <w:tc>
          <w:tcPr>
            <w:tcW w:w="728" w:type="dxa"/>
          </w:tcPr>
          <w:p>
            <w:pPr>
              <w:pStyle w:val="TableParagraph"/>
              <w:spacing w:before="11"/>
              <w:ind w:left="200"/>
              <w:rPr>
                <w:rFonts w:ascii="微软雅黑"/>
                <w:b/>
                <w:sz w:val="21"/>
              </w:rPr>
            </w:pPr>
            <w:r>
              <w:rPr>
                <w:rFonts w:ascii="微软雅黑"/>
                <w:b/>
                <w:sz w:val="21"/>
              </w:rPr>
              <w:t>6.5</w:t>
            </w:r>
          </w:p>
        </w:tc>
        <w:tc>
          <w:tcPr>
            <w:tcW w:w="2017" w:type="dxa"/>
          </w:tcPr>
          <w:p>
            <w:pPr>
              <w:pStyle w:val="TableParagraph"/>
              <w:spacing w:before="11"/>
              <w:ind w:left="211"/>
              <w:rPr>
                <w:rFonts w:ascii="微软雅黑" w:eastAsia="微软雅黑" w:hint="eastAsia"/>
                <w:b/>
                <w:sz w:val="21"/>
              </w:rPr>
            </w:pPr>
            <w:r>
              <w:rPr>
                <w:rFonts w:ascii="微软雅黑" w:eastAsia="微软雅黑" w:hint="eastAsia"/>
                <w:b/>
                <w:sz w:val="21"/>
              </w:rPr>
              <w:t>合同内容变更</w:t>
            </w:r>
          </w:p>
        </w:tc>
        <w:tc>
          <w:tcPr>
            <w:tcW w:w="7526" w:type="dxa"/>
          </w:tcPr>
          <w:p>
            <w:pPr>
              <w:pStyle w:val="TableParagraph"/>
              <w:spacing w:line="273" w:lineRule="auto" w:before="74"/>
              <w:ind w:left="136" w:right="303"/>
              <w:jc w:val="both"/>
              <w:rPr>
                <w:sz w:val="21"/>
              </w:rPr>
            </w:pPr>
            <w:r>
              <w:rPr>
                <w:spacing w:val="-6"/>
                <w:sz w:val="21"/>
              </w:rPr>
              <w:t>投保人和本公司可以协商变更本附加合同的内容。变更本附加合同的，应当由</w:t>
            </w:r>
            <w:r>
              <w:rPr>
                <w:spacing w:val="-7"/>
                <w:sz w:val="21"/>
              </w:rPr>
              <w:t>本公司在保险单或者其他保险凭证上批注或者附贴批单，或者由投保人与本公</w:t>
            </w:r>
            <w:r>
              <w:rPr>
                <w:spacing w:val="-5"/>
                <w:sz w:val="21"/>
              </w:rPr>
              <w:t>司订立书面的变更协议。</w:t>
            </w:r>
          </w:p>
        </w:tc>
      </w:tr>
      <w:tr>
        <w:trPr>
          <w:trHeight w:val="1095" w:hRule="atLeast"/>
        </w:trPr>
        <w:tc>
          <w:tcPr>
            <w:tcW w:w="728" w:type="dxa"/>
          </w:tcPr>
          <w:p>
            <w:pPr>
              <w:pStyle w:val="TableParagraph"/>
              <w:spacing w:line="361" w:lineRule="exact"/>
              <w:ind w:left="200"/>
              <w:rPr>
                <w:rFonts w:ascii="微软雅黑"/>
                <w:b/>
                <w:sz w:val="21"/>
              </w:rPr>
            </w:pPr>
            <w:r>
              <w:rPr>
                <w:rFonts w:ascii="微软雅黑"/>
                <w:b/>
                <w:sz w:val="21"/>
              </w:rPr>
              <w:t>6.6</w:t>
            </w:r>
          </w:p>
        </w:tc>
        <w:tc>
          <w:tcPr>
            <w:tcW w:w="2017" w:type="dxa"/>
          </w:tcPr>
          <w:p>
            <w:pPr>
              <w:pStyle w:val="TableParagraph"/>
              <w:spacing w:line="361" w:lineRule="exact"/>
              <w:ind w:left="211"/>
              <w:rPr>
                <w:rFonts w:ascii="微软雅黑" w:eastAsia="微软雅黑" w:hint="eastAsia"/>
                <w:b/>
                <w:sz w:val="21"/>
              </w:rPr>
            </w:pPr>
            <w:r>
              <w:rPr>
                <w:rFonts w:ascii="微软雅黑" w:eastAsia="微软雅黑" w:hint="eastAsia"/>
                <w:b/>
                <w:sz w:val="21"/>
              </w:rPr>
              <w:t>地址变更</w:t>
            </w:r>
          </w:p>
        </w:tc>
        <w:tc>
          <w:tcPr>
            <w:tcW w:w="7526" w:type="dxa"/>
          </w:tcPr>
          <w:p>
            <w:pPr>
              <w:pStyle w:val="TableParagraph"/>
              <w:spacing w:line="273" w:lineRule="auto" w:before="60"/>
              <w:ind w:left="136" w:right="303"/>
              <w:jc w:val="both"/>
              <w:rPr>
                <w:sz w:val="21"/>
              </w:rPr>
            </w:pPr>
            <w:r>
              <w:rPr>
                <w:spacing w:val="-8"/>
                <w:sz w:val="21"/>
              </w:rPr>
              <w:t>投保人住所或通讯地址变更时，应及时以书面形式或拨打我司客服热线通知本</w:t>
            </w:r>
            <w:r>
              <w:rPr>
                <w:spacing w:val="-10"/>
                <w:sz w:val="21"/>
              </w:rPr>
              <w:t>公司。投保人未以书面形式或拨打我司客服热线通知的，本公司将按本附加合</w:t>
            </w:r>
            <w:r>
              <w:rPr>
                <w:spacing w:val="-5"/>
                <w:sz w:val="21"/>
              </w:rPr>
              <w:t>同载明的最后住所或通讯地址发送有关通知，并视为已送达给投保人。</w:t>
            </w:r>
          </w:p>
        </w:tc>
      </w:tr>
      <w:tr>
        <w:trPr>
          <w:trHeight w:val="1277" w:hRule="atLeast"/>
        </w:trPr>
        <w:tc>
          <w:tcPr>
            <w:tcW w:w="728" w:type="dxa"/>
          </w:tcPr>
          <w:p>
            <w:pPr>
              <w:pStyle w:val="TableParagraph"/>
              <w:spacing w:line="360" w:lineRule="exact"/>
              <w:ind w:left="200"/>
              <w:rPr>
                <w:rFonts w:ascii="微软雅黑"/>
                <w:b/>
                <w:sz w:val="21"/>
              </w:rPr>
            </w:pPr>
            <w:r>
              <w:rPr>
                <w:rFonts w:ascii="微软雅黑"/>
                <w:b/>
                <w:sz w:val="21"/>
              </w:rPr>
              <w:t>6.7</w:t>
            </w:r>
          </w:p>
        </w:tc>
        <w:tc>
          <w:tcPr>
            <w:tcW w:w="2017" w:type="dxa"/>
          </w:tcPr>
          <w:p>
            <w:pPr>
              <w:pStyle w:val="TableParagraph"/>
              <w:spacing w:line="360" w:lineRule="exact"/>
              <w:ind w:left="211"/>
              <w:rPr>
                <w:rFonts w:ascii="微软雅黑" w:eastAsia="微软雅黑" w:hint="eastAsia"/>
                <w:b/>
                <w:sz w:val="21"/>
              </w:rPr>
            </w:pPr>
            <w:r>
              <w:rPr>
                <w:rFonts w:ascii="微软雅黑" w:eastAsia="微软雅黑" w:hint="eastAsia"/>
                <w:b/>
                <w:sz w:val="21"/>
              </w:rPr>
              <w:t>本附加合同的终止</w:t>
            </w:r>
          </w:p>
        </w:tc>
        <w:tc>
          <w:tcPr>
            <w:tcW w:w="7526" w:type="dxa"/>
          </w:tcPr>
          <w:p>
            <w:pPr>
              <w:pStyle w:val="TableParagraph"/>
              <w:spacing w:before="59"/>
              <w:ind w:left="136"/>
              <w:rPr>
                <w:sz w:val="21"/>
              </w:rPr>
            </w:pPr>
            <w:r>
              <w:rPr>
                <w:sz w:val="21"/>
              </w:rPr>
              <w:t>以下任何一种情况发生时，本附加合同效力终止：</w:t>
            </w:r>
          </w:p>
          <w:p>
            <w:pPr>
              <w:pStyle w:val="TableParagraph"/>
              <w:spacing w:before="36"/>
              <w:ind w:left="136"/>
              <w:rPr>
                <w:sz w:val="21"/>
              </w:rPr>
            </w:pPr>
            <w:r>
              <w:rPr>
                <w:sz w:val="21"/>
              </w:rPr>
              <w:t>（1）在本附加合同有效期内投保人向本公司申请解除合同；</w:t>
            </w:r>
          </w:p>
          <w:p>
            <w:pPr>
              <w:pStyle w:val="TableParagraph"/>
              <w:spacing w:before="36"/>
              <w:ind w:left="136"/>
              <w:rPr>
                <w:sz w:val="21"/>
              </w:rPr>
            </w:pPr>
            <w:r>
              <w:rPr>
                <w:sz w:val="21"/>
              </w:rPr>
              <w:t>（2）本附加合同其他条款所列本附加合同终止的情形；</w:t>
            </w:r>
          </w:p>
          <w:p>
            <w:pPr>
              <w:pStyle w:val="TableParagraph"/>
              <w:spacing w:line="261" w:lineRule="exact" w:before="36"/>
              <w:ind w:left="136"/>
              <w:rPr>
                <w:sz w:val="21"/>
              </w:rPr>
            </w:pPr>
            <w:r>
              <w:rPr>
                <w:sz w:val="21"/>
              </w:rPr>
              <w:t>（3）主合同效力终止。</w:t>
            </w:r>
          </w:p>
        </w:tc>
      </w:tr>
    </w:tbl>
    <w:p>
      <w:pPr>
        <w:spacing w:after="0" w:line="261" w:lineRule="exact"/>
        <w:rPr>
          <w:sz w:val="21"/>
        </w:rPr>
        <w:sectPr>
          <w:pgSz w:w="11910" w:h="16840"/>
          <w:pgMar w:header="0" w:footer="375" w:top="1340" w:bottom="560" w:left="760" w:right="660"/>
        </w:sectPr>
      </w:pPr>
    </w:p>
    <w:p>
      <w:pPr>
        <w:pStyle w:val="BodyText"/>
        <w:tabs>
          <w:tab w:pos="952" w:val="left" w:leader="none"/>
          <w:tab w:pos="2893" w:val="left" w:leader="none"/>
        </w:tabs>
        <w:spacing w:line="312" w:lineRule="exact"/>
        <w:ind w:left="2894" w:right="206" w:hanging="2682"/>
      </w:pPr>
      <w:r>
        <w:rPr>
          <w:rFonts w:ascii="微软雅黑" w:eastAsia="微软雅黑" w:hint="eastAsia"/>
          <w:b/>
        </w:rPr>
        <w:t>6.8</w:t>
        <w:tab/>
        <w:t>争议处理</w:t>
        <w:tab/>
      </w:r>
      <w:r>
        <w:rPr>
          <w:spacing w:val="-1"/>
        </w:rPr>
        <w:t>本附</w:t>
      </w:r>
      <w:r>
        <w:rPr>
          <w:spacing w:val="-3"/>
        </w:rPr>
        <w:t>加</w:t>
      </w:r>
      <w:r>
        <w:rPr/>
        <w:t>合同争</w:t>
      </w:r>
      <w:r>
        <w:rPr>
          <w:spacing w:val="-3"/>
        </w:rPr>
        <w:t>议</w:t>
      </w:r>
      <w:r>
        <w:rPr/>
        <w:t>的</w:t>
      </w:r>
      <w:r>
        <w:rPr>
          <w:spacing w:val="-3"/>
        </w:rPr>
        <w:t>解</w:t>
      </w:r>
      <w:r>
        <w:rPr/>
        <w:t>决</w:t>
      </w:r>
      <w:r>
        <w:rPr>
          <w:spacing w:val="-3"/>
        </w:rPr>
        <w:t>方</w:t>
      </w:r>
      <w:r>
        <w:rPr/>
        <w:t>式</w:t>
      </w:r>
      <w:r>
        <w:rPr>
          <w:spacing w:val="-63"/>
        </w:rPr>
        <w:t>，</w:t>
      </w:r>
      <w:r>
        <w:rPr/>
        <w:t>由</w:t>
      </w:r>
      <w:r>
        <w:rPr>
          <w:spacing w:val="-3"/>
        </w:rPr>
        <w:t>当</w:t>
      </w:r>
      <w:r>
        <w:rPr/>
        <w:t>事</w:t>
      </w:r>
      <w:r>
        <w:rPr>
          <w:spacing w:val="-3"/>
        </w:rPr>
        <w:t>人</w:t>
      </w:r>
      <w:r>
        <w:rPr/>
        <w:t>在</w:t>
      </w:r>
      <w:r>
        <w:rPr>
          <w:spacing w:val="-3"/>
        </w:rPr>
        <w:t>合</w:t>
      </w:r>
      <w:r>
        <w:rPr/>
        <w:t>同</w:t>
      </w:r>
      <w:r>
        <w:rPr>
          <w:spacing w:val="-3"/>
        </w:rPr>
        <w:t>中约</w:t>
      </w:r>
      <w:r>
        <w:rPr/>
        <w:t>定从</w:t>
      </w:r>
      <w:r>
        <w:rPr>
          <w:spacing w:val="-3"/>
        </w:rPr>
        <w:t>下</w:t>
      </w:r>
      <w:r>
        <w:rPr/>
        <w:t>列</w:t>
      </w:r>
      <w:r>
        <w:rPr>
          <w:spacing w:val="-3"/>
        </w:rPr>
        <w:t>两</w:t>
      </w:r>
      <w:r>
        <w:rPr/>
        <w:t>种</w:t>
      </w:r>
      <w:r>
        <w:rPr>
          <w:spacing w:val="-3"/>
        </w:rPr>
        <w:t>方</w:t>
      </w:r>
      <w:r>
        <w:rPr/>
        <w:t>式</w:t>
      </w:r>
      <w:r>
        <w:rPr>
          <w:spacing w:val="-3"/>
        </w:rPr>
        <w:t>中</w:t>
      </w:r>
      <w:r>
        <w:rPr/>
        <w:t>选</w:t>
      </w:r>
      <w:r>
        <w:rPr>
          <w:spacing w:val="-3"/>
        </w:rPr>
        <w:t>择</w:t>
      </w:r>
      <w:r>
        <w:rPr/>
        <w:t>一 种：</w:t>
      </w:r>
    </w:p>
    <w:p>
      <w:pPr>
        <w:pStyle w:val="BodyText"/>
        <w:ind w:left="2894"/>
      </w:pPr>
      <w:r>
        <w:rPr/>
        <w:t>（1） 因履行本附加合同发生的争议，由当事人协商解决，协商不成的，提交</w:t>
      </w:r>
    </w:p>
    <w:p>
      <w:pPr>
        <w:pStyle w:val="BodyText"/>
        <w:tabs>
          <w:tab w:pos="3892" w:val="left" w:leader="none"/>
        </w:tabs>
        <w:spacing w:before="37"/>
        <w:ind w:left="3470"/>
      </w:pPr>
      <w:r>
        <w:rPr>
          <w:rFonts w:ascii="Times New Roman" w:eastAsia="Times New Roman"/>
          <w:w w:val="100"/>
          <w:u w:val="single"/>
        </w:rPr>
        <w:t> </w:t>
      </w:r>
      <w:r>
        <w:rPr>
          <w:rFonts w:ascii="Times New Roman" w:eastAsia="Times New Roman"/>
          <w:u w:val="single"/>
        </w:rPr>
        <w:tab/>
      </w:r>
      <w:r>
        <w:rPr>
          <w:spacing w:val="-3"/>
        </w:rPr>
        <w:t>仲裁委员会仲裁；</w:t>
      </w:r>
    </w:p>
    <w:p>
      <w:pPr>
        <w:pStyle w:val="BodyText"/>
        <w:spacing w:line="273" w:lineRule="auto" w:before="37"/>
        <w:ind w:left="3470" w:right="204" w:hanging="577"/>
      </w:pPr>
      <w:r>
        <w:rPr/>
        <w:t>（2）</w:t>
      </w:r>
      <w:r>
        <w:rPr>
          <w:spacing w:val="-7"/>
        </w:rPr>
        <w:t> 因履行本附加合同发生的争议，由当事人协商解决，协商不成的，依法</w:t>
      </w:r>
      <w:r>
        <w:rPr>
          <w:spacing w:val="-5"/>
        </w:rPr>
        <w:t>向人民法院提起诉讼。</w:t>
      </w:r>
    </w:p>
    <w:p>
      <w:pPr>
        <w:pStyle w:val="BodyText"/>
        <w:spacing w:before="12"/>
        <w:rPr>
          <w:sz w:val="13"/>
        </w:rPr>
      </w:pPr>
    </w:p>
    <w:p>
      <w:pPr>
        <w:tabs>
          <w:tab w:pos="952" w:val="left" w:leader="none"/>
        </w:tabs>
        <w:spacing w:before="29"/>
        <w:ind w:left="212" w:right="0" w:firstLine="0"/>
        <w:jc w:val="left"/>
        <w:rPr>
          <w:rFonts w:ascii="微软雅黑" w:hAnsi="微软雅黑" w:eastAsia="微软雅黑" w:hint="eastAsia"/>
          <w:b/>
          <w:sz w:val="24"/>
        </w:rPr>
      </w:pPr>
      <w:r>
        <w:rPr/>
        <w:pict>
          <v:group style="position:absolute;margin-left:48.119999pt;margin-top:29.594721pt;width:498.95pt;height:1pt;mso-position-horizontal-relative:page;mso-position-vertical-relative:paragraph;z-index:1096;mso-wrap-distance-left:0;mso-wrap-distance-right:0" coordorigin="962,592" coordsize="9979,20">
            <v:line style="position:absolute" from="962,601" to="1702,601" stroked="true" strokeweight=".95999pt" strokecolor="#000000">
              <v:stroke dashstyle="solid"/>
            </v:line>
            <v:rect style="position:absolute;left:1702;top:591;width:20;height:20" filled="true" fillcolor="#000000" stroked="false">
              <v:fill type="solid"/>
            </v:rect>
            <v:line style="position:absolute" from="1721,601" to="3646,601" stroked="true" strokeweight=".95999pt" strokecolor="#000000">
              <v:stroke dashstyle="solid"/>
            </v:line>
            <v:rect style="position:absolute;left:3646;top:591;width:20;height:20" filled="true" fillcolor="#000000" stroked="false">
              <v:fill type="solid"/>
            </v:rect>
            <v:line style="position:absolute" from="3665,601" to="10941,601" stroked="true" strokeweight=".95999pt" strokecolor="#000000">
              <v:stroke dashstyle="solid"/>
            </v:line>
            <w10:wrap type="topAndBottom"/>
          </v:group>
        </w:pict>
      </w:r>
      <w:r>
        <w:rPr>
          <w:rFonts w:ascii="Arial" w:hAnsi="Arial" w:eastAsia="Arial"/>
          <w:b/>
          <w:color w:val="333333"/>
          <w:w w:val="110"/>
          <w:position w:val="-5"/>
          <w:sz w:val="40"/>
        </w:rPr>
        <w:t></w:t>
        <w:tab/>
      </w:r>
      <w:r>
        <w:rPr>
          <w:rFonts w:ascii="微软雅黑" w:hAnsi="微软雅黑" w:eastAsia="微软雅黑" w:hint="eastAsia"/>
          <w:b/>
          <w:sz w:val="24"/>
        </w:rPr>
        <w:t>释义</w:t>
      </w:r>
    </w:p>
    <w:p>
      <w:pPr>
        <w:pStyle w:val="ListParagraph"/>
        <w:numPr>
          <w:ilvl w:val="1"/>
          <w:numId w:val="2"/>
        </w:numPr>
        <w:tabs>
          <w:tab w:pos="952" w:val="left" w:leader="none"/>
          <w:tab w:pos="953" w:val="left" w:leader="none"/>
          <w:tab w:pos="2893" w:val="left" w:leader="none"/>
        </w:tabs>
        <w:spacing w:line="240" w:lineRule="auto" w:before="37" w:after="0"/>
        <w:ind w:left="952" w:right="0" w:hanging="740"/>
        <w:jc w:val="left"/>
        <w:rPr>
          <w:sz w:val="21"/>
        </w:rPr>
      </w:pPr>
      <w:r>
        <w:rPr>
          <w:rFonts w:ascii="微软雅黑" w:eastAsia="微软雅黑" w:hint="eastAsia"/>
          <w:b/>
          <w:sz w:val="21"/>
        </w:rPr>
        <w:t>本公司</w:t>
        <w:tab/>
      </w:r>
      <w:r>
        <w:rPr>
          <w:spacing w:val="-1"/>
          <w:sz w:val="21"/>
        </w:rPr>
        <w:t>指珠</w:t>
      </w:r>
      <w:r>
        <w:rPr>
          <w:sz w:val="21"/>
        </w:rPr>
        <w:t>江人</w:t>
      </w:r>
      <w:r>
        <w:rPr>
          <w:spacing w:val="-3"/>
          <w:sz w:val="21"/>
        </w:rPr>
        <w:t>寿</w:t>
      </w:r>
      <w:r>
        <w:rPr>
          <w:sz w:val="21"/>
        </w:rPr>
        <w:t>保</w:t>
      </w:r>
      <w:r>
        <w:rPr>
          <w:spacing w:val="-3"/>
          <w:sz w:val="21"/>
        </w:rPr>
        <w:t>险</w:t>
      </w:r>
      <w:r>
        <w:rPr>
          <w:sz w:val="21"/>
        </w:rPr>
        <w:t>股</w:t>
      </w:r>
      <w:r>
        <w:rPr>
          <w:spacing w:val="-3"/>
          <w:sz w:val="21"/>
        </w:rPr>
        <w:t>份</w:t>
      </w:r>
      <w:r>
        <w:rPr>
          <w:sz w:val="21"/>
        </w:rPr>
        <w:t>有</w:t>
      </w:r>
      <w:r>
        <w:rPr>
          <w:spacing w:val="-3"/>
          <w:sz w:val="21"/>
        </w:rPr>
        <w:t>限</w:t>
      </w:r>
      <w:r>
        <w:rPr>
          <w:sz w:val="21"/>
        </w:rPr>
        <w:t>公司。</w:t>
      </w:r>
    </w:p>
    <w:p>
      <w:pPr>
        <w:pStyle w:val="ListParagraph"/>
        <w:numPr>
          <w:ilvl w:val="1"/>
          <w:numId w:val="2"/>
        </w:numPr>
        <w:tabs>
          <w:tab w:pos="952" w:val="left" w:leader="none"/>
          <w:tab w:pos="953" w:val="left" w:leader="none"/>
          <w:tab w:pos="2893" w:val="left" w:leader="none"/>
        </w:tabs>
        <w:spacing w:line="240" w:lineRule="auto" w:before="161" w:after="0"/>
        <w:ind w:left="952" w:right="0" w:hanging="740"/>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体受</w:t>
      </w:r>
      <w:r>
        <w:rPr>
          <w:spacing w:val="-3"/>
          <w:sz w:val="21"/>
        </w:rPr>
        <w:t>到</w:t>
      </w:r>
      <w:r>
        <w:rPr>
          <w:sz w:val="21"/>
        </w:rPr>
        <w:t>伤</w:t>
      </w:r>
      <w:r>
        <w:rPr>
          <w:spacing w:val="-3"/>
          <w:sz w:val="21"/>
        </w:rPr>
        <w:t>害</w:t>
      </w:r>
      <w:r>
        <w:rPr>
          <w:sz w:val="21"/>
        </w:rPr>
        <w:t>的</w:t>
      </w:r>
      <w:r>
        <w:rPr>
          <w:spacing w:val="-3"/>
          <w:sz w:val="21"/>
        </w:rPr>
        <w:t>客</w:t>
      </w:r>
      <w:r>
        <w:rPr>
          <w:sz w:val="21"/>
        </w:rPr>
        <w:t>观</w:t>
      </w:r>
      <w:r>
        <w:rPr>
          <w:spacing w:val="-3"/>
          <w:sz w:val="21"/>
        </w:rPr>
        <w:t>事</w:t>
      </w:r>
      <w:r>
        <w:rPr>
          <w:sz w:val="21"/>
        </w:rPr>
        <w:t>件。</w:t>
      </w:r>
    </w:p>
    <w:p>
      <w:pPr>
        <w:pStyle w:val="BodyText"/>
        <w:spacing w:before="6"/>
        <w:rPr>
          <w:sz w:val="14"/>
        </w:rPr>
      </w:pPr>
    </w:p>
    <w:p>
      <w:pPr>
        <w:spacing w:after="0"/>
        <w:rPr>
          <w:sz w:val="14"/>
        </w:rPr>
        <w:sectPr>
          <w:pgSz w:w="11910" w:h="16840"/>
          <w:pgMar w:header="0" w:footer="375" w:top="1420" w:bottom="560" w:left="860" w:right="860"/>
        </w:sectPr>
      </w:pPr>
    </w:p>
    <w:p>
      <w:pPr>
        <w:pStyle w:val="Heading2"/>
        <w:numPr>
          <w:ilvl w:val="1"/>
          <w:numId w:val="2"/>
        </w:numPr>
        <w:tabs>
          <w:tab w:pos="952" w:val="left" w:leader="none"/>
          <w:tab w:pos="953" w:val="left" w:leader="none"/>
        </w:tabs>
        <w:spacing w:line="311" w:lineRule="exact" w:before="0" w:after="0"/>
        <w:ind w:left="952" w:right="0" w:hanging="740"/>
        <w:jc w:val="left"/>
        <w:rPr>
          <w:rFonts w:ascii="微软雅黑" w:eastAsia="微软雅黑" w:hint="eastAsia"/>
        </w:rPr>
      </w:pPr>
      <w:r>
        <w:rPr>
          <w:rFonts w:ascii="微软雅黑" w:eastAsia="微软雅黑" w:hint="eastAsia"/>
        </w:rPr>
        <w:t>本公司认可的医疗</w:t>
      </w:r>
    </w:p>
    <w:p>
      <w:pPr>
        <w:spacing w:line="337" w:lineRule="exact" w:before="0"/>
        <w:ind w:left="935" w:right="1247" w:firstLine="0"/>
        <w:jc w:val="center"/>
        <w:rPr>
          <w:rFonts w:ascii="微软雅黑" w:eastAsia="微软雅黑" w:hint="eastAsia"/>
          <w:b/>
          <w:sz w:val="21"/>
        </w:rPr>
      </w:pPr>
      <w:r>
        <w:rPr>
          <w:rFonts w:ascii="微软雅黑" w:eastAsia="微软雅黑" w:hint="eastAsia"/>
          <w:b/>
          <w:sz w:val="21"/>
        </w:rPr>
        <w:t>机构</w:t>
      </w:r>
    </w:p>
    <w:p>
      <w:pPr>
        <w:pStyle w:val="BodyText"/>
        <w:spacing w:line="273" w:lineRule="auto" w:before="36"/>
        <w:ind w:left="211" w:right="249"/>
      </w:pPr>
      <w:r>
        <w:rPr/>
        <w:br w:type="column"/>
      </w:r>
      <w:r>
        <w:rPr/>
        <w:t>指本公司指定医院或未在指定范围内的2级以上公立医院。如因病情紧急，未能在以上医院就医，务必在3日内转入。</w:t>
      </w:r>
    </w:p>
    <w:p>
      <w:pPr>
        <w:spacing w:after="0" w:line="273" w:lineRule="auto"/>
        <w:sectPr>
          <w:type w:val="continuous"/>
          <w:pgSz w:w="11910" w:h="16840"/>
          <w:pgMar w:top="1360" w:bottom="280" w:left="860" w:right="860"/>
          <w:cols w:num="2" w:equalWidth="0">
            <w:col w:w="2643" w:space="40"/>
            <w:col w:w="7507"/>
          </w:cols>
        </w:sectPr>
      </w:pPr>
    </w:p>
    <w:p>
      <w:pPr>
        <w:pStyle w:val="BodyText"/>
        <w:spacing w:before="11"/>
        <w:rPr>
          <w:sz w:val="9"/>
        </w:rPr>
      </w:pPr>
    </w:p>
    <w:p>
      <w:pPr>
        <w:spacing w:after="0"/>
        <w:rPr>
          <w:sz w:val="9"/>
        </w:rPr>
        <w:sectPr>
          <w:type w:val="continuous"/>
          <w:pgSz w:w="11910" w:h="16840"/>
          <w:pgMar w:top="1360" w:bottom="280" w:left="860" w:right="860"/>
        </w:sectPr>
      </w:pPr>
    </w:p>
    <w:p>
      <w:pPr>
        <w:pStyle w:val="Heading2"/>
        <w:numPr>
          <w:ilvl w:val="1"/>
          <w:numId w:val="2"/>
        </w:numPr>
        <w:tabs>
          <w:tab w:pos="952" w:val="left" w:leader="none"/>
          <w:tab w:pos="953" w:val="left" w:leader="none"/>
        </w:tabs>
        <w:spacing w:line="206" w:lineRule="auto" w:before="25" w:after="0"/>
        <w:ind w:left="952" w:right="0" w:hanging="740"/>
        <w:jc w:val="left"/>
        <w:rPr>
          <w:rFonts w:ascii="微软雅黑" w:eastAsia="微软雅黑" w:hint="eastAsia"/>
        </w:rPr>
      </w:pPr>
      <w:r>
        <w:rPr>
          <w:rFonts w:ascii="微软雅黑" w:eastAsia="微软雅黑" w:hint="eastAsia"/>
        </w:rPr>
        <w:t>本附加合同约定的重大疾病</w:t>
      </w:r>
    </w:p>
    <w:p>
      <w:pPr>
        <w:pStyle w:val="BodyText"/>
        <w:spacing w:line="273" w:lineRule="auto" w:before="37"/>
        <w:ind w:left="211" w:right="206"/>
        <w:jc w:val="both"/>
      </w:pPr>
      <w:r>
        <w:rPr/>
        <w:br w:type="column"/>
      </w:r>
      <w:r>
        <w:rPr>
          <w:spacing w:val="-6"/>
        </w:rPr>
        <w:t>本附加合同约定的重大疾病在本附加合同中有确定的含义，不仅包括部分一般</w:t>
      </w:r>
      <w:r>
        <w:rPr>
          <w:spacing w:val="-10"/>
        </w:rPr>
        <w:t>意义上的重大疾病，还包括某些重大手术，本附加合同所指的重大疾病可能与</w:t>
      </w:r>
      <w:r>
        <w:rPr>
          <w:spacing w:val="-8"/>
        </w:rPr>
        <w:t>临床医学所指的重大疾病在概念和范围上有所不同，本公司将在本附加合同重</w:t>
      </w:r>
      <w:r>
        <w:rPr>
          <w:spacing w:val="-11"/>
        </w:rPr>
        <w:t>大疾病定义中详细列明，投保人投保本附加合同即表明认可并遵从本附加合同</w:t>
      </w:r>
      <w:r>
        <w:rPr>
          <w:spacing w:val="-6"/>
        </w:rPr>
        <w:t>中对重大疾病的定义。</w:t>
      </w:r>
    </w:p>
    <w:p>
      <w:pPr>
        <w:spacing w:after="0" w:line="273" w:lineRule="auto"/>
        <w:jc w:val="both"/>
        <w:sectPr>
          <w:type w:val="continuous"/>
          <w:pgSz w:w="11910" w:h="16840"/>
          <w:pgMar w:top="1360" w:bottom="280" w:left="860" w:right="860"/>
          <w:cols w:num="2" w:equalWidth="0">
            <w:col w:w="2643" w:space="40"/>
            <w:col w:w="7507"/>
          </w:cols>
        </w:sectPr>
      </w:pPr>
    </w:p>
    <w:p>
      <w:pPr>
        <w:pStyle w:val="BodyText"/>
        <w:spacing w:before="5"/>
        <w:rPr>
          <w:sz w:val="6"/>
        </w:rPr>
      </w:pPr>
    </w:p>
    <w:tbl>
      <w:tblPr>
        <w:tblW w:w="0" w:type="auto"/>
        <w:jc w:val="left"/>
        <w:tblInd w:w="2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
        <w:gridCol w:w="3108"/>
        <w:gridCol w:w="409"/>
        <w:gridCol w:w="3188"/>
      </w:tblGrid>
      <w:tr>
        <w:trPr>
          <w:trHeight w:val="246" w:hRule="atLeast"/>
        </w:trPr>
        <w:tc>
          <w:tcPr>
            <w:tcW w:w="491" w:type="dxa"/>
          </w:tcPr>
          <w:p>
            <w:pPr>
              <w:pStyle w:val="TableParagraph"/>
              <w:spacing w:line="180" w:lineRule="exact"/>
              <w:ind w:left="200"/>
              <w:rPr>
                <w:sz w:val="18"/>
              </w:rPr>
            </w:pPr>
            <w:r>
              <w:rPr>
                <w:sz w:val="18"/>
              </w:rPr>
              <w:t>1</w:t>
            </w:r>
          </w:p>
        </w:tc>
        <w:tc>
          <w:tcPr>
            <w:tcW w:w="3108" w:type="dxa"/>
          </w:tcPr>
          <w:p>
            <w:pPr>
              <w:pStyle w:val="TableParagraph"/>
              <w:spacing w:line="180" w:lineRule="exact"/>
              <w:ind w:left="108"/>
              <w:rPr>
                <w:sz w:val="18"/>
              </w:rPr>
            </w:pPr>
            <w:r>
              <w:rPr>
                <w:sz w:val="18"/>
              </w:rPr>
              <w:t>恶性肿瘤</w:t>
            </w:r>
          </w:p>
        </w:tc>
        <w:tc>
          <w:tcPr>
            <w:tcW w:w="409" w:type="dxa"/>
          </w:tcPr>
          <w:p>
            <w:pPr>
              <w:pStyle w:val="TableParagraph"/>
              <w:spacing w:line="180" w:lineRule="exact"/>
              <w:ind w:left="98" w:right="89"/>
              <w:jc w:val="center"/>
              <w:rPr>
                <w:sz w:val="18"/>
              </w:rPr>
            </w:pPr>
            <w:r>
              <w:rPr>
                <w:sz w:val="18"/>
              </w:rPr>
              <w:t>26</w:t>
            </w:r>
          </w:p>
        </w:tc>
        <w:tc>
          <w:tcPr>
            <w:tcW w:w="3188" w:type="dxa"/>
          </w:tcPr>
          <w:p>
            <w:pPr>
              <w:pStyle w:val="TableParagraph"/>
              <w:spacing w:line="180" w:lineRule="exact"/>
              <w:ind w:left="105"/>
              <w:rPr>
                <w:sz w:val="18"/>
              </w:rPr>
            </w:pPr>
            <w:r>
              <w:rPr>
                <w:sz w:val="18"/>
              </w:rPr>
              <w:t>严重多发性硬化</w:t>
            </w:r>
          </w:p>
        </w:tc>
      </w:tr>
      <w:tr>
        <w:trPr>
          <w:trHeight w:val="312" w:hRule="atLeast"/>
        </w:trPr>
        <w:tc>
          <w:tcPr>
            <w:tcW w:w="491" w:type="dxa"/>
          </w:tcPr>
          <w:p>
            <w:pPr>
              <w:pStyle w:val="TableParagraph"/>
              <w:spacing w:before="10"/>
              <w:ind w:left="200"/>
              <w:rPr>
                <w:sz w:val="18"/>
              </w:rPr>
            </w:pPr>
            <w:r>
              <w:rPr>
                <w:sz w:val="18"/>
              </w:rPr>
              <w:t>2</w:t>
            </w:r>
          </w:p>
        </w:tc>
        <w:tc>
          <w:tcPr>
            <w:tcW w:w="3108" w:type="dxa"/>
          </w:tcPr>
          <w:p>
            <w:pPr>
              <w:pStyle w:val="TableParagraph"/>
              <w:spacing w:before="10"/>
              <w:ind w:left="108"/>
              <w:rPr>
                <w:sz w:val="18"/>
              </w:rPr>
            </w:pPr>
            <w:r>
              <w:rPr>
                <w:sz w:val="18"/>
              </w:rPr>
              <w:t>急性心肌梗塞</w:t>
            </w:r>
          </w:p>
        </w:tc>
        <w:tc>
          <w:tcPr>
            <w:tcW w:w="409" w:type="dxa"/>
          </w:tcPr>
          <w:p>
            <w:pPr>
              <w:pStyle w:val="TableParagraph"/>
              <w:spacing w:before="10"/>
              <w:ind w:left="98" w:right="89"/>
              <w:jc w:val="center"/>
              <w:rPr>
                <w:sz w:val="18"/>
              </w:rPr>
            </w:pPr>
            <w:r>
              <w:rPr>
                <w:sz w:val="18"/>
              </w:rPr>
              <w:t>27</w:t>
            </w:r>
          </w:p>
        </w:tc>
        <w:tc>
          <w:tcPr>
            <w:tcW w:w="3188" w:type="dxa"/>
          </w:tcPr>
          <w:p>
            <w:pPr>
              <w:pStyle w:val="TableParagraph"/>
              <w:spacing w:before="10"/>
              <w:ind w:left="105"/>
              <w:rPr>
                <w:sz w:val="18"/>
              </w:rPr>
            </w:pPr>
            <w:r>
              <w:rPr>
                <w:sz w:val="18"/>
              </w:rPr>
              <w:t>终末期肺病</w:t>
            </w:r>
          </w:p>
        </w:tc>
      </w:tr>
      <w:tr>
        <w:trPr>
          <w:trHeight w:val="309" w:hRule="atLeast"/>
        </w:trPr>
        <w:tc>
          <w:tcPr>
            <w:tcW w:w="491" w:type="dxa"/>
          </w:tcPr>
          <w:p>
            <w:pPr>
              <w:pStyle w:val="TableParagraph"/>
              <w:spacing w:before="10"/>
              <w:ind w:left="200"/>
              <w:rPr>
                <w:sz w:val="18"/>
              </w:rPr>
            </w:pPr>
            <w:r>
              <w:rPr>
                <w:sz w:val="18"/>
              </w:rPr>
              <w:t>3</w:t>
            </w:r>
          </w:p>
        </w:tc>
        <w:tc>
          <w:tcPr>
            <w:tcW w:w="3108" w:type="dxa"/>
          </w:tcPr>
          <w:p>
            <w:pPr>
              <w:pStyle w:val="TableParagraph"/>
              <w:spacing w:before="10"/>
              <w:ind w:left="108"/>
              <w:rPr>
                <w:sz w:val="18"/>
              </w:rPr>
            </w:pPr>
            <w:r>
              <w:rPr>
                <w:sz w:val="18"/>
              </w:rPr>
              <w:t>脑中风后遗症</w:t>
            </w:r>
          </w:p>
        </w:tc>
        <w:tc>
          <w:tcPr>
            <w:tcW w:w="409" w:type="dxa"/>
          </w:tcPr>
          <w:p>
            <w:pPr>
              <w:pStyle w:val="TableParagraph"/>
              <w:spacing w:before="10"/>
              <w:ind w:left="98" w:right="89"/>
              <w:jc w:val="center"/>
              <w:rPr>
                <w:sz w:val="18"/>
              </w:rPr>
            </w:pPr>
            <w:r>
              <w:rPr>
                <w:sz w:val="18"/>
              </w:rPr>
              <w:t>28</w:t>
            </w:r>
          </w:p>
        </w:tc>
        <w:tc>
          <w:tcPr>
            <w:tcW w:w="3188" w:type="dxa"/>
          </w:tcPr>
          <w:p>
            <w:pPr>
              <w:pStyle w:val="TableParagraph"/>
              <w:spacing w:before="10"/>
              <w:ind w:left="105"/>
              <w:rPr>
                <w:sz w:val="18"/>
              </w:rPr>
            </w:pPr>
            <w:r>
              <w:rPr>
                <w:sz w:val="18"/>
              </w:rPr>
              <w:t>颅脑手术</w:t>
            </w:r>
          </w:p>
        </w:tc>
      </w:tr>
      <w:tr>
        <w:trPr>
          <w:trHeight w:val="295" w:hRule="atLeast"/>
        </w:trPr>
        <w:tc>
          <w:tcPr>
            <w:tcW w:w="491" w:type="dxa"/>
          </w:tcPr>
          <w:p>
            <w:pPr>
              <w:pStyle w:val="TableParagraph"/>
              <w:spacing w:before="8"/>
              <w:ind w:left="200"/>
              <w:rPr>
                <w:sz w:val="18"/>
              </w:rPr>
            </w:pPr>
            <w:r>
              <w:rPr>
                <w:sz w:val="18"/>
              </w:rPr>
              <w:t>4</w:t>
            </w:r>
          </w:p>
        </w:tc>
        <w:tc>
          <w:tcPr>
            <w:tcW w:w="3108" w:type="dxa"/>
          </w:tcPr>
          <w:p>
            <w:pPr>
              <w:pStyle w:val="TableParagraph"/>
              <w:spacing w:before="8"/>
              <w:ind w:left="108"/>
              <w:rPr>
                <w:sz w:val="18"/>
              </w:rPr>
            </w:pPr>
            <w:r>
              <w:rPr>
                <w:sz w:val="18"/>
              </w:rPr>
              <w:t>重大器官移植术或造血干细胞移植术</w:t>
            </w:r>
          </w:p>
        </w:tc>
        <w:tc>
          <w:tcPr>
            <w:tcW w:w="409" w:type="dxa"/>
          </w:tcPr>
          <w:p>
            <w:pPr>
              <w:pStyle w:val="TableParagraph"/>
              <w:spacing w:before="8"/>
              <w:ind w:left="98" w:right="89"/>
              <w:jc w:val="center"/>
              <w:rPr>
                <w:sz w:val="18"/>
              </w:rPr>
            </w:pPr>
            <w:r>
              <w:rPr>
                <w:sz w:val="18"/>
              </w:rPr>
              <w:t>29</w:t>
            </w:r>
          </w:p>
        </w:tc>
        <w:tc>
          <w:tcPr>
            <w:tcW w:w="3188" w:type="dxa"/>
          </w:tcPr>
          <w:p>
            <w:pPr>
              <w:pStyle w:val="TableParagraph"/>
              <w:spacing w:before="8"/>
              <w:ind w:left="105"/>
              <w:rPr>
                <w:sz w:val="18"/>
              </w:rPr>
            </w:pPr>
            <w:r>
              <w:rPr>
                <w:sz w:val="18"/>
              </w:rPr>
              <w:t>严重Ｉ型糖尿病</w:t>
            </w:r>
          </w:p>
        </w:tc>
      </w:tr>
      <w:tr>
        <w:trPr>
          <w:trHeight w:val="283" w:hRule="atLeast"/>
        </w:trPr>
        <w:tc>
          <w:tcPr>
            <w:tcW w:w="491" w:type="dxa"/>
          </w:tcPr>
          <w:p>
            <w:pPr>
              <w:pStyle w:val="TableParagraph"/>
              <w:spacing w:line="232" w:lineRule="exact"/>
              <w:ind w:left="200"/>
              <w:rPr>
                <w:sz w:val="18"/>
              </w:rPr>
            </w:pPr>
            <w:r>
              <w:rPr>
                <w:sz w:val="18"/>
              </w:rPr>
              <w:t>5</w:t>
            </w:r>
          </w:p>
        </w:tc>
        <w:tc>
          <w:tcPr>
            <w:tcW w:w="3108" w:type="dxa"/>
          </w:tcPr>
          <w:p>
            <w:pPr>
              <w:pStyle w:val="TableParagraph"/>
              <w:spacing w:line="232" w:lineRule="exact"/>
              <w:ind w:left="108"/>
              <w:rPr>
                <w:sz w:val="18"/>
              </w:rPr>
            </w:pPr>
            <w:r>
              <w:rPr>
                <w:sz w:val="18"/>
              </w:rPr>
              <w:t>冠状动脉搭桥术</w:t>
            </w:r>
          </w:p>
        </w:tc>
        <w:tc>
          <w:tcPr>
            <w:tcW w:w="409" w:type="dxa"/>
          </w:tcPr>
          <w:p>
            <w:pPr>
              <w:pStyle w:val="TableParagraph"/>
              <w:spacing w:line="232" w:lineRule="exact"/>
              <w:ind w:left="98" w:right="89"/>
              <w:jc w:val="center"/>
              <w:rPr>
                <w:sz w:val="18"/>
              </w:rPr>
            </w:pPr>
            <w:r>
              <w:rPr>
                <w:sz w:val="18"/>
              </w:rPr>
              <w:t>30</w:t>
            </w:r>
          </w:p>
        </w:tc>
        <w:tc>
          <w:tcPr>
            <w:tcW w:w="3188" w:type="dxa"/>
          </w:tcPr>
          <w:p>
            <w:pPr>
              <w:pStyle w:val="TableParagraph"/>
              <w:spacing w:line="232" w:lineRule="exact"/>
              <w:ind w:left="105"/>
              <w:rPr>
                <w:sz w:val="18"/>
              </w:rPr>
            </w:pPr>
            <w:r>
              <w:rPr>
                <w:sz w:val="18"/>
              </w:rPr>
              <w:t>严重类风湿性关节炎</w:t>
            </w:r>
          </w:p>
        </w:tc>
      </w:tr>
      <w:tr>
        <w:trPr>
          <w:trHeight w:val="283" w:hRule="atLeast"/>
        </w:trPr>
        <w:tc>
          <w:tcPr>
            <w:tcW w:w="491" w:type="dxa"/>
          </w:tcPr>
          <w:p>
            <w:pPr>
              <w:pStyle w:val="TableParagraph"/>
              <w:ind w:left="0"/>
              <w:rPr>
                <w:rFonts w:ascii="Times New Roman"/>
                <w:sz w:val="18"/>
              </w:rPr>
            </w:pPr>
          </w:p>
        </w:tc>
        <w:tc>
          <w:tcPr>
            <w:tcW w:w="3108" w:type="dxa"/>
          </w:tcPr>
          <w:p>
            <w:pPr>
              <w:pStyle w:val="TableParagraph"/>
              <w:spacing w:line="232" w:lineRule="exact"/>
              <w:ind w:left="108"/>
              <w:rPr>
                <w:sz w:val="18"/>
              </w:rPr>
            </w:pPr>
            <w:r>
              <w:rPr>
                <w:sz w:val="18"/>
              </w:rPr>
              <w:t>（或称冠状动脉旁路移植术）</w:t>
            </w:r>
          </w:p>
        </w:tc>
        <w:tc>
          <w:tcPr>
            <w:tcW w:w="409" w:type="dxa"/>
          </w:tcPr>
          <w:p>
            <w:pPr>
              <w:pStyle w:val="TableParagraph"/>
              <w:spacing w:line="232" w:lineRule="exact"/>
              <w:ind w:left="98" w:right="89"/>
              <w:jc w:val="center"/>
              <w:rPr>
                <w:sz w:val="18"/>
              </w:rPr>
            </w:pPr>
            <w:r>
              <w:rPr>
                <w:sz w:val="18"/>
              </w:rPr>
              <w:t>31</w:t>
            </w:r>
          </w:p>
        </w:tc>
        <w:tc>
          <w:tcPr>
            <w:tcW w:w="3188" w:type="dxa"/>
          </w:tcPr>
          <w:p>
            <w:pPr>
              <w:pStyle w:val="TableParagraph"/>
              <w:spacing w:line="232" w:lineRule="exact"/>
              <w:ind w:left="105"/>
              <w:rPr>
                <w:sz w:val="18"/>
              </w:rPr>
            </w:pPr>
            <w:r>
              <w:rPr>
                <w:sz w:val="18"/>
              </w:rPr>
              <w:t>急性出血坏死性胰腺炎开腹手术</w:t>
            </w:r>
          </w:p>
        </w:tc>
      </w:tr>
      <w:tr>
        <w:trPr>
          <w:trHeight w:val="283" w:hRule="atLeast"/>
        </w:trPr>
        <w:tc>
          <w:tcPr>
            <w:tcW w:w="491" w:type="dxa"/>
          </w:tcPr>
          <w:p>
            <w:pPr>
              <w:pStyle w:val="TableParagraph"/>
              <w:spacing w:line="232" w:lineRule="exact"/>
              <w:ind w:left="200"/>
              <w:rPr>
                <w:sz w:val="18"/>
              </w:rPr>
            </w:pPr>
            <w:r>
              <w:rPr>
                <w:sz w:val="18"/>
              </w:rPr>
              <w:t>6</w:t>
            </w:r>
          </w:p>
        </w:tc>
        <w:tc>
          <w:tcPr>
            <w:tcW w:w="3108" w:type="dxa"/>
          </w:tcPr>
          <w:p>
            <w:pPr>
              <w:pStyle w:val="TableParagraph"/>
              <w:spacing w:line="232" w:lineRule="exact"/>
              <w:ind w:left="108"/>
              <w:rPr>
                <w:sz w:val="18"/>
              </w:rPr>
            </w:pPr>
            <w:r>
              <w:rPr>
                <w:sz w:val="18"/>
              </w:rPr>
              <w:t>终末期肾病</w:t>
            </w:r>
          </w:p>
        </w:tc>
        <w:tc>
          <w:tcPr>
            <w:tcW w:w="409" w:type="dxa"/>
          </w:tcPr>
          <w:p>
            <w:pPr>
              <w:pStyle w:val="TableParagraph"/>
              <w:spacing w:line="232" w:lineRule="exact"/>
              <w:ind w:left="98" w:right="89"/>
              <w:jc w:val="center"/>
              <w:rPr>
                <w:sz w:val="18"/>
              </w:rPr>
            </w:pPr>
            <w:r>
              <w:rPr>
                <w:sz w:val="18"/>
              </w:rPr>
              <w:t>32</w:t>
            </w:r>
          </w:p>
        </w:tc>
        <w:tc>
          <w:tcPr>
            <w:tcW w:w="3188" w:type="dxa"/>
          </w:tcPr>
          <w:p>
            <w:pPr>
              <w:pStyle w:val="TableParagraph"/>
              <w:spacing w:line="232" w:lineRule="exact"/>
              <w:ind w:left="105"/>
              <w:rPr>
                <w:sz w:val="18"/>
              </w:rPr>
            </w:pPr>
            <w:r>
              <w:rPr>
                <w:sz w:val="18"/>
              </w:rPr>
              <w:t>侵蚀性葡萄胎（或称恶性葡萄胎）</w:t>
            </w:r>
          </w:p>
        </w:tc>
      </w:tr>
      <w:tr>
        <w:trPr>
          <w:trHeight w:val="283" w:hRule="atLeast"/>
        </w:trPr>
        <w:tc>
          <w:tcPr>
            <w:tcW w:w="491" w:type="dxa"/>
          </w:tcPr>
          <w:p>
            <w:pPr>
              <w:pStyle w:val="TableParagraph"/>
              <w:ind w:left="0"/>
              <w:rPr>
                <w:rFonts w:ascii="Times New Roman"/>
                <w:sz w:val="18"/>
              </w:rPr>
            </w:pPr>
          </w:p>
        </w:tc>
        <w:tc>
          <w:tcPr>
            <w:tcW w:w="3108" w:type="dxa"/>
          </w:tcPr>
          <w:p>
            <w:pPr>
              <w:pStyle w:val="TableParagraph"/>
              <w:spacing w:line="232" w:lineRule="exact"/>
              <w:ind w:left="108"/>
              <w:rPr>
                <w:sz w:val="18"/>
              </w:rPr>
            </w:pPr>
            <w:r>
              <w:rPr>
                <w:sz w:val="18"/>
              </w:rPr>
              <w:t>（或称慢性肾功能衰竭尿毒症期）</w:t>
            </w:r>
          </w:p>
        </w:tc>
        <w:tc>
          <w:tcPr>
            <w:tcW w:w="409" w:type="dxa"/>
          </w:tcPr>
          <w:p>
            <w:pPr>
              <w:pStyle w:val="TableParagraph"/>
              <w:spacing w:line="232" w:lineRule="exact"/>
              <w:ind w:left="98" w:right="90"/>
              <w:jc w:val="center"/>
              <w:rPr>
                <w:sz w:val="18"/>
              </w:rPr>
            </w:pPr>
            <w:r>
              <w:rPr>
                <w:sz w:val="18"/>
              </w:rPr>
              <w:t>33</w:t>
            </w:r>
          </w:p>
        </w:tc>
        <w:tc>
          <w:tcPr>
            <w:tcW w:w="3188" w:type="dxa"/>
          </w:tcPr>
          <w:p>
            <w:pPr>
              <w:pStyle w:val="TableParagraph"/>
              <w:spacing w:line="232" w:lineRule="exact"/>
              <w:ind w:left="105"/>
              <w:rPr>
                <w:sz w:val="18"/>
              </w:rPr>
            </w:pPr>
            <w:r>
              <w:rPr>
                <w:sz w:val="18"/>
              </w:rPr>
              <w:t>经输血导致的感染艾滋病病毒或者患</w:t>
            </w:r>
          </w:p>
        </w:tc>
      </w:tr>
      <w:tr>
        <w:trPr>
          <w:trHeight w:val="283" w:hRule="atLeast"/>
        </w:trPr>
        <w:tc>
          <w:tcPr>
            <w:tcW w:w="491" w:type="dxa"/>
          </w:tcPr>
          <w:p>
            <w:pPr>
              <w:pStyle w:val="TableParagraph"/>
              <w:spacing w:line="232" w:lineRule="exact"/>
              <w:ind w:left="200"/>
              <w:rPr>
                <w:sz w:val="18"/>
              </w:rPr>
            </w:pPr>
            <w:r>
              <w:rPr>
                <w:sz w:val="18"/>
              </w:rPr>
              <w:t>7</w:t>
            </w:r>
          </w:p>
        </w:tc>
        <w:tc>
          <w:tcPr>
            <w:tcW w:w="3108" w:type="dxa"/>
          </w:tcPr>
          <w:p>
            <w:pPr>
              <w:pStyle w:val="TableParagraph"/>
              <w:spacing w:line="232" w:lineRule="exact"/>
              <w:ind w:left="108"/>
              <w:rPr>
                <w:sz w:val="18"/>
              </w:rPr>
            </w:pPr>
            <w:r>
              <w:rPr>
                <w:sz w:val="18"/>
              </w:rPr>
              <w:t>多个肢体缺失</w:t>
            </w:r>
          </w:p>
        </w:tc>
        <w:tc>
          <w:tcPr>
            <w:tcW w:w="409" w:type="dxa"/>
          </w:tcPr>
          <w:p>
            <w:pPr>
              <w:pStyle w:val="TableParagraph"/>
              <w:ind w:left="0"/>
              <w:rPr>
                <w:rFonts w:ascii="Times New Roman"/>
                <w:sz w:val="18"/>
              </w:rPr>
            </w:pPr>
          </w:p>
        </w:tc>
        <w:tc>
          <w:tcPr>
            <w:tcW w:w="3188" w:type="dxa"/>
          </w:tcPr>
          <w:p>
            <w:pPr>
              <w:pStyle w:val="TableParagraph"/>
              <w:spacing w:line="232" w:lineRule="exact"/>
              <w:ind w:left="105"/>
              <w:rPr>
                <w:sz w:val="18"/>
              </w:rPr>
            </w:pPr>
            <w:r>
              <w:rPr>
                <w:sz w:val="18"/>
              </w:rPr>
              <w:t>艾滋病</w:t>
            </w:r>
          </w:p>
        </w:tc>
      </w:tr>
      <w:tr>
        <w:trPr>
          <w:trHeight w:val="282" w:hRule="atLeast"/>
        </w:trPr>
        <w:tc>
          <w:tcPr>
            <w:tcW w:w="491" w:type="dxa"/>
          </w:tcPr>
          <w:p>
            <w:pPr>
              <w:pStyle w:val="TableParagraph"/>
              <w:spacing w:line="232" w:lineRule="exact"/>
              <w:ind w:left="200"/>
              <w:rPr>
                <w:sz w:val="18"/>
              </w:rPr>
            </w:pPr>
            <w:r>
              <w:rPr>
                <w:sz w:val="18"/>
              </w:rPr>
              <w:t>8</w:t>
            </w:r>
          </w:p>
        </w:tc>
        <w:tc>
          <w:tcPr>
            <w:tcW w:w="3108" w:type="dxa"/>
          </w:tcPr>
          <w:p>
            <w:pPr>
              <w:pStyle w:val="TableParagraph"/>
              <w:spacing w:line="232" w:lineRule="exact"/>
              <w:ind w:left="108"/>
              <w:rPr>
                <w:sz w:val="18"/>
              </w:rPr>
            </w:pPr>
            <w:r>
              <w:rPr>
                <w:sz w:val="18"/>
              </w:rPr>
              <w:t>急性或亚急性重症肝炎</w:t>
            </w:r>
          </w:p>
        </w:tc>
        <w:tc>
          <w:tcPr>
            <w:tcW w:w="409" w:type="dxa"/>
          </w:tcPr>
          <w:p>
            <w:pPr>
              <w:pStyle w:val="TableParagraph"/>
              <w:spacing w:line="232" w:lineRule="exact"/>
              <w:ind w:left="98" w:right="89"/>
              <w:jc w:val="center"/>
              <w:rPr>
                <w:sz w:val="18"/>
              </w:rPr>
            </w:pPr>
            <w:r>
              <w:rPr>
                <w:sz w:val="18"/>
              </w:rPr>
              <w:t>34</w:t>
            </w:r>
          </w:p>
        </w:tc>
        <w:tc>
          <w:tcPr>
            <w:tcW w:w="3188" w:type="dxa"/>
          </w:tcPr>
          <w:p>
            <w:pPr>
              <w:pStyle w:val="TableParagraph"/>
              <w:spacing w:line="232" w:lineRule="exact"/>
              <w:ind w:left="105"/>
              <w:rPr>
                <w:sz w:val="18"/>
              </w:rPr>
            </w:pPr>
            <w:r>
              <w:rPr>
                <w:sz w:val="18"/>
              </w:rPr>
              <w:t>系统性红斑狼疮并发重度的肾功能损</w:t>
            </w:r>
          </w:p>
        </w:tc>
      </w:tr>
      <w:tr>
        <w:trPr>
          <w:trHeight w:val="284" w:hRule="atLeast"/>
        </w:trPr>
        <w:tc>
          <w:tcPr>
            <w:tcW w:w="491" w:type="dxa"/>
          </w:tcPr>
          <w:p>
            <w:pPr>
              <w:pStyle w:val="TableParagraph"/>
              <w:spacing w:line="230" w:lineRule="exact"/>
              <w:ind w:left="200"/>
              <w:rPr>
                <w:sz w:val="18"/>
              </w:rPr>
            </w:pPr>
            <w:r>
              <w:rPr>
                <w:sz w:val="18"/>
              </w:rPr>
              <w:t>9</w:t>
            </w:r>
          </w:p>
        </w:tc>
        <w:tc>
          <w:tcPr>
            <w:tcW w:w="3108" w:type="dxa"/>
          </w:tcPr>
          <w:p>
            <w:pPr>
              <w:pStyle w:val="TableParagraph"/>
              <w:spacing w:line="230" w:lineRule="exact"/>
              <w:ind w:left="108"/>
              <w:rPr>
                <w:sz w:val="18"/>
              </w:rPr>
            </w:pPr>
            <w:r>
              <w:rPr>
                <w:sz w:val="18"/>
              </w:rPr>
              <w:t>良性脑肿瘤</w:t>
            </w:r>
          </w:p>
        </w:tc>
        <w:tc>
          <w:tcPr>
            <w:tcW w:w="409" w:type="dxa"/>
          </w:tcPr>
          <w:p>
            <w:pPr>
              <w:pStyle w:val="TableParagraph"/>
              <w:ind w:left="0"/>
              <w:rPr>
                <w:rFonts w:ascii="Times New Roman"/>
                <w:sz w:val="18"/>
              </w:rPr>
            </w:pPr>
          </w:p>
        </w:tc>
        <w:tc>
          <w:tcPr>
            <w:tcW w:w="3188" w:type="dxa"/>
          </w:tcPr>
          <w:p>
            <w:pPr>
              <w:pStyle w:val="TableParagraph"/>
              <w:spacing w:line="230" w:lineRule="exact"/>
              <w:ind w:left="105"/>
              <w:rPr>
                <w:sz w:val="18"/>
              </w:rPr>
            </w:pPr>
            <w:r>
              <w:rPr>
                <w:sz w:val="18"/>
              </w:rPr>
              <w:t>害</w:t>
            </w:r>
          </w:p>
        </w:tc>
      </w:tr>
      <w:tr>
        <w:trPr>
          <w:trHeight w:val="300" w:hRule="atLeast"/>
        </w:trPr>
        <w:tc>
          <w:tcPr>
            <w:tcW w:w="491" w:type="dxa"/>
          </w:tcPr>
          <w:p>
            <w:pPr>
              <w:pStyle w:val="TableParagraph"/>
              <w:spacing w:line="234" w:lineRule="exact"/>
              <w:ind w:left="200"/>
              <w:rPr>
                <w:sz w:val="18"/>
              </w:rPr>
            </w:pPr>
            <w:r>
              <w:rPr>
                <w:sz w:val="18"/>
              </w:rPr>
              <w:t>10</w:t>
            </w:r>
          </w:p>
        </w:tc>
        <w:tc>
          <w:tcPr>
            <w:tcW w:w="3108" w:type="dxa"/>
          </w:tcPr>
          <w:p>
            <w:pPr>
              <w:pStyle w:val="TableParagraph"/>
              <w:spacing w:line="234" w:lineRule="exact"/>
              <w:ind w:left="108"/>
              <w:rPr>
                <w:sz w:val="18"/>
              </w:rPr>
            </w:pPr>
            <w:r>
              <w:rPr>
                <w:sz w:val="18"/>
              </w:rPr>
              <w:t>慢性肝功能衰竭失代偿期</w:t>
            </w:r>
          </w:p>
        </w:tc>
        <w:tc>
          <w:tcPr>
            <w:tcW w:w="409" w:type="dxa"/>
          </w:tcPr>
          <w:p>
            <w:pPr>
              <w:pStyle w:val="TableParagraph"/>
              <w:spacing w:line="234" w:lineRule="exact"/>
              <w:ind w:left="98" w:right="89"/>
              <w:jc w:val="center"/>
              <w:rPr>
                <w:sz w:val="18"/>
              </w:rPr>
            </w:pPr>
            <w:r>
              <w:rPr>
                <w:sz w:val="18"/>
              </w:rPr>
              <w:t>35</w:t>
            </w:r>
          </w:p>
        </w:tc>
        <w:tc>
          <w:tcPr>
            <w:tcW w:w="3188" w:type="dxa"/>
          </w:tcPr>
          <w:p>
            <w:pPr>
              <w:pStyle w:val="TableParagraph"/>
              <w:spacing w:line="234" w:lineRule="exact"/>
              <w:ind w:left="105"/>
              <w:rPr>
                <w:sz w:val="18"/>
              </w:rPr>
            </w:pPr>
            <w:r>
              <w:rPr>
                <w:sz w:val="18"/>
              </w:rPr>
              <w:t>重症肌无力</w:t>
            </w:r>
          </w:p>
        </w:tc>
      </w:tr>
      <w:tr>
        <w:trPr>
          <w:trHeight w:val="312" w:hRule="atLeast"/>
        </w:trPr>
        <w:tc>
          <w:tcPr>
            <w:tcW w:w="491" w:type="dxa"/>
          </w:tcPr>
          <w:p>
            <w:pPr>
              <w:pStyle w:val="TableParagraph"/>
              <w:spacing w:before="10"/>
              <w:ind w:left="200"/>
              <w:rPr>
                <w:sz w:val="18"/>
              </w:rPr>
            </w:pPr>
            <w:r>
              <w:rPr>
                <w:sz w:val="18"/>
              </w:rPr>
              <w:t>11</w:t>
            </w:r>
          </w:p>
        </w:tc>
        <w:tc>
          <w:tcPr>
            <w:tcW w:w="3108" w:type="dxa"/>
          </w:tcPr>
          <w:p>
            <w:pPr>
              <w:pStyle w:val="TableParagraph"/>
              <w:spacing w:before="10"/>
              <w:ind w:left="108"/>
              <w:rPr>
                <w:sz w:val="18"/>
              </w:rPr>
            </w:pPr>
            <w:r>
              <w:rPr>
                <w:sz w:val="18"/>
              </w:rPr>
              <w:t>脑炎后遗症或脑膜炎后遗症</w:t>
            </w:r>
          </w:p>
        </w:tc>
        <w:tc>
          <w:tcPr>
            <w:tcW w:w="409" w:type="dxa"/>
          </w:tcPr>
          <w:p>
            <w:pPr>
              <w:pStyle w:val="TableParagraph"/>
              <w:spacing w:before="10"/>
              <w:ind w:left="98" w:right="89"/>
              <w:jc w:val="center"/>
              <w:rPr>
                <w:sz w:val="18"/>
              </w:rPr>
            </w:pPr>
            <w:r>
              <w:rPr>
                <w:sz w:val="18"/>
              </w:rPr>
              <w:t>36</w:t>
            </w:r>
          </w:p>
        </w:tc>
        <w:tc>
          <w:tcPr>
            <w:tcW w:w="3188" w:type="dxa"/>
          </w:tcPr>
          <w:p>
            <w:pPr>
              <w:pStyle w:val="TableParagraph"/>
              <w:spacing w:before="10"/>
              <w:ind w:left="105"/>
              <w:rPr>
                <w:sz w:val="18"/>
              </w:rPr>
            </w:pPr>
            <w:r>
              <w:rPr>
                <w:sz w:val="18"/>
              </w:rPr>
              <w:t>持续植物人状态</w:t>
            </w:r>
          </w:p>
        </w:tc>
      </w:tr>
      <w:tr>
        <w:trPr>
          <w:trHeight w:val="311" w:hRule="atLeast"/>
        </w:trPr>
        <w:tc>
          <w:tcPr>
            <w:tcW w:w="491" w:type="dxa"/>
          </w:tcPr>
          <w:p>
            <w:pPr>
              <w:pStyle w:val="TableParagraph"/>
              <w:spacing w:before="10"/>
              <w:ind w:left="200"/>
              <w:rPr>
                <w:sz w:val="18"/>
              </w:rPr>
            </w:pPr>
            <w:r>
              <w:rPr>
                <w:sz w:val="18"/>
              </w:rPr>
              <w:t>12</w:t>
            </w:r>
          </w:p>
        </w:tc>
        <w:tc>
          <w:tcPr>
            <w:tcW w:w="3108" w:type="dxa"/>
          </w:tcPr>
          <w:p>
            <w:pPr>
              <w:pStyle w:val="TableParagraph"/>
              <w:spacing w:before="10"/>
              <w:ind w:left="108"/>
              <w:rPr>
                <w:sz w:val="18"/>
              </w:rPr>
            </w:pPr>
            <w:r>
              <w:rPr>
                <w:sz w:val="18"/>
              </w:rPr>
              <w:t>深度昏迷</w:t>
            </w:r>
          </w:p>
        </w:tc>
        <w:tc>
          <w:tcPr>
            <w:tcW w:w="409" w:type="dxa"/>
          </w:tcPr>
          <w:p>
            <w:pPr>
              <w:pStyle w:val="TableParagraph"/>
              <w:spacing w:before="10"/>
              <w:ind w:left="98" w:right="89"/>
              <w:jc w:val="center"/>
              <w:rPr>
                <w:sz w:val="18"/>
              </w:rPr>
            </w:pPr>
            <w:r>
              <w:rPr>
                <w:sz w:val="18"/>
              </w:rPr>
              <w:t>37</w:t>
            </w:r>
          </w:p>
        </w:tc>
        <w:tc>
          <w:tcPr>
            <w:tcW w:w="3188" w:type="dxa"/>
          </w:tcPr>
          <w:p>
            <w:pPr>
              <w:pStyle w:val="TableParagraph"/>
              <w:spacing w:before="10"/>
              <w:ind w:left="105"/>
              <w:rPr>
                <w:sz w:val="18"/>
              </w:rPr>
            </w:pPr>
            <w:r>
              <w:rPr>
                <w:sz w:val="18"/>
              </w:rPr>
              <w:t>严重心肌病</w:t>
            </w:r>
          </w:p>
        </w:tc>
      </w:tr>
      <w:tr>
        <w:trPr>
          <w:trHeight w:val="311" w:hRule="atLeast"/>
        </w:trPr>
        <w:tc>
          <w:tcPr>
            <w:tcW w:w="491" w:type="dxa"/>
          </w:tcPr>
          <w:p>
            <w:pPr>
              <w:pStyle w:val="TableParagraph"/>
              <w:spacing w:before="10"/>
              <w:ind w:left="200"/>
              <w:rPr>
                <w:sz w:val="18"/>
              </w:rPr>
            </w:pPr>
            <w:r>
              <w:rPr>
                <w:sz w:val="18"/>
              </w:rPr>
              <w:t>13</w:t>
            </w:r>
          </w:p>
        </w:tc>
        <w:tc>
          <w:tcPr>
            <w:tcW w:w="3108" w:type="dxa"/>
          </w:tcPr>
          <w:p>
            <w:pPr>
              <w:pStyle w:val="TableParagraph"/>
              <w:spacing w:before="10"/>
              <w:ind w:left="108"/>
              <w:rPr>
                <w:sz w:val="18"/>
              </w:rPr>
            </w:pPr>
            <w:r>
              <w:rPr>
                <w:sz w:val="18"/>
              </w:rPr>
              <w:t>双耳失聪</w:t>
            </w:r>
          </w:p>
        </w:tc>
        <w:tc>
          <w:tcPr>
            <w:tcW w:w="409" w:type="dxa"/>
          </w:tcPr>
          <w:p>
            <w:pPr>
              <w:pStyle w:val="TableParagraph"/>
              <w:spacing w:before="10"/>
              <w:ind w:left="98" w:right="89"/>
              <w:jc w:val="center"/>
              <w:rPr>
                <w:sz w:val="18"/>
              </w:rPr>
            </w:pPr>
            <w:r>
              <w:rPr>
                <w:sz w:val="18"/>
              </w:rPr>
              <w:t>38</w:t>
            </w:r>
          </w:p>
        </w:tc>
        <w:tc>
          <w:tcPr>
            <w:tcW w:w="3188" w:type="dxa"/>
          </w:tcPr>
          <w:p>
            <w:pPr>
              <w:pStyle w:val="TableParagraph"/>
              <w:spacing w:before="10"/>
              <w:ind w:left="105"/>
              <w:rPr>
                <w:sz w:val="18"/>
              </w:rPr>
            </w:pPr>
            <w:r>
              <w:rPr>
                <w:sz w:val="18"/>
              </w:rPr>
              <w:t>严重溃疡性结肠炎</w:t>
            </w:r>
          </w:p>
        </w:tc>
      </w:tr>
      <w:tr>
        <w:trPr>
          <w:trHeight w:val="312" w:hRule="atLeast"/>
        </w:trPr>
        <w:tc>
          <w:tcPr>
            <w:tcW w:w="491" w:type="dxa"/>
          </w:tcPr>
          <w:p>
            <w:pPr>
              <w:pStyle w:val="TableParagraph"/>
              <w:spacing w:before="10"/>
              <w:ind w:left="200"/>
              <w:rPr>
                <w:sz w:val="18"/>
              </w:rPr>
            </w:pPr>
            <w:r>
              <w:rPr>
                <w:sz w:val="18"/>
              </w:rPr>
              <w:t>14</w:t>
            </w:r>
          </w:p>
        </w:tc>
        <w:tc>
          <w:tcPr>
            <w:tcW w:w="3108" w:type="dxa"/>
          </w:tcPr>
          <w:p>
            <w:pPr>
              <w:pStyle w:val="TableParagraph"/>
              <w:spacing w:before="10"/>
              <w:ind w:left="108"/>
              <w:rPr>
                <w:sz w:val="18"/>
              </w:rPr>
            </w:pPr>
            <w:r>
              <w:rPr>
                <w:sz w:val="18"/>
              </w:rPr>
              <w:t>双目失明</w:t>
            </w:r>
          </w:p>
        </w:tc>
        <w:tc>
          <w:tcPr>
            <w:tcW w:w="409" w:type="dxa"/>
          </w:tcPr>
          <w:p>
            <w:pPr>
              <w:pStyle w:val="TableParagraph"/>
              <w:spacing w:before="10"/>
              <w:ind w:left="98" w:right="89"/>
              <w:jc w:val="center"/>
              <w:rPr>
                <w:sz w:val="18"/>
              </w:rPr>
            </w:pPr>
            <w:r>
              <w:rPr>
                <w:sz w:val="18"/>
              </w:rPr>
              <w:t>39</w:t>
            </w:r>
          </w:p>
        </w:tc>
        <w:tc>
          <w:tcPr>
            <w:tcW w:w="3188" w:type="dxa"/>
          </w:tcPr>
          <w:p>
            <w:pPr>
              <w:pStyle w:val="TableParagraph"/>
              <w:spacing w:before="10"/>
              <w:ind w:left="105"/>
              <w:rPr>
                <w:sz w:val="18"/>
              </w:rPr>
            </w:pPr>
            <w:r>
              <w:rPr>
                <w:sz w:val="18"/>
              </w:rPr>
              <w:t>溶血性链球菌引起的坏疽</w:t>
            </w:r>
          </w:p>
        </w:tc>
      </w:tr>
      <w:tr>
        <w:trPr>
          <w:trHeight w:val="311" w:hRule="atLeast"/>
        </w:trPr>
        <w:tc>
          <w:tcPr>
            <w:tcW w:w="491" w:type="dxa"/>
          </w:tcPr>
          <w:p>
            <w:pPr>
              <w:pStyle w:val="TableParagraph"/>
              <w:spacing w:before="10"/>
              <w:ind w:left="200"/>
              <w:rPr>
                <w:sz w:val="18"/>
              </w:rPr>
            </w:pPr>
            <w:r>
              <w:rPr>
                <w:sz w:val="18"/>
              </w:rPr>
              <w:t>15</w:t>
            </w:r>
          </w:p>
        </w:tc>
        <w:tc>
          <w:tcPr>
            <w:tcW w:w="3108" w:type="dxa"/>
          </w:tcPr>
          <w:p>
            <w:pPr>
              <w:pStyle w:val="TableParagraph"/>
              <w:spacing w:before="10"/>
              <w:ind w:left="108"/>
              <w:rPr>
                <w:sz w:val="18"/>
              </w:rPr>
            </w:pPr>
            <w:r>
              <w:rPr>
                <w:sz w:val="18"/>
              </w:rPr>
              <w:t>瘫痪</w:t>
            </w:r>
          </w:p>
        </w:tc>
        <w:tc>
          <w:tcPr>
            <w:tcW w:w="409" w:type="dxa"/>
          </w:tcPr>
          <w:p>
            <w:pPr>
              <w:pStyle w:val="TableParagraph"/>
              <w:spacing w:before="10"/>
              <w:ind w:left="98" w:right="89"/>
              <w:jc w:val="center"/>
              <w:rPr>
                <w:sz w:val="18"/>
              </w:rPr>
            </w:pPr>
            <w:r>
              <w:rPr>
                <w:sz w:val="18"/>
              </w:rPr>
              <w:t>40</w:t>
            </w:r>
          </w:p>
        </w:tc>
        <w:tc>
          <w:tcPr>
            <w:tcW w:w="3188" w:type="dxa"/>
          </w:tcPr>
          <w:p>
            <w:pPr>
              <w:pStyle w:val="TableParagraph"/>
              <w:spacing w:before="10"/>
              <w:ind w:left="105"/>
              <w:rPr>
                <w:sz w:val="18"/>
              </w:rPr>
            </w:pPr>
            <w:r>
              <w:rPr>
                <w:sz w:val="18"/>
              </w:rPr>
              <w:t>坏死性筋膜炎</w:t>
            </w:r>
          </w:p>
        </w:tc>
      </w:tr>
      <w:tr>
        <w:trPr>
          <w:trHeight w:val="312" w:hRule="atLeast"/>
        </w:trPr>
        <w:tc>
          <w:tcPr>
            <w:tcW w:w="491" w:type="dxa"/>
          </w:tcPr>
          <w:p>
            <w:pPr>
              <w:pStyle w:val="TableParagraph"/>
              <w:spacing w:before="10"/>
              <w:ind w:left="200"/>
              <w:rPr>
                <w:sz w:val="18"/>
              </w:rPr>
            </w:pPr>
            <w:r>
              <w:rPr>
                <w:sz w:val="18"/>
              </w:rPr>
              <w:t>16</w:t>
            </w:r>
          </w:p>
        </w:tc>
        <w:tc>
          <w:tcPr>
            <w:tcW w:w="3108" w:type="dxa"/>
          </w:tcPr>
          <w:p>
            <w:pPr>
              <w:pStyle w:val="TableParagraph"/>
              <w:spacing w:before="10"/>
              <w:ind w:left="108"/>
              <w:rPr>
                <w:sz w:val="18"/>
              </w:rPr>
            </w:pPr>
            <w:r>
              <w:rPr>
                <w:sz w:val="18"/>
              </w:rPr>
              <w:t>心脏瓣膜手术</w:t>
            </w:r>
          </w:p>
        </w:tc>
        <w:tc>
          <w:tcPr>
            <w:tcW w:w="409" w:type="dxa"/>
          </w:tcPr>
          <w:p>
            <w:pPr>
              <w:pStyle w:val="TableParagraph"/>
              <w:spacing w:before="10"/>
              <w:ind w:left="98" w:right="89"/>
              <w:jc w:val="center"/>
              <w:rPr>
                <w:sz w:val="18"/>
              </w:rPr>
            </w:pPr>
            <w:r>
              <w:rPr>
                <w:sz w:val="18"/>
              </w:rPr>
              <w:t>41</w:t>
            </w:r>
          </w:p>
        </w:tc>
        <w:tc>
          <w:tcPr>
            <w:tcW w:w="3188" w:type="dxa"/>
          </w:tcPr>
          <w:p>
            <w:pPr>
              <w:pStyle w:val="TableParagraph"/>
              <w:spacing w:before="10"/>
              <w:ind w:left="105"/>
              <w:rPr>
                <w:sz w:val="18"/>
              </w:rPr>
            </w:pPr>
            <w:r>
              <w:rPr>
                <w:sz w:val="18"/>
              </w:rPr>
              <w:t>系统性硬皮病</w:t>
            </w:r>
          </w:p>
        </w:tc>
      </w:tr>
      <w:tr>
        <w:trPr>
          <w:trHeight w:val="311" w:hRule="atLeast"/>
        </w:trPr>
        <w:tc>
          <w:tcPr>
            <w:tcW w:w="491" w:type="dxa"/>
          </w:tcPr>
          <w:p>
            <w:pPr>
              <w:pStyle w:val="TableParagraph"/>
              <w:spacing w:before="10"/>
              <w:ind w:left="200"/>
              <w:rPr>
                <w:sz w:val="18"/>
              </w:rPr>
            </w:pPr>
            <w:r>
              <w:rPr>
                <w:sz w:val="18"/>
              </w:rPr>
              <w:t>17</w:t>
            </w:r>
          </w:p>
        </w:tc>
        <w:tc>
          <w:tcPr>
            <w:tcW w:w="3108" w:type="dxa"/>
          </w:tcPr>
          <w:p>
            <w:pPr>
              <w:pStyle w:val="TableParagraph"/>
              <w:spacing w:before="10"/>
              <w:ind w:left="108"/>
              <w:rPr>
                <w:sz w:val="18"/>
              </w:rPr>
            </w:pPr>
            <w:r>
              <w:rPr>
                <w:sz w:val="18"/>
              </w:rPr>
              <w:t>严重阿尔茨海默病</w:t>
            </w:r>
          </w:p>
        </w:tc>
        <w:tc>
          <w:tcPr>
            <w:tcW w:w="409" w:type="dxa"/>
          </w:tcPr>
          <w:p>
            <w:pPr>
              <w:pStyle w:val="TableParagraph"/>
              <w:spacing w:before="10"/>
              <w:ind w:left="98" w:right="89"/>
              <w:jc w:val="center"/>
              <w:rPr>
                <w:sz w:val="18"/>
              </w:rPr>
            </w:pPr>
            <w:r>
              <w:rPr>
                <w:sz w:val="18"/>
              </w:rPr>
              <w:t>42</w:t>
            </w:r>
          </w:p>
        </w:tc>
        <w:tc>
          <w:tcPr>
            <w:tcW w:w="3188" w:type="dxa"/>
          </w:tcPr>
          <w:p>
            <w:pPr>
              <w:pStyle w:val="TableParagraph"/>
              <w:spacing w:before="10"/>
              <w:ind w:left="105"/>
              <w:rPr>
                <w:sz w:val="18"/>
              </w:rPr>
            </w:pPr>
            <w:r>
              <w:rPr>
                <w:sz w:val="18"/>
              </w:rPr>
              <w:t>严重克隆病</w:t>
            </w:r>
          </w:p>
        </w:tc>
      </w:tr>
      <w:tr>
        <w:trPr>
          <w:trHeight w:val="312" w:hRule="atLeast"/>
        </w:trPr>
        <w:tc>
          <w:tcPr>
            <w:tcW w:w="491" w:type="dxa"/>
          </w:tcPr>
          <w:p>
            <w:pPr>
              <w:pStyle w:val="TableParagraph"/>
              <w:spacing w:before="10"/>
              <w:ind w:left="200"/>
              <w:rPr>
                <w:sz w:val="18"/>
              </w:rPr>
            </w:pPr>
            <w:r>
              <w:rPr>
                <w:sz w:val="18"/>
              </w:rPr>
              <w:t>18</w:t>
            </w:r>
          </w:p>
        </w:tc>
        <w:tc>
          <w:tcPr>
            <w:tcW w:w="3108" w:type="dxa"/>
          </w:tcPr>
          <w:p>
            <w:pPr>
              <w:pStyle w:val="TableParagraph"/>
              <w:spacing w:before="10"/>
              <w:ind w:left="108"/>
              <w:rPr>
                <w:sz w:val="18"/>
              </w:rPr>
            </w:pPr>
            <w:r>
              <w:rPr>
                <w:sz w:val="18"/>
              </w:rPr>
              <w:t>严重脑损伤</w:t>
            </w:r>
          </w:p>
        </w:tc>
        <w:tc>
          <w:tcPr>
            <w:tcW w:w="409" w:type="dxa"/>
          </w:tcPr>
          <w:p>
            <w:pPr>
              <w:pStyle w:val="TableParagraph"/>
              <w:spacing w:before="10"/>
              <w:ind w:left="98" w:right="89"/>
              <w:jc w:val="center"/>
              <w:rPr>
                <w:sz w:val="18"/>
              </w:rPr>
            </w:pPr>
            <w:r>
              <w:rPr>
                <w:sz w:val="18"/>
              </w:rPr>
              <w:t>43</w:t>
            </w:r>
          </w:p>
        </w:tc>
        <w:tc>
          <w:tcPr>
            <w:tcW w:w="3188" w:type="dxa"/>
          </w:tcPr>
          <w:p>
            <w:pPr>
              <w:pStyle w:val="TableParagraph"/>
              <w:spacing w:before="10"/>
              <w:ind w:left="105"/>
              <w:rPr>
                <w:sz w:val="18"/>
              </w:rPr>
            </w:pPr>
            <w:r>
              <w:rPr>
                <w:sz w:val="18"/>
              </w:rPr>
              <w:t>非阿尔茨海默病所致严重痴呆</w:t>
            </w:r>
          </w:p>
        </w:tc>
      </w:tr>
      <w:tr>
        <w:trPr>
          <w:trHeight w:val="312" w:hRule="atLeast"/>
        </w:trPr>
        <w:tc>
          <w:tcPr>
            <w:tcW w:w="491" w:type="dxa"/>
          </w:tcPr>
          <w:p>
            <w:pPr>
              <w:pStyle w:val="TableParagraph"/>
              <w:spacing w:before="10"/>
              <w:ind w:left="200"/>
              <w:rPr>
                <w:sz w:val="18"/>
              </w:rPr>
            </w:pPr>
            <w:r>
              <w:rPr>
                <w:sz w:val="18"/>
              </w:rPr>
              <w:t>19</w:t>
            </w:r>
          </w:p>
        </w:tc>
        <w:tc>
          <w:tcPr>
            <w:tcW w:w="3108" w:type="dxa"/>
          </w:tcPr>
          <w:p>
            <w:pPr>
              <w:pStyle w:val="TableParagraph"/>
              <w:spacing w:before="10"/>
              <w:ind w:left="108"/>
              <w:rPr>
                <w:sz w:val="18"/>
              </w:rPr>
            </w:pPr>
            <w:r>
              <w:rPr>
                <w:sz w:val="18"/>
              </w:rPr>
              <w:t>严重帕金森病</w:t>
            </w:r>
          </w:p>
        </w:tc>
        <w:tc>
          <w:tcPr>
            <w:tcW w:w="409" w:type="dxa"/>
          </w:tcPr>
          <w:p>
            <w:pPr>
              <w:pStyle w:val="TableParagraph"/>
              <w:spacing w:before="10"/>
              <w:ind w:left="98" w:right="89"/>
              <w:jc w:val="center"/>
              <w:rPr>
                <w:sz w:val="18"/>
              </w:rPr>
            </w:pPr>
            <w:r>
              <w:rPr>
                <w:sz w:val="18"/>
              </w:rPr>
              <w:t>44</w:t>
            </w:r>
          </w:p>
        </w:tc>
        <w:tc>
          <w:tcPr>
            <w:tcW w:w="3188" w:type="dxa"/>
          </w:tcPr>
          <w:p>
            <w:pPr>
              <w:pStyle w:val="TableParagraph"/>
              <w:spacing w:before="10"/>
              <w:ind w:left="105"/>
              <w:rPr>
                <w:sz w:val="18"/>
              </w:rPr>
            </w:pPr>
            <w:r>
              <w:rPr>
                <w:sz w:val="18"/>
              </w:rPr>
              <w:t>严重冠心病</w:t>
            </w:r>
          </w:p>
        </w:tc>
      </w:tr>
      <w:tr>
        <w:trPr>
          <w:trHeight w:val="311" w:hRule="atLeast"/>
        </w:trPr>
        <w:tc>
          <w:tcPr>
            <w:tcW w:w="491" w:type="dxa"/>
          </w:tcPr>
          <w:p>
            <w:pPr>
              <w:pStyle w:val="TableParagraph"/>
              <w:spacing w:before="10"/>
              <w:ind w:left="200"/>
              <w:rPr>
                <w:sz w:val="18"/>
              </w:rPr>
            </w:pPr>
            <w:r>
              <w:rPr>
                <w:sz w:val="18"/>
              </w:rPr>
              <w:t>20</w:t>
            </w:r>
          </w:p>
        </w:tc>
        <w:tc>
          <w:tcPr>
            <w:tcW w:w="3108" w:type="dxa"/>
          </w:tcPr>
          <w:p>
            <w:pPr>
              <w:pStyle w:val="TableParagraph"/>
              <w:spacing w:before="10"/>
              <w:ind w:left="108"/>
              <w:rPr>
                <w:sz w:val="18"/>
              </w:rPr>
            </w:pPr>
            <w:r>
              <w:rPr>
                <w:sz w:val="18"/>
              </w:rPr>
              <w:t>严重Ⅲ度烧伤</w:t>
            </w:r>
          </w:p>
        </w:tc>
        <w:tc>
          <w:tcPr>
            <w:tcW w:w="409" w:type="dxa"/>
          </w:tcPr>
          <w:p>
            <w:pPr>
              <w:pStyle w:val="TableParagraph"/>
              <w:spacing w:before="10"/>
              <w:ind w:left="98" w:right="89"/>
              <w:jc w:val="center"/>
              <w:rPr>
                <w:sz w:val="18"/>
              </w:rPr>
            </w:pPr>
            <w:r>
              <w:rPr>
                <w:sz w:val="18"/>
              </w:rPr>
              <w:t>45</w:t>
            </w:r>
          </w:p>
        </w:tc>
        <w:tc>
          <w:tcPr>
            <w:tcW w:w="3188" w:type="dxa"/>
          </w:tcPr>
          <w:p>
            <w:pPr>
              <w:pStyle w:val="TableParagraph"/>
              <w:spacing w:before="10"/>
              <w:ind w:left="105"/>
              <w:rPr>
                <w:sz w:val="18"/>
              </w:rPr>
            </w:pPr>
            <w:r>
              <w:rPr>
                <w:sz w:val="18"/>
              </w:rPr>
              <w:t>脊髓灰质炎</w:t>
            </w:r>
          </w:p>
        </w:tc>
      </w:tr>
      <w:tr>
        <w:trPr>
          <w:trHeight w:val="312" w:hRule="atLeast"/>
        </w:trPr>
        <w:tc>
          <w:tcPr>
            <w:tcW w:w="491" w:type="dxa"/>
          </w:tcPr>
          <w:p>
            <w:pPr>
              <w:pStyle w:val="TableParagraph"/>
              <w:spacing w:before="10"/>
              <w:ind w:left="200"/>
              <w:rPr>
                <w:sz w:val="18"/>
              </w:rPr>
            </w:pPr>
            <w:r>
              <w:rPr>
                <w:sz w:val="18"/>
              </w:rPr>
              <w:t>21</w:t>
            </w:r>
          </w:p>
        </w:tc>
        <w:tc>
          <w:tcPr>
            <w:tcW w:w="3108" w:type="dxa"/>
          </w:tcPr>
          <w:p>
            <w:pPr>
              <w:pStyle w:val="TableParagraph"/>
              <w:spacing w:before="10"/>
              <w:ind w:left="108"/>
              <w:rPr>
                <w:sz w:val="18"/>
              </w:rPr>
            </w:pPr>
            <w:r>
              <w:rPr>
                <w:sz w:val="18"/>
              </w:rPr>
              <w:t>严重原发性肺动脉高压</w:t>
            </w:r>
          </w:p>
        </w:tc>
        <w:tc>
          <w:tcPr>
            <w:tcW w:w="409" w:type="dxa"/>
          </w:tcPr>
          <w:p>
            <w:pPr>
              <w:pStyle w:val="TableParagraph"/>
              <w:spacing w:before="10"/>
              <w:ind w:left="98" w:right="89"/>
              <w:jc w:val="center"/>
              <w:rPr>
                <w:sz w:val="18"/>
              </w:rPr>
            </w:pPr>
            <w:r>
              <w:rPr>
                <w:sz w:val="18"/>
              </w:rPr>
              <w:t>46</w:t>
            </w:r>
          </w:p>
        </w:tc>
        <w:tc>
          <w:tcPr>
            <w:tcW w:w="3188" w:type="dxa"/>
          </w:tcPr>
          <w:p>
            <w:pPr>
              <w:pStyle w:val="TableParagraph"/>
              <w:spacing w:before="10"/>
              <w:ind w:left="105"/>
              <w:rPr>
                <w:sz w:val="18"/>
              </w:rPr>
            </w:pPr>
            <w:r>
              <w:rPr>
                <w:sz w:val="18"/>
              </w:rPr>
              <w:t>严重哮喘</w:t>
            </w:r>
          </w:p>
        </w:tc>
      </w:tr>
      <w:tr>
        <w:trPr>
          <w:trHeight w:val="312" w:hRule="atLeast"/>
        </w:trPr>
        <w:tc>
          <w:tcPr>
            <w:tcW w:w="491" w:type="dxa"/>
          </w:tcPr>
          <w:p>
            <w:pPr>
              <w:pStyle w:val="TableParagraph"/>
              <w:spacing w:before="10"/>
              <w:ind w:left="200"/>
              <w:rPr>
                <w:sz w:val="18"/>
              </w:rPr>
            </w:pPr>
            <w:r>
              <w:rPr>
                <w:sz w:val="18"/>
              </w:rPr>
              <w:t>22</w:t>
            </w:r>
          </w:p>
        </w:tc>
        <w:tc>
          <w:tcPr>
            <w:tcW w:w="3108" w:type="dxa"/>
          </w:tcPr>
          <w:p>
            <w:pPr>
              <w:pStyle w:val="TableParagraph"/>
              <w:spacing w:before="10"/>
              <w:ind w:left="108"/>
              <w:rPr>
                <w:sz w:val="18"/>
              </w:rPr>
            </w:pPr>
            <w:r>
              <w:rPr>
                <w:sz w:val="18"/>
              </w:rPr>
              <w:t>严重运动神经元病</w:t>
            </w:r>
          </w:p>
        </w:tc>
        <w:tc>
          <w:tcPr>
            <w:tcW w:w="409" w:type="dxa"/>
          </w:tcPr>
          <w:p>
            <w:pPr>
              <w:pStyle w:val="TableParagraph"/>
              <w:spacing w:before="10"/>
              <w:ind w:left="98" w:right="89"/>
              <w:jc w:val="center"/>
              <w:rPr>
                <w:sz w:val="18"/>
              </w:rPr>
            </w:pPr>
            <w:r>
              <w:rPr>
                <w:sz w:val="18"/>
              </w:rPr>
              <w:t>47</w:t>
            </w:r>
          </w:p>
        </w:tc>
        <w:tc>
          <w:tcPr>
            <w:tcW w:w="3188" w:type="dxa"/>
          </w:tcPr>
          <w:p>
            <w:pPr>
              <w:pStyle w:val="TableParagraph"/>
              <w:spacing w:before="10"/>
              <w:ind w:left="105"/>
              <w:rPr>
                <w:sz w:val="18"/>
              </w:rPr>
            </w:pPr>
            <w:r>
              <w:rPr>
                <w:sz w:val="18"/>
              </w:rPr>
              <w:t>慢性肾上腺皮质功能衰竭</w:t>
            </w:r>
          </w:p>
        </w:tc>
      </w:tr>
      <w:tr>
        <w:trPr>
          <w:trHeight w:val="311" w:hRule="atLeast"/>
        </w:trPr>
        <w:tc>
          <w:tcPr>
            <w:tcW w:w="491" w:type="dxa"/>
          </w:tcPr>
          <w:p>
            <w:pPr>
              <w:pStyle w:val="TableParagraph"/>
              <w:spacing w:before="10"/>
              <w:ind w:left="200"/>
              <w:rPr>
                <w:sz w:val="18"/>
              </w:rPr>
            </w:pPr>
            <w:r>
              <w:rPr>
                <w:sz w:val="18"/>
              </w:rPr>
              <w:t>23</w:t>
            </w:r>
          </w:p>
        </w:tc>
        <w:tc>
          <w:tcPr>
            <w:tcW w:w="3108" w:type="dxa"/>
          </w:tcPr>
          <w:p>
            <w:pPr>
              <w:pStyle w:val="TableParagraph"/>
              <w:spacing w:before="10"/>
              <w:ind w:left="108"/>
              <w:rPr>
                <w:sz w:val="18"/>
              </w:rPr>
            </w:pPr>
            <w:r>
              <w:rPr>
                <w:sz w:val="18"/>
              </w:rPr>
              <w:t>语言能力丧失</w:t>
            </w:r>
          </w:p>
        </w:tc>
        <w:tc>
          <w:tcPr>
            <w:tcW w:w="409" w:type="dxa"/>
          </w:tcPr>
          <w:p>
            <w:pPr>
              <w:pStyle w:val="TableParagraph"/>
              <w:spacing w:before="10"/>
              <w:ind w:left="98" w:right="89"/>
              <w:jc w:val="center"/>
              <w:rPr>
                <w:sz w:val="18"/>
              </w:rPr>
            </w:pPr>
            <w:r>
              <w:rPr>
                <w:sz w:val="18"/>
              </w:rPr>
              <w:t>48</w:t>
            </w:r>
          </w:p>
        </w:tc>
        <w:tc>
          <w:tcPr>
            <w:tcW w:w="3188" w:type="dxa"/>
          </w:tcPr>
          <w:p>
            <w:pPr>
              <w:pStyle w:val="TableParagraph"/>
              <w:spacing w:before="10"/>
              <w:ind w:left="105"/>
              <w:rPr>
                <w:sz w:val="18"/>
              </w:rPr>
            </w:pPr>
            <w:r>
              <w:rPr>
                <w:sz w:val="18"/>
              </w:rPr>
              <w:t>埃博拉病毒感染</w:t>
            </w:r>
          </w:p>
        </w:tc>
      </w:tr>
      <w:tr>
        <w:trPr>
          <w:trHeight w:val="312" w:hRule="atLeast"/>
        </w:trPr>
        <w:tc>
          <w:tcPr>
            <w:tcW w:w="491" w:type="dxa"/>
          </w:tcPr>
          <w:p>
            <w:pPr>
              <w:pStyle w:val="TableParagraph"/>
              <w:spacing w:before="10"/>
              <w:ind w:left="200"/>
              <w:rPr>
                <w:sz w:val="18"/>
              </w:rPr>
            </w:pPr>
            <w:r>
              <w:rPr>
                <w:sz w:val="18"/>
              </w:rPr>
              <w:t>24</w:t>
            </w:r>
          </w:p>
        </w:tc>
        <w:tc>
          <w:tcPr>
            <w:tcW w:w="3108" w:type="dxa"/>
          </w:tcPr>
          <w:p>
            <w:pPr>
              <w:pStyle w:val="TableParagraph"/>
              <w:spacing w:before="10"/>
              <w:ind w:left="108"/>
              <w:rPr>
                <w:sz w:val="18"/>
              </w:rPr>
            </w:pPr>
            <w:r>
              <w:rPr>
                <w:sz w:val="18"/>
              </w:rPr>
              <w:t>重型再生障碍性贫血</w:t>
            </w:r>
          </w:p>
        </w:tc>
        <w:tc>
          <w:tcPr>
            <w:tcW w:w="409" w:type="dxa"/>
          </w:tcPr>
          <w:p>
            <w:pPr>
              <w:pStyle w:val="TableParagraph"/>
              <w:spacing w:before="10"/>
              <w:ind w:left="98" w:right="89"/>
              <w:jc w:val="center"/>
              <w:rPr>
                <w:sz w:val="18"/>
              </w:rPr>
            </w:pPr>
            <w:r>
              <w:rPr>
                <w:sz w:val="18"/>
              </w:rPr>
              <w:t>49</w:t>
            </w:r>
          </w:p>
        </w:tc>
        <w:tc>
          <w:tcPr>
            <w:tcW w:w="3188" w:type="dxa"/>
          </w:tcPr>
          <w:p>
            <w:pPr>
              <w:pStyle w:val="TableParagraph"/>
              <w:spacing w:before="10"/>
              <w:ind w:left="105"/>
              <w:rPr>
                <w:sz w:val="18"/>
              </w:rPr>
            </w:pPr>
            <w:r>
              <w:rPr>
                <w:sz w:val="18"/>
              </w:rPr>
              <w:t>原发性硬化性胆管炎</w:t>
            </w:r>
          </w:p>
        </w:tc>
      </w:tr>
      <w:tr>
        <w:trPr>
          <w:trHeight w:val="245" w:hRule="atLeast"/>
        </w:trPr>
        <w:tc>
          <w:tcPr>
            <w:tcW w:w="491" w:type="dxa"/>
          </w:tcPr>
          <w:p>
            <w:pPr>
              <w:pStyle w:val="TableParagraph"/>
              <w:spacing w:line="216" w:lineRule="exact" w:before="10"/>
              <w:ind w:left="200"/>
              <w:rPr>
                <w:sz w:val="18"/>
              </w:rPr>
            </w:pPr>
            <w:r>
              <w:rPr>
                <w:sz w:val="18"/>
              </w:rPr>
              <w:t>25</w:t>
            </w:r>
          </w:p>
        </w:tc>
        <w:tc>
          <w:tcPr>
            <w:tcW w:w="3108" w:type="dxa"/>
          </w:tcPr>
          <w:p>
            <w:pPr>
              <w:pStyle w:val="TableParagraph"/>
              <w:spacing w:line="216" w:lineRule="exact" w:before="10"/>
              <w:ind w:left="108"/>
              <w:rPr>
                <w:sz w:val="18"/>
              </w:rPr>
            </w:pPr>
            <w:r>
              <w:rPr>
                <w:sz w:val="18"/>
              </w:rPr>
              <w:t>主动脉手术</w:t>
            </w:r>
          </w:p>
        </w:tc>
        <w:tc>
          <w:tcPr>
            <w:tcW w:w="409" w:type="dxa"/>
          </w:tcPr>
          <w:p>
            <w:pPr>
              <w:pStyle w:val="TableParagraph"/>
              <w:spacing w:line="216" w:lineRule="exact" w:before="10"/>
              <w:ind w:left="98" w:right="89"/>
              <w:jc w:val="center"/>
              <w:rPr>
                <w:sz w:val="18"/>
              </w:rPr>
            </w:pPr>
            <w:r>
              <w:rPr>
                <w:sz w:val="18"/>
              </w:rPr>
              <w:t>50</w:t>
            </w:r>
          </w:p>
        </w:tc>
        <w:tc>
          <w:tcPr>
            <w:tcW w:w="3188" w:type="dxa"/>
          </w:tcPr>
          <w:p>
            <w:pPr>
              <w:pStyle w:val="TableParagraph"/>
              <w:spacing w:line="216" w:lineRule="exact" w:before="10"/>
              <w:ind w:left="105"/>
              <w:rPr>
                <w:sz w:val="18"/>
              </w:rPr>
            </w:pPr>
            <w:r>
              <w:rPr>
                <w:sz w:val="18"/>
              </w:rPr>
              <w:t>疯牛病</w:t>
            </w:r>
          </w:p>
        </w:tc>
      </w:tr>
    </w:tbl>
    <w:p>
      <w:pPr>
        <w:spacing w:after="0" w:line="216" w:lineRule="exact"/>
        <w:rPr>
          <w:sz w:val="18"/>
        </w:rPr>
        <w:sectPr>
          <w:type w:val="continuous"/>
          <w:pgSz w:w="11910" w:h="16840"/>
          <w:pgMar w:top="1360" w:bottom="280" w:left="860" w:right="8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7519"/>
      </w:tblGrid>
      <w:tr>
        <w:trPr>
          <w:trHeight w:val="985" w:hRule="atLeast"/>
        </w:trPr>
        <w:tc>
          <w:tcPr>
            <w:tcW w:w="2031" w:type="dxa"/>
          </w:tcPr>
          <w:p>
            <w:pPr>
              <w:pStyle w:val="TableParagraph"/>
              <w:ind w:left="0"/>
              <w:rPr>
                <w:rFonts w:ascii="Times New Roman"/>
                <w:sz w:val="20"/>
              </w:rPr>
            </w:pPr>
          </w:p>
        </w:tc>
        <w:tc>
          <w:tcPr>
            <w:tcW w:w="7519" w:type="dxa"/>
          </w:tcPr>
          <w:p>
            <w:pPr>
              <w:pStyle w:val="TableParagraph"/>
              <w:spacing w:line="230" w:lineRule="exact"/>
              <w:ind w:left="129"/>
              <w:rPr>
                <w:sz w:val="21"/>
              </w:rPr>
            </w:pPr>
            <w:r>
              <w:rPr>
                <w:sz w:val="21"/>
              </w:rPr>
              <w:t>以上各种重大疾病须本公司认可的</w:t>
            </w:r>
            <w:r>
              <w:rPr>
                <w:rFonts w:ascii="微软雅黑" w:eastAsia="微软雅黑" w:hint="eastAsia"/>
                <w:b/>
                <w:sz w:val="21"/>
              </w:rPr>
              <w:t>专科医生</w:t>
            </w:r>
            <w:r>
              <w:rPr>
                <w:sz w:val="21"/>
              </w:rPr>
              <w:t>明确诊断，符合以下定义（其中，</w:t>
            </w:r>
          </w:p>
          <w:p>
            <w:pPr>
              <w:pStyle w:val="TableParagraph"/>
              <w:spacing w:line="273" w:lineRule="auto" w:before="12"/>
              <w:ind w:left="129" w:right="305"/>
              <w:rPr>
                <w:sz w:val="21"/>
              </w:rPr>
            </w:pPr>
            <w:r>
              <w:rPr>
                <w:sz w:val="21"/>
              </w:rPr>
              <w:t>前25</w:t>
            </w:r>
            <w:r>
              <w:rPr>
                <w:spacing w:val="-6"/>
                <w:sz w:val="21"/>
              </w:rPr>
              <w:t>种重大疾病定义完全采用了中国保险行业协会发布的《重大疾病保险的疾</w:t>
            </w:r>
            <w:r>
              <w:rPr>
                <w:spacing w:val="-3"/>
                <w:w w:val="100"/>
                <w:sz w:val="21"/>
              </w:rPr>
              <w:t>病定义使用规范》中的疾病定义</w:t>
            </w:r>
            <w:r>
              <w:rPr>
                <w:spacing w:val="-106"/>
                <w:w w:val="100"/>
                <w:sz w:val="21"/>
              </w:rPr>
              <w:t>）</w:t>
            </w:r>
            <w:r>
              <w:rPr>
                <w:w w:val="100"/>
                <w:sz w:val="21"/>
              </w:rPr>
              <w:t>：</w:t>
            </w:r>
          </w:p>
        </w:tc>
      </w:tr>
      <w:tr>
        <w:trPr>
          <w:trHeight w:val="1714" w:hRule="atLeast"/>
        </w:trPr>
        <w:tc>
          <w:tcPr>
            <w:tcW w:w="2031" w:type="dxa"/>
          </w:tcPr>
          <w:p>
            <w:pPr>
              <w:pStyle w:val="TableParagraph"/>
              <w:spacing w:before="17"/>
              <w:ind w:left="200"/>
              <w:rPr>
                <w:rFonts w:ascii="微软雅黑" w:eastAsia="微软雅黑" w:hint="eastAsia"/>
                <w:b/>
                <w:sz w:val="21"/>
              </w:rPr>
            </w:pPr>
            <w:r>
              <w:rPr>
                <w:rFonts w:ascii="微软雅黑" w:eastAsia="微软雅黑" w:hint="eastAsia"/>
                <w:b/>
                <w:sz w:val="21"/>
              </w:rPr>
              <w:t>1.恶性肿瘤</w:t>
            </w:r>
          </w:p>
        </w:tc>
        <w:tc>
          <w:tcPr>
            <w:tcW w:w="7519" w:type="dxa"/>
          </w:tcPr>
          <w:p>
            <w:pPr>
              <w:pStyle w:val="TableParagraph"/>
              <w:spacing w:line="273" w:lineRule="auto" w:before="80"/>
              <w:ind w:left="129" w:right="303"/>
              <w:jc w:val="both"/>
              <w:rPr>
                <w:sz w:val="21"/>
              </w:rPr>
            </w:pPr>
            <w:r>
              <w:rPr>
                <w:spacing w:val="-6"/>
                <w:sz w:val="21"/>
              </w:rPr>
              <w:t>指恶性细胞不受控制的进行性增长和扩散，浸润和破坏周围正常组织，可以经</w:t>
            </w:r>
            <w:r>
              <w:rPr>
                <w:spacing w:val="-9"/>
                <w:sz w:val="21"/>
              </w:rPr>
              <w:t>血管、淋巴管和体腔扩散转移到身体其它部位的疾病。经病理学检查结果明确</w:t>
            </w:r>
            <w:r>
              <w:rPr>
                <w:spacing w:val="-3"/>
                <w:sz w:val="21"/>
              </w:rPr>
              <w:t>诊断，临床诊断属于世界卫生组织《 疾病和有关健康问题的国际统计分类》</w:t>
            </w:r>
          </w:p>
          <w:p>
            <w:pPr>
              <w:pStyle w:val="TableParagraph"/>
              <w:spacing w:line="273" w:lineRule="auto" w:before="8"/>
              <w:ind w:left="129" w:right="4652"/>
              <w:rPr>
                <w:sz w:val="21"/>
              </w:rPr>
            </w:pPr>
            <w:r>
              <w:rPr>
                <w:sz w:val="21"/>
              </w:rPr>
              <w:t>（ICD-10）的恶性肿瘤范畴。下列疾病不在保障范围内：</w:t>
            </w:r>
          </w:p>
        </w:tc>
      </w:tr>
      <w:tr>
        <w:trPr>
          <w:trHeight w:val="1992" w:hRule="atLeast"/>
        </w:trPr>
        <w:tc>
          <w:tcPr>
            <w:tcW w:w="2031" w:type="dxa"/>
          </w:tcPr>
          <w:p>
            <w:pPr>
              <w:pStyle w:val="TableParagraph"/>
              <w:ind w:left="0"/>
              <w:rPr>
                <w:rFonts w:ascii="Times New Roman"/>
                <w:sz w:val="20"/>
              </w:rPr>
            </w:pPr>
          </w:p>
        </w:tc>
        <w:tc>
          <w:tcPr>
            <w:tcW w:w="7519" w:type="dxa"/>
          </w:tcPr>
          <w:p>
            <w:pPr>
              <w:pStyle w:val="TableParagraph"/>
              <w:spacing w:before="35"/>
              <w:ind w:left="129"/>
              <w:rPr>
                <w:sz w:val="21"/>
              </w:rPr>
            </w:pPr>
            <w:r>
              <w:rPr>
                <w:sz w:val="21"/>
              </w:rPr>
              <w:t>（1）原位癌；</w:t>
            </w:r>
          </w:p>
          <w:p>
            <w:pPr>
              <w:pStyle w:val="TableParagraph"/>
              <w:spacing w:before="36"/>
              <w:ind w:left="129"/>
              <w:rPr>
                <w:sz w:val="21"/>
              </w:rPr>
            </w:pPr>
            <w:r>
              <w:rPr>
                <w:sz w:val="21"/>
              </w:rPr>
              <w:t>（2）相当于 Binet 分期方案 A 期程度的慢性淋巴细胞白血病；</w:t>
            </w:r>
          </w:p>
          <w:p>
            <w:pPr>
              <w:pStyle w:val="TableParagraph"/>
              <w:spacing w:before="37"/>
              <w:ind w:left="129"/>
              <w:rPr>
                <w:sz w:val="21"/>
              </w:rPr>
            </w:pPr>
            <w:r>
              <w:rPr>
                <w:sz w:val="21"/>
              </w:rPr>
              <w:t>（3）相当于 Ann Arbor 分期方案 I 期程度的何杰金氏病；</w:t>
            </w:r>
          </w:p>
          <w:p>
            <w:pPr>
              <w:pStyle w:val="TableParagraph"/>
              <w:spacing w:before="37"/>
              <w:ind w:left="12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2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29"/>
              <w:rPr>
                <w:sz w:val="21"/>
              </w:rPr>
            </w:pPr>
            <w:r>
              <w:rPr>
                <w:sz w:val="21"/>
              </w:rPr>
              <w:t>（6）感染艾滋病病毒或患艾滋病期间所患恶性肿瘤。</w:t>
            </w:r>
          </w:p>
        </w:tc>
      </w:tr>
      <w:tr>
        <w:trPr>
          <w:trHeight w:val="2357" w:hRule="atLeast"/>
        </w:trPr>
        <w:tc>
          <w:tcPr>
            <w:tcW w:w="2031" w:type="dxa"/>
          </w:tcPr>
          <w:p>
            <w:pPr>
              <w:pStyle w:val="TableParagraph"/>
              <w:spacing w:line="345" w:lineRule="exact"/>
              <w:ind w:left="200"/>
              <w:rPr>
                <w:rFonts w:ascii="微软雅黑" w:eastAsia="微软雅黑" w:hint="eastAsia"/>
                <w:b/>
                <w:sz w:val="21"/>
              </w:rPr>
            </w:pPr>
            <w:r>
              <w:rPr>
                <w:rFonts w:ascii="微软雅黑" w:eastAsia="微软雅黑" w:hint="eastAsia"/>
                <w:b/>
                <w:sz w:val="21"/>
              </w:rPr>
              <w:t>2.急性心肌梗塞</w:t>
            </w:r>
          </w:p>
        </w:tc>
        <w:tc>
          <w:tcPr>
            <w:tcW w:w="7519" w:type="dxa"/>
          </w:tcPr>
          <w:p>
            <w:pPr>
              <w:pStyle w:val="TableParagraph"/>
              <w:spacing w:line="273" w:lineRule="auto" w:before="45"/>
              <w:ind w:left="129" w:right="248"/>
              <w:rPr>
                <w:sz w:val="21"/>
              </w:rPr>
            </w:pPr>
            <w:r>
              <w:rPr>
                <w:sz w:val="21"/>
              </w:rPr>
              <w:t>指因冠状动脉阻塞导致的相应区域供血不足造成部分心肌坏死。须满足下列至少三项条件：</w:t>
            </w:r>
          </w:p>
          <w:p>
            <w:pPr>
              <w:pStyle w:val="TableParagraph"/>
              <w:spacing w:before="7"/>
              <w:ind w:left="129"/>
              <w:rPr>
                <w:sz w:val="21"/>
              </w:rPr>
            </w:pPr>
            <w:r>
              <w:rPr>
                <w:sz w:val="21"/>
              </w:rPr>
              <w:t>（1）典型临床表现，例如急性胸痛等；</w:t>
            </w:r>
          </w:p>
          <w:p>
            <w:pPr>
              <w:pStyle w:val="TableParagraph"/>
              <w:spacing w:before="36"/>
              <w:ind w:left="129"/>
              <w:rPr>
                <w:sz w:val="21"/>
              </w:rPr>
            </w:pPr>
            <w:r>
              <w:rPr>
                <w:sz w:val="21"/>
              </w:rPr>
              <w:t>（2）新近的心电图改变提示急性心肌梗塞；</w:t>
            </w:r>
          </w:p>
          <w:p>
            <w:pPr>
              <w:pStyle w:val="TableParagraph"/>
              <w:spacing w:line="273" w:lineRule="auto" w:before="36"/>
              <w:ind w:left="655" w:right="346" w:hanging="527"/>
              <w:rPr>
                <w:sz w:val="21"/>
              </w:rPr>
            </w:pPr>
            <w:r>
              <w:rPr>
                <w:sz w:val="21"/>
              </w:rPr>
              <w:t>（3）心肌酶或肌钙蛋白有诊断意义的升高，或呈符合急性心肌梗塞的动态性变化；</w:t>
            </w:r>
          </w:p>
          <w:p>
            <w:pPr>
              <w:pStyle w:val="TableParagraph"/>
              <w:spacing w:before="7"/>
              <w:ind w:left="129"/>
              <w:rPr>
                <w:sz w:val="21"/>
              </w:rPr>
            </w:pPr>
            <w:r>
              <w:rPr>
                <w:spacing w:val="-13"/>
                <w:sz w:val="21"/>
              </w:rPr>
              <w:t>（4）</w:t>
            </w:r>
            <w:r>
              <w:rPr>
                <w:spacing w:val="-16"/>
                <w:sz w:val="21"/>
              </w:rPr>
              <w:t>发病 </w:t>
            </w:r>
            <w:r>
              <w:rPr>
                <w:sz w:val="21"/>
              </w:rPr>
              <w:t>90</w:t>
            </w:r>
            <w:r>
              <w:rPr>
                <w:spacing w:val="-15"/>
                <w:sz w:val="21"/>
              </w:rPr>
              <w:t> 天后，经检查证实左心室功能降低，如左心室射血分数低于 </w:t>
            </w:r>
            <w:r>
              <w:rPr>
                <w:sz w:val="21"/>
              </w:rPr>
              <w:t>50%。</w:t>
            </w:r>
          </w:p>
        </w:tc>
      </w:tr>
      <w:tr>
        <w:trPr>
          <w:trHeight w:val="2396" w:hRule="atLeast"/>
        </w:trPr>
        <w:tc>
          <w:tcPr>
            <w:tcW w:w="2031" w:type="dxa"/>
          </w:tcPr>
          <w:p>
            <w:pPr>
              <w:pStyle w:val="TableParagraph"/>
              <w:spacing w:before="26"/>
              <w:ind w:left="200"/>
              <w:rPr>
                <w:rFonts w:ascii="微软雅黑" w:eastAsia="微软雅黑" w:hint="eastAsia"/>
                <w:b/>
                <w:sz w:val="21"/>
              </w:rPr>
            </w:pPr>
            <w:r>
              <w:rPr>
                <w:rFonts w:ascii="微软雅黑" w:eastAsia="微软雅黑" w:hint="eastAsia"/>
                <w:b/>
                <w:sz w:val="21"/>
              </w:rPr>
              <w:t>3.脑中风后遗症</w:t>
            </w:r>
          </w:p>
        </w:tc>
        <w:tc>
          <w:tcPr>
            <w:tcW w:w="7519" w:type="dxa"/>
          </w:tcPr>
          <w:p>
            <w:pPr>
              <w:pStyle w:val="TableParagraph"/>
              <w:spacing w:line="273" w:lineRule="auto" w:before="88"/>
              <w:ind w:left="129" w:right="303"/>
              <w:jc w:val="both"/>
              <w:rPr>
                <w:sz w:val="21"/>
              </w:rPr>
            </w:pPr>
            <w:r>
              <w:rPr>
                <w:spacing w:val="-7"/>
                <w:sz w:val="21"/>
              </w:rPr>
              <w:t>指因脑血管的突发病变引起脑血管出血、栓塞或梗塞，并导致神经系统永久性</w:t>
            </w:r>
            <w:r>
              <w:rPr>
                <w:spacing w:val="-10"/>
                <w:sz w:val="21"/>
              </w:rPr>
              <w:t>的功能障碍。神经系统永久性的功能障碍，指疾病确诊 </w:t>
            </w:r>
            <w:r>
              <w:rPr>
                <w:sz w:val="21"/>
              </w:rPr>
              <w:t>180</w:t>
            </w:r>
            <w:r>
              <w:rPr>
                <w:spacing w:val="-10"/>
                <w:sz w:val="21"/>
              </w:rPr>
              <w:t> 天后，仍遗留下列</w:t>
            </w:r>
            <w:r>
              <w:rPr>
                <w:spacing w:val="-5"/>
                <w:sz w:val="21"/>
              </w:rPr>
              <w:t>一种或一种以上障碍：</w:t>
            </w:r>
          </w:p>
          <w:p>
            <w:pPr>
              <w:pStyle w:val="TableParagraph"/>
              <w:spacing w:before="7"/>
              <w:ind w:left="129"/>
              <w:rPr>
                <w:sz w:val="21"/>
              </w:rPr>
            </w:pPr>
            <w:r>
              <w:rPr>
                <w:sz w:val="21"/>
              </w:rPr>
              <w:t>（1）一肢或一肢以上肢体机能完全丧失；</w:t>
            </w:r>
          </w:p>
          <w:p>
            <w:pPr>
              <w:pStyle w:val="TableParagraph"/>
              <w:spacing w:line="262" w:lineRule="exact" w:before="36"/>
              <w:ind w:left="129"/>
              <w:rPr>
                <w:sz w:val="21"/>
              </w:rPr>
            </w:pPr>
            <w:r>
              <w:rPr>
                <w:sz w:val="21"/>
              </w:rPr>
              <w:t>（2）语言能力或咀嚼吞咽能力完全丧失；</w:t>
            </w:r>
          </w:p>
          <w:p>
            <w:pPr>
              <w:pStyle w:val="TableParagraph"/>
              <w:spacing w:line="247" w:lineRule="auto"/>
              <w:ind w:left="129" w:right="339"/>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tc>
      </w:tr>
      <w:tr>
        <w:trPr>
          <w:trHeight w:val="1702" w:hRule="atLeast"/>
        </w:trPr>
        <w:tc>
          <w:tcPr>
            <w:tcW w:w="2031" w:type="dxa"/>
          </w:tcPr>
          <w:p>
            <w:pPr>
              <w:pStyle w:val="TableParagraph"/>
              <w:spacing w:line="206" w:lineRule="auto" w:before="73"/>
              <w:ind w:left="423" w:right="127" w:hanging="224"/>
              <w:jc w:val="both"/>
              <w:rPr>
                <w:rFonts w:ascii="微软雅黑" w:eastAsia="微软雅黑" w:hint="eastAsia"/>
                <w:b/>
                <w:sz w:val="21"/>
              </w:rPr>
            </w:pPr>
            <w:r>
              <w:rPr>
                <w:rFonts w:ascii="微软雅黑" w:eastAsia="微软雅黑" w:hint="eastAsia"/>
                <w:b/>
                <w:sz w:val="21"/>
              </w:rPr>
              <w:t>4.重大器官移植术或造血干细胞移植术</w:t>
            </w:r>
          </w:p>
        </w:tc>
        <w:tc>
          <w:tcPr>
            <w:tcW w:w="7519" w:type="dxa"/>
          </w:tcPr>
          <w:p>
            <w:pPr>
              <w:pStyle w:val="TableParagraph"/>
              <w:spacing w:line="273" w:lineRule="auto" w:before="84"/>
              <w:ind w:left="129" w:right="306"/>
              <w:jc w:val="both"/>
              <w:rPr>
                <w:sz w:val="21"/>
              </w:rPr>
            </w:pPr>
            <w:r>
              <w:rPr>
                <w:spacing w:val="-8"/>
                <w:sz w:val="21"/>
              </w:rPr>
              <w:t>重大器官移植术，指因相应器官功能衰竭，已经实施了肾脏、肝脏、心脏或肺</w:t>
            </w:r>
            <w:r>
              <w:rPr>
                <w:spacing w:val="-5"/>
                <w:sz w:val="21"/>
              </w:rPr>
              <w:t>脏的异体移植手术。</w:t>
            </w:r>
          </w:p>
          <w:p>
            <w:pPr>
              <w:pStyle w:val="TableParagraph"/>
              <w:spacing w:line="273" w:lineRule="auto" w:before="7"/>
              <w:ind w:left="129" w:right="303"/>
              <w:jc w:val="both"/>
              <w:rPr>
                <w:sz w:val="21"/>
              </w:rPr>
            </w:pPr>
            <w:r>
              <w:rPr>
                <w:spacing w:val="-8"/>
                <w:sz w:val="21"/>
              </w:rPr>
              <w:t>造血干细胞移植术，指因造血功能损害或造血系统恶性肿瘤，已经实施了造血</w:t>
            </w:r>
            <w:r>
              <w:rPr>
                <w:spacing w:val="-13"/>
                <w:sz w:val="21"/>
              </w:rPr>
              <w:t>干细胞</w:t>
            </w:r>
            <w:r>
              <w:rPr>
                <w:spacing w:val="-3"/>
                <w:sz w:val="21"/>
              </w:rPr>
              <w:t>（</w:t>
            </w:r>
            <w:r>
              <w:rPr>
                <w:spacing w:val="-5"/>
                <w:sz w:val="21"/>
              </w:rPr>
              <w:t>包括骨髓造血干细胞、外周血造血干细胞和脐血造血干细胞</w:t>
            </w:r>
            <w:r>
              <w:rPr>
                <w:spacing w:val="-20"/>
                <w:sz w:val="21"/>
              </w:rPr>
              <w:t>）</w:t>
            </w:r>
            <w:r>
              <w:rPr>
                <w:spacing w:val="-2"/>
                <w:sz w:val="21"/>
              </w:rPr>
              <w:t>的异体</w:t>
            </w:r>
            <w:r>
              <w:rPr>
                <w:spacing w:val="-3"/>
                <w:sz w:val="21"/>
              </w:rPr>
              <w:t>移植手术。</w:t>
            </w:r>
          </w:p>
        </w:tc>
      </w:tr>
      <w:tr>
        <w:trPr>
          <w:trHeight w:val="1368" w:hRule="atLeast"/>
        </w:trPr>
        <w:tc>
          <w:tcPr>
            <w:tcW w:w="2031" w:type="dxa"/>
          </w:tcPr>
          <w:p>
            <w:pPr>
              <w:pStyle w:val="TableParagraph"/>
              <w:spacing w:line="292" w:lineRule="exact"/>
              <w:ind w:left="200"/>
              <w:rPr>
                <w:rFonts w:ascii="微软雅黑" w:eastAsia="微软雅黑" w:hint="eastAsia"/>
                <w:b/>
                <w:sz w:val="21"/>
              </w:rPr>
            </w:pPr>
            <w:r>
              <w:rPr>
                <w:rFonts w:ascii="微软雅黑" w:eastAsia="微软雅黑" w:hint="eastAsia"/>
                <w:b/>
                <w:sz w:val="21"/>
              </w:rPr>
              <w:t>5.冠状动脉搭桥术</w:t>
            </w:r>
          </w:p>
          <w:p>
            <w:pPr>
              <w:pStyle w:val="TableParagraph"/>
              <w:spacing w:line="206" w:lineRule="auto" w:before="25"/>
              <w:ind w:left="423" w:right="127"/>
              <w:rPr>
                <w:rFonts w:ascii="微软雅黑" w:eastAsia="微软雅黑" w:hint="eastAsia"/>
                <w:b/>
                <w:sz w:val="21"/>
              </w:rPr>
            </w:pPr>
            <w:r>
              <w:rPr>
                <w:rFonts w:ascii="微软雅黑" w:eastAsia="微软雅黑" w:hint="eastAsia"/>
                <w:b/>
                <w:sz w:val="21"/>
              </w:rPr>
              <w:t>（或称冠状动脉旁路移植术）</w:t>
            </w:r>
          </w:p>
        </w:tc>
        <w:tc>
          <w:tcPr>
            <w:tcW w:w="7519" w:type="dxa"/>
          </w:tcPr>
          <w:p>
            <w:pPr>
              <w:pStyle w:val="TableParagraph"/>
              <w:spacing w:line="273" w:lineRule="auto" w:before="17"/>
              <w:ind w:left="129" w:right="450"/>
              <w:rPr>
                <w:sz w:val="21"/>
              </w:rPr>
            </w:pPr>
            <w:r>
              <w:rPr>
                <w:sz w:val="21"/>
              </w:rPr>
              <w:t>指为治疗严重的冠心病，实际实施了开胸进行的冠状动脉血管旁路移植的手术。</w:t>
            </w:r>
          </w:p>
          <w:p>
            <w:pPr>
              <w:pStyle w:val="TableParagraph"/>
              <w:spacing w:line="273" w:lineRule="auto" w:before="7"/>
              <w:ind w:left="129" w:right="303"/>
              <w:rPr>
                <w:sz w:val="21"/>
              </w:rPr>
            </w:pPr>
            <w:r>
              <w:rPr>
                <w:spacing w:val="-8"/>
                <w:sz w:val="21"/>
              </w:rPr>
              <w:t>冠状动脉支架植入术、心导管球囊扩张术、激光射频技术及其它非开胸的介入</w:t>
            </w:r>
            <w:r>
              <w:rPr>
                <w:spacing w:val="-5"/>
                <w:sz w:val="21"/>
              </w:rPr>
              <w:t>手术、腔镜手术不在保障范围内。</w:t>
            </w:r>
          </w:p>
        </w:tc>
      </w:tr>
      <w:tr>
        <w:trPr>
          <w:trHeight w:val="1111" w:hRule="atLeast"/>
        </w:trPr>
        <w:tc>
          <w:tcPr>
            <w:tcW w:w="2031" w:type="dxa"/>
          </w:tcPr>
          <w:p>
            <w:pPr>
              <w:pStyle w:val="TableParagraph"/>
              <w:spacing w:line="206" w:lineRule="auto" w:before="51"/>
              <w:ind w:left="423" w:right="127" w:hanging="224"/>
              <w:jc w:val="both"/>
              <w:rPr>
                <w:rFonts w:ascii="微软雅黑" w:eastAsia="微软雅黑" w:hint="eastAsia"/>
                <w:b/>
                <w:sz w:val="21"/>
              </w:rPr>
            </w:pPr>
            <w:r>
              <w:rPr>
                <w:rFonts w:ascii="微软雅黑" w:eastAsia="微软雅黑" w:hint="eastAsia"/>
                <w:b/>
                <w:sz w:val="21"/>
              </w:rPr>
              <w:t>6.终末期肾病（或称慢性肾功能衰竭尿毒症期）</w:t>
            </w:r>
          </w:p>
        </w:tc>
        <w:tc>
          <w:tcPr>
            <w:tcW w:w="7519" w:type="dxa"/>
          </w:tcPr>
          <w:p>
            <w:pPr>
              <w:pStyle w:val="TableParagraph"/>
              <w:spacing w:line="273" w:lineRule="auto" w:before="63"/>
              <w:ind w:left="129" w:right="337"/>
              <w:rPr>
                <w:sz w:val="21"/>
              </w:rPr>
            </w:pPr>
            <w:r>
              <w:rPr>
                <w:sz w:val="21"/>
              </w:rPr>
              <w:t>指双肾功能慢性不可逆性衰竭，达到尿毒症期，经诊断后已经进行了至少 90 天的规律性透析治疗或实施了肾脏移植手术。</w:t>
            </w:r>
          </w:p>
        </w:tc>
      </w:tr>
      <w:tr>
        <w:trPr>
          <w:trHeight w:val="666" w:hRule="atLeast"/>
        </w:trPr>
        <w:tc>
          <w:tcPr>
            <w:tcW w:w="2031" w:type="dxa"/>
          </w:tcPr>
          <w:p>
            <w:pPr>
              <w:pStyle w:val="TableParagraph"/>
              <w:spacing w:before="10"/>
              <w:ind w:left="200"/>
              <w:rPr>
                <w:rFonts w:ascii="微软雅黑" w:eastAsia="微软雅黑" w:hint="eastAsia"/>
                <w:b/>
                <w:sz w:val="21"/>
              </w:rPr>
            </w:pPr>
            <w:r>
              <w:rPr>
                <w:rFonts w:ascii="微软雅黑" w:eastAsia="微软雅黑" w:hint="eastAsia"/>
                <w:b/>
                <w:sz w:val="21"/>
              </w:rPr>
              <w:t>7.多个肢体缺失</w:t>
            </w:r>
          </w:p>
        </w:tc>
        <w:tc>
          <w:tcPr>
            <w:tcW w:w="7519" w:type="dxa"/>
          </w:tcPr>
          <w:p>
            <w:pPr>
              <w:pStyle w:val="TableParagraph"/>
              <w:spacing w:line="310" w:lineRule="atLeast" w:before="37"/>
              <w:ind w:left="129" w:right="236"/>
              <w:rPr>
                <w:sz w:val="21"/>
              </w:rPr>
            </w:pPr>
            <w:r>
              <w:rPr>
                <w:sz w:val="21"/>
              </w:rPr>
              <w:t>指因疾病或意外伤害导致两个或两个以上肢体自腕关节或踝关节近端（靠近躯干端）以上完全性断离。</w:t>
            </w:r>
          </w:p>
        </w:tc>
      </w:tr>
    </w:tbl>
    <w:p>
      <w:pPr>
        <w:spacing w:after="0" w:line="310" w:lineRule="atLeast"/>
        <w:rPr>
          <w:sz w:val="21"/>
        </w:rPr>
        <w:sectPr>
          <w:pgSz w:w="11910" w:h="16840"/>
          <w:pgMar w:header="0" w:footer="375" w:top="1340" w:bottom="560" w:left="1480" w:right="6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7412"/>
      </w:tblGrid>
      <w:tr>
        <w:trPr>
          <w:trHeight w:val="1942" w:hRule="atLeast"/>
        </w:trPr>
        <w:tc>
          <w:tcPr>
            <w:tcW w:w="2034" w:type="dxa"/>
          </w:tcPr>
          <w:p>
            <w:pPr>
              <w:pStyle w:val="TableParagraph"/>
              <w:spacing w:line="204" w:lineRule="exact"/>
              <w:ind w:left="200"/>
              <w:rPr>
                <w:rFonts w:ascii="微软雅黑" w:eastAsia="微软雅黑" w:hint="eastAsia"/>
                <w:b/>
                <w:sz w:val="21"/>
              </w:rPr>
            </w:pPr>
            <w:r>
              <w:rPr>
                <w:rFonts w:ascii="微软雅黑" w:eastAsia="微软雅黑" w:hint="eastAsia"/>
                <w:b/>
                <w:sz w:val="21"/>
              </w:rPr>
              <w:t>8.急性或亚急性重</w:t>
            </w:r>
          </w:p>
          <w:p>
            <w:pPr>
              <w:pStyle w:val="TableParagraph"/>
              <w:spacing w:line="337" w:lineRule="exact"/>
              <w:ind w:left="423"/>
              <w:rPr>
                <w:rFonts w:ascii="微软雅黑" w:eastAsia="微软雅黑" w:hint="eastAsia"/>
                <w:b/>
                <w:sz w:val="21"/>
              </w:rPr>
            </w:pPr>
            <w:r>
              <w:rPr>
                <w:rFonts w:ascii="微软雅黑" w:eastAsia="微软雅黑" w:hint="eastAsia"/>
                <w:b/>
                <w:sz w:val="21"/>
              </w:rPr>
              <w:t>症肝炎</w:t>
            </w:r>
          </w:p>
        </w:tc>
        <w:tc>
          <w:tcPr>
            <w:tcW w:w="7412" w:type="dxa"/>
          </w:tcPr>
          <w:p>
            <w:pPr>
              <w:pStyle w:val="TableParagraph"/>
              <w:spacing w:line="204" w:lineRule="exact"/>
              <w:ind w:left="126"/>
              <w:rPr>
                <w:sz w:val="21"/>
              </w:rPr>
            </w:pPr>
            <w:r>
              <w:rPr>
                <w:sz w:val="21"/>
              </w:rPr>
              <w:t>指因肝炎病毒感染引起肝脏组织弥漫性坏死，导致急性肝功能衰竭，且经血清</w:t>
            </w:r>
          </w:p>
          <w:p>
            <w:pPr>
              <w:pStyle w:val="TableParagraph"/>
              <w:spacing w:before="37"/>
              <w:ind w:left="126"/>
              <w:rPr>
                <w:sz w:val="21"/>
              </w:rPr>
            </w:pPr>
            <w:r>
              <w:rPr>
                <w:sz w:val="21"/>
              </w:rPr>
              <w:t>学或病毒学检查证实，并须满足下列全部条件：</w:t>
            </w:r>
          </w:p>
          <w:p>
            <w:pPr>
              <w:pStyle w:val="TableParagraph"/>
              <w:spacing w:before="37"/>
              <w:ind w:left="126"/>
              <w:rPr>
                <w:sz w:val="21"/>
              </w:rPr>
            </w:pPr>
            <w:r>
              <w:rPr>
                <w:sz w:val="21"/>
              </w:rPr>
              <w:t>（1）重度黄疸或黄疸迅速加重；</w:t>
            </w:r>
          </w:p>
          <w:p>
            <w:pPr>
              <w:pStyle w:val="TableParagraph"/>
              <w:spacing w:before="37"/>
              <w:ind w:left="126"/>
              <w:rPr>
                <w:sz w:val="21"/>
              </w:rPr>
            </w:pPr>
            <w:r>
              <w:rPr>
                <w:sz w:val="21"/>
              </w:rPr>
              <w:t>（2）肝性脑病；</w:t>
            </w:r>
          </w:p>
          <w:p>
            <w:pPr>
              <w:pStyle w:val="TableParagraph"/>
              <w:spacing w:before="37"/>
              <w:ind w:left="126"/>
              <w:rPr>
                <w:sz w:val="21"/>
              </w:rPr>
            </w:pPr>
            <w:r>
              <w:rPr>
                <w:sz w:val="21"/>
              </w:rPr>
              <w:t>（3）B 超或其它影像学检查显示肝脏体积急速萎缩；</w:t>
            </w:r>
          </w:p>
          <w:p>
            <w:pPr>
              <w:pStyle w:val="TableParagraph"/>
              <w:spacing w:before="37"/>
              <w:ind w:left="126"/>
              <w:rPr>
                <w:sz w:val="21"/>
              </w:rPr>
            </w:pPr>
            <w:r>
              <w:rPr>
                <w:sz w:val="21"/>
              </w:rPr>
              <w:t>（4）肝功能指标进行性恶化。</w:t>
            </w:r>
          </w:p>
        </w:tc>
      </w:tr>
      <w:tr>
        <w:trPr>
          <w:trHeight w:val="2390" w:hRule="atLeast"/>
        </w:trPr>
        <w:tc>
          <w:tcPr>
            <w:tcW w:w="2034" w:type="dxa"/>
          </w:tcPr>
          <w:p>
            <w:pPr>
              <w:pStyle w:val="TableParagraph"/>
              <w:spacing w:before="38"/>
              <w:ind w:left="200"/>
              <w:rPr>
                <w:rFonts w:ascii="微软雅黑" w:eastAsia="微软雅黑" w:hint="eastAsia"/>
                <w:b/>
                <w:sz w:val="21"/>
              </w:rPr>
            </w:pPr>
            <w:r>
              <w:rPr>
                <w:rFonts w:ascii="微软雅黑" w:eastAsia="微软雅黑" w:hint="eastAsia"/>
                <w:b/>
                <w:sz w:val="21"/>
              </w:rPr>
              <w:t>9.良性脑肿瘤</w:t>
            </w:r>
          </w:p>
        </w:tc>
        <w:tc>
          <w:tcPr>
            <w:tcW w:w="7412" w:type="dxa"/>
          </w:tcPr>
          <w:p>
            <w:pPr>
              <w:pStyle w:val="TableParagraph"/>
              <w:spacing w:line="273" w:lineRule="auto" w:before="100"/>
              <w:ind w:left="126" w:right="201"/>
              <w:jc w:val="both"/>
              <w:rPr>
                <w:sz w:val="21"/>
              </w:rPr>
            </w:pPr>
            <w:r>
              <w:rPr>
                <w:spacing w:val="-8"/>
                <w:sz w:val="21"/>
              </w:rPr>
              <w:t>指脑的良性肿瘤，已经引起颅内压增高，临床表现为视神经乳头水肿、精神症</w:t>
            </w:r>
            <w:r>
              <w:rPr>
                <w:spacing w:val="-5"/>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w:t>
            </w:r>
            <w:r>
              <w:rPr>
                <w:spacing w:val="-7"/>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w:t>
            </w:r>
            <w:r>
              <w:rPr>
                <w:spacing w:val="-4"/>
                <w:sz w:val="21"/>
              </w:rPr>
              <w:t>列至少一项条件：</w:t>
            </w:r>
          </w:p>
          <w:p>
            <w:pPr>
              <w:pStyle w:val="TableParagraph"/>
              <w:spacing w:before="8"/>
              <w:ind w:left="126"/>
              <w:jc w:val="both"/>
              <w:rPr>
                <w:sz w:val="21"/>
              </w:rPr>
            </w:pPr>
            <w:r>
              <w:rPr>
                <w:sz w:val="21"/>
              </w:rPr>
              <w:t>（1）实际实施了开颅进行的脑肿瘤完全切除或部分切除的手术；</w:t>
            </w:r>
          </w:p>
          <w:p>
            <w:pPr>
              <w:pStyle w:val="TableParagraph"/>
              <w:spacing w:before="37"/>
              <w:ind w:left="126"/>
              <w:jc w:val="both"/>
              <w:rPr>
                <w:sz w:val="21"/>
              </w:rPr>
            </w:pPr>
            <w:r>
              <w:rPr>
                <w:sz w:val="21"/>
              </w:rPr>
              <w:t>（2）实际实施了对脑肿瘤进行的放射治疗。</w:t>
            </w:r>
          </w:p>
          <w:p>
            <w:pPr>
              <w:pStyle w:val="TableParagraph"/>
              <w:spacing w:before="37"/>
              <w:ind w:left="126"/>
              <w:jc w:val="both"/>
              <w:rPr>
                <w:sz w:val="21"/>
              </w:rPr>
            </w:pPr>
            <w:r>
              <w:rPr>
                <w:sz w:val="21"/>
              </w:rPr>
              <w:t>脑垂体瘤、脑囊肿、脑血管性疾病不在保障范围内。</w:t>
            </w:r>
          </w:p>
        </w:tc>
      </w:tr>
      <w:tr>
        <w:trPr>
          <w:trHeight w:val="2071" w:hRule="atLeast"/>
        </w:trPr>
        <w:tc>
          <w:tcPr>
            <w:tcW w:w="2034" w:type="dxa"/>
          </w:tcPr>
          <w:p>
            <w:pPr>
              <w:pStyle w:val="TableParagraph"/>
              <w:spacing w:line="206" w:lineRule="auto" w:before="52"/>
              <w:ind w:left="639" w:right="125" w:hanging="420"/>
              <w:rPr>
                <w:rFonts w:ascii="微软雅黑" w:eastAsia="微软雅黑" w:hint="eastAsia"/>
                <w:b/>
                <w:sz w:val="21"/>
              </w:rPr>
            </w:pPr>
            <w:r>
              <w:rPr>
                <w:rFonts w:ascii="微软雅黑" w:eastAsia="微软雅黑" w:hint="eastAsia"/>
                <w:b/>
                <w:sz w:val="21"/>
              </w:rPr>
              <w:t>10. 慢性肝功能衰竭失代偿期</w:t>
            </w:r>
          </w:p>
        </w:tc>
        <w:tc>
          <w:tcPr>
            <w:tcW w:w="7412" w:type="dxa"/>
          </w:tcPr>
          <w:p>
            <w:pPr>
              <w:pStyle w:val="TableParagraph"/>
              <w:spacing w:before="64"/>
              <w:ind w:left="126"/>
              <w:rPr>
                <w:sz w:val="21"/>
              </w:rPr>
            </w:pPr>
            <w:r>
              <w:rPr>
                <w:sz w:val="21"/>
              </w:rPr>
              <w:t>指因慢性肝脏疾病导致肝功能衰竭,须满足下列全部条件：</w:t>
            </w:r>
          </w:p>
          <w:p>
            <w:pPr>
              <w:pStyle w:val="TableParagraph"/>
              <w:spacing w:before="37"/>
              <w:ind w:left="126"/>
              <w:rPr>
                <w:sz w:val="21"/>
              </w:rPr>
            </w:pPr>
            <w:r>
              <w:rPr>
                <w:sz w:val="21"/>
              </w:rPr>
              <w:t>（1）持续性黄疸；</w:t>
            </w:r>
          </w:p>
          <w:p>
            <w:pPr>
              <w:pStyle w:val="TableParagraph"/>
              <w:spacing w:before="37"/>
              <w:ind w:left="126"/>
              <w:rPr>
                <w:sz w:val="21"/>
              </w:rPr>
            </w:pPr>
            <w:r>
              <w:rPr>
                <w:sz w:val="21"/>
              </w:rPr>
              <w:t>（2）腹水；</w:t>
            </w:r>
          </w:p>
          <w:p>
            <w:pPr>
              <w:pStyle w:val="TableParagraph"/>
              <w:spacing w:before="37"/>
              <w:ind w:left="126"/>
              <w:rPr>
                <w:sz w:val="21"/>
              </w:rPr>
            </w:pPr>
            <w:r>
              <w:rPr>
                <w:sz w:val="21"/>
              </w:rPr>
              <w:t>（3）肝性脑病；</w:t>
            </w:r>
          </w:p>
          <w:p>
            <w:pPr>
              <w:pStyle w:val="TableParagraph"/>
              <w:spacing w:line="273" w:lineRule="auto" w:before="37"/>
              <w:ind w:left="126" w:right="2134"/>
              <w:rPr>
                <w:sz w:val="21"/>
              </w:rPr>
            </w:pPr>
            <w:r>
              <w:rPr>
                <w:sz w:val="21"/>
              </w:rPr>
              <w:t>（4）充血性脾肿大伴脾功能亢进或食管胃底静脉曲张。因酗酒或药物滥用导致的肝功能衰竭不在保障范围内。</w:t>
            </w:r>
          </w:p>
        </w:tc>
      </w:tr>
      <w:tr>
        <w:trPr>
          <w:trHeight w:val="2073" w:hRule="atLeast"/>
        </w:trPr>
        <w:tc>
          <w:tcPr>
            <w:tcW w:w="2034" w:type="dxa"/>
          </w:tcPr>
          <w:p>
            <w:pPr>
              <w:pStyle w:val="TableParagraph"/>
              <w:spacing w:line="206" w:lineRule="auto" w:before="81"/>
              <w:ind w:left="639" w:right="125" w:hanging="420"/>
              <w:rPr>
                <w:rFonts w:ascii="微软雅黑" w:eastAsia="微软雅黑" w:hint="eastAsia"/>
                <w:b/>
                <w:sz w:val="21"/>
              </w:rPr>
            </w:pPr>
            <w:r>
              <w:rPr>
                <w:rFonts w:ascii="微软雅黑" w:eastAsia="微软雅黑" w:hint="eastAsia"/>
                <w:b/>
                <w:sz w:val="21"/>
              </w:rPr>
              <w:t>11. 脑炎后遗症或脑膜炎后遗症</w:t>
            </w:r>
          </w:p>
        </w:tc>
        <w:tc>
          <w:tcPr>
            <w:tcW w:w="7412" w:type="dxa"/>
          </w:tcPr>
          <w:p>
            <w:pPr>
              <w:pStyle w:val="TableParagraph"/>
              <w:spacing w:line="273" w:lineRule="auto" w:before="93"/>
              <w:ind w:left="126" w:right="199"/>
              <w:rPr>
                <w:sz w:val="21"/>
              </w:rPr>
            </w:pPr>
            <w:r>
              <w:rPr>
                <w:spacing w:val="-6"/>
                <w:sz w:val="21"/>
              </w:rPr>
              <w:t>指因患脑炎或脑膜炎导致的神经系统永久性的功能障碍。神经系统永久性的功</w:t>
            </w:r>
            <w:r>
              <w:rPr>
                <w:spacing w:val="-8"/>
                <w:sz w:val="21"/>
              </w:rPr>
              <w:t>能障碍，指疾病确诊 </w:t>
            </w:r>
            <w:r>
              <w:rPr>
                <w:sz w:val="21"/>
              </w:rPr>
              <w:t>180</w:t>
            </w:r>
            <w:r>
              <w:rPr>
                <w:spacing w:val="-3"/>
                <w:sz w:val="21"/>
              </w:rPr>
              <w:t> 天后，仍遗留下列一种或一种以上障碍：</w:t>
            </w:r>
          </w:p>
          <w:p>
            <w:pPr>
              <w:pStyle w:val="TableParagraph"/>
              <w:spacing w:line="283" w:lineRule="exact"/>
              <w:ind w:left="126"/>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37" w:lineRule="exact"/>
              <w:ind w:left="126"/>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273" w:lineRule="auto" w:before="11"/>
              <w:ind w:left="126" w:right="242"/>
              <w:rPr>
                <w:sz w:val="21"/>
              </w:rPr>
            </w:pPr>
            <w:r>
              <w:rPr>
                <w:sz w:val="21"/>
              </w:rPr>
              <w:t>（3）自主生活能力完全丧失，无法独立完成六项基本日常生活活动中的三项或三项以上。</w:t>
            </w:r>
          </w:p>
        </w:tc>
      </w:tr>
      <w:tr>
        <w:trPr>
          <w:trHeight w:val="1417" w:hRule="atLeast"/>
        </w:trPr>
        <w:tc>
          <w:tcPr>
            <w:tcW w:w="2034" w:type="dxa"/>
          </w:tcPr>
          <w:p>
            <w:pPr>
              <w:pStyle w:val="TableParagraph"/>
              <w:spacing w:before="4"/>
              <w:ind w:left="219"/>
              <w:rPr>
                <w:rFonts w:ascii="微软雅黑" w:eastAsia="微软雅黑" w:hint="eastAsia"/>
                <w:b/>
                <w:sz w:val="21"/>
              </w:rPr>
            </w:pPr>
            <w:r>
              <w:rPr>
                <w:rFonts w:ascii="微软雅黑" w:eastAsia="微软雅黑" w:hint="eastAsia"/>
                <w:b/>
                <w:sz w:val="21"/>
              </w:rPr>
              <w:t>12. 深度昏迷</w:t>
            </w:r>
          </w:p>
        </w:tc>
        <w:tc>
          <w:tcPr>
            <w:tcW w:w="7412" w:type="dxa"/>
          </w:tcPr>
          <w:p>
            <w:pPr>
              <w:pStyle w:val="TableParagraph"/>
              <w:spacing w:line="273" w:lineRule="auto" w:before="66"/>
              <w:ind w:left="126" w:right="199"/>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11"/>
                <w:sz w:val="21"/>
              </w:rPr>
              <w:t> 分以下，且</w:t>
            </w:r>
            <w:r>
              <w:rPr>
                <w:spacing w:val="-8"/>
                <w:sz w:val="21"/>
              </w:rPr>
              <w:t>已经持续使用呼吸机及其它生命维持系统 </w:t>
            </w:r>
            <w:r>
              <w:rPr>
                <w:sz w:val="21"/>
              </w:rPr>
              <w:t>96 小时以上。</w:t>
            </w:r>
          </w:p>
          <w:p>
            <w:pPr>
              <w:pStyle w:val="TableParagraph"/>
              <w:spacing w:before="7"/>
              <w:ind w:left="126"/>
              <w:rPr>
                <w:sz w:val="21"/>
              </w:rPr>
            </w:pPr>
            <w:r>
              <w:rPr>
                <w:sz w:val="21"/>
              </w:rPr>
              <w:t>因酗酒或药物滥用导致的深度昏迷不在保障范围内。</w:t>
            </w:r>
          </w:p>
        </w:tc>
      </w:tr>
      <w:tr>
        <w:trPr>
          <w:trHeight w:val="1017" w:hRule="atLeast"/>
        </w:trPr>
        <w:tc>
          <w:tcPr>
            <w:tcW w:w="2034" w:type="dxa"/>
          </w:tcPr>
          <w:p>
            <w:pPr>
              <w:pStyle w:val="TableParagraph"/>
              <w:spacing w:line="361" w:lineRule="exact"/>
              <w:ind w:left="219"/>
              <w:rPr>
                <w:rFonts w:ascii="微软雅黑" w:eastAsia="微软雅黑" w:hint="eastAsia"/>
                <w:b/>
                <w:sz w:val="21"/>
              </w:rPr>
            </w:pPr>
            <w:r>
              <w:rPr>
                <w:rFonts w:ascii="微软雅黑" w:eastAsia="微软雅黑" w:hint="eastAsia"/>
                <w:b/>
                <w:sz w:val="21"/>
              </w:rPr>
              <w:t>13. 双耳失聪</w:t>
            </w:r>
          </w:p>
        </w:tc>
        <w:tc>
          <w:tcPr>
            <w:tcW w:w="7412" w:type="dxa"/>
          </w:tcPr>
          <w:p>
            <w:pPr>
              <w:pStyle w:val="TableParagraph"/>
              <w:spacing w:line="259" w:lineRule="auto"/>
              <w:ind w:left="126" w:right="201"/>
              <w:rPr>
                <w:sz w:val="21"/>
              </w:rPr>
            </w:pPr>
            <w:r>
              <w:rPr>
                <w:spacing w:val="-3"/>
                <w:sz w:val="21"/>
              </w:rPr>
              <w:t>指因疾病或意外伤害导致双耳听力</w:t>
            </w:r>
            <w:r>
              <w:rPr>
                <w:rFonts w:ascii="微软雅黑" w:eastAsia="微软雅黑" w:hint="eastAsia"/>
                <w:b/>
                <w:sz w:val="21"/>
              </w:rPr>
              <w:t>永久不可逆</w:t>
            </w:r>
            <w:r>
              <w:rPr>
                <w:spacing w:val="-11"/>
                <w:sz w:val="21"/>
              </w:rPr>
              <w:t>性丧失，在 </w:t>
            </w:r>
            <w:r>
              <w:rPr>
                <w:sz w:val="21"/>
              </w:rPr>
              <w:t>500</w:t>
            </w:r>
            <w:r>
              <w:rPr>
                <w:spacing w:val="-14"/>
                <w:sz w:val="21"/>
              </w:rPr>
              <w:t> 赫兹、</w:t>
            </w:r>
            <w:r>
              <w:rPr>
                <w:sz w:val="21"/>
              </w:rPr>
              <w:t>1000</w:t>
            </w:r>
            <w:r>
              <w:rPr>
                <w:spacing w:val="-25"/>
                <w:sz w:val="21"/>
              </w:rPr>
              <w:t> 赫</w:t>
            </w:r>
            <w:r>
              <w:rPr>
                <w:spacing w:val="-32"/>
                <w:sz w:val="21"/>
              </w:rPr>
              <w:t>兹和 </w:t>
            </w:r>
            <w:r>
              <w:rPr>
                <w:sz w:val="21"/>
              </w:rPr>
              <w:t>2000</w:t>
            </w:r>
            <w:r>
              <w:rPr>
                <w:spacing w:val="-13"/>
                <w:sz w:val="21"/>
              </w:rPr>
              <w:t> 赫兹语音频率下，平均听阈大于 </w:t>
            </w:r>
            <w:r>
              <w:rPr>
                <w:sz w:val="21"/>
              </w:rPr>
              <w:t>90</w:t>
            </w:r>
            <w:r>
              <w:rPr>
                <w:spacing w:val="-11"/>
                <w:sz w:val="21"/>
              </w:rPr>
              <w:t> 分贝，且经纯音听力测试、声导</w:t>
            </w:r>
            <w:r>
              <w:rPr>
                <w:spacing w:val="-6"/>
                <w:sz w:val="21"/>
              </w:rPr>
              <w:t>抗检测或听觉诱发电位检测等证实。</w:t>
            </w:r>
          </w:p>
        </w:tc>
      </w:tr>
      <w:tr>
        <w:trPr>
          <w:trHeight w:val="741" w:hRule="atLeast"/>
        </w:trPr>
        <w:tc>
          <w:tcPr>
            <w:tcW w:w="2034" w:type="dxa"/>
          </w:tcPr>
          <w:p>
            <w:pPr>
              <w:pStyle w:val="TableParagraph"/>
              <w:ind w:left="0"/>
              <w:rPr>
                <w:rFonts w:ascii="Times New Roman"/>
                <w:sz w:val="20"/>
              </w:rPr>
            </w:pPr>
          </w:p>
        </w:tc>
        <w:tc>
          <w:tcPr>
            <w:tcW w:w="7412" w:type="dxa"/>
          </w:tcPr>
          <w:p>
            <w:pPr>
              <w:pStyle w:val="TableParagraph"/>
              <w:spacing w:line="254" w:lineRule="exact"/>
              <w:ind w:left="126"/>
              <w:rPr>
                <w:sz w:val="21"/>
              </w:rPr>
            </w:pPr>
            <w:r>
              <w:rPr>
                <w:sz w:val="21"/>
              </w:rPr>
              <w:t>被保险人申请理赔时年龄必须在三周岁以上，并且提供理赔当时的听力丧失诊</w:t>
            </w:r>
          </w:p>
          <w:p>
            <w:pPr>
              <w:pStyle w:val="TableParagraph"/>
              <w:spacing w:before="37"/>
              <w:ind w:left="126"/>
              <w:rPr>
                <w:sz w:val="21"/>
              </w:rPr>
            </w:pPr>
            <w:r>
              <w:rPr>
                <w:sz w:val="21"/>
              </w:rPr>
              <w:t>断及检查证据。</w:t>
            </w:r>
          </w:p>
        </w:tc>
      </w:tr>
      <w:tr>
        <w:trPr>
          <w:trHeight w:val="1412" w:hRule="atLeast"/>
        </w:trPr>
        <w:tc>
          <w:tcPr>
            <w:tcW w:w="2034" w:type="dxa"/>
          </w:tcPr>
          <w:p>
            <w:pPr>
              <w:pStyle w:val="TableParagraph"/>
              <w:spacing w:before="34"/>
              <w:ind w:left="219"/>
              <w:rPr>
                <w:rFonts w:ascii="微软雅黑" w:eastAsia="微软雅黑" w:hint="eastAsia"/>
                <w:b/>
                <w:sz w:val="21"/>
              </w:rPr>
            </w:pPr>
            <w:r>
              <w:rPr>
                <w:rFonts w:ascii="微软雅黑" w:eastAsia="微软雅黑" w:hint="eastAsia"/>
                <w:b/>
                <w:sz w:val="21"/>
              </w:rPr>
              <w:t>14. 双目失明</w:t>
            </w:r>
          </w:p>
        </w:tc>
        <w:tc>
          <w:tcPr>
            <w:tcW w:w="7412" w:type="dxa"/>
          </w:tcPr>
          <w:p>
            <w:pPr>
              <w:pStyle w:val="TableParagraph"/>
              <w:spacing w:line="273" w:lineRule="auto" w:before="96"/>
              <w:ind w:left="126" w:right="144"/>
              <w:rPr>
                <w:sz w:val="21"/>
              </w:rPr>
            </w:pPr>
            <w:r>
              <w:rPr>
                <w:sz w:val="21"/>
              </w:rPr>
              <w:t>指因疾病或意外伤害导致双眼视力永久不可逆性丧失，双眼中较好眼须满足下列至少一项条件：</w:t>
            </w:r>
          </w:p>
          <w:p>
            <w:pPr>
              <w:pStyle w:val="TableParagraph"/>
              <w:spacing w:before="7"/>
              <w:ind w:left="126"/>
              <w:rPr>
                <w:sz w:val="21"/>
              </w:rPr>
            </w:pPr>
            <w:r>
              <w:rPr>
                <w:sz w:val="21"/>
              </w:rPr>
              <w:t>（1）眼球缺失或摘除；</w:t>
            </w:r>
          </w:p>
          <w:p>
            <w:pPr>
              <w:pStyle w:val="TableParagraph"/>
              <w:spacing w:before="37"/>
              <w:ind w:left="126"/>
              <w:rPr>
                <w:sz w:val="21"/>
              </w:rPr>
            </w:pPr>
            <w:r>
              <w:rPr>
                <w:sz w:val="21"/>
              </w:rPr>
              <w:t>（2）矫正视力低于 0.02（采用国际标准视力表，如果使用其它视力表应进行</w:t>
            </w:r>
          </w:p>
        </w:tc>
      </w:tr>
      <w:tr>
        <w:trPr>
          <w:trHeight w:val="1244" w:hRule="atLeast"/>
        </w:trPr>
        <w:tc>
          <w:tcPr>
            <w:tcW w:w="2034" w:type="dxa"/>
          </w:tcPr>
          <w:p>
            <w:pPr>
              <w:pStyle w:val="TableParagraph"/>
              <w:ind w:left="0"/>
              <w:rPr>
                <w:rFonts w:ascii="Times New Roman"/>
                <w:sz w:val="20"/>
              </w:rPr>
            </w:pPr>
          </w:p>
        </w:tc>
        <w:tc>
          <w:tcPr>
            <w:tcW w:w="7412" w:type="dxa"/>
          </w:tcPr>
          <w:p>
            <w:pPr>
              <w:pStyle w:val="TableParagraph"/>
              <w:spacing w:before="26"/>
              <w:ind w:left="126"/>
              <w:rPr>
                <w:sz w:val="21"/>
              </w:rPr>
            </w:pPr>
            <w:r>
              <w:rPr>
                <w:w w:val="100"/>
                <w:sz w:val="21"/>
              </w:rPr>
              <w:t>换算</w:t>
            </w:r>
            <w:r>
              <w:rPr>
                <w:spacing w:val="-108"/>
                <w:w w:val="100"/>
                <w:sz w:val="21"/>
              </w:rPr>
              <w:t>）</w:t>
            </w:r>
            <w:r>
              <w:rPr>
                <w:w w:val="100"/>
                <w:sz w:val="21"/>
              </w:rPr>
              <w:t>；</w:t>
            </w:r>
          </w:p>
          <w:p>
            <w:pPr>
              <w:pStyle w:val="TableParagraph"/>
              <w:spacing w:before="37"/>
              <w:ind w:left="126"/>
              <w:rPr>
                <w:sz w:val="21"/>
              </w:rPr>
            </w:pPr>
            <w:r>
              <w:rPr>
                <w:sz w:val="21"/>
              </w:rPr>
              <w:t>（3）视野半径小于 5 度。</w:t>
            </w:r>
          </w:p>
          <w:p>
            <w:pPr>
              <w:pStyle w:val="TableParagraph"/>
              <w:spacing w:line="310" w:lineRule="atLeast" w:before="2"/>
              <w:ind w:left="126" w:right="144"/>
              <w:rPr>
                <w:sz w:val="21"/>
              </w:rPr>
            </w:pPr>
            <w:r>
              <w:rPr>
                <w:sz w:val="21"/>
              </w:rPr>
              <w:t>被保险人申请理赔时年龄必须在三周岁以上，并且提供理赔当时的视力丧失诊断及检查证据。</w:t>
            </w:r>
          </w:p>
        </w:tc>
      </w:tr>
    </w:tbl>
    <w:p>
      <w:pPr>
        <w:spacing w:after="0" w:line="310" w:lineRule="atLeast"/>
        <w:rPr>
          <w:sz w:val="21"/>
        </w:rPr>
        <w:sectPr>
          <w:pgSz w:w="11910" w:h="16840"/>
          <w:pgMar w:header="0" w:footer="375" w:top="1500" w:bottom="560" w:left="1480" w:right="7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7517"/>
      </w:tblGrid>
      <w:tr>
        <w:trPr>
          <w:trHeight w:val="994" w:hRule="atLeast"/>
        </w:trPr>
        <w:tc>
          <w:tcPr>
            <w:tcW w:w="2014" w:type="dxa"/>
          </w:tcPr>
          <w:p>
            <w:pPr>
              <w:pStyle w:val="TableParagraph"/>
              <w:spacing w:line="229" w:lineRule="exact"/>
              <w:ind w:left="200"/>
              <w:rPr>
                <w:rFonts w:ascii="微软雅黑" w:eastAsia="微软雅黑" w:hint="eastAsia"/>
                <w:b/>
                <w:sz w:val="21"/>
              </w:rPr>
            </w:pPr>
            <w:r>
              <w:rPr>
                <w:rFonts w:ascii="微软雅黑" w:eastAsia="微软雅黑" w:hint="eastAsia"/>
                <w:b/>
                <w:sz w:val="21"/>
              </w:rPr>
              <w:t>15. 瘫 痪</w:t>
            </w:r>
          </w:p>
        </w:tc>
        <w:tc>
          <w:tcPr>
            <w:tcW w:w="7517" w:type="dxa"/>
          </w:tcPr>
          <w:p>
            <w:pPr>
              <w:pStyle w:val="TableParagraph"/>
              <w:spacing w:line="204" w:lineRule="exact"/>
              <w:rPr>
                <w:sz w:val="21"/>
              </w:rPr>
            </w:pPr>
            <w:r>
              <w:rPr>
                <w:sz w:val="21"/>
              </w:rPr>
              <w:t>指因疾病或意外伤害导致两肢或两肢以上肢体机能永久完全丧失。肢体机能永</w:t>
            </w:r>
          </w:p>
          <w:p>
            <w:pPr>
              <w:pStyle w:val="TableParagraph"/>
              <w:spacing w:line="273" w:lineRule="auto" w:before="37"/>
              <w:ind w:right="306"/>
              <w:rPr>
                <w:sz w:val="21"/>
              </w:rPr>
            </w:pPr>
            <w:r>
              <w:rPr>
                <w:spacing w:val="-11"/>
                <w:sz w:val="21"/>
              </w:rPr>
              <w:t>久完全丧失，指疾病确诊 </w:t>
            </w:r>
            <w:r>
              <w:rPr>
                <w:sz w:val="21"/>
              </w:rPr>
              <w:t>180</w:t>
            </w:r>
            <w:r>
              <w:rPr>
                <w:spacing w:val="-13"/>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513" w:hRule="atLeast"/>
        </w:trPr>
        <w:tc>
          <w:tcPr>
            <w:tcW w:w="2014" w:type="dxa"/>
          </w:tcPr>
          <w:p>
            <w:pPr>
              <w:pStyle w:val="TableParagraph"/>
              <w:spacing w:before="26"/>
              <w:ind w:left="200"/>
              <w:rPr>
                <w:rFonts w:ascii="微软雅黑" w:eastAsia="微软雅黑" w:hint="eastAsia"/>
                <w:b/>
                <w:sz w:val="21"/>
              </w:rPr>
            </w:pPr>
            <w:r>
              <w:rPr>
                <w:rFonts w:ascii="微软雅黑" w:eastAsia="微软雅黑" w:hint="eastAsia"/>
                <w:b/>
                <w:sz w:val="21"/>
              </w:rPr>
              <w:t>16. 心脏瓣膜手术</w:t>
            </w:r>
          </w:p>
        </w:tc>
        <w:tc>
          <w:tcPr>
            <w:tcW w:w="7517" w:type="dxa"/>
          </w:tcPr>
          <w:p>
            <w:pPr>
              <w:pStyle w:val="TableParagraph"/>
              <w:spacing w:before="88"/>
              <w:rPr>
                <w:sz w:val="21"/>
              </w:rPr>
            </w:pPr>
            <w:r>
              <w:rPr>
                <w:sz w:val="21"/>
              </w:rPr>
              <w:t>指为治疗心脏瓣膜疾病，实际实施了开胸进行的心脏瓣膜置换或修复的手术。</w:t>
            </w:r>
          </w:p>
        </w:tc>
      </w:tr>
      <w:tr>
        <w:trPr>
          <w:trHeight w:val="748" w:hRule="atLeast"/>
        </w:trPr>
        <w:tc>
          <w:tcPr>
            <w:tcW w:w="2014" w:type="dxa"/>
          </w:tcPr>
          <w:p>
            <w:pPr>
              <w:pStyle w:val="TableParagraph"/>
              <w:spacing w:line="206" w:lineRule="auto" w:before="60"/>
              <w:ind w:left="619" w:right="124" w:hanging="420"/>
              <w:rPr>
                <w:rFonts w:ascii="微软雅黑" w:eastAsia="微软雅黑" w:hint="eastAsia"/>
                <w:b/>
                <w:sz w:val="21"/>
              </w:rPr>
            </w:pPr>
            <w:r>
              <w:rPr>
                <w:rFonts w:ascii="微软雅黑" w:eastAsia="微软雅黑" w:hint="eastAsia"/>
                <w:b/>
                <w:sz w:val="21"/>
              </w:rPr>
              <w:t>17. 严重阿尔茨海默病</w:t>
            </w:r>
          </w:p>
        </w:tc>
        <w:tc>
          <w:tcPr>
            <w:tcW w:w="7517" w:type="dxa"/>
          </w:tcPr>
          <w:p>
            <w:pPr>
              <w:pStyle w:val="TableParagraph"/>
              <w:spacing w:line="273" w:lineRule="auto" w:before="71"/>
              <w:ind w:right="200"/>
              <w:rPr>
                <w:sz w:val="21"/>
              </w:rPr>
            </w:pPr>
            <w:r>
              <w:rPr>
                <w:spacing w:val="-8"/>
                <w:sz w:val="21"/>
              </w:rPr>
              <w:t>指因大脑进行性、不可逆性改变导致智能严重衰退或丧失，临床表现为明显的</w:t>
            </w:r>
            <w:r>
              <w:rPr>
                <w:spacing w:val="-16"/>
                <w:sz w:val="21"/>
              </w:rPr>
              <w:t>认知能力障碍、行为异常和社交能力减退，其日常生活必须持续受到他人监护。</w:t>
            </w:r>
          </w:p>
        </w:tc>
      </w:tr>
      <w:tr>
        <w:trPr>
          <w:trHeight w:val="1377" w:hRule="atLeast"/>
        </w:trPr>
        <w:tc>
          <w:tcPr>
            <w:tcW w:w="2014" w:type="dxa"/>
          </w:tcPr>
          <w:p>
            <w:pPr>
              <w:pStyle w:val="TableParagraph"/>
              <w:ind w:left="0"/>
              <w:rPr>
                <w:rFonts w:ascii="Times New Roman"/>
                <w:sz w:val="20"/>
              </w:rPr>
            </w:pPr>
          </w:p>
        </w:tc>
        <w:tc>
          <w:tcPr>
            <w:tcW w:w="7517" w:type="dxa"/>
          </w:tcPr>
          <w:p>
            <w:pPr>
              <w:pStyle w:val="TableParagraph"/>
              <w:spacing w:line="273" w:lineRule="auto" w:before="11"/>
              <w:ind w:right="197"/>
              <w:rPr>
                <w:sz w:val="21"/>
              </w:rPr>
            </w:pPr>
            <w:r>
              <w:rPr>
                <w:spacing w:val="-5"/>
                <w:w w:val="100"/>
                <w:sz w:val="21"/>
              </w:rPr>
              <w:t>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（M</w:t>
            </w:r>
            <w:r>
              <w:rPr>
                <w:spacing w:val="-3"/>
                <w:w w:val="100"/>
                <w:sz w:val="21"/>
              </w:rPr>
              <w:t>R</w:t>
            </w:r>
            <w:r>
              <w:rPr>
                <w:w w:val="100"/>
                <w:sz w:val="21"/>
              </w:rPr>
              <w:t>I)</w:t>
            </w:r>
            <w:r>
              <w:rPr>
                <w:sz w:val="21"/>
              </w:rPr>
              <w:t> </w:t>
            </w:r>
            <w:r>
              <w:rPr>
                <w:spacing w:val="-5"/>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9"/>
                <w:sz w:val="21"/>
              </w:rPr>
              <w:t>等影像学检查证实，且自主生活能力完全丧失，无法独立完成六项基本日常生</w:t>
            </w:r>
            <w:r>
              <w:rPr>
                <w:spacing w:val="-5"/>
                <w:sz w:val="21"/>
              </w:rPr>
              <w:t>活活动中的三项或三项以上。</w:t>
            </w:r>
          </w:p>
          <w:p>
            <w:pPr>
              <w:pStyle w:val="TableParagraph"/>
              <w:spacing w:before="8"/>
              <w:rPr>
                <w:sz w:val="21"/>
              </w:rPr>
            </w:pPr>
            <w:r>
              <w:rPr>
                <w:sz w:val="21"/>
              </w:rPr>
              <w:t>神经官能症和精神疾病不在保障范围内。</w:t>
            </w:r>
          </w:p>
        </w:tc>
      </w:tr>
      <w:tr>
        <w:trPr>
          <w:trHeight w:val="2691" w:hRule="atLeast"/>
        </w:trPr>
        <w:tc>
          <w:tcPr>
            <w:tcW w:w="2014" w:type="dxa"/>
          </w:tcPr>
          <w:p>
            <w:pPr>
              <w:pStyle w:val="TableParagraph"/>
              <w:spacing w:before="12"/>
              <w:ind w:left="200"/>
              <w:rPr>
                <w:rFonts w:ascii="微软雅黑" w:eastAsia="微软雅黑" w:hint="eastAsia"/>
                <w:b/>
                <w:sz w:val="21"/>
              </w:rPr>
            </w:pPr>
            <w:r>
              <w:rPr>
                <w:rFonts w:ascii="微软雅黑" w:eastAsia="微软雅黑" w:hint="eastAsia"/>
                <w:b/>
                <w:sz w:val="21"/>
              </w:rPr>
              <w:t>18. 严重脑损伤</w:t>
            </w:r>
          </w:p>
        </w:tc>
        <w:tc>
          <w:tcPr>
            <w:tcW w:w="7517" w:type="dxa"/>
          </w:tcPr>
          <w:p>
            <w:pPr>
              <w:pStyle w:val="TableParagraph"/>
              <w:spacing w:line="273" w:lineRule="auto" w:before="75"/>
              <w:ind w:right="303"/>
              <w:rPr>
                <w:sz w:val="21"/>
              </w:rPr>
            </w:pPr>
            <w:r>
              <w:rPr>
                <w:spacing w:val="-8"/>
                <w:sz w:val="21"/>
              </w:rPr>
              <w:t>指因头部遭受机械性外力，引起脑重要部位损伤，导致神经系统永久性的功能</w:t>
            </w:r>
            <w:r>
              <w:rPr>
                <w:spacing w:val="-7"/>
                <w:w w:val="100"/>
                <w:sz w:val="21"/>
              </w:rPr>
              <w:t>障碍。须由头颅断层扫描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w:t>
            </w:r>
            <w:r>
              <w:rPr>
                <w:spacing w:val="-3"/>
                <w:w w:val="100"/>
                <w:sz w:val="21"/>
              </w:rPr>
              <w:t>MR</w:t>
            </w:r>
            <w:r>
              <w:rPr>
                <w:w w:val="100"/>
                <w:sz w:val="21"/>
              </w:rPr>
              <w:t>I)</w:t>
            </w:r>
            <w:r>
              <w:rPr>
                <w:sz w:val="21"/>
              </w:rPr>
              <w:t> </w:t>
            </w:r>
            <w:r>
              <w:rPr>
                <w:spacing w:val="-3"/>
                <w:w w:val="100"/>
                <w:sz w:val="21"/>
              </w:rPr>
              <w:t>或正电子发射断层扫描</w:t>
            </w:r>
          </w:p>
          <w:p>
            <w:pPr>
              <w:pStyle w:val="TableParagraph"/>
              <w:spacing w:line="273" w:lineRule="auto" w:before="7"/>
              <w:ind w:right="197"/>
              <w:rPr>
                <w:sz w:val="21"/>
              </w:rPr>
            </w:pPr>
            <w:r>
              <w:rPr>
                <w:spacing w:val="-9"/>
                <w:sz w:val="21"/>
              </w:rPr>
              <w:t>（PET）</w:t>
            </w:r>
            <w:r>
              <w:rPr>
                <w:spacing w:val="-11"/>
                <w:sz w:val="21"/>
              </w:rPr>
              <w:t>等影像学检查证实。神经系统永久性的功能障碍，指脑损伤 </w:t>
            </w:r>
            <w:r>
              <w:rPr>
                <w:sz w:val="21"/>
              </w:rPr>
              <w:t>180</w:t>
            </w:r>
            <w:r>
              <w:rPr>
                <w:spacing w:val="5"/>
                <w:sz w:val="21"/>
              </w:rPr>
              <w:t> 天后， </w:t>
            </w:r>
            <w:r>
              <w:rPr>
                <w:spacing w:val="-3"/>
                <w:sz w:val="21"/>
              </w:rPr>
              <w:t>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46"/>
              <w:rPr>
                <w:sz w:val="21"/>
              </w:rPr>
            </w:pPr>
            <w:r>
              <w:rPr>
                <w:sz w:val="21"/>
              </w:rPr>
              <w:t>（3）自主生活能力完全丧失，无法独立完成六项基本日常生活活动中的三项或三项以上。</w:t>
            </w:r>
          </w:p>
        </w:tc>
      </w:tr>
      <w:tr>
        <w:trPr>
          <w:trHeight w:val="2090" w:hRule="atLeast"/>
        </w:trPr>
        <w:tc>
          <w:tcPr>
            <w:tcW w:w="2014" w:type="dxa"/>
          </w:tcPr>
          <w:p>
            <w:pPr>
              <w:pStyle w:val="TableParagraph"/>
              <w:spacing w:before="16"/>
              <w:ind w:left="200"/>
              <w:rPr>
                <w:rFonts w:ascii="微软雅黑" w:eastAsia="微软雅黑" w:hint="eastAsia"/>
                <w:b/>
                <w:sz w:val="21"/>
              </w:rPr>
            </w:pPr>
            <w:r>
              <w:rPr>
                <w:rFonts w:ascii="微软雅黑" w:eastAsia="微软雅黑" w:hint="eastAsia"/>
                <w:b/>
                <w:sz w:val="21"/>
              </w:rPr>
              <w:t>19. 严重帕金森病</w:t>
            </w:r>
          </w:p>
        </w:tc>
        <w:tc>
          <w:tcPr>
            <w:tcW w:w="7517" w:type="dxa"/>
          </w:tcPr>
          <w:p>
            <w:pPr>
              <w:pStyle w:val="TableParagraph"/>
              <w:spacing w:line="273" w:lineRule="auto" w:before="79"/>
              <w:ind w:right="303"/>
              <w:rPr>
                <w:sz w:val="21"/>
              </w:rPr>
            </w:pPr>
            <w:r>
              <w:rPr>
                <w:spacing w:val="-7"/>
                <w:sz w:val="21"/>
              </w:rPr>
              <w:t>是一种中枢神经系统的退行性疾病，临床表现为震颤麻痹、共济失调等。须满</w:t>
            </w:r>
            <w:r>
              <w:rPr>
                <w:spacing w:val="-5"/>
                <w:sz w:val="21"/>
              </w:rPr>
              <w:t>足下列全部条件：</w:t>
            </w:r>
          </w:p>
          <w:p>
            <w:pPr>
              <w:pStyle w:val="TableParagraph"/>
              <w:spacing w:before="8"/>
              <w:rPr>
                <w:sz w:val="21"/>
              </w:rPr>
            </w:pPr>
            <w:r>
              <w:rPr>
                <w:sz w:val="21"/>
              </w:rPr>
              <w:t>（1）药物治疗无法控制病情；</w:t>
            </w:r>
          </w:p>
          <w:p>
            <w:pPr>
              <w:pStyle w:val="TableParagraph"/>
              <w:spacing w:line="273" w:lineRule="auto" w:before="37"/>
              <w:ind w:right="346"/>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854" w:hRule="atLeast"/>
        </w:trPr>
        <w:tc>
          <w:tcPr>
            <w:tcW w:w="2014" w:type="dxa"/>
          </w:tcPr>
          <w:p>
            <w:pPr>
              <w:pStyle w:val="TableParagraph"/>
              <w:spacing w:before="35"/>
              <w:ind w:left="200"/>
              <w:rPr>
                <w:rFonts w:ascii="微软雅黑" w:hAnsi="微软雅黑" w:eastAsia="微软雅黑" w:hint="eastAsia"/>
                <w:b/>
                <w:sz w:val="21"/>
              </w:rPr>
            </w:pPr>
            <w:r>
              <w:rPr>
                <w:rFonts w:ascii="微软雅黑" w:hAnsi="微软雅黑" w:eastAsia="微软雅黑" w:hint="eastAsia"/>
                <w:b/>
                <w:sz w:val="21"/>
              </w:rPr>
              <w:t>20. 严重Ⅲ度烧伤</w:t>
            </w:r>
          </w:p>
        </w:tc>
        <w:tc>
          <w:tcPr>
            <w:tcW w:w="7517" w:type="dxa"/>
          </w:tcPr>
          <w:p>
            <w:pPr>
              <w:pStyle w:val="TableParagraph"/>
              <w:spacing w:line="273" w:lineRule="auto" w:before="98"/>
              <w:ind w:right="346"/>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1"/>
                <w:sz w:val="21"/>
              </w:rPr>
              <w:t>％以上。</w:t>
            </w:r>
            <w:r>
              <w:rPr>
                <w:spacing w:val="-3"/>
                <w:sz w:val="21"/>
              </w:rPr>
              <w:t>体表面积根据《中国新九分法》计算。</w:t>
            </w:r>
          </w:p>
        </w:tc>
      </w:tr>
      <w:tr>
        <w:trPr>
          <w:trHeight w:val="1145" w:hRule="atLeast"/>
        </w:trPr>
        <w:tc>
          <w:tcPr>
            <w:tcW w:w="2014" w:type="dxa"/>
          </w:tcPr>
          <w:p>
            <w:pPr>
              <w:pStyle w:val="TableParagraph"/>
              <w:spacing w:line="206" w:lineRule="auto" w:before="79"/>
              <w:ind w:left="619" w:right="124" w:hanging="420"/>
              <w:rPr>
                <w:rFonts w:ascii="微软雅黑" w:eastAsia="微软雅黑" w:hint="eastAsia"/>
                <w:b/>
                <w:sz w:val="21"/>
              </w:rPr>
            </w:pPr>
            <w:r>
              <w:rPr>
                <w:rFonts w:ascii="微软雅黑" w:eastAsia="微软雅黑" w:hint="eastAsia"/>
                <w:b/>
                <w:sz w:val="21"/>
              </w:rPr>
              <w:t>21. 严重原发性肺动脉高压</w:t>
            </w:r>
          </w:p>
        </w:tc>
        <w:tc>
          <w:tcPr>
            <w:tcW w:w="7517" w:type="dxa"/>
          </w:tcPr>
          <w:p>
            <w:pPr>
              <w:pStyle w:val="TableParagraph"/>
              <w:spacing w:line="273" w:lineRule="auto" w:before="90"/>
              <w:ind w:right="303"/>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w:t>
            </w:r>
            <w:r>
              <w:rPr>
                <w:spacing w:val="-28"/>
                <w:sz w:val="21"/>
              </w:rPr>
              <w:t>级 </w:t>
            </w:r>
            <w:r>
              <w:rPr>
                <w:sz w:val="21"/>
              </w:rPr>
              <w:t>IV</w:t>
            </w:r>
            <w:r>
              <w:rPr>
                <w:spacing w:val="-6"/>
                <w:sz w:val="21"/>
              </w:rPr>
              <w:t> 级，且静息状态下肺动脉平均压超过 </w:t>
            </w:r>
            <w:r>
              <w:rPr>
                <w:sz w:val="21"/>
              </w:rPr>
              <w:t>3OmmHg。</w:t>
            </w:r>
          </w:p>
        </w:tc>
      </w:tr>
      <w:tr>
        <w:trPr>
          <w:trHeight w:val="1422" w:hRule="atLeast"/>
        </w:trPr>
        <w:tc>
          <w:tcPr>
            <w:tcW w:w="2014" w:type="dxa"/>
          </w:tcPr>
          <w:p>
            <w:pPr>
              <w:pStyle w:val="TableParagraph"/>
              <w:spacing w:line="206" w:lineRule="auto" w:before="64"/>
              <w:ind w:left="619" w:right="124" w:hanging="420"/>
              <w:rPr>
                <w:rFonts w:ascii="微软雅黑" w:eastAsia="微软雅黑" w:hint="eastAsia"/>
                <w:b/>
                <w:sz w:val="21"/>
              </w:rPr>
            </w:pPr>
            <w:r>
              <w:rPr>
                <w:rFonts w:ascii="微软雅黑" w:eastAsia="微软雅黑" w:hint="eastAsia"/>
                <w:b/>
                <w:sz w:val="21"/>
              </w:rPr>
              <w:t>22. 严重运动神经元病</w:t>
            </w:r>
          </w:p>
        </w:tc>
        <w:tc>
          <w:tcPr>
            <w:tcW w:w="7517" w:type="dxa"/>
          </w:tcPr>
          <w:p>
            <w:pPr>
              <w:pStyle w:val="TableParagraph"/>
              <w:spacing w:line="273" w:lineRule="auto" w:before="76"/>
              <w:ind w:right="241"/>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11"/>
                <w:sz w:val="21"/>
              </w:rPr>
              <w:t>活能力完全丧失，无法独立完成六项基本日常生活活动中的三项或三项以上的条件。</w:t>
            </w:r>
          </w:p>
        </w:tc>
      </w:tr>
      <w:tr>
        <w:trPr>
          <w:trHeight w:val="1665" w:hRule="atLeast"/>
        </w:trPr>
        <w:tc>
          <w:tcPr>
            <w:tcW w:w="2014" w:type="dxa"/>
          </w:tcPr>
          <w:p>
            <w:pPr>
              <w:pStyle w:val="TableParagraph"/>
              <w:spacing w:line="356" w:lineRule="exact"/>
              <w:ind w:left="200"/>
              <w:rPr>
                <w:rFonts w:ascii="微软雅黑" w:eastAsia="微软雅黑" w:hint="eastAsia"/>
                <w:b/>
                <w:sz w:val="21"/>
              </w:rPr>
            </w:pPr>
            <w:r>
              <w:rPr>
                <w:rFonts w:ascii="微软雅黑" w:eastAsia="微软雅黑" w:hint="eastAsia"/>
                <w:b/>
                <w:sz w:val="21"/>
              </w:rPr>
              <w:t>23. 语言能力丧失</w:t>
            </w:r>
          </w:p>
        </w:tc>
        <w:tc>
          <w:tcPr>
            <w:tcW w:w="7517" w:type="dxa"/>
          </w:tcPr>
          <w:p>
            <w:pPr>
              <w:pStyle w:val="TableParagraph"/>
              <w:spacing w:line="273" w:lineRule="auto" w:before="56"/>
              <w:ind w:right="346"/>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
              <w:rPr>
                <w:sz w:val="21"/>
              </w:rPr>
            </w:pPr>
            <w:r>
              <w:rPr>
                <w:sz w:val="21"/>
              </w:rPr>
              <w:t>精神心理因素所致的语言能力丧失不在保障范围内。</w:t>
            </w:r>
          </w:p>
          <w:p>
            <w:pPr>
              <w:pStyle w:val="TableParagraph"/>
              <w:spacing w:line="273" w:lineRule="auto" w:before="37"/>
              <w:ind w:right="248"/>
              <w:rPr>
                <w:sz w:val="21"/>
              </w:rPr>
            </w:pPr>
            <w:r>
              <w:rPr>
                <w:sz w:val="21"/>
              </w:rPr>
              <w:t>被保险人申请理赔时年龄必须在三周岁以上，并且提供理赔当时的语言能力丧失诊断及检查证据。</w:t>
            </w:r>
          </w:p>
        </w:tc>
      </w:tr>
      <w:tr>
        <w:trPr>
          <w:trHeight w:val="602" w:hRule="atLeast"/>
        </w:trPr>
        <w:tc>
          <w:tcPr>
            <w:tcW w:w="2014" w:type="dxa"/>
          </w:tcPr>
          <w:p>
            <w:pPr>
              <w:pStyle w:val="TableParagraph"/>
              <w:spacing w:line="312" w:lineRule="exact" w:before="3"/>
              <w:ind w:left="619" w:right="124" w:hanging="420"/>
              <w:rPr>
                <w:rFonts w:ascii="微软雅黑" w:eastAsia="微软雅黑" w:hint="eastAsia"/>
                <w:b/>
                <w:sz w:val="21"/>
              </w:rPr>
            </w:pPr>
            <w:r>
              <w:rPr>
                <w:rFonts w:ascii="微软雅黑" w:eastAsia="微软雅黑" w:hint="eastAsia"/>
                <w:b/>
                <w:sz w:val="21"/>
              </w:rPr>
              <w:t>24. 重型再生障碍性贫血</w:t>
            </w:r>
          </w:p>
        </w:tc>
        <w:tc>
          <w:tcPr>
            <w:tcW w:w="7517" w:type="dxa"/>
          </w:tcPr>
          <w:p>
            <w:pPr>
              <w:pStyle w:val="TableParagraph"/>
              <w:spacing w:line="312" w:lineRule="exact" w:before="3"/>
              <w:ind w:right="450"/>
              <w:rPr>
                <w:sz w:val="21"/>
              </w:rPr>
            </w:pPr>
            <w:r>
              <w:rPr>
                <w:sz w:val="21"/>
              </w:rPr>
              <w:t>指因骨髓造血功能慢性持续性衰竭导致的贫血、中性粒细胞减少及血小板减少。须满足下列全部条件：</w:t>
            </w:r>
          </w:p>
        </w:tc>
      </w:tr>
    </w:tbl>
    <w:p>
      <w:pPr>
        <w:spacing w:after="0" w:line="312" w:lineRule="exact"/>
        <w:rPr>
          <w:sz w:val="21"/>
        </w:rPr>
        <w:sectPr>
          <w:pgSz w:w="11910" w:h="16840"/>
          <w:pgMar w:header="0" w:footer="375" w:top="150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7514"/>
      </w:tblGrid>
      <w:tr>
        <w:trPr>
          <w:trHeight w:val="318" w:hRule="atLeast"/>
        </w:trPr>
        <w:tc>
          <w:tcPr>
            <w:tcW w:w="2014" w:type="dxa"/>
          </w:tcPr>
          <w:p>
            <w:pPr>
              <w:pStyle w:val="TableParagraph"/>
              <w:ind w:left="0"/>
              <w:rPr>
                <w:rFonts w:ascii="Times New Roman"/>
                <w:sz w:val="20"/>
              </w:rPr>
            </w:pPr>
          </w:p>
        </w:tc>
        <w:tc>
          <w:tcPr>
            <w:tcW w:w="7514" w:type="dxa"/>
          </w:tcPr>
          <w:p>
            <w:pPr>
              <w:pStyle w:val="TableParagraph"/>
              <w:spacing w:line="205" w:lineRule="exact"/>
              <w:rPr>
                <w:sz w:val="21"/>
              </w:rPr>
            </w:pPr>
            <w:r>
              <w:rPr>
                <w:sz w:val="21"/>
              </w:rPr>
              <w:t>（1）骨髓穿刺检查或骨髓活检结果支持诊断；</w:t>
            </w:r>
          </w:p>
        </w:tc>
      </w:tr>
      <w:tr>
        <w:trPr>
          <w:trHeight w:val="1941" w:hRule="atLeast"/>
        </w:trPr>
        <w:tc>
          <w:tcPr>
            <w:tcW w:w="2014" w:type="dxa"/>
          </w:tcPr>
          <w:p>
            <w:pPr>
              <w:pStyle w:val="TableParagraph"/>
              <w:ind w:left="0"/>
              <w:rPr>
                <w:rFonts w:ascii="Times New Roman"/>
                <w:sz w:val="20"/>
              </w:rPr>
            </w:pPr>
          </w:p>
        </w:tc>
        <w:tc>
          <w:tcPr>
            <w:tcW w:w="7514" w:type="dxa"/>
          </w:tcPr>
          <w:p>
            <w:pPr>
              <w:pStyle w:val="TableParagraph"/>
              <w:spacing w:before="37"/>
              <w:rPr>
                <w:sz w:val="21"/>
              </w:rPr>
            </w:pPr>
            <w:r>
              <w:rPr>
                <w:sz w:val="21"/>
              </w:rPr>
              <w:t>（2）外周血象须具备所有三项条件：</w:t>
            </w:r>
          </w:p>
          <w:p>
            <w:pPr>
              <w:pStyle w:val="TableParagraph"/>
              <w:spacing w:before="8"/>
              <w:ind w:left="0"/>
              <w:rPr>
                <w:sz w:val="16"/>
              </w:rPr>
            </w:pPr>
          </w:p>
          <w:p>
            <w:pPr>
              <w:pStyle w:val="TableParagraph"/>
              <w:spacing w:before="1"/>
              <w:ind w:left="653"/>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before="146"/>
              <w:ind w:left="653"/>
              <w:rPr>
                <w:sz w:val="21"/>
              </w:rPr>
            </w:pPr>
            <w:r>
              <w:rPr>
                <w:sz w:val="21"/>
              </w:rPr>
              <w:t>② 网织红细胞＜1%；</w:t>
            </w:r>
          </w:p>
          <w:p>
            <w:pPr>
              <w:pStyle w:val="TableParagraph"/>
              <w:spacing w:before="8"/>
              <w:ind w:left="0"/>
              <w:rPr>
                <w:sz w:val="16"/>
              </w:rPr>
            </w:pPr>
          </w:p>
          <w:p>
            <w:pPr>
              <w:pStyle w:val="TableParagraph"/>
              <w:spacing w:before="1"/>
              <w:ind w:left="653"/>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465" w:hRule="atLeast"/>
        </w:trPr>
        <w:tc>
          <w:tcPr>
            <w:tcW w:w="2014" w:type="dxa"/>
          </w:tcPr>
          <w:p>
            <w:pPr>
              <w:pStyle w:val="TableParagraph"/>
              <w:spacing w:before="39"/>
              <w:ind w:left="200"/>
              <w:rPr>
                <w:rFonts w:ascii="微软雅黑" w:eastAsia="微软雅黑" w:hint="eastAsia"/>
                <w:b/>
                <w:sz w:val="21"/>
              </w:rPr>
            </w:pPr>
            <w:r>
              <w:rPr>
                <w:rFonts w:ascii="微软雅黑" w:eastAsia="微软雅黑" w:hint="eastAsia"/>
                <w:b/>
                <w:sz w:val="21"/>
              </w:rPr>
              <w:t>25. 主动脉手术</w:t>
            </w:r>
          </w:p>
        </w:tc>
        <w:tc>
          <w:tcPr>
            <w:tcW w:w="7514" w:type="dxa"/>
          </w:tcPr>
          <w:p>
            <w:pPr>
              <w:pStyle w:val="TableParagraph"/>
              <w:spacing w:line="273" w:lineRule="auto" w:before="101"/>
              <w:ind w:right="300"/>
              <w:jc w:val="both"/>
              <w:rPr>
                <w:sz w:val="21"/>
              </w:rPr>
            </w:pPr>
            <w:r>
              <w:rPr>
                <w:spacing w:val="-7"/>
                <w:sz w:val="21"/>
              </w:rPr>
              <w:t>指为治疗主动脉疾病，实际实施了开胸或开腹进行的切除、置换、修补病损主</w:t>
            </w:r>
            <w:r>
              <w:rPr>
                <w:spacing w:val="-11"/>
                <w:sz w:val="21"/>
              </w:rPr>
              <w:t>动脉血管的手术。主动脉指胸主动脉和腹主动脉，不包括胸主动脉和腹主动脉</w:t>
            </w:r>
            <w:r>
              <w:rPr>
                <w:spacing w:val="-6"/>
                <w:sz w:val="21"/>
              </w:rPr>
              <w:t>的分支血管。</w:t>
            </w:r>
          </w:p>
          <w:p>
            <w:pPr>
              <w:pStyle w:val="TableParagraph"/>
              <w:spacing w:before="7"/>
              <w:jc w:val="both"/>
              <w:rPr>
                <w:sz w:val="21"/>
              </w:rPr>
            </w:pPr>
            <w:r>
              <w:rPr>
                <w:sz w:val="21"/>
              </w:rPr>
              <w:t>动脉内血管成形术不在保障范围内。</w:t>
            </w:r>
          </w:p>
        </w:tc>
      </w:tr>
      <w:tr>
        <w:trPr>
          <w:trHeight w:val="1738" w:hRule="atLeast"/>
        </w:trPr>
        <w:tc>
          <w:tcPr>
            <w:tcW w:w="2014" w:type="dxa"/>
          </w:tcPr>
          <w:p>
            <w:pPr>
              <w:pStyle w:val="TableParagraph"/>
              <w:spacing w:line="206" w:lineRule="auto" w:before="64"/>
              <w:ind w:left="619" w:right="124" w:hanging="420"/>
              <w:rPr>
                <w:rFonts w:ascii="微软雅黑" w:eastAsia="微软雅黑" w:hint="eastAsia"/>
                <w:b/>
                <w:sz w:val="21"/>
              </w:rPr>
            </w:pPr>
            <w:r>
              <w:rPr>
                <w:rFonts w:ascii="微软雅黑" w:eastAsia="微软雅黑" w:hint="eastAsia"/>
                <w:b/>
                <w:sz w:val="21"/>
              </w:rPr>
              <w:t>26. 严重多发性硬化</w:t>
            </w:r>
          </w:p>
        </w:tc>
        <w:tc>
          <w:tcPr>
            <w:tcW w:w="7514" w:type="dxa"/>
          </w:tcPr>
          <w:p>
            <w:pPr>
              <w:pStyle w:val="TableParagraph"/>
              <w:spacing w:line="273" w:lineRule="auto" w:before="76"/>
              <w:ind w:right="301"/>
              <w:jc w:val="both"/>
              <w:rPr>
                <w:sz w:val="21"/>
              </w:rPr>
            </w:pPr>
            <w:r>
              <w:rPr>
                <w:spacing w:val="-5"/>
                <w:sz w:val="21"/>
              </w:rPr>
              <w:t>指被保险人因脑及脊髓内的脱髓鞘病变而出现神经系统多灶性</w:t>
            </w:r>
            <w:r>
              <w:rPr>
                <w:sz w:val="21"/>
              </w:rPr>
              <w:t>（</w:t>
            </w:r>
            <w:r>
              <w:rPr>
                <w:spacing w:val="-2"/>
                <w:sz w:val="21"/>
              </w:rPr>
              <w:t>多发性</w:t>
            </w:r>
            <w:r>
              <w:rPr>
                <w:spacing w:val="-34"/>
                <w:sz w:val="21"/>
              </w:rPr>
              <w:t>）</w:t>
            </w:r>
            <w:r>
              <w:rPr>
                <w:spacing w:val="-2"/>
                <w:sz w:val="21"/>
              </w:rPr>
              <w:t>多时</w:t>
            </w:r>
            <w:r>
              <w:rPr>
                <w:spacing w:val="-13"/>
                <w:sz w:val="21"/>
              </w:rPr>
              <w:t>相</w:t>
            </w:r>
            <w:r>
              <w:rPr>
                <w:spacing w:val="-3"/>
                <w:sz w:val="21"/>
              </w:rPr>
              <w:t>（</w:t>
            </w:r>
            <w:r>
              <w:rPr>
                <w:spacing w:val="-13"/>
                <w:sz w:val="21"/>
              </w:rPr>
              <w:t>至少 </w:t>
            </w:r>
            <w:r>
              <w:rPr>
                <w:sz w:val="21"/>
              </w:rPr>
              <w:t>6</w:t>
            </w:r>
            <w:r>
              <w:rPr>
                <w:spacing w:val="-9"/>
                <w:sz w:val="21"/>
              </w:rPr>
              <w:t> 个月以内有一次以上</w:t>
            </w:r>
            <w:r>
              <w:rPr>
                <w:spacing w:val="-3"/>
                <w:sz w:val="21"/>
              </w:rPr>
              <w:t>（不包含一次</w:t>
            </w:r>
            <w:r>
              <w:rPr>
                <w:spacing w:val="-15"/>
                <w:sz w:val="21"/>
              </w:rPr>
              <w:t>）</w:t>
            </w:r>
            <w:r>
              <w:rPr>
                <w:spacing w:val="-3"/>
                <w:sz w:val="21"/>
              </w:rPr>
              <w:t>的发作</w:t>
            </w:r>
            <w:r>
              <w:rPr>
                <w:spacing w:val="-13"/>
                <w:sz w:val="21"/>
              </w:rPr>
              <w:t>）</w:t>
            </w:r>
            <w:r>
              <w:rPr>
                <w:spacing w:val="-5"/>
                <w:sz w:val="21"/>
              </w:rPr>
              <w:t>的病变，须由计算机</w:t>
            </w:r>
            <w:r>
              <w:rPr>
                <w:spacing w:val="-4"/>
                <w:w w:val="100"/>
                <w:sz w:val="21"/>
              </w:rPr>
              <w:t>断层扫描</w:t>
            </w:r>
            <w:r>
              <w:rPr>
                <w:spacing w:val="-2"/>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w:t>
            </w:r>
            <w:r>
              <w:rPr>
                <w:spacing w:val="-2"/>
                <w:w w:val="100"/>
                <w:sz w:val="21"/>
              </w:rPr>
              <w:t>等影像</w:t>
            </w:r>
            <w:r>
              <w:rPr>
                <w:spacing w:val="-9"/>
                <w:sz w:val="21"/>
              </w:rPr>
              <w:t>学检查证实，且已经造成自主生活能力完全丧失，无法独立完成六项基本日常</w:t>
            </w:r>
            <w:r>
              <w:rPr>
                <w:spacing w:val="-7"/>
                <w:sz w:val="21"/>
              </w:rPr>
              <w:t>生活活动中的三项或三项以上，持续至少 </w:t>
            </w:r>
            <w:r>
              <w:rPr>
                <w:sz w:val="21"/>
              </w:rPr>
              <w:t>180</w:t>
            </w:r>
            <w:r>
              <w:rPr>
                <w:spacing w:val="-15"/>
                <w:sz w:val="21"/>
              </w:rPr>
              <w:t> 天。</w:t>
            </w:r>
          </w:p>
        </w:tc>
      </w:tr>
      <w:tr>
        <w:trPr>
          <w:trHeight w:val="1724" w:hRule="atLeast"/>
        </w:trPr>
        <w:tc>
          <w:tcPr>
            <w:tcW w:w="2014" w:type="dxa"/>
          </w:tcPr>
          <w:p>
            <w:pPr>
              <w:pStyle w:val="TableParagraph"/>
              <w:ind w:left="200"/>
              <w:rPr>
                <w:rFonts w:ascii="微软雅黑" w:eastAsia="微软雅黑" w:hint="eastAsia"/>
                <w:b/>
                <w:sz w:val="21"/>
              </w:rPr>
            </w:pPr>
            <w:r>
              <w:rPr>
                <w:rFonts w:ascii="微软雅黑" w:eastAsia="微软雅黑" w:hint="eastAsia"/>
                <w:b/>
                <w:sz w:val="21"/>
              </w:rPr>
              <w:t>27. 终末期肺病</w:t>
            </w:r>
          </w:p>
        </w:tc>
        <w:tc>
          <w:tcPr>
            <w:tcW w:w="7514" w:type="dxa"/>
          </w:tcPr>
          <w:p>
            <w:pPr>
              <w:pStyle w:val="TableParagraph"/>
              <w:spacing w:line="273" w:lineRule="auto" w:before="63"/>
              <w:ind w:right="447"/>
              <w:rPr>
                <w:sz w:val="21"/>
              </w:rPr>
            </w:pPr>
            <w:r>
              <w:rPr>
                <w:sz w:val="21"/>
              </w:rPr>
              <w:t>指被保险人因患有终末期肺病而出现慢性呼吸功能衰竭。须满足下列全部条件：</w:t>
            </w:r>
          </w:p>
          <w:p>
            <w:pPr>
              <w:pStyle w:val="TableParagraph"/>
              <w:numPr>
                <w:ilvl w:val="0"/>
                <w:numId w:val="3"/>
              </w:numPr>
              <w:tabs>
                <w:tab w:pos="551" w:val="left" w:leader="none"/>
              </w:tabs>
              <w:spacing w:line="240" w:lineRule="auto" w:before="7" w:after="0"/>
              <w:ind w:left="550" w:right="0" w:hanging="423"/>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6"/>
                <w:sz w:val="21"/>
              </w:rPr>
              <w:t> 升；</w:t>
            </w:r>
          </w:p>
          <w:p>
            <w:pPr>
              <w:pStyle w:val="TableParagraph"/>
              <w:numPr>
                <w:ilvl w:val="0"/>
                <w:numId w:val="3"/>
              </w:numPr>
              <w:tabs>
                <w:tab w:pos="551" w:val="left" w:leader="none"/>
              </w:tabs>
              <w:spacing w:line="240" w:lineRule="auto" w:before="37" w:after="0"/>
              <w:ind w:left="550" w:right="0" w:hanging="423"/>
              <w:jc w:val="left"/>
              <w:rPr>
                <w:sz w:val="21"/>
              </w:rPr>
            </w:pPr>
            <w:r>
              <w:rPr>
                <w:spacing w:val="-3"/>
                <w:sz w:val="21"/>
              </w:rPr>
              <w:t>病人缺氧必须广泛而持续地进行输氧治疗；</w:t>
            </w:r>
          </w:p>
          <w:p>
            <w:pPr>
              <w:pStyle w:val="TableParagraph"/>
              <w:numPr>
                <w:ilvl w:val="0"/>
                <w:numId w:val="3"/>
              </w:numPr>
              <w:tabs>
                <w:tab w:pos="551" w:val="left" w:leader="none"/>
              </w:tabs>
              <w:spacing w:line="240" w:lineRule="auto" w:before="37" w:after="0"/>
              <w:ind w:left="550" w:right="0" w:hanging="423"/>
              <w:jc w:val="left"/>
              <w:rPr>
                <w:sz w:val="21"/>
              </w:rPr>
            </w:pPr>
            <w:r>
              <w:rPr>
                <w:spacing w:val="-7"/>
                <w:sz w:val="21"/>
              </w:rPr>
              <w:t>动脉血气分析氧分压低于 </w:t>
            </w:r>
            <w:r>
              <w:rPr>
                <w:sz w:val="21"/>
              </w:rPr>
              <w:t>55mmHg。</w:t>
            </w:r>
          </w:p>
        </w:tc>
      </w:tr>
      <w:tr>
        <w:trPr>
          <w:trHeight w:val="1101" w:hRule="atLeast"/>
        </w:trPr>
        <w:tc>
          <w:tcPr>
            <w:tcW w:w="2014" w:type="dxa"/>
          </w:tcPr>
          <w:p>
            <w:pPr>
              <w:pStyle w:val="TableParagraph"/>
              <w:spacing w:line="362" w:lineRule="exact"/>
              <w:ind w:left="200"/>
              <w:rPr>
                <w:rFonts w:ascii="微软雅黑" w:eastAsia="微软雅黑" w:hint="eastAsia"/>
                <w:b/>
                <w:sz w:val="21"/>
              </w:rPr>
            </w:pPr>
            <w:r>
              <w:rPr>
                <w:rFonts w:ascii="微软雅黑" w:eastAsia="微软雅黑" w:hint="eastAsia"/>
                <w:b/>
                <w:sz w:val="21"/>
              </w:rPr>
              <w:t>28. 颅脑手术</w:t>
            </w:r>
          </w:p>
        </w:tc>
        <w:tc>
          <w:tcPr>
            <w:tcW w:w="7514" w:type="dxa"/>
          </w:tcPr>
          <w:p>
            <w:pPr>
              <w:pStyle w:val="TableParagraph"/>
              <w:spacing w:line="273" w:lineRule="auto" w:before="62"/>
              <w:ind w:right="233"/>
              <w:rPr>
                <w:sz w:val="21"/>
              </w:rPr>
            </w:pPr>
            <w:r>
              <w:rPr>
                <w:sz w:val="21"/>
              </w:rPr>
              <w:t>指被保险人确已实施全麻下的开颅手术（以切开硬脑膜为准）（不包括颅骨钻孔手术）。理赔时必须提供由神经外科医生出具的诊断书及手术报告。</w:t>
            </w:r>
          </w:p>
          <w:p>
            <w:pPr>
              <w:pStyle w:val="TableParagraph"/>
              <w:spacing w:before="8"/>
              <w:rPr>
                <w:sz w:val="21"/>
              </w:rPr>
            </w:pPr>
            <w:r>
              <w:rPr>
                <w:sz w:val="21"/>
              </w:rPr>
              <w:t>因外伤而实施的颅脑手术不在保障范围内。</w:t>
            </w:r>
          </w:p>
        </w:tc>
      </w:tr>
      <w:tr>
        <w:trPr>
          <w:trHeight w:val="2379" w:hRule="atLeast"/>
        </w:trPr>
        <w:tc>
          <w:tcPr>
            <w:tcW w:w="2014" w:type="dxa"/>
          </w:tcPr>
          <w:p>
            <w:pPr>
              <w:pStyle w:val="TableParagraph"/>
              <w:spacing w:line="206" w:lineRule="auto" w:before="52"/>
              <w:ind w:left="619" w:right="124" w:hanging="420"/>
              <w:rPr>
                <w:rFonts w:ascii="微软雅黑" w:eastAsia="微软雅黑" w:hint="eastAsia"/>
                <w:b/>
                <w:sz w:val="21"/>
              </w:rPr>
            </w:pPr>
            <w:r>
              <w:rPr>
                <w:rFonts w:ascii="微软雅黑" w:eastAsia="微软雅黑" w:hint="eastAsia"/>
                <w:b/>
                <w:sz w:val="21"/>
              </w:rPr>
              <w:t>29. 严重Ｉ型糖尿病</w:t>
            </w:r>
          </w:p>
        </w:tc>
        <w:tc>
          <w:tcPr>
            <w:tcW w:w="7514" w:type="dxa"/>
          </w:tcPr>
          <w:p>
            <w:pPr>
              <w:pStyle w:val="TableParagraph"/>
              <w:spacing w:line="273" w:lineRule="auto" w:before="64"/>
              <w:ind w:right="238"/>
              <w:jc w:val="both"/>
              <w:rPr>
                <w:sz w:val="21"/>
              </w:rPr>
            </w:pPr>
            <w:r>
              <w:rPr>
                <w:spacing w:val="-7"/>
                <w:sz w:val="21"/>
              </w:rPr>
              <w:t>指因严重的胰岛素缺乏导致的一组糖、脂肪、蛋白质代谢异常综合症，且须依</w:t>
            </w:r>
            <w:r>
              <w:rPr>
                <w:spacing w:val="-5"/>
                <w:sz w:val="21"/>
              </w:rPr>
              <w:t>赖外源性胰岛素进行机体的葡萄糖代谢和维持生命。本病须经血胰岛素测定、</w:t>
            </w:r>
            <w:r>
              <w:rPr>
                <w:spacing w:val="-1"/>
                <w:sz w:val="21"/>
              </w:rPr>
              <w:t>血</w:t>
            </w:r>
            <w:r>
              <w:rPr>
                <w:sz w:val="21"/>
              </w:rPr>
              <w:t>C</w:t>
            </w:r>
            <w:r>
              <w:rPr>
                <w:spacing w:val="-3"/>
                <w:sz w:val="21"/>
              </w:rPr>
              <w:t>肽测定或尿C肽测定检查证实，且被保险人已经接受了持续的胰岛素治疗</w:t>
            </w:r>
          </w:p>
          <w:p>
            <w:pPr>
              <w:pStyle w:val="TableParagraph"/>
              <w:spacing w:before="7"/>
              <w:jc w:val="both"/>
              <w:rPr>
                <w:sz w:val="21"/>
              </w:rPr>
            </w:pPr>
            <w:r>
              <w:rPr>
                <w:sz w:val="21"/>
              </w:rPr>
              <w:t>180天以上，并须满足下列至少一项条件：</w:t>
            </w:r>
          </w:p>
          <w:p>
            <w:pPr>
              <w:pStyle w:val="TableParagraph"/>
              <w:numPr>
                <w:ilvl w:val="0"/>
                <w:numId w:val="4"/>
              </w:numPr>
              <w:tabs>
                <w:tab w:pos="551" w:val="left" w:leader="none"/>
              </w:tabs>
              <w:spacing w:line="240" w:lineRule="auto" w:before="36" w:after="0"/>
              <w:ind w:left="550" w:right="0" w:hanging="423"/>
              <w:jc w:val="both"/>
              <w:rPr>
                <w:sz w:val="21"/>
              </w:rPr>
            </w:pPr>
            <w:r>
              <w:rPr>
                <w:spacing w:val="-3"/>
                <w:sz w:val="21"/>
              </w:rPr>
              <w:t>并发增殖性视网膜病变；</w:t>
            </w:r>
          </w:p>
          <w:p>
            <w:pPr>
              <w:pStyle w:val="TableParagraph"/>
              <w:numPr>
                <w:ilvl w:val="0"/>
                <w:numId w:val="4"/>
              </w:numPr>
              <w:tabs>
                <w:tab w:pos="551" w:val="left" w:leader="none"/>
              </w:tabs>
              <w:spacing w:line="240" w:lineRule="auto" w:before="37" w:after="0"/>
              <w:ind w:left="550" w:right="0" w:hanging="423"/>
              <w:jc w:val="both"/>
              <w:rPr>
                <w:sz w:val="21"/>
              </w:rPr>
            </w:pPr>
            <w:r>
              <w:rPr>
                <w:spacing w:val="-3"/>
                <w:sz w:val="21"/>
              </w:rPr>
              <w:t>并发心脏病变，并须植入心脏起搏器进行治疗；</w:t>
            </w:r>
          </w:p>
          <w:p>
            <w:pPr>
              <w:pStyle w:val="TableParagraph"/>
              <w:numPr>
                <w:ilvl w:val="0"/>
                <w:numId w:val="4"/>
              </w:numPr>
              <w:tabs>
                <w:tab w:pos="551" w:val="left" w:leader="none"/>
              </w:tabs>
              <w:spacing w:line="240" w:lineRule="auto" w:before="37" w:after="0"/>
              <w:ind w:left="550" w:right="0" w:hanging="423"/>
              <w:jc w:val="both"/>
              <w:rPr>
                <w:sz w:val="21"/>
              </w:rPr>
            </w:pPr>
            <w:r>
              <w:rPr>
                <w:spacing w:val="-3"/>
                <w:sz w:val="21"/>
              </w:rPr>
              <w:t>至少一个脚趾发生坏疽并已实施手术切除。</w:t>
            </w:r>
          </w:p>
        </w:tc>
      </w:tr>
      <w:tr>
        <w:trPr>
          <w:trHeight w:val="3000" w:hRule="atLeast"/>
        </w:trPr>
        <w:tc>
          <w:tcPr>
            <w:tcW w:w="2014" w:type="dxa"/>
          </w:tcPr>
          <w:p>
            <w:pPr>
              <w:pStyle w:val="TableParagraph"/>
              <w:spacing w:line="206" w:lineRule="auto" w:before="79"/>
              <w:ind w:left="619" w:right="124" w:hanging="420"/>
              <w:rPr>
                <w:rFonts w:ascii="微软雅黑" w:eastAsia="微软雅黑" w:hint="eastAsia"/>
                <w:b/>
                <w:sz w:val="21"/>
              </w:rPr>
            </w:pPr>
            <w:r>
              <w:rPr>
                <w:rFonts w:ascii="微软雅黑" w:eastAsia="微软雅黑" w:hint="eastAsia"/>
                <w:b/>
                <w:sz w:val="21"/>
              </w:rPr>
              <w:t>30. 严重类风湿性关节炎</w:t>
            </w:r>
          </w:p>
        </w:tc>
        <w:tc>
          <w:tcPr>
            <w:tcW w:w="7514" w:type="dxa"/>
          </w:tcPr>
          <w:p>
            <w:pPr>
              <w:pStyle w:val="TableParagraph"/>
              <w:spacing w:line="273" w:lineRule="auto" w:before="90"/>
              <w:ind w:right="197"/>
              <w:rPr>
                <w:sz w:val="21"/>
              </w:rPr>
            </w:pPr>
            <w:r>
              <w:rPr>
                <w:spacing w:val="-7"/>
                <w:sz w:val="21"/>
              </w:rPr>
              <w:t>指广泛分布的慢性进行性多关节病变，表现为关节严重变形，侵犯至少三个主</w:t>
            </w:r>
            <w:r>
              <w:rPr>
                <w:spacing w:val="-8"/>
                <w:sz w:val="21"/>
              </w:rPr>
              <w:t>要关节</w:t>
            </w:r>
            <w:r>
              <w:rPr>
                <w:spacing w:val="-3"/>
                <w:sz w:val="21"/>
              </w:rPr>
              <w:t>（</w:t>
            </w:r>
            <w:r>
              <w:rPr>
                <w:spacing w:val="-8"/>
                <w:sz w:val="21"/>
              </w:rPr>
              <w:t>腕关节、肘关节、肩关节、踝关节、膝关节、髋关节</w:t>
            </w:r>
            <w:r>
              <w:rPr>
                <w:spacing w:val="-10"/>
                <w:sz w:val="21"/>
              </w:rPr>
              <w:t>）</w:t>
            </w:r>
            <w:r>
              <w:rPr>
                <w:spacing w:val="-4"/>
                <w:sz w:val="21"/>
              </w:rPr>
              <w:t>或关节组</w:t>
            </w:r>
            <w:r>
              <w:rPr>
                <w:spacing w:val="-3"/>
                <w:sz w:val="21"/>
              </w:rPr>
              <w:t>（</w:t>
            </w:r>
            <w:r>
              <w:rPr>
                <w:sz w:val="21"/>
              </w:rPr>
              <w:t>如</w:t>
            </w:r>
            <w:r>
              <w:rPr>
                <w:spacing w:val="-3"/>
                <w:w w:val="100"/>
                <w:sz w:val="21"/>
              </w:rPr>
              <w:t>手的多个指间、掌指关节，足的多个足趾、跖趾关节等</w:t>
            </w:r>
            <w:r>
              <w:rPr>
                <w:spacing w:val="-108"/>
                <w:w w:val="100"/>
                <w:sz w:val="21"/>
              </w:rPr>
              <w:t>）</w:t>
            </w:r>
            <w:r>
              <w:rPr>
                <w:spacing w:val="-3"/>
                <w:w w:val="100"/>
                <w:sz w:val="21"/>
              </w:rPr>
              <w:t>，并已达到类风湿性</w:t>
            </w:r>
            <w:r>
              <w:rPr>
                <w:spacing w:val="-9"/>
                <w:sz w:val="21"/>
              </w:rPr>
              <w:t>关节炎功能分类 </w:t>
            </w:r>
            <w:r>
              <w:rPr>
                <w:sz w:val="21"/>
              </w:rPr>
              <w:t>IV</w:t>
            </w:r>
            <w:r>
              <w:rPr>
                <w:spacing w:val="-10"/>
                <w:sz w:val="21"/>
              </w:rPr>
              <w:t> 级的永久不可逆性关节功能障碍，且须满足下列全部条件：</w:t>
            </w:r>
          </w:p>
          <w:p>
            <w:pPr>
              <w:pStyle w:val="TableParagraph"/>
              <w:numPr>
                <w:ilvl w:val="0"/>
                <w:numId w:val="5"/>
              </w:numPr>
              <w:tabs>
                <w:tab w:pos="551" w:val="left" w:leader="none"/>
              </w:tabs>
              <w:spacing w:line="240" w:lineRule="auto" w:before="7" w:after="0"/>
              <w:ind w:left="550" w:right="0" w:hanging="423"/>
              <w:jc w:val="left"/>
              <w:rPr>
                <w:sz w:val="21"/>
              </w:rPr>
            </w:pPr>
            <w:r>
              <w:rPr>
                <w:spacing w:val="-2"/>
                <w:sz w:val="21"/>
              </w:rPr>
              <w:t>晨僵；</w:t>
            </w:r>
          </w:p>
          <w:p>
            <w:pPr>
              <w:pStyle w:val="TableParagraph"/>
              <w:numPr>
                <w:ilvl w:val="0"/>
                <w:numId w:val="5"/>
              </w:numPr>
              <w:tabs>
                <w:tab w:pos="551" w:val="left" w:leader="none"/>
              </w:tabs>
              <w:spacing w:line="240" w:lineRule="auto" w:before="37" w:after="0"/>
              <w:ind w:left="550" w:right="0" w:hanging="423"/>
              <w:jc w:val="left"/>
              <w:rPr>
                <w:sz w:val="21"/>
              </w:rPr>
            </w:pPr>
            <w:r>
              <w:rPr>
                <w:spacing w:val="-3"/>
                <w:sz w:val="21"/>
              </w:rPr>
              <w:t>对称性关节炎；</w:t>
            </w:r>
          </w:p>
          <w:p>
            <w:pPr>
              <w:pStyle w:val="TableParagraph"/>
              <w:numPr>
                <w:ilvl w:val="0"/>
                <w:numId w:val="5"/>
              </w:numPr>
              <w:tabs>
                <w:tab w:pos="551" w:val="left" w:leader="none"/>
              </w:tabs>
              <w:spacing w:line="240" w:lineRule="auto" w:before="37" w:after="0"/>
              <w:ind w:left="550" w:right="0" w:hanging="423"/>
              <w:jc w:val="left"/>
              <w:rPr>
                <w:sz w:val="21"/>
              </w:rPr>
            </w:pPr>
            <w:r>
              <w:rPr>
                <w:spacing w:val="-3"/>
                <w:sz w:val="21"/>
              </w:rPr>
              <w:t>类风湿性皮下结节；</w:t>
            </w:r>
          </w:p>
          <w:p>
            <w:pPr>
              <w:pStyle w:val="TableParagraph"/>
              <w:numPr>
                <w:ilvl w:val="0"/>
                <w:numId w:val="5"/>
              </w:numPr>
              <w:tabs>
                <w:tab w:pos="551" w:val="left" w:leader="none"/>
              </w:tabs>
              <w:spacing w:line="240" w:lineRule="auto" w:before="37" w:after="0"/>
              <w:ind w:left="550" w:right="0" w:hanging="423"/>
              <w:jc w:val="left"/>
              <w:rPr>
                <w:sz w:val="21"/>
              </w:rPr>
            </w:pPr>
            <w:r>
              <w:rPr>
                <w:spacing w:val="-3"/>
                <w:sz w:val="21"/>
              </w:rPr>
              <w:t>类风湿因子滴度升高；</w:t>
            </w:r>
          </w:p>
          <w:p>
            <w:pPr>
              <w:pStyle w:val="TableParagraph"/>
              <w:numPr>
                <w:ilvl w:val="0"/>
                <w:numId w:val="5"/>
              </w:numPr>
              <w:tabs>
                <w:tab w:pos="550" w:val="left" w:leader="none"/>
              </w:tabs>
              <w:spacing w:line="240" w:lineRule="auto" w:before="36" w:after="0"/>
              <w:ind w:left="549" w:right="0" w:hanging="422"/>
              <w:jc w:val="left"/>
              <w:rPr>
                <w:sz w:val="21"/>
              </w:rPr>
            </w:pPr>
            <w:r>
              <w:rPr>
                <w:sz w:val="21"/>
              </w:rPr>
              <w:t>X</w:t>
            </w:r>
            <w:r>
              <w:rPr>
                <w:spacing w:val="-7"/>
                <w:sz w:val="21"/>
              </w:rPr>
              <w:t> 线显示严重的关节</w:t>
            </w:r>
            <w:r>
              <w:rPr>
                <w:sz w:val="21"/>
              </w:rPr>
              <w:t>（</w:t>
            </w:r>
            <w:r>
              <w:rPr>
                <w:spacing w:val="-3"/>
                <w:sz w:val="21"/>
              </w:rPr>
              <w:t>软骨和骨</w:t>
            </w:r>
            <w:r>
              <w:rPr>
                <w:sz w:val="21"/>
              </w:rPr>
              <w:t>）</w:t>
            </w:r>
            <w:r>
              <w:rPr>
                <w:spacing w:val="-3"/>
                <w:sz w:val="21"/>
              </w:rPr>
              <w:t>破坏和关节畸形。</w:t>
            </w:r>
          </w:p>
        </w:tc>
      </w:tr>
      <w:tr>
        <w:trPr>
          <w:trHeight w:val="655" w:hRule="atLeast"/>
        </w:trPr>
        <w:tc>
          <w:tcPr>
            <w:tcW w:w="2014" w:type="dxa"/>
          </w:tcPr>
          <w:p>
            <w:pPr>
              <w:pStyle w:val="TableParagraph"/>
              <w:spacing w:line="312" w:lineRule="exact" w:before="57"/>
              <w:ind w:left="619" w:right="124" w:hanging="420"/>
              <w:rPr>
                <w:rFonts w:ascii="微软雅黑" w:eastAsia="微软雅黑" w:hint="eastAsia"/>
                <w:b/>
                <w:sz w:val="21"/>
              </w:rPr>
            </w:pPr>
            <w:r>
              <w:rPr>
                <w:rFonts w:ascii="微软雅黑" w:eastAsia="微软雅黑" w:hint="eastAsia"/>
                <w:b/>
                <w:sz w:val="21"/>
              </w:rPr>
              <w:t>31. 急性出血坏死性胰腺炎开腹</w:t>
            </w:r>
          </w:p>
        </w:tc>
        <w:tc>
          <w:tcPr>
            <w:tcW w:w="7514" w:type="dxa"/>
          </w:tcPr>
          <w:p>
            <w:pPr>
              <w:pStyle w:val="TableParagraph"/>
              <w:spacing w:line="310" w:lineRule="atLeast" w:before="26"/>
              <w:ind w:right="233"/>
              <w:rPr>
                <w:sz w:val="21"/>
              </w:rPr>
            </w:pPr>
            <w:r>
              <w:rPr>
                <w:sz w:val="21"/>
              </w:rPr>
              <w:t>指被保险人因为急性出血坏死性胰腺炎已经接受了外科开腹手术治疗，以进行坏死组织清除、坏死病灶切除或胰腺切除。</w:t>
            </w:r>
          </w:p>
        </w:tc>
      </w:tr>
    </w:tbl>
    <w:p>
      <w:pPr>
        <w:spacing w:after="0" w:line="310" w:lineRule="atLeast"/>
        <w:rPr>
          <w:sz w:val="21"/>
        </w:rPr>
        <w:sectPr>
          <w:pgSz w:w="11910" w:h="16840"/>
          <w:pgMar w:header="0" w:footer="375" w:top="134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7517"/>
      </w:tblGrid>
      <w:tr>
        <w:trPr>
          <w:trHeight w:val="650" w:hRule="atLeast"/>
        </w:trPr>
        <w:tc>
          <w:tcPr>
            <w:tcW w:w="2014" w:type="dxa"/>
          </w:tcPr>
          <w:p>
            <w:pPr>
              <w:pStyle w:val="TableParagraph"/>
              <w:spacing w:line="230" w:lineRule="exact"/>
              <w:ind w:left="619"/>
              <w:rPr>
                <w:rFonts w:ascii="微软雅黑" w:eastAsia="微软雅黑" w:hint="eastAsia"/>
                <w:b/>
                <w:sz w:val="21"/>
              </w:rPr>
            </w:pPr>
            <w:r>
              <w:rPr>
                <w:rFonts w:ascii="微软雅黑" w:eastAsia="微软雅黑" w:hint="eastAsia"/>
                <w:b/>
                <w:sz w:val="21"/>
              </w:rPr>
              <w:t>手术</w:t>
            </w:r>
          </w:p>
        </w:tc>
        <w:tc>
          <w:tcPr>
            <w:tcW w:w="7517" w:type="dxa"/>
          </w:tcPr>
          <w:p>
            <w:pPr>
              <w:pStyle w:val="TableParagraph"/>
              <w:spacing w:line="205" w:lineRule="exact"/>
              <w:rPr>
                <w:rFonts w:ascii="微软雅黑" w:eastAsia="微软雅黑" w:hint="eastAsia"/>
                <w:b/>
                <w:sz w:val="21"/>
              </w:rPr>
            </w:pPr>
            <w:r>
              <w:rPr>
                <w:rFonts w:ascii="微软雅黑" w:eastAsia="微软雅黑" w:hint="eastAsia"/>
                <w:b/>
                <w:sz w:val="21"/>
              </w:rPr>
              <w:t>因饮酒所致的急性出血坏死性胰腺炎或经腹腔镜手术进行的治疗不在保障范</w:t>
            </w:r>
          </w:p>
          <w:p>
            <w:pPr>
              <w:pStyle w:val="TableParagraph"/>
              <w:spacing w:line="338" w:lineRule="exact"/>
              <w:rPr>
                <w:rFonts w:ascii="微软雅黑" w:eastAsia="微软雅黑" w:hint="eastAsia"/>
                <w:b/>
                <w:sz w:val="21"/>
              </w:rPr>
            </w:pPr>
            <w:r>
              <w:rPr>
                <w:rFonts w:ascii="微软雅黑" w:eastAsia="微软雅黑" w:hint="eastAsia"/>
                <w:b/>
                <w:sz w:val="21"/>
              </w:rPr>
              <w:t>围内。</w:t>
            </w:r>
          </w:p>
        </w:tc>
      </w:tr>
      <w:tr>
        <w:trPr>
          <w:trHeight w:val="1101" w:hRule="atLeast"/>
        </w:trPr>
        <w:tc>
          <w:tcPr>
            <w:tcW w:w="2014" w:type="dxa"/>
          </w:tcPr>
          <w:p>
            <w:pPr>
              <w:pStyle w:val="TableParagraph"/>
              <w:spacing w:line="332" w:lineRule="exact"/>
              <w:ind w:left="200"/>
              <w:rPr>
                <w:rFonts w:ascii="微软雅黑" w:eastAsia="微软雅黑" w:hint="eastAsia"/>
                <w:b/>
                <w:sz w:val="21"/>
              </w:rPr>
            </w:pPr>
            <w:r>
              <w:rPr>
                <w:rFonts w:ascii="微软雅黑" w:eastAsia="微软雅黑" w:hint="eastAsia"/>
                <w:b/>
                <w:sz w:val="21"/>
              </w:rPr>
              <w:t>32. 侵蚀性葡萄胎</w:t>
            </w:r>
          </w:p>
          <w:p>
            <w:pPr>
              <w:pStyle w:val="TableParagraph"/>
              <w:spacing w:line="206" w:lineRule="auto" w:before="25"/>
              <w:ind w:left="619" w:right="124"/>
              <w:rPr>
                <w:rFonts w:ascii="微软雅黑" w:eastAsia="微软雅黑" w:hint="eastAsia"/>
                <w:b/>
                <w:sz w:val="21"/>
              </w:rPr>
            </w:pPr>
            <w:r>
              <w:rPr>
                <w:rFonts w:ascii="微软雅黑" w:eastAsia="微软雅黑" w:hint="eastAsia"/>
                <w:b/>
                <w:sz w:val="21"/>
              </w:rPr>
              <w:t>（或称恶性葡萄胎）</w:t>
            </w:r>
          </w:p>
        </w:tc>
        <w:tc>
          <w:tcPr>
            <w:tcW w:w="7517" w:type="dxa"/>
          </w:tcPr>
          <w:p>
            <w:pPr>
              <w:pStyle w:val="TableParagraph"/>
              <w:spacing w:line="273" w:lineRule="auto" w:before="57"/>
              <w:ind w:right="450"/>
              <w:rPr>
                <w:sz w:val="21"/>
              </w:rPr>
            </w:pPr>
            <w:r>
              <w:rPr>
                <w:sz w:val="21"/>
              </w:rPr>
              <w:t>指异常增生的绒毛组织浸润性生长浸入子宫肌层或转移至其他器官或组织的葡萄胎，并已经进行化疗或手术治疗的。</w:t>
            </w:r>
          </w:p>
        </w:tc>
      </w:tr>
      <w:tr>
        <w:trPr>
          <w:trHeight w:val="3659" w:hRule="atLeast"/>
        </w:trPr>
        <w:tc>
          <w:tcPr>
            <w:tcW w:w="2014" w:type="dxa"/>
          </w:tcPr>
          <w:p>
            <w:pPr>
              <w:pStyle w:val="TableParagraph"/>
              <w:spacing w:line="206" w:lineRule="auto" w:before="57"/>
              <w:ind w:left="619" w:right="124" w:hanging="420"/>
              <w:jc w:val="both"/>
              <w:rPr>
                <w:rFonts w:ascii="微软雅黑" w:eastAsia="微软雅黑" w:hint="eastAsia"/>
                <w:b/>
                <w:sz w:val="21"/>
              </w:rPr>
            </w:pPr>
            <w:r>
              <w:rPr>
                <w:rFonts w:ascii="微软雅黑" w:eastAsia="微软雅黑" w:hint="eastAsia"/>
                <w:b/>
                <w:sz w:val="21"/>
              </w:rPr>
              <w:t>33. 经输血导致的感染艾滋病病毒或者患艾滋病</w:t>
            </w:r>
          </w:p>
        </w:tc>
        <w:tc>
          <w:tcPr>
            <w:tcW w:w="7517" w:type="dxa"/>
          </w:tcPr>
          <w:p>
            <w:pPr>
              <w:pStyle w:val="TableParagraph"/>
              <w:spacing w:before="69"/>
              <w:rPr>
                <w:sz w:val="21"/>
              </w:rPr>
            </w:pPr>
            <w:r>
              <w:rPr>
                <w:sz w:val="21"/>
              </w:rPr>
              <w:t>指被保险人感染艾滋病病毒或者患艾滋病且须满足下列全部条件：</w:t>
            </w:r>
          </w:p>
          <w:p>
            <w:pPr>
              <w:pStyle w:val="TableParagraph"/>
              <w:numPr>
                <w:ilvl w:val="0"/>
                <w:numId w:val="6"/>
              </w:numPr>
              <w:tabs>
                <w:tab w:pos="551" w:val="left" w:leader="none"/>
              </w:tabs>
              <w:spacing w:line="240" w:lineRule="auto" w:before="37" w:after="0"/>
              <w:ind w:left="127" w:right="0" w:firstLine="0"/>
              <w:jc w:val="left"/>
              <w:rPr>
                <w:sz w:val="21"/>
              </w:rPr>
            </w:pPr>
            <w:r>
              <w:rPr>
                <w:spacing w:val="-3"/>
                <w:sz w:val="21"/>
              </w:rPr>
              <w:t>因输血而感染；</w:t>
            </w:r>
          </w:p>
          <w:p>
            <w:pPr>
              <w:pStyle w:val="TableParagraph"/>
              <w:numPr>
                <w:ilvl w:val="0"/>
                <w:numId w:val="6"/>
              </w:numPr>
              <w:tabs>
                <w:tab w:pos="551" w:val="left" w:leader="none"/>
              </w:tabs>
              <w:spacing w:line="273" w:lineRule="auto" w:before="37" w:after="0"/>
              <w:ind w:left="127" w:right="303" w:firstLine="0"/>
              <w:jc w:val="left"/>
              <w:rPr>
                <w:sz w:val="21"/>
              </w:rPr>
            </w:pPr>
            <w:r>
              <w:rPr>
                <w:spacing w:val="-3"/>
                <w:sz w:val="21"/>
              </w:rPr>
              <w:t>提供输血治疗的输血中心或医院出具的该项输血感染属医疗责任事故的</w:t>
            </w:r>
            <w:r>
              <w:rPr>
                <w:spacing w:val="-10"/>
                <w:sz w:val="21"/>
              </w:rPr>
              <w:t>报告，或法院确认被保险人因输血导致感染艾滋病病毒或患艾滋病为医疗责任</w:t>
            </w:r>
            <w:r>
              <w:rPr>
                <w:spacing w:val="-5"/>
                <w:sz w:val="21"/>
              </w:rPr>
              <w:t>事故的生效判决；</w:t>
            </w:r>
          </w:p>
          <w:p>
            <w:pPr>
              <w:pStyle w:val="TableParagraph"/>
              <w:numPr>
                <w:ilvl w:val="0"/>
                <w:numId w:val="6"/>
              </w:numPr>
              <w:tabs>
                <w:tab w:pos="551" w:val="left" w:leader="none"/>
              </w:tabs>
              <w:spacing w:line="240" w:lineRule="auto" w:before="8" w:after="0"/>
              <w:ind w:left="127" w:right="0" w:firstLine="0"/>
              <w:jc w:val="left"/>
              <w:rPr>
                <w:sz w:val="21"/>
              </w:rPr>
            </w:pPr>
            <w:r>
              <w:rPr>
                <w:spacing w:val="-3"/>
                <w:sz w:val="21"/>
              </w:rPr>
              <w:t>受感染的被保险人不是血友病患者。</w:t>
            </w:r>
          </w:p>
          <w:p>
            <w:pPr>
              <w:pStyle w:val="TableParagraph"/>
              <w:spacing w:before="8"/>
              <w:ind w:left="0"/>
              <w:rPr>
                <w:sz w:val="26"/>
              </w:rPr>
            </w:pPr>
          </w:p>
          <w:p>
            <w:pPr>
              <w:pStyle w:val="TableParagraph"/>
              <w:spacing w:line="273" w:lineRule="auto"/>
              <w:ind w:right="449"/>
              <w:rPr>
                <w:sz w:val="21"/>
              </w:rPr>
            </w:pPr>
            <w:r>
              <w:rPr>
                <w:sz w:val="21"/>
              </w:rPr>
              <w:t>本公司具有获得和使用被保险人的所有血液样本的权利以及能够对这些样本进行独立检验的权利。</w:t>
            </w:r>
          </w:p>
          <w:p>
            <w:pPr>
              <w:pStyle w:val="TableParagraph"/>
              <w:spacing w:line="206" w:lineRule="auto"/>
              <w:ind w:right="238"/>
              <w:rPr>
                <w:rFonts w:ascii="微软雅黑" w:eastAsia="微软雅黑" w:hint="eastAsia"/>
                <w:b/>
                <w:sz w:val="21"/>
              </w:rPr>
            </w:pPr>
            <w:r>
              <w:rPr>
                <w:rFonts w:ascii="微软雅黑" w:eastAsia="微软雅黑" w:hint="eastAsia"/>
                <w:b/>
                <w:sz w:val="21"/>
              </w:rPr>
              <w:t>任何因其他传播方式（包括：性传播或静脉注射毒品）导致感染艾滋病病毒或者患艾滋病不在保障范围内。</w:t>
            </w:r>
          </w:p>
        </w:tc>
      </w:tr>
      <w:tr>
        <w:trPr>
          <w:trHeight w:val="5525" w:hRule="atLeast"/>
        </w:trPr>
        <w:tc>
          <w:tcPr>
            <w:tcW w:w="2014" w:type="dxa"/>
          </w:tcPr>
          <w:p>
            <w:pPr>
              <w:pStyle w:val="TableParagraph"/>
              <w:spacing w:line="206" w:lineRule="auto" w:before="106"/>
              <w:ind w:left="619" w:right="124" w:hanging="420"/>
              <w:jc w:val="both"/>
              <w:rPr>
                <w:rFonts w:ascii="微软雅黑" w:eastAsia="微软雅黑" w:hint="eastAsia"/>
                <w:b/>
                <w:sz w:val="21"/>
              </w:rPr>
            </w:pPr>
            <w:r>
              <w:rPr>
                <w:rFonts w:ascii="微软雅黑" w:eastAsia="微软雅黑" w:hint="eastAsia"/>
                <w:b/>
                <w:sz w:val="21"/>
              </w:rPr>
              <w:t>34. 系统性红斑狼疮并发重度的肾功能损害</w:t>
            </w:r>
          </w:p>
        </w:tc>
        <w:tc>
          <w:tcPr>
            <w:tcW w:w="7517" w:type="dxa"/>
          </w:tcPr>
          <w:p>
            <w:pPr>
              <w:pStyle w:val="TableParagraph"/>
              <w:spacing w:line="273" w:lineRule="auto" w:before="118"/>
              <w:ind w:right="248"/>
              <w:rPr>
                <w:sz w:val="21"/>
              </w:rPr>
            </w:pPr>
            <w:r>
              <w:rPr>
                <w:sz w:val="21"/>
              </w:rPr>
              <w:t>指系统性红斑狼疮患者并发狼疮性肾炎而影响和损害肾脏功能。须满足下列全部条件：</w:t>
            </w:r>
          </w:p>
          <w:p>
            <w:pPr>
              <w:pStyle w:val="TableParagraph"/>
              <w:numPr>
                <w:ilvl w:val="0"/>
                <w:numId w:val="7"/>
              </w:numPr>
              <w:tabs>
                <w:tab w:pos="551" w:val="left" w:leader="none"/>
              </w:tabs>
              <w:spacing w:line="240" w:lineRule="auto" w:before="7" w:after="0"/>
              <w:ind w:left="550" w:right="0" w:hanging="423"/>
              <w:jc w:val="left"/>
              <w:rPr>
                <w:sz w:val="21"/>
              </w:rPr>
            </w:pPr>
            <w:r>
              <w:rPr>
                <w:spacing w:val="-3"/>
                <w:sz w:val="21"/>
              </w:rPr>
              <w:t>临床表现须具备以下至少四项条件：</w:t>
            </w:r>
          </w:p>
          <w:p>
            <w:pPr>
              <w:pStyle w:val="TableParagraph"/>
              <w:spacing w:before="37"/>
              <w:rPr>
                <w:sz w:val="21"/>
              </w:rPr>
            </w:pPr>
            <w:r>
              <w:rPr>
                <w:sz w:val="21"/>
              </w:rPr>
              <w:t>① 蝶形红斑或盘形红斑；</w:t>
            </w:r>
          </w:p>
          <w:p>
            <w:pPr>
              <w:pStyle w:val="TableParagraph"/>
              <w:spacing w:before="37"/>
              <w:rPr>
                <w:sz w:val="21"/>
              </w:rPr>
            </w:pPr>
            <w:r>
              <w:rPr>
                <w:sz w:val="21"/>
              </w:rPr>
              <w:t>② 光敏感；</w:t>
            </w:r>
          </w:p>
          <w:p>
            <w:pPr>
              <w:pStyle w:val="TableParagraph"/>
              <w:spacing w:before="37"/>
              <w:rPr>
                <w:sz w:val="21"/>
              </w:rPr>
            </w:pPr>
            <w:r>
              <w:rPr>
                <w:sz w:val="21"/>
              </w:rPr>
              <w:t>③ 口鼻腔黏膜溃疡；</w:t>
            </w:r>
          </w:p>
          <w:p>
            <w:pPr>
              <w:pStyle w:val="TableParagraph"/>
              <w:spacing w:before="37"/>
              <w:rPr>
                <w:sz w:val="21"/>
              </w:rPr>
            </w:pPr>
            <w:r>
              <w:rPr>
                <w:sz w:val="21"/>
              </w:rPr>
              <w:t>④ 非畸形性关节炎或多关节痛；</w:t>
            </w:r>
          </w:p>
          <w:p>
            <w:pPr>
              <w:pStyle w:val="TableParagraph"/>
              <w:spacing w:before="37"/>
              <w:rPr>
                <w:sz w:val="21"/>
              </w:rPr>
            </w:pPr>
            <w:r>
              <w:rPr>
                <w:sz w:val="21"/>
              </w:rPr>
              <w:t>⑤ 胸膜炎或心包炎；</w:t>
            </w:r>
          </w:p>
          <w:p>
            <w:pPr>
              <w:pStyle w:val="TableParagraph"/>
              <w:spacing w:before="37"/>
              <w:rPr>
                <w:sz w:val="21"/>
              </w:rPr>
            </w:pPr>
            <w:r>
              <w:rPr>
                <w:sz w:val="21"/>
              </w:rPr>
              <w:t>⑥ 神经系统损伤（癫痫或精神症状）；</w:t>
            </w:r>
          </w:p>
          <w:p>
            <w:pPr>
              <w:pStyle w:val="TableParagraph"/>
              <w:spacing w:before="37"/>
              <w:rPr>
                <w:sz w:val="21"/>
              </w:rPr>
            </w:pPr>
            <w:r>
              <w:rPr>
                <w:sz w:val="21"/>
              </w:rPr>
              <w:t>⑦ 血象异常（白细胞小于4000/μl或血小板小于100000/μl或溶血性贫血）。</w:t>
            </w:r>
          </w:p>
          <w:p>
            <w:pPr>
              <w:pStyle w:val="TableParagraph"/>
              <w:numPr>
                <w:ilvl w:val="0"/>
                <w:numId w:val="7"/>
              </w:numPr>
              <w:tabs>
                <w:tab w:pos="551" w:val="left" w:leader="none"/>
              </w:tabs>
              <w:spacing w:line="240" w:lineRule="auto" w:before="37" w:after="0"/>
              <w:ind w:left="550" w:right="0" w:hanging="423"/>
              <w:jc w:val="left"/>
              <w:rPr>
                <w:sz w:val="21"/>
              </w:rPr>
            </w:pPr>
            <w:r>
              <w:rPr>
                <w:spacing w:val="-3"/>
                <w:sz w:val="21"/>
              </w:rPr>
              <w:t>检查结果须具备以下至少两项条件：</w:t>
            </w:r>
          </w:p>
          <w:p>
            <w:pPr>
              <w:pStyle w:val="TableParagraph"/>
              <w:spacing w:before="37"/>
              <w:rPr>
                <w:sz w:val="21"/>
              </w:rPr>
            </w:pPr>
            <w:r>
              <w:rPr>
                <w:sz w:val="21"/>
              </w:rPr>
              <w:t>① 抗dsDNA抗体阳性；</w:t>
            </w:r>
          </w:p>
          <w:p>
            <w:pPr>
              <w:pStyle w:val="TableParagraph"/>
              <w:spacing w:before="37"/>
              <w:rPr>
                <w:sz w:val="21"/>
              </w:rPr>
            </w:pPr>
            <w:r>
              <w:rPr>
                <w:sz w:val="21"/>
              </w:rPr>
              <w:t>② 抗Sm抗体阳性；</w:t>
            </w:r>
          </w:p>
          <w:p>
            <w:pPr>
              <w:pStyle w:val="TableParagraph"/>
              <w:spacing w:before="37"/>
              <w:rPr>
                <w:sz w:val="21"/>
              </w:rPr>
            </w:pPr>
            <w:r>
              <w:rPr>
                <w:sz w:val="21"/>
              </w:rPr>
              <w:t>③ 抗核抗体阳性；</w:t>
            </w:r>
          </w:p>
          <w:p>
            <w:pPr>
              <w:pStyle w:val="TableParagraph"/>
              <w:spacing w:before="37"/>
              <w:rPr>
                <w:sz w:val="21"/>
              </w:rPr>
            </w:pPr>
            <w:r>
              <w:rPr>
                <w:sz w:val="21"/>
              </w:rPr>
              <w:t>④ 皮肤狼疮带试验（非病损部位）或肾活检阳性；</w:t>
            </w:r>
          </w:p>
          <w:p>
            <w:pPr>
              <w:pStyle w:val="TableParagraph"/>
              <w:spacing w:before="36"/>
              <w:rPr>
                <w:sz w:val="21"/>
              </w:rPr>
            </w:pPr>
            <w:r>
              <w:rPr>
                <w:sz w:val="21"/>
              </w:rPr>
              <w:t>⑤ C3低于正常值。</w:t>
            </w:r>
          </w:p>
          <w:p>
            <w:pPr>
              <w:pStyle w:val="TableParagraph"/>
              <w:numPr>
                <w:ilvl w:val="0"/>
                <w:numId w:val="7"/>
              </w:numPr>
              <w:tabs>
                <w:tab w:pos="551" w:val="left" w:leader="none"/>
              </w:tabs>
              <w:spacing w:line="240" w:lineRule="auto" w:before="36" w:after="0"/>
              <w:ind w:left="550" w:right="0" w:hanging="423"/>
              <w:jc w:val="left"/>
              <w:rPr>
                <w:sz w:val="21"/>
              </w:rPr>
            </w:pPr>
            <w:r>
              <w:rPr>
                <w:spacing w:val="-3"/>
                <w:sz w:val="21"/>
              </w:rPr>
              <w:t>狼疮肾炎致使肾功能减弱，内生肌酐清除率低于每分钟</w:t>
            </w:r>
            <w:r>
              <w:rPr>
                <w:sz w:val="21"/>
              </w:rPr>
              <w:t>30ml。</w:t>
            </w:r>
          </w:p>
        </w:tc>
      </w:tr>
      <w:tr>
        <w:trPr>
          <w:trHeight w:val="2073" w:hRule="atLeast"/>
        </w:trPr>
        <w:tc>
          <w:tcPr>
            <w:tcW w:w="2014" w:type="dxa"/>
          </w:tcPr>
          <w:p>
            <w:pPr>
              <w:pStyle w:val="TableParagraph"/>
              <w:ind w:left="200"/>
              <w:rPr>
                <w:rFonts w:ascii="微软雅黑" w:eastAsia="微软雅黑" w:hint="eastAsia"/>
                <w:b/>
                <w:sz w:val="21"/>
              </w:rPr>
            </w:pPr>
            <w:r>
              <w:rPr>
                <w:rFonts w:ascii="微软雅黑" w:eastAsia="微软雅黑" w:hint="eastAsia"/>
                <w:b/>
                <w:sz w:val="21"/>
              </w:rPr>
              <w:t>35. 重症肌无力</w:t>
            </w:r>
          </w:p>
        </w:tc>
        <w:tc>
          <w:tcPr>
            <w:tcW w:w="7517" w:type="dxa"/>
          </w:tcPr>
          <w:p>
            <w:pPr>
              <w:pStyle w:val="TableParagraph"/>
              <w:spacing w:line="273" w:lineRule="auto" w:before="63"/>
              <w:ind w:right="241"/>
              <w:jc w:val="both"/>
              <w:rPr>
                <w:sz w:val="21"/>
              </w:rPr>
            </w:pPr>
            <w:r>
              <w:rPr>
                <w:spacing w:val="-6"/>
                <w:sz w:val="21"/>
              </w:rPr>
              <w:t>指一种神经与肌肉接头部位传递障碍的自身免疫性疾病，临床特征是局部或全</w:t>
            </w:r>
            <w:r>
              <w:rPr>
                <w:spacing w:val="-4"/>
                <w:sz w:val="21"/>
              </w:rPr>
              <w:t>身横纹肌于活动时易于疲劳无力，颅神经眼外肌最易累及，也可涉及呼吸肌、</w:t>
            </w:r>
            <w:r>
              <w:rPr>
                <w:spacing w:val="-3"/>
                <w:sz w:val="21"/>
              </w:rPr>
              <w:t>下肢近端肌群以至全身肌肉。且须满足下列全部条件：</w:t>
            </w:r>
          </w:p>
          <w:p>
            <w:pPr>
              <w:pStyle w:val="TableParagraph"/>
              <w:numPr>
                <w:ilvl w:val="0"/>
                <w:numId w:val="8"/>
              </w:numPr>
              <w:tabs>
                <w:tab w:pos="551" w:val="left" w:leader="none"/>
              </w:tabs>
              <w:spacing w:line="240" w:lineRule="auto" w:before="7" w:after="0"/>
              <w:ind w:left="127" w:right="0" w:firstLine="0"/>
              <w:jc w:val="left"/>
              <w:rPr>
                <w:sz w:val="21"/>
              </w:rPr>
            </w:pPr>
            <w:r>
              <w:rPr>
                <w:spacing w:val="-3"/>
                <w:sz w:val="21"/>
              </w:rPr>
              <w:t>经药物、胸腺手术治疗一年以上无法控制病情；</w:t>
            </w:r>
          </w:p>
          <w:p>
            <w:pPr>
              <w:pStyle w:val="TableParagraph"/>
              <w:numPr>
                <w:ilvl w:val="0"/>
                <w:numId w:val="8"/>
              </w:numPr>
              <w:tabs>
                <w:tab w:pos="551" w:val="left" w:leader="none"/>
              </w:tabs>
              <w:spacing w:line="273" w:lineRule="auto" w:before="36" w:after="0"/>
              <w:ind w:left="127" w:right="303" w:firstLine="0"/>
              <w:jc w:val="both"/>
              <w:rPr>
                <w:sz w:val="21"/>
              </w:rPr>
            </w:pPr>
            <w:r>
              <w:rPr>
                <w:spacing w:val="-9"/>
                <w:sz w:val="21"/>
              </w:rPr>
              <w:t>自主生活能力完全丧失，无法独立完成六项基本日常生活活动中的三项或</w:t>
            </w:r>
            <w:r>
              <w:rPr>
                <w:spacing w:val="-5"/>
                <w:sz w:val="21"/>
              </w:rPr>
              <w:t>三项以上。</w:t>
            </w:r>
          </w:p>
        </w:tc>
      </w:tr>
      <w:tr>
        <w:trPr>
          <w:trHeight w:val="1316" w:hRule="atLeast"/>
        </w:trPr>
        <w:tc>
          <w:tcPr>
            <w:tcW w:w="2014" w:type="dxa"/>
          </w:tcPr>
          <w:p>
            <w:pPr>
              <w:pStyle w:val="TableParagraph"/>
              <w:spacing w:line="206" w:lineRule="auto" w:before="87"/>
              <w:ind w:left="619" w:right="124" w:hanging="420"/>
              <w:rPr>
                <w:rFonts w:ascii="微软雅黑" w:eastAsia="微软雅黑" w:hint="eastAsia"/>
                <w:b/>
                <w:sz w:val="21"/>
              </w:rPr>
            </w:pPr>
            <w:r>
              <w:rPr>
                <w:rFonts w:ascii="微软雅黑" w:eastAsia="微软雅黑" w:hint="eastAsia"/>
                <w:b/>
                <w:sz w:val="21"/>
              </w:rPr>
              <w:t>36. 持续植物人状态</w:t>
            </w:r>
          </w:p>
        </w:tc>
        <w:tc>
          <w:tcPr>
            <w:tcW w:w="7517" w:type="dxa"/>
          </w:tcPr>
          <w:p>
            <w:pPr>
              <w:pStyle w:val="TableParagraph"/>
              <w:spacing w:line="273" w:lineRule="auto" w:before="99"/>
              <w:ind w:right="303"/>
              <w:jc w:val="both"/>
              <w:rPr>
                <w:sz w:val="21"/>
              </w:rPr>
            </w:pPr>
            <w:r>
              <w:rPr>
                <w:spacing w:val="-5"/>
                <w:sz w:val="21"/>
              </w:rPr>
              <w:t>指因疾病或意外伤害导致被保险人躯体反射和自主反射全部丧失的深昏迷，但</w:t>
            </w:r>
            <w:r>
              <w:rPr>
                <w:spacing w:val="-7"/>
                <w:sz w:val="21"/>
              </w:rPr>
              <w:t>呼吸和心跳是正常的，此时完全依赖支持疗法</w:t>
            </w:r>
            <w:r>
              <w:rPr>
                <w:spacing w:val="-3"/>
                <w:sz w:val="21"/>
              </w:rPr>
              <w:t>（</w:t>
            </w:r>
            <w:r>
              <w:rPr>
                <w:spacing w:val="-6"/>
                <w:sz w:val="21"/>
              </w:rPr>
              <w:t>如流质食物、静脉注射营养液等）</w:t>
            </w:r>
            <w:r>
              <w:rPr>
                <w:spacing w:val="-3"/>
                <w:sz w:val="21"/>
              </w:rPr>
              <w:t>维持生命的临床状态。且须满足下列全部条件：</w:t>
            </w:r>
          </w:p>
          <w:p>
            <w:pPr>
              <w:pStyle w:val="TableParagraph"/>
              <w:spacing w:line="261" w:lineRule="exact" w:before="7"/>
              <w:jc w:val="both"/>
              <w:rPr>
                <w:sz w:val="21"/>
              </w:rPr>
            </w:pPr>
            <w:r>
              <w:rPr>
                <w:sz w:val="21"/>
              </w:rPr>
              <w:t>(1) 诊断为植物人状态后并继续维持治疗 30 天以上；</w:t>
            </w:r>
          </w:p>
        </w:tc>
      </w:tr>
    </w:tbl>
    <w:p>
      <w:pPr>
        <w:spacing w:after="0" w:line="261" w:lineRule="exact"/>
        <w:jc w:val="both"/>
        <w:rPr>
          <w:sz w:val="21"/>
        </w:rPr>
        <w:sectPr>
          <w:pgSz w:w="11910" w:h="16840"/>
          <w:pgMar w:header="0" w:footer="375" w:top="134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7516"/>
      </w:tblGrid>
      <w:tr>
        <w:trPr>
          <w:trHeight w:val="287" w:hRule="atLeast"/>
        </w:trPr>
        <w:tc>
          <w:tcPr>
            <w:tcW w:w="2014" w:type="dxa"/>
          </w:tcPr>
          <w:p>
            <w:pPr>
              <w:pStyle w:val="TableParagraph"/>
              <w:ind w:left="0"/>
              <w:rPr>
                <w:rFonts w:ascii="Times New Roman"/>
                <w:sz w:val="20"/>
              </w:rPr>
            </w:pPr>
          </w:p>
        </w:tc>
        <w:tc>
          <w:tcPr>
            <w:tcW w:w="7516" w:type="dxa"/>
          </w:tcPr>
          <w:p>
            <w:pPr>
              <w:pStyle w:val="TableParagraph"/>
              <w:spacing w:line="205" w:lineRule="exact"/>
              <w:rPr>
                <w:sz w:val="21"/>
              </w:rPr>
            </w:pPr>
            <w:r>
              <w:rPr>
                <w:sz w:val="21"/>
              </w:rPr>
              <w:t>(2) 治疗30天前后的脑电图检查均为等电位（完全平坦）。</w:t>
            </w:r>
          </w:p>
        </w:tc>
      </w:tr>
      <w:tr>
        <w:trPr>
          <w:trHeight w:val="1668" w:hRule="atLeast"/>
        </w:trPr>
        <w:tc>
          <w:tcPr>
            <w:tcW w:w="2014" w:type="dxa"/>
          </w:tcPr>
          <w:p>
            <w:pPr>
              <w:pStyle w:val="TableParagraph"/>
              <w:spacing w:line="306" w:lineRule="exact"/>
              <w:ind w:left="200"/>
              <w:rPr>
                <w:rFonts w:ascii="微软雅黑" w:eastAsia="微软雅黑" w:hint="eastAsia"/>
                <w:b/>
                <w:sz w:val="21"/>
              </w:rPr>
            </w:pPr>
            <w:r>
              <w:rPr>
                <w:rFonts w:ascii="微软雅黑" w:eastAsia="微软雅黑" w:hint="eastAsia"/>
                <w:b/>
                <w:sz w:val="21"/>
              </w:rPr>
              <w:t>37. 严重心肌病</w:t>
            </w:r>
          </w:p>
        </w:tc>
        <w:tc>
          <w:tcPr>
            <w:tcW w:w="7516" w:type="dxa"/>
          </w:tcPr>
          <w:p>
            <w:pPr>
              <w:pStyle w:val="TableParagraph"/>
              <w:spacing w:line="273" w:lineRule="auto" w:before="5"/>
              <w:ind w:right="201"/>
              <w:rPr>
                <w:sz w:val="21"/>
              </w:rPr>
            </w:pPr>
            <w:r>
              <w:rPr>
                <w:spacing w:val="-7"/>
                <w:sz w:val="21"/>
              </w:rPr>
              <w:t>指由任何病因引起的心室功能损伤</w:t>
            </w:r>
            <w:r>
              <w:rPr>
                <w:sz w:val="21"/>
              </w:rPr>
              <w:t>（</w:t>
            </w:r>
            <w:r>
              <w:rPr>
                <w:spacing w:val="-3"/>
                <w:sz w:val="21"/>
              </w:rPr>
              <w:t>左室腔扩大至少达到正常值上限的</w:t>
            </w:r>
            <w:r>
              <w:rPr>
                <w:sz w:val="21"/>
              </w:rPr>
              <w:t>120％， </w:t>
            </w:r>
            <w:r>
              <w:rPr>
                <w:spacing w:val="-3"/>
                <w:sz w:val="21"/>
              </w:rPr>
              <w:t>且左室射血分数持续性低于</w:t>
            </w:r>
            <w:r>
              <w:rPr>
                <w:spacing w:val="-10"/>
                <w:sz w:val="21"/>
              </w:rPr>
              <w:t>40％），</w:t>
            </w:r>
            <w:r>
              <w:rPr>
                <w:spacing w:val="-5"/>
                <w:sz w:val="21"/>
              </w:rPr>
              <w:t>导致被保险人身体永久不可逆性受损，达</w:t>
            </w:r>
            <w:r>
              <w:rPr>
                <w:spacing w:val="-4"/>
                <w:sz w:val="21"/>
              </w:rPr>
              <w:t>到美国纽约心脏病学会心功能状态分级</w:t>
            </w:r>
            <w:r>
              <w:rPr>
                <w:sz w:val="21"/>
              </w:rPr>
              <w:t>IV</w:t>
            </w:r>
            <w:r>
              <w:rPr>
                <w:spacing w:val="-10"/>
                <w:sz w:val="21"/>
              </w:rPr>
              <w:t>级，且经包括超声心动图在内的相关</w:t>
            </w:r>
            <w:r>
              <w:rPr>
                <w:spacing w:val="-5"/>
                <w:sz w:val="21"/>
              </w:rPr>
              <w:t>检查证实。</w:t>
            </w:r>
          </w:p>
          <w:p>
            <w:pPr>
              <w:pStyle w:val="TableParagraph"/>
              <w:spacing w:line="308" w:lineRule="exact"/>
              <w:rPr>
                <w:rFonts w:ascii="微软雅黑" w:eastAsia="微软雅黑" w:hint="eastAsia"/>
                <w:b/>
                <w:sz w:val="21"/>
              </w:rPr>
            </w:pPr>
            <w:r>
              <w:rPr>
                <w:rFonts w:ascii="微软雅黑" w:eastAsia="微软雅黑" w:hint="eastAsia"/>
                <w:b/>
                <w:sz w:val="21"/>
              </w:rPr>
              <w:t>酗酒或滥用药物引起的心肌病不在保障范围内。</w:t>
            </w:r>
          </w:p>
        </w:tc>
      </w:tr>
      <w:tr>
        <w:trPr>
          <w:trHeight w:val="1116" w:hRule="atLeast"/>
        </w:trPr>
        <w:tc>
          <w:tcPr>
            <w:tcW w:w="2014" w:type="dxa"/>
          </w:tcPr>
          <w:p>
            <w:pPr>
              <w:pStyle w:val="TableParagraph"/>
              <w:spacing w:line="206" w:lineRule="auto" w:before="51"/>
              <w:ind w:left="619" w:right="124" w:hanging="420"/>
              <w:rPr>
                <w:rFonts w:ascii="微软雅黑" w:eastAsia="微软雅黑" w:hint="eastAsia"/>
                <w:b/>
                <w:sz w:val="21"/>
              </w:rPr>
            </w:pPr>
            <w:r>
              <w:rPr>
                <w:rFonts w:ascii="微软雅黑" w:eastAsia="微软雅黑" w:hint="eastAsia"/>
                <w:b/>
                <w:sz w:val="21"/>
              </w:rPr>
              <w:t>38. 严重溃疡性结肠炎</w:t>
            </w:r>
          </w:p>
        </w:tc>
        <w:tc>
          <w:tcPr>
            <w:tcW w:w="7516" w:type="dxa"/>
          </w:tcPr>
          <w:p>
            <w:pPr>
              <w:pStyle w:val="TableParagraph"/>
              <w:spacing w:line="273" w:lineRule="auto" w:before="63"/>
              <w:ind w:right="303"/>
              <w:jc w:val="both"/>
              <w:rPr>
                <w:sz w:val="21"/>
              </w:rPr>
            </w:pPr>
            <w:r>
              <w:rPr>
                <w:spacing w:val="-6"/>
                <w:sz w:val="21"/>
              </w:rPr>
              <w:t>指伴有致命性电解质紊乱的急性暴发性溃疡性结肠炎，病变累及全结肠，表现</w:t>
            </w:r>
            <w:r>
              <w:rPr>
                <w:spacing w:val="-7"/>
                <w:sz w:val="21"/>
              </w:rPr>
              <w:t>为严重的血便和系统性症状体征，须根据组织病理学特点诊断，并且被保险人</w:t>
            </w:r>
            <w:r>
              <w:rPr>
                <w:spacing w:val="-5"/>
                <w:sz w:val="21"/>
              </w:rPr>
              <w:t>已经接受了全结肠切除和回肠造瘘术。</w:t>
            </w:r>
          </w:p>
        </w:tc>
      </w:tr>
      <w:tr>
        <w:trPr>
          <w:trHeight w:val="1198" w:hRule="atLeast"/>
        </w:trPr>
        <w:tc>
          <w:tcPr>
            <w:tcW w:w="2014" w:type="dxa"/>
          </w:tcPr>
          <w:p>
            <w:pPr>
              <w:pStyle w:val="TableParagraph"/>
              <w:spacing w:line="206" w:lineRule="auto" w:before="66"/>
              <w:ind w:left="619" w:right="124" w:hanging="420"/>
              <w:rPr>
                <w:rFonts w:ascii="微软雅黑" w:eastAsia="微软雅黑" w:hint="eastAsia"/>
                <w:b/>
                <w:sz w:val="21"/>
              </w:rPr>
            </w:pPr>
            <w:r>
              <w:rPr>
                <w:rFonts w:ascii="微软雅黑" w:eastAsia="微软雅黑" w:hint="eastAsia"/>
                <w:b/>
                <w:sz w:val="21"/>
              </w:rPr>
              <w:t>39. 溶血性链球菌引起的坏疽</w:t>
            </w:r>
          </w:p>
        </w:tc>
        <w:tc>
          <w:tcPr>
            <w:tcW w:w="7516" w:type="dxa"/>
          </w:tcPr>
          <w:p>
            <w:pPr>
              <w:pStyle w:val="TableParagraph"/>
              <w:spacing w:line="273" w:lineRule="auto" w:before="77"/>
              <w:ind w:right="302"/>
              <w:jc w:val="both"/>
              <w:rPr>
                <w:sz w:val="21"/>
              </w:rPr>
            </w:pPr>
            <w:r>
              <w:rPr>
                <w:spacing w:val="-6"/>
                <w:sz w:val="21"/>
              </w:rPr>
              <w:t>指包围肢体或躯干的浅筋膜或深筋膜受到溶血性链球菌的感染，病情在短时间</w:t>
            </w:r>
            <w:r>
              <w:rPr>
                <w:spacing w:val="-10"/>
                <w:sz w:val="21"/>
              </w:rPr>
              <w:t>内急剧恶化，且已经立刻进行了手术及清创术。最后的诊断必须由微生物或病</w:t>
            </w:r>
            <w:r>
              <w:rPr>
                <w:spacing w:val="-5"/>
                <w:sz w:val="21"/>
              </w:rPr>
              <w:t>理学专家进行相关检查后证实。</w:t>
            </w:r>
          </w:p>
        </w:tc>
      </w:tr>
      <w:tr>
        <w:trPr>
          <w:trHeight w:val="1802" w:hRule="atLeast"/>
        </w:trPr>
        <w:tc>
          <w:tcPr>
            <w:tcW w:w="2014" w:type="dxa"/>
          </w:tcPr>
          <w:p>
            <w:pPr>
              <w:pStyle w:val="TableParagraph"/>
              <w:spacing w:before="82"/>
              <w:ind w:left="200"/>
              <w:rPr>
                <w:rFonts w:ascii="微软雅黑" w:eastAsia="微软雅黑" w:hint="eastAsia"/>
                <w:b/>
                <w:sz w:val="21"/>
              </w:rPr>
            </w:pPr>
            <w:r>
              <w:rPr>
                <w:rFonts w:ascii="微软雅黑" w:eastAsia="微软雅黑" w:hint="eastAsia"/>
                <w:b/>
                <w:sz w:val="21"/>
              </w:rPr>
              <w:t>40. 坏死性筋膜炎</w:t>
            </w:r>
          </w:p>
        </w:tc>
        <w:tc>
          <w:tcPr>
            <w:tcW w:w="7516" w:type="dxa"/>
          </w:tcPr>
          <w:p>
            <w:pPr>
              <w:pStyle w:val="TableParagraph"/>
              <w:spacing w:before="144"/>
              <w:rPr>
                <w:sz w:val="21"/>
              </w:rPr>
            </w:pPr>
            <w:r>
              <w:rPr>
                <w:sz w:val="21"/>
              </w:rPr>
              <w:t>坏死性筋膜炎的诊断须满足下列全部条件：</w:t>
            </w:r>
          </w:p>
          <w:p>
            <w:pPr>
              <w:pStyle w:val="TableParagraph"/>
              <w:numPr>
                <w:ilvl w:val="0"/>
                <w:numId w:val="9"/>
              </w:numPr>
              <w:tabs>
                <w:tab w:pos="551" w:val="left" w:leader="none"/>
              </w:tabs>
              <w:spacing w:line="240" w:lineRule="auto" w:before="36" w:after="0"/>
              <w:ind w:left="548" w:right="0" w:hanging="421"/>
              <w:jc w:val="left"/>
              <w:rPr>
                <w:sz w:val="21"/>
              </w:rPr>
            </w:pPr>
            <w:r>
              <w:rPr>
                <w:spacing w:val="-3"/>
                <w:sz w:val="21"/>
              </w:rPr>
              <w:t>符合坏死性筋膜炎的一般临床表现；</w:t>
            </w:r>
          </w:p>
          <w:p>
            <w:pPr>
              <w:pStyle w:val="TableParagraph"/>
              <w:numPr>
                <w:ilvl w:val="0"/>
                <w:numId w:val="9"/>
              </w:numPr>
              <w:tabs>
                <w:tab w:pos="551" w:val="left" w:leader="none"/>
              </w:tabs>
              <w:spacing w:line="240" w:lineRule="auto" w:before="36" w:after="0"/>
              <w:ind w:left="548" w:right="0" w:hanging="421"/>
              <w:jc w:val="left"/>
              <w:rPr>
                <w:sz w:val="21"/>
              </w:rPr>
            </w:pPr>
            <w:r>
              <w:rPr>
                <w:spacing w:val="-3"/>
                <w:sz w:val="21"/>
              </w:rPr>
              <w:t>细菌培养检出致病菌；</w:t>
            </w:r>
          </w:p>
          <w:p>
            <w:pPr>
              <w:pStyle w:val="TableParagraph"/>
              <w:numPr>
                <w:ilvl w:val="0"/>
                <w:numId w:val="9"/>
              </w:numPr>
              <w:tabs>
                <w:tab w:pos="551" w:val="left" w:leader="none"/>
              </w:tabs>
              <w:spacing w:line="273" w:lineRule="auto" w:before="36" w:after="0"/>
              <w:ind w:left="548" w:right="302" w:hanging="421"/>
              <w:jc w:val="left"/>
              <w:rPr>
                <w:sz w:val="21"/>
              </w:rPr>
            </w:pPr>
            <w:r>
              <w:rPr>
                <w:spacing w:val="-8"/>
                <w:sz w:val="21"/>
              </w:rPr>
              <w:t>出现广泛性肌肉及软组织坏死，并导致身体受影响部位功能永久不可逆性丧失。</w:t>
            </w:r>
          </w:p>
        </w:tc>
      </w:tr>
      <w:tr>
        <w:trPr>
          <w:trHeight w:val="2672" w:hRule="atLeast"/>
        </w:trPr>
        <w:tc>
          <w:tcPr>
            <w:tcW w:w="2014" w:type="dxa"/>
          </w:tcPr>
          <w:p>
            <w:pPr>
              <w:pStyle w:val="TableParagraph"/>
              <w:spacing w:line="359" w:lineRule="exact"/>
              <w:ind w:left="200"/>
              <w:rPr>
                <w:rFonts w:ascii="微软雅黑" w:eastAsia="微软雅黑" w:hint="eastAsia"/>
                <w:b/>
                <w:sz w:val="21"/>
              </w:rPr>
            </w:pPr>
            <w:r>
              <w:rPr>
                <w:rFonts w:ascii="微软雅黑" w:eastAsia="微软雅黑" w:hint="eastAsia"/>
                <w:b/>
                <w:sz w:val="21"/>
              </w:rPr>
              <w:t>41. 系统性硬皮病</w:t>
            </w:r>
          </w:p>
        </w:tc>
        <w:tc>
          <w:tcPr>
            <w:tcW w:w="7516" w:type="dxa"/>
          </w:tcPr>
          <w:p>
            <w:pPr>
              <w:pStyle w:val="TableParagraph"/>
              <w:spacing w:line="273" w:lineRule="auto" w:before="58"/>
              <w:ind w:right="197"/>
              <w:rPr>
                <w:sz w:val="21"/>
              </w:rPr>
            </w:pPr>
            <w:r>
              <w:rPr>
                <w:spacing w:val="-12"/>
                <w:sz w:val="21"/>
              </w:rPr>
              <w:t>系统性硬皮病</w:t>
            </w:r>
            <w:r>
              <w:rPr>
                <w:sz w:val="21"/>
              </w:rPr>
              <w:t>（</w:t>
            </w:r>
            <w:r>
              <w:rPr>
                <w:spacing w:val="-3"/>
                <w:sz w:val="21"/>
              </w:rPr>
              <w:t>须累及内脏器官</w:t>
            </w:r>
            <w:r>
              <w:rPr>
                <w:spacing w:val="-57"/>
                <w:sz w:val="21"/>
              </w:rPr>
              <w:t>）</w:t>
            </w:r>
            <w:r>
              <w:rPr>
                <w:spacing w:val="-9"/>
                <w:sz w:val="21"/>
              </w:rPr>
              <w:t>，指一种以局限性或弥漫性皮肤增厚和皮肤、</w:t>
            </w:r>
            <w:r>
              <w:rPr>
                <w:spacing w:val="-3"/>
                <w:sz w:val="21"/>
              </w:rPr>
              <w:t>血管、内脏器官异常纤维化为特征的结缔组织病。须满足下列至少一项条件：</w:t>
            </w:r>
          </w:p>
          <w:p>
            <w:pPr>
              <w:pStyle w:val="TableParagraph"/>
              <w:numPr>
                <w:ilvl w:val="0"/>
                <w:numId w:val="10"/>
              </w:numPr>
              <w:tabs>
                <w:tab w:pos="551" w:val="left" w:leader="none"/>
              </w:tabs>
              <w:spacing w:line="240" w:lineRule="auto" w:before="8" w:after="0"/>
              <w:ind w:left="127" w:right="0" w:firstLine="0"/>
              <w:jc w:val="left"/>
              <w:rPr>
                <w:sz w:val="21"/>
              </w:rPr>
            </w:pPr>
            <w:r>
              <w:rPr>
                <w:spacing w:val="-3"/>
                <w:sz w:val="21"/>
              </w:rPr>
              <w:t>肺脏：肺部病变进而发展为肺间质纤维化和肺动脉高压；</w:t>
            </w:r>
          </w:p>
          <w:p>
            <w:pPr>
              <w:pStyle w:val="TableParagraph"/>
              <w:numPr>
                <w:ilvl w:val="0"/>
                <w:numId w:val="10"/>
              </w:numPr>
              <w:tabs>
                <w:tab w:pos="551" w:val="left" w:leader="none"/>
              </w:tabs>
              <w:spacing w:line="273" w:lineRule="auto" w:before="37" w:after="0"/>
              <w:ind w:left="127" w:right="345" w:firstLine="0"/>
              <w:jc w:val="left"/>
              <w:rPr>
                <w:sz w:val="21"/>
              </w:rPr>
            </w:pPr>
            <w:r>
              <w:rPr>
                <w:spacing w:val="-3"/>
                <w:sz w:val="21"/>
              </w:rPr>
              <w:t>心脏：左室腔扩大至少达到正常值上限的</w:t>
            </w:r>
            <w:r>
              <w:rPr>
                <w:sz w:val="21"/>
              </w:rPr>
              <w:t>120</w:t>
            </w:r>
            <w:r>
              <w:rPr>
                <w:spacing w:val="-3"/>
                <w:sz w:val="21"/>
              </w:rPr>
              <w:t>％，且左室射血分数持续性</w:t>
            </w:r>
            <w:r>
              <w:rPr>
                <w:spacing w:val="-1"/>
                <w:sz w:val="21"/>
              </w:rPr>
              <w:t>低于40％；</w:t>
            </w:r>
          </w:p>
          <w:p>
            <w:pPr>
              <w:pStyle w:val="TableParagraph"/>
              <w:numPr>
                <w:ilvl w:val="0"/>
                <w:numId w:val="10"/>
              </w:numPr>
              <w:tabs>
                <w:tab w:pos="551" w:val="left" w:leader="none"/>
              </w:tabs>
              <w:spacing w:line="262" w:lineRule="exact" w:before="7" w:after="0"/>
              <w:ind w:left="127" w:right="0" w:firstLine="0"/>
              <w:jc w:val="left"/>
              <w:rPr>
                <w:sz w:val="21"/>
              </w:rPr>
            </w:pPr>
            <w:r>
              <w:rPr>
                <w:spacing w:val="-3"/>
                <w:sz w:val="21"/>
              </w:rPr>
              <w:t>肾脏：肾脏受损导致双肾功能慢性不可逆衰竭，达到尿毒症期。</w:t>
            </w:r>
          </w:p>
          <w:p>
            <w:pPr>
              <w:pStyle w:val="TableParagraph"/>
              <w:spacing w:line="325" w:lineRule="exact"/>
              <w:rPr>
                <w:rFonts w:ascii="微软雅黑" w:eastAsia="微软雅黑" w:hint="eastAsia"/>
                <w:b/>
                <w:sz w:val="21"/>
              </w:rPr>
            </w:pPr>
            <w:r>
              <w:rPr>
                <w:rFonts w:ascii="微软雅黑" w:eastAsia="微软雅黑" w:hint="eastAsia"/>
                <w:b/>
                <w:spacing w:val="-9"/>
                <w:w w:val="100"/>
                <w:sz w:val="21"/>
              </w:rPr>
              <w:t>下列疾病不在本险种保障范围：</w:t>
            </w:r>
            <w:r>
              <w:rPr>
                <w:rFonts w:ascii="微软雅黑" w:eastAsia="微软雅黑" w:hint="eastAsia"/>
                <w:b/>
                <w:w w:val="100"/>
                <w:sz w:val="21"/>
              </w:rPr>
              <w:t>（</w:t>
            </w:r>
            <w:r>
              <w:rPr>
                <w:rFonts w:ascii="微软雅黑" w:eastAsia="微软雅黑" w:hint="eastAsia"/>
                <w:b/>
                <w:spacing w:val="-3"/>
                <w:w w:val="81"/>
                <w:sz w:val="21"/>
              </w:rPr>
              <w:t>1</w:t>
            </w:r>
            <w:r>
              <w:rPr>
                <w:rFonts w:ascii="微软雅黑" w:eastAsia="微软雅黑" w:hint="eastAsia"/>
                <w:b/>
                <w:spacing w:val="-48"/>
                <w:w w:val="100"/>
                <w:sz w:val="21"/>
              </w:rPr>
              <w:t>）</w:t>
            </w:r>
            <w:r>
              <w:rPr>
                <w:rFonts w:ascii="微软雅黑" w:eastAsia="微软雅黑" w:hint="eastAsia"/>
                <w:b/>
                <w:spacing w:val="-9"/>
                <w:w w:val="100"/>
                <w:sz w:val="21"/>
              </w:rPr>
              <w:t>局部性硬皮病</w:t>
            </w:r>
            <w:r>
              <w:rPr>
                <w:rFonts w:ascii="微软雅黑" w:eastAsia="微软雅黑" w:hint="eastAsia"/>
                <w:b/>
                <w:spacing w:val="-3"/>
                <w:w w:val="100"/>
                <w:sz w:val="21"/>
              </w:rPr>
              <w:t>（</w:t>
            </w:r>
            <w:r>
              <w:rPr>
                <w:rFonts w:ascii="微软雅黑" w:eastAsia="微软雅黑" w:hint="eastAsia"/>
                <w:b/>
                <w:spacing w:val="-1"/>
                <w:w w:val="100"/>
                <w:sz w:val="21"/>
              </w:rPr>
              <w:t>如</w:t>
            </w:r>
            <w:r>
              <w:rPr>
                <w:rFonts w:ascii="微软雅黑" w:eastAsia="微软雅黑" w:hint="eastAsia"/>
                <w:b/>
                <w:w w:val="176"/>
                <w:sz w:val="21"/>
              </w:rPr>
              <w:t>:</w:t>
            </w:r>
            <w:r>
              <w:rPr>
                <w:rFonts w:ascii="微软雅黑" w:eastAsia="微软雅黑" w:hint="eastAsia"/>
                <w:b/>
                <w:w w:val="100"/>
                <w:sz w:val="21"/>
              </w:rPr>
              <w:t>带状硬皮病</w:t>
            </w:r>
            <w:r>
              <w:rPr>
                <w:rFonts w:ascii="微软雅黑" w:eastAsia="微软雅黑" w:hint="eastAsia"/>
                <w:b/>
                <w:w w:val="108"/>
                <w:sz w:val="21"/>
              </w:rPr>
              <w:t>\</w:t>
            </w:r>
            <w:r>
              <w:rPr>
                <w:rFonts w:ascii="微软雅黑" w:eastAsia="微软雅黑" w:hint="eastAsia"/>
                <w:b/>
                <w:w w:val="100"/>
                <w:sz w:val="21"/>
              </w:rPr>
              <w:t>硬斑病</w:t>
            </w:r>
            <w:r>
              <w:rPr>
                <w:rFonts w:ascii="微软雅黑" w:eastAsia="微软雅黑" w:hint="eastAsia"/>
                <w:b/>
                <w:w w:val="129"/>
                <w:sz w:val="21"/>
              </w:rPr>
              <w:t>)</w:t>
            </w:r>
            <w:r>
              <w:rPr>
                <w:rFonts w:ascii="微软雅黑" w:eastAsia="微软雅黑" w:hint="eastAsia"/>
                <w:b/>
                <w:w w:val="100"/>
                <w:sz w:val="21"/>
              </w:rPr>
              <w:t>；</w:t>
            </w:r>
          </w:p>
          <w:p>
            <w:pPr>
              <w:pStyle w:val="TableParagraph"/>
              <w:spacing w:line="337" w:lineRule="exact"/>
              <w:rPr>
                <w:rFonts w:ascii="微软雅黑" w:eastAsia="微软雅黑" w:hint="eastAsia"/>
                <w:b/>
                <w:sz w:val="21"/>
              </w:rPr>
            </w:pPr>
            <w:r>
              <w:rPr>
                <w:rFonts w:ascii="微软雅黑" w:eastAsia="微软雅黑" w:hint="eastAsia"/>
                <w:b/>
                <w:w w:val="95"/>
                <w:sz w:val="21"/>
              </w:rPr>
              <w:t>2）嗜酸性粒细胞性筋膜炎；（3）CREST  综合征。</w:t>
            </w:r>
          </w:p>
        </w:tc>
      </w:tr>
      <w:tr>
        <w:trPr>
          <w:trHeight w:val="832" w:hRule="atLeast"/>
        </w:trPr>
        <w:tc>
          <w:tcPr>
            <w:tcW w:w="2014" w:type="dxa"/>
          </w:tcPr>
          <w:p>
            <w:pPr>
              <w:pStyle w:val="TableParagraph"/>
              <w:spacing w:before="16"/>
              <w:ind w:left="200"/>
              <w:rPr>
                <w:rFonts w:ascii="微软雅黑" w:eastAsia="微软雅黑" w:hint="eastAsia"/>
                <w:b/>
                <w:sz w:val="21"/>
              </w:rPr>
            </w:pPr>
            <w:r>
              <w:rPr>
                <w:rFonts w:ascii="微软雅黑" w:eastAsia="微软雅黑" w:hint="eastAsia"/>
                <w:b/>
                <w:sz w:val="21"/>
              </w:rPr>
              <w:t>42. 严重克隆病</w:t>
            </w:r>
          </w:p>
        </w:tc>
        <w:tc>
          <w:tcPr>
            <w:tcW w:w="7516" w:type="dxa"/>
          </w:tcPr>
          <w:p>
            <w:pPr>
              <w:pStyle w:val="TableParagraph"/>
              <w:spacing w:line="273" w:lineRule="auto" w:before="78"/>
              <w:ind w:right="303"/>
              <w:rPr>
                <w:sz w:val="21"/>
              </w:rPr>
            </w:pPr>
            <w:r>
              <w:rPr>
                <w:spacing w:val="-7"/>
                <w:sz w:val="21"/>
              </w:rPr>
              <w:t>指一种慢性肉芽肿性肠炎，具有特征性的克隆病病理组织学变化，须由病理学</w:t>
            </w:r>
            <w:r>
              <w:rPr>
                <w:spacing w:val="-5"/>
                <w:sz w:val="21"/>
              </w:rPr>
              <w:t>检查结果证实，且已经造成瘘管形成并伴有肠梗阻或肠穿孔。</w:t>
            </w:r>
          </w:p>
        </w:tc>
      </w:tr>
      <w:tr>
        <w:trPr>
          <w:trHeight w:val="2064" w:hRule="atLeast"/>
        </w:trPr>
        <w:tc>
          <w:tcPr>
            <w:tcW w:w="2014" w:type="dxa"/>
          </w:tcPr>
          <w:p>
            <w:pPr>
              <w:pStyle w:val="TableParagraph"/>
              <w:spacing w:line="206" w:lineRule="auto" w:before="79"/>
              <w:ind w:left="619" w:right="124" w:hanging="420"/>
              <w:jc w:val="both"/>
              <w:rPr>
                <w:rFonts w:ascii="微软雅黑" w:eastAsia="微软雅黑" w:hint="eastAsia"/>
                <w:b/>
                <w:sz w:val="21"/>
              </w:rPr>
            </w:pPr>
            <w:r>
              <w:rPr>
                <w:rFonts w:ascii="微软雅黑" w:eastAsia="微软雅黑" w:hint="eastAsia"/>
                <w:b/>
                <w:sz w:val="21"/>
              </w:rPr>
              <w:t>43. 非阿尔茨海默病所致严重痴呆</w:t>
            </w:r>
          </w:p>
        </w:tc>
        <w:tc>
          <w:tcPr>
            <w:tcW w:w="7516" w:type="dxa"/>
          </w:tcPr>
          <w:p>
            <w:pPr>
              <w:pStyle w:val="TableParagraph"/>
              <w:spacing w:line="273" w:lineRule="auto" w:before="90"/>
              <w:ind w:right="199"/>
              <w:rPr>
                <w:sz w:val="21"/>
              </w:rPr>
            </w:pPr>
            <w:r>
              <w:rPr>
                <w:spacing w:val="-3"/>
                <w:sz w:val="21"/>
              </w:rPr>
              <w:t>指因阿尔茨海默病以外的脑袋器质性疾病造成脑功能衰竭导致永久不可逆性 </w:t>
            </w:r>
            <w:r>
              <w:rPr>
                <w:spacing w:val="-8"/>
                <w:sz w:val="21"/>
              </w:rPr>
              <w:t>的严重痴呆，临床表现为明显的认知能力障碍、行为异常和社交能力减退。被</w:t>
            </w:r>
            <w:r>
              <w:rPr>
                <w:spacing w:val="-9"/>
                <w:sz w:val="21"/>
              </w:rPr>
              <w:t>保险人自主生活能力完全丧失，无法独立完成六项基本日常生活活动中的三项</w:t>
            </w:r>
            <w:r>
              <w:rPr>
                <w:spacing w:val="-16"/>
                <w:sz w:val="21"/>
              </w:rPr>
              <w:t>或三项以上，日常生活必须持续受到他人监护。导致痴呆的疾病必须明确诊断， </w:t>
            </w:r>
            <w:r>
              <w:rPr>
                <w:spacing w:val="-10"/>
                <w:sz w:val="21"/>
              </w:rPr>
              <w:t>并且由完整的临床、实验室和影像学检查结果证实。神经官能症和精神疾病不</w:t>
            </w:r>
            <w:r>
              <w:rPr>
                <w:spacing w:val="-5"/>
                <w:sz w:val="21"/>
              </w:rPr>
              <w:t>在保障范围内。</w:t>
            </w:r>
          </w:p>
        </w:tc>
      </w:tr>
      <w:tr>
        <w:trPr>
          <w:trHeight w:val="1404" w:hRule="atLeast"/>
        </w:trPr>
        <w:tc>
          <w:tcPr>
            <w:tcW w:w="2014" w:type="dxa"/>
          </w:tcPr>
          <w:p>
            <w:pPr>
              <w:pStyle w:val="TableParagraph"/>
              <w:spacing w:line="362" w:lineRule="exact"/>
              <w:ind w:left="200"/>
              <w:rPr>
                <w:rFonts w:ascii="微软雅黑" w:eastAsia="微软雅黑" w:hint="eastAsia"/>
                <w:b/>
                <w:sz w:val="21"/>
              </w:rPr>
            </w:pPr>
            <w:r>
              <w:rPr>
                <w:rFonts w:ascii="微软雅黑" w:eastAsia="微软雅黑" w:hint="eastAsia"/>
                <w:b/>
                <w:sz w:val="21"/>
              </w:rPr>
              <w:t>44. 严重冠心病</w:t>
            </w:r>
          </w:p>
        </w:tc>
        <w:tc>
          <w:tcPr>
            <w:tcW w:w="7516" w:type="dxa"/>
          </w:tcPr>
          <w:p>
            <w:pPr>
              <w:pStyle w:val="TableParagraph"/>
              <w:spacing w:line="273" w:lineRule="auto" w:before="62"/>
              <w:ind w:right="302"/>
              <w:jc w:val="both"/>
              <w:rPr>
                <w:sz w:val="21"/>
              </w:rPr>
            </w:pPr>
            <w:r>
              <w:rPr>
                <w:spacing w:val="-6"/>
                <w:sz w:val="21"/>
              </w:rPr>
              <w:t>指根据冠状动脉造影检查结果确诊的三支主要血管</w:t>
            </w:r>
            <w:r>
              <w:rPr>
                <w:sz w:val="21"/>
              </w:rPr>
              <w:t>（</w:t>
            </w:r>
            <w:r>
              <w:rPr>
                <w:spacing w:val="-3"/>
                <w:sz w:val="21"/>
              </w:rPr>
              <w:t>左冠状动脉主干和右冠状</w:t>
            </w:r>
            <w:r>
              <w:rPr>
                <w:spacing w:val="-7"/>
                <w:sz w:val="21"/>
              </w:rPr>
              <w:t>动脉，或前降支、左旋支和右冠状动脉</w:t>
            </w:r>
            <w:r>
              <w:rPr>
                <w:spacing w:val="-15"/>
                <w:sz w:val="21"/>
              </w:rPr>
              <w:t>）</w:t>
            </w:r>
            <w:r>
              <w:rPr>
                <w:spacing w:val="-5"/>
                <w:sz w:val="21"/>
              </w:rPr>
              <w:t>严重狭窄性病变</w:t>
            </w:r>
            <w:r>
              <w:rPr>
                <w:spacing w:val="-3"/>
                <w:sz w:val="21"/>
              </w:rPr>
              <w:t>（至少一支血管管腔</w:t>
            </w:r>
            <w:r>
              <w:rPr>
                <w:spacing w:val="-11"/>
                <w:sz w:val="21"/>
              </w:rPr>
              <w:t>直径减少 </w:t>
            </w:r>
            <w:r>
              <w:rPr>
                <w:sz w:val="21"/>
              </w:rPr>
              <w:t>75</w:t>
            </w:r>
            <w:r>
              <w:rPr>
                <w:spacing w:val="-6"/>
                <w:sz w:val="21"/>
              </w:rPr>
              <w:t>％以上和其他两支血管管腔直径减少 </w:t>
            </w:r>
            <w:r>
              <w:rPr>
                <w:sz w:val="21"/>
              </w:rPr>
              <w:t>60</w:t>
            </w:r>
            <w:r>
              <w:rPr>
                <w:spacing w:val="-1"/>
                <w:sz w:val="21"/>
              </w:rPr>
              <w:t>％以上</w:t>
            </w:r>
            <w:r>
              <w:rPr>
                <w:spacing w:val="-106"/>
                <w:sz w:val="21"/>
              </w:rPr>
              <w:t>）</w:t>
            </w:r>
            <w:r>
              <w:rPr>
                <w:spacing w:val="-11"/>
                <w:sz w:val="21"/>
              </w:rPr>
              <w:t>。前降支、左旋支</w:t>
            </w:r>
            <w:r>
              <w:rPr>
                <w:spacing w:val="-6"/>
                <w:sz w:val="21"/>
              </w:rPr>
              <w:t>及右冠状动脉的分支血管的狭窄不作为本保障的衡量指标。</w:t>
            </w:r>
          </w:p>
        </w:tc>
      </w:tr>
      <w:tr>
        <w:trPr>
          <w:trHeight w:val="1272" w:hRule="atLeast"/>
        </w:trPr>
        <w:tc>
          <w:tcPr>
            <w:tcW w:w="2014" w:type="dxa"/>
          </w:tcPr>
          <w:p>
            <w:pPr>
              <w:pStyle w:val="TableParagraph"/>
              <w:spacing w:line="355" w:lineRule="exact"/>
              <w:ind w:left="200"/>
              <w:rPr>
                <w:rFonts w:ascii="微软雅黑" w:eastAsia="微软雅黑" w:hint="eastAsia"/>
                <w:b/>
                <w:sz w:val="21"/>
              </w:rPr>
            </w:pPr>
            <w:r>
              <w:rPr>
                <w:rFonts w:ascii="微软雅黑" w:eastAsia="微软雅黑" w:hint="eastAsia"/>
                <w:b/>
                <w:sz w:val="21"/>
              </w:rPr>
              <w:t>45. 脊髓灰质炎</w:t>
            </w:r>
          </w:p>
        </w:tc>
        <w:tc>
          <w:tcPr>
            <w:tcW w:w="7516" w:type="dxa"/>
          </w:tcPr>
          <w:p>
            <w:pPr>
              <w:pStyle w:val="TableParagraph"/>
              <w:spacing w:line="310" w:lineRule="atLeast" w:before="19"/>
              <w:ind w:right="302"/>
              <w:rPr>
                <w:sz w:val="21"/>
              </w:rPr>
            </w:pPr>
            <w:r>
              <w:rPr>
                <w:spacing w:val="-6"/>
                <w:sz w:val="21"/>
              </w:rPr>
              <w:t>脊髓灰质炎是由于脊髓灰质炎病毒感染所致的瘫痪性疾病，临床表现为运动功</w:t>
            </w:r>
            <w:r>
              <w:rPr>
                <w:spacing w:val="-10"/>
                <w:sz w:val="21"/>
              </w:rPr>
              <w:t>能损害或呼吸无力。脊髓灰质炎必须明确诊断。本保单仅对脊髓灰质炎造成的</w:t>
            </w:r>
            <w:r>
              <w:rPr>
                <w:spacing w:val="-5"/>
                <w:sz w:val="21"/>
              </w:rPr>
              <w:t>神经系统功能损害导致被保险人一肢或一肢以上肢体机能永久完全丧失的情</w:t>
            </w:r>
            <w:r>
              <w:rPr>
                <w:spacing w:val="-9"/>
                <w:sz w:val="21"/>
              </w:rPr>
              <w:t>况予以理赔。肢体机能永久完全丧失，指疾病确诊 </w:t>
            </w:r>
            <w:r>
              <w:rPr>
                <w:sz w:val="21"/>
              </w:rPr>
              <w:t>180</w:t>
            </w:r>
            <w:r>
              <w:rPr>
                <w:spacing w:val="-9"/>
                <w:sz w:val="21"/>
              </w:rPr>
              <w:t> 天后，每肢三大关节中</w:t>
            </w:r>
          </w:p>
        </w:tc>
      </w:tr>
    </w:tbl>
    <w:p>
      <w:pPr>
        <w:spacing w:after="0" w:line="310" w:lineRule="atLeast"/>
        <w:rPr>
          <w:sz w:val="21"/>
        </w:rPr>
        <w:sectPr>
          <w:pgSz w:w="11910" w:h="16840"/>
          <w:pgMar w:header="0" w:footer="375" w:top="134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7473"/>
      </w:tblGrid>
      <w:tr>
        <w:trPr>
          <w:trHeight w:val="400" w:hRule="atLeast"/>
        </w:trPr>
        <w:tc>
          <w:tcPr>
            <w:tcW w:w="2014" w:type="dxa"/>
          </w:tcPr>
          <w:p>
            <w:pPr>
              <w:pStyle w:val="TableParagraph"/>
              <w:ind w:left="0"/>
              <w:rPr>
                <w:rFonts w:ascii="Times New Roman"/>
                <w:sz w:val="20"/>
              </w:rPr>
            </w:pPr>
          </w:p>
        </w:tc>
        <w:tc>
          <w:tcPr>
            <w:tcW w:w="7473" w:type="dxa"/>
          </w:tcPr>
          <w:p>
            <w:pPr>
              <w:pStyle w:val="TableParagraph"/>
              <w:spacing w:line="205" w:lineRule="exact"/>
              <w:rPr>
                <w:sz w:val="21"/>
              </w:rPr>
            </w:pPr>
            <w:r>
              <w:rPr>
                <w:sz w:val="21"/>
              </w:rPr>
              <w:t>的两大关节仍然完全僵硬，或不能随意识活动。</w:t>
            </w:r>
          </w:p>
        </w:tc>
      </w:tr>
      <w:tr>
        <w:trPr>
          <w:trHeight w:val="2121" w:hRule="atLeast"/>
        </w:trPr>
        <w:tc>
          <w:tcPr>
            <w:tcW w:w="2014" w:type="dxa"/>
          </w:tcPr>
          <w:p>
            <w:pPr>
              <w:pStyle w:val="TableParagraph"/>
              <w:spacing w:before="57"/>
              <w:ind w:left="200"/>
              <w:rPr>
                <w:rFonts w:ascii="微软雅黑" w:eastAsia="微软雅黑" w:hint="eastAsia"/>
                <w:b/>
                <w:sz w:val="21"/>
              </w:rPr>
            </w:pPr>
            <w:r>
              <w:rPr>
                <w:rFonts w:ascii="微软雅黑" w:eastAsia="微软雅黑" w:hint="eastAsia"/>
                <w:b/>
                <w:sz w:val="21"/>
              </w:rPr>
              <w:t>46. 严重哮喘</w:t>
            </w:r>
          </w:p>
        </w:tc>
        <w:tc>
          <w:tcPr>
            <w:tcW w:w="7473" w:type="dxa"/>
          </w:tcPr>
          <w:p>
            <w:pPr>
              <w:pStyle w:val="TableParagraph"/>
              <w:spacing w:line="271" w:lineRule="auto" w:before="119"/>
              <w:ind w:right="197"/>
              <w:rPr>
                <w:sz w:val="21"/>
              </w:rPr>
            </w:pPr>
            <w:r>
              <w:rPr>
                <w:sz w:val="21"/>
              </w:rPr>
              <w:t>被保险人必须在过去两年内曾发生哮喘持续状态，并符合以下其中两项标准， 本公司才承担保险责任：</w:t>
            </w:r>
          </w:p>
          <w:p>
            <w:pPr>
              <w:pStyle w:val="TableParagraph"/>
              <w:numPr>
                <w:ilvl w:val="0"/>
                <w:numId w:val="11"/>
              </w:numPr>
              <w:tabs>
                <w:tab w:pos="551" w:val="left" w:leader="none"/>
              </w:tabs>
              <w:spacing w:line="240" w:lineRule="auto" w:before="9" w:after="0"/>
              <w:ind w:left="550" w:right="0" w:hanging="423"/>
              <w:jc w:val="left"/>
              <w:rPr>
                <w:sz w:val="21"/>
              </w:rPr>
            </w:pPr>
            <w:r>
              <w:rPr>
                <w:spacing w:val="-3"/>
                <w:sz w:val="21"/>
              </w:rPr>
              <w:t>运动耐受力永久并持续地减少并却轻微的运动能引起气促；</w:t>
            </w:r>
          </w:p>
          <w:p>
            <w:pPr>
              <w:pStyle w:val="TableParagraph"/>
              <w:numPr>
                <w:ilvl w:val="0"/>
                <w:numId w:val="11"/>
              </w:numPr>
              <w:tabs>
                <w:tab w:pos="551" w:val="left" w:leader="none"/>
              </w:tabs>
              <w:spacing w:line="240" w:lineRule="auto" w:before="37" w:after="0"/>
              <w:ind w:left="550" w:right="0" w:hanging="423"/>
              <w:jc w:val="left"/>
              <w:rPr>
                <w:sz w:val="21"/>
              </w:rPr>
            </w:pPr>
            <w:r>
              <w:rPr>
                <w:spacing w:val="-3"/>
                <w:sz w:val="21"/>
              </w:rPr>
              <w:t>长期胸腔过渡膨胀而导致胸腔畸形；</w:t>
            </w:r>
          </w:p>
          <w:p>
            <w:pPr>
              <w:pStyle w:val="TableParagraph"/>
              <w:numPr>
                <w:ilvl w:val="0"/>
                <w:numId w:val="11"/>
              </w:numPr>
              <w:tabs>
                <w:tab w:pos="551" w:val="left" w:leader="none"/>
              </w:tabs>
              <w:spacing w:line="240" w:lineRule="auto" w:before="37" w:after="0"/>
              <w:ind w:left="550" w:right="0" w:hanging="423"/>
              <w:jc w:val="left"/>
              <w:rPr>
                <w:sz w:val="21"/>
              </w:rPr>
            </w:pPr>
            <w:r>
              <w:rPr>
                <w:spacing w:val="-3"/>
                <w:sz w:val="21"/>
              </w:rPr>
              <w:t>在家及在静息状态下需要吸氧；</w:t>
            </w:r>
          </w:p>
          <w:p>
            <w:pPr>
              <w:pStyle w:val="TableParagraph"/>
              <w:numPr>
                <w:ilvl w:val="0"/>
                <w:numId w:val="11"/>
              </w:numPr>
              <w:tabs>
                <w:tab w:pos="551" w:val="left" w:leader="none"/>
              </w:tabs>
              <w:spacing w:line="240" w:lineRule="auto" w:before="37" w:after="0"/>
              <w:ind w:left="550" w:right="0" w:hanging="423"/>
              <w:jc w:val="left"/>
              <w:rPr>
                <w:sz w:val="21"/>
              </w:rPr>
            </w:pPr>
            <w:r>
              <w:rPr>
                <w:spacing w:val="-3"/>
                <w:sz w:val="21"/>
              </w:rPr>
              <w:t>持续的每天服用类固醇药物(至少持续六个月以上)。</w:t>
            </w:r>
          </w:p>
        </w:tc>
      </w:tr>
      <w:tr>
        <w:trPr>
          <w:trHeight w:val="3683" w:hRule="atLeast"/>
        </w:trPr>
        <w:tc>
          <w:tcPr>
            <w:tcW w:w="2014" w:type="dxa"/>
          </w:tcPr>
          <w:p>
            <w:pPr>
              <w:pStyle w:val="TableParagraph"/>
              <w:spacing w:line="206" w:lineRule="auto" w:before="81"/>
              <w:ind w:left="619" w:right="124" w:hanging="420"/>
              <w:rPr>
                <w:rFonts w:ascii="微软雅黑" w:eastAsia="微软雅黑" w:hint="eastAsia"/>
                <w:b/>
                <w:sz w:val="21"/>
              </w:rPr>
            </w:pPr>
            <w:r>
              <w:rPr>
                <w:rFonts w:ascii="微软雅黑" w:eastAsia="微软雅黑" w:hint="eastAsia"/>
                <w:b/>
                <w:sz w:val="21"/>
              </w:rPr>
              <w:t>47. 慢性肾上腺皮质功能衰竭</w:t>
            </w:r>
          </w:p>
        </w:tc>
        <w:tc>
          <w:tcPr>
            <w:tcW w:w="7473" w:type="dxa"/>
          </w:tcPr>
          <w:p>
            <w:pPr>
              <w:pStyle w:val="TableParagraph"/>
              <w:spacing w:line="273" w:lineRule="auto" w:before="93"/>
              <w:ind w:right="193"/>
              <w:rPr>
                <w:sz w:val="21"/>
              </w:rPr>
            </w:pPr>
            <w:r>
              <w:rPr>
                <w:sz w:val="21"/>
              </w:rPr>
              <w:t>指自身免疫性肾上腺炎（既往称：特发性肾上腺皮质萎缩）导致肾上腺萎缩和慢性肾上腺皮质功能减退。须满足下列全部条件：</w:t>
            </w:r>
          </w:p>
          <w:p>
            <w:pPr>
              <w:pStyle w:val="TableParagraph"/>
              <w:spacing w:before="8"/>
              <w:rPr>
                <w:sz w:val="21"/>
              </w:rPr>
            </w:pPr>
            <w:r>
              <w:rPr>
                <w:sz w:val="21"/>
              </w:rPr>
              <w:t>(1)明确诊断，符合所有以下诊断标准；</w:t>
            </w:r>
          </w:p>
          <w:p>
            <w:pPr>
              <w:pStyle w:val="TableParagraph"/>
              <w:spacing w:before="37"/>
              <w:rPr>
                <w:sz w:val="21"/>
              </w:rPr>
            </w:pPr>
            <w:r>
              <w:rPr>
                <w:sz w:val="21"/>
              </w:rPr>
              <w:t>①血浆促肾上腺皮质激素(ACTH)水平测定大于 100pg/ml；</w:t>
            </w:r>
          </w:p>
          <w:p>
            <w:pPr>
              <w:pStyle w:val="TableParagraph"/>
              <w:spacing w:line="273" w:lineRule="auto" w:before="37"/>
              <w:ind w:right="257"/>
              <w:jc w:val="both"/>
              <w:rPr>
                <w:sz w:val="21"/>
              </w:rPr>
            </w:pPr>
            <w:r>
              <w:rPr>
                <w:spacing w:val="0"/>
                <w:sz w:val="21"/>
              </w:rPr>
              <w:t>②血浆和尿游离皮质醇及尿 </w:t>
            </w:r>
            <w:r>
              <w:rPr>
                <w:sz w:val="21"/>
              </w:rPr>
              <w:t>17 羟皮质类固醇、17 酮皮质类固醇测定、血浆</w:t>
            </w:r>
            <w:r>
              <w:rPr>
                <w:spacing w:val="-5"/>
                <w:sz w:val="21"/>
              </w:rPr>
              <w:t>肾素活性、血管紧张素 </w:t>
            </w:r>
            <w:r>
              <w:rPr>
                <w:sz w:val="21"/>
              </w:rPr>
              <w:t>II</w:t>
            </w:r>
            <w:r>
              <w:rPr>
                <w:spacing w:val="-5"/>
                <w:sz w:val="21"/>
              </w:rPr>
              <w:t> 和醛固酮测定，显示为原发性肾上腺皮质功能减退症；</w:t>
            </w:r>
          </w:p>
          <w:p>
            <w:pPr>
              <w:pStyle w:val="TableParagraph"/>
              <w:spacing w:before="7"/>
              <w:rPr>
                <w:sz w:val="21"/>
              </w:rPr>
            </w:pPr>
            <w:r>
              <w:rPr>
                <w:sz w:val="21"/>
              </w:rPr>
              <w:t>③促肾上腺皮质激素(ACTH)刺激试验显示为原发性肾上腺皮质功能减退症。</w:t>
            </w:r>
          </w:p>
          <w:p>
            <w:pPr>
              <w:pStyle w:val="TableParagraph"/>
              <w:spacing w:line="262" w:lineRule="exact" w:before="36"/>
              <w:rPr>
                <w:sz w:val="21"/>
              </w:rPr>
            </w:pPr>
            <w:r>
              <w:rPr>
                <w:sz w:val="21"/>
              </w:rPr>
              <w:t>(2)已经采用皮质类固醇替代治疗 180 天以上。</w:t>
            </w:r>
          </w:p>
          <w:p>
            <w:pPr>
              <w:pStyle w:val="TableParagraph"/>
              <w:spacing w:line="206" w:lineRule="auto" w:before="37"/>
              <w:ind w:right="265"/>
              <w:rPr>
                <w:rFonts w:ascii="微软雅黑" w:eastAsia="微软雅黑" w:hint="eastAsia"/>
                <w:b/>
                <w:sz w:val="21"/>
              </w:rPr>
            </w:pPr>
            <w:r>
              <w:rPr>
                <w:rFonts w:ascii="微软雅黑" w:eastAsia="微软雅黑" w:hint="eastAsia"/>
                <w:b/>
                <w:spacing w:val="-6"/>
                <w:sz w:val="21"/>
              </w:rPr>
              <w:t>肾上腺结核、</w:t>
            </w:r>
            <w:r>
              <w:rPr>
                <w:rFonts w:ascii="微软雅黑" w:eastAsia="微软雅黑" w:hint="eastAsia"/>
                <w:b/>
                <w:sz w:val="21"/>
              </w:rPr>
              <w:t>HIV</w:t>
            </w:r>
            <w:r>
              <w:rPr>
                <w:rFonts w:ascii="微软雅黑" w:eastAsia="微软雅黑" w:hint="eastAsia"/>
                <w:b/>
                <w:spacing w:val="-7"/>
                <w:sz w:val="21"/>
              </w:rPr>
              <w:t> 感染或艾滋病、感染、肿瘤所致的原发性肾上腺皮质功能减退和继发性肾上腺皮质功能减退不在保障范围内。</w:t>
            </w:r>
          </w:p>
        </w:tc>
      </w:tr>
      <w:tr>
        <w:trPr>
          <w:trHeight w:val="1176" w:hRule="atLeast"/>
        </w:trPr>
        <w:tc>
          <w:tcPr>
            <w:tcW w:w="2014" w:type="dxa"/>
          </w:tcPr>
          <w:p>
            <w:pPr>
              <w:pStyle w:val="TableParagraph"/>
              <w:spacing w:line="206" w:lineRule="auto" w:before="106"/>
              <w:ind w:left="619" w:right="124" w:hanging="420"/>
              <w:rPr>
                <w:rFonts w:ascii="微软雅黑" w:eastAsia="微软雅黑" w:hint="eastAsia"/>
                <w:b/>
                <w:sz w:val="21"/>
              </w:rPr>
            </w:pPr>
            <w:r>
              <w:rPr>
                <w:rFonts w:ascii="微软雅黑" w:eastAsia="微软雅黑" w:hint="eastAsia"/>
                <w:b/>
                <w:sz w:val="21"/>
              </w:rPr>
              <w:t>48. 埃博拉病毒感染</w:t>
            </w:r>
          </w:p>
        </w:tc>
        <w:tc>
          <w:tcPr>
            <w:tcW w:w="7473" w:type="dxa"/>
          </w:tcPr>
          <w:p>
            <w:pPr>
              <w:pStyle w:val="TableParagraph"/>
              <w:spacing w:line="273" w:lineRule="auto" w:before="118"/>
              <w:ind w:right="259"/>
              <w:jc w:val="both"/>
              <w:rPr>
                <w:sz w:val="21"/>
              </w:rPr>
            </w:pPr>
            <w:r>
              <w:rPr>
                <w:spacing w:val="-7"/>
                <w:sz w:val="21"/>
              </w:rPr>
              <w:t>受埃博拉病毒感染导致出血性发热。埃博拉病必须经国家机关认可的有合法资</w:t>
            </w:r>
            <w:r>
              <w:rPr>
                <w:spacing w:val="-9"/>
                <w:sz w:val="21"/>
              </w:rPr>
              <w:t>质的传染病专家确诊，并且埃博拉病毒的存在必须经过实验室检查证实。该病</w:t>
            </w:r>
            <w:r>
              <w:rPr>
                <w:spacing w:val="-3"/>
                <w:sz w:val="21"/>
              </w:rPr>
              <w:t>必须从症状开始后三十(</w:t>
            </w:r>
            <w:r>
              <w:rPr>
                <w:spacing w:val="-1"/>
                <w:sz w:val="21"/>
              </w:rPr>
              <w:t>30</w:t>
            </w:r>
            <w:r>
              <w:rPr>
                <w:spacing w:val="-3"/>
                <w:sz w:val="21"/>
              </w:rPr>
              <w:t>)天后持续出现并发症。</w:t>
            </w:r>
          </w:p>
        </w:tc>
      </w:tr>
      <w:tr>
        <w:trPr>
          <w:trHeight w:val="2402" w:hRule="atLeast"/>
        </w:trPr>
        <w:tc>
          <w:tcPr>
            <w:tcW w:w="2014" w:type="dxa"/>
          </w:tcPr>
          <w:p>
            <w:pPr>
              <w:pStyle w:val="TableParagraph"/>
              <w:spacing w:line="206" w:lineRule="auto" w:before="70"/>
              <w:ind w:left="619" w:right="124" w:hanging="420"/>
              <w:rPr>
                <w:rFonts w:ascii="微软雅黑" w:eastAsia="微软雅黑" w:hint="eastAsia"/>
                <w:b/>
                <w:sz w:val="21"/>
              </w:rPr>
            </w:pPr>
            <w:r>
              <w:rPr>
                <w:rFonts w:ascii="微软雅黑" w:eastAsia="微软雅黑" w:hint="eastAsia"/>
                <w:b/>
                <w:sz w:val="21"/>
              </w:rPr>
              <w:t>49. 原发性硬化性胆管炎</w:t>
            </w:r>
          </w:p>
        </w:tc>
        <w:tc>
          <w:tcPr>
            <w:tcW w:w="7473" w:type="dxa"/>
          </w:tcPr>
          <w:p>
            <w:pPr>
              <w:pStyle w:val="TableParagraph"/>
              <w:spacing w:line="273" w:lineRule="auto" w:before="82"/>
              <w:ind w:right="197"/>
              <w:jc w:val="both"/>
              <w:rPr>
                <w:sz w:val="21"/>
              </w:rPr>
            </w:pPr>
            <w:r>
              <w:rPr>
                <w:spacing w:val="-3"/>
                <w:sz w:val="21"/>
              </w:rPr>
              <w:t>指一种胆汁淤积综合征，其特征是肝内、肝外胆道因纤维化性炎症逐渐狭窄， </w:t>
            </w:r>
            <w:r>
              <w:rPr>
                <w:spacing w:val="-7"/>
                <w:sz w:val="21"/>
              </w:rPr>
              <w:t>并最终导致完全阻塞而发展为肝硬化。本病须经内镜逆行胰胆管造影等影像学</w:t>
            </w:r>
            <w:r>
              <w:rPr>
                <w:spacing w:val="-5"/>
                <w:sz w:val="21"/>
              </w:rPr>
              <w:t>检查证实，并须满足下列全部条件：</w:t>
            </w:r>
          </w:p>
          <w:p>
            <w:pPr>
              <w:pStyle w:val="TableParagraph"/>
              <w:numPr>
                <w:ilvl w:val="0"/>
                <w:numId w:val="12"/>
              </w:numPr>
              <w:tabs>
                <w:tab w:pos="760" w:val="left" w:leader="none"/>
              </w:tabs>
              <w:spacing w:line="240" w:lineRule="auto" w:before="7" w:after="0"/>
              <w:ind w:left="759" w:right="0" w:hanging="632"/>
              <w:jc w:val="both"/>
              <w:rPr>
                <w:sz w:val="21"/>
              </w:rPr>
            </w:pPr>
            <w:r>
              <w:rPr>
                <w:spacing w:val="-5"/>
                <w:sz w:val="21"/>
              </w:rPr>
              <w:t>总胆红素和直接胆红素同时升高，血清 </w:t>
            </w:r>
            <w:r>
              <w:rPr>
                <w:sz w:val="21"/>
              </w:rPr>
              <w:t>ALP&gt;200U/L；</w:t>
            </w:r>
          </w:p>
          <w:p>
            <w:pPr>
              <w:pStyle w:val="TableParagraph"/>
              <w:numPr>
                <w:ilvl w:val="0"/>
                <w:numId w:val="12"/>
              </w:numPr>
              <w:tabs>
                <w:tab w:pos="760" w:val="left" w:leader="none"/>
              </w:tabs>
              <w:spacing w:line="240" w:lineRule="auto" w:before="36" w:after="0"/>
              <w:ind w:left="759" w:right="0" w:hanging="632"/>
              <w:jc w:val="both"/>
              <w:rPr>
                <w:sz w:val="21"/>
              </w:rPr>
            </w:pPr>
            <w:r>
              <w:rPr>
                <w:spacing w:val="-3"/>
                <w:sz w:val="21"/>
              </w:rPr>
              <w:t>持续性黄疸病史；</w:t>
            </w:r>
          </w:p>
          <w:p>
            <w:pPr>
              <w:pStyle w:val="TableParagraph"/>
              <w:numPr>
                <w:ilvl w:val="0"/>
                <w:numId w:val="12"/>
              </w:numPr>
              <w:tabs>
                <w:tab w:pos="760" w:val="left" w:leader="none"/>
              </w:tabs>
              <w:spacing w:line="240" w:lineRule="auto" w:before="36" w:after="0"/>
              <w:ind w:left="759" w:right="0" w:hanging="632"/>
              <w:jc w:val="both"/>
              <w:rPr>
                <w:sz w:val="21"/>
              </w:rPr>
            </w:pPr>
            <w:r>
              <w:rPr>
                <w:spacing w:val="-3"/>
                <w:sz w:val="21"/>
              </w:rPr>
              <w:t>出现胆汁性肝硬化或门脉高压。</w:t>
            </w:r>
          </w:p>
          <w:p>
            <w:pPr>
              <w:pStyle w:val="TableParagraph"/>
              <w:spacing w:before="36"/>
              <w:jc w:val="both"/>
              <w:rPr>
                <w:sz w:val="21"/>
              </w:rPr>
            </w:pPr>
            <w:r>
              <w:rPr>
                <w:sz w:val="21"/>
              </w:rPr>
              <w:t>因肿瘤或胆管损伤等继发性的硬化性胆管炎不在保障范围内。</w:t>
            </w:r>
          </w:p>
        </w:tc>
      </w:tr>
      <w:tr>
        <w:trPr>
          <w:trHeight w:val="740" w:hRule="atLeast"/>
        </w:trPr>
        <w:tc>
          <w:tcPr>
            <w:tcW w:w="2014" w:type="dxa"/>
          </w:tcPr>
          <w:p>
            <w:pPr>
              <w:pStyle w:val="TableParagraph"/>
              <w:spacing w:before="34"/>
              <w:ind w:left="200"/>
              <w:rPr>
                <w:rFonts w:ascii="微软雅黑" w:eastAsia="微软雅黑" w:hint="eastAsia"/>
                <w:b/>
                <w:sz w:val="21"/>
              </w:rPr>
            </w:pPr>
            <w:r>
              <w:rPr>
                <w:rFonts w:ascii="微软雅黑" w:eastAsia="微软雅黑" w:hint="eastAsia"/>
                <w:b/>
                <w:sz w:val="21"/>
              </w:rPr>
              <w:t>50. 疯牛病</w:t>
            </w:r>
          </w:p>
        </w:tc>
        <w:tc>
          <w:tcPr>
            <w:tcW w:w="7473" w:type="dxa"/>
          </w:tcPr>
          <w:p>
            <w:pPr>
              <w:pStyle w:val="TableParagraph"/>
              <w:spacing w:before="97"/>
              <w:rPr>
                <w:sz w:val="21"/>
              </w:rPr>
            </w:pPr>
            <w:r>
              <w:rPr>
                <w:sz w:val="21"/>
              </w:rPr>
              <w:t>神经系统疾病及致命的成胶质状脑病，并有以下症状：</w:t>
            </w:r>
          </w:p>
          <w:p>
            <w:pPr>
              <w:pStyle w:val="TableParagraph"/>
              <w:spacing w:before="37"/>
              <w:rPr>
                <w:sz w:val="21"/>
              </w:rPr>
            </w:pPr>
            <w:r>
              <w:rPr>
                <w:sz w:val="21"/>
              </w:rPr>
              <w:t>(1) 不能控制的肌肉痉挛及震颤；</w:t>
            </w:r>
          </w:p>
        </w:tc>
      </w:tr>
      <w:tr>
        <w:trPr>
          <w:trHeight w:val="615" w:hRule="atLeast"/>
        </w:trPr>
        <w:tc>
          <w:tcPr>
            <w:tcW w:w="2014" w:type="dxa"/>
          </w:tcPr>
          <w:p>
            <w:pPr>
              <w:pStyle w:val="TableParagraph"/>
              <w:ind w:left="0"/>
              <w:rPr>
                <w:rFonts w:ascii="Times New Roman"/>
                <w:sz w:val="20"/>
              </w:rPr>
            </w:pPr>
          </w:p>
        </w:tc>
        <w:tc>
          <w:tcPr>
            <w:tcW w:w="7473" w:type="dxa"/>
          </w:tcPr>
          <w:p>
            <w:pPr>
              <w:pStyle w:val="TableParagraph"/>
              <w:numPr>
                <w:ilvl w:val="0"/>
                <w:numId w:val="13"/>
              </w:numPr>
              <w:tabs>
                <w:tab w:pos="551" w:val="left" w:leader="none"/>
              </w:tabs>
              <w:spacing w:line="255" w:lineRule="exact" w:before="0" w:after="0"/>
              <w:ind w:left="550" w:right="0" w:hanging="423"/>
              <w:jc w:val="left"/>
              <w:rPr>
                <w:sz w:val="21"/>
              </w:rPr>
            </w:pPr>
            <w:r>
              <w:rPr>
                <w:spacing w:val="-3"/>
                <w:sz w:val="21"/>
              </w:rPr>
              <w:t>逐渐痴呆；</w:t>
            </w:r>
          </w:p>
          <w:p>
            <w:pPr>
              <w:pStyle w:val="TableParagraph"/>
              <w:numPr>
                <w:ilvl w:val="0"/>
                <w:numId w:val="13"/>
              </w:numPr>
              <w:tabs>
                <w:tab w:pos="551" w:val="left" w:leader="none"/>
              </w:tabs>
              <w:spacing w:line="240" w:lineRule="auto" w:before="37" w:after="0"/>
              <w:ind w:left="550" w:right="0" w:hanging="423"/>
              <w:jc w:val="left"/>
              <w:rPr>
                <w:sz w:val="21"/>
              </w:rPr>
            </w:pPr>
            <w:r>
              <w:rPr>
                <w:spacing w:val="-3"/>
                <w:sz w:val="21"/>
              </w:rPr>
              <w:t>小脑功能不良，共济失调；</w:t>
            </w:r>
          </w:p>
        </w:tc>
      </w:tr>
      <w:tr>
        <w:trPr>
          <w:trHeight w:val="1038" w:hRule="atLeast"/>
        </w:trPr>
        <w:tc>
          <w:tcPr>
            <w:tcW w:w="2014" w:type="dxa"/>
          </w:tcPr>
          <w:p>
            <w:pPr>
              <w:pStyle w:val="TableParagraph"/>
              <w:ind w:left="0"/>
              <w:rPr>
                <w:rFonts w:ascii="Times New Roman"/>
                <w:sz w:val="20"/>
              </w:rPr>
            </w:pPr>
          </w:p>
        </w:tc>
        <w:tc>
          <w:tcPr>
            <w:tcW w:w="7473" w:type="dxa"/>
          </w:tcPr>
          <w:p>
            <w:pPr>
              <w:pStyle w:val="TableParagraph"/>
              <w:spacing w:line="247" w:lineRule="exact"/>
              <w:rPr>
                <w:sz w:val="21"/>
              </w:rPr>
            </w:pPr>
            <w:r>
              <w:rPr>
                <w:sz w:val="21"/>
              </w:rPr>
              <w:t>(4) 手足徐动症；</w:t>
            </w:r>
          </w:p>
          <w:p>
            <w:pPr>
              <w:pStyle w:val="TableParagraph"/>
              <w:spacing w:line="273" w:lineRule="auto" w:before="37"/>
              <w:ind w:right="406"/>
              <w:rPr>
                <w:sz w:val="21"/>
              </w:rPr>
            </w:pPr>
            <w:r>
              <w:rPr>
                <w:sz w:val="21"/>
              </w:rPr>
              <w:t>诊断必须经国家机关认可的有合法资质的神经科专科医生基于以下检查报告作出：脑电图、脑脊液报告、电脑断层扫描(CT)及核磁共振(MRI)。</w:t>
            </w:r>
          </w:p>
        </w:tc>
      </w:tr>
      <w:tr>
        <w:trPr>
          <w:trHeight w:val="501" w:hRule="atLeast"/>
        </w:trPr>
        <w:tc>
          <w:tcPr>
            <w:tcW w:w="9487" w:type="dxa"/>
            <w:gridSpan w:val="2"/>
          </w:tcPr>
          <w:p>
            <w:pPr>
              <w:pStyle w:val="TableParagraph"/>
              <w:spacing w:before="90"/>
              <w:ind w:left="200"/>
              <w:rPr>
                <w:sz w:val="21"/>
              </w:rPr>
            </w:pPr>
            <w:r>
              <w:rPr>
                <w:sz w:val="21"/>
              </w:rPr>
              <w:t>以下为对上述重大疾病中部分专有名词的解释：</w:t>
            </w:r>
          </w:p>
        </w:tc>
      </w:tr>
      <w:tr>
        <w:trPr>
          <w:trHeight w:val="1589" w:hRule="atLeast"/>
        </w:trPr>
        <w:tc>
          <w:tcPr>
            <w:tcW w:w="2014"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专科医生</w:t>
            </w:r>
          </w:p>
        </w:tc>
        <w:tc>
          <w:tcPr>
            <w:tcW w:w="7473" w:type="dxa"/>
          </w:tcPr>
          <w:p>
            <w:pPr>
              <w:pStyle w:val="TableParagraph"/>
              <w:spacing w:line="273" w:lineRule="auto" w:before="59"/>
              <w:ind w:right="259"/>
              <w:jc w:val="both"/>
              <w:rPr>
                <w:sz w:val="21"/>
              </w:rPr>
            </w:pPr>
            <w:r>
              <w:rPr>
                <w:spacing w:val="-3"/>
                <w:w w:val="100"/>
                <w:sz w:val="21"/>
              </w:rPr>
              <w:t>专科医生应当同时满足以下四项资格条件</w:t>
            </w:r>
            <w:r>
              <w:rPr>
                <w:spacing w:val="-197"/>
                <w:w w:val="100"/>
                <w:sz w:val="21"/>
              </w:rPr>
              <w:t>：</w:t>
            </w:r>
            <w:r>
              <w:rPr>
                <w:w w:val="100"/>
                <w:sz w:val="21"/>
              </w:rPr>
              <w:t>（1</w:t>
            </w:r>
            <w:r>
              <w:rPr>
                <w:spacing w:val="-94"/>
                <w:w w:val="100"/>
                <w:sz w:val="21"/>
              </w:rPr>
              <w:t>）</w:t>
            </w:r>
            <w:r>
              <w:rPr>
                <w:spacing w:val="-11"/>
                <w:w w:val="100"/>
                <w:sz w:val="21"/>
              </w:rPr>
              <w:t>具有有效的中华人民共和国《医</w:t>
            </w:r>
            <w:r>
              <w:rPr>
                <w:spacing w:val="-39"/>
                <w:w w:val="100"/>
                <w:sz w:val="21"/>
              </w:rPr>
              <w:t>师资格证书》；</w:t>
            </w:r>
            <w:r>
              <w:rPr>
                <w:spacing w:val="-1"/>
                <w:w w:val="100"/>
                <w:sz w:val="21"/>
              </w:rPr>
              <w:t>（</w:t>
            </w:r>
            <w:r>
              <w:rPr>
                <w:spacing w:val="-3"/>
                <w:w w:val="100"/>
                <w:sz w:val="21"/>
              </w:rPr>
              <w:t>2</w:t>
            </w:r>
            <w:r>
              <w:rPr>
                <w:spacing w:val="-15"/>
                <w:w w:val="100"/>
                <w:sz w:val="21"/>
              </w:rPr>
              <w:t>）</w:t>
            </w:r>
            <w:r>
              <w:rPr>
                <w:spacing w:val="-12"/>
                <w:w w:val="100"/>
                <w:sz w:val="21"/>
              </w:rPr>
              <w:t>具有有效的中华人民共和国《医师执业证书》，并按期到相</w:t>
            </w:r>
            <w:r>
              <w:rPr>
                <w:spacing w:val="-6"/>
                <w:w w:val="100"/>
                <w:sz w:val="21"/>
              </w:rPr>
              <w:t>关部门登记注册</w:t>
            </w:r>
            <w:r>
              <w:rPr>
                <w:spacing w:val="-137"/>
                <w:w w:val="100"/>
                <w:sz w:val="21"/>
              </w:rPr>
              <w:t>；</w:t>
            </w:r>
            <w:r>
              <w:rPr>
                <w:w w:val="100"/>
                <w:sz w:val="21"/>
              </w:rPr>
              <w:t>（3</w:t>
            </w:r>
            <w:r>
              <w:rPr>
                <w:spacing w:val="-34"/>
                <w:w w:val="100"/>
                <w:sz w:val="21"/>
              </w:rPr>
              <w:t>）</w:t>
            </w:r>
            <w:r>
              <w:rPr>
                <w:spacing w:val="-3"/>
                <w:w w:val="100"/>
                <w:sz w:val="21"/>
              </w:rPr>
              <w:t>具有有效的中华人民共和国主治医师或主治医师以上职</w:t>
            </w:r>
          </w:p>
          <w:p>
            <w:pPr>
              <w:pStyle w:val="TableParagraph"/>
              <w:spacing w:line="312" w:lineRule="exact" w:before="3"/>
              <w:ind w:right="302"/>
              <w:jc w:val="both"/>
              <w:rPr>
                <w:sz w:val="21"/>
              </w:rPr>
            </w:pP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p>
        </w:tc>
      </w:tr>
    </w:tbl>
    <w:p>
      <w:pPr>
        <w:spacing w:after="0" w:line="312" w:lineRule="exact"/>
        <w:jc w:val="both"/>
        <w:rPr>
          <w:sz w:val="21"/>
        </w:rPr>
        <w:sectPr>
          <w:pgSz w:w="11910" w:h="16840"/>
          <w:pgMar w:header="0" w:footer="375" w:top="1340" w:bottom="560" w:left="1500" w:right="7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74"/>
        <w:gridCol w:w="7515"/>
      </w:tblGrid>
      <w:tr>
        <w:trPr>
          <w:trHeight w:val="1254" w:hRule="atLeast"/>
        </w:trPr>
        <w:tc>
          <w:tcPr>
            <w:tcW w:w="781" w:type="dxa"/>
          </w:tcPr>
          <w:p>
            <w:pPr>
              <w:pStyle w:val="TableParagraph"/>
              <w:ind w:left="0"/>
              <w:rPr>
                <w:rFonts w:ascii="Times New Roman"/>
                <w:sz w:val="20"/>
              </w:rPr>
            </w:pPr>
          </w:p>
        </w:tc>
        <w:tc>
          <w:tcPr>
            <w:tcW w:w="1974" w:type="dxa"/>
          </w:tcPr>
          <w:p>
            <w:pPr>
              <w:pStyle w:val="TableParagraph"/>
              <w:spacing w:line="205" w:lineRule="exact"/>
              <w:ind w:left="158"/>
              <w:rPr>
                <w:rFonts w:ascii="微软雅黑" w:eastAsia="微软雅黑" w:hint="eastAsia"/>
                <w:b/>
                <w:sz w:val="21"/>
              </w:rPr>
            </w:pPr>
            <w:r>
              <w:rPr>
                <w:rFonts w:ascii="微软雅黑" w:eastAsia="微软雅黑" w:hint="eastAsia"/>
                <w:b/>
                <w:sz w:val="21"/>
              </w:rPr>
              <w:t>六项基本日常生活</w:t>
            </w:r>
          </w:p>
          <w:p>
            <w:pPr>
              <w:pStyle w:val="TableParagraph"/>
              <w:spacing w:line="338" w:lineRule="exact"/>
              <w:ind w:left="158"/>
              <w:rPr>
                <w:rFonts w:ascii="微软雅黑" w:eastAsia="微软雅黑" w:hint="eastAsia"/>
                <w:b/>
                <w:sz w:val="21"/>
              </w:rPr>
            </w:pPr>
            <w:r>
              <w:rPr>
                <w:rFonts w:ascii="微软雅黑" w:eastAsia="微软雅黑" w:hint="eastAsia"/>
                <w:b/>
                <w:sz w:val="21"/>
              </w:rPr>
              <w:t>活动</w:t>
            </w:r>
          </w:p>
        </w:tc>
        <w:tc>
          <w:tcPr>
            <w:tcW w:w="7515" w:type="dxa"/>
          </w:tcPr>
          <w:p>
            <w:pPr>
              <w:pStyle w:val="TableParagraph"/>
              <w:spacing w:line="205" w:lineRule="exact"/>
              <w:ind w:left="126"/>
              <w:rPr>
                <w:sz w:val="21"/>
              </w:rPr>
            </w:pPr>
            <w:r>
              <w:rPr>
                <w:sz w:val="21"/>
              </w:rPr>
              <w:t>六项基本日常生活活动是指：①穿衣：自己能够穿衣及脱衣；②移动：自己从</w:t>
            </w:r>
          </w:p>
          <w:p>
            <w:pPr>
              <w:pStyle w:val="TableParagraph"/>
              <w:spacing w:line="273" w:lineRule="auto" w:before="37"/>
              <w:ind w:left="126" w:right="240"/>
              <w:jc w:val="both"/>
              <w:rPr>
                <w:sz w:val="21"/>
              </w:rPr>
            </w:pPr>
            <w:r>
              <w:rPr>
                <w:spacing w:val="-9"/>
                <w:sz w:val="21"/>
              </w:rPr>
              <w:t>一个房间到另一个房间；③行动：自己上下床或上下轮椅；④如厕：自己控制</w:t>
            </w:r>
            <w:r>
              <w:rPr>
                <w:spacing w:val="-5"/>
                <w:sz w:val="21"/>
              </w:rPr>
              <w:t>进行大小便；⑤进食：自己从已准备好的碗或碟中取食物放入口中；⑥洗澡： </w:t>
            </w:r>
            <w:r>
              <w:rPr>
                <w:spacing w:val="-4"/>
                <w:sz w:val="21"/>
              </w:rPr>
              <w:t>自己进行淋浴或盆浴。</w:t>
            </w:r>
          </w:p>
        </w:tc>
      </w:tr>
      <w:tr>
        <w:trPr>
          <w:trHeight w:val="760" w:hRule="atLeast"/>
        </w:trPr>
        <w:tc>
          <w:tcPr>
            <w:tcW w:w="781" w:type="dxa"/>
          </w:tcPr>
          <w:p>
            <w:pPr>
              <w:pStyle w:val="TableParagraph"/>
              <w:ind w:left="0"/>
              <w:rPr>
                <w:rFonts w:ascii="Times New Roman"/>
                <w:sz w:val="20"/>
              </w:rPr>
            </w:pPr>
          </w:p>
        </w:tc>
        <w:tc>
          <w:tcPr>
            <w:tcW w:w="1974" w:type="dxa"/>
          </w:tcPr>
          <w:p>
            <w:pPr>
              <w:pStyle w:val="TableParagraph"/>
              <w:spacing w:line="337" w:lineRule="exact"/>
              <w:ind w:left="158"/>
              <w:rPr>
                <w:rFonts w:ascii="微软雅黑" w:eastAsia="微软雅黑" w:hint="eastAsia"/>
                <w:b/>
                <w:sz w:val="21"/>
              </w:rPr>
            </w:pPr>
            <w:r>
              <w:rPr>
                <w:rFonts w:ascii="微软雅黑" w:eastAsia="微软雅黑" w:hint="eastAsia"/>
                <w:b/>
                <w:sz w:val="21"/>
              </w:rPr>
              <w:t>肢体机能完全丧失</w:t>
            </w:r>
          </w:p>
        </w:tc>
        <w:tc>
          <w:tcPr>
            <w:tcW w:w="7515" w:type="dxa"/>
          </w:tcPr>
          <w:p>
            <w:pPr>
              <w:pStyle w:val="TableParagraph"/>
              <w:spacing w:line="273" w:lineRule="auto" w:before="36"/>
              <w:ind w:left="126" w:right="302"/>
              <w:rPr>
                <w:sz w:val="21"/>
              </w:rPr>
            </w:pPr>
            <w:r>
              <w:rPr>
                <w:spacing w:val="-7"/>
                <w:sz w:val="21"/>
              </w:rPr>
              <w:t>指肢体的三大关节中的两大关节僵硬，或不能随意识活动。肢体是指包括肩关</w:t>
            </w:r>
            <w:r>
              <w:rPr>
                <w:spacing w:val="-5"/>
                <w:sz w:val="21"/>
              </w:rPr>
              <w:t>节的整个上肢或包括髋关节的整个下肢。</w:t>
            </w:r>
          </w:p>
        </w:tc>
      </w:tr>
      <w:tr>
        <w:trPr>
          <w:trHeight w:val="1387" w:hRule="atLeast"/>
        </w:trPr>
        <w:tc>
          <w:tcPr>
            <w:tcW w:w="781" w:type="dxa"/>
          </w:tcPr>
          <w:p>
            <w:pPr>
              <w:pStyle w:val="TableParagraph"/>
              <w:ind w:left="0"/>
              <w:rPr>
                <w:rFonts w:ascii="Times New Roman"/>
                <w:sz w:val="20"/>
              </w:rPr>
            </w:pPr>
          </w:p>
        </w:tc>
        <w:tc>
          <w:tcPr>
            <w:tcW w:w="1974" w:type="dxa"/>
          </w:tcPr>
          <w:p>
            <w:pPr>
              <w:pStyle w:val="TableParagraph"/>
              <w:spacing w:line="206" w:lineRule="auto" w:before="49"/>
              <w:ind w:left="158" w:right="123"/>
              <w:rPr>
                <w:rFonts w:ascii="微软雅黑" w:eastAsia="微软雅黑" w:hint="eastAsia"/>
                <w:b/>
                <w:sz w:val="21"/>
              </w:rPr>
            </w:pPr>
            <w:r>
              <w:rPr>
                <w:rFonts w:ascii="微软雅黑" w:eastAsia="微软雅黑" w:hint="eastAsia"/>
                <w:b/>
                <w:sz w:val="21"/>
              </w:rPr>
              <w:t>语言能力或咀嚼吞咽能力完全丧失</w:t>
            </w:r>
          </w:p>
        </w:tc>
        <w:tc>
          <w:tcPr>
            <w:tcW w:w="7515" w:type="dxa"/>
          </w:tcPr>
          <w:p>
            <w:pPr>
              <w:pStyle w:val="TableParagraph"/>
              <w:spacing w:line="273" w:lineRule="auto" w:before="60"/>
              <w:ind w:left="126" w:right="197"/>
              <w:rPr>
                <w:sz w:val="21"/>
              </w:rPr>
            </w:pPr>
            <w:r>
              <w:rPr>
                <w:spacing w:val="-6"/>
                <w:sz w:val="21"/>
              </w:rPr>
              <w:t>语言能力完全丧失，指无法发出四种语音</w:t>
            </w:r>
            <w:r>
              <w:rPr>
                <w:spacing w:val="-3"/>
                <w:sz w:val="21"/>
              </w:rPr>
              <w:t>（</w:t>
            </w:r>
            <w:r>
              <w:rPr>
                <w:spacing w:val="-7"/>
                <w:sz w:val="21"/>
              </w:rPr>
              <w:t>包括口唇音、齿舌音、口盖音和喉</w:t>
            </w:r>
            <w:r>
              <w:rPr>
                <w:spacing w:val="-5"/>
                <w:sz w:val="21"/>
              </w:rPr>
              <w:t>头音</w:t>
            </w:r>
            <w:r>
              <w:rPr>
                <w:spacing w:val="-56"/>
                <w:sz w:val="21"/>
              </w:rPr>
              <w:t>）</w:t>
            </w:r>
            <w:r>
              <w:rPr>
                <w:spacing w:val="-13"/>
                <w:sz w:val="21"/>
              </w:rPr>
              <w:t>中的任何三种、或声带全部切除，或因大脑语言中枢受伤害而患失语症。</w:t>
            </w:r>
            <w:r>
              <w:rPr>
                <w:spacing w:val="-10"/>
                <w:sz w:val="21"/>
              </w:rPr>
              <w:t>咀嚼吞咽能力完全丧失，指因牙齿以外的原因导致器质障碍或机能障碍，以致</w:t>
            </w:r>
            <w:r>
              <w:rPr>
                <w:spacing w:val="-5"/>
                <w:sz w:val="21"/>
              </w:rPr>
              <w:t>不能作咀嚼吞咽运动，除流质食物外不能摄取或吞咽的状态。</w:t>
            </w:r>
          </w:p>
        </w:tc>
      </w:tr>
      <w:tr>
        <w:trPr>
          <w:trHeight w:val="732" w:hRule="atLeast"/>
        </w:trPr>
        <w:tc>
          <w:tcPr>
            <w:tcW w:w="781" w:type="dxa"/>
          </w:tcPr>
          <w:p>
            <w:pPr>
              <w:pStyle w:val="TableParagraph"/>
              <w:ind w:left="0"/>
              <w:rPr>
                <w:rFonts w:ascii="Times New Roman"/>
                <w:sz w:val="20"/>
              </w:rPr>
            </w:pPr>
          </w:p>
        </w:tc>
        <w:tc>
          <w:tcPr>
            <w:tcW w:w="1974" w:type="dxa"/>
          </w:tcPr>
          <w:p>
            <w:pPr>
              <w:pStyle w:val="TableParagraph"/>
              <w:spacing w:line="340" w:lineRule="exact"/>
              <w:ind w:left="158"/>
              <w:rPr>
                <w:rFonts w:ascii="微软雅黑" w:eastAsia="微软雅黑" w:hint="eastAsia"/>
                <w:b/>
                <w:sz w:val="21"/>
              </w:rPr>
            </w:pPr>
            <w:r>
              <w:rPr>
                <w:rFonts w:ascii="微软雅黑" w:eastAsia="微软雅黑" w:hint="eastAsia"/>
                <w:b/>
                <w:sz w:val="21"/>
              </w:rPr>
              <w:t>永久不可逆</w:t>
            </w:r>
          </w:p>
        </w:tc>
        <w:tc>
          <w:tcPr>
            <w:tcW w:w="7515" w:type="dxa"/>
          </w:tcPr>
          <w:p>
            <w:pPr>
              <w:pStyle w:val="TableParagraph"/>
              <w:spacing w:line="273" w:lineRule="auto" w:before="39"/>
              <w:ind w:left="126" w:right="303"/>
              <w:rPr>
                <w:sz w:val="21"/>
              </w:rPr>
            </w:pPr>
            <w:r>
              <w:rPr>
                <w:spacing w:val="-7"/>
                <w:sz w:val="21"/>
              </w:rPr>
              <w:t>指自疾病确诊或意外伤害发生之日起，经过积极治疗 </w:t>
            </w:r>
            <w:r>
              <w:rPr>
                <w:sz w:val="21"/>
              </w:rPr>
              <w:t>180</w:t>
            </w:r>
            <w:r>
              <w:rPr>
                <w:spacing w:val="-10"/>
                <w:sz w:val="21"/>
              </w:rPr>
              <w:t> 天后，仍无法通过现</w:t>
            </w:r>
            <w:r>
              <w:rPr>
                <w:spacing w:val="-5"/>
                <w:sz w:val="21"/>
              </w:rPr>
              <w:t>有医疗手段恢复。</w:t>
            </w:r>
          </w:p>
        </w:tc>
      </w:tr>
      <w:tr>
        <w:trPr>
          <w:trHeight w:val="440" w:hRule="atLeast"/>
        </w:trPr>
        <w:tc>
          <w:tcPr>
            <w:tcW w:w="781" w:type="dxa"/>
          </w:tcPr>
          <w:p>
            <w:pPr>
              <w:pStyle w:val="TableParagraph"/>
              <w:spacing w:line="330" w:lineRule="exact"/>
              <w:ind w:left="200"/>
              <w:rPr>
                <w:rFonts w:ascii="微软雅黑"/>
                <w:b/>
                <w:sz w:val="21"/>
              </w:rPr>
            </w:pPr>
            <w:r>
              <w:rPr>
                <w:rFonts w:ascii="微软雅黑"/>
                <w:b/>
                <w:sz w:val="21"/>
              </w:rPr>
              <w:t>7.5</w:t>
            </w:r>
          </w:p>
        </w:tc>
        <w:tc>
          <w:tcPr>
            <w:tcW w:w="1974" w:type="dxa"/>
          </w:tcPr>
          <w:p>
            <w:pPr>
              <w:pStyle w:val="TableParagraph"/>
              <w:spacing w:line="330" w:lineRule="exact"/>
              <w:ind w:left="158"/>
              <w:rPr>
                <w:rFonts w:ascii="微软雅黑" w:eastAsia="微软雅黑" w:hint="eastAsia"/>
                <w:b/>
                <w:sz w:val="21"/>
              </w:rPr>
            </w:pPr>
            <w:r>
              <w:rPr>
                <w:rFonts w:ascii="微软雅黑" w:eastAsia="微软雅黑" w:hint="eastAsia"/>
                <w:b/>
                <w:sz w:val="21"/>
              </w:rPr>
              <w:t>殴斗</w:t>
            </w:r>
          </w:p>
        </w:tc>
        <w:tc>
          <w:tcPr>
            <w:tcW w:w="7515" w:type="dxa"/>
          </w:tcPr>
          <w:p>
            <w:pPr>
              <w:pStyle w:val="TableParagraph"/>
              <w:spacing w:before="29"/>
              <w:ind w:left="126"/>
              <w:rPr>
                <w:sz w:val="21"/>
              </w:rPr>
            </w:pPr>
            <w:r>
              <w:rPr>
                <w:sz w:val="21"/>
              </w:rPr>
              <w:t>指因被保险人挑衅或故意行为而导致的打斗。</w:t>
            </w:r>
          </w:p>
        </w:tc>
      </w:tr>
      <w:tr>
        <w:trPr>
          <w:trHeight w:val="465" w:hRule="atLeast"/>
        </w:trPr>
        <w:tc>
          <w:tcPr>
            <w:tcW w:w="781" w:type="dxa"/>
          </w:tcPr>
          <w:p>
            <w:pPr>
              <w:pStyle w:val="TableParagraph"/>
              <w:spacing w:line="360" w:lineRule="exact"/>
              <w:ind w:left="200"/>
              <w:rPr>
                <w:rFonts w:ascii="微软雅黑"/>
                <w:b/>
                <w:sz w:val="21"/>
              </w:rPr>
            </w:pPr>
            <w:r>
              <w:rPr>
                <w:rFonts w:ascii="微软雅黑"/>
                <w:b/>
                <w:sz w:val="21"/>
              </w:rPr>
              <w:t>7.6</w:t>
            </w:r>
          </w:p>
        </w:tc>
        <w:tc>
          <w:tcPr>
            <w:tcW w:w="1974" w:type="dxa"/>
          </w:tcPr>
          <w:p>
            <w:pPr>
              <w:pStyle w:val="TableParagraph"/>
              <w:spacing w:line="360" w:lineRule="exact"/>
              <w:ind w:left="158"/>
              <w:rPr>
                <w:rFonts w:ascii="微软雅黑" w:eastAsia="微软雅黑" w:hint="eastAsia"/>
                <w:b/>
                <w:sz w:val="21"/>
              </w:rPr>
            </w:pPr>
            <w:r>
              <w:rPr>
                <w:rFonts w:ascii="微软雅黑" w:eastAsia="微软雅黑" w:hint="eastAsia"/>
                <w:b/>
                <w:sz w:val="21"/>
              </w:rPr>
              <w:t>醉酒</w:t>
            </w:r>
          </w:p>
        </w:tc>
        <w:tc>
          <w:tcPr>
            <w:tcW w:w="7515" w:type="dxa"/>
          </w:tcPr>
          <w:p>
            <w:pPr>
              <w:pStyle w:val="TableParagraph"/>
              <w:spacing w:before="59"/>
              <w:ind w:left="126"/>
              <w:rPr>
                <w:sz w:val="21"/>
              </w:rPr>
            </w:pPr>
            <w:r>
              <w:rPr>
                <w:sz w:val="21"/>
              </w:rPr>
              <w:t>指每百毫升血液的酒精含量大于或等于 100 毫克。</w:t>
            </w:r>
          </w:p>
        </w:tc>
      </w:tr>
      <w:tr>
        <w:trPr>
          <w:trHeight w:val="1383" w:hRule="atLeast"/>
        </w:trPr>
        <w:tc>
          <w:tcPr>
            <w:tcW w:w="781" w:type="dxa"/>
          </w:tcPr>
          <w:p>
            <w:pPr>
              <w:pStyle w:val="TableParagraph"/>
              <w:spacing w:line="355" w:lineRule="exact"/>
              <w:ind w:left="200"/>
              <w:rPr>
                <w:rFonts w:ascii="微软雅黑"/>
                <w:b/>
                <w:sz w:val="21"/>
              </w:rPr>
            </w:pPr>
            <w:r>
              <w:rPr>
                <w:rFonts w:ascii="微软雅黑"/>
                <w:b/>
                <w:sz w:val="21"/>
              </w:rPr>
              <w:t>7.7</w:t>
            </w:r>
          </w:p>
        </w:tc>
        <w:tc>
          <w:tcPr>
            <w:tcW w:w="1974" w:type="dxa"/>
          </w:tcPr>
          <w:p>
            <w:pPr>
              <w:pStyle w:val="TableParagraph"/>
              <w:spacing w:line="355" w:lineRule="exact"/>
              <w:ind w:left="158"/>
              <w:rPr>
                <w:rFonts w:ascii="微软雅黑" w:eastAsia="微软雅黑" w:hint="eastAsia"/>
                <w:b/>
                <w:sz w:val="21"/>
              </w:rPr>
            </w:pPr>
            <w:r>
              <w:rPr>
                <w:rFonts w:ascii="微软雅黑" w:eastAsia="微软雅黑" w:hint="eastAsia"/>
                <w:b/>
                <w:sz w:val="21"/>
              </w:rPr>
              <w:t>毒品</w:t>
            </w:r>
          </w:p>
        </w:tc>
        <w:tc>
          <w:tcPr>
            <w:tcW w:w="7515" w:type="dxa"/>
          </w:tcPr>
          <w:p>
            <w:pPr>
              <w:pStyle w:val="TableParagraph"/>
              <w:spacing w:line="273" w:lineRule="auto" w:before="54"/>
              <w:ind w:left="126" w:right="30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、吗啡、大麻、可卡因以及国家规定管制的其它能够使人形成瘾癖的麻醉药品和精神药</w:t>
            </w:r>
            <w:r>
              <w:rPr>
                <w:spacing w:val="-10"/>
                <w:sz w:val="21"/>
              </w:rPr>
              <w:t>品，但不包括由医生开具并遵医嘱使用的用于治疗疾病但含有毒品成分的处方药品。</w:t>
            </w:r>
          </w:p>
        </w:tc>
      </w:tr>
      <w:tr>
        <w:trPr>
          <w:trHeight w:val="1065" w:hRule="atLeast"/>
        </w:trPr>
        <w:tc>
          <w:tcPr>
            <w:tcW w:w="781" w:type="dxa"/>
          </w:tcPr>
          <w:p>
            <w:pPr>
              <w:pStyle w:val="TableParagraph"/>
              <w:spacing w:line="342" w:lineRule="exact"/>
              <w:ind w:left="200"/>
              <w:rPr>
                <w:rFonts w:ascii="微软雅黑"/>
                <w:b/>
                <w:sz w:val="21"/>
              </w:rPr>
            </w:pPr>
            <w:r>
              <w:rPr>
                <w:rFonts w:ascii="微软雅黑"/>
                <w:b/>
                <w:sz w:val="21"/>
              </w:rPr>
              <w:t>7.8</w:t>
            </w:r>
          </w:p>
        </w:tc>
        <w:tc>
          <w:tcPr>
            <w:tcW w:w="1974" w:type="dxa"/>
          </w:tcPr>
          <w:p>
            <w:pPr>
              <w:pStyle w:val="TableParagraph"/>
              <w:spacing w:line="342" w:lineRule="exact"/>
              <w:ind w:left="158"/>
              <w:rPr>
                <w:rFonts w:ascii="微软雅黑" w:eastAsia="微软雅黑" w:hint="eastAsia"/>
                <w:b/>
                <w:sz w:val="21"/>
              </w:rPr>
            </w:pPr>
            <w:r>
              <w:rPr>
                <w:rFonts w:ascii="微软雅黑" w:eastAsia="微软雅黑" w:hint="eastAsia"/>
                <w:b/>
                <w:sz w:val="21"/>
              </w:rPr>
              <w:t>酒后驾驶</w:t>
            </w:r>
          </w:p>
        </w:tc>
        <w:tc>
          <w:tcPr>
            <w:tcW w:w="7515" w:type="dxa"/>
          </w:tcPr>
          <w:p>
            <w:pPr>
              <w:pStyle w:val="TableParagraph"/>
              <w:spacing w:line="273" w:lineRule="auto" w:before="41"/>
              <w:ind w:left="126" w:right="303"/>
              <w:jc w:val="both"/>
              <w:rPr>
                <w:sz w:val="21"/>
              </w:rPr>
            </w:pPr>
            <w:r>
              <w:rPr>
                <w:spacing w:val="-10"/>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2334" w:hRule="atLeast"/>
        </w:trPr>
        <w:tc>
          <w:tcPr>
            <w:tcW w:w="781" w:type="dxa"/>
          </w:tcPr>
          <w:p>
            <w:pPr>
              <w:pStyle w:val="TableParagraph"/>
              <w:spacing w:line="349" w:lineRule="exact"/>
              <w:ind w:left="200"/>
              <w:rPr>
                <w:rFonts w:ascii="微软雅黑"/>
                <w:b/>
                <w:sz w:val="21"/>
              </w:rPr>
            </w:pPr>
            <w:r>
              <w:rPr>
                <w:rFonts w:ascii="微软雅黑"/>
                <w:b/>
                <w:sz w:val="21"/>
              </w:rPr>
              <w:t>7.9</w:t>
            </w:r>
          </w:p>
        </w:tc>
        <w:tc>
          <w:tcPr>
            <w:tcW w:w="1974" w:type="dxa"/>
          </w:tcPr>
          <w:p>
            <w:pPr>
              <w:pStyle w:val="TableParagraph"/>
              <w:spacing w:line="206" w:lineRule="auto" w:before="37"/>
              <w:ind w:left="158" w:right="123"/>
              <w:rPr>
                <w:rFonts w:ascii="微软雅黑" w:eastAsia="微软雅黑" w:hint="eastAsia"/>
                <w:b/>
                <w:sz w:val="21"/>
              </w:rPr>
            </w:pPr>
            <w:r>
              <w:rPr>
                <w:rFonts w:ascii="微软雅黑" w:eastAsia="微软雅黑" w:hint="eastAsia"/>
                <w:b/>
                <w:sz w:val="21"/>
              </w:rPr>
              <w:t>无合法有效驾驶证驾驶</w:t>
            </w:r>
          </w:p>
        </w:tc>
        <w:tc>
          <w:tcPr>
            <w:tcW w:w="7515" w:type="dxa"/>
          </w:tcPr>
          <w:p>
            <w:pPr>
              <w:pStyle w:val="TableParagraph"/>
              <w:spacing w:before="48"/>
              <w:ind w:left="126"/>
              <w:rPr>
                <w:sz w:val="21"/>
              </w:rPr>
            </w:pPr>
            <w:r>
              <w:rPr>
                <w:sz w:val="21"/>
              </w:rPr>
              <w:t>指下列情形之一：</w:t>
            </w:r>
          </w:p>
          <w:p>
            <w:pPr>
              <w:pStyle w:val="TableParagraph"/>
              <w:spacing w:before="36"/>
              <w:ind w:left="126"/>
              <w:rPr>
                <w:sz w:val="21"/>
              </w:rPr>
            </w:pPr>
            <w:r>
              <w:rPr>
                <w:sz w:val="21"/>
              </w:rPr>
              <w:t>（1）没有取得驾驶资格；</w:t>
            </w:r>
          </w:p>
          <w:p>
            <w:pPr>
              <w:pStyle w:val="TableParagraph"/>
              <w:spacing w:before="36"/>
              <w:ind w:left="126"/>
              <w:rPr>
                <w:sz w:val="21"/>
              </w:rPr>
            </w:pPr>
            <w:r>
              <w:rPr>
                <w:sz w:val="21"/>
              </w:rPr>
              <w:t>（2）驾驶与驾驶证准驾车型不相符合的车辆；</w:t>
            </w:r>
          </w:p>
          <w:p>
            <w:pPr>
              <w:pStyle w:val="TableParagraph"/>
              <w:spacing w:line="273" w:lineRule="auto" w:before="36"/>
              <w:ind w:left="126" w:right="345"/>
              <w:rPr>
                <w:sz w:val="21"/>
              </w:rPr>
            </w:pPr>
            <w:r>
              <w:rPr>
                <w:sz w:val="21"/>
              </w:rPr>
              <w:t>（3）持审验不合格的驾驶证驾驶、未经公安交通管理部门同意，持未审验的驾驶证驾驶；</w:t>
            </w:r>
          </w:p>
          <w:p>
            <w:pPr>
              <w:pStyle w:val="TableParagraph"/>
              <w:spacing w:line="273" w:lineRule="auto" w:before="7"/>
              <w:ind w:left="126" w:right="345"/>
              <w:rPr>
                <w:sz w:val="21"/>
              </w:rPr>
            </w:pPr>
            <w:r>
              <w:rPr>
                <w:sz w:val="21"/>
              </w:rPr>
              <w:t>（4）持学习驾驶证学习驾车时，无教练员随车指导，或不按指定时间、路线学习驾车。</w:t>
            </w:r>
          </w:p>
        </w:tc>
      </w:tr>
      <w:tr>
        <w:trPr>
          <w:trHeight w:val="749" w:hRule="atLeast"/>
        </w:trPr>
        <w:tc>
          <w:tcPr>
            <w:tcW w:w="781" w:type="dxa"/>
          </w:tcPr>
          <w:p>
            <w:pPr>
              <w:pStyle w:val="TableParagraph"/>
              <w:spacing w:line="362" w:lineRule="exact"/>
              <w:ind w:left="200"/>
              <w:rPr>
                <w:rFonts w:ascii="微软雅黑"/>
                <w:b/>
                <w:sz w:val="21"/>
              </w:rPr>
            </w:pPr>
            <w:r>
              <w:rPr>
                <w:rFonts w:ascii="微软雅黑"/>
                <w:b/>
                <w:sz w:val="21"/>
              </w:rPr>
              <w:t>7.10</w:t>
            </w:r>
          </w:p>
        </w:tc>
        <w:tc>
          <w:tcPr>
            <w:tcW w:w="1974" w:type="dxa"/>
          </w:tcPr>
          <w:p>
            <w:pPr>
              <w:pStyle w:val="TableParagraph"/>
              <w:spacing w:line="362" w:lineRule="exact"/>
              <w:ind w:left="158"/>
              <w:rPr>
                <w:rFonts w:ascii="微软雅黑" w:eastAsia="微软雅黑" w:hint="eastAsia"/>
                <w:b/>
                <w:sz w:val="21"/>
              </w:rPr>
            </w:pPr>
            <w:r>
              <w:rPr>
                <w:rFonts w:ascii="微软雅黑" w:eastAsia="微软雅黑" w:hint="eastAsia"/>
                <w:b/>
                <w:sz w:val="21"/>
              </w:rPr>
              <w:t>无有效行驶证</w:t>
            </w:r>
          </w:p>
        </w:tc>
        <w:tc>
          <w:tcPr>
            <w:tcW w:w="7515" w:type="dxa"/>
          </w:tcPr>
          <w:p>
            <w:pPr>
              <w:pStyle w:val="TableParagraph"/>
              <w:spacing w:before="62"/>
              <w:ind w:left="126"/>
              <w:rPr>
                <w:sz w:val="21"/>
              </w:rPr>
            </w:pPr>
            <w:r>
              <w:rPr>
                <w:sz w:val="21"/>
              </w:rPr>
              <w:t>指下列情形之一：</w:t>
            </w:r>
          </w:p>
          <w:p>
            <w:pPr>
              <w:pStyle w:val="TableParagraph"/>
              <w:spacing w:before="37"/>
              <w:ind w:left="126"/>
              <w:rPr>
                <w:sz w:val="21"/>
              </w:rPr>
            </w:pPr>
            <w:r>
              <w:rPr>
                <w:sz w:val="21"/>
              </w:rPr>
              <w:t>（1）没有机动车行驶证；</w:t>
            </w:r>
          </w:p>
        </w:tc>
      </w:tr>
      <w:tr>
        <w:trPr>
          <w:trHeight w:val="765" w:hRule="atLeast"/>
        </w:trPr>
        <w:tc>
          <w:tcPr>
            <w:tcW w:w="781"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7515" w:type="dxa"/>
          </w:tcPr>
          <w:p>
            <w:pPr>
              <w:pStyle w:val="TableParagraph"/>
              <w:spacing w:before="23"/>
              <w:ind w:left="126"/>
              <w:rPr>
                <w:sz w:val="21"/>
              </w:rPr>
            </w:pPr>
            <w:r>
              <w:rPr>
                <w:sz w:val="21"/>
              </w:rPr>
              <w:t>（2）机动车被依法注销登记的；</w:t>
            </w:r>
          </w:p>
          <w:p>
            <w:pPr>
              <w:pStyle w:val="TableParagraph"/>
              <w:spacing w:before="36"/>
              <w:ind w:left="126"/>
              <w:rPr>
                <w:sz w:val="21"/>
              </w:rPr>
            </w:pPr>
            <w:r>
              <w:rPr>
                <w:sz w:val="21"/>
              </w:rPr>
              <w:t>（3）未依法按时进行或通过机动车安全技术检验。</w:t>
            </w:r>
          </w:p>
        </w:tc>
      </w:tr>
      <w:tr>
        <w:trPr>
          <w:trHeight w:val="517" w:hRule="atLeast"/>
        </w:trPr>
        <w:tc>
          <w:tcPr>
            <w:tcW w:w="781" w:type="dxa"/>
          </w:tcPr>
          <w:p>
            <w:pPr>
              <w:pStyle w:val="TableParagraph"/>
              <w:spacing w:before="16"/>
              <w:ind w:left="200"/>
              <w:rPr>
                <w:rFonts w:ascii="微软雅黑"/>
                <w:b/>
                <w:sz w:val="21"/>
              </w:rPr>
            </w:pPr>
            <w:r>
              <w:rPr>
                <w:rFonts w:ascii="微软雅黑"/>
                <w:b/>
                <w:sz w:val="21"/>
              </w:rPr>
              <w:t>7.11</w:t>
            </w:r>
          </w:p>
        </w:tc>
        <w:tc>
          <w:tcPr>
            <w:tcW w:w="1974" w:type="dxa"/>
          </w:tcPr>
          <w:p>
            <w:pPr>
              <w:pStyle w:val="TableParagraph"/>
              <w:spacing w:before="16"/>
              <w:ind w:left="158"/>
              <w:rPr>
                <w:rFonts w:ascii="微软雅黑" w:eastAsia="微软雅黑" w:hint="eastAsia"/>
                <w:b/>
                <w:sz w:val="21"/>
              </w:rPr>
            </w:pPr>
            <w:r>
              <w:rPr>
                <w:rFonts w:ascii="微软雅黑" w:eastAsia="微软雅黑" w:hint="eastAsia"/>
                <w:b/>
                <w:sz w:val="21"/>
              </w:rPr>
              <w:t>潜水</w:t>
            </w:r>
          </w:p>
        </w:tc>
        <w:tc>
          <w:tcPr>
            <w:tcW w:w="7515" w:type="dxa"/>
          </w:tcPr>
          <w:p>
            <w:pPr>
              <w:pStyle w:val="TableParagraph"/>
              <w:spacing w:before="78"/>
              <w:ind w:left="126"/>
              <w:rPr>
                <w:sz w:val="21"/>
              </w:rPr>
            </w:pPr>
            <w:r>
              <w:rPr>
                <w:sz w:val="21"/>
              </w:rPr>
              <w:t>指以辅助呼吸器材在江、河、湖、海、水库、运河等水域进行的水下运动。</w:t>
            </w:r>
          </w:p>
        </w:tc>
      </w:tr>
      <w:tr>
        <w:trPr>
          <w:trHeight w:val="565" w:hRule="atLeast"/>
        </w:trPr>
        <w:tc>
          <w:tcPr>
            <w:tcW w:w="781" w:type="dxa"/>
          </w:tcPr>
          <w:p>
            <w:pPr>
              <w:pStyle w:val="TableParagraph"/>
              <w:spacing w:before="24"/>
              <w:ind w:left="200"/>
              <w:rPr>
                <w:rFonts w:ascii="微软雅黑"/>
                <w:b/>
                <w:sz w:val="21"/>
              </w:rPr>
            </w:pPr>
            <w:r>
              <w:rPr>
                <w:rFonts w:ascii="微软雅黑"/>
                <w:b/>
                <w:sz w:val="21"/>
              </w:rPr>
              <w:t>7.12</w:t>
            </w:r>
          </w:p>
        </w:tc>
        <w:tc>
          <w:tcPr>
            <w:tcW w:w="1974" w:type="dxa"/>
          </w:tcPr>
          <w:p>
            <w:pPr>
              <w:pStyle w:val="TableParagraph"/>
              <w:spacing w:before="24"/>
              <w:ind w:left="158"/>
              <w:rPr>
                <w:rFonts w:ascii="微软雅黑" w:eastAsia="微软雅黑" w:hint="eastAsia"/>
                <w:b/>
                <w:sz w:val="21"/>
              </w:rPr>
            </w:pPr>
            <w:r>
              <w:rPr>
                <w:rFonts w:ascii="微软雅黑" w:eastAsia="微软雅黑" w:hint="eastAsia"/>
                <w:b/>
                <w:sz w:val="21"/>
              </w:rPr>
              <w:t>攀岩</w:t>
            </w:r>
          </w:p>
        </w:tc>
        <w:tc>
          <w:tcPr>
            <w:tcW w:w="7515" w:type="dxa"/>
          </w:tcPr>
          <w:p>
            <w:pPr>
              <w:pStyle w:val="TableParagraph"/>
              <w:spacing w:before="87"/>
              <w:ind w:left="126"/>
              <w:rPr>
                <w:sz w:val="21"/>
              </w:rPr>
            </w:pPr>
            <w:r>
              <w:rPr>
                <w:sz w:val="21"/>
              </w:rPr>
              <w:t>指攀登悬崖、楼宇外墙、人造悬崖、冰崖、冰山等运动。</w:t>
            </w:r>
          </w:p>
        </w:tc>
      </w:tr>
      <w:tr>
        <w:trPr>
          <w:trHeight w:val="1128" w:hRule="atLeast"/>
        </w:trPr>
        <w:tc>
          <w:tcPr>
            <w:tcW w:w="781" w:type="dxa"/>
          </w:tcPr>
          <w:p>
            <w:pPr>
              <w:pStyle w:val="TableParagraph"/>
              <w:spacing w:before="64"/>
              <w:ind w:left="200"/>
              <w:rPr>
                <w:rFonts w:ascii="微软雅黑"/>
                <w:b/>
                <w:sz w:val="21"/>
              </w:rPr>
            </w:pPr>
            <w:r>
              <w:rPr>
                <w:rFonts w:ascii="微软雅黑"/>
                <w:b/>
                <w:sz w:val="21"/>
              </w:rPr>
              <w:t>7.13</w:t>
            </w:r>
          </w:p>
        </w:tc>
        <w:tc>
          <w:tcPr>
            <w:tcW w:w="1974" w:type="dxa"/>
          </w:tcPr>
          <w:p>
            <w:pPr>
              <w:pStyle w:val="TableParagraph"/>
              <w:spacing w:before="64"/>
              <w:ind w:left="158"/>
              <w:rPr>
                <w:rFonts w:ascii="微软雅黑" w:eastAsia="微软雅黑" w:hint="eastAsia"/>
                <w:b/>
                <w:sz w:val="21"/>
              </w:rPr>
            </w:pPr>
            <w:r>
              <w:rPr>
                <w:rFonts w:ascii="微软雅黑" w:eastAsia="微软雅黑" w:hint="eastAsia"/>
                <w:b/>
                <w:sz w:val="21"/>
              </w:rPr>
              <w:t>探险</w:t>
            </w:r>
          </w:p>
        </w:tc>
        <w:tc>
          <w:tcPr>
            <w:tcW w:w="7515" w:type="dxa"/>
          </w:tcPr>
          <w:p>
            <w:pPr>
              <w:pStyle w:val="TableParagraph"/>
              <w:spacing w:line="273" w:lineRule="auto" w:before="126"/>
              <w:ind w:left="126" w:right="303"/>
              <w:jc w:val="both"/>
              <w:rPr>
                <w:sz w:val="21"/>
              </w:rPr>
            </w:pPr>
            <w:r>
              <w:rPr>
                <w:spacing w:val="-5"/>
                <w:sz w:val="21"/>
              </w:rPr>
              <w:t>指明知在某种特定的自然条件下有失去生命或使身体受到伤害的危险，而故意</w:t>
            </w:r>
            <w:r>
              <w:rPr>
                <w:spacing w:val="-9"/>
                <w:sz w:val="21"/>
              </w:rPr>
              <w:t>使自己置身其中的行为。如江河漂流、徒步穿越沙漠或人迹罕见的原始森林等活动。</w:t>
            </w:r>
          </w:p>
        </w:tc>
      </w:tr>
      <w:tr>
        <w:trPr>
          <w:trHeight w:val="619" w:hRule="atLeast"/>
        </w:trPr>
        <w:tc>
          <w:tcPr>
            <w:tcW w:w="781" w:type="dxa"/>
          </w:tcPr>
          <w:p>
            <w:pPr>
              <w:pStyle w:val="TableParagraph"/>
              <w:spacing w:line="326" w:lineRule="exact"/>
              <w:ind w:left="200"/>
              <w:rPr>
                <w:rFonts w:ascii="微软雅黑"/>
                <w:b/>
                <w:sz w:val="21"/>
              </w:rPr>
            </w:pPr>
            <w:r>
              <w:rPr>
                <w:rFonts w:ascii="微软雅黑"/>
                <w:b/>
                <w:sz w:val="21"/>
              </w:rPr>
              <w:t>7.14</w:t>
            </w:r>
          </w:p>
        </w:tc>
        <w:tc>
          <w:tcPr>
            <w:tcW w:w="1974" w:type="dxa"/>
          </w:tcPr>
          <w:p>
            <w:pPr>
              <w:pStyle w:val="TableParagraph"/>
              <w:spacing w:line="326" w:lineRule="exact"/>
              <w:ind w:left="158"/>
              <w:rPr>
                <w:rFonts w:ascii="微软雅黑" w:eastAsia="微软雅黑" w:hint="eastAsia"/>
                <w:b/>
                <w:sz w:val="21"/>
              </w:rPr>
            </w:pPr>
            <w:r>
              <w:rPr>
                <w:rFonts w:ascii="微软雅黑" w:eastAsia="微软雅黑" w:hint="eastAsia"/>
                <w:b/>
                <w:sz w:val="21"/>
              </w:rPr>
              <w:t>武术比赛</w:t>
            </w:r>
          </w:p>
        </w:tc>
        <w:tc>
          <w:tcPr>
            <w:tcW w:w="7515" w:type="dxa"/>
          </w:tcPr>
          <w:p>
            <w:pPr>
              <w:pStyle w:val="TableParagraph"/>
              <w:spacing w:line="312" w:lineRule="exact" w:before="21"/>
              <w:ind w:left="126" w:right="303"/>
              <w:rPr>
                <w:sz w:val="21"/>
              </w:rPr>
            </w:pPr>
            <w:r>
              <w:rPr>
                <w:spacing w:val="-8"/>
                <w:sz w:val="21"/>
              </w:rPr>
              <w:t>指两人或两人以上对抗柔道、空手道、跆拳道、散打、拳击等各种拳术及各种</w:t>
            </w:r>
            <w:r>
              <w:rPr>
                <w:spacing w:val="-5"/>
                <w:sz w:val="21"/>
              </w:rPr>
              <w:t>使用器械的对抗性比赛。</w:t>
            </w:r>
          </w:p>
        </w:tc>
      </w:tr>
    </w:tbl>
    <w:p>
      <w:pPr>
        <w:spacing w:after="0" w:line="312" w:lineRule="exact"/>
        <w:rPr>
          <w:sz w:val="21"/>
        </w:rPr>
        <w:sectPr>
          <w:pgSz w:w="11910" w:h="16840"/>
          <w:pgMar w:header="0" w:footer="375" w:top="1340" w:bottom="560" w:left="76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74"/>
        <w:gridCol w:w="7515"/>
      </w:tblGrid>
      <w:tr>
        <w:trPr>
          <w:trHeight w:val="386" w:hRule="atLeast"/>
        </w:trPr>
        <w:tc>
          <w:tcPr>
            <w:tcW w:w="781" w:type="dxa"/>
          </w:tcPr>
          <w:p>
            <w:pPr>
              <w:pStyle w:val="TableParagraph"/>
              <w:spacing w:line="230" w:lineRule="exact"/>
              <w:ind w:left="166" w:right="125"/>
              <w:jc w:val="center"/>
              <w:rPr>
                <w:rFonts w:ascii="微软雅黑"/>
                <w:b/>
                <w:sz w:val="21"/>
              </w:rPr>
            </w:pPr>
            <w:r>
              <w:rPr>
                <w:rFonts w:ascii="微软雅黑"/>
                <w:b/>
                <w:sz w:val="21"/>
              </w:rPr>
              <w:t>7.15</w:t>
            </w:r>
          </w:p>
        </w:tc>
        <w:tc>
          <w:tcPr>
            <w:tcW w:w="1974" w:type="dxa"/>
          </w:tcPr>
          <w:p>
            <w:pPr>
              <w:pStyle w:val="TableParagraph"/>
              <w:spacing w:line="230" w:lineRule="exact"/>
              <w:ind w:left="158"/>
              <w:rPr>
                <w:rFonts w:ascii="微软雅黑" w:eastAsia="微软雅黑" w:hint="eastAsia"/>
                <w:b/>
                <w:sz w:val="21"/>
              </w:rPr>
            </w:pPr>
            <w:r>
              <w:rPr>
                <w:rFonts w:ascii="微软雅黑" w:eastAsia="微软雅黑" w:hint="eastAsia"/>
                <w:b/>
                <w:sz w:val="21"/>
              </w:rPr>
              <w:t>特技表演</w:t>
            </w:r>
          </w:p>
        </w:tc>
        <w:tc>
          <w:tcPr>
            <w:tcW w:w="7515" w:type="dxa"/>
          </w:tcPr>
          <w:p>
            <w:pPr>
              <w:pStyle w:val="TableParagraph"/>
              <w:spacing w:line="205" w:lineRule="exact"/>
              <w:ind w:left="126"/>
              <w:rPr>
                <w:sz w:val="21"/>
              </w:rPr>
            </w:pPr>
            <w:r>
              <w:rPr>
                <w:sz w:val="21"/>
              </w:rPr>
              <w:t>指从事马术、杂技、驯兽等特殊技能活动。</w:t>
            </w:r>
          </w:p>
        </w:tc>
      </w:tr>
      <w:tr>
        <w:trPr>
          <w:trHeight w:val="857" w:hRule="atLeast"/>
        </w:trPr>
        <w:tc>
          <w:tcPr>
            <w:tcW w:w="781" w:type="dxa"/>
          </w:tcPr>
          <w:p>
            <w:pPr>
              <w:pStyle w:val="TableParagraph"/>
              <w:spacing w:before="43"/>
              <w:ind w:left="166" w:right="125"/>
              <w:jc w:val="center"/>
              <w:rPr>
                <w:rFonts w:ascii="微软雅黑"/>
                <w:b/>
                <w:sz w:val="21"/>
              </w:rPr>
            </w:pPr>
            <w:r>
              <w:rPr>
                <w:rFonts w:ascii="微软雅黑"/>
                <w:b/>
                <w:sz w:val="21"/>
              </w:rPr>
              <w:t>7.16</w:t>
            </w:r>
          </w:p>
        </w:tc>
        <w:tc>
          <w:tcPr>
            <w:tcW w:w="1974" w:type="dxa"/>
          </w:tcPr>
          <w:p>
            <w:pPr>
              <w:pStyle w:val="TableParagraph"/>
              <w:spacing w:before="43"/>
              <w:ind w:left="158"/>
              <w:rPr>
                <w:rFonts w:ascii="微软雅黑" w:eastAsia="微软雅黑" w:hint="eastAsia"/>
                <w:b/>
                <w:sz w:val="21"/>
              </w:rPr>
            </w:pPr>
            <w:r>
              <w:rPr>
                <w:rFonts w:ascii="微软雅黑" w:eastAsia="微软雅黑" w:hint="eastAsia"/>
                <w:b/>
                <w:sz w:val="21"/>
              </w:rPr>
              <w:t>遗传性疾病</w:t>
            </w:r>
          </w:p>
        </w:tc>
        <w:tc>
          <w:tcPr>
            <w:tcW w:w="7515" w:type="dxa"/>
          </w:tcPr>
          <w:p>
            <w:pPr>
              <w:pStyle w:val="TableParagraph"/>
              <w:spacing w:line="273" w:lineRule="auto" w:before="105"/>
              <w:ind w:left="126" w:right="235"/>
              <w:rPr>
                <w:sz w:val="21"/>
              </w:rPr>
            </w:pPr>
            <w:r>
              <w:rPr>
                <w:sz w:val="21"/>
              </w:rPr>
              <w:t>指生殖细胞或受精卵的遗传物质（染色体和基因）发生突变或畸变所引起的疾病，通常具有由亲代传至后代的垂直传递的特征。</w:t>
            </w:r>
          </w:p>
        </w:tc>
      </w:tr>
      <w:tr>
        <w:trPr>
          <w:trHeight w:val="1144" w:hRule="atLeast"/>
        </w:trPr>
        <w:tc>
          <w:tcPr>
            <w:tcW w:w="781" w:type="dxa"/>
          </w:tcPr>
          <w:p>
            <w:pPr>
              <w:pStyle w:val="TableParagraph"/>
              <w:spacing w:before="26"/>
              <w:ind w:left="166" w:right="125"/>
              <w:jc w:val="center"/>
              <w:rPr>
                <w:rFonts w:ascii="微软雅黑"/>
                <w:b/>
                <w:sz w:val="21"/>
              </w:rPr>
            </w:pPr>
            <w:r>
              <w:rPr>
                <w:rFonts w:ascii="微软雅黑"/>
                <w:b/>
                <w:sz w:val="21"/>
              </w:rPr>
              <w:t>7.17</w:t>
            </w:r>
          </w:p>
        </w:tc>
        <w:tc>
          <w:tcPr>
            <w:tcW w:w="1974" w:type="dxa"/>
          </w:tcPr>
          <w:p>
            <w:pPr>
              <w:pStyle w:val="TableParagraph"/>
              <w:spacing w:line="206" w:lineRule="auto" w:before="76"/>
              <w:ind w:left="158" w:right="123"/>
              <w:rPr>
                <w:rFonts w:ascii="微软雅黑" w:eastAsia="微软雅黑" w:hint="eastAsia"/>
                <w:b/>
                <w:sz w:val="21"/>
              </w:rPr>
            </w:pPr>
            <w:r>
              <w:rPr>
                <w:rFonts w:ascii="微软雅黑" w:eastAsia="微软雅黑" w:hint="eastAsia"/>
                <w:b/>
                <w:sz w:val="21"/>
              </w:rPr>
              <w:t>先天性畸形、变形或染色体异常</w:t>
            </w:r>
          </w:p>
        </w:tc>
        <w:tc>
          <w:tcPr>
            <w:tcW w:w="7515" w:type="dxa"/>
          </w:tcPr>
          <w:p>
            <w:pPr>
              <w:pStyle w:val="TableParagraph"/>
              <w:spacing w:line="273" w:lineRule="auto" w:before="88"/>
              <w:ind w:left="126" w:right="197"/>
              <w:rPr>
                <w:sz w:val="21"/>
              </w:rPr>
            </w:pPr>
            <w:r>
              <w:rPr>
                <w:spacing w:val="-7"/>
                <w:sz w:val="21"/>
              </w:rPr>
              <w:t>指被保险人出生时就具有的畸形、变形或染色体异常。先天性畸形、变形和染</w:t>
            </w:r>
            <w:r>
              <w:rPr>
                <w:spacing w:val="-8"/>
                <w:sz w:val="21"/>
              </w:rPr>
              <w:t>色体异常依照世界卫生组织《疾病和有关健康问题的国际统计分类</w:t>
            </w:r>
            <w:r>
              <w:rPr>
                <w:spacing w:val="-137"/>
                <w:sz w:val="21"/>
              </w:rPr>
              <w:t>》</w:t>
            </w:r>
            <w:r>
              <w:rPr>
                <w:sz w:val="21"/>
              </w:rPr>
              <w:t>（ICD-10） 确定。</w:t>
            </w:r>
          </w:p>
        </w:tc>
      </w:tr>
      <w:tr>
        <w:trPr>
          <w:trHeight w:val="2393" w:hRule="atLeast"/>
        </w:trPr>
        <w:tc>
          <w:tcPr>
            <w:tcW w:w="781" w:type="dxa"/>
          </w:tcPr>
          <w:p>
            <w:pPr>
              <w:pStyle w:val="TableParagraph"/>
              <w:spacing w:before="18"/>
              <w:ind w:left="166" w:right="125"/>
              <w:jc w:val="center"/>
              <w:rPr>
                <w:rFonts w:ascii="微软雅黑"/>
                <w:b/>
                <w:sz w:val="21"/>
              </w:rPr>
            </w:pPr>
            <w:r>
              <w:rPr>
                <w:rFonts w:ascii="微软雅黑"/>
                <w:b/>
                <w:sz w:val="21"/>
              </w:rPr>
              <w:t>7.18</w:t>
            </w:r>
          </w:p>
        </w:tc>
        <w:tc>
          <w:tcPr>
            <w:tcW w:w="1974" w:type="dxa"/>
          </w:tcPr>
          <w:p>
            <w:pPr>
              <w:pStyle w:val="TableParagraph"/>
              <w:spacing w:before="18"/>
              <w:ind w:left="158"/>
              <w:rPr>
                <w:rFonts w:ascii="微软雅黑" w:eastAsia="微软雅黑" w:hint="eastAsia"/>
                <w:b/>
                <w:sz w:val="21"/>
              </w:rPr>
            </w:pPr>
            <w:r>
              <w:rPr>
                <w:rFonts w:ascii="微软雅黑" w:eastAsia="微软雅黑" w:hint="eastAsia"/>
                <w:b/>
                <w:sz w:val="21"/>
              </w:rPr>
              <w:t>现金价值</w:t>
            </w:r>
          </w:p>
        </w:tc>
        <w:tc>
          <w:tcPr>
            <w:tcW w:w="7515" w:type="dxa"/>
          </w:tcPr>
          <w:p>
            <w:pPr>
              <w:pStyle w:val="TableParagraph"/>
              <w:spacing w:line="273" w:lineRule="auto" w:before="81"/>
              <w:ind w:left="126" w:right="305"/>
              <w:rPr>
                <w:sz w:val="21"/>
              </w:rPr>
            </w:pPr>
            <w:r>
              <w:rPr>
                <w:spacing w:val="-7"/>
                <w:sz w:val="21"/>
              </w:rPr>
              <w:t>指保险单所具有的价值，通常体现为解除合同时，根据精算原理计算的，由本</w:t>
            </w:r>
            <w:r>
              <w:rPr>
                <w:spacing w:val="-5"/>
                <w:sz w:val="21"/>
              </w:rPr>
              <w:t>公司退还的那部分金额。</w:t>
            </w:r>
          </w:p>
          <w:p>
            <w:pPr>
              <w:pStyle w:val="TableParagraph"/>
              <w:spacing w:before="7"/>
              <w:ind w:left="126"/>
              <w:rPr>
                <w:sz w:val="21"/>
              </w:rPr>
            </w:pPr>
            <w:r>
              <w:rPr>
                <w:spacing w:val="-1"/>
                <w:w w:val="100"/>
                <w:sz w:val="21"/>
              </w:rPr>
              <w:t>现金价值</w:t>
            </w:r>
            <w:r>
              <w:rPr>
                <w:spacing w:val="-3"/>
                <w:w w:val="100"/>
                <w:sz w:val="21"/>
              </w:rPr>
              <w:t>＝</w:t>
            </w:r>
            <w:r>
              <w:rPr>
                <w:spacing w:val="-4"/>
                <w:w w:val="100"/>
                <w:sz w:val="21"/>
              </w:rPr>
              <w:t>净保费×</w:t>
            </w:r>
            <w:r>
              <w:rPr>
                <w:w w:val="100"/>
                <w:sz w:val="21"/>
              </w:rPr>
              <w:t>（1</w:t>
            </w:r>
            <w:r>
              <w:rPr>
                <w:spacing w:val="-3"/>
                <w:w w:val="100"/>
                <w:sz w:val="21"/>
              </w:rPr>
              <w:t>－保险经过日数÷保险期间的日数</w:t>
            </w:r>
            <w:r>
              <w:rPr>
                <w:spacing w:val="-106"/>
                <w:w w:val="100"/>
                <w:sz w:val="21"/>
              </w:rPr>
              <w:t>）</w:t>
            </w:r>
            <w:r>
              <w:rPr>
                <w:spacing w:val="-3"/>
                <w:w w:val="100"/>
                <w:sz w:val="21"/>
              </w:rPr>
              <w:t>，经过日数不足</w:t>
            </w:r>
            <w:r>
              <w:rPr>
                <w:spacing w:val="-52"/>
                <w:sz w:val="21"/>
              </w:rPr>
              <w:t> </w:t>
            </w:r>
            <w:r>
              <w:rPr>
                <w:w w:val="100"/>
                <w:sz w:val="21"/>
              </w:rPr>
              <w:t>1</w:t>
            </w:r>
          </w:p>
          <w:p>
            <w:pPr>
              <w:pStyle w:val="TableParagraph"/>
              <w:spacing w:before="37"/>
              <w:ind w:left="126"/>
              <w:rPr>
                <w:sz w:val="21"/>
              </w:rPr>
            </w:pPr>
            <w:r>
              <w:rPr>
                <w:sz w:val="21"/>
              </w:rPr>
              <w:t>日的按 1 日计算。</w:t>
            </w:r>
          </w:p>
          <w:p>
            <w:pPr>
              <w:pStyle w:val="TableParagraph"/>
              <w:spacing w:before="37"/>
              <w:ind w:left="126"/>
              <w:rPr>
                <w:sz w:val="21"/>
              </w:rPr>
            </w:pPr>
            <w:r>
              <w:rPr>
                <w:sz w:val="21"/>
              </w:rPr>
              <w:t>净保费指投保人所支付的保险费扣除每张保险单平均承担的本公司各项费用</w:t>
            </w:r>
          </w:p>
          <w:p>
            <w:pPr>
              <w:pStyle w:val="TableParagraph"/>
              <w:spacing w:line="273" w:lineRule="auto" w:before="37"/>
              <w:ind w:left="126" w:right="308"/>
              <w:rPr>
                <w:sz w:val="21"/>
              </w:rPr>
            </w:pPr>
            <w:r>
              <w:rPr>
                <w:sz w:val="21"/>
              </w:rPr>
              <w:t>（</w:t>
            </w:r>
            <w:r>
              <w:rPr>
                <w:spacing w:val="-7"/>
                <w:sz w:val="21"/>
              </w:rPr>
              <w:t>含营业费用、代理费、各项税金、保险保障基金等</w:t>
            </w:r>
            <w:r>
              <w:rPr>
                <w:spacing w:val="-15"/>
                <w:sz w:val="21"/>
              </w:rPr>
              <w:t>）</w:t>
            </w:r>
            <w:r>
              <w:rPr>
                <w:spacing w:val="-5"/>
                <w:sz w:val="21"/>
              </w:rPr>
              <w:t>后的余额，扣除部分占</w:t>
            </w:r>
            <w:r>
              <w:rPr>
                <w:spacing w:val="-10"/>
                <w:sz w:val="21"/>
              </w:rPr>
              <w:t>所交保险费的 </w:t>
            </w:r>
            <w:r>
              <w:rPr>
                <w:sz w:val="21"/>
              </w:rPr>
              <w:t>5%。</w:t>
            </w:r>
          </w:p>
        </w:tc>
      </w:tr>
      <w:tr>
        <w:trPr>
          <w:trHeight w:val="820" w:hRule="atLeast"/>
        </w:trPr>
        <w:tc>
          <w:tcPr>
            <w:tcW w:w="781" w:type="dxa"/>
          </w:tcPr>
          <w:p>
            <w:pPr>
              <w:pStyle w:val="TableParagraph"/>
              <w:spacing w:before="26"/>
              <w:ind w:left="166" w:right="125"/>
              <w:jc w:val="center"/>
              <w:rPr>
                <w:rFonts w:ascii="微软雅黑"/>
                <w:b/>
                <w:sz w:val="21"/>
              </w:rPr>
            </w:pPr>
            <w:r>
              <w:rPr>
                <w:rFonts w:ascii="微软雅黑"/>
                <w:b/>
                <w:sz w:val="21"/>
              </w:rPr>
              <w:t>7.19</w:t>
            </w:r>
          </w:p>
        </w:tc>
        <w:tc>
          <w:tcPr>
            <w:tcW w:w="1974" w:type="dxa"/>
          </w:tcPr>
          <w:p>
            <w:pPr>
              <w:pStyle w:val="TableParagraph"/>
              <w:spacing w:before="26"/>
              <w:ind w:left="158"/>
              <w:rPr>
                <w:rFonts w:ascii="微软雅黑" w:eastAsia="微软雅黑" w:hint="eastAsia"/>
                <w:b/>
                <w:sz w:val="21"/>
              </w:rPr>
            </w:pPr>
            <w:r>
              <w:rPr>
                <w:rFonts w:ascii="微软雅黑" w:eastAsia="微软雅黑" w:hint="eastAsia"/>
                <w:b/>
                <w:sz w:val="21"/>
              </w:rPr>
              <w:t>有效身份证件</w:t>
            </w:r>
          </w:p>
        </w:tc>
        <w:tc>
          <w:tcPr>
            <w:tcW w:w="7515" w:type="dxa"/>
          </w:tcPr>
          <w:p>
            <w:pPr>
              <w:pStyle w:val="TableParagraph"/>
              <w:spacing w:line="273" w:lineRule="auto" w:before="88"/>
              <w:ind w:left="126" w:right="303"/>
              <w:rPr>
                <w:sz w:val="21"/>
              </w:rPr>
            </w:pPr>
            <w:r>
              <w:rPr>
                <w:spacing w:val="-7"/>
                <w:sz w:val="21"/>
              </w:rPr>
              <w:t>指由政府主管部门规定的证明其身份的证件，如：居民身份证、户籍证明、按</w:t>
            </w:r>
            <w:r>
              <w:rPr>
                <w:spacing w:val="-5"/>
                <w:sz w:val="21"/>
              </w:rPr>
              <w:t>规定可使用的有效护照、军官证、武警警官证、士兵证等证件。</w:t>
            </w:r>
          </w:p>
        </w:tc>
      </w:tr>
      <w:tr>
        <w:trPr>
          <w:trHeight w:val="662" w:hRule="atLeast"/>
        </w:trPr>
        <w:tc>
          <w:tcPr>
            <w:tcW w:w="781" w:type="dxa"/>
          </w:tcPr>
          <w:p>
            <w:pPr>
              <w:pStyle w:val="TableParagraph"/>
              <w:spacing w:before="6"/>
              <w:ind w:left="166" w:right="125"/>
              <w:jc w:val="center"/>
              <w:rPr>
                <w:rFonts w:ascii="微软雅黑"/>
                <w:b/>
                <w:sz w:val="21"/>
              </w:rPr>
            </w:pPr>
            <w:r>
              <w:rPr>
                <w:rFonts w:ascii="微软雅黑"/>
                <w:b/>
                <w:sz w:val="21"/>
              </w:rPr>
              <w:t>7.20</w:t>
            </w:r>
          </w:p>
        </w:tc>
        <w:tc>
          <w:tcPr>
            <w:tcW w:w="1974" w:type="dxa"/>
          </w:tcPr>
          <w:p>
            <w:pPr>
              <w:pStyle w:val="TableParagraph"/>
              <w:spacing w:before="6"/>
              <w:ind w:left="158"/>
              <w:rPr>
                <w:rFonts w:ascii="微软雅黑" w:eastAsia="微软雅黑" w:hint="eastAsia"/>
                <w:b/>
                <w:sz w:val="21"/>
              </w:rPr>
            </w:pPr>
            <w:r>
              <w:rPr>
                <w:rFonts w:ascii="微软雅黑" w:eastAsia="微软雅黑" w:hint="eastAsia"/>
                <w:b/>
                <w:sz w:val="21"/>
              </w:rPr>
              <w:t>周岁</w:t>
            </w:r>
          </w:p>
        </w:tc>
        <w:tc>
          <w:tcPr>
            <w:tcW w:w="7515" w:type="dxa"/>
          </w:tcPr>
          <w:p>
            <w:pPr>
              <w:pStyle w:val="TableParagraph"/>
              <w:spacing w:line="310" w:lineRule="atLeast" w:before="34"/>
              <w:ind w:left="126" w:right="302"/>
              <w:rPr>
                <w:sz w:val="21"/>
              </w:rPr>
            </w:pPr>
            <w:r>
              <w:rPr>
                <w:spacing w:val="-6"/>
                <w:sz w:val="21"/>
              </w:rPr>
              <w:t>指按有效身份证件中记载的出生日期计算的年龄，自出生之日起为零周岁，每</w:t>
            </w:r>
            <w:r>
              <w:rPr>
                <w:spacing w:val="-21"/>
                <w:sz w:val="21"/>
              </w:rPr>
              <w:t>经过 </w:t>
            </w:r>
            <w:r>
              <w:rPr>
                <w:sz w:val="21"/>
              </w:rPr>
              <w:t>1</w:t>
            </w:r>
            <w:r>
              <w:rPr>
                <w:spacing w:val="-22"/>
                <w:sz w:val="21"/>
              </w:rPr>
              <w:t> 年增加 </w:t>
            </w:r>
            <w:r>
              <w:rPr>
                <w:sz w:val="21"/>
              </w:rPr>
              <w:t>1</w:t>
            </w:r>
            <w:r>
              <w:rPr>
                <w:spacing w:val="-17"/>
                <w:sz w:val="21"/>
              </w:rPr>
              <w:t> 周岁，不足 </w:t>
            </w:r>
            <w:r>
              <w:rPr>
                <w:sz w:val="21"/>
              </w:rPr>
              <w:t>1</w:t>
            </w:r>
            <w:r>
              <w:rPr>
                <w:spacing w:val="-10"/>
                <w:sz w:val="21"/>
              </w:rPr>
              <w:t> 年的不计。</w:t>
            </w:r>
          </w:p>
        </w:tc>
      </w:tr>
    </w:tbl>
    <w:sectPr>
      <w:pgSz w:w="11910" w:h="16840"/>
      <w:pgMar w:header="0" w:footer="375" w:top="1340" w:bottom="560" w:left="7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1.089996pt;margin-top:808.179993pt;width:13.15pt;height:12pt;mso-position-horizontal-relative:page;mso-position-vertical-relative:page;z-index:-44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2"/>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1" w:hanging="423"/>
      </w:pPr>
      <w:rPr>
        <w:rFonts w:hint="default"/>
      </w:rPr>
    </w:lvl>
    <w:lvl w:ilvl="2">
      <w:start w:val="0"/>
      <w:numFmt w:val="bullet"/>
      <w:lvlText w:val="•"/>
      <w:lvlJc w:val="left"/>
      <w:pPr>
        <w:ind w:left="1942" w:hanging="423"/>
      </w:pPr>
      <w:rPr>
        <w:rFonts w:hint="default"/>
      </w:rPr>
    </w:lvl>
    <w:lvl w:ilvl="3">
      <w:start w:val="0"/>
      <w:numFmt w:val="bullet"/>
      <w:lvlText w:val="•"/>
      <w:lvlJc w:val="left"/>
      <w:pPr>
        <w:ind w:left="2633" w:hanging="423"/>
      </w:pPr>
      <w:rPr>
        <w:rFonts w:hint="default"/>
      </w:rPr>
    </w:lvl>
    <w:lvl w:ilvl="4">
      <w:start w:val="0"/>
      <w:numFmt w:val="bullet"/>
      <w:lvlText w:val="•"/>
      <w:lvlJc w:val="left"/>
      <w:pPr>
        <w:ind w:left="3325" w:hanging="423"/>
      </w:pPr>
      <w:rPr>
        <w:rFonts w:hint="default"/>
      </w:rPr>
    </w:lvl>
    <w:lvl w:ilvl="5">
      <w:start w:val="0"/>
      <w:numFmt w:val="bullet"/>
      <w:lvlText w:val="•"/>
      <w:lvlJc w:val="left"/>
      <w:pPr>
        <w:ind w:left="4016" w:hanging="423"/>
      </w:pPr>
      <w:rPr>
        <w:rFonts w:hint="default"/>
      </w:rPr>
    </w:lvl>
    <w:lvl w:ilvl="6">
      <w:start w:val="0"/>
      <w:numFmt w:val="bullet"/>
      <w:lvlText w:val="•"/>
      <w:lvlJc w:val="left"/>
      <w:pPr>
        <w:ind w:left="4707" w:hanging="423"/>
      </w:pPr>
      <w:rPr>
        <w:rFonts w:hint="default"/>
      </w:rPr>
    </w:lvl>
    <w:lvl w:ilvl="7">
      <w:start w:val="0"/>
      <w:numFmt w:val="bullet"/>
      <w:lvlText w:val="•"/>
      <w:lvlJc w:val="left"/>
      <w:pPr>
        <w:ind w:left="5399" w:hanging="423"/>
      </w:pPr>
      <w:rPr>
        <w:rFonts w:hint="default"/>
      </w:rPr>
    </w:lvl>
    <w:lvl w:ilvl="8">
      <w:start w:val="0"/>
      <w:numFmt w:val="bullet"/>
      <w:lvlText w:val="•"/>
      <w:lvlJc w:val="left"/>
      <w:pPr>
        <w:ind w:left="6090" w:hanging="423"/>
      </w:pPr>
      <w:rPr>
        <w:rFonts w:hint="default"/>
      </w:rPr>
    </w:lvl>
  </w:abstractNum>
  <w:abstractNum w:abstractNumId="11">
    <w:multiLevelType w:val="hybridMultilevel"/>
    <w:lvl w:ilvl="0">
      <w:start w:val="1"/>
      <w:numFmt w:val="decimal"/>
      <w:lvlText w:val="（%1）"/>
      <w:lvlJc w:val="left"/>
      <w:pPr>
        <w:ind w:left="759" w:hanging="632"/>
        <w:jc w:val="left"/>
      </w:pPr>
      <w:rPr>
        <w:rFonts w:hint="default" w:ascii="宋体" w:hAnsi="宋体" w:eastAsia="宋体" w:cs="宋体"/>
        <w:w w:val="100"/>
        <w:sz w:val="21"/>
        <w:szCs w:val="21"/>
      </w:rPr>
    </w:lvl>
    <w:lvl w:ilvl="1">
      <w:start w:val="0"/>
      <w:numFmt w:val="bullet"/>
      <w:lvlText w:val="•"/>
      <w:lvlJc w:val="left"/>
      <w:pPr>
        <w:ind w:left="1431" w:hanging="632"/>
      </w:pPr>
      <w:rPr>
        <w:rFonts w:hint="default"/>
      </w:rPr>
    </w:lvl>
    <w:lvl w:ilvl="2">
      <w:start w:val="0"/>
      <w:numFmt w:val="bullet"/>
      <w:lvlText w:val="•"/>
      <w:lvlJc w:val="left"/>
      <w:pPr>
        <w:ind w:left="2102" w:hanging="632"/>
      </w:pPr>
      <w:rPr>
        <w:rFonts w:hint="default"/>
      </w:rPr>
    </w:lvl>
    <w:lvl w:ilvl="3">
      <w:start w:val="0"/>
      <w:numFmt w:val="bullet"/>
      <w:lvlText w:val="•"/>
      <w:lvlJc w:val="left"/>
      <w:pPr>
        <w:ind w:left="2773" w:hanging="632"/>
      </w:pPr>
      <w:rPr>
        <w:rFonts w:hint="default"/>
      </w:rPr>
    </w:lvl>
    <w:lvl w:ilvl="4">
      <w:start w:val="0"/>
      <w:numFmt w:val="bullet"/>
      <w:lvlText w:val="•"/>
      <w:lvlJc w:val="left"/>
      <w:pPr>
        <w:ind w:left="3445" w:hanging="632"/>
      </w:pPr>
      <w:rPr>
        <w:rFonts w:hint="default"/>
      </w:rPr>
    </w:lvl>
    <w:lvl w:ilvl="5">
      <w:start w:val="0"/>
      <w:numFmt w:val="bullet"/>
      <w:lvlText w:val="•"/>
      <w:lvlJc w:val="left"/>
      <w:pPr>
        <w:ind w:left="4116" w:hanging="632"/>
      </w:pPr>
      <w:rPr>
        <w:rFonts w:hint="default"/>
      </w:rPr>
    </w:lvl>
    <w:lvl w:ilvl="6">
      <w:start w:val="0"/>
      <w:numFmt w:val="bullet"/>
      <w:lvlText w:val="•"/>
      <w:lvlJc w:val="left"/>
      <w:pPr>
        <w:ind w:left="4787" w:hanging="632"/>
      </w:pPr>
      <w:rPr>
        <w:rFonts w:hint="default"/>
      </w:rPr>
    </w:lvl>
    <w:lvl w:ilvl="7">
      <w:start w:val="0"/>
      <w:numFmt w:val="bullet"/>
      <w:lvlText w:val="•"/>
      <w:lvlJc w:val="left"/>
      <w:pPr>
        <w:ind w:left="5459" w:hanging="632"/>
      </w:pPr>
      <w:rPr>
        <w:rFonts w:hint="default"/>
      </w:rPr>
    </w:lvl>
    <w:lvl w:ilvl="8">
      <w:start w:val="0"/>
      <w:numFmt w:val="bullet"/>
      <w:lvlText w:val="•"/>
      <w:lvlJc w:val="left"/>
      <w:pPr>
        <w:ind w:left="6130" w:hanging="632"/>
      </w:pPr>
      <w:rPr>
        <w:rFonts w:hint="default"/>
      </w:rPr>
    </w:lvl>
  </w:abstractNum>
  <w:abstractNum w:abstractNumId="10">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1" w:hanging="423"/>
      </w:pPr>
      <w:rPr>
        <w:rFonts w:hint="default"/>
      </w:rPr>
    </w:lvl>
    <w:lvl w:ilvl="2">
      <w:start w:val="0"/>
      <w:numFmt w:val="bullet"/>
      <w:lvlText w:val="•"/>
      <w:lvlJc w:val="left"/>
      <w:pPr>
        <w:ind w:left="1942" w:hanging="423"/>
      </w:pPr>
      <w:rPr>
        <w:rFonts w:hint="default"/>
      </w:rPr>
    </w:lvl>
    <w:lvl w:ilvl="3">
      <w:start w:val="0"/>
      <w:numFmt w:val="bullet"/>
      <w:lvlText w:val="•"/>
      <w:lvlJc w:val="left"/>
      <w:pPr>
        <w:ind w:left="2633" w:hanging="423"/>
      </w:pPr>
      <w:rPr>
        <w:rFonts w:hint="default"/>
      </w:rPr>
    </w:lvl>
    <w:lvl w:ilvl="4">
      <w:start w:val="0"/>
      <w:numFmt w:val="bullet"/>
      <w:lvlText w:val="•"/>
      <w:lvlJc w:val="left"/>
      <w:pPr>
        <w:ind w:left="3325" w:hanging="423"/>
      </w:pPr>
      <w:rPr>
        <w:rFonts w:hint="default"/>
      </w:rPr>
    </w:lvl>
    <w:lvl w:ilvl="5">
      <w:start w:val="0"/>
      <w:numFmt w:val="bullet"/>
      <w:lvlText w:val="•"/>
      <w:lvlJc w:val="left"/>
      <w:pPr>
        <w:ind w:left="4016" w:hanging="423"/>
      </w:pPr>
      <w:rPr>
        <w:rFonts w:hint="default"/>
      </w:rPr>
    </w:lvl>
    <w:lvl w:ilvl="6">
      <w:start w:val="0"/>
      <w:numFmt w:val="bullet"/>
      <w:lvlText w:val="•"/>
      <w:lvlJc w:val="left"/>
      <w:pPr>
        <w:ind w:left="4707" w:hanging="423"/>
      </w:pPr>
      <w:rPr>
        <w:rFonts w:hint="default"/>
      </w:rPr>
    </w:lvl>
    <w:lvl w:ilvl="7">
      <w:start w:val="0"/>
      <w:numFmt w:val="bullet"/>
      <w:lvlText w:val="•"/>
      <w:lvlJc w:val="left"/>
      <w:pPr>
        <w:ind w:left="5399" w:hanging="423"/>
      </w:pPr>
      <w:rPr>
        <w:rFonts w:hint="default"/>
      </w:rPr>
    </w:lvl>
    <w:lvl w:ilvl="8">
      <w:start w:val="0"/>
      <w:numFmt w:val="bullet"/>
      <w:lvlText w:val="•"/>
      <w:lvlJc w:val="left"/>
      <w:pPr>
        <w:ind w:left="6090" w:hanging="423"/>
      </w:pPr>
      <w:rPr>
        <w:rFonts w:hint="default"/>
      </w:rPr>
    </w:lvl>
  </w:abstractNum>
  <w:abstractNum w:abstractNumId="9">
    <w:multiLevelType w:val="hybridMultilevel"/>
    <w:lvl w:ilvl="0">
      <w:start w:val="1"/>
      <w:numFmt w:val="decimal"/>
      <w:lvlText w:val="(%1)"/>
      <w:lvlJc w:val="left"/>
      <w:pPr>
        <w:ind w:left="127" w:hanging="423"/>
        <w:jc w:val="left"/>
      </w:pPr>
      <w:rPr>
        <w:rFonts w:hint="default" w:ascii="宋体" w:hAnsi="宋体" w:eastAsia="宋体" w:cs="宋体"/>
        <w:w w:val="100"/>
        <w:sz w:val="21"/>
        <w:szCs w:val="21"/>
      </w:rPr>
    </w:lvl>
    <w:lvl w:ilvl="1">
      <w:start w:val="0"/>
      <w:numFmt w:val="bullet"/>
      <w:lvlText w:val="•"/>
      <w:lvlJc w:val="left"/>
      <w:pPr>
        <w:ind w:left="859" w:hanging="423"/>
      </w:pPr>
      <w:rPr>
        <w:rFonts w:hint="default"/>
      </w:rPr>
    </w:lvl>
    <w:lvl w:ilvl="2">
      <w:start w:val="0"/>
      <w:numFmt w:val="bullet"/>
      <w:lvlText w:val="•"/>
      <w:lvlJc w:val="left"/>
      <w:pPr>
        <w:ind w:left="1599" w:hanging="423"/>
      </w:pPr>
      <w:rPr>
        <w:rFonts w:hint="default"/>
      </w:rPr>
    </w:lvl>
    <w:lvl w:ilvl="3">
      <w:start w:val="0"/>
      <w:numFmt w:val="bullet"/>
      <w:lvlText w:val="•"/>
      <w:lvlJc w:val="left"/>
      <w:pPr>
        <w:ind w:left="2338" w:hanging="423"/>
      </w:pPr>
      <w:rPr>
        <w:rFonts w:hint="default"/>
      </w:rPr>
    </w:lvl>
    <w:lvl w:ilvl="4">
      <w:start w:val="0"/>
      <w:numFmt w:val="bullet"/>
      <w:lvlText w:val="•"/>
      <w:lvlJc w:val="left"/>
      <w:pPr>
        <w:ind w:left="3078" w:hanging="423"/>
      </w:pPr>
      <w:rPr>
        <w:rFonts w:hint="default"/>
      </w:rPr>
    </w:lvl>
    <w:lvl w:ilvl="5">
      <w:start w:val="0"/>
      <w:numFmt w:val="bullet"/>
      <w:lvlText w:val="•"/>
      <w:lvlJc w:val="left"/>
      <w:pPr>
        <w:ind w:left="3818" w:hanging="423"/>
      </w:pPr>
      <w:rPr>
        <w:rFonts w:hint="default"/>
      </w:rPr>
    </w:lvl>
    <w:lvl w:ilvl="6">
      <w:start w:val="0"/>
      <w:numFmt w:val="bullet"/>
      <w:lvlText w:val="•"/>
      <w:lvlJc w:val="left"/>
      <w:pPr>
        <w:ind w:left="4557" w:hanging="423"/>
      </w:pPr>
      <w:rPr>
        <w:rFonts w:hint="default"/>
      </w:rPr>
    </w:lvl>
    <w:lvl w:ilvl="7">
      <w:start w:val="0"/>
      <w:numFmt w:val="bullet"/>
      <w:lvlText w:val="•"/>
      <w:lvlJc w:val="left"/>
      <w:pPr>
        <w:ind w:left="5297" w:hanging="423"/>
      </w:pPr>
      <w:rPr>
        <w:rFonts w:hint="default"/>
      </w:rPr>
    </w:lvl>
    <w:lvl w:ilvl="8">
      <w:start w:val="0"/>
      <w:numFmt w:val="bullet"/>
      <w:lvlText w:val="•"/>
      <w:lvlJc w:val="left"/>
      <w:pPr>
        <w:ind w:left="6036" w:hanging="423"/>
      </w:pPr>
      <w:rPr>
        <w:rFonts w:hint="default"/>
      </w:rPr>
    </w:lvl>
  </w:abstractNum>
  <w:abstractNum w:abstractNumId="8">
    <w:multiLevelType w:val="hybridMultilevel"/>
    <w:lvl w:ilvl="0">
      <w:start w:val="1"/>
      <w:numFmt w:val="decimal"/>
      <w:lvlText w:val="(%1)"/>
      <w:lvlJc w:val="left"/>
      <w:pPr>
        <w:ind w:left="548" w:hanging="423"/>
        <w:jc w:val="left"/>
      </w:pPr>
      <w:rPr>
        <w:rFonts w:hint="default" w:ascii="宋体" w:hAnsi="宋体" w:eastAsia="宋体" w:cs="宋体"/>
        <w:w w:val="100"/>
        <w:sz w:val="21"/>
        <w:szCs w:val="21"/>
      </w:rPr>
    </w:lvl>
    <w:lvl w:ilvl="1">
      <w:start w:val="0"/>
      <w:numFmt w:val="bullet"/>
      <w:lvlText w:val="•"/>
      <w:lvlJc w:val="left"/>
      <w:pPr>
        <w:ind w:left="1237" w:hanging="423"/>
      </w:pPr>
      <w:rPr>
        <w:rFonts w:hint="default"/>
      </w:rPr>
    </w:lvl>
    <w:lvl w:ilvl="2">
      <w:start w:val="0"/>
      <w:numFmt w:val="bullet"/>
      <w:lvlText w:val="•"/>
      <w:lvlJc w:val="left"/>
      <w:pPr>
        <w:ind w:left="1935" w:hanging="423"/>
      </w:pPr>
      <w:rPr>
        <w:rFonts w:hint="default"/>
      </w:rPr>
    </w:lvl>
    <w:lvl w:ilvl="3">
      <w:start w:val="0"/>
      <w:numFmt w:val="bullet"/>
      <w:lvlText w:val="•"/>
      <w:lvlJc w:val="left"/>
      <w:pPr>
        <w:ind w:left="2632" w:hanging="423"/>
      </w:pPr>
      <w:rPr>
        <w:rFonts w:hint="default"/>
      </w:rPr>
    </w:lvl>
    <w:lvl w:ilvl="4">
      <w:start w:val="0"/>
      <w:numFmt w:val="bullet"/>
      <w:lvlText w:val="•"/>
      <w:lvlJc w:val="left"/>
      <w:pPr>
        <w:ind w:left="3330" w:hanging="423"/>
      </w:pPr>
      <w:rPr>
        <w:rFonts w:hint="default"/>
      </w:rPr>
    </w:lvl>
    <w:lvl w:ilvl="5">
      <w:start w:val="0"/>
      <w:numFmt w:val="bullet"/>
      <w:lvlText w:val="•"/>
      <w:lvlJc w:val="left"/>
      <w:pPr>
        <w:ind w:left="4028" w:hanging="423"/>
      </w:pPr>
      <w:rPr>
        <w:rFonts w:hint="default"/>
      </w:rPr>
    </w:lvl>
    <w:lvl w:ilvl="6">
      <w:start w:val="0"/>
      <w:numFmt w:val="bullet"/>
      <w:lvlText w:val="•"/>
      <w:lvlJc w:val="left"/>
      <w:pPr>
        <w:ind w:left="4725" w:hanging="423"/>
      </w:pPr>
      <w:rPr>
        <w:rFonts w:hint="default"/>
      </w:rPr>
    </w:lvl>
    <w:lvl w:ilvl="7">
      <w:start w:val="0"/>
      <w:numFmt w:val="bullet"/>
      <w:lvlText w:val="•"/>
      <w:lvlJc w:val="left"/>
      <w:pPr>
        <w:ind w:left="5423" w:hanging="423"/>
      </w:pPr>
      <w:rPr>
        <w:rFonts w:hint="default"/>
      </w:rPr>
    </w:lvl>
    <w:lvl w:ilvl="8">
      <w:start w:val="0"/>
      <w:numFmt w:val="bullet"/>
      <w:lvlText w:val="•"/>
      <w:lvlJc w:val="left"/>
      <w:pPr>
        <w:ind w:left="6120" w:hanging="423"/>
      </w:pPr>
      <w:rPr>
        <w:rFonts w:hint="default"/>
      </w:rPr>
    </w:lvl>
  </w:abstractNum>
  <w:abstractNum w:abstractNumId="7">
    <w:multiLevelType w:val="hybridMultilevel"/>
    <w:lvl w:ilvl="0">
      <w:start w:val="1"/>
      <w:numFmt w:val="decimal"/>
      <w:lvlText w:val="(%1)"/>
      <w:lvlJc w:val="left"/>
      <w:pPr>
        <w:ind w:left="127" w:hanging="423"/>
        <w:jc w:val="left"/>
      </w:pPr>
      <w:rPr>
        <w:rFonts w:hint="default" w:ascii="宋体" w:hAnsi="宋体" w:eastAsia="宋体" w:cs="宋体"/>
        <w:w w:val="100"/>
        <w:sz w:val="21"/>
        <w:szCs w:val="21"/>
      </w:rPr>
    </w:lvl>
    <w:lvl w:ilvl="1">
      <w:start w:val="0"/>
      <w:numFmt w:val="bullet"/>
      <w:lvlText w:val="•"/>
      <w:lvlJc w:val="left"/>
      <w:pPr>
        <w:ind w:left="859" w:hanging="423"/>
      </w:pPr>
      <w:rPr>
        <w:rFonts w:hint="default"/>
      </w:rPr>
    </w:lvl>
    <w:lvl w:ilvl="2">
      <w:start w:val="0"/>
      <w:numFmt w:val="bullet"/>
      <w:lvlText w:val="•"/>
      <w:lvlJc w:val="left"/>
      <w:pPr>
        <w:ind w:left="1599" w:hanging="423"/>
      </w:pPr>
      <w:rPr>
        <w:rFonts w:hint="default"/>
      </w:rPr>
    </w:lvl>
    <w:lvl w:ilvl="3">
      <w:start w:val="0"/>
      <w:numFmt w:val="bullet"/>
      <w:lvlText w:val="•"/>
      <w:lvlJc w:val="left"/>
      <w:pPr>
        <w:ind w:left="2339" w:hanging="423"/>
      </w:pPr>
      <w:rPr>
        <w:rFonts w:hint="default"/>
      </w:rPr>
    </w:lvl>
    <w:lvl w:ilvl="4">
      <w:start w:val="0"/>
      <w:numFmt w:val="bullet"/>
      <w:lvlText w:val="•"/>
      <w:lvlJc w:val="left"/>
      <w:pPr>
        <w:ind w:left="3078" w:hanging="423"/>
      </w:pPr>
      <w:rPr>
        <w:rFonts w:hint="default"/>
      </w:rPr>
    </w:lvl>
    <w:lvl w:ilvl="5">
      <w:start w:val="0"/>
      <w:numFmt w:val="bullet"/>
      <w:lvlText w:val="•"/>
      <w:lvlJc w:val="left"/>
      <w:pPr>
        <w:ind w:left="3818" w:hanging="423"/>
      </w:pPr>
      <w:rPr>
        <w:rFonts w:hint="default"/>
      </w:rPr>
    </w:lvl>
    <w:lvl w:ilvl="6">
      <w:start w:val="0"/>
      <w:numFmt w:val="bullet"/>
      <w:lvlText w:val="•"/>
      <w:lvlJc w:val="left"/>
      <w:pPr>
        <w:ind w:left="4558" w:hanging="423"/>
      </w:pPr>
      <w:rPr>
        <w:rFonts w:hint="default"/>
      </w:rPr>
    </w:lvl>
    <w:lvl w:ilvl="7">
      <w:start w:val="0"/>
      <w:numFmt w:val="bullet"/>
      <w:lvlText w:val="•"/>
      <w:lvlJc w:val="left"/>
      <w:pPr>
        <w:ind w:left="5297" w:hanging="423"/>
      </w:pPr>
      <w:rPr>
        <w:rFonts w:hint="default"/>
      </w:rPr>
    </w:lvl>
    <w:lvl w:ilvl="8">
      <w:start w:val="0"/>
      <w:numFmt w:val="bullet"/>
      <w:lvlText w:val="•"/>
      <w:lvlJc w:val="left"/>
      <w:pPr>
        <w:ind w:left="6037" w:hanging="423"/>
      </w:pPr>
      <w:rPr>
        <w:rFonts w:hint="default"/>
      </w:rPr>
    </w:lvl>
  </w:abstractNum>
  <w:abstractNum w:abstractNumId="6">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5" w:hanging="423"/>
      </w:pPr>
      <w:rPr>
        <w:rFonts w:hint="default"/>
      </w:rPr>
    </w:lvl>
    <w:lvl w:ilvl="2">
      <w:start w:val="0"/>
      <w:numFmt w:val="bullet"/>
      <w:lvlText w:val="•"/>
      <w:lvlJc w:val="left"/>
      <w:pPr>
        <w:ind w:left="1951" w:hanging="423"/>
      </w:pPr>
      <w:rPr>
        <w:rFonts w:hint="default"/>
      </w:rPr>
    </w:lvl>
    <w:lvl w:ilvl="3">
      <w:start w:val="0"/>
      <w:numFmt w:val="bullet"/>
      <w:lvlText w:val="•"/>
      <w:lvlJc w:val="left"/>
      <w:pPr>
        <w:ind w:left="2647" w:hanging="423"/>
      </w:pPr>
      <w:rPr>
        <w:rFonts w:hint="default"/>
      </w:rPr>
    </w:lvl>
    <w:lvl w:ilvl="4">
      <w:start w:val="0"/>
      <w:numFmt w:val="bullet"/>
      <w:lvlText w:val="•"/>
      <w:lvlJc w:val="left"/>
      <w:pPr>
        <w:ind w:left="3342" w:hanging="423"/>
      </w:pPr>
      <w:rPr>
        <w:rFonts w:hint="default"/>
      </w:rPr>
    </w:lvl>
    <w:lvl w:ilvl="5">
      <w:start w:val="0"/>
      <w:numFmt w:val="bullet"/>
      <w:lvlText w:val="•"/>
      <w:lvlJc w:val="left"/>
      <w:pPr>
        <w:ind w:left="4038" w:hanging="423"/>
      </w:pPr>
      <w:rPr>
        <w:rFonts w:hint="default"/>
      </w:rPr>
    </w:lvl>
    <w:lvl w:ilvl="6">
      <w:start w:val="0"/>
      <w:numFmt w:val="bullet"/>
      <w:lvlText w:val="•"/>
      <w:lvlJc w:val="left"/>
      <w:pPr>
        <w:ind w:left="4734" w:hanging="423"/>
      </w:pPr>
      <w:rPr>
        <w:rFonts w:hint="default"/>
      </w:rPr>
    </w:lvl>
    <w:lvl w:ilvl="7">
      <w:start w:val="0"/>
      <w:numFmt w:val="bullet"/>
      <w:lvlText w:val="•"/>
      <w:lvlJc w:val="left"/>
      <w:pPr>
        <w:ind w:left="5429" w:hanging="423"/>
      </w:pPr>
      <w:rPr>
        <w:rFonts w:hint="default"/>
      </w:rPr>
    </w:lvl>
    <w:lvl w:ilvl="8">
      <w:start w:val="0"/>
      <w:numFmt w:val="bullet"/>
      <w:lvlText w:val="•"/>
      <w:lvlJc w:val="left"/>
      <w:pPr>
        <w:ind w:left="6125" w:hanging="423"/>
      </w:pPr>
      <w:rPr>
        <w:rFonts w:hint="default"/>
      </w:rPr>
    </w:lvl>
  </w:abstractNum>
  <w:abstractNum w:abstractNumId="5">
    <w:multiLevelType w:val="hybridMultilevel"/>
    <w:lvl w:ilvl="0">
      <w:start w:val="1"/>
      <w:numFmt w:val="decimal"/>
      <w:lvlText w:val="(%1)"/>
      <w:lvlJc w:val="left"/>
      <w:pPr>
        <w:ind w:left="127" w:hanging="423"/>
        <w:jc w:val="left"/>
      </w:pPr>
      <w:rPr>
        <w:rFonts w:hint="default" w:ascii="宋体" w:hAnsi="宋体" w:eastAsia="宋体" w:cs="宋体"/>
        <w:w w:val="100"/>
        <w:sz w:val="21"/>
        <w:szCs w:val="21"/>
      </w:rPr>
    </w:lvl>
    <w:lvl w:ilvl="1">
      <w:start w:val="0"/>
      <w:numFmt w:val="bullet"/>
      <w:lvlText w:val="•"/>
      <w:lvlJc w:val="left"/>
      <w:pPr>
        <w:ind w:left="859" w:hanging="423"/>
      </w:pPr>
      <w:rPr>
        <w:rFonts w:hint="default"/>
      </w:rPr>
    </w:lvl>
    <w:lvl w:ilvl="2">
      <w:start w:val="0"/>
      <w:numFmt w:val="bullet"/>
      <w:lvlText w:val="•"/>
      <w:lvlJc w:val="left"/>
      <w:pPr>
        <w:ind w:left="1599" w:hanging="423"/>
      </w:pPr>
      <w:rPr>
        <w:rFonts w:hint="default"/>
      </w:rPr>
    </w:lvl>
    <w:lvl w:ilvl="3">
      <w:start w:val="0"/>
      <w:numFmt w:val="bullet"/>
      <w:lvlText w:val="•"/>
      <w:lvlJc w:val="left"/>
      <w:pPr>
        <w:ind w:left="2339" w:hanging="423"/>
      </w:pPr>
      <w:rPr>
        <w:rFonts w:hint="default"/>
      </w:rPr>
    </w:lvl>
    <w:lvl w:ilvl="4">
      <w:start w:val="0"/>
      <w:numFmt w:val="bullet"/>
      <w:lvlText w:val="•"/>
      <w:lvlJc w:val="left"/>
      <w:pPr>
        <w:ind w:left="3078" w:hanging="423"/>
      </w:pPr>
      <w:rPr>
        <w:rFonts w:hint="default"/>
      </w:rPr>
    </w:lvl>
    <w:lvl w:ilvl="5">
      <w:start w:val="0"/>
      <w:numFmt w:val="bullet"/>
      <w:lvlText w:val="•"/>
      <w:lvlJc w:val="left"/>
      <w:pPr>
        <w:ind w:left="3818" w:hanging="423"/>
      </w:pPr>
      <w:rPr>
        <w:rFonts w:hint="default"/>
      </w:rPr>
    </w:lvl>
    <w:lvl w:ilvl="6">
      <w:start w:val="0"/>
      <w:numFmt w:val="bullet"/>
      <w:lvlText w:val="•"/>
      <w:lvlJc w:val="left"/>
      <w:pPr>
        <w:ind w:left="4558" w:hanging="423"/>
      </w:pPr>
      <w:rPr>
        <w:rFonts w:hint="default"/>
      </w:rPr>
    </w:lvl>
    <w:lvl w:ilvl="7">
      <w:start w:val="0"/>
      <w:numFmt w:val="bullet"/>
      <w:lvlText w:val="•"/>
      <w:lvlJc w:val="left"/>
      <w:pPr>
        <w:ind w:left="5297" w:hanging="423"/>
      </w:pPr>
      <w:rPr>
        <w:rFonts w:hint="default"/>
      </w:rPr>
    </w:lvl>
    <w:lvl w:ilvl="8">
      <w:start w:val="0"/>
      <w:numFmt w:val="bullet"/>
      <w:lvlText w:val="•"/>
      <w:lvlJc w:val="left"/>
      <w:pPr>
        <w:ind w:left="6037" w:hanging="423"/>
      </w:pPr>
      <w:rPr>
        <w:rFonts w:hint="default"/>
      </w:rPr>
    </w:lvl>
  </w:abstractNum>
  <w:abstractNum w:abstractNumId="4">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5" w:hanging="423"/>
      </w:pPr>
      <w:rPr>
        <w:rFonts w:hint="default"/>
      </w:rPr>
    </w:lvl>
    <w:lvl w:ilvl="2">
      <w:start w:val="0"/>
      <w:numFmt w:val="bullet"/>
      <w:lvlText w:val="•"/>
      <w:lvlJc w:val="left"/>
      <w:pPr>
        <w:ind w:left="1950" w:hanging="423"/>
      </w:pPr>
      <w:rPr>
        <w:rFonts w:hint="default"/>
      </w:rPr>
    </w:lvl>
    <w:lvl w:ilvl="3">
      <w:start w:val="0"/>
      <w:numFmt w:val="bullet"/>
      <w:lvlText w:val="•"/>
      <w:lvlJc w:val="left"/>
      <w:pPr>
        <w:ind w:left="2646" w:hanging="423"/>
      </w:pPr>
      <w:rPr>
        <w:rFonts w:hint="default"/>
      </w:rPr>
    </w:lvl>
    <w:lvl w:ilvl="4">
      <w:start w:val="0"/>
      <w:numFmt w:val="bullet"/>
      <w:lvlText w:val="•"/>
      <w:lvlJc w:val="left"/>
      <w:pPr>
        <w:ind w:left="3341" w:hanging="423"/>
      </w:pPr>
      <w:rPr>
        <w:rFonts w:hint="default"/>
      </w:rPr>
    </w:lvl>
    <w:lvl w:ilvl="5">
      <w:start w:val="0"/>
      <w:numFmt w:val="bullet"/>
      <w:lvlText w:val="•"/>
      <w:lvlJc w:val="left"/>
      <w:pPr>
        <w:ind w:left="4037" w:hanging="423"/>
      </w:pPr>
      <w:rPr>
        <w:rFonts w:hint="default"/>
      </w:rPr>
    </w:lvl>
    <w:lvl w:ilvl="6">
      <w:start w:val="0"/>
      <w:numFmt w:val="bullet"/>
      <w:lvlText w:val="•"/>
      <w:lvlJc w:val="left"/>
      <w:pPr>
        <w:ind w:left="4732" w:hanging="423"/>
      </w:pPr>
      <w:rPr>
        <w:rFonts w:hint="default"/>
      </w:rPr>
    </w:lvl>
    <w:lvl w:ilvl="7">
      <w:start w:val="0"/>
      <w:numFmt w:val="bullet"/>
      <w:lvlText w:val="•"/>
      <w:lvlJc w:val="left"/>
      <w:pPr>
        <w:ind w:left="5427" w:hanging="423"/>
      </w:pPr>
      <w:rPr>
        <w:rFonts w:hint="default"/>
      </w:rPr>
    </w:lvl>
    <w:lvl w:ilvl="8">
      <w:start w:val="0"/>
      <w:numFmt w:val="bullet"/>
      <w:lvlText w:val="•"/>
      <w:lvlJc w:val="left"/>
      <w:pPr>
        <w:ind w:left="6123" w:hanging="423"/>
      </w:pPr>
      <w:rPr>
        <w:rFonts w:hint="default"/>
      </w:rPr>
    </w:lvl>
  </w:abstractNum>
  <w:abstractNum w:abstractNumId="3">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5" w:hanging="423"/>
      </w:pPr>
      <w:rPr>
        <w:rFonts w:hint="default"/>
      </w:rPr>
    </w:lvl>
    <w:lvl w:ilvl="2">
      <w:start w:val="0"/>
      <w:numFmt w:val="bullet"/>
      <w:lvlText w:val="•"/>
      <w:lvlJc w:val="left"/>
      <w:pPr>
        <w:ind w:left="1950" w:hanging="423"/>
      </w:pPr>
      <w:rPr>
        <w:rFonts w:hint="default"/>
      </w:rPr>
    </w:lvl>
    <w:lvl w:ilvl="3">
      <w:start w:val="0"/>
      <w:numFmt w:val="bullet"/>
      <w:lvlText w:val="•"/>
      <w:lvlJc w:val="left"/>
      <w:pPr>
        <w:ind w:left="2646" w:hanging="423"/>
      </w:pPr>
      <w:rPr>
        <w:rFonts w:hint="default"/>
      </w:rPr>
    </w:lvl>
    <w:lvl w:ilvl="4">
      <w:start w:val="0"/>
      <w:numFmt w:val="bullet"/>
      <w:lvlText w:val="•"/>
      <w:lvlJc w:val="left"/>
      <w:pPr>
        <w:ind w:left="3341" w:hanging="423"/>
      </w:pPr>
      <w:rPr>
        <w:rFonts w:hint="default"/>
      </w:rPr>
    </w:lvl>
    <w:lvl w:ilvl="5">
      <w:start w:val="0"/>
      <w:numFmt w:val="bullet"/>
      <w:lvlText w:val="•"/>
      <w:lvlJc w:val="left"/>
      <w:pPr>
        <w:ind w:left="4037" w:hanging="423"/>
      </w:pPr>
      <w:rPr>
        <w:rFonts w:hint="default"/>
      </w:rPr>
    </w:lvl>
    <w:lvl w:ilvl="6">
      <w:start w:val="0"/>
      <w:numFmt w:val="bullet"/>
      <w:lvlText w:val="•"/>
      <w:lvlJc w:val="left"/>
      <w:pPr>
        <w:ind w:left="4732" w:hanging="423"/>
      </w:pPr>
      <w:rPr>
        <w:rFonts w:hint="default"/>
      </w:rPr>
    </w:lvl>
    <w:lvl w:ilvl="7">
      <w:start w:val="0"/>
      <w:numFmt w:val="bullet"/>
      <w:lvlText w:val="•"/>
      <w:lvlJc w:val="left"/>
      <w:pPr>
        <w:ind w:left="5427" w:hanging="423"/>
      </w:pPr>
      <w:rPr>
        <w:rFonts w:hint="default"/>
      </w:rPr>
    </w:lvl>
    <w:lvl w:ilvl="8">
      <w:start w:val="0"/>
      <w:numFmt w:val="bullet"/>
      <w:lvlText w:val="•"/>
      <w:lvlJc w:val="left"/>
      <w:pPr>
        <w:ind w:left="6123" w:hanging="423"/>
      </w:pPr>
      <w:rPr>
        <w:rFonts w:hint="default"/>
      </w:rPr>
    </w:lvl>
  </w:abstractNum>
  <w:abstractNum w:abstractNumId="2">
    <w:multiLevelType w:val="hybridMultilevel"/>
    <w:lvl w:ilvl="0">
      <w:start w:val="1"/>
      <w:numFmt w:val="decimal"/>
      <w:lvlText w:val="(%1)"/>
      <w:lvlJc w:val="left"/>
      <w:pPr>
        <w:ind w:left="550" w:hanging="423"/>
        <w:jc w:val="left"/>
      </w:pPr>
      <w:rPr>
        <w:rFonts w:hint="default" w:ascii="宋体" w:hAnsi="宋体" w:eastAsia="宋体" w:cs="宋体"/>
        <w:w w:val="100"/>
        <w:sz w:val="21"/>
        <w:szCs w:val="21"/>
      </w:rPr>
    </w:lvl>
    <w:lvl w:ilvl="1">
      <w:start w:val="0"/>
      <w:numFmt w:val="bullet"/>
      <w:lvlText w:val="•"/>
      <w:lvlJc w:val="left"/>
      <w:pPr>
        <w:ind w:left="1255" w:hanging="423"/>
      </w:pPr>
      <w:rPr>
        <w:rFonts w:hint="default"/>
      </w:rPr>
    </w:lvl>
    <w:lvl w:ilvl="2">
      <w:start w:val="0"/>
      <w:numFmt w:val="bullet"/>
      <w:lvlText w:val="•"/>
      <w:lvlJc w:val="left"/>
      <w:pPr>
        <w:ind w:left="1950" w:hanging="423"/>
      </w:pPr>
      <w:rPr>
        <w:rFonts w:hint="default"/>
      </w:rPr>
    </w:lvl>
    <w:lvl w:ilvl="3">
      <w:start w:val="0"/>
      <w:numFmt w:val="bullet"/>
      <w:lvlText w:val="•"/>
      <w:lvlJc w:val="left"/>
      <w:pPr>
        <w:ind w:left="2646" w:hanging="423"/>
      </w:pPr>
      <w:rPr>
        <w:rFonts w:hint="default"/>
      </w:rPr>
    </w:lvl>
    <w:lvl w:ilvl="4">
      <w:start w:val="0"/>
      <w:numFmt w:val="bullet"/>
      <w:lvlText w:val="•"/>
      <w:lvlJc w:val="left"/>
      <w:pPr>
        <w:ind w:left="3341" w:hanging="423"/>
      </w:pPr>
      <w:rPr>
        <w:rFonts w:hint="default"/>
      </w:rPr>
    </w:lvl>
    <w:lvl w:ilvl="5">
      <w:start w:val="0"/>
      <w:numFmt w:val="bullet"/>
      <w:lvlText w:val="•"/>
      <w:lvlJc w:val="left"/>
      <w:pPr>
        <w:ind w:left="4037" w:hanging="423"/>
      </w:pPr>
      <w:rPr>
        <w:rFonts w:hint="default"/>
      </w:rPr>
    </w:lvl>
    <w:lvl w:ilvl="6">
      <w:start w:val="0"/>
      <w:numFmt w:val="bullet"/>
      <w:lvlText w:val="•"/>
      <w:lvlJc w:val="left"/>
      <w:pPr>
        <w:ind w:left="4732" w:hanging="423"/>
      </w:pPr>
      <w:rPr>
        <w:rFonts w:hint="default"/>
      </w:rPr>
    </w:lvl>
    <w:lvl w:ilvl="7">
      <w:start w:val="0"/>
      <w:numFmt w:val="bullet"/>
      <w:lvlText w:val="•"/>
      <w:lvlJc w:val="left"/>
      <w:pPr>
        <w:ind w:left="5427" w:hanging="423"/>
      </w:pPr>
      <w:rPr>
        <w:rFonts w:hint="default"/>
      </w:rPr>
    </w:lvl>
    <w:lvl w:ilvl="8">
      <w:start w:val="0"/>
      <w:numFmt w:val="bullet"/>
      <w:lvlText w:val="•"/>
      <w:lvlJc w:val="left"/>
      <w:pPr>
        <w:ind w:left="6123" w:hanging="423"/>
      </w:pPr>
      <w:rPr>
        <w:rFonts w:hint="default"/>
      </w:rPr>
    </w:lvl>
  </w:abstractNum>
  <w:abstractNum w:abstractNumId="1">
    <w:multiLevelType w:val="hybridMultilevel"/>
    <w:lvl w:ilvl="0">
      <w:start w:val="7"/>
      <w:numFmt w:val="decimal"/>
      <w:lvlText w:val="%1"/>
      <w:lvlJc w:val="left"/>
      <w:pPr>
        <w:ind w:left="952" w:hanging="740"/>
        <w:jc w:val="left"/>
      </w:pPr>
      <w:rPr>
        <w:rFonts w:hint="default"/>
      </w:rPr>
    </w:lvl>
    <w:lvl w:ilvl="1">
      <w:start w:val="1"/>
      <w:numFmt w:val="decimal"/>
      <w:lvlText w:val="%1.%2"/>
      <w:lvlJc w:val="left"/>
      <w:pPr>
        <w:ind w:left="952" w:hanging="740"/>
        <w:jc w:val="left"/>
      </w:pPr>
      <w:rPr>
        <w:rFonts w:hint="default" w:ascii="微软雅黑" w:hAnsi="微软雅黑" w:eastAsia="微软雅黑" w:cs="微软雅黑"/>
        <w:b/>
        <w:bCs/>
        <w:w w:val="99"/>
        <w:sz w:val="21"/>
        <w:szCs w:val="21"/>
      </w:rPr>
    </w:lvl>
    <w:lvl w:ilvl="2">
      <w:start w:val="0"/>
      <w:numFmt w:val="bullet"/>
      <w:lvlText w:val="•"/>
      <w:lvlJc w:val="left"/>
      <w:pPr>
        <w:ind w:left="2805" w:hanging="740"/>
      </w:pPr>
      <w:rPr>
        <w:rFonts w:hint="default"/>
      </w:rPr>
    </w:lvl>
    <w:lvl w:ilvl="3">
      <w:start w:val="0"/>
      <w:numFmt w:val="bullet"/>
      <w:lvlText w:val="•"/>
      <w:lvlJc w:val="left"/>
      <w:pPr>
        <w:ind w:left="3727" w:hanging="740"/>
      </w:pPr>
      <w:rPr>
        <w:rFonts w:hint="default"/>
      </w:rPr>
    </w:lvl>
    <w:lvl w:ilvl="4">
      <w:start w:val="0"/>
      <w:numFmt w:val="bullet"/>
      <w:lvlText w:val="•"/>
      <w:lvlJc w:val="left"/>
      <w:pPr>
        <w:ind w:left="4650" w:hanging="740"/>
      </w:pPr>
      <w:rPr>
        <w:rFonts w:hint="default"/>
      </w:rPr>
    </w:lvl>
    <w:lvl w:ilvl="5">
      <w:start w:val="0"/>
      <w:numFmt w:val="bullet"/>
      <w:lvlText w:val="•"/>
      <w:lvlJc w:val="left"/>
      <w:pPr>
        <w:ind w:left="5573" w:hanging="740"/>
      </w:pPr>
      <w:rPr>
        <w:rFonts w:hint="default"/>
      </w:rPr>
    </w:lvl>
    <w:lvl w:ilvl="6">
      <w:start w:val="0"/>
      <w:numFmt w:val="bullet"/>
      <w:lvlText w:val="•"/>
      <w:lvlJc w:val="left"/>
      <w:pPr>
        <w:ind w:left="6495" w:hanging="740"/>
      </w:pPr>
      <w:rPr>
        <w:rFonts w:hint="default"/>
      </w:rPr>
    </w:lvl>
    <w:lvl w:ilvl="7">
      <w:start w:val="0"/>
      <w:numFmt w:val="bullet"/>
      <w:lvlText w:val="•"/>
      <w:lvlJc w:val="left"/>
      <w:pPr>
        <w:ind w:left="7418" w:hanging="740"/>
      </w:pPr>
      <w:rPr>
        <w:rFonts w:hint="default"/>
      </w:rPr>
    </w:lvl>
    <w:lvl w:ilvl="8">
      <w:start w:val="0"/>
      <w:numFmt w:val="bullet"/>
      <w:lvlText w:val="•"/>
      <w:lvlJc w:val="left"/>
      <w:pPr>
        <w:ind w:left="8341" w:hanging="740"/>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
    </w:pPr>
    <w:rPr>
      <w:rFonts w:ascii="宋体" w:hAnsi="宋体" w:eastAsia="宋体" w:cs="宋体"/>
      <w:sz w:val="21"/>
      <w:szCs w:val="21"/>
    </w:rPr>
  </w:style>
  <w:style w:styleId="Heading1" w:type="paragraph">
    <w:name w:val="Heading 1"/>
    <w:basedOn w:val="Normal"/>
    <w:uiPriority w:val="1"/>
    <w:qFormat/>
    <w:pPr>
      <w:ind w:left="606" w:right="72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40"/>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1"/>
      <w:ind w:left="1632" w:hanging="420"/>
    </w:pPr>
    <w:rPr>
      <w:rFonts w:ascii="宋体" w:hAnsi="宋体" w:eastAsia="宋体" w:cs="宋体"/>
    </w:rPr>
  </w:style>
  <w:style w:styleId="TableParagraph" w:type="paragraph">
    <w:name w:val="Table Paragraph"/>
    <w:basedOn w:val="Normal"/>
    <w:uiPriority w:val="1"/>
    <w:qFormat/>
    <w:pPr>
      <w:ind w:left="12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xuqing</dc:creator>
  <dc:title>珠江人寿保险股份有限公司条款</dc:title>
  <dcterms:created xsi:type="dcterms:W3CDTF">2018-10-20T01:07:34Z</dcterms:created>
  <dcterms:modified xsi:type="dcterms:W3CDTF">2018-10-20T01:07:34Z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2015-09-08T00:00:00Z</vt:filetime>
  </property>
  <property fmtid="{D5CDD505-2E9C-101B-9397-08002B2CF9AE}" pid="3" name="Creator">
    <vt:lpwstr>Microsoft® Word 2013</vt:lpwstr>
  </property>
  <property fmtid="{D5CDD505-2E9C-101B-9397-08002B2CF9AE}" pid="4" name="LastSaved">
    <vt:filetime>2018-10-19T00:00:00Z</vt:filetime>
  </property>
</Properties>
</file>