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7" w:firstLine="0"/>
        <w:jc w:val="right"/>
        <w:rPr>
          <w:sz w:val="15"/>
        </w:rPr>
      </w:pPr>
      <w:r>
        <w:rPr/>
        <w:drawing>
          <wp:anchor distT="0" distB="0" distL="0" distR="0" allowOverlap="1" layoutInCell="1" locked="0" behindDoc="1" simplePos="0" relativeHeight="268382735">
            <wp:simplePos x="0" y="0"/>
            <wp:positionH relativeFrom="page">
              <wp:posOffset>6121908</wp:posOffset>
            </wp:positionH>
            <wp:positionV relativeFrom="paragraph">
              <wp:posOffset>181480</wp:posOffset>
            </wp:positionV>
            <wp:extent cx="719328"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8"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47"/>
          <w:sz w:val="15"/>
        </w:rPr>
        <w:t> </w:t>
      </w:r>
      <w:r>
        <w:rPr>
          <w:spacing w:val="-4"/>
          <w:w w:val="122"/>
          <w:sz w:val="15"/>
        </w:rPr>
        <w:t>0</w:t>
      </w:r>
      <w:r>
        <w:rPr>
          <w:w w:val="122"/>
          <w:sz w:val="15"/>
        </w:rPr>
        <w:t>20</w:t>
      </w:r>
      <w:r>
        <w:rPr>
          <w:spacing w:val="-48"/>
          <w:sz w:val="15"/>
        </w:rPr>
        <w:t> </w:t>
      </w:r>
      <w:r>
        <w:rPr>
          <w:w w:val="100"/>
          <w:sz w:val="15"/>
        </w:rPr>
        <w:t>号</w:t>
      </w:r>
    </w:p>
    <w:p>
      <w:pPr>
        <w:pStyle w:val="BodyText"/>
        <w:spacing w:before="11"/>
        <w:rPr>
          <w:sz w:val="28"/>
        </w:rPr>
      </w:pPr>
    </w:p>
    <w:p>
      <w:pPr>
        <w:spacing w:after="0"/>
        <w:rPr>
          <w:sz w:val="28"/>
        </w:rPr>
        <w:sectPr>
          <w:type w:val="continuous"/>
          <w:pgSz w:w="11910" w:h="16840"/>
          <w:pgMar w:top="480" w:bottom="280" w:left="880" w:right="640"/>
        </w:sectPr>
      </w:pPr>
    </w:p>
    <w:p>
      <w:pPr>
        <w:spacing w:line="357" w:lineRule="auto" w:before="12"/>
        <w:ind w:left="4098" w:right="0" w:hanging="1962"/>
        <w:jc w:val="left"/>
        <w:rPr>
          <w:sz w:val="32"/>
        </w:rPr>
      </w:pPr>
      <w:r>
        <w:rPr>
          <w:spacing w:val="-22"/>
          <w:sz w:val="32"/>
        </w:rPr>
        <w:t>信美相互 </w:t>
      </w:r>
      <w:r>
        <w:rPr>
          <w:w w:val="85"/>
          <w:sz w:val="32"/>
        </w:rPr>
        <w:t>i</w:t>
      </w:r>
      <w:r>
        <w:rPr>
          <w:spacing w:val="-84"/>
          <w:w w:val="85"/>
          <w:sz w:val="32"/>
        </w:rPr>
        <w:t> </w:t>
      </w:r>
      <w:r>
        <w:rPr>
          <w:sz w:val="32"/>
        </w:rPr>
        <w:t>健康基础保终身疾病保险条款</w:t>
      </w:r>
      <w:r>
        <w:rPr>
          <w:spacing w:val="-1"/>
          <w:sz w:val="32"/>
        </w:rPr>
        <w:t>阅 读 指 引</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10"/>
        <w:rPr>
          <w:sz w:val="13"/>
        </w:rPr>
      </w:pPr>
    </w:p>
    <w:p>
      <w:pPr>
        <w:spacing w:before="0"/>
        <w:ind w:left="680" w:right="0" w:firstLine="0"/>
        <w:jc w:val="left"/>
        <w:rPr>
          <w:sz w:val="15"/>
        </w:rPr>
      </w:pPr>
      <w:r>
        <w:rPr>
          <w:sz w:val="15"/>
        </w:rPr>
        <w:t>请扫描以查询验证条款</w:t>
      </w:r>
    </w:p>
    <w:p>
      <w:pPr>
        <w:spacing w:after="0"/>
        <w:jc w:val="left"/>
        <w:rPr>
          <w:sz w:val="15"/>
        </w:rPr>
        <w:sectPr>
          <w:type w:val="continuous"/>
          <w:pgSz w:w="11910" w:h="16840"/>
          <w:pgMar w:top="480" w:bottom="280" w:left="880" w:right="640"/>
          <w:cols w:num="2" w:equalWidth="0">
            <w:col w:w="7820" w:space="40"/>
            <w:col w:w="2530"/>
          </w:cols>
        </w:sectPr>
      </w:pPr>
    </w:p>
    <w:p>
      <w:pPr>
        <w:pStyle w:val="BodyText"/>
        <w:spacing w:line="342" w:lineRule="exact"/>
        <w:ind w:left="77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0"/>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5"/>
        <w:ind w:left="219" w:right="0" w:firstLine="0"/>
        <w:jc w:val="left"/>
        <w:rPr>
          <w:rFonts w:ascii="微软雅黑" w:hAnsi="微软雅黑" w:eastAsia="微软雅黑" w:hint="eastAsia"/>
          <w:b/>
          <w:sz w:val="21"/>
        </w:rPr>
      </w:pPr>
      <w:r>
        <w:rPr/>
        <w:pict>
          <v:group style="position:absolute;margin-left:49.200001pt;margin-top:10.69665pt;width:496.8pt;height:640.65pt;mso-position-horizontal-relative:page;mso-position-vertical-relative:paragraph;z-index:-52744" coordorigin="984,214" coordsize="9936,12813">
            <v:rect style="position:absolute;left:984;top:213;width:10;height:10" filled="true" fillcolor="#000000" stroked="false">
              <v:fill type="solid"/>
            </v:rect>
            <v:line style="position:absolute" from="994,219" to="10910,219" stroked="true" strokeweight=".48pt" strokecolor="#000000">
              <v:stroke dashstyle="solid"/>
            </v:line>
            <v:rect style="position:absolute;left:10910;top:213;width:10;height:10" filled="true" fillcolor="#000000" stroked="false">
              <v:fill type="solid"/>
            </v:rect>
            <v:line style="position:absolute" from="989,224" to="989,13027" stroked="true" strokeweight=".48pt" strokecolor="#000000">
              <v:stroke dashstyle="solid"/>
            </v:line>
            <v:line style="position:absolute" from="994,13022" to="10910,13022" stroked="true" strokeweight=".48004pt" strokecolor="#000000">
              <v:stroke dashstyle="solid"/>
            </v:line>
            <v:line style="position:absolute" from="10915,224" to="10915,13027" stroked="true" strokeweight=".47998pt" strokecolor="#000000">
              <v:stroke dashstyle="solid"/>
            </v:line>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77"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5"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3066"/>
        <w:gridCol w:w="771"/>
        <w:gridCol w:w="2431"/>
      </w:tblGrid>
      <w:tr>
        <w:trPr>
          <w:trHeight w:val="276" w:hRule="atLeast"/>
        </w:trPr>
        <w:tc>
          <w:tcPr>
            <w:tcW w:w="2976" w:type="dxa"/>
          </w:tcPr>
          <w:p>
            <w:pPr>
              <w:pStyle w:val="TableParagraph"/>
              <w:tabs>
                <w:tab w:pos="469" w:val="left" w:leader="none"/>
              </w:tabs>
              <w:spacing w:line="241" w:lineRule="exact"/>
              <w:ind w:left="50"/>
              <w:rPr>
                <w:rFonts w:ascii="微软雅黑" w:eastAsia="微软雅黑" w:hint="eastAsia"/>
                <w:b/>
                <w:sz w:val="21"/>
              </w:rPr>
            </w:pPr>
            <w:r>
              <w:rPr>
                <w:rFonts w:ascii="微软雅黑" w:eastAsia="微软雅黑" w:hint="eastAsia"/>
                <w:b/>
                <w:sz w:val="21"/>
              </w:rPr>
              <w:t>1.</w:t>
              <w:tab/>
              <w:t>我们保什么</w:t>
            </w:r>
          </w:p>
        </w:tc>
        <w:tc>
          <w:tcPr>
            <w:tcW w:w="3066" w:type="dxa"/>
          </w:tcPr>
          <w:p>
            <w:pPr>
              <w:pStyle w:val="TableParagraph"/>
              <w:spacing w:line="215" w:lineRule="exact"/>
              <w:ind w:left="192"/>
              <w:rPr>
                <w:sz w:val="21"/>
              </w:rPr>
            </w:pPr>
            <w:r>
              <w:rPr>
                <w:w w:val="122"/>
                <w:sz w:val="21"/>
              </w:rPr>
              <w:t>7</w:t>
            </w:r>
            <w:r>
              <w:rPr>
                <w:spacing w:val="-2"/>
                <w:w w:val="58"/>
                <w:sz w:val="21"/>
              </w:rPr>
              <w:t>.</w:t>
            </w:r>
            <w:r>
              <w:rPr>
                <w:w w:val="121"/>
                <w:sz w:val="21"/>
              </w:rPr>
              <w:t>2</w:t>
            </w:r>
            <w:r>
              <w:rPr>
                <w:spacing w:val="-2"/>
                <w:sz w:val="21"/>
              </w:rPr>
              <w:t> </w:t>
            </w:r>
            <w:r>
              <w:rPr>
                <w:w w:val="100"/>
                <w:sz w:val="21"/>
              </w:rPr>
              <w:t>减保</w:t>
            </w:r>
          </w:p>
        </w:tc>
        <w:tc>
          <w:tcPr>
            <w:tcW w:w="771" w:type="dxa"/>
          </w:tcPr>
          <w:p>
            <w:pPr>
              <w:pStyle w:val="TableParagraph"/>
              <w:spacing w:line="215" w:lineRule="exact"/>
              <w:ind w:left="246"/>
              <w:rPr>
                <w:sz w:val="21"/>
              </w:rPr>
            </w:pPr>
            <w:r>
              <w:rPr>
                <w:w w:val="97"/>
                <w:sz w:val="21"/>
              </w:rPr>
              <w:t>1</w:t>
            </w:r>
            <w:r>
              <w:rPr>
                <w:w w:val="122"/>
                <w:sz w:val="21"/>
              </w:rPr>
              <w:t>0</w:t>
            </w:r>
            <w:r>
              <w:rPr>
                <w:spacing w:val="-4"/>
                <w:w w:val="58"/>
                <w:sz w:val="21"/>
              </w:rPr>
              <w:t>.</w:t>
            </w:r>
            <w:r>
              <w:rPr>
                <w:w w:val="124"/>
                <w:sz w:val="21"/>
              </w:rPr>
              <w:t>8</w:t>
            </w:r>
          </w:p>
        </w:tc>
        <w:tc>
          <w:tcPr>
            <w:tcW w:w="2431" w:type="dxa"/>
          </w:tcPr>
          <w:p>
            <w:pPr>
              <w:pStyle w:val="TableParagraph"/>
              <w:spacing w:line="215" w:lineRule="exact"/>
              <w:ind w:left="1"/>
              <w:rPr>
                <w:sz w:val="21"/>
              </w:rPr>
            </w:pPr>
            <w:r>
              <w:rPr>
                <w:sz w:val="21"/>
              </w:rPr>
              <w:t>机动车</w:t>
            </w:r>
          </w:p>
        </w:tc>
      </w:tr>
      <w:tr>
        <w:trPr>
          <w:trHeight w:val="312" w:hRule="atLeast"/>
        </w:trPr>
        <w:tc>
          <w:tcPr>
            <w:tcW w:w="2976" w:type="dxa"/>
          </w:tcPr>
          <w:p>
            <w:pPr>
              <w:pStyle w:val="TableParagraph"/>
              <w:spacing w:line="251" w:lineRule="exact"/>
              <w:ind w:left="50"/>
              <w:rPr>
                <w:sz w:val="21"/>
              </w:rPr>
            </w:pPr>
            <w:r>
              <w:rPr>
                <w:sz w:val="21"/>
              </w:rPr>
              <w:t>1.1 基本保险金额</w:t>
            </w:r>
          </w:p>
        </w:tc>
        <w:tc>
          <w:tcPr>
            <w:tcW w:w="3066" w:type="dxa"/>
          </w:tcPr>
          <w:p>
            <w:pPr>
              <w:pStyle w:val="TableParagraph"/>
              <w:tabs>
                <w:tab w:pos="612" w:val="left" w:leader="none"/>
              </w:tabs>
              <w:spacing w:line="276" w:lineRule="exact"/>
              <w:ind w:left="192"/>
              <w:rPr>
                <w:rFonts w:ascii="微软雅黑" w:eastAsia="微软雅黑" w:hint="eastAsia"/>
                <w:b/>
                <w:sz w:val="21"/>
              </w:rPr>
            </w:pPr>
            <w:r>
              <w:rPr>
                <w:rFonts w:ascii="微软雅黑" w:eastAsia="微软雅黑" w:hint="eastAsia"/>
                <w:b/>
                <w:sz w:val="21"/>
              </w:rPr>
              <w:t>8.</w:t>
              <w:tab/>
              <w:t>其他需要关注的事项</w:t>
            </w:r>
          </w:p>
        </w:tc>
        <w:tc>
          <w:tcPr>
            <w:tcW w:w="771" w:type="dxa"/>
          </w:tcPr>
          <w:p>
            <w:pPr>
              <w:pStyle w:val="TableParagraph"/>
              <w:spacing w:line="251" w:lineRule="exact"/>
              <w:ind w:left="246"/>
              <w:rPr>
                <w:sz w:val="21"/>
              </w:rPr>
            </w:pPr>
            <w:r>
              <w:rPr>
                <w:w w:val="97"/>
                <w:sz w:val="21"/>
              </w:rPr>
              <w:t>1</w:t>
            </w:r>
            <w:r>
              <w:rPr>
                <w:w w:val="122"/>
                <w:sz w:val="21"/>
              </w:rPr>
              <w:t>0</w:t>
            </w:r>
            <w:r>
              <w:rPr>
                <w:spacing w:val="-2"/>
                <w:w w:val="58"/>
                <w:sz w:val="21"/>
              </w:rPr>
              <w:t>.</w:t>
            </w:r>
            <w:r>
              <w:rPr>
                <w:w w:val="123"/>
                <w:sz w:val="21"/>
              </w:rPr>
              <w:t>9</w:t>
            </w:r>
          </w:p>
        </w:tc>
        <w:tc>
          <w:tcPr>
            <w:tcW w:w="2431" w:type="dxa"/>
          </w:tcPr>
          <w:p>
            <w:pPr>
              <w:pStyle w:val="TableParagraph"/>
              <w:spacing w:line="251" w:lineRule="exact"/>
              <w:ind w:left="1"/>
              <w:rPr>
                <w:sz w:val="21"/>
              </w:rPr>
            </w:pPr>
            <w:r>
              <w:rPr>
                <w:sz w:val="21"/>
              </w:rPr>
              <w:t>感染艾滋病病毒或者患艾</w:t>
            </w:r>
          </w:p>
        </w:tc>
      </w:tr>
      <w:tr>
        <w:trPr>
          <w:trHeight w:val="312" w:hRule="atLeast"/>
        </w:trPr>
        <w:tc>
          <w:tcPr>
            <w:tcW w:w="2976" w:type="dxa"/>
          </w:tcPr>
          <w:p>
            <w:pPr>
              <w:pStyle w:val="TableParagraph"/>
              <w:spacing w:line="251" w:lineRule="exact"/>
              <w:ind w:left="50"/>
              <w:rPr>
                <w:sz w:val="21"/>
              </w:rPr>
            </w:pPr>
            <w:r>
              <w:rPr>
                <w:w w:val="97"/>
                <w:sz w:val="21"/>
              </w:rPr>
              <w:t>1</w:t>
            </w:r>
            <w:r>
              <w:rPr>
                <w:spacing w:val="-2"/>
                <w:w w:val="58"/>
                <w:sz w:val="21"/>
              </w:rPr>
              <w:t>.</w:t>
            </w:r>
            <w:r>
              <w:rPr>
                <w:w w:val="120"/>
                <w:sz w:val="21"/>
              </w:rPr>
              <w:t>2</w:t>
            </w:r>
            <w:r>
              <w:rPr>
                <w:spacing w:val="23"/>
                <w:sz w:val="21"/>
              </w:rPr>
              <w:t> </w:t>
            </w:r>
            <w:r>
              <w:rPr>
                <w:spacing w:val="-1"/>
                <w:w w:val="100"/>
                <w:sz w:val="21"/>
              </w:rPr>
              <w:t>保险期间</w:t>
            </w:r>
          </w:p>
        </w:tc>
        <w:tc>
          <w:tcPr>
            <w:tcW w:w="3066" w:type="dxa"/>
          </w:tcPr>
          <w:p>
            <w:pPr>
              <w:pStyle w:val="TableParagraph"/>
              <w:spacing w:line="251" w:lineRule="exact"/>
              <w:ind w:left="192"/>
              <w:rPr>
                <w:sz w:val="21"/>
              </w:rPr>
            </w:pPr>
            <w:r>
              <w:rPr>
                <w:w w:val="124"/>
                <w:sz w:val="21"/>
              </w:rPr>
              <w:t>8</w:t>
            </w:r>
            <w:r>
              <w:rPr>
                <w:spacing w:val="-2"/>
                <w:w w:val="58"/>
                <w:sz w:val="21"/>
              </w:rPr>
              <w:t>.</w:t>
            </w:r>
            <w:r>
              <w:rPr>
                <w:w w:val="97"/>
                <w:sz w:val="21"/>
              </w:rPr>
              <w:t>1</w:t>
            </w:r>
            <w:r>
              <w:rPr>
                <w:spacing w:val="20"/>
                <w:sz w:val="21"/>
              </w:rPr>
              <w:t> </w:t>
            </w:r>
            <w:r>
              <w:rPr>
                <w:spacing w:val="-1"/>
                <w:w w:val="100"/>
                <w:sz w:val="21"/>
              </w:rPr>
              <w:t>合同构成</w:t>
            </w:r>
          </w:p>
        </w:tc>
        <w:tc>
          <w:tcPr>
            <w:tcW w:w="771" w:type="dxa"/>
          </w:tcPr>
          <w:p>
            <w:pPr>
              <w:pStyle w:val="TableParagraph"/>
              <w:ind w:left="0"/>
              <w:rPr>
                <w:rFonts w:ascii="Times New Roman"/>
                <w:sz w:val="20"/>
              </w:rPr>
            </w:pPr>
          </w:p>
        </w:tc>
        <w:tc>
          <w:tcPr>
            <w:tcW w:w="2431" w:type="dxa"/>
          </w:tcPr>
          <w:p>
            <w:pPr>
              <w:pStyle w:val="TableParagraph"/>
              <w:spacing w:line="251" w:lineRule="exact"/>
              <w:ind w:left="1"/>
              <w:rPr>
                <w:sz w:val="21"/>
              </w:rPr>
            </w:pPr>
            <w:r>
              <w:rPr>
                <w:sz w:val="21"/>
              </w:rPr>
              <w:t>滋病</w:t>
            </w:r>
          </w:p>
        </w:tc>
      </w:tr>
      <w:tr>
        <w:trPr>
          <w:trHeight w:val="312" w:hRule="atLeast"/>
        </w:trPr>
        <w:tc>
          <w:tcPr>
            <w:tcW w:w="2976" w:type="dxa"/>
          </w:tcPr>
          <w:p>
            <w:pPr>
              <w:pStyle w:val="TableParagraph"/>
              <w:spacing w:line="251" w:lineRule="exact"/>
              <w:ind w:left="50"/>
              <w:rPr>
                <w:sz w:val="21"/>
              </w:rPr>
            </w:pPr>
            <w:r>
              <w:rPr>
                <w:w w:val="97"/>
                <w:sz w:val="21"/>
              </w:rPr>
              <w:t>1</w:t>
            </w:r>
            <w:r>
              <w:rPr>
                <w:spacing w:val="-2"/>
                <w:w w:val="58"/>
                <w:sz w:val="21"/>
              </w:rPr>
              <w:t>.</w:t>
            </w:r>
            <w:r>
              <w:rPr>
                <w:w w:val="121"/>
                <w:sz w:val="21"/>
              </w:rPr>
              <w:t>3</w:t>
            </w:r>
            <w:r>
              <w:rPr>
                <w:spacing w:val="23"/>
                <w:sz w:val="21"/>
              </w:rPr>
              <w:t> </w:t>
            </w:r>
            <w:r>
              <w:rPr>
                <w:spacing w:val="-1"/>
                <w:w w:val="100"/>
                <w:sz w:val="21"/>
              </w:rPr>
              <w:t>保险责任</w:t>
            </w:r>
          </w:p>
        </w:tc>
        <w:tc>
          <w:tcPr>
            <w:tcW w:w="3066" w:type="dxa"/>
          </w:tcPr>
          <w:p>
            <w:pPr>
              <w:pStyle w:val="TableParagraph"/>
              <w:spacing w:line="251" w:lineRule="exact"/>
              <w:ind w:left="192"/>
              <w:rPr>
                <w:sz w:val="21"/>
              </w:rPr>
            </w:pPr>
            <w:r>
              <w:rPr>
                <w:w w:val="124"/>
                <w:sz w:val="21"/>
              </w:rPr>
              <w:t>8</w:t>
            </w:r>
            <w:r>
              <w:rPr>
                <w:spacing w:val="-2"/>
                <w:w w:val="58"/>
                <w:sz w:val="21"/>
              </w:rPr>
              <w:t>.</w:t>
            </w:r>
            <w:r>
              <w:rPr>
                <w:w w:val="121"/>
                <w:sz w:val="21"/>
              </w:rPr>
              <w:t>2</w:t>
            </w:r>
            <w:r>
              <w:rPr>
                <w:spacing w:val="-4"/>
                <w:sz w:val="21"/>
              </w:rPr>
              <w:t> </w:t>
            </w:r>
            <w:r>
              <w:rPr>
                <w:spacing w:val="-2"/>
                <w:w w:val="100"/>
                <w:sz w:val="21"/>
              </w:rPr>
              <w:t>合同成立及</w:t>
            </w:r>
            <w:r>
              <w:rPr>
                <w:w w:val="100"/>
                <w:sz w:val="21"/>
              </w:rPr>
              <w:t>Th效</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431" w:type="dxa"/>
          </w:tcPr>
          <w:p>
            <w:pPr>
              <w:pStyle w:val="TableParagraph"/>
              <w:spacing w:line="251" w:lineRule="exact"/>
              <w:ind w:left="106"/>
              <w:rPr>
                <w:sz w:val="21"/>
              </w:rPr>
            </w:pPr>
            <w:r>
              <w:rPr>
                <w:sz w:val="21"/>
              </w:rPr>
              <w:t>遗传性疾病</w:t>
            </w:r>
          </w:p>
        </w:tc>
      </w:tr>
      <w:tr>
        <w:trPr>
          <w:trHeight w:val="311"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2.</w:t>
              <w:tab/>
              <w:t>我们不保什么</w:t>
            </w:r>
          </w:p>
        </w:tc>
        <w:tc>
          <w:tcPr>
            <w:tcW w:w="3066" w:type="dxa"/>
          </w:tcPr>
          <w:p>
            <w:pPr>
              <w:pStyle w:val="TableParagraph"/>
              <w:spacing w:line="251" w:lineRule="exact"/>
              <w:ind w:left="192"/>
              <w:rPr>
                <w:sz w:val="21"/>
              </w:rPr>
            </w:pPr>
            <w:r>
              <w:rPr>
                <w:w w:val="124"/>
                <w:sz w:val="21"/>
              </w:rPr>
              <w:t>8</w:t>
            </w:r>
            <w:r>
              <w:rPr>
                <w:spacing w:val="-2"/>
                <w:w w:val="58"/>
                <w:sz w:val="21"/>
              </w:rPr>
              <w:t>.</w:t>
            </w:r>
            <w:r>
              <w:rPr>
                <w:w w:val="121"/>
                <w:sz w:val="21"/>
              </w:rPr>
              <w:t>3</w:t>
            </w:r>
            <w:r>
              <w:rPr>
                <w:spacing w:val="-5"/>
                <w:sz w:val="21"/>
              </w:rPr>
              <w:t> </w:t>
            </w:r>
            <w:r>
              <w:rPr>
                <w:spacing w:val="-1"/>
                <w:w w:val="100"/>
                <w:sz w:val="21"/>
              </w:rPr>
              <w:t>投保年龄</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11</w:t>
            </w:r>
          </w:p>
        </w:tc>
        <w:tc>
          <w:tcPr>
            <w:tcW w:w="2431" w:type="dxa"/>
          </w:tcPr>
          <w:p>
            <w:pPr>
              <w:pStyle w:val="TableParagraph"/>
              <w:spacing w:line="251" w:lineRule="exact"/>
              <w:ind w:left="106"/>
              <w:rPr>
                <w:sz w:val="21"/>
              </w:rPr>
            </w:pPr>
            <w:r>
              <w:rPr>
                <w:sz w:val="21"/>
              </w:rPr>
              <w:t>先天性畸形、变形或者染</w:t>
            </w:r>
          </w:p>
        </w:tc>
      </w:tr>
      <w:tr>
        <w:trPr>
          <w:trHeight w:val="312" w:hRule="atLeast"/>
        </w:trPr>
        <w:tc>
          <w:tcPr>
            <w:tcW w:w="2976" w:type="dxa"/>
          </w:tcPr>
          <w:p>
            <w:pPr>
              <w:pStyle w:val="TableParagraph"/>
              <w:spacing w:line="251" w:lineRule="exact"/>
              <w:ind w:left="50"/>
              <w:rPr>
                <w:sz w:val="21"/>
              </w:rPr>
            </w:pPr>
            <w:r>
              <w:rPr>
                <w:sz w:val="21"/>
              </w:rPr>
              <w:t>2.1 责任免除</w:t>
            </w:r>
          </w:p>
        </w:tc>
        <w:tc>
          <w:tcPr>
            <w:tcW w:w="3066" w:type="dxa"/>
          </w:tcPr>
          <w:p>
            <w:pPr>
              <w:pStyle w:val="TableParagraph"/>
              <w:spacing w:line="251" w:lineRule="exact"/>
              <w:ind w:left="192"/>
              <w:rPr>
                <w:sz w:val="21"/>
              </w:rPr>
            </w:pPr>
            <w:r>
              <w:rPr>
                <w:w w:val="124"/>
                <w:sz w:val="21"/>
              </w:rPr>
              <w:t>8</w:t>
            </w:r>
            <w:r>
              <w:rPr>
                <w:spacing w:val="-2"/>
                <w:w w:val="58"/>
                <w:sz w:val="21"/>
              </w:rPr>
              <w:t>.</w:t>
            </w:r>
            <w:r>
              <w:rPr>
                <w:w w:val="123"/>
                <w:sz w:val="21"/>
              </w:rPr>
              <w:t>4</w:t>
            </w:r>
            <w:r>
              <w:rPr>
                <w:spacing w:val="-7"/>
                <w:sz w:val="21"/>
              </w:rPr>
              <w:t> </w:t>
            </w:r>
            <w:r>
              <w:rPr>
                <w:spacing w:val="-3"/>
                <w:w w:val="100"/>
                <w:sz w:val="21"/>
              </w:rPr>
              <w:t>明确说明与如实告知</w:t>
            </w:r>
          </w:p>
        </w:tc>
        <w:tc>
          <w:tcPr>
            <w:tcW w:w="771" w:type="dxa"/>
          </w:tcPr>
          <w:p>
            <w:pPr>
              <w:pStyle w:val="TableParagraph"/>
              <w:ind w:left="0"/>
              <w:rPr>
                <w:rFonts w:ascii="Times New Roman"/>
                <w:sz w:val="20"/>
              </w:rPr>
            </w:pPr>
          </w:p>
        </w:tc>
        <w:tc>
          <w:tcPr>
            <w:tcW w:w="2431" w:type="dxa"/>
          </w:tcPr>
          <w:p>
            <w:pPr>
              <w:pStyle w:val="TableParagraph"/>
              <w:spacing w:line="251" w:lineRule="exact"/>
              <w:ind w:left="106"/>
              <w:rPr>
                <w:sz w:val="21"/>
              </w:rPr>
            </w:pPr>
            <w:r>
              <w:rPr>
                <w:sz w:val="21"/>
              </w:rPr>
              <w:t>色体异常</w:t>
            </w:r>
          </w:p>
        </w:tc>
      </w:tr>
      <w:tr>
        <w:trPr>
          <w:trHeight w:val="312"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3.</w:t>
              <w:tab/>
              <w:t>如何交纳保险费</w:t>
            </w:r>
          </w:p>
        </w:tc>
        <w:tc>
          <w:tcPr>
            <w:tcW w:w="3066" w:type="dxa"/>
          </w:tcPr>
          <w:p>
            <w:pPr>
              <w:pStyle w:val="TableParagraph"/>
              <w:spacing w:line="251" w:lineRule="exact"/>
              <w:ind w:left="192"/>
              <w:rPr>
                <w:sz w:val="21"/>
              </w:rPr>
            </w:pPr>
            <w:r>
              <w:rPr>
                <w:w w:val="124"/>
                <w:sz w:val="21"/>
              </w:rPr>
              <w:t>8</w:t>
            </w:r>
            <w:r>
              <w:rPr>
                <w:spacing w:val="-2"/>
                <w:w w:val="58"/>
                <w:sz w:val="21"/>
              </w:rPr>
              <w:t>.</w:t>
            </w:r>
            <w:r>
              <w:rPr>
                <w:w w:val="122"/>
                <w:sz w:val="21"/>
              </w:rPr>
              <w:t>5</w:t>
            </w:r>
            <w:r>
              <w:rPr>
                <w:spacing w:val="-6"/>
                <w:sz w:val="21"/>
              </w:rPr>
              <w:t> </w:t>
            </w:r>
            <w:r>
              <w:rPr>
                <w:spacing w:val="-3"/>
                <w:w w:val="100"/>
                <w:sz w:val="21"/>
              </w:rPr>
              <w:t>我们合同解除权的限制</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431" w:type="dxa"/>
          </w:tcPr>
          <w:p>
            <w:pPr>
              <w:pStyle w:val="TableParagraph"/>
              <w:spacing w:line="251" w:lineRule="exact"/>
              <w:ind w:left="106"/>
              <w:rPr>
                <w:sz w:val="21"/>
              </w:rPr>
            </w:pPr>
            <w:r>
              <w:rPr>
                <w:sz w:val="21"/>
              </w:rPr>
              <w:t>现金价值</w:t>
            </w:r>
          </w:p>
        </w:tc>
      </w:tr>
      <w:tr>
        <w:trPr>
          <w:trHeight w:val="312" w:hRule="atLeast"/>
        </w:trPr>
        <w:tc>
          <w:tcPr>
            <w:tcW w:w="2976" w:type="dxa"/>
          </w:tcPr>
          <w:p>
            <w:pPr>
              <w:pStyle w:val="TableParagraph"/>
              <w:spacing w:line="251" w:lineRule="exact"/>
              <w:ind w:left="50"/>
              <w:rPr>
                <w:sz w:val="21"/>
              </w:rPr>
            </w:pPr>
            <w:r>
              <w:rPr>
                <w:sz w:val="21"/>
              </w:rPr>
              <w:t>3.1 保险费的交纳</w:t>
            </w:r>
          </w:p>
        </w:tc>
        <w:tc>
          <w:tcPr>
            <w:tcW w:w="3066" w:type="dxa"/>
          </w:tcPr>
          <w:p>
            <w:pPr>
              <w:pStyle w:val="TableParagraph"/>
              <w:spacing w:line="251" w:lineRule="exact"/>
              <w:ind w:left="192"/>
              <w:rPr>
                <w:sz w:val="21"/>
              </w:rPr>
            </w:pPr>
            <w:r>
              <w:rPr>
                <w:w w:val="124"/>
                <w:sz w:val="21"/>
              </w:rPr>
              <w:t>8</w:t>
            </w:r>
            <w:r>
              <w:rPr>
                <w:spacing w:val="-2"/>
                <w:w w:val="58"/>
                <w:sz w:val="21"/>
              </w:rPr>
              <w:t>.</w:t>
            </w:r>
            <w:r>
              <w:rPr>
                <w:w w:val="123"/>
                <w:sz w:val="21"/>
              </w:rPr>
              <w:t>6</w:t>
            </w:r>
            <w:r>
              <w:rPr>
                <w:spacing w:val="-7"/>
                <w:sz w:val="21"/>
              </w:rPr>
              <w:t> </w:t>
            </w:r>
            <w:r>
              <w:rPr>
                <w:spacing w:val="-2"/>
                <w:w w:val="100"/>
                <w:sz w:val="21"/>
              </w:rPr>
              <w:t>年龄性别错误</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431" w:type="dxa"/>
          </w:tcPr>
          <w:p>
            <w:pPr>
              <w:pStyle w:val="TableParagraph"/>
              <w:spacing w:line="251" w:lineRule="exact"/>
              <w:ind w:left="106"/>
              <w:rPr>
                <w:sz w:val="21"/>
              </w:rPr>
            </w:pPr>
            <w:r>
              <w:rPr>
                <w:sz w:val="21"/>
              </w:rPr>
              <w:t>保险费约定交纳日</w:t>
            </w:r>
          </w:p>
        </w:tc>
      </w:tr>
      <w:tr>
        <w:trPr>
          <w:trHeight w:val="311" w:hRule="atLeast"/>
        </w:trPr>
        <w:tc>
          <w:tcPr>
            <w:tcW w:w="2976" w:type="dxa"/>
          </w:tcPr>
          <w:p>
            <w:pPr>
              <w:pStyle w:val="TableParagraph"/>
              <w:spacing w:line="251" w:lineRule="exact"/>
              <w:ind w:left="50"/>
              <w:rPr>
                <w:sz w:val="21"/>
              </w:rPr>
            </w:pPr>
            <w:r>
              <w:rPr>
                <w:sz w:val="21"/>
              </w:rPr>
              <w:t>3.2 宽限期</w:t>
            </w:r>
          </w:p>
        </w:tc>
        <w:tc>
          <w:tcPr>
            <w:tcW w:w="3066" w:type="dxa"/>
          </w:tcPr>
          <w:p>
            <w:pPr>
              <w:pStyle w:val="TableParagraph"/>
              <w:spacing w:line="251" w:lineRule="exact"/>
              <w:ind w:left="192"/>
              <w:rPr>
                <w:sz w:val="21"/>
              </w:rPr>
            </w:pPr>
            <w:r>
              <w:rPr>
                <w:w w:val="124"/>
                <w:sz w:val="21"/>
              </w:rPr>
              <w:t>8</w:t>
            </w:r>
            <w:r>
              <w:rPr>
                <w:spacing w:val="-2"/>
                <w:w w:val="58"/>
                <w:sz w:val="21"/>
              </w:rPr>
              <w:t>.</w:t>
            </w:r>
            <w:r>
              <w:rPr>
                <w:w w:val="122"/>
                <w:sz w:val="21"/>
              </w:rPr>
              <w:t>7</w:t>
            </w:r>
            <w:r>
              <w:rPr>
                <w:spacing w:val="-6"/>
                <w:sz w:val="21"/>
              </w:rPr>
              <w:t> </w:t>
            </w:r>
            <w:r>
              <w:rPr>
                <w:spacing w:val="-1"/>
                <w:w w:val="100"/>
                <w:sz w:val="21"/>
              </w:rPr>
              <w:t>未还款项</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431" w:type="dxa"/>
          </w:tcPr>
          <w:p>
            <w:pPr>
              <w:pStyle w:val="TableParagraph"/>
              <w:spacing w:line="251" w:lineRule="exact"/>
              <w:ind w:left="106"/>
              <w:rPr>
                <w:sz w:val="21"/>
              </w:rPr>
            </w:pPr>
            <w:r>
              <w:rPr>
                <w:sz w:val="21"/>
              </w:rPr>
              <w:t>复利</w:t>
            </w:r>
          </w:p>
        </w:tc>
      </w:tr>
      <w:tr>
        <w:trPr>
          <w:trHeight w:val="311"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4.</w:t>
              <w:tab/>
            </w:r>
            <w:r>
              <w:rPr>
                <w:rFonts w:ascii="微软雅黑" w:eastAsia="微软雅黑" w:hint="eastAsia"/>
                <w:b/>
                <w:spacing w:val="-1"/>
                <w:sz w:val="21"/>
              </w:rPr>
              <w:t>合同效力的中止及恢复</w:t>
            </w:r>
          </w:p>
        </w:tc>
        <w:tc>
          <w:tcPr>
            <w:tcW w:w="3066" w:type="dxa"/>
          </w:tcPr>
          <w:p>
            <w:pPr>
              <w:pStyle w:val="TableParagraph"/>
              <w:spacing w:line="251" w:lineRule="exact"/>
              <w:ind w:left="192"/>
              <w:rPr>
                <w:sz w:val="21"/>
              </w:rPr>
            </w:pPr>
            <w:r>
              <w:rPr>
                <w:w w:val="124"/>
                <w:sz w:val="21"/>
              </w:rPr>
              <w:t>8</w:t>
            </w:r>
            <w:r>
              <w:rPr>
                <w:spacing w:val="-2"/>
                <w:w w:val="58"/>
                <w:sz w:val="21"/>
              </w:rPr>
              <w:t>.</w:t>
            </w:r>
            <w:r>
              <w:rPr>
                <w:w w:val="124"/>
                <w:sz w:val="21"/>
              </w:rPr>
              <w:t>8</w:t>
            </w:r>
            <w:r>
              <w:rPr>
                <w:spacing w:val="-8"/>
                <w:sz w:val="21"/>
              </w:rPr>
              <w:t> </w:t>
            </w:r>
            <w:r>
              <w:rPr>
                <w:spacing w:val="-2"/>
                <w:w w:val="100"/>
                <w:sz w:val="21"/>
              </w:rPr>
              <w:t>合同内容变更</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431" w:type="dxa"/>
          </w:tcPr>
          <w:p>
            <w:pPr>
              <w:pStyle w:val="TableParagraph"/>
              <w:spacing w:line="251" w:lineRule="exact"/>
              <w:ind w:left="106"/>
              <w:rPr>
                <w:sz w:val="21"/>
              </w:rPr>
            </w:pPr>
            <w:r>
              <w:rPr>
                <w:sz w:val="21"/>
              </w:rPr>
              <w:t>有效身份证件</w:t>
            </w:r>
          </w:p>
        </w:tc>
      </w:tr>
      <w:tr>
        <w:trPr>
          <w:trHeight w:val="312" w:hRule="atLeast"/>
        </w:trPr>
        <w:tc>
          <w:tcPr>
            <w:tcW w:w="2976" w:type="dxa"/>
          </w:tcPr>
          <w:p>
            <w:pPr>
              <w:pStyle w:val="TableParagraph"/>
              <w:spacing w:line="251" w:lineRule="exact"/>
              <w:ind w:left="50"/>
              <w:rPr>
                <w:sz w:val="21"/>
              </w:rPr>
            </w:pPr>
            <w:r>
              <w:rPr>
                <w:sz w:val="21"/>
              </w:rPr>
              <w:t>4.1 效力中止</w:t>
            </w:r>
          </w:p>
        </w:tc>
        <w:tc>
          <w:tcPr>
            <w:tcW w:w="3066" w:type="dxa"/>
          </w:tcPr>
          <w:p>
            <w:pPr>
              <w:pStyle w:val="TableParagraph"/>
              <w:spacing w:line="251" w:lineRule="exact"/>
              <w:ind w:left="192"/>
              <w:rPr>
                <w:sz w:val="21"/>
              </w:rPr>
            </w:pPr>
            <w:r>
              <w:rPr>
                <w:w w:val="124"/>
                <w:sz w:val="21"/>
              </w:rPr>
              <w:t>8</w:t>
            </w:r>
            <w:r>
              <w:rPr>
                <w:spacing w:val="-2"/>
                <w:w w:val="58"/>
                <w:sz w:val="21"/>
              </w:rPr>
              <w:t>.</w:t>
            </w:r>
            <w:r>
              <w:rPr>
                <w:w w:val="123"/>
                <w:sz w:val="21"/>
              </w:rPr>
              <w:t>9</w:t>
            </w:r>
            <w:r>
              <w:rPr>
                <w:spacing w:val="-7"/>
                <w:sz w:val="21"/>
              </w:rPr>
              <w:t> </w:t>
            </w:r>
            <w:r>
              <w:rPr>
                <w:spacing w:val="-2"/>
                <w:w w:val="100"/>
                <w:sz w:val="21"/>
              </w:rPr>
              <w:t>联系方式变更</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431" w:type="dxa"/>
          </w:tcPr>
          <w:p>
            <w:pPr>
              <w:pStyle w:val="TableParagraph"/>
              <w:spacing w:line="251" w:lineRule="exact"/>
              <w:ind w:left="106"/>
              <w:rPr>
                <w:sz w:val="21"/>
              </w:rPr>
            </w:pPr>
            <w:r>
              <w:rPr>
                <w:sz w:val="21"/>
              </w:rPr>
              <w:t>专科医Th</w:t>
            </w:r>
          </w:p>
        </w:tc>
      </w:tr>
      <w:tr>
        <w:trPr>
          <w:trHeight w:val="311" w:hRule="atLeast"/>
        </w:trPr>
        <w:tc>
          <w:tcPr>
            <w:tcW w:w="2976" w:type="dxa"/>
          </w:tcPr>
          <w:p>
            <w:pPr>
              <w:pStyle w:val="TableParagraph"/>
              <w:spacing w:line="251" w:lineRule="exact"/>
              <w:ind w:left="50"/>
              <w:rPr>
                <w:sz w:val="21"/>
              </w:rPr>
            </w:pPr>
            <w:r>
              <w:rPr>
                <w:sz w:val="21"/>
              </w:rPr>
              <w:t>4.2 效力恢复</w:t>
            </w:r>
          </w:p>
        </w:tc>
        <w:tc>
          <w:tcPr>
            <w:tcW w:w="3066" w:type="dxa"/>
          </w:tcPr>
          <w:p>
            <w:pPr>
              <w:pStyle w:val="TableParagraph"/>
              <w:spacing w:line="251" w:lineRule="exact"/>
              <w:ind w:left="192"/>
              <w:rPr>
                <w:sz w:val="21"/>
              </w:rPr>
            </w:pPr>
            <w:r>
              <w:rPr>
                <w:w w:val="124"/>
                <w:sz w:val="21"/>
              </w:rPr>
              <w:t>8</w:t>
            </w:r>
            <w:r>
              <w:rPr>
                <w:spacing w:val="-2"/>
                <w:w w:val="58"/>
                <w:sz w:val="21"/>
              </w:rPr>
              <w:t>.</w:t>
            </w:r>
            <w:r>
              <w:rPr>
                <w:spacing w:val="-2"/>
                <w:w w:val="97"/>
                <w:sz w:val="21"/>
              </w:rPr>
              <w:t>1</w:t>
            </w:r>
            <w:r>
              <w:rPr>
                <w:w w:val="122"/>
                <w:sz w:val="21"/>
              </w:rPr>
              <w:t>0</w:t>
            </w:r>
            <w:r>
              <w:rPr>
                <w:spacing w:val="-1"/>
                <w:sz w:val="21"/>
              </w:rPr>
              <w:t> </w:t>
            </w:r>
            <w:r>
              <w:rPr>
                <w:spacing w:val="-1"/>
                <w:w w:val="100"/>
                <w:sz w:val="21"/>
              </w:rPr>
              <w:t>争议处理</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431" w:type="dxa"/>
          </w:tcPr>
          <w:p>
            <w:pPr>
              <w:pStyle w:val="TableParagraph"/>
              <w:spacing w:line="251" w:lineRule="exact"/>
              <w:ind w:left="106"/>
              <w:rPr>
                <w:sz w:val="21"/>
              </w:rPr>
            </w:pPr>
            <w:r>
              <w:rPr>
                <w:sz w:val="21"/>
              </w:rPr>
              <w:t>与基本保险金额减少部</w:t>
            </w:r>
          </w:p>
        </w:tc>
      </w:tr>
      <w:tr>
        <w:trPr>
          <w:trHeight w:val="311"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5.</w:t>
              <w:tab/>
              <w:t>如何领取保险金</w:t>
            </w:r>
          </w:p>
        </w:tc>
        <w:tc>
          <w:tcPr>
            <w:tcW w:w="3066" w:type="dxa"/>
          </w:tcPr>
          <w:p>
            <w:pPr>
              <w:pStyle w:val="TableParagraph"/>
              <w:spacing w:line="251" w:lineRule="exact"/>
              <w:ind w:left="192"/>
              <w:rPr>
                <w:sz w:val="21"/>
              </w:rPr>
            </w:pPr>
            <w:r>
              <w:rPr>
                <w:w w:val="124"/>
                <w:sz w:val="21"/>
              </w:rPr>
              <w:t>8</w:t>
            </w:r>
            <w:r>
              <w:rPr>
                <w:spacing w:val="-2"/>
                <w:w w:val="58"/>
                <w:sz w:val="21"/>
              </w:rPr>
              <w:t>.</w:t>
            </w:r>
            <w:r>
              <w:rPr>
                <w:spacing w:val="-2"/>
                <w:w w:val="97"/>
                <w:sz w:val="21"/>
              </w:rPr>
              <w:t>1</w:t>
            </w:r>
            <w:r>
              <w:rPr>
                <w:w w:val="97"/>
                <w:sz w:val="21"/>
              </w:rPr>
              <w:t>1</w:t>
            </w:r>
            <w:r>
              <w:rPr>
                <w:spacing w:val="25"/>
                <w:sz w:val="21"/>
              </w:rPr>
              <w:t> </w:t>
            </w:r>
            <w:r>
              <w:rPr>
                <w:spacing w:val="-1"/>
                <w:w w:val="100"/>
                <w:sz w:val="21"/>
              </w:rPr>
              <w:t>合同终止</w:t>
            </w:r>
          </w:p>
        </w:tc>
        <w:tc>
          <w:tcPr>
            <w:tcW w:w="771" w:type="dxa"/>
          </w:tcPr>
          <w:p>
            <w:pPr>
              <w:pStyle w:val="TableParagraph"/>
              <w:ind w:left="0"/>
              <w:rPr>
                <w:rFonts w:ascii="Times New Roman"/>
                <w:sz w:val="20"/>
              </w:rPr>
            </w:pPr>
          </w:p>
        </w:tc>
        <w:tc>
          <w:tcPr>
            <w:tcW w:w="2431" w:type="dxa"/>
          </w:tcPr>
          <w:p>
            <w:pPr>
              <w:pStyle w:val="TableParagraph"/>
              <w:spacing w:line="251" w:lineRule="exact"/>
              <w:ind w:left="106"/>
              <w:rPr>
                <w:sz w:val="21"/>
              </w:rPr>
            </w:pPr>
            <w:r>
              <w:rPr>
                <w:sz w:val="21"/>
              </w:rPr>
              <w:t>分相对应的现金价值</w:t>
            </w:r>
          </w:p>
        </w:tc>
      </w:tr>
      <w:tr>
        <w:trPr>
          <w:trHeight w:val="312" w:hRule="atLeast"/>
        </w:trPr>
        <w:tc>
          <w:tcPr>
            <w:tcW w:w="2976" w:type="dxa"/>
          </w:tcPr>
          <w:p>
            <w:pPr>
              <w:pStyle w:val="TableParagraph"/>
              <w:spacing w:line="251" w:lineRule="exact"/>
              <w:ind w:left="50"/>
              <w:rPr>
                <w:sz w:val="21"/>
              </w:rPr>
            </w:pPr>
            <w:r>
              <w:rPr>
                <w:w w:val="122"/>
                <w:sz w:val="21"/>
              </w:rPr>
              <w:t>5</w:t>
            </w:r>
            <w:r>
              <w:rPr>
                <w:spacing w:val="-2"/>
                <w:w w:val="58"/>
                <w:sz w:val="21"/>
              </w:rPr>
              <w:t>.</w:t>
            </w:r>
            <w:r>
              <w:rPr>
                <w:w w:val="97"/>
                <w:sz w:val="21"/>
              </w:rPr>
              <w:t>1</w:t>
            </w:r>
            <w:r>
              <w:rPr>
                <w:spacing w:val="22"/>
                <w:sz w:val="21"/>
              </w:rPr>
              <w:t> </w:t>
            </w:r>
            <w:r>
              <w:rPr>
                <w:w w:val="100"/>
                <w:sz w:val="21"/>
              </w:rPr>
              <w:t>受益人</w:t>
            </w:r>
          </w:p>
        </w:tc>
        <w:tc>
          <w:tcPr>
            <w:tcW w:w="3066" w:type="dxa"/>
          </w:tcPr>
          <w:p>
            <w:pPr>
              <w:pStyle w:val="TableParagraph"/>
              <w:tabs>
                <w:tab w:pos="612" w:val="left" w:leader="none"/>
              </w:tabs>
              <w:spacing w:line="276" w:lineRule="exact"/>
              <w:ind w:left="192"/>
              <w:rPr>
                <w:rFonts w:ascii="微软雅黑" w:eastAsia="微软雅黑" w:hint="eastAsia"/>
                <w:b/>
                <w:sz w:val="21"/>
              </w:rPr>
            </w:pPr>
            <w:r>
              <w:rPr>
                <w:rFonts w:ascii="微软雅黑" w:eastAsia="微软雅黑" w:hint="eastAsia"/>
                <w:b/>
                <w:sz w:val="21"/>
              </w:rPr>
              <w:t>9.</w:t>
              <w:tab/>
              <w:t>疾病定义</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431" w:type="dxa"/>
          </w:tcPr>
          <w:p>
            <w:pPr>
              <w:pStyle w:val="TableParagraph"/>
              <w:spacing w:line="251" w:lineRule="exact"/>
              <w:ind w:left="106"/>
              <w:rPr>
                <w:sz w:val="21"/>
              </w:rPr>
            </w:pPr>
            <w:r>
              <w:rPr>
                <w:sz w:val="21"/>
              </w:rPr>
              <w:t>保单年度</w:t>
            </w:r>
          </w:p>
        </w:tc>
      </w:tr>
      <w:tr>
        <w:trPr>
          <w:trHeight w:val="312" w:hRule="atLeast"/>
        </w:trPr>
        <w:tc>
          <w:tcPr>
            <w:tcW w:w="2976" w:type="dxa"/>
          </w:tcPr>
          <w:p>
            <w:pPr>
              <w:pStyle w:val="TableParagraph"/>
              <w:spacing w:line="251" w:lineRule="exact"/>
              <w:ind w:left="50"/>
              <w:rPr>
                <w:sz w:val="21"/>
              </w:rPr>
            </w:pPr>
            <w:r>
              <w:rPr>
                <w:w w:val="122"/>
                <w:sz w:val="21"/>
              </w:rPr>
              <w:t>5</w:t>
            </w:r>
            <w:r>
              <w:rPr>
                <w:spacing w:val="-2"/>
                <w:w w:val="58"/>
                <w:sz w:val="21"/>
              </w:rPr>
              <w:t>.</w:t>
            </w:r>
            <w:r>
              <w:rPr>
                <w:w w:val="121"/>
                <w:sz w:val="21"/>
              </w:rPr>
              <w:t>2</w:t>
            </w:r>
            <w:r>
              <w:rPr>
                <w:spacing w:val="-2"/>
                <w:sz w:val="21"/>
              </w:rPr>
              <w:t> </w:t>
            </w:r>
            <w:r>
              <w:rPr>
                <w:spacing w:val="-2"/>
                <w:w w:val="100"/>
                <w:sz w:val="21"/>
              </w:rPr>
              <w:t>保险事故通知</w:t>
            </w:r>
          </w:p>
        </w:tc>
        <w:tc>
          <w:tcPr>
            <w:tcW w:w="3066" w:type="dxa"/>
          </w:tcPr>
          <w:p>
            <w:pPr>
              <w:pStyle w:val="TableParagraph"/>
              <w:spacing w:line="251" w:lineRule="exact"/>
              <w:ind w:left="192"/>
              <w:rPr>
                <w:sz w:val="21"/>
              </w:rPr>
            </w:pPr>
            <w:r>
              <w:rPr>
                <w:sz w:val="21"/>
              </w:rPr>
              <w:t>9.1 重症疾病</w:t>
            </w:r>
          </w:p>
        </w:tc>
        <w:tc>
          <w:tcPr>
            <w:tcW w:w="771"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431" w:type="dxa"/>
          </w:tcPr>
          <w:p>
            <w:pPr>
              <w:pStyle w:val="TableParagraph"/>
              <w:spacing w:line="251" w:lineRule="exact"/>
              <w:ind w:left="106"/>
              <w:rPr>
                <w:sz w:val="21"/>
              </w:rPr>
            </w:pPr>
            <w:r>
              <w:rPr>
                <w:sz w:val="21"/>
              </w:rPr>
              <w:t>周岁</w:t>
            </w:r>
          </w:p>
        </w:tc>
      </w:tr>
      <w:tr>
        <w:trPr>
          <w:trHeight w:val="312" w:hRule="atLeast"/>
        </w:trPr>
        <w:tc>
          <w:tcPr>
            <w:tcW w:w="2976" w:type="dxa"/>
          </w:tcPr>
          <w:p>
            <w:pPr>
              <w:pStyle w:val="TableParagraph"/>
              <w:spacing w:line="251" w:lineRule="exact"/>
              <w:ind w:left="50"/>
              <w:rPr>
                <w:sz w:val="21"/>
              </w:rPr>
            </w:pPr>
            <w:r>
              <w:rPr>
                <w:w w:val="122"/>
                <w:sz w:val="21"/>
              </w:rPr>
              <w:t>5</w:t>
            </w:r>
            <w:r>
              <w:rPr>
                <w:spacing w:val="-2"/>
                <w:w w:val="58"/>
                <w:sz w:val="21"/>
              </w:rPr>
              <w:t>.</w:t>
            </w:r>
            <w:r>
              <w:rPr>
                <w:w w:val="121"/>
                <w:sz w:val="21"/>
              </w:rPr>
              <w:t>3</w:t>
            </w:r>
            <w:r>
              <w:rPr>
                <w:spacing w:val="-3"/>
                <w:sz w:val="21"/>
              </w:rPr>
              <w:t> </w:t>
            </w:r>
            <w:r>
              <w:rPr>
                <w:spacing w:val="-1"/>
                <w:w w:val="100"/>
                <w:sz w:val="21"/>
              </w:rPr>
              <w:t>保险金申请</w:t>
            </w:r>
          </w:p>
        </w:tc>
        <w:tc>
          <w:tcPr>
            <w:tcW w:w="3066" w:type="dxa"/>
          </w:tcPr>
          <w:p>
            <w:pPr>
              <w:pStyle w:val="TableParagraph"/>
              <w:spacing w:line="276" w:lineRule="exact"/>
              <w:ind w:left="192"/>
              <w:rPr>
                <w:rFonts w:ascii="微软雅黑" w:eastAsia="微软雅黑" w:hint="eastAsia"/>
                <w:b/>
                <w:sz w:val="21"/>
              </w:rPr>
            </w:pPr>
            <w:r>
              <w:rPr>
                <w:rFonts w:ascii="微软雅黑" w:eastAsia="微软雅黑" w:hint="eastAsia"/>
                <w:b/>
                <w:sz w:val="21"/>
              </w:rPr>
              <w:t>10. 释 义</w:t>
            </w:r>
          </w:p>
        </w:tc>
        <w:tc>
          <w:tcPr>
            <w:tcW w:w="771"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2"/>
                <w:sz w:val="21"/>
              </w:rPr>
              <w:t>0</w:t>
            </w:r>
          </w:p>
        </w:tc>
        <w:tc>
          <w:tcPr>
            <w:tcW w:w="2431" w:type="dxa"/>
          </w:tcPr>
          <w:p>
            <w:pPr>
              <w:pStyle w:val="TableParagraph"/>
              <w:spacing w:line="251" w:lineRule="exact"/>
              <w:ind w:left="106"/>
              <w:rPr>
                <w:sz w:val="21"/>
              </w:rPr>
            </w:pPr>
            <w:r>
              <w:rPr>
                <w:sz w:val="21"/>
              </w:rPr>
              <w:t>永久不可逆</w:t>
            </w:r>
          </w:p>
        </w:tc>
      </w:tr>
      <w:tr>
        <w:trPr>
          <w:trHeight w:val="311" w:hRule="atLeast"/>
        </w:trPr>
        <w:tc>
          <w:tcPr>
            <w:tcW w:w="2976" w:type="dxa"/>
          </w:tcPr>
          <w:p>
            <w:pPr>
              <w:pStyle w:val="TableParagraph"/>
              <w:spacing w:line="251" w:lineRule="exact"/>
              <w:ind w:left="50"/>
              <w:rPr>
                <w:sz w:val="21"/>
              </w:rPr>
            </w:pPr>
            <w:r>
              <w:rPr>
                <w:w w:val="122"/>
                <w:sz w:val="21"/>
              </w:rPr>
              <w:t>5</w:t>
            </w:r>
            <w:r>
              <w:rPr>
                <w:spacing w:val="-2"/>
                <w:w w:val="58"/>
                <w:sz w:val="21"/>
              </w:rPr>
              <w:t>.</w:t>
            </w:r>
            <w:r>
              <w:rPr>
                <w:w w:val="123"/>
                <w:sz w:val="21"/>
              </w:rPr>
              <w:t>4</w:t>
            </w:r>
            <w:r>
              <w:rPr>
                <w:spacing w:val="-4"/>
                <w:sz w:val="21"/>
              </w:rPr>
              <w:t> </w:t>
            </w:r>
            <w:r>
              <w:rPr>
                <w:spacing w:val="-1"/>
                <w:w w:val="100"/>
                <w:sz w:val="21"/>
              </w:rPr>
              <w:t>保险金给付</w:t>
            </w:r>
          </w:p>
        </w:tc>
        <w:tc>
          <w:tcPr>
            <w:tcW w:w="3066" w:type="dxa"/>
          </w:tcPr>
          <w:p>
            <w:pPr>
              <w:pStyle w:val="TableParagraph"/>
              <w:spacing w:line="251" w:lineRule="exact"/>
              <w:ind w:left="192"/>
              <w:rPr>
                <w:sz w:val="21"/>
              </w:rPr>
            </w:pPr>
            <w:r>
              <w:rPr>
                <w:w w:val="97"/>
                <w:sz w:val="21"/>
              </w:rPr>
              <w:t>1</w:t>
            </w:r>
            <w:r>
              <w:rPr>
                <w:w w:val="122"/>
                <w:sz w:val="21"/>
              </w:rPr>
              <w:t>0</w:t>
            </w:r>
            <w:r>
              <w:rPr>
                <w:spacing w:val="-4"/>
                <w:w w:val="58"/>
                <w:sz w:val="21"/>
              </w:rPr>
              <w:t>.</w:t>
            </w:r>
            <w:r>
              <w:rPr>
                <w:w w:val="97"/>
                <w:sz w:val="21"/>
              </w:rPr>
              <w:t>1</w:t>
            </w:r>
            <w:r>
              <w:rPr>
                <w:spacing w:val="27"/>
                <w:sz w:val="21"/>
              </w:rPr>
              <w:t> </w:t>
            </w:r>
            <w:r>
              <w:rPr>
                <w:w w:val="100"/>
                <w:sz w:val="21"/>
              </w:rPr>
              <w:t>医院</w:t>
            </w:r>
          </w:p>
        </w:tc>
        <w:tc>
          <w:tcPr>
            <w:tcW w:w="771" w:type="dxa"/>
          </w:tcPr>
          <w:p>
            <w:pPr>
              <w:pStyle w:val="TableParagraph"/>
              <w:spacing w:line="251" w:lineRule="exact"/>
              <w:ind w:left="246"/>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431" w:type="dxa"/>
          </w:tcPr>
          <w:p>
            <w:pPr>
              <w:pStyle w:val="TableParagraph"/>
              <w:spacing w:line="251" w:lineRule="exact"/>
              <w:ind w:left="106"/>
              <w:rPr>
                <w:sz w:val="21"/>
              </w:rPr>
            </w:pPr>
            <w:r>
              <w:rPr>
                <w:sz w:val="21"/>
              </w:rPr>
              <w:t>美国纽约心脏病学会心</w:t>
            </w:r>
          </w:p>
        </w:tc>
      </w:tr>
      <w:tr>
        <w:trPr>
          <w:trHeight w:val="311" w:hRule="atLeast"/>
        </w:trPr>
        <w:tc>
          <w:tcPr>
            <w:tcW w:w="2976" w:type="dxa"/>
          </w:tcPr>
          <w:p>
            <w:pPr>
              <w:pStyle w:val="TableParagraph"/>
              <w:spacing w:line="251" w:lineRule="exact"/>
              <w:ind w:left="50"/>
              <w:rPr>
                <w:sz w:val="21"/>
              </w:rPr>
            </w:pPr>
            <w:r>
              <w:rPr>
                <w:w w:val="122"/>
                <w:sz w:val="21"/>
              </w:rPr>
              <w:t>5</w:t>
            </w:r>
            <w:r>
              <w:rPr>
                <w:spacing w:val="-2"/>
                <w:w w:val="58"/>
                <w:sz w:val="21"/>
              </w:rPr>
              <w:t>.</w:t>
            </w:r>
            <w:r>
              <w:rPr>
                <w:w w:val="122"/>
                <w:sz w:val="21"/>
              </w:rPr>
              <w:t>5</w:t>
            </w:r>
            <w:r>
              <w:rPr>
                <w:spacing w:val="-4"/>
                <w:sz w:val="21"/>
              </w:rPr>
              <w:t> </w:t>
            </w:r>
            <w:r>
              <w:rPr>
                <w:spacing w:val="-1"/>
                <w:w w:val="100"/>
                <w:sz w:val="21"/>
              </w:rPr>
              <w:t>诉讼时效</w:t>
            </w:r>
          </w:p>
        </w:tc>
        <w:tc>
          <w:tcPr>
            <w:tcW w:w="3066" w:type="dxa"/>
          </w:tcPr>
          <w:p>
            <w:pPr>
              <w:pStyle w:val="TableParagraph"/>
              <w:spacing w:line="251" w:lineRule="exact"/>
              <w:ind w:left="192"/>
              <w:rPr>
                <w:sz w:val="21"/>
              </w:rPr>
            </w:pPr>
            <w:r>
              <w:rPr>
                <w:w w:val="97"/>
                <w:sz w:val="21"/>
              </w:rPr>
              <w:t>1</w:t>
            </w:r>
            <w:r>
              <w:rPr>
                <w:w w:val="122"/>
                <w:sz w:val="21"/>
              </w:rPr>
              <w:t>0</w:t>
            </w:r>
            <w:r>
              <w:rPr>
                <w:spacing w:val="-2"/>
                <w:w w:val="58"/>
                <w:sz w:val="21"/>
              </w:rPr>
              <w:t>.</w:t>
            </w:r>
            <w:r>
              <w:rPr>
                <w:w w:val="121"/>
                <w:sz w:val="21"/>
              </w:rPr>
              <w:t>2</w:t>
            </w:r>
            <w:r>
              <w:rPr>
                <w:spacing w:val="0"/>
                <w:sz w:val="21"/>
              </w:rPr>
              <w:t> </w:t>
            </w:r>
            <w:r>
              <w:rPr>
                <w:spacing w:val="-1"/>
                <w:w w:val="100"/>
                <w:sz w:val="21"/>
              </w:rPr>
              <w:t>初次确诊</w:t>
            </w:r>
          </w:p>
        </w:tc>
        <w:tc>
          <w:tcPr>
            <w:tcW w:w="771" w:type="dxa"/>
          </w:tcPr>
          <w:p>
            <w:pPr>
              <w:pStyle w:val="TableParagraph"/>
              <w:ind w:left="0"/>
              <w:rPr>
                <w:rFonts w:ascii="Times New Roman"/>
                <w:sz w:val="20"/>
              </w:rPr>
            </w:pPr>
          </w:p>
        </w:tc>
        <w:tc>
          <w:tcPr>
            <w:tcW w:w="2431" w:type="dxa"/>
          </w:tcPr>
          <w:p>
            <w:pPr>
              <w:pStyle w:val="TableParagraph"/>
              <w:spacing w:line="251" w:lineRule="exact"/>
              <w:ind w:left="106"/>
              <w:rPr>
                <w:sz w:val="21"/>
              </w:rPr>
            </w:pPr>
            <w:r>
              <w:rPr>
                <w:sz w:val="21"/>
              </w:rPr>
              <w:t>功能状态分级</w:t>
            </w:r>
          </w:p>
        </w:tc>
      </w:tr>
      <w:tr>
        <w:trPr>
          <w:trHeight w:val="312"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6.</w:t>
              <w:tab/>
              <w:t>如何退保</w:t>
            </w:r>
          </w:p>
        </w:tc>
        <w:tc>
          <w:tcPr>
            <w:tcW w:w="3066" w:type="dxa"/>
          </w:tcPr>
          <w:p>
            <w:pPr>
              <w:pStyle w:val="TableParagraph"/>
              <w:spacing w:line="251" w:lineRule="exact"/>
              <w:ind w:left="192"/>
              <w:rPr>
                <w:sz w:val="21"/>
              </w:rPr>
            </w:pPr>
            <w:r>
              <w:rPr>
                <w:w w:val="97"/>
                <w:sz w:val="21"/>
              </w:rPr>
              <w:t>1</w:t>
            </w:r>
            <w:r>
              <w:rPr>
                <w:w w:val="122"/>
                <w:sz w:val="21"/>
              </w:rPr>
              <w:t>0</w:t>
            </w:r>
            <w:r>
              <w:rPr>
                <w:spacing w:val="-2"/>
                <w:w w:val="58"/>
                <w:sz w:val="21"/>
              </w:rPr>
              <w:t>.</w:t>
            </w:r>
            <w:r>
              <w:rPr>
                <w:w w:val="121"/>
                <w:sz w:val="21"/>
              </w:rPr>
              <w:t>3</w:t>
            </w:r>
            <w:r>
              <w:rPr>
                <w:sz w:val="21"/>
              </w:rPr>
              <w:t> </w:t>
            </w:r>
            <w:r>
              <w:rPr>
                <w:spacing w:val="-1"/>
                <w:w w:val="100"/>
                <w:sz w:val="21"/>
              </w:rPr>
              <w:t>意外伤害</w:t>
            </w:r>
          </w:p>
        </w:tc>
        <w:tc>
          <w:tcPr>
            <w:tcW w:w="771"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431" w:type="dxa"/>
          </w:tcPr>
          <w:p>
            <w:pPr>
              <w:pStyle w:val="TableParagraph"/>
              <w:spacing w:line="251" w:lineRule="exact"/>
              <w:ind w:left="106"/>
              <w:rPr>
                <w:sz w:val="21"/>
              </w:rPr>
            </w:pPr>
            <w:r>
              <w:rPr>
                <w:sz w:val="21"/>
              </w:rPr>
              <w:t>肢体机能完全丧失</w:t>
            </w:r>
          </w:p>
        </w:tc>
      </w:tr>
      <w:tr>
        <w:trPr>
          <w:trHeight w:val="311" w:hRule="atLeast"/>
        </w:trPr>
        <w:tc>
          <w:tcPr>
            <w:tcW w:w="2976" w:type="dxa"/>
          </w:tcPr>
          <w:p>
            <w:pPr>
              <w:pStyle w:val="TableParagraph"/>
              <w:spacing w:line="251" w:lineRule="exact"/>
              <w:ind w:left="50"/>
              <w:rPr>
                <w:sz w:val="21"/>
              </w:rPr>
            </w:pPr>
            <w:r>
              <w:rPr>
                <w:sz w:val="21"/>
              </w:rPr>
              <w:t>6.1 犹豫期</w:t>
            </w:r>
          </w:p>
        </w:tc>
        <w:tc>
          <w:tcPr>
            <w:tcW w:w="3066" w:type="dxa"/>
          </w:tcPr>
          <w:p>
            <w:pPr>
              <w:pStyle w:val="TableParagraph"/>
              <w:spacing w:line="251" w:lineRule="exact"/>
              <w:ind w:left="192"/>
              <w:rPr>
                <w:sz w:val="21"/>
              </w:rPr>
            </w:pPr>
            <w:r>
              <w:rPr>
                <w:w w:val="97"/>
                <w:sz w:val="21"/>
              </w:rPr>
              <w:t>1</w:t>
            </w:r>
            <w:r>
              <w:rPr>
                <w:w w:val="122"/>
                <w:sz w:val="21"/>
              </w:rPr>
              <w:t>0</w:t>
            </w:r>
            <w:r>
              <w:rPr>
                <w:spacing w:val="-2"/>
                <w:w w:val="58"/>
                <w:sz w:val="21"/>
              </w:rPr>
              <w:t>.</w:t>
            </w:r>
            <w:r>
              <w:rPr>
                <w:w w:val="123"/>
                <w:sz w:val="21"/>
              </w:rPr>
              <w:t>4</w:t>
            </w:r>
            <w:r>
              <w:rPr>
                <w:spacing w:val="-2"/>
                <w:sz w:val="21"/>
              </w:rPr>
              <w:t> </w:t>
            </w:r>
            <w:r>
              <w:rPr>
                <w:w w:val="100"/>
                <w:sz w:val="21"/>
              </w:rPr>
              <w:t>毒品</w:t>
            </w:r>
          </w:p>
        </w:tc>
        <w:tc>
          <w:tcPr>
            <w:tcW w:w="771"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w w:val="121"/>
                <w:sz w:val="21"/>
              </w:rPr>
              <w:t>23</w:t>
            </w:r>
          </w:p>
        </w:tc>
        <w:tc>
          <w:tcPr>
            <w:tcW w:w="2431" w:type="dxa"/>
          </w:tcPr>
          <w:p>
            <w:pPr>
              <w:pStyle w:val="TableParagraph"/>
              <w:spacing w:line="251" w:lineRule="exact"/>
              <w:ind w:left="106"/>
              <w:rPr>
                <w:sz w:val="21"/>
              </w:rPr>
            </w:pPr>
            <w:r>
              <w:rPr>
                <w:sz w:val="21"/>
              </w:rPr>
              <w:t>语言能力或者咀嚼吞咽</w:t>
            </w:r>
          </w:p>
        </w:tc>
      </w:tr>
      <w:tr>
        <w:trPr>
          <w:trHeight w:val="311" w:hRule="atLeast"/>
        </w:trPr>
        <w:tc>
          <w:tcPr>
            <w:tcW w:w="2976" w:type="dxa"/>
          </w:tcPr>
          <w:p>
            <w:pPr>
              <w:pStyle w:val="TableParagraph"/>
              <w:spacing w:line="251" w:lineRule="exact"/>
              <w:ind w:left="50"/>
              <w:rPr>
                <w:sz w:val="21"/>
              </w:rPr>
            </w:pPr>
            <w:r>
              <w:rPr>
                <w:sz w:val="21"/>
              </w:rPr>
              <w:t>6.2 您解除合同的手续及风险</w:t>
            </w:r>
          </w:p>
        </w:tc>
        <w:tc>
          <w:tcPr>
            <w:tcW w:w="3066" w:type="dxa"/>
          </w:tcPr>
          <w:p>
            <w:pPr>
              <w:pStyle w:val="TableParagraph"/>
              <w:spacing w:line="251" w:lineRule="exact"/>
              <w:ind w:left="192"/>
              <w:rPr>
                <w:sz w:val="21"/>
              </w:rPr>
            </w:pPr>
            <w:r>
              <w:rPr>
                <w:w w:val="97"/>
                <w:sz w:val="21"/>
              </w:rPr>
              <w:t>1</w:t>
            </w:r>
            <w:r>
              <w:rPr>
                <w:w w:val="122"/>
                <w:sz w:val="21"/>
              </w:rPr>
              <w:t>0</w:t>
            </w:r>
            <w:r>
              <w:rPr>
                <w:spacing w:val="-4"/>
                <w:w w:val="58"/>
                <w:sz w:val="21"/>
              </w:rPr>
              <w:t>.</w:t>
            </w:r>
            <w:r>
              <w:rPr>
                <w:w w:val="122"/>
                <w:sz w:val="21"/>
              </w:rPr>
              <w:t>5</w:t>
            </w:r>
            <w:r>
              <w:rPr>
                <w:spacing w:val="0"/>
                <w:sz w:val="21"/>
              </w:rPr>
              <w:t> </w:t>
            </w:r>
            <w:r>
              <w:rPr>
                <w:spacing w:val="-1"/>
                <w:w w:val="100"/>
                <w:sz w:val="21"/>
              </w:rPr>
              <w:t>酒后驾驶</w:t>
            </w:r>
          </w:p>
        </w:tc>
        <w:tc>
          <w:tcPr>
            <w:tcW w:w="771" w:type="dxa"/>
          </w:tcPr>
          <w:p>
            <w:pPr>
              <w:pStyle w:val="TableParagraph"/>
              <w:ind w:left="0"/>
              <w:rPr>
                <w:rFonts w:ascii="Times New Roman"/>
                <w:sz w:val="20"/>
              </w:rPr>
            </w:pPr>
          </w:p>
        </w:tc>
        <w:tc>
          <w:tcPr>
            <w:tcW w:w="2431" w:type="dxa"/>
          </w:tcPr>
          <w:p>
            <w:pPr>
              <w:pStyle w:val="TableParagraph"/>
              <w:spacing w:line="251" w:lineRule="exact"/>
              <w:ind w:left="106"/>
              <w:rPr>
                <w:sz w:val="21"/>
              </w:rPr>
            </w:pPr>
            <w:r>
              <w:rPr>
                <w:sz w:val="21"/>
              </w:rPr>
              <w:t>能力完全丧失</w:t>
            </w:r>
          </w:p>
        </w:tc>
      </w:tr>
      <w:tr>
        <w:trPr>
          <w:trHeight w:val="311" w:hRule="atLeast"/>
        </w:trPr>
        <w:tc>
          <w:tcPr>
            <w:tcW w:w="2976" w:type="dxa"/>
          </w:tcPr>
          <w:p>
            <w:pPr>
              <w:pStyle w:val="TableParagraph"/>
              <w:tabs>
                <w:tab w:pos="469" w:val="left" w:leader="none"/>
              </w:tabs>
              <w:spacing w:line="276" w:lineRule="exact"/>
              <w:ind w:left="50"/>
              <w:rPr>
                <w:rFonts w:ascii="微软雅黑" w:eastAsia="微软雅黑" w:hint="eastAsia"/>
                <w:b/>
                <w:sz w:val="21"/>
              </w:rPr>
            </w:pPr>
            <w:r>
              <w:rPr>
                <w:rFonts w:ascii="微软雅黑" w:eastAsia="微软雅黑" w:hint="eastAsia"/>
                <w:b/>
                <w:sz w:val="21"/>
              </w:rPr>
              <w:t>7.</w:t>
              <w:tab/>
              <w:t>其他权益</w:t>
            </w:r>
          </w:p>
        </w:tc>
        <w:tc>
          <w:tcPr>
            <w:tcW w:w="3066" w:type="dxa"/>
          </w:tcPr>
          <w:p>
            <w:pPr>
              <w:pStyle w:val="TableParagraph"/>
              <w:spacing w:line="251" w:lineRule="exact"/>
              <w:ind w:left="192"/>
              <w:rPr>
                <w:sz w:val="21"/>
              </w:rPr>
            </w:pPr>
            <w:r>
              <w:rPr>
                <w:w w:val="97"/>
                <w:sz w:val="21"/>
              </w:rPr>
              <w:t>1</w:t>
            </w:r>
            <w:r>
              <w:rPr>
                <w:w w:val="122"/>
                <w:sz w:val="21"/>
              </w:rPr>
              <w:t>0</w:t>
            </w:r>
            <w:r>
              <w:rPr>
                <w:spacing w:val="-2"/>
                <w:w w:val="58"/>
                <w:sz w:val="21"/>
              </w:rPr>
              <w:t>.</w:t>
            </w:r>
            <w:r>
              <w:rPr>
                <w:w w:val="123"/>
                <w:sz w:val="21"/>
              </w:rPr>
              <w:t>6</w:t>
            </w:r>
            <w:r>
              <w:rPr>
                <w:spacing w:val="-2"/>
                <w:sz w:val="21"/>
              </w:rPr>
              <w:t> </w:t>
            </w:r>
            <w:r>
              <w:rPr>
                <w:spacing w:val="-3"/>
                <w:w w:val="100"/>
                <w:sz w:val="21"/>
              </w:rPr>
              <w:t>无合法有效驾驶证驾驶</w:t>
            </w:r>
          </w:p>
        </w:tc>
        <w:tc>
          <w:tcPr>
            <w:tcW w:w="771"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431" w:type="dxa"/>
          </w:tcPr>
          <w:p>
            <w:pPr>
              <w:pStyle w:val="TableParagraph"/>
              <w:spacing w:line="251" w:lineRule="exact"/>
              <w:ind w:left="106"/>
              <w:rPr>
                <w:sz w:val="21"/>
              </w:rPr>
            </w:pPr>
            <w:r>
              <w:rPr>
                <w:sz w:val="21"/>
              </w:rPr>
              <w:t>六项基本日常Th活活动</w:t>
            </w:r>
          </w:p>
        </w:tc>
      </w:tr>
      <w:tr>
        <w:trPr>
          <w:trHeight w:val="319" w:hRule="atLeast"/>
        </w:trPr>
        <w:tc>
          <w:tcPr>
            <w:tcW w:w="2976" w:type="dxa"/>
          </w:tcPr>
          <w:p>
            <w:pPr>
              <w:pStyle w:val="TableParagraph"/>
              <w:spacing w:line="251" w:lineRule="exact"/>
              <w:ind w:left="50"/>
              <w:rPr>
                <w:sz w:val="21"/>
              </w:rPr>
            </w:pPr>
            <w:r>
              <w:rPr>
                <w:w w:val="122"/>
                <w:sz w:val="21"/>
              </w:rPr>
              <w:t>7</w:t>
            </w:r>
            <w:r>
              <w:rPr>
                <w:spacing w:val="-2"/>
                <w:w w:val="58"/>
                <w:sz w:val="21"/>
              </w:rPr>
              <w:t>.</w:t>
            </w:r>
            <w:r>
              <w:rPr>
                <w:w w:val="97"/>
                <w:sz w:val="21"/>
              </w:rPr>
              <w:t>1</w:t>
            </w:r>
            <w:r>
              <w:rPr>
                <w:spacing w:val="22"/>
                <w:sz w:val="21"/>
              </w:rPr>
              <w:t> </w:t>
            </w:r>
            <w:r>
              <w:rPr>
                <w:spacing w:val="-3"/>
                <w:w w:val="100"/>
                <w:sz w:val="21"/>
              </w:rPr>
              <w:t>保单贷款</w:t>
            </w:r>
          </w:p>
        </w:tc>
        <w:tc>
          <w:tcPr>
            <w:tcW w:w="3066" w:type="dxa"/>
          </w:tcPr>
          <w:p>
            <w:pPr>
              <w:pStyle w:val="TableParagraph"/>
              <w:spacing w:line="251" w:lineRule="exact"/>
              <w:ind w:left="192"/>
              <w:rPr>
                <w:sz w:val="21"/>
              </w:rPr>
            </w:pPr>
            <w:r>
              <w:rPr>
                <w:w w:val="97"/>
                <w:sz w:val="21"/>
              </w:rPr>
              <w:t>1</w:t>
            </w:r>
            <w:r>
              <w:rPr>
                <w:w w:val="122"/>
                <w:sz w:val="21"/>
              </w:rPr>
              <w:t>0</w:t>
            </w:r>
            <w:r>
              <w:rPr>
                <w:spacing w:val="-4"/>
                <w:w w:val="58"/>
                <w:sz w:val="21"/>
              </w:rPr>
              <w:t>.</w:t>
            </w:r>
            <w:r>
              <w:rPr>
                <w:w w:val="122"/>
                <w:sz w:val="21"/>
              </w:rPr>
              <w:t>7</w:t>
            </w:r>
            <w:r>
              <w:rPr>
                <w:spacing w:val="0"/>
                <w:sz w:val="21"/>
              </w:rPr>
              <w:t> </w:t>
            </w:r>
            <w:r>
              <w:rPr>
                <w:spacing w:val="-3"/>
                <w:w w:val="100"/>
                <w:sz w:val="21"/>
              </w:rPr>
              <w:t>无合法有效行驶证</w:t>
            </w:r>
          </w:p>
        </w:tc>
        <w:tc>
          <w:tcPr>
            <w:tcW w:w="771" w:type="dxa"/>
          </w:tcPr>
          <w:p>
            <w:pPr>
              <w:pStyle w:val="TableParagraph"/>
              <w:ind w:left="0"/>
              <w:rPr>
                <w:rFonts w:ascii="Times New Roman"/>
                <w:sz w:val="20"/>
              </w:rPr>
            </w:pPr>
          </w:p>
        </w:tc>
        <w:tc>
          <w:tcPr>
            <w:tcW w:w="2431" w:type="dxa"/>
          </w:tcPr>
          <w:p>
            <w:pPr>
              <w:pStyle w:val="TableParagraph"/>
              <w:ind w:left="0"/>
              <w:rPr>
                <w:rFonts w:ascii="Times New Roman"/>
                <w:sz w:val="20"/>
              </w:rPr>
            </w:pPr>
          </w:p>
        </w:tc>
      </w:tr>
    </w:tbl>
    <w:p>
      <w:pPr>
        <w:spacing w:after="0"/>
        <w:rPr>
          <w:rFonts w:ascii="Times New Roman"/>
          <w:sz w:val="20"/>
        </w:rPr>
        <w:sectPr>
          <w:type w:val="continuous"/>
          <w:pgSz w:w="11910" w:h="16840"/>
          <w:pgMar w:top="480" w:bottom="280" w:left="880" w:right="640"/>
        </w:sectPr>
      </w:pPr>
    </w:p>
    <w:p>
      <w:pPr>
        <w:spacing w:line="407" w:lineRule="exact" w:before="0"/>
        <w:ind w:left="3646" w:right="3887" w:firstLine="0"/>
        <w:jc w:val="center"/>
        <w:rPr>
          <w:sz w:val="32"/>
        </w:rPr>
      </w:pPr>
      <w:r>
        <w:rPr>
          <w:w w:val="95"/>
          <w:sz w:val="32"/>
        </w:rPr>
        <w:t>信美人寿相互保险社</w:t>
      </w:r>
    </w:p>
    <w:p>
      <w:pPr>
        <w:spacing w:before="205"/>
        <w:ind w:left="2190" w:right="0" w:firstLine="0"/>
        <w:jc w:val="left"/>
        <w:rPr>
          <w:sz w:val="32"/>
        </w:rPr>
      </w:pPr>
      <w:r>
        <w:rPr>
          <w:spacing w:val="-22"/>
          <w:sz w:val="32"/>
        </w:rPr>
        <w:t>信美相互 </w:t>
      </w:r>
      <w:r>
        <w:rPr>
          <w:w w:val="85"/>
          <w:sz w:val="32"/>
        </w:rPr>
        <w:t>i</w:t>
      </w:r>
      <w:r>
        <w:rPr>
          <w:spacing w:val="-85"/>
          <w:w w:val="85"/>
          <w:sz w:val="32"/>
        </w:rPr>
        <w:t> </w:t>
      </w:r>
      <w:r>
        <w:rPr>
          <w:sz w:val="32"/>
        </w:rPr>
        <w:t>健康基础保终身疾病保险条款</w:t>
      </w:r>
    </w:p>
    <w:p>
      <w:pPr>
        <w:pStyle w:val="BodyText"/>
        <w:spacing w:before="5"/>
        <w:rPr>
          <w:sz w:val="43"/>
        </w:rPr>
      </w:pPr>
    </w:p>
    <w:p>
      <w:pPr>
        <w:pStyle w:val="BodyText"/>
        <w:spacing w:line="280" w:lineRule="auto"/>
        <w:ind w:left="212" w:right="53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1"/>
          <w:w w:val="100"/>
        </w:rPr>
        <w:t>健康基础保终身疾病保险合同”，投保人、被保险人的姓名在保险单上载明。</w:t>
      </w:r>
    </w:p>
    <w:p>
      <w:pPr>
        <w:pStyle w:val="BodyText"/>
        <w:rPr>
          <w:sz w:val="20"/>
        </w:rPr>
      </w:pPr>
    </w:p>
    <w:p>
      <w:pPr>
        <w:pStyle w:val="BodyText"/>
        <w:spacing w:before="12"/>
        <w:rPr>
          <w:sz w:val="2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836"/>
        <w:gridCol w:w="7577"/>
      </w:tblGrid>
      <w:tr>
        <w:trPr>
          <w:trHeight w:val="757" w:hRule="atLeast"/>
        </w:trPr>
        <w:tc>
          <w:tcPr>
            <w:tcW w:w="678"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4" w:lineRule="exact"/>
              <w:ind w:left="246"/>
              <w:rPr>
                <w:rFonts w:ascii="微软雅黑" w:eastAsia="微软雅黑" w:hint="eastAsia"/>
                <w:b/>
                <w:sz w:val="24"/>
              </w:rPr>
            </w:pPr>
            <w:r>
              <w:rPr>
                <w:rFonts w:ascii="微软雅黑" w:eastAsia="微软雅黑" w:hint="eastAsia"/>
                <w:b/>
                <w:sz w:val="24"/>
              </w:rPr>
              <w:t>我们保什么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2"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基本保险金额</w:t>
            </w:r>
          </w:p>
        </w:tc>
        <w:tc>
          <w:tcPr>
            <w:tcW w:w="7577" w:type="dxa"/>
            <w:tcBorders>
              <w:top w:val="single" w:sz="8" w:space="0" w:color="000000"/>
            </w:tcBorders>
          </w:tcPr>
          <w:p>
            <w:pPr>
              <w:pStyle w:val="TableParagraph"/>
              <w:spacing w:before="3"/>
              <w:ind w:left="0"/>
              <w:rPr>
                <w:sz w:val="18"/>
              </w:rPr>
            </w:pPr>
          </w:p>
          <w:p>
            <w:pPr>
              <w:pStyle w:val="TableParagraph"/>
              <w:rPr>
                <w:sz w:val="21"/>
              </w:rPr>
            </w:pPr>
            <w:r>
              <w:rPr>
                <w:sz w:val="21"/>
              </w:rPr>
              <w:t>本合同的基本保险金额由您在投保时与我们约定，并在保险单上载明。</w:t>
            </w:r>
          </w:p>
        </w:tc>
      </w:tr>
      <w:tr>
        <w:trPr>
          <w:trHeight w:val="567" w:hRule="atLeast"/>
        </w:trPr>
        <w:tc>
          <w:tcPr>
            <w:tcW w:w="678" w:type="dxa"/>
          </w:tcPr>
          <w:p>
            <w:pPr>
              <w:pStyle w:val="TableParagraph"/>
              <w:spacing w:before="41"/>
              <w:ind w:left="107"/>
              <w:rPr>
                <w:rFonts w:ascii="微软雅黑"/>
                <w:b/>
                <w:sz w:val="21"/>
              </w:rPr>
            </w:pPr>
            <w:r>
              <w:rPr>
                <w:rFonts w:ascii="微软雅黑"/>
                <w:b/>
                <w:sz w:val="21"/>
              </w:rPr>
              <w:t>1.2</w:t>
            </w:r>
          </w:p>
        </w:tc>
        <w:tc>
          <w:tcPr>
            <w:tcW w:w="1836" w:type="dxa"/>
          </w:tcPr>
          <w:p>
            <w:pPr>
              <w:pStyle w:val="TableParagraph"/>
              <w:spacing w:before="41"/>
              <w:ind w:left="246"/>
              <w:rPr>
                <w:rFonts w:ascii="微软雅黑" w:eastAsia="微软雅黑" w:hint="eastAsia"/>
                <w:b/>
                <w:sz w:val="21"/>
              </w:rPr>
            </w:pPr>
            <w:r>
              <w:rPr>
                <w:rFonts w:ascii="微软雅黑" w:eastAsia="微软雅黑" w:hint="eastAsia"/>
                <w:b/>
                <w:sz w:val="21"/>
              </w:rPr>
              <w:t>保险期间</w:t>
            </w:r>
          </w:p>
        </w:tc>
        <w:tc>
          <w:tcPr>
            <w:tcW w:w="7577" w:type="dxa"/>
          </w:tcPr>
          <w:p>
            <w:pPr>
              <w:pStyle w:val="TableParagraph"/>
              <w:spacing w:before="103"/>
              <w:rPr>
                <w:sz w:val="21"/>
              </w:rPr>
            </w:pPr>
            <w:r>
              <w:rPr>
                <w:sz w:val="21"/>
              </w:rPr>
              <w:t>本合同的保险期间为被保险人终身，自本合同Th效日零时开始。</w:t>
            </w:r>
          </w:p>
        </w:tc>
      </w:tr>
      <w:tr>
        <w:trPr>
          <w:trHeight w:val="568" w:hRule="atLeast"/>
        </w:trPr>
        <w:tc>
          <w:tcPr>
            <w:tcW w:w="678" w:type="dxa"/>
          </w:tcPr>
          <w:p>
            <w:pPr>
              <w:pStyle w:val="TableParagraph"/>
              <w:spacing w:before="42"/>
              <w:ind w:left="107"/>
              <w:rPr>
                <w:rFonts w:ascii="微软雅黑"/>
                <w:b/>
                <w:sz w:val="21"/>
              </w:rPr>
            </w:pPr>
            <w:r>
              <w:rPr>
                <w:rFonts w:ascii="微软雅黑"/>
                <w:b/>
                <w:sz w:val="21"/>
              </w:rPr>
              <w:t>1.3</w:t>
            </w: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保险责任</w:t>
            </w:r>
          </w:p>
        </w:tc>
        <w:tc>
          <w:tcPr>
            <w:tcW w:w="7577" w:type="dxa"/>
          </w:tcPr>
          <w:p>
            <w:pPr>
              <w:pStyle w:val="TableParagraph"/>
              <w:spacing w:before="104"/>
              <w:rPr>
                <w:sz w:val="21"/>
              </w:rPr>
            </w:pPr>
            <w:r>
              <w:rPr>
                <w:sz w:val="21"/>
              </w:rPr>
              <w:t>在本合同保险期间内，我们承担下列保险责任：</w:t>
            </w:r>
          </w:p>
        </w:tc>
      </w:tr>
      <w:tr>
        <w:trPr>
          <w:trHeight w:val="3633" w:hRule="atLeast"/>
        </w:trPr>
        <w:tc>
          <w:tcPr>
            <w:tcW w:w="678" w:type="dxa"/>
          </w:tcPr>
          <w:p>
            <w:pPr>
              <w:pStyle w:val="TableParagraph"/>
              <w:ind w:left="0"/>
              <w:rPr>
                <w:rFonts w:ascii="Times New Roman"/>
                <w:sz w:val="20"/>
              </w:rPr>
            </w:pP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重症疾病保险金</w:t>
            </w:r>
          </w:p>
        </w:tc>
        <w:tc>
          <w:tcPr>
            <w:tcW w:w="7577" w:type="dxa"/>
          </w:tcPr>
          <w:p>
            <w:pPr>
              <w:pStyle w:val="TableParagraph"/>
              <w:spacing w:line="213" w:lineRule="auto" w:before="81"/>
              <w:ind w:right="336"/>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w:t>
            </w:r>
            <w:r>
              <w:rPr>
                <w:rFonts w:ascii="微软雅黑" w:eastAsia="微软雅黑" w:hint="eastAsia"/>
                <w:b/>
                <w:w w:val="100"/>
                <w:sz w:val="21"/>
              </w:rPr>
              <w:t>医院</w:t>
            </w:r>
            <w:r>
              <w:rPr>
                <w:w w:val="100"/>
                <w:sz w:val="21"/>
              </w:rPr>
              <w:t>（见</w:t>
            </w:r>
            <w:r>
              <w:rPr>
                <w:spacing w:val="-35"/>
                <w:sz w:val="21"/>
              </w:rPr>
              <w:t> </w:t>
            </w:r>
            <w:r>
              <w:rPr>
                <w:w w:val="97"/>
                <w:sz w:val="21"/>
              </w:rPr>
              <w:t>1</w:t>
            </w:r>
            <w:r>
              <w:rPr>
                <w:w w:val="122"/>
                <w:sz w:val="21"/>
              </w:rPr>
              <w:t>0</w:t>
            </w:r>
            <w:r>
              <w:rPr>
                <w:spacing w:val="-4"/>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spacing w:val="-1"/>
                <w:w w:val="121"/>
                <w:sz w:val="21"/>
              </w:rPr>
              <w:t>3</w:t>
            </w:r>
            <w:r>
              <w:rPr>
                <w:w w:val="100"/>
                <w:sz w:val="21"/>
              </w:rPr>
              <w:t>）</w:t>
            </w:r>
            <w:r>
              <w:rPr>
                <w:spacing w:val="-3"/>
                <w:w w:val="100"/>
                <w:sz w:val="21"/>
              </w:rPr>
              <w:t>导致患有本合同</w:t>
            </w:r>
          </w:p>
          <w:p>
            <w:pPr>
              <w:pStyle w:val="TableParagraph"/>
              <w:spacing w:line="278" w:lineRule="auto" w:before="18"/>
              <w:ind w:right="338"/>
              <w:jc w:val="both"/>
              <w:rPr>
                <w:sz w:val="21"/>
              </w:rPr>
            </w:pPr>
            <w:r>
              <w:rPr>
                <w:spacing w:val="-5"/>
                <w:sz w:val="21"/>
              </w:rPr>
              <w:t>所定义的重症疾病，我们按您已交纳的本合同的保险费数额给付重症疾病保险</w:t>
            </w:r>
            <w:r>
              <w:rPr>
                <w:spacing w:val="-4"/>
                <w:sz w:val="21"/>
              </w:rPr>
              <w:t>金，本合同终止。</w:t>
            </w:r>
          </w:p>
          <w:p>
            <w:pPr>
              <w:pStyle w:val="TableParagraph"/>
              <w:spacing w:line="278" w:lineRule="auto" w:before="89"/>
              <w:ind w:right="338"/>
              <w:jc w:val="both"/>
              <w:rPr>
                <w:sz w:val="21"/>
              </w:rPr>
            </w:pPr>
            <w:r>
              <w:rPr>
                <w:spacing w:val="-4"/>
                <w:sz w:val="21"/>
              </w:rPr>
              <w:t>被保险人经医院初次确诊因意外伤害导致患有本合同所定义的重症疾病，或者</w:t>
            </w:r>
            <w:r>
              <w:rPr>
                <w:spacing w:val="-3"/>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确诊非因意外伤害导致患有本合同所定义的重症疾病，我们按本合同的基本保</w:t>
            </w:r>
            <w:r>
              <w:rPr>
                <w:spacing w:val="-3"/>
                <w:sz w:val="21"/>
              </w:rPr>
              <w:t>险金额给付重症疾病保险金，本合同终止。</w:t>
            </w:r>
          </w:p>
          <w:p>
            <w:pPr>
              <w:pStyle w:val="TableParagraph"/>
              <w:spacing w:line="280" w:lineRule="auto" w:before="87"/>
              <w:ind w:right="340"/>
              <w:jc w:val="both"/>
              <w:rPr>
                <w:sz w:val="21"/>
              </w:rPr>
            </w:pPr>
            <w:r>
              <w:rPr>
                <w:spacing w:val="-3"/>
                <w:sz w:val="21"/>
              </w:rPr>
              <w:t>本合同所定义的重症疾病指载明于本合同“</w:t>
            </w:r>
            <w:r>
              <w:rPr>
                <w:sz w:val="21"/>
              </w:rPr>
              <w:t>9.1</w:t>
            </w:r>
            <w:r>
              <w:rPr>
                <w:spacing w:val="-3"/>
                <w:sz w:val="21"/>
              </w:rPr>
              <w:t> 重症疾病”中的疾病、疾病状态或者手术。</w:t>
            </w:r>
          </w:p>
        </w:tc>
      </w:tr>
      <w:tr>
        <w:trPr>
          <w:trHeight w:val="949" w:hRule="atLeast"/>
        </w:trPr>
        <w:tc>
          <w:tcPr>
            <w:tcW w:w="678" w:type="dxa"/>
            <w:tcBorders>
              <w:bottom w:val="single" w:sz="8" w:space="0" w:color="000000"/>
            </w:tcBorders>
          </w:tcPr>
          <w:p>
            <w:pPr>
              <w:pStyle w:val="TableParagraph"/>
              <w:spacing w:before="74"/>
              <w:ind w:left="107"/>
              <w:rPr>
                <w:rFonts w:ascii="微软雅黑"/>
                <w:b/>
                <w:sz w:val="36"/>
              </w:rPr>
            </w:pPr>
            <w:r>
              <w:rPr>
                <w:rFonts w:ascii="微软雅黑"/>
                <w:b/>
                <w:sz w:val="36"/>
              </w:rPr>
              <w:t>2.</w:t>
            </w:r>
          </w:p>
        </w:tc>
        <w:tc>
          <w:tcPr>
            <w:tcW w:w="9413" w:type="dxa"/>
            <w:gridSpan w:val="2"/>
            <w:tcBorders>
              <w:bottom w:val="single" w:sz="8" w:space="0" w:color="000000"/>
            </w:tcBorders>
          </w:tcPr>
          <w:p>
            <w:pPr>
              <w:pStyle w:val="TableParagraph"/>
              <w:spacing w:before="51"/>
              <w:ind w:left="246"/>
              <w:rPr>
                <w:rFonts w:ascii="微软雅黑" w:eastAsia="微软雅黑" w:hint="eastAsia"/>
                <w:b/>
                <w:sz w:val="24"/>
              </w:rPr>
            </w:pPr>
            <w:r>
              <w:rPr>
                <w:rFonts w:ascii="微软雅黑" w:eastAsia="微软雅黑" w:hint="eastAsia"/>
                <w:b/>
                <w:sz w:val="24"/>
              </w:rPr>
              <w:t>我们不保什么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4290"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责任免除</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297"/>
              <w:rPr>
                <w:sz w:val="21"/>
              </w:rPr>
            </w:pPr>
            <w:r>
              <w:rPr>
                <w:sz w:val="21"/>
              </w:rPr>
              <w:t>因下列第（1）至第（7）项情形之一导致被保险人发Th本合同定义的重症疾病的，我们不承担给付重症疾病保险金的责任：</w:t>
            </w:r>
          </w:p>
          <w:p>
            <w:pPr>
              <w:pStyle w:val="TableParagraph"/>
              <w:numPr>
                <w:ilvl w:val="0"/>
                <w:numId w:val="2"/>
              </w:numPr>
              <w:tabs>
                <w:tab w:pos="744" w:val="left" w:leader="none"/>
              </w:tabs>
              <w:spacing w:line="240" w:lineRule="auto" w:before="85" w:after="0"/>
              <w:ind w:left="743" w:right="0" w:hanging="631"/>
              <w:jc w:val="left"/>
              <w:rPr>
                <w:sz w:val="21"/>
              </w:rPr>
            </w:pPr>
            <w:r>
              <w:rPr>
                <w:spacing w:val="-3"/>
                <w:sz w:val="21"/>
              </w:rPr>
              <w:t>投保人对被保险人的故意杀害、故意伤害；</w:t>
            </w:r>
          </w:p>
          <w:p>
            <w:pPr>
              <w:pStyle w:val="TableParagraph"/>
              <w:numPr>
                <w:ilvl w:val="0"/>
                <w:numId w:val="2"/>
              </w:numPr>
              <w:tabs>
                <w:tab w:pos="744" w:val="left" w:leader="none"/>
              </w:tabs>
              <w:spacing w:line="240" w:lineRule="auto" w:before="123" w:after="0"/>
              <w:ind w:left="743" w:right="0" w:hanging="631"/>
              <w:jc w:val="left"/>
              <w:rPr>
                <w:sz w:val="21"/>
              </w:rPr>
            </w:pPr>
            <w:r>
              <w:rPr>
                <w:spacing w:val="-3"/>
                <w:sz w:val="21"/>
              </w:rPr>
              <w:t>被保险人故意犯罪或者抗拒依法采取的刑事强制措施；</w:t>
            </w:r>
          </w:p>
          <w:p>
            <w:pPr>
              <w:pStyle w:val="TableParagraph"/>
              <w:numPr>
                <w:ilvl w:val="0"/>
                <w:numId w:val="2"/>
              </w:numPr>
              <w:tabs>
                <w:tab w:pos="744" w:val="left" w:leader="none"/>
              </w:tabs>
              <w:spacing w:line="240" w:lineRule="auto" w:before="56" w:after="0"/>
              <w:ind w:left="743"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35"/>
                <w:sz w:val="21"/>
              </w:rPr>
              <w:t>4</w:t>
            </w:r>
            <w:r>
              <w:rPr>
                <w:spacing w:val="-108"/>
                <w:w w:val="100"/>
                <w:sz w:val="21"/>
              </w:rPr>
              <w:t>）；</w:t>
            </w:r>
          </w:p>
          <w:p>
            <w:pPr>
              <w:pStyle w:val="TableParagraph"/>
              <w:numPr>
                <w:ilvl w:val="0"/>
                <w:numId w:val="2"/>
              </w:numPr>
              <w:tabs>
                <w:tab w:pos="744" w:val="left" w:leader="none"/>
              </w:tabs>
              <w:spacing w:line="208" w:lineRule="auto" w:before="79" w:after="0"/>
              <w:ind w:left="743" w:right="338" w:hanging="631"/>
              <w:jc w:val="left"/>
              <w:rPr>
                <w:sz w:val="21"/>
              </w:rPr>
            </w:pPr>
            <w:r>
              <w:rPr>
                <w:spacing w:val="-2"/>
                <w:w w:val="100"/>
                <w:sz w:val="21"/>
              </w:rPr>
              <w:t>被保险人</w:t>
            </w:r>
            <w:r>
              <w:rPr>
                <w:rFonts w:ascii="Microsoft JhengHei" w:eastAsia="Microsoft JhengHei" w:hint="eastAsia"/>
                <w:b/>
                <w:spacing w:val="-1"/>
                <w:w w:val="100"/>
                <w:sz w:val="21"/>
              </w:rPr>
              <w:t>酒后驾驶</w:t>
            </w:r>
            <w:r>
              <w:rPr>
                <w:w w:val="100"/>
                <w:sz w:val="21"/>
              </w:rPr>
              <w:t>（见</w:t>
            </w:r>
            <w:r>
              <w:rPr>
                <w:spacing w:val="-55"/>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6"/>
                <w:w w:val="100"/>
                <w:sz w:val="21"/>
              </w:rPr>
              <w:t>）</w:t>
            </w:r>
            <w:r>
              <w:rPr>
                <w:spacing w:val="-5"/>
                <w:w w:val="100"/>
                <w:sz w:val="21"/>
              </w:rPr>
              <w:t>、</w:t>
            </w:r>
            <w:r>
              <w:rPr>
                <w:rFonts w:ascii="Microsoft JhengHei" w:eastAsia="Microsoft JhengHei" w:hint="eastAsia"/>
                <w:b/>
                <w:spacing w:val="-2"/>
                <w:w w:val="100"/>
                <w:sz w:val="21"/>
              </w:rPr>
              <w:t>无合法有效驾驶证驾驶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6"/>
                <w:w w:val="100"/>
                <w:sz w:val="21"/>
              </w:rPr>
              <w:t>）</w:t>
            </w:r>
            <w:r>
              <w:rPr>
                <w:spacing w:val="-3"/>
                <w:w w:val="100"/>
                <w:sz w:val="21"/>
              </w:rPr>
              <w:t>，或者驾驶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2"/>
              </w:numPr>
              <w:tabs>
                <w:tab w:pos="744" w:val="left" w:leader="none"/>
              </w:tabs>
              <w:spacing w:line="240" w:lineRule="auto" w:before="99" w:after="0"/>
              <w:ind w:left="743" w:right="0" w:hanging="631"/>
              <w:jc w:val="left"/>
              <w:rPr>
                <w:sz w:val="21"/>
              </w:rPr>
            </w:pPr>
            <w:r>
              <w:rPr>
                <w:spacing w:val="-3"/>
                <w:sz w:val="21"/>
              </w:rPr>
              <w:t>被保险人故意自伤；</w:t>
            </w:r>
          </w:p>
          <w:p>
            <w:pPr>
              <w:pStyle w:val="TableParagraph"/>
              <w:numPr>
                <w:ilvl w:val="0"/>
                <w:numId w:val="2"/>
              </w:numPr>
              <w:tabs>
                <w:tab w:pos="744" w:val="left" w:leader="none"/>
              </w:tabs>
              <w:spacing w:line="254" w:lineRule="auto" w:before="56" w:after="0"/>
              <w:ind w:left="743" w:right="340" w:hanging="631"/>
              <w:jc w:val="left"/>
              <w:rPr>
                <w:sz w:val="21"/>
              </w:rPr>
            </w:pPr>
            <w:r>
              <w:rPr>
                <w:spacing w:val="-2"/>
                <w:w w:val="100"/>
                <w:sz w:val="21"/>
              </w:rPr>
              <w:t>被保险人</w:t>
            </w:r>
            <w:r>
              <w:rPr>
                <w:rFonts w:ascii="Microsoft JhengHei" w:eastAsia="Microsoft JhengHei" w:hint="eastAsia"/>
                <w:b/>
                <w:spacing w:val="-2"/>
                <w:w w:val="100"/>
                <w:sz w:val="21"/>
              </w:rPr>
              <w:t>感染艾滋病病毒或者患艾滋病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108"/>
                <w:w w:val="100"/>
                <w:sz w:val="21"/>
              </w:rPr>
              <w:t>）</w:t>
            </w:r>
            <w:r>
              <w:rPr>
                <w:spacing w:val="-4"/>
                <w:w w:val="100"/>
                <w:sz w:val="21"/>
              </w:rPr>
              <w:t>，但本合同另有约定</w:t>
            </w:r>
            <w:r>
              <w:rPr>
                <w:spacing w:val="-1"/>
                <w:sz w:val="21"/>
              </w:rPr>
              <w:t>的除外；</w:t>
            </w:r>
          </w:p>
          <w:p>
            <w:pPr>
              <w:pStyle w:val="TableParagraph"/>
              <w:numPr>
                <w:ilvl w:val="0"/>
                <w:numId w:val="2"/>
              </w:numPr>
              <w:tabs>
                <w:tab w:pos="744" w:val="left" w:leader="none"/>
              </w:tabs>
              <w:spacing w:line="351" w:lineRule="exact" w:before="43" w:after="0"/>
              <w:ind w:left="743" w:right="0" w:hanging="631"/>
              <w:jc w:val="left"/>
              <w:rPr>
                <w:sz w:val="21"/>
              </w:rPr>
            </w:pPr>
            <w:r>
              <w:rPr>
                <w:rFonts w:ascii="Microsoft JhengHei" w:eastAsia="Microsoft JhengHei" w:hint="eastAsia"/>
                <w:b/>
                <w:spacing w:val="-16"/>
                <w:w w:val="100"/>
                <w:sz w:val="21"/>
              </w:rPr>
              <w:t>遗传性疾病</w:t>
            </w:r>
            <w:r>
              <w:rPr>
                <w:w w:val="100"/>
                <w:sz w:val="21"/>
              </w:rPr>
              <w:t>（见</w:t>
            </w:r>
            <w:r>
              <w:rPr>
                <w:spacing w:val="-55"/>
                <w:sz w:val="21"/>
              </w:rPr>
              <w:t> </w:t>
            </w:r>
            <w:r>
              <w:rPr>
                <w:spacing w:val="-1"/>
                <w:w w:val="102"/>
                <w:sz w:val="21"/>
              </w:rPr>
              <w:t>10</w:t>
            </w:r>
            <w:r>
              <w:rPr>
                <w:spacing w:val="-2"/>
                <w:w w:val="102"/>
                <w:sz w:val="21"/>
              </w:rPr>
              <w:t>.</w:t>
            </w:r>
            <w:r>
              <w:rPr>
                <w:spacing w:val="-1"/>
                <w:w w:val="120"/>
                <w:sz w:val="21"/>
              </w:rPr>
              <w:t>10</w:t>
            </w:r>
            <w:r>
              <w:rPr>
                <w:spacing w:val="-106"/>
                <w:w w:val="100"/>
                <w:sz w:val="21"/>
              </w:rPr>
              <w:t>）</w:t>
            </w:r>
            <w:r>
              <w:rPr>
                <w:spacing w:val="-82"/>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3"/>
                <w:w w:val="105"/>
                <w:sz w:val="21"/>
              </w:rPr>
              <w:t>1</w:t>
            </w:r>
            <w:r>
              <w:rPr>
                <w:spacing w:val="-106"/>
                <w:w w:val="100"/>
                <w:sz w:val="21"/>
              </w:rPr>
              <w:t>），</w:t>
            </w:r>
          </w:p>
        </w:tc>
      </w:tr>
    </w:tbl>
    <w:p>
      <w:pPr>
        <w:spacing w:after="0" w:line="351" w:lineRule="exact"/>
        <w:jc w:val="left"/>
        <w:rPr>
          <w:sz w:val="21"/>
        </w:rPr>
        <w:sectPr>
          <w:pgSz w:w="11910" w:h="16840"/>
          <w:pgMar w:top="122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1797"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spacing w:line="218" w:lineRule="exact"/>
              <w:ind w:left="848"/>
              <w:rPr>
                <w:sz w:val="21"/>
              </w:rPr>
            </w:pPr>
            <w:r>
              <w:rPr>
                <w:sz w:val="21"/>
              </w:rPr>
              <w:t>但本合同另有约定的除外。</w:t>
            </w:r>
          </w:p>
          <w:p>
            <w:pPr>
              <w:pStyle w:val="TableParagraph"/>
              <w:spacing w:line="225" w:lineRule="auto" w:before="140"/>
              <w:ind w:left="216" w:right="237"/>
              <w:rPr>
                <w:sz w:val="21"/>
              </w:rPr>
            </w:pPr>
            <w:r>
              <w:rPr>
                <w:sz w:val="21"/>
              </w:rPr>
              <w:t>因上述第（1）项情形导致被保险人发Th本合同定义的重症疾病的，本合同终</w:t>
            </w:r>
            <w:r>
              <w:rPr>
                <w:spacing w:val="-8"/>
                <w:w w:val="100"/>
                <w:sz w:val="21"/>
              </w:rPr>
              <w:t>止，我们向被保险人给付本合同终止时的</w:t>
            </w:r>
            <w:r>
              <w:rPr>
                <w:rFonts w:ascii="Microsoft JhengHei" w:eastAsia="Microsoft JhengHei" w:hint="eastAsia"/>
                <w:b/>
                <w:spacing w:val="-11"/>
                <w:w w:val="100"/>
                <w:sz w:val="21"/>
              </w:rPr>
              <w:t>现金价值</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5"/>
                <w:w w:val="100"/>
                <w:sz w:val="21"/>
              </w:rPr>
              <w:t>）</w:t>
            </w:r>
            <w:r>
              <w:rPr>
                <w:spacing w:val="-18"/>
                <w:w w:val="100"/>
                <w:sz w:val="21"/>
              </w:rPr>
              <w:t>；因上述第</w:t>
            </w:r>
            <w:r>
              <w:rPr>
                <w:spacing w:val="-1"/>
                <w:w w:val="100"/>
                <w:sz w:val="21"/>
              </w:rPr>
              <w:t>（</w:t>
            </w:r>
            <w:r>
              <w:rPr>
                <w:spacing w:val="-4"/>
                <w:w w:val="131"/>
                <w:sz w:val="21"/>
              </w:rPr>
              <w:t>2</w:t>
            </w:r>
            <w:r>
              <w:rPr>
                <w:w w:val="100"/>
                <w:sz w:val="21"/>
              </w:rPr>
              <w:t>）</w:t>
            </w:r>
          </w:p>
          <w:p>
            <w:pPr>
              <w:pStyle w:val="TableParagraph"/>
              <w:spacing w:line="278" w:lineRule="auto" w:before="23"/>
              <w:ind w:left="216" w:right="339"/>
              <w:rPr>
                <w:sz w:val="21"/>
              </w:rPr>
            </w:pPr>
            <w:r>
              <w:rPr>
                <w:sz w:val="21"/>
              </w:rPr>
              <w:t>至第（7）项中任一情形导致被保险人发Th本合同定义的重症疾病的，本合同终止，我们向您退还本合同终止时的现金价值。</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4"/>
              <w:ind w:left="0"/>
              <w:rPr>
                <w:sz w:val="19"/>
              </w:rPr>
            </w:pPr>
          </w:p>
          <w:p>
            <w:pPr>
              <w:pStyle w:val="TableParagraph"/>
              <w:spacing w:line="228" w:lineRule="auto"/>
              <w:ind w:left="216" w:right="31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97"/>
                <w:sz w:val="21"/>
              </w:rPr>
              <w:t>1</w:t>
            </w:r>
            <w:r>
              <w:rPr>
                <w:spacing w:val="-3"/>
                <w:w w:val="121"/>
                <w:sz w:val="21"/>
              </w:rPr>
              <w:t>3</w:t>
            </w:r>
            <w:r>
              <w:rPr>
                <w:w w:val="100"/>
                <w:sz w:val="21"/>
              </w:rPr>
              <w:t>）</w:t>
            </w:r>
            <w:r>
              <w:rPr>
                <w:spacing w:val="-3"/>
                <w:w w:val="100"/>
                <w:sz w:val="21"/>
              </w:rPr>
              <w:t>交纳保险费。</w:t>
            </w:r>
          </w:p>
        </w:tc>
      </w:tr>
      <w:tr>
        <w:trPr>
          <w:trHeight w:val="1954" w:hRule="atLeast"/>
        </w:trPr>
        <w:tc>
          <w:tcPr>
            <w:tcW w:w="681"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3"/>
              <w:ind w:left="216" w:right="233"/>
              <w:jc w:val="both"/>
              <w:rPr>
                <w:sz w:val="21"/>
              </w:rPr>
            </w:pPr>
            <w:r>
              <w:rPr>
                <w:spacing w:val="-6"/>
                <w:sz w:val="21"/>
              </w:rPr>
              <w:t>分期交纳保险费的，在交纳首期保险费后，如果您到期未交纳续期保险费，自</w:t>
            </w:r>
            <w:r>
              <w:rPr>
                <w:spacing w:val="-5"/>
                <w:sz w:val="21"/>
              </w:rPr>
              <w:t>保险费约定交纳日的次日零时起 </w:t>
            </w:r>
            <w:r>
              <w:rPr>
                <w:sz w:val="21"/>
              </w:rPr>
              <w:t>60</w:t>
            </w:r>
            <w:r>
              <w:rPr>
                <w:spacing w:val="-4"/>
                <w:sz w:val="21"/>
              </w:rPr>
              <w:t> 日为保险费交纳的宽限期。宽限期内发</w:t>
            </w:r>
            <w:r>
              <w:rPr>
                <w:sz w:val="21"/>
              </w:rPr>
              <w:t>Th </w:t>
            </w:r>
            <w:r>
              <w:rPr>
                <w:spacing w:val="-14"/>
                <w:sz w:val="21"/>
              </w:rPr>
              <w:t>的保险事故，我们仍承担保险责任，但在给付保险金时会扣除您欠交的保险费。</w:t>
            </w:r>
          </w:p>
          <w:p>
            <w:pPr>
              <w:pStyle w:val="TableParagraph"/>
              <w:spacing w:before="85"/>
              <w:ind w:left="216"/>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6"/>
              <w:ind w:left="216"/>
              <w:jc w:val="both"/>
              <w:rPr>
                <w:sz w:val="21"/>
              </w:rPr>
            </w:pPr>
            <w:r>
              <w:rPr>
                <w:sz w:val="21"/>
              </w:rPr>
              <w:t>但本合同另有约定的除外。</w:t>
            </w:r>
          </w:p>
        </w:tc>
      </w:tr>
      <w:tr>
        <w:trPr>
          <w:trHeight w:val="949"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4"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效力中止</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在本合同效力中止期间，我们不承担保险责任。</w:t>
            </w:r>
          </w:p>
        </w:tc>
      </w:tr>
      <w:tr>
        <w:trPr>
          <w:trHeight w:val="2596" w:hRule="atLeast"/>
        </w:trPr>
        <w:tc>
          <w:tcPr>
            <w:tcW w:w="681" w:type="dxa"/>
          </w:tcPr>
          <w:p>
            <w:pPr>
              <w:pStyle w:val="TableParagraph"/>
              <w:spacing w:before="38"/>
              <w:ind w:left="107"/>
              <w:rPr>
                <w:rFonts w:ascii="微软雅黑"/>
                <w:b/>
                <w:sz w:val="21"/>
              </w:rPr>
            </w:pPr>
            <w:r>
              <w:rPr>
                <w:rFonts w:ascii="微软雅黑"/>
                <w:b/>
                <w:sz w:val="21"/>
              </w:rPr>
              <w:t>4.2</w:t>
            </w:r>
          </w:p>
        </w:tc>
        <w:tc>
          <w:tcPr>
            <w:tcW w:w="1728" w:type="dxa"/>
          </w:tcPr>
          <w:p>
            <w:pPr>
              <w:pStyle w:val="TableParagraph"/>
              <w:spacing w:before="38"/>
              <w:ind w:left="243"/>
              <w:rPr>
                <w:rFonts w:ascii="微软雅黑" w:eastAsia="微软雅黑" w:hint="eastAsia"/>
                <w:b/>
                <w:sz w:val="21"/>
              </w:rPr>
            </w:pPr>
            <w:r>
              <w:rPr>
                <w:rFonts w:ascii="微软雅黑" w:eastAsia="微软雅黑" w:hint="eastAsia"/>
                <w:b/>
                <w:sz w:val="21"/>
              </w:rPr>
              <w:t>效力恢复</w:t>
            </w:r>
          </w:p>
        </w:tc>
        <w:tc>
          <w:tcPr>
            <w:tcW w:w="7683" w:type="dxa"/>
          </w:tcPr>
          <w:p>
            <w:pPr>
              <w:pStyle w:val="TableParagraph"/>
              <w:spacing w:line="280" w:lineRule="auto" w:before="101"/>
              <w:ind w:left="216" w:right="336"/>
              <w:jc w:val="both"/>
              <w:rPr>
                <w:sz w:val="21"/>
              </w:rPr>
            </w:pPr>
            <w:r>
              <w:rPr>
                <w:spacing w:val="-6"/>
                <w:sz w:val="21"/>
              </w:rPr>
              <w:t>本合同效力中止之日起 </w:t>
            </w:r>
            <w:r>
              <w:rPr>
                <w:sz w:val="21"/>
              </w:rPr>
              <w:t>2</w:t>
            </w:r>
            <w:r>
              <w:rPr>
                <w:spacing w:val="-10"/>
                <w:sz w:val="21"/>
              </w:rPr>
              <w:t> 年内，您可以申请恢复合同效力。经您与我们协商并</w:t>
            </w:r>
            <w:r>
              <w:rPr>
                <w:spacing w:val="2"/>
                <w:sz w:val="21"/>
              </w:rPr>
              <w:t>就恢复本合同效力达成一致同意的协议，自您补交保险费及利息的次日零时</w:t>
            </w:r>
          </w:p>
          <w:p>
            <w:pPr>
              <w:pStyle w:val="TableParagraph"/>
              <w:spacing w:line="320" w:lineRule="exact"/>
              <w:ind w:left="216" w:right="339"/>
              <w:jc w:val="both"/>
              <w:rPr>
                <w:sz w:val="21"/>
              </w:rPr>
            </w:pPr>
            <w:r>
              <w:rPr>
                <w:spacing w:val="-3"/>
                <w:w w:val="100"/>
                <w:sz w:val="21"/>
              </w:rPr>
              <w:t>起，本合同效力恢复。利息按照我们公布的保单贷款利率按</w:t>
            </w:r>
            <w:r>
              <w:rPr>
                <w:rFonts w:ascii="微软雅黑" w:eastAsia="微软雅黑" w:hint="eastAsia"/>
                <w:b/>
                <w:w w:val="100"/>
                <w:sz w:val="21"/>
              </w:rPr>
              <w:t>复利</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spacing w:val="-3"/>
                <w:w w:val="123"/>
                <w:sz w:val="21"/>
              </w:rPr>
              <w:t>4</w:t>
            </w:r>
            <w:r>
              <w:rPr>
                <w:w w:val="100"/>
                <w:sz w:val="21"/>
              </w:rPr>
              <w:t>）</w:t>
            </w:r>
            <w:r>
              <w:rPr>
                <w:sz w:val="21"/>
              </w:rPr>
              <w:t>计算。</w:t>
            </w:r>
          </w:p>
          <w:p>
            <w:pPr>
              <w:pStyle w:val="TableParagraph"/>
              <w:spacing w:line="280" w:lineRule="auto" w:before="86"/>
              <w:ind w:left="216" w:right="339"/>
              <w:jc w:val="both"/>
              <w:rPr>
                <w:sz w:val="21"/>
              </w:rPr>
            </w:pPr>
            <w:r>
              <w:rPr>
                <w:spacing w:val="-1"/>
                <w:sz w:val="21"/>
              </w:rPr>
              <w:t>自本合同效力中止之日起满</w:t>
            </w:r>
            <w:r>
              <w:rPr>
                <w:w w:val="110"/>
                <w:sz w:val="21"/>
              </w:rPr>
              <w:t>2</w:t>
            </w:r>
            <w:r>
              <w:rPr>
                <w:spacing w:val="-51"/>
                <w:w w:val="110"/>
                <w:sz w:val="21"/>
              </w:rPr>
              <w:t> </w:t>
            </w:r>
            <w:r>
              <w:rPr>
                <w:spacing w:val="-3"/>
                <w:sz w:val="21"/>
              </w:rPr>
              <w:t>年您和我们未就恢复本合同效力达成一致同意的</w:t>
            </w:r>
            <w:r>
              <w:rPr>
                <w:spacing w:val="-7"/>
                <w:sz w:val="21"/>
              </w:rPr>
              <w:t>协议，我们有权解除本合同。我们解除本合同的，我们向您退还本合同中止之</w:t>
            </w:r>
            <w:r>
              <w:rPr>
                <w:spacing w:val="-5"/>
                <w:sz w:val="21"/>
              </w:rPr>
              <w:t>日的现金价值。</w:t>
            </w:r>
          </w:p>
        </w:tc>
      </w:tr>
      <w:tr>
        <w:trPr>
          <w:trHeight w:val="946" w:hRule="atLeast"/>
        </w:trPr>
        <w:tc>
          <w:tcPr>
            <w:tcW w:w="681" w:type="dxa"/>
            <w:tcBorders>
              <w:bottom w:val="single" w:sz="8" w:space="0" w:color="000000"/>
            </w:tcBorders>
          </w:tcPr>
          <w:p>
            <w:pPr>
              <w:pStyle w:val="TableParagraph"/>
              <w:spacing w:before="71"/>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50"/>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0"/>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421"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受益人</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除另有约定外，重症疾病保险金受益人为被保险人本人。</w:t>
            </w:r>
          </w:p>
          <w:p>
            <w:pPr>
              <w:pStyle w:val="TableParagraph"/>
              <w:spacing w:line="280" w:lineRule="auto" w:before="123"/>
              <w:ind w:left="216" w:right="233"/>
              <w:rPr>
                <w:sz w:val="21"/>
              </w:rPr>
            </w:pPr>
            <w:r>
              <w:rPr>
                <w:spacing w:val="-11"/>
                <w:sz w:val="21"/>
              </w:rPr>
              <w:t>受益人故意造成被保险人死亡、伤残、疾病的，或者故意杀害被保险人未遂的， </w:t>
            </w:r>
            <w:r>
              <w:rPr>
                <w:spacing w:val="-6"/>
                <w:sz w:val="21"/>
              </w:rPr>
              <w:t>该受益人丧失受益权。</w:t>
            </w:r>
          </w:p>
        </w:tc>
      </w:tr>
      <w:tr>
        <w:trPr>
          <w:trHeight w:val="1686" w:hRule="atLeast"/>
        </w:trPr>
        <w:tc>
          <w:tcPr>
            <w:tcW w:w="681" w:type="dxa"/>
          </w:tcPr>
          <w:p>
            <w:pPr>
              <w:pStyle w:val="TableParagraph"/>
              <w:spacing w:before="42"/>
              <w:ind w:left="107"/>
              <w:rPr>
                <w:rFonts w:ascii="微软雅黑"/>
                <w:b/>
                <w:sz w:val="21"/>
              </w:rPr>
            </w:pPr>
            <w:r>
              <w:rPr>
                <w:rFonts w:ascii="微软雅黑"/>
                <w:b/>
                <w:sz w:val="21"/>
              </w:rPr>
              <w:t>5.2</w:t>
            </w:r>
          </w:p>
        </w:tc>
        <w:tc>
          <w:tcPr>
            <w:tcW w:w="1728" w:type="dxa"/>
          </w:tcPr>
          <w:p>
            <w:pPr>
              <w:pStyle w:val="TableParagraph"/>
              <w:spacing w:before="42"/>
              <w:ind w:left="243"/>
              <w:rPr>
                <w:rFonts w:ascii="微软雅黑" w:eastAsia="微软雅黑" w:hint="eastAsia"/>
                <w:b/>
                <w:sz w:val="21"/>
              </w:rPr>
            </w:pPr>
            <w:r>
              <w:rPr>
                <w:rFonts w:ascii="微软雅黑" w:eastAsia="微软雅黑" w:hint="eastAsia"/>
                <w:b/>
                <w:sz w:val="21"/>
              </w:rPr>
              <w:t>保险事故通知</w:t>
            </w:r>
          </w:p>
        </w:tc>
        <w:tc>
          <w:tcPr>
            <w:tcW w:w="7683" w:type="dxa"/>
          </w:tcPr>
          <w:p>
            <w:pPr>
              <w:pStyle w:val="TableParagraph"/>
              <w:spacing w:line="278" w:lineRule="auto" w:before="104"/>
              <w:ind w:left="216" w:right="337"/>
              <w:jc w:val="both"/>
              <w:rPr>
                <w:sz w:val="21"/>
              </w:rPr>
            </w:pPr>
            <w:r>
              <w:rPr>
                <w:spacing w:val="-3"/>
                <w:sz w:val="21"/>
              </w:rPr>
              <w:t>您或者受益人知道保险事故发</w:t>
            </w:r>
            <w:r>
              <w:rPr>
                <w:sz w:val="21"/>
              </w:rPr>
              <w:t>Th</w:t>
            </w:r>
            <w:r>
              <w:rPr>
                <w:spacing w:val="-2"/>
                <w:sz w:val="21"/>
              </w:rPr>
              <w:t>后应当在 </w:t>
            </w:r>
            <w:r>
              <w:rPr>
                <w:sz w:val="21"/>
              </w:rPr>
              <w:t>10</w:t>
            </w:r>
            <w:r>
              <w:rPr>
                <w:spacing w:val="-3"/>
                <w:sz w:val="21"/>
              </w:rPr>
              <w:t> 日内通知我们。故意或者因重大</w:t>
            </w:r>
            <w:r>
              <w:rPr>
                <w:spacing w:val="-7"/>
                <w:sz w:val="21"/>
              </w:rPr>
              <w:t>过失未及时通知，致使保险事故的性质、原因、损失程度等难以确定的，我们</w:t>
            </w:r>
            <w:r>
              <w:rPr>
                <w:spacing w:val="-6"/>
                <w:sz w:val="21"/>
              </w:rPr>
              <w:t>对无法确定的部分不承担给付保险金的责任，但我们通过其他途径已经及时知</w:t>
            </w:r>
            <w:r>
              <w:rPr>
                <w:spacing w:val="2"/>
                <w:sz w:val="21"/>
              </w:rPr>
              <w:t>道或者应当及时知道保险事故发</w:t>
            </w:r>
            <w:r>
              <w:rPr>
                <w:sz w:val="21"/>
              </w:rPr>
              <w:t>Th</w:t>
            </w:r>
            <w:r>
              <w:rPr>
                <w:spacing w:val="2"/>
                <w:sz w:val="21"/>
              </w:rPr>
              <w:t>或者虽未及时通知但不影响我们确定保险</w:t>
            </w:r>
          </w:p>
          <w:p>
            <w:pPr>
              <w:pStyle w:val="TableParagraph"/>
              <w:spacing w:before="12"/>
              <w:ind w:left="216"/>
              <w:jc w:val="both"/>
              <w:rPr>
                <w:sz w:val="21"/>
              </w:rPr>
            </w:pPr>
            <w:r>
              <w:rPr>
                <w:sz w:val="21"/>
              </w:rPr>
              <w:t>事故的性质、原因、损失程度的除外。</w:t>
            </w:r>
          </w:p>
        </w:tc>
      </w:tr>
    </w:tbl>
    <w:p>
      <w:pPr>
        <w:spacing w:after="0"/>
        <w:jc w:val="both"/>
        <w:rPr>
          <w:sz w:val="21"/>
        </w:rPr>
        <w:sectPr>
          <w:pgSz w:w="11910" w:h="16840"/>
          <w:pgMar w:top="12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33"/>
        <w:gridCol w:w="7577"/>
      </w:tblGrid>
      <w:tr>
        <w:trPr>
          <w:trHeight w:val="3997" w:hRule="atLeast"/>
        </w:trPr>
        <w:tc>
          <w:tcPr>
            <w:tcW w:w="681" w:type="dxa"/>
          </w:tcPr>
          <w:p>
            <w:pPr>
              <w:pStyle w:val="TableParagraph"/>
              <w:spacing w:line="241" w:lineRule="exact"/>
              <w:ind w:left="107"/>
              <w:rPr>
                <w:rFonts w:ascii="微软雅黑"/>
                <w:b/>
                <w:sz w:val="21"/>
              </w:rPr>
            </w:pPr>
            <w:r>
              <w:rPr>
                <w:rFonts w:ascii="微软雅黑"/>
                <w:b/>
                <w:sz w:val="21"/>
              </w:rPr>
              <w:t>5.3</w:t>
            </w:r>
          </w:p>
        </w:tc>
        <w:tc>
          <w:tcPr>
            <w:tcW w:w="1833" w:type="dxa"/>
          </w:tcPr>
          <w:p>
            <w:pPr>
              <w:pStyle w:val="TableParagraph"/>
              <w:spacing w:line="241" w:lineRule="exact"/>
              <w:ind w:left="243"/>
              <w:rPr>
                <w:rFonts w:ascii="微软雅黑" w:eastAsia="微软雅黑" w:hint="eastAsia"/>
                <w:b/>
                <w:sz w:val="21"/>
              </w:rPr>
            </w:pPr>
            <w:r>
              <w:rPr>
                <w:rFonts w:ascii="微软雅黑" w:eastAsia="微软雅黑" w:hint="eastAsia"/>
                <w:b/>
                <w:sz w:val="21"/>
              </w:rPr>
              <w:t>保险金申请</w:t>
            </w:r>
          </w:p>
        </w:tc>
        <w:tc>
          <w:tcPr>
            <w:tcW w:w="7577" w:type="dxa"/>
          </w:tcPr>
          <w:p>
            <w:pPr>
              <w:pStyle w:val="TableParagraph"/>
              <w:spacing w:line="215" w:lineRule="exact"/>
              <w:rPr>
                <w:sz w:val="21"/>
              </w:rPr>
            </w:pPr>
            <w:r>
              <w:rPr>
                <w:sz w:val="21"/>
              </w:rPr>
              <w:t>在申请保险金时，重症疾病保险金受益人作为申请人须填写领取保险金申请</w:t>
            </w:r>
          </w:p>
          <w:p>
            <w:pPr>
              <w:pStyle w:val="TableParagraph"/>
              <w:spacing w:before="46"/>
              <w:rPr>
                <w:sz w:val="21"/>
              </w:rPr>
            </w:pPr>
            <w:r>
              <w:rPr>
                <w:sz w:val="21"/>
              </w:rPr>
              <w:t>书，并须提供下列证明和资料的原件：</w:t>
            </w:r>
          </w:p>
          <w:p>
            <w:pPr>
              <w:pStyle w:val="TableParagraph"/>
              <w:numPr>
                <w:ilvl w:val="0"/>
                <w:numId w:val="3"/>
              </w:numPr>
              <w:tabs>
                <w:tab w:pos="744" w:val="left" w:leader="none"/>
              </w:tabs>
              <w:spacing w:line="240" w:lineRule="auto" w:before="58" w:after="0"/>
              <w:ind w:left="743"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3"/>
              </w:numPr>
              <w:tabs>
                <w:tab w:pos="744" w:val="left" w:leader="none"/>
              </w:tabs>
              <w:spacing w:line="264" w:lineRule="auto" w:before="35" w:after="0"/>
              <w:ind w:left="743" w:right="335"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w w:val="100"/>
                <w:sz w:val="21"/>
              </w:rPr>
              <w:t>）</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3"/>
              </w:numPr>
              <w:tabs>
                <w:tab w:pos="744" w:val="left" w:leader="none"/>
              </w:tabs>
              <w:spacing w:line="240" w:lineRule="auto" w:before="102" w:after="0"/>
              <w:ind w:left="743" w:right="0" w:hanging="631"/>
              <w:jc w:val="left"/>
              <w:rPr>
                <w:sz w:val="21"/>
              </w:rPr>
            </w:pPr>
            <w:r>
              <w:rPr>
                <w:spacing w:val="-3"/>
                <w:sz w:val="21"/>
              </w:rPr>
              <w:t>与确认保险事故的性质、原因等有关的其他证明和资料。</w:t>
            </w:r>
          </w:p>
          <w:p>
            <w:pPr>
              <w:pStyle w:val="TableParagraph"/>
              <w:spacing w:line="278" w:lineRule="auto" w:before="123"/>
              <w:ind w:right="307"/>
              <w:rPr>
                <w:sz w:val="21"/>
              </w:rPr>
            </w:pPr>
            <w:r>
              <w:rPr>
                <w:sz w:val="21"/>
              </w:rPr>
              <w:t>保险金作为被保险人遗产时，继承人还必须提供可证明其合法继承权的相关权利文件。</w:t>
            </w:r>
          </w:p>
          <w:p>
            <w:pPr>
              <w:pStyle w:val="TableParagraph"/>
              <w:spacing w:line="280" w:lineRule="auto" w:before="89"/>
              <w:ind w:right="307"/>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1"/>
              <w:ind w:left="107"/>
              <w:rPr>
                <w:rFonts w:ascii="微软雅黑"/>
                <w:b/>
                <w:sz w:val="21"/>
              </w:rPr>
            </w:pPr>
            <w:r>
              <w:rPr>
                <w:rFonts w:ascii="微软雅黑"/>
                <w:b/>
                <w:sz w:val="21"/>
              </w:rPr>
              <w:t>5.4</w:t>
            </w:r>
          </w:p>
        </w:tc>
        <w:tc>
          <w:tcPr>
            <w:tcW w:w="1833" w:type="dxa"/>
          </w:tcPr>
          <w:p>
            <w:pPr>
              <w:pStyle w:val="TableParagraph"/>
              <w:spacing w:before="41"/>
              <w:ind w:left="243"/>
              <w:rPr>
                <w:rFonts w:ascii="微软雅黑" w:eastAsia="微软雅黑" w:hint="eastAsia"/>
                <w:b/>
                <w:sz w:val="21"/>
              </w:rPr>
            </w:pPr>
            <w:r>
              <w:rPr>
                <w:rFonts w:ascii="微软雅黑" w:eastAsia="微软雅黑" w:hint="eastAsia"/>
                <w:b/>
                <w:sz w:val="21"/>
              </w:rPr>
              <w:t>保险金给付</w:t>
            </w:r>
          </w:p>
        </w:tc>
        <w:tc>
          <w:tcPr>
            <w:tcW w:w="7577" w:type="dxa"/>
          </w:tcPr>
          <w:p>
            <w:pPr>
              <w:pStyle w:val="TableParagraph"/>
              <w:spacing w:before="103"/>
              <w:rPr>
                <w:sz w:val="21"/>
              </w:rPr>
            </w:pPr>
            <w:r>
              <w:rPr>
                <w:sz w:val="21"/>
              </w:rPr>
              <w:t>我们在收到领取保险金申请书及本合同约定的证明和资料后，将在 5 日内作出</w:t>
            </w:r>
          </w:p>
          <w:p>
            <w:pPr>
              <w:pStyle w:val="TableParagraph"/>
              <w:spacing w:before="46"/>
              <w:rPr>
                <w:sz w:val="21"/>
              </w:rPr>
            </w:pPr>
            <w:r>
              <w:rPr>
                <w:sz w:val="21"/>
              </w:rPr>
              <w:t>核定；情形复杂的，在 30 日内作出核定。对属于保险责任的，我们在与受益</w:t>
            </w:r>
          </w:p>
          <w:p>
            <w:pPr>
              <w:pStyle w:val="TableParagraph"/>
              <w:spacing w:before="44"/>
              <w:rPr>
                <w:sz w:val="21"/>
              </w:rPr>
            </w:pPr>
            <w:r>
              <w:rPr>
                <w:sz w:val="21"/>
              </w:rPr>
              <w:t>人达成给付保险金的协议后 10 日内，履行给付保险金义务。</w:t>
            </w:r>
          </w:p>
          <w:p>
            <w:pPr>
              <w:pStyle w:val="TableParagraph"/>
              <w:spacing w:line="280" w:lineRule="auto" w:before="121"/>
              <w:ind w:right="338"/>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38"/>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1"/>
              <w:ind w:left="107"/>
              <w:rPr>
                <w:rFonts w:ascii="微软雅黑"/>
                <w:b/>
                <w:sz w:val="21"/>
              </w:rPr>
            </w:pPr>
            <w:r>
              <w:rPr>
                <w:rFonts w:ascii="微软雅黑"/>
                <w:b/>
                <w:sz w:val="21"/>
              </w:rPr>
              <w:t>5.5</w:t>
            </w:r>
          </w:p>
        </w:tc>
        <w:tc>
          <w:tcPr>
            <w:tcW w:w="1833" w:type="dxa"/>
          </w:tcPr>
          <w:p>
            <w:pPr>
              <w:pStyle w:val="TableParagraph"/>
              <w:spacing w:before="41"/>
              <w:ind w:left="243"/>
              <w:rPr>
                <w:rFonts w:ascii="微软雅黑" w:eastAsia="微软雅黑" w:hint="eastAsia"/>
                <w:b/>
                <w:sz w:val="21"/>
              </w:rPr>
            </w:pPr>
            <w:r>
              <w:rPr>
                <w:rFonts w:ascii="微软雅黑" w:eastAsia="微软雅黑" w:hint="eastAsia"/>
                <w:b/>
                <w:sz w:val="21"/>
              </w:rPr>
              <w:t>诉讼时效</w:t>
            </w:r>
          </w:p>
        </w:tc>
        <w:tc>
          <w:tcPr>
            <w:tcW w:w="7577" w:type="dxa"/>
          </w:tcPr>
          <w:p>
            <w:pPr>
              <w:pStyle w:val="TableParagraph"/>
              <w:spacing w:line="280" w:lineRule="auto" w:before="103"/>
              <w:ind w:right="340"/>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47"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6.</w:t>
            </w:r>
          </w:p>
        </w:tc>
        <w:tc>
          <w:tcPr>
            <w:tcW w:w="9410"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如何退保</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385"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3"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犹豫期</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5"/>
                <w:sz w:val="21"/>
              </w:rPr>
              <w:t>犹豫期是指自您签收本合同起的一段时期，该时期具体在保险单上载明。在此期间请您认真审视本合同，如果您认为本合同与您的需求不相符，您可以在此</w:t>
            </w:r>
            <w:r>
              <w:rPr>
                <w:spacing w:val="-4"/>
                <w:sz w:val="21"/>
              </w:rPr>
              <w:t>期间提出解除本合同，我们将向您无息退还保险费。</w:t>
            </w:r>
          </w:p>
          <w:p>
            <w:pPr>
              <w:pStyle w:val="TableParagraph"/>
              <w:spacing w:line="280" w:lineRule="auto" w:before="87"/>
              <w:ind w:right="338"/>
              <w:jc w:val="both"/>
              <w:rPr>
                <w:sz w:val="21"/>
              </w:rPr>
            </w:pPr>
            <w:r>
              <w:rPr>
                <w:spacing w:val="-5"/>
                <w:sz w:val="21"/>
              </w:rPr>
              <w:t>解除本合同时，您须填写解除合同申请书，并提供您的有效身份证件及您所交</w:t>
            </w:r>
            <w:r>
              <w:rPr>
                <w:spacing w:val="-7"/>
                <w:sz w:val="21"/>
              </w:rPr>
              <w:t>保险费的发票。自我们收到解除合同申请书时起，本合同即被解除。对于本合</w:t>
            </w:r>
            <w:r>
              <w:rPr>
                <w:spacing w:val="-5"/>
                <w:sz w:val="21"/>
              </w:rPr>
              <w:t>同解除前发</w:t>
            </w:r>
            <w:r>
              <w:rPr>
                <w:sz w:val="21"/>
              </w:rPr>
              <w:t>Th</w:t>
            </w:r>
            <w:r>
              <w:rPr>
                <w:spacing w:val="-3"/>
                <w:sz w:val="21"/>
              </w:rPr>
              <w:t>的保险事故，我们不承担保险责任。</w:t>
            </w:r>
          </w:p>
        </w:tc>
      </w:tr>
      <w:tr>
        <w:trPr>
          <w:trHeight w:val="1840" w:hRule="atLeast"/>
        </w:trPr>
        <w:tc>
          <w:tcPr>
            <w:tcW w:w="681" w:type="dxa"/>
          </w:tcPr>
          <w:p>
            <w:pPr>
              <w:pStyle w:val="TableParagraph"/>
              <w:spacing w:before="38"/>
              <w:ind w:left="107"/>
              <w:rPr>
                <w:rFonts w:ascii="微软雅黑"/>
                <w:b/>
                <w:sz w:val="21"/>
              </w:rPr>
            </w:pPr>
            <w:r>
              <w:rPr>
                <w:rFonts w:ascii="微软雅黑"/>
                <w:b/>
                <w:sz w:val="21"/>
              </w:rPr>
              <w:t>6.2</w:t>
            </w:r>
          </w:p>
        </w:tc>
        <w:tc>
          <w:tcPr>
            <w:tcW w:w="1833" w:type="dxa"/>
          </w:tcPr>
          <w:p>
            <w:pPr>
              <w:pStyle w:val="TableParagraph"/>
              <w:spacing w:line="213" w:lineRule="auto" w:before="78"/>
              <w:ind w:left="243" w:right="109"/>
              <w:rPr>
                <w:rFonts w:ascii="微软雅黑" w:eastAsia="微软雅黑" w:hint="eastAsia"/>
                <w:b/>
                <w:sz w:val="21"/>
              </w:rPr>
            </w:pPr>
            <w:r>
              <w:rPr>
                <w:rFonts w:ascii="微软雅黑" w:eastAsia="微软雅黑" w:hint="eastAsia"/>
                <w:b/>
                <w:sz w:val="21"/>
              </w:rPr>
              <w:t>您解除合同的手续及风险</w:t>
            </w:r>
          </w:p>
        </w:tc>
        <w:tc>
          <w:tcPr>
            <w:tcW w:w="7577" w:type="dxa"/>
          </w:tcPr>
          <w:p>
            <w:pPr>
              <w:pStyle w:val="TableParagraph"/>
              <w:spacing w:line="280" w:lineRule="auto" w:before="101"/>
              <w:ind w:right="307"/>
              <w:rPr>
                <w:sz w:val="21"/>
              </w:rPr>
            </w:pPr>
            <w:r>
              <w:rPr>
                <w:sz w:val="21"/>
              </w:rPr>
              <w:t>如果您在犹豫期后要求解除本合同，请填写解除合同申请书并提供您的有效身份证件。</w:t>
            </w:r>
          </w:p>
          <w:p>
            <w:pPr>
              <w:pStyle w:val="TableParagraph"/>
              <w:spacing w:line="280" w:lineRule="auto" w:before="85"/>
              <w:ind w:right="324"/>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5"/>
              <w:rPr>
                <w:sz w:val="21"/>
              </w:rPr>
            </w:pPr>
            <w:r>
              <w:rPr>
                <w:sz w:val="21"/>
              </w:rPr>
              <w:t>您在犹豫期后解除合同会遭受一定损失。</w:t>
            </w:r>
          </w:p>
        </w:tc>
      </w:tr>
    </w:tbl>
    <w:p>
      <w:pPr>
        <w:spacing w:after="0"/>
        <w:rPr>
          <w:sz w:val="21"/>
        </w:rPr>
        <w:sectPr>
          <w:pgSz w:w="11910" w:h="16840"/>
          <w:pgMar w:top="132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758" w:hRule="atLeast"/>
        </w:trPr>
        <w:tc>
          <w:tcPr>
            <w:tcW w:w="682" w:type="dxa"/>
            <w:tcBorders>
              <w:bottom w:val="single" w:sz="8" w:space="0" w:color="000000"/>
            </w:tcBorders>
          </w:tcPr>
          <w:p>
            <w:pPr>
              <w:pStyle w:val="TableParagraph"/>
              <w:spacing w:line="504" w:lineRule="exact"/>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line="274" w:lineRule="exact"/>
              <w:ind w:left="242"/>
              <w:rPr>
                <w:rFonts w:ascii="微软雅黑" w:eastAsia="微软雅黑" w:hint="eastAsia"/>
                <w:b/>
                <w:sz w:val="24"/>
              </w:rPr>
            </w:pPr>
            <w:r>
              <w:rPr>
                <w:rFonts w:ascii="微软雅黑" w:eastAsia="微软雅黑" w:hint="eastAsia"/>
                <w:b/>
                <w:sz w:val="24"/>
              </w:rPr>
              <w:t>其他权益</w:t>
            </w:r>
          </w:p>
          <w:p>
            <w:pPr>
              <w:pStyle w:val="TableParagraph"/>
              <w:spacing w:before="24"/>
              <w:ind w:left="242"/>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458"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保单贷款</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237"/>
              <w:rPr>
                <w:sz w:val="21"/>
              </w:rPr>
            </w:pPr>
            <w:r>
              <w:rPr>
                <w:spacing w:val="-5"/>
                <w:sz w:val="21"/>
              </w:rPr>
              <w:t>在本合同有效期内，您可以申请并经我们审核同意后办理保单贷款。贷款金额</w:t>
            </w:r>
            <w:r>
              <w:rPr>
                <w:spacing w:val="-6"/>
                <w:sz w:val="21"/>
              </w:rPr>
              <w:t>不得超过您申请时本合同现金价值的 </w:t>
            </w:r>
            <w:r>
              <w:rPr>
                <w:spacing w:val="-16"/>
                <w:w w:val="120"/>
                <w:sz w:val="21"/>
              </w:rPr>
              <w:t>80%，</w:t>
            </w:r>
            <w:r>
              <w:rPr>
                <w:spacing w:val="-6"/>
                <w:sz w:val="21"/>
              </w:rPr>
              <w:t>每次贷款期限最长不超过 </w:t>
            </w:r>
            <w:r>
              <w:rPr>
                <w:w w:val="120"/>
                <w:sz w:val="21"/>
              </w:rPr>
              <w:t>180</w:t>
            </w:r>
            <w:r>
              <w:rPr>
                <w:spacing w:val="-56"/>
                <w:w w:val="120"/>
                <w:sz w:val="21"/>
              </w:rPr>
              <w:t> </w:t>
            </w:r>
            <w:r>
              <w:rPr>
                <w:spacing w:val="-3"/>
                <w:sz w:val="21"/>
              </w:rPr>
              <w:t>日， 贷款利率按您与我们签订的贷款协议中约定的利率执行。</w:t>
            </w:r>
          </w:p>
          <w:p>
            <w:pPr>
              <w:pStyle w:val="TableParagraph"/>
              <w:spacing w:before="85"/>
              <w:rPr>
                <w:sz w:val="21"/>
              </w:rPr>
            </w:pPr>
            <w:r>
              <w:rPr>
                <w:sz w:val="21"/>
              </w:rPr>
              <w:t>自贷款本金及利息加上其他各项欠款及应付利息达到本合同现金价值之日的</w:t>
            </w:r>
          </w:p>
          <w:p>
            <w:pPr>
              <w:pStyle w:val="TableParagraph"/>
              <w:spacing w:before="47"/>
              <w:rPr>
                <w:sz w:val="21"/>
              </w:rPr>
            </w:pPr>
            <w:r>
              <w:rPr>
                <w:sz w:val="21"/>
              </w:rPr>
              <w:t>24 时起，本合同效力中止。</w:t>
            </w:r>
          </w:p>
          <w:p>
            <w:pPr>
              <w:pStyle w:val="TableParagraph"/>
              <w:spacing w:before="121"/>
              <w:rPr>
                <w:sz w:val="21"/>
              </w:rPr>
            </w:pPr>
            <w:r>
              <w:rPr>
                <w:sz w:val="21"/>
              </w:rPr>
              <w:t>经我们审核不同意您的保单贷款申请的，我们不向您提供贷款。</w:t>
            </w:r>
          </w:p>
        </w:tc>
      </w:tr>
      <w:tr>
        <w:trPr>
          <w:trHeight w:val="1959" w:hRule="atLeast"/>
        </w:trPr>
        <w:tc>
          <w:tcPr>
            <w:tcW w:w="682" w:type="dxa"/>
          </w:tcPr>
          <w:p>
            <w:pPr>
              <w:pStyle w:val="TableParagraph"/>
              <w:spacing w:before="42"/>
              <w:ind w:left="107"/>
              <w:rPr>
                <w:rFonts w:ascii="微软雅黑"/>
                <w:b/>
                <w:sz w:val="21"/>
              </w:rPr>
            </w:pPr>
            <w:r>
              <w:rPr>
                <w:rFonts w:ascii="微软雅黑"/>
                <w:b/>
                <w:sz w:val="21"/>
              </w:rPr>
              <w:t>7.2</w:t>
            </w:r>
          </w:p>
        </w:tc>
        <w:tc>
          <w:tcPr>
            <w:tcW w:w="1832" w:type="dxa"/>
          </w:tcPr>
          <w:p>
            <w:pPr>
              <w:pStyle w:val="TableParagraph"/>
              <w:spacing w:before="42"/>
              <w:ind w:left="242"/>
              <w:rPr>
                <w:rFonts w:ascii="微软雅黑" w:eastAsia="微软雅黑" w:hint="eastAsia"/>
                <w:b/>
                <w:sz w:val="21"/>
              </w:rPr>
            </w:pPr>
            <w:r>
              <w:rPr>
                <w:rFonts w:ascii="微软雅黑" w:eastAsia="微软雅黑" w:hint="eastAsia"/>
                <w:b/>
                <w:sz w:val="21"/>
              </w:rPr>
              <w:t>减保</w:t>
            </w:r>
          </w:p>
        </w:tc>
        <w:tc>
          <w:tcPr>
            <w:tcW w:w="7577" w:type="dxa"/>
          </w:tcPr>
          <w:p>
            <w:pPr>
              <w:pStyle w:val="TableParagraph"/>
              <w:spacing w:line="228" w:lineRule="auto" w:before="118"/>
              <w:ind w:right="310"/>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1"/>
                <w:w w:val="122"/>
                <w:sz w:val="21"/>
              </w:rPr>
              <w:t>7</w:t>
            </w:r>
            <w:r>
              <w:rPr>
                <w:spacing w:val="-106"/>
                <w:w w:val="100"/>
                <w:sz w:val="21"/>
              </w:rPr>
              <w:t>）</w:t>
            </w:r>
            <w:r>
              <w:rPr>
                <w:spacing w:val="-3"/>
                <w:w w:val="100"/>
                <w:sz w:val="21"/>
              </w:rPr>
              <w:t>。减保后，基本保险金额和保险费需符合我们的规定。</w:t>
            </w:r>
          </w:p>
          <w:p>
            <w:pPr>
              <w:pStyle w:val="TableParagraph"/>
              <w:spacing w:line="278" w:lineRule="auto" w:before="124"/>
              <w:ind w:right="343"/>
              <w:rPr>
                <w:sz w:val="21"/>
              </w:rPr>
            </w:pPr>
            <w:r>
              <w:rPr>
                <w:sz w:val="21"/>
              </w:rPr>
              <w:t>本合同第 1.3 条约定的保险责任根据减保后的基本保险金额和保险费进行计算。</w:t>
            </w:r>
          </w:p>
        </w:tc>
      </w:tr>
      <w:tr>
        <w:trPr>
          <w:trHeight w:val="946" w:hRule="atLeast"/>
        </w:trPr>
        <w:tc>
          <w:tcPr>
            <w:tcW w:w="682" w:type="dxa"/>
            <w:tcBorders>
              <w:bottom w:val="single" w:sz="8" w:space="0" w:color="000000"/>
            </w:tcBorders>
          </w:tcPr>
          <w:p>
            <w:pPr>
              <w:pStyle w:val="TableParagraph"/>
              <w:spacing w:before="71"/>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23"/>
              <w:rPr>
                <w:sz w:val="21"/>
              </w:rPr>
            </w:pPr>
            <w:r>
              <w:rPr>
                <w:sz w:val="21"/>
              </w:rPr>
              <w:t>本合同包括本保险条款、保险单或者保险凭证、投保单、与本合同有关的投保文件、合法有效的声明、批单及其他您与我们共同认可的书面协议。</w:t>
            </w:r>
          </w:p>
        </w:tc>
      </w:tr>
      <w:tr>
        <w:trPr>
          <w:trHeight w:val="1926" w:hRule="atLeast"/>
        </w:trPr>
        <w:tc>
          <w:tcPr>
            <w:tcW w:w="682" w:type="dxa"/>
          </w:tcPr>
          <w:p>
            <w:pPr>
              <w:pStyle w:val="TableParagraph"/>
              <w:spacing w:before="40"/>
              <w:ind w:left="107"/>
              <w:rPr>
                <w:rFonts w:ascii="微软雅黑"/>
                <w:b/>
                <w:sz w:val="21"/>
              </w:rPr>
            </w:pPr>
            <w:r>
              <w:rPr>
                <w:rFonts w:ascii="微软雅黑"/>
                <w:b/>
                <w:sz w:val="21"/>
              </w:rPr>
              <w:t>8.2</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28" w:lineRule="auto" w:before="117"/>
              <w:ind w:right="312"/>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78" w:lineRule="auto" w:before="123"/>
              <w:ind w:right="291"/>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682" w:type="dxa"/>
          </w:tcPr>
          <w:p>
            <w:pPr>
              <w:pStyle w:val="TableParagraph"/>
              <w:spacing w:before="42"/>
              <w:ind w:left="107"/>
              <w:rPr>
                <w:rFonts w:ascii="微软雅黑"/>
                <w:b/>
                <w:sz w:val="21"/>
              </w:rPr>
            </w:pPr>
            <w:r>
              <w:rPr>
                <w:rFonts w:ascii="微软雅黑"/>
                <w:b/>
                <w:sz w:val="21"/>
              </w:rPr>
              <w:t>8.3</w:t>
            </w:r>
          </w:p>
        </w:tc>
        <w:tc>
          <w:tcPr>
            <w:tcW w:w="1832" w:type="dxa"/>
          </w:tcPr>
          <w:p>
            <w:pPr>
              <w:pStyle w:val="TableParagraph"/>
              <w:spacing w:before="42"/>
              <w:ind w:left="242"/>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42"/>
              <w:rPr>
                <w:sz w:val="21"/>
              </w:rPr>
            </w:pPr>
            <w:r>
              <w:rPr>
                <w:spacing w:val="-3"/>
                <w:w w:val="100"/>
                <w:sz w:val="21"/>
              </w:rPr>
              <w:t>投保年龄指您投保时被保险人的年龄，以</w:t>
            </w:r>
            <w:r>
              <w:rPr>
                <w:rFonts w:ascii="微软雅黑" w:eastAsia="微软雅黑" w:hint="eastAsia"/>
                <w:b/>
                <w:w w:val="100"/>
                <w:sz w:val="21"/>
              </w:rPr>
              <w:t>周岁</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w w:val="123"/>
                <w:sz w:val="21"/>
              </w:rPr>
              <w:t>9</w:t>
            </w:r>
            <w:r>
              <w:rPr>
                <w:spacing w:val="-3"/>
                <w:w w:val="100"/>
                <w:sz w:val="21"/>
              </w:rPr>
              <w:t>）</w:t>
            </w:r>
            <w:r>
              <w:rPr>
                <w:spacing w:val="-2"/>
                <w:w w:val="100"/>
                <w:sz w:val="21"/>
              </w:rPr>
              <w:t>计算。</w:t>
            </w:r>
          </w:p>
        </w:tc>
      </w:tr>
      <w:tr>
        <w:trPr>
          <w:trHeight w:val="4241" w:hRule="atLeast"/>
        </w:trPr>
        <w:tc>
          <w:tcPr>
            <w:tcW w:w="682" w:type="dxa"/>
          </w:tcPr>
          <w:p>
            <w:pPr>
              <w:pStyle w:val="TableParagraph"/>
              <w:spacing w:before="40"/>
              <w:ind w:left="107"/>
              <w:rPr>
                <w:rFonts w:ascii="微软雅黑"/>
                <w:b/>
                <w:sz w:val="21"/>
              </w:rPr>
            </w:pPr>
            <w:r>
              <w:rPr>
                <w:rFonts w:ascii="微软雅黑"/>
                <w:b/>
                <w:sz w:val="21"/>
              </w:rPr>
              <w:t>8.4</w:t>
            </w:r>
          </w:p>
        </w:tc>
        <w:tc>
          <w:tcPr>
            <w:tcW w:w="1832" w:type="dxa"/>
          </w:tcPr>
          <w:p>
            <w:pPr>
              <w:pStyle w:val="TableParagraph"/>
              <w:spacing w:line="213" w:lineRule="auto" w:before="80"/>
              <w:ind w:left="242"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80" w:lineRule="auto" w:before="103"/>
              <w:ind w:right="317"/>
              <w:jc w:val="both"/>
              <w:rPr>
                <w:sz w:val="21"/>
              </w:rPr>
            </w:pPr>
            <w:r>
              <w:rPr>
                <w:spacing w:val="-5"/>
                <w:sz w:val="21"/>
              </w:rPr>
              <w:t>订立本合同时，我们应当向您说明本合同的内容。对保险条款中免除我们责任</w:t>
            </w:r>
            <w:r>
              <w:rPr>
                <w:spacing w:val="-7"/>
                <w:sz w:val="21"/>
              </w:rPr>
              <w:t>的条款，我们在订立合同时应当在投保单、保险单或者保险凭证上作出足以引</w:t>
            </w:r>
            <w:r>
              <w:rPr>
                <w:spacing w:val="-5"/>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5"/>
              <w:rPr>
                <w:sz w:val="21"/>
              </w:rPr>
            </w:pPr>
            <w:r>
              <w:rPr>
                <w:sz w:val="21"/>
              </w:rPr>
              <w:t>我们会就您和被保险人的有关情况提出询问，您应当如实告知。</w:t>
            </w:r>
          </w:p>
          <w:p>
            <w:pPr>
              <w:pStyle w:val="TableParagraph"/>
              <w:spacing w:line="280" w:lineRule="auto" w:before="123"/>
              <w:ind w:right="338"/>
              <w:jc w:val="both"/>
              <w:rPr>
                <w:sz w:val="21"/>
              </w:rPr>
            </w:pPr>
            <w:r>
              <w:rPr>
                <w:spacing w:val="-4"/>
                <w:sz w:val="21"/>
              </w:rPr>
              <w:t>如果您故意或者因重大过失未履行前款约定的如实告知义务，足以影响我们决</w:t>
            </w:r>
            <w:r>
              <w:rPr>
                <w:spacing w:val="-3"/>
                <w:sz w:val="21"/>
              </w:rPr>
              <w:t>定是否同意承保或者提高保险费率的，我们有权解除本合同。</w:t>
            </w:r>
          </w:p>
          <w:p>
            <w:pPr>
              <w:pStyle w:val="TableParagraph"/>
              <w:spacing w:line="280" w:lineRule="auto" w:before="85"/>
              <w:ind w:right="340"/>
              <w:jc w:val="both"/>
              <w:rPr>
                <w:sz w:val="21"/>
              </w:rPr>
            </w:pPr>
            <w:r>
              <w:rPr>
                <w:spacing w:val="-4"/>
                <w:sz w:val="21"/>
              </w:rPr>
              <w:t>如果您故意不履行如实告知义务，对于本合同解除前发</w:t>
            </w:r>
            <w:r>
              <w:rPr>
                <w:sz w:val="21"/>
              </w:rPr>
              <w:t>Th</w:t>
            </w:r>
            <w:r>
              <w:rPr>
                <w:spacing w:val="-5"/>
                <w:sz w:val="21"/>
              </w:rPr>
              <w:t>的保险事故，我们不</w:t>
            </w:r>
            <w:r>
              <w:rPr>
                <w:spacing w:val="-4"/>
                <w:sz w:val="21"/>
              </w:rPr>
              <w:t>承担给付保险金的责任，并不退还保险费。</w:t>
            </w:r>
          </w:p>
          <w:p>
            <w:pPr>
              <w:pStyle w:val="TableParagraph"/>
              <w:spacing w:before="85"/>
              <w:rPr>
                <w:sz w:val="21"/>
              </w:rPr>
            </w:pPr>
            <w:r>
              <w:rPr>
                <w:sz w:val="21"/>
              </w:rPr>
              <w:t>如果您因重大过失未履行如实告知义务，对保险事故的发Th有严重影响的，对</w:t>
            </w:r>
          </w:p>
          <w:p>
            <w:pPr>
              <w:pStyle w:val="TableParagraph"/>
              <w:spacing w:line="320" w:lineRule="atLeast" w:before="1"/>
              <w:ind w:right="340"/>
              <w:jc w:val="both"/>
              <w:rPr>
                <w:sz w:val="21"/>
              </w:rPr>
            </w:pPr>
            <w:r>
              <w:rPr>
                <w:spacing w:val="-3"/>
                <w:sz w:val="21"/>
              </w:rPr>
              <w:t>于本合同解除前发</w:t>
            </w:r>
            <w:r>
              <w:rPr>
                <w:sz w:val="21"/>
              </w:rPr>
              <w:t>Th</w:t>
            </w:r>
            <w:r>
              <w:rPr>
                <w:spacing w:val="-6"/>
                <w:sz w:val="21"/>
              </w:rPr>
              <w:t>的保险事故，我们不承担给付保险金的责任，但应当向您</w:t>
            </w:r>
            <w:r>
              <w:rPr>
                <w:spacing w:val="-4"/>
                <w:sz w:val="21"/>
              </w:rPr>
              <w:t>退还保险费。</w:t>
            </w:r>
          </w:p>
        </w:tc>
      </w:tr>
    </w:tbl>
    <w:p>
      <w:pPr>
        <w:spacing w:after="0" w:line="320" w:lineRule="atLeast"/>
        <w:jc w:val="both"/>
        <w:rPr>
          <w:sz w:val="21"/>
        </w:rPr>
        <w:sectPr>
          <w:pgSz w:w="11910" w:h="16840"/>
          <w:pgMar w:top="13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770"/>
        <w:gridCol w:w="7578"/>
      </w:tblGrid>
      <w:tr>
        <w:trPr>
          <w:trHeight w:val="725" w:hRule="atLeast"/>
        </w:trPr>
        <w:tc>
          <w:tcPr>
            <w:tcW w:w="745" w:type="dxa"/>
          </w:tcPr>
          <w:p>
            <w:pPr>
              <w:pStyle w:val="TableParagraph"/>
              <w:ind w:left="0"/>
              <w:rPr>
                <w:rFonts w:ascii="Times New Roman"/>
                <w:sz w:val="20"/>
              </w:rPr>
            </w:pPr>
          </w:p>
        </w:tc>
        <w:tc>
          <w:tcPr>
            <w:tcW w:w="1770" w:type="dxa"/>
          </w:tcPr>
          <w:p>
            <w:pPr>
              <w:pStyle w:val="TableParagraph"/>
              <w:ind w:left="0"/>
              <w:rPr>
                <w:rFonts w:ascii="Times New Roman"/>
                <w:sz w:val="20"/>
              </w:rPr>
            </w:pPr>
          </w:p>
        </w:tc>
        <w:tc>
          <w:tcPr>
            <w:tcW w:w="7578" w:type="dxa"/>
          </w:tcPr>
          <w:p>
            <w:pPr>
              <w:pStyle w:val="TableParagraph"/>
              <w:spacing w:line="215" w:lineRule="exact"/>
              <w:ind w:left="110"/>
              <w:rPr>
                <w:sz w:val="21"/>
              </w:rPr>
            </w:pPr>
            <w:r>
              <w:rPr>
                <w:sz w:val="21"/>
              </w:rPr>
              <w:t>我们在合同订立时已经知道您未如实告知的情况的，我们不得解除合同；发Th</w:t>
            </w:r>
          </w:p>
          <w:p>
            <w:pPr>
              <w:pStyle w:val="TableParagraph"/>
              <w:spacing w:before="46"/>
              <w:ind w:left="110"/>
              <w:rPr>
                <w:sz w:val="21"/>
              </w:rPr>
            </w:pPr>
            <w:r>
              <w:rPr>
                <w:sz w:val="21"/>
              </w:rPr>
              <w:t>保险事故的，我们承担给付保险金的责任。</w:t>
            </w:r>
          </w:p>
        </w:tc>
      </w:tr>
      <w:tr>
        <w:trPr>
          <w:trHeight w:val="1208" w:hRule="atLeast"/>
        </w:trPr>
        <w:tc>
          <w:tcPr>
            <w:tcW w:w="745" w:type="dxa"/>
          </w:tcPr>
          <w:p>
            <w:pPr>
              <w:pStyle w:val="TableParagraph"/>
              <w:spacing w:before="41"/>
              <w:ind w:left="107"/>
              <w:rPr>
                <w:rFonts w:ascii="微软雅黑"/>
                <w:b/>
                <w:sz w:val="21"/>
              </w:rPr>
            </w:pPr>
            <w:r>
              <w:rPr>
                <w:rFonts w:ascii="微软雅黑"/>
                <w:b/>
                <w:sz w:val="21"/>
              </w:rPr>
              <w:t>8.5</w:t>
            </w:r>
          </w:p>
        </w:tc>
        <w:tc>
          <w:tcPr>
            <w:tcW w:w="1770" w:type="dxa"/>
          </w:tcPr>
          <w:p>
            <w:pPr>
              <w:pStyle w:val="TableParagraph"/>
              <w:spacing w:line="213" w:lineRule="auto" w:before="80"/>
              <w:ind w:left="179" w:right="110"/>
              <w:rPr>
                <w:rFonts w:ascii="微软雅黑" w:eastAsia="微软雅黑" w:hint="eastAsia"/>
                <w:b/>
                <w:sz w:val="21"/>
              </w:rPr>
            </w:pPr>
            <w:r>
              <w:rPr>
                <w:rFonts w:ascii="微软雅黑" w:eastAsia="微软雅黑" w:hint="eastAsia"/>
                <w:b/>
                <w:sz w:val="21"/>
              </w:rPr>
              <w:t>我们合同解除权的限制</w:t>
            </w:r>
          </w:p>
        </w:tc>
        <w:tc>
          <w:tcPr>
            <w:tcW w:w="7578" w:type="dxa"/>
          </w:tcPr>
          <w:p>
            <w:pPr>
              <w:pStyle w:val="TableParagraph"/>
              <w:spacing w:before="103"/>
              <w:ind w:left="110"/>
              <w:rPr>
                <w:sz w:val="21"/>
              </w:rPr>
            </w:pPr>
            <w:r>
              <w:rPr>
                <w:sz w:val="21"/>
              </w:rPr>
              <w:t>前款约定的合同解除权，自我们知道有解除事由之日起，超过 30 日不行使而</w:t>
            </w:r>
          </w:p>
          <w:p>
            <w:pPr>
              <w:pStyle w:val="TableParagraph"/>
              <w:spacing w:line="278" w:lineRule="auto" w:before="46"/>
              <w:ind w:left="110" w:right="236"/>
              <w:rPr>
                <w:sz w:val="21"/>
              </w:rPr>
            </w:pPr>
            <w:r>
              <w:rPr>
                <w:spacing w:val="-11"/>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606" w:hRule="atLeast"/>
        </w:trPr>
        <w:tc>
          <w:tcPr>
            <w:tcW w:w="745" w:type="dxa"/>
          </w:tcPr>
          <w:p>
            <w:pPr>
              <w:pStyle w:val="TableParagraph"/>
              <w:spacing w:before="42"/>
              <w:ind w:left="107"/>
              <w:rPr>
                <w:rFonts w:ascii="微软雅黑"/>
                <w:b/>
                <w:sz w:val="21"/>
              </w:rPr>
            </w:pPr>
            <w:r>
              <w:rPr>
                <w:rFonts w:ascii="微软雅黑"/>
                <w:b/>
                <w:sz w:val="21"/>
              </w:rPr>
              <w:t>8.6</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年龄性别错误</w:t>
            </w:r>
          </w:p>
        </w:tc>
        <w:tc>
          <w:tcPr>
            <w:tcW w:w="7578" w:type="dxa"/>
          </w:tcPr>
          <w:p>
            <w:pPr>
              <w:pStyle w:val="TableParagraph"/>
              <w:spacing w:line="278" w:lineRule="auto" w:before="104"/>
              <w:ind w:left="110" w:right="312"/>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4"/>
              </w:numPr>
              <w:tabs>
                <w:tab w:pos="736" w:val="left" w:leader="none"/>
              </w:tabs>
              <w:spacing w:line="280" w:lineRule="auto" w:before="89" w:after="0"/>
              <w:ind w:left="735" w:right="337" w:hanging="624"/>
              <w:jc w:val="both"/>
              <w:rPr>
                <w:sz w:val="21"/>
              </w:rPr>
            </w:pPr>
            <w:r>
              <w:rPr>
                <w:spacing w:val="-4"/>
                <w:sz w:val="21"/>
              </w:rPr>
              <w:t>您申报的被保险人年龄不真实，并且其真实年龄不符合我们规定的投保</w:t>
            </w:r>
            <w:r>
              <w:rPr>
                <w:spacing w:val="-6"/>
                <w:sz w:val="21"/>
              </w:rPr>
              <w:t>年龄限制的，我们有权解除本合同。对于解除本合同的，本合同自解除之日起终止，我们向您退还本合同终止时的现金价值。对于本合同解除前发Th的保险事故，我们不承担给付保险金的责任。我们行使合同解除</w:t>
            </w:r>
            <w:r>
              <w:rPr>
                <w:spacing w:val="-4"/>
                <w:sz w:val="21"/>
              </w:rPr>
              <w:t>权适用“我们合同解除权的限制”的约定；</w:t>
            </w:r>
          </w:p>
          <w:p>
            <w:pPr>
              <w:pStyle w:val="TableParagraph"/>
              <w:numPr>
                <w:ilvl w:val="0"/>
                <w:numId w:val="4"/>
              </w:numPr>
              <w:tabs>
                <w:tab w:pos="736" w:val="left" w:leader="none"/>
              </w:tabs>
              <w:spacing w:line="280" w:lineRule="auto" w:before="85" w:after="0"/>
              <w:ind w:left="735" w:right="337" w:hanging="624"/>
              <w:jc w:val="both"/>
              <w:rPr>
                <w:sz w:val="21"/>
              </w:rPr>
            </w:pPr>
            <w:r>
              <w:rPr>
                <w:spacing w:val="-4"/>
                <w:sz w:val="21"/>
              </w:rPr>
              <w:t>您申报的被保险人年龄或者性别不真实，致使您实交保险费不同于应交</w:t>
            </w:r>
            <w:r>
              <w:rPr>
                <w:spacing w:val="-5"/>
                <w:sz w:val="21"/>
              </w:rPr>
              <w:t>保险费的，我们将按照实交保险费和应交保险费的比例调整基本保险金</w:t>
            </w:r>
            <w:r>
              <w:rPr>
                <w:spacing w:val="-4"/>
                <w:sz w:val="21"/>
              </w:rPr>
              <w:t>额，另有约定的除外。</w:t>
            </w:r>
          </w:p>
        </w:tc>
      </w:tr>
      <w:tr>
        <w:trPr>
          <w:trHeight w:val="1206" w:hRule="atLeast"/>
        </w:trPr>
        <w:tc>
          <w:tcPr>
            <w:tcW w:w="745" w:type="dxa"/>
          </w:tcPr>
          <w:p>
            <w:pPr>
              <w:pStyle w:val="TableParagraph"/>
              <w:spacing w:before="38"/>
              <w:ind w:left="107"/>
              <w:rPr>
                <w:rFonts w:ascii="微软雅黑"/>
                <w:b/>
                <w:sz w:val="21"/>
              </w:rPr>
            </w:pPr>
            <w:r>
              <w:rPr>
                <w:rFonts w:ascii="微软雅黑"/>
                <w:b/>
                <w:sz w:val="21"/>
              </w:rPr>
              <w:t>8.7</w:t>
            </w:r>
          </w:p>
        </w:tc>
        <w:tc>
          <w:tcPr>
            <w:tcW w:w="1770" w:type="dxa"/>
          </w:tcPr>
          <w:p>
            <w:pPr>
              <w:pStyle w:val="TableParagraph"/>
              <w:spacing w:before="38"/>
              <w:ind w:left="179"/>
              <w:rPr>
                <w:rFonts w:ascii="微软雅黑" w:eastAsia="微软雅黑" w:hint="eastAsia"/>
                <w:b/>
                <w:sz w:val="21"/>
              </w:rPr>
            </w:pPr>
            <w:r>
              <w:rPr>
                <w:rFonts w:ascii="微软雅黑" w:eastAsia="微软雅黑" w:hint="eastAsia"/>
                <w:b/>
                <w:sz w:val="21"/>
              </w:rPr>
              <w:t>未还款项</w:t>
            </w:r>
          </w:p>
        </w:tc>
        <w:tc>
          <w:tcPr>
            <w:tcW w:w="7578" w:type="dxa"/>
          </w:tcPr>
          <w:p>
            <w:pPr>
              <w:pStyle w:val="TableParagraph"/>
              <w:spacing w:line="280" w:lineRule="auto" w:before="101"/>
              <w:ind w:left="110" w:right="340"/>
              <w:jc w:val="both"/>
              <w:rPr>
                <w:sz w:val="21"/>
              </w:rPr>
            </w:pPr>
            <w:r>
              <w:rPr>
                <w:spacing w:val="-6"/>
                <w:sz w:val="21"/>
              </w:rPr>
              <w:t>我们在给付各项保险金、退还现金价值、返还保险费或者提供保单贷款时，如果您有欠交的保险费、未还清的保单贷款或者其他未还清款项，我们在扣除上</w:t>
            </w:r>
            <w:r>
              <w:rPr>
                <w:spacing w:val="-4"/>
                <w:sz w:val="21"/>
              </w:rPr>
              <w:t>述各项欠款及应付利息后给付。</w:t>
            </w:r>
          </w:p>
        </w:tc>
      </w:tr>
      <w:tr>
        <w:trPr>
          <w:trHeight w:val="887" w:hRule="atLeast"/>
        </w:trPr>
        <w:tc>
          <w:tcPr>
            <w:tcW w:w="745" w:type="dxa"/>
          </w:tcPr>
          <w:p>
            <w:pPr>
              <w:pStyle w:val="TableParagraph"/>
              <w:spacing w:before="42"/>
              <w:ind w:left="107"/>
              <w:rPr>
                <w:rFonts w:ascii="微软雅黑"/>
                <w:b/>
                <w:sz w:val="21"/>
              </w:rPr>
            </w:pPr>
            <w:r>
              <w:rPr>
                <w:rFonts w:ascii="微软雅黑"/>
                <w:b/>
                <w:sz w:val="21"/>
              </w:rPr>
              <w:t>8.8</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合同内容变更</w:t>
            </w:r>
          </w:p>
        </w:tc>
        <w:tc>
          <w:tcPr>
            <w:tcW w:w="7578" w:type="dxa"/>
          </w:tcPr>
          <w:p>
            <w:pPr>
              <w:pStyle w:val="TableParagraph"/>
              <w:spacing w:line="278" w:lineRule="auto" w:before="104"/>
              <w:ind w:left="110" w:right="325"/>
              <w:rPr>
                <w:sz w:val="21"/>
              </w:rPr>
            </w:pPr>
            <w:r>
              <w:rPr>
                <w:sz w:val="21"/>
              </w:rPr>
              <w:t>在本合同有效期内，经您与我们协商一致，可以变更本合同的有关内容。变更本合同的，应当由我们出具批单，或者由您与我们订立书面的变更协议。</w:t>
            </w:r>
          </w:p>
        </w:tc>
      </w:tr>
      <w:tr>
        <w:trPr>
          <w:trHeight w:val="1530" w:hRule="atLeast"/>
        </w:trPr>
        <w:tc>
          <w:tcPr>
            <w:tcW w:w="745" w:type="dxa"/>
          </w:tcPr>
          <w:p>
            <w:pPr>
              <w:pStyle w:val="TableParagraph"/>
              <w:spacing w:before="42"/>
              <w:ind w:left="107"/>
              <w:rPr>
                <w:rFonts w:ascii="微软雅黑"/>
                <w:b/>
                <w:sz w:val="21"/>
              </w:rPr>
            </w:pPr>
            <w:r>
              <w:rPr>
                <w:rFonts w:ascii="微软雅黑"/>
                <w:b/>
                <w:sz w:val="21"/>
              </w:rPr>
              <w:t>8.9</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联系方式变更</w:t>
            </w:r>
          </w:p>
        </w:tc>
        <w:tc>
          <w:tcPr>
            <w:tcW w:w="7578" w:type="dxa"/>
          </w:tcPr>
          <w:p>
            <w:pPr>
              <w:pStyle w:val="TableParagraph"/>
              <w:spacing w:line="278" w:lineRule="auto" w:before="104"/>
              <w:ind w:left="110" w:right="340"/>
              <w:jc w:val="both"/>
              <w:rPr>
                <w:sz w:val="21"/>
              </w:rPr>
            </w:pPr>
            <w:r>
              <w:rPr>
                <w:spacing w:val="-6"/>
                <w:sz w:val="21"/>
              </w:rPr>
              <w:t>为了保障您的合法权益，您的住所、通讯地址、邮箱或者联系电话等联系方式</w:t>
            </w:r>
            <w:r>
              <w:rPr>
                <w:spacing w:val="-7"/>
                <w:sz w:val="21"/>
              </w:rPr>
              <w:t>变更时，请以书面形式或者双方认可的其他形式及时通知我们。如果您未以书面形式或者双方认可的其他形式通知我们，我们按本合同载明的最后住所、通</w:t>
            </w:r>
            <w:r>
              <w:rPr>
                <w:spacing w:val="-5"/>
                <w:sz w:val="21"/>
              </w:rPr>
              <w:t>讯地址或者邮箱发送的有关通知，均视为已送达给您。</w:t>
            </w:r>
          </w:p>
        </w:tc>
      </w:tr>
      <w:tr>
        <w:trPr>
          <w:trHeight w:val="885" w:hRule="atLeast"/>
        </w:trPr>
        <w:tc>
          <w:tcPr>
            <w:tcW w:w="745" w:type="dxa"/>
          </w:tcPr>
          <w:p>
            <w:pPr>
              <w:pStyle w:val="TableParagraph"/>
              <w:spacing w:before="38"/>
              <w:ind w:left="107"/>
              <w:rPr>
                <w:rFonts w:ascii="微软雅黑"/>
                <w:b/>
                <w:sz w:val="21"/>
              </w:rPr>
            </w:pPr>
            <w:r>
              <w:rPr>
                <w:rFonts w:ascii="微软雅黑"/>
                <w:b/>
                <w:sz w:val="21"/>
              </w:rPr>
              <w:t>8.10</w:t>
            </w:r>
          </w:p>
        </w:tc>
        <w:tc>
          <w:tcPr>
            <w:tcW w:w="1770" w:type="dxa"/>
          </w:tcPr>
          <w:p>
            <w:pPr>
              <w:pStyle w:val="TableParagraph"/>
              <w:spacing w:before="38"/>
              <w:ind w:left="179"/>
              <w:rPr>
                <w:rFonts w:ascii="微软雅黑" w:eastAsia="微软雅黑" w:hint="eastAsia"/>
                <w:b/>
                <w:sz w:val="21"/>
              </w:rPr>
            </w:pPr>
            <w:r>
              <w:rPr>
                <w:rFonts w:ascii="微软雅黑" w:eastAsia="微软雅黑" w:hint="eastAsia"/>
                <w:b/>
                <w:sz w:val="21"/>
              </w:rPr>
              <w:t>争议处理</w:t>
            </w:r>
          </w:p>
        </w:tc>
        <w:tc>
          <w:tcPr>
            <w:tcW w:w="7578" w:type="dxa"/>
          </w:tcPr>
          <w:p>
            <w:pPr>
              <w:pStyle w:val="TableParagraph"/>
              <w:spacing w:line="280" w:lineRule="auto" w:before="101"/>
              <w:ind w:left="110" w:right="294"/>
              <w:rPr>
                <w:sz w:val="21"/>
              </w:rPr>
            </w:pPr>
            <w:r>
              <w:rPr>
                <w:sz w:val="21"/>
              </w:rPr>
              <w:t>本合同履行过程中，双方发Th争议不能协商解决的，可以达成仲裁协议通过仲裁解决，也可依法直接向法院提起诉讼。</w:t>
            </w:r>
          </w:p>
        </w:tc>
      </w:tr>
      <w:tr>
        <w:trPr>
          <w:trHeight w:val="1791" w:hRule="atLeast"/>
        </w:trPr>
        <w:tc>
          <w:tcPr>
            <w:tcW w:w="745" w:type="dxa"/>
          </w:tcPr>
          <w:p>
            <w:pPr>
              <w:pStyle w:val="TableParagraph"/>
              <w:spacing w:before="40"/>
              <w:ind w:left="107"/>
              <w:rPr>
                <w:rFonts w:ascii="微软雅黑"/>
                <w:b/>
                <w:sz w:val="21"/>
              </w:rPr>
            </w:pPr>
            <w:r>
              <w:rPr>
                <w:rFonts w:ascii="微软雅黑"/>
                <w:b/>
                <w:sz w:val="21"/>
              </w:rPr>
              <w:t>8.11</w:t>
            </w:r>
          </w:p>
        </w:tc>
        <w:tc>
          <w:tcPr>
            <w:tcW w:w="1770" w:type="dxa"/>
          </w:tcPr>
          <w:p>
            <w:pPr>
              <w:pStyle w:val="TableParagraph"/>
              <w:spacing w:before="40"/>
              <w:ind w:left="179"/>
              <w:rPr>
                <w:rFonts w:ascii="微软雅黑" w:eastAsia="微软雅黑" w:hint="eastAsia"/>
                <w:b/>
                <w:sz w:val="21"/>
              </w:rPr>
            </w:pPr>
            <w:r>
              <w:rPr>
                <w:rFonts w:ascii="微软雅黑" w:eastAsia="微软雅黑" w:hint="eastAsia"/>
                <w:b/>
                <w:sz w:val="21"/>
              </w:rPr>
              <w:t>合同终止</w:t>
            </w:r>
          </w:p>
        </w:tc>
        <w:tc>
          <w:tcPr>
            <w:tcW w:w="7578" w:type="dxa"/>
          </w:tcPr>
          <w:p>
            <w:pPr>
              <w:pStyle w:val="TableParagraph"/>
              <w:spacing w:before="103"/>
              <w:ind w:left="110"/>
              <w:rPr>
                <w:sz w:val="21"/>
              </w:rPr>
            </w:pPr>
            <w:r>
              <w:rPr>
                <w:sz w:val="21"/>
              </w:rPr>
              <w:t>发Th下列情况之一时，本合同终止：</w:t>
            </w:r>
          </w:p>
          <w:p>
            <w:pPr>
              <w:pStyle w:val="TableParagraph"/>
              <w:numPr>
                <w:ilvl w:val="0"/>
                <w:numId w:val="5"/>
              </w:numPr>
              <w:tabs>
                <w:tab w:pos="736" w:val="left" w:leader="none"/>
              </w:tabs>
              <w:spacing w:line="240" w:lineRule="auto" w:before="123" w:after="0"/>
              <w:ind w:left="735" w:right="0" w:hanging="624"/>
              <w:jc w:val="left"/>
              <w:rPr>
                <w:sz w:val="21"/>
              </w:rPr>
            </w:pPr>
            <w:r>
              <w:rPr>
                <w:spacing w:val="-2"/>
                <w:sz w:val="21"/>
              </w:rPr>
              <w:t>被保险人身故；</w:t>
            </w:r>
          </w:p>
          <w:p>
            <w:pPr>
              <w:pStyle w:val="TableParagraph"/>
              <w:numPr>
                <w:ilvl w:val="0"/>
                <w:numId w:val="5"/>
              </w:numPr>
              <w:tabs>
                <w:tab w:pos="736" w:val="left" w:leader="none"/>
              </w:tabs>
              <w:spacing w:line="240" w:lineRule="auto" w:before="123" w:after="0"/>
              <w:ind w:left="735" w:right="0" w:hanging="624"/>
              <w:jc w:val="left"/>
              <w:rPr>
                <w:sz w:val="21"/>
              </w:rPr>
            </w:pPr>
            <w:r>
              <w:rPr>
                <w:spacing w:val="-3"/>
                <w:sz w:val="21"/>
              </w:rPr>
              <w:t>在本合同有效期内解除本合同；</w:t>
            </w:r>
          </w:p>
          <w:p>
            <w:pPr>
              <w:pStyle w:val="TableParagraph"/>
              <w:numPr>
                <w:ilvl w:val="0"/>
                <w:numId w:val="5"/>
              </w:numPr>
              <w:tabs>
                <w:tab w:pos="736" w:val="left" w:leader="none"/>
              </w:tabs>
              <w:spacing w:line="240" w:lineRule="auto" w:before="123" w:after="0"/>
              <w:ind w:left="735" w:right="0" w:hanging="624"/>
              <w:jc w:val="left"/>
              <w:rPr>
                <w:sz w:val="21"/>
              </w:rPr>
            </w:pPr>
            <w:r>
              <w:rPr>
                <w:spacing w:val="-3"/>
                <w:sz w:val="21"/>
              </w:rPr>
              <w:t>因本合同其他条款约定情形而终止。</w:t>
            </w:r>
          </w:p>
        </w:tc>
      </w:tr>
      <w:tr>
        <w:trPr>
          <w:trHeight w:val="950" w:hRule="atLeast"/>
        </w:trPr>
        <w:tc>
          <w:tcPr>
            <w:tcW w:w="745" w:type="dxa"/>
            <w:tcBorders>
              <w:bottom w:val="single" w:sz="8" w:space="0" w:color="000000"/>
            </w:tcBorders>
          </w:tcPr>
          <w:p>
            <w:pPr>
              <w:pStyle w:val="TableParagraph"/>
              <w:spacing w:before="75"/>
              <w:ind w:left="107"/>
              <w:rPr>
                <w:rFonts w:ascii="微软雅黑"/>
                <w:b/>
                <w:sz w:val="36"/>
              </w:rPr>
            </w:pPr>
            <w:r>
              <w:rPr>
                <w:rFonts w:ascii="微软雅黑"/>
                <w:b/>
                <w:sz w:val="36"/>
              </w:rPr>
              <w:t>9.</w:t>
            </w:r>
          </w:p>
        </w:tc>
        <w:tc>
          <w:tcPr>
            <w:tcW w:w="9348" w:type="dxa"/>
            <w:gridSpan w:val="2"/>
            <w:tcBorders>
              <w:bottom w:val="single" w:sz="8" w:space="0" w:color="000000"/>
            </w:tcBorders>
          </w:tcPr>
          <w:p>
            <w:pPr>
              <w:pStyle w:val="TableParagraph"/>
              <w:spacing w:before="51"/>
              <w:ind w:left="179"/>
              <w:rPr>
                <w:rFonts w:ascii="微软雅黑" w:eastAsia="微软雅黑" w:hint="eastAsia"/>
                <w:b/>
                <w:sz w:val="24"/>
              </w:rPr>
            </w:pPr>
            <w:r>
              <w:rPr>
                <w:rFonts w:ascii="微软雅黑" w:eastAsia="微软雅黑" w:hint="eastAsia"/>
                <w:b/>
                <w:sz w:val="24"/>
              </w:rPr>
              <w:t>疾病定义</w:t>
            </w:r>
          </w:p>
          <w:p>
            <w:pPr>
              <w:pStyle w:val="TableParagraph"/>
              <w:spacing w:before="23"/>
              <w:ind w:left="179"/>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45"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770" w:type="dxa"/>
            <w:tcBorders>
              <w:top w:val="single" w:sz="8" w:space="0" w:color="000000"/>
            </w:tcBorders>
          </w:tcPr>
          <w:p>
            <w:pPr>
              <w:pStyle w:val="TableParagraph"/>
              <w:spacing w:before="176"/>
              <w:ind w:left="179"/>
              <w:rPr>
                <w:rFonts w:ascii="微软雅黑" w:eastAsia="微软雅黑" w:hint="eastAsia"/>
                <w:b/>
                <w:sz w:val="21"/>
              </w:rPr>
            </w:pPr>
            <w:r>
              <w:rPr>
                <w:rFonts w:ascii="微软雅黑" w:eastAsia="微软雅黑" w:hint="eastAsia"/>
                <w:b/>
                <w:sz w:val="21"/>
              </w:rPr>
              <w:t>重症疾病</w:t>
            </w:r>
          </w:p>
        </w:tc>
        <w:tc>
          <w:tcPr>
            <w:tcW w:w="7578" w:type="dxa"/>
            <w:tcBorders>
              <w:top w:val="single" w:sz="8" w:space="0" w:color="000000"/>
            </w:tcBorders>
          </w:tcPr>
          <w:p>
            <w:pPr>
              <w:pStyle w:val="TableParagraph"/>
              <w:spacing w:before="3"/>
              <w:ind w:left="0"/>
              <w:rPr>
                <w:sz w:val="18"/>
              </w:rPr>
            </w:pPr>
          </w:p>
          <w:p>
            <w:pPr>
              <w:pStyle w:val="TableParagraph"/>
              <w:ind w:left="110"/>
              <w:rPr>
                <w:sz w:val="21"/>
              </w:rPr>
            </w:pPr>
            <w:r>
              <w:rPr>
                <w:sz w:val="21"/>
              </w:rPr>
              <w:t>本合同所定义的重症疾病指如下约定的疾病、疾病状态或者手术，共有 75 种。</w:t>
            </w:r>
          </w:p>
        </w:tc>
      </w:tr>
      <w:tr>
        <w:trPr>
          <w:trHeight w:val="724" w:hRule="atLeast"/>
        </w:trPr>
        <w:tc>
          <w:tcPr>
            <w:tcW w:w="745" w:type="dxa"/>
          </w:tcPr>
          <w:p>
            <w:pPr>
              <w:pStyle w:val="TableParagraph"/>
              <w:spacing w:before="42"/>
              <w:ind w:left="107"/>
              <w:rPr>
                <w:rFonts w:ascii="微软雅黑"/>
                <w:b/>
                <w:sz w:val="21"/>
              </w:rPr>
            </w:pPr>
            <w:r>
              <w:rPr>
                <w:rFonts w:ascii="微软雅黑"/>
                <w:b/>
                <w:sz w:val="21"/>
              </w:rPr>
              <w:t>9.1.1</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恶性肿瘤</w:t>
            </w:r>
          </w:p>
        </w:tc>
        <w:tc>
          <w:tcPr>
            <w:tcW w:w="7578" w:type="dxa"/>
          </w:tcPr>
          <w:p>
            <w:pPr>
              <w:pStyle w:val="TableParagraph"/>
              <w:spacing w:line="320" w:lineRule="atLeast" w:before="59"/>
              <w:ind w:left="110" w:right="310"/>
              <w:rPr>
                <w:sz w:val="21"/>
              </w:rPr>
            </w:pPr>
            <w:r>
              <w:rPr>
                <w:sz w:val="21"/>
              </w:rPr>
              <w:t>指恶性细胞不受控制的进行性增长和扩散，浸润和破坏周围正常组织，可以经血管、淋巴管和体腔扩散转移到身体其他部位的疾病。经病理学检查结果明确</w:t>
            </w:r>
          </w:p>
        </w:tc>
      </w:tr>
    </w:tbl>
    <w:p>
      <w:pPr>
        <w:spacing w:after="0" w:line="320" w:lineRule="atLeast"/>
        <w:rPr>
          <w:sz w:val="21"/>
        </w:rPr>
        <w:sectPr>
          <w:pgSz w:w="11910" w:h="16840"/>
          <w:pgMar w:top="132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755"/>
        <w:gridCol w:w="7542"/>
      </w:tblGrid>
      <w:tr>
        <w:trPr>
          <w:trHeight w:val="3512" w:hRule="atLeast"/>
        </w:trPr>
        <w:tc>
          <w:tcPr>
            <w:tcW w:w="851"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542" w:type="dxa"/>
          </w:tcPr>
          <w:p>
            <w:pPr>
              <w:pStyle w:val="TableParagraph"/>
              <w:spacing w:line="215" w:lineRule="exact"/>
              <w:rPr>
                <w:sz w:val="21"/>
              </w:rPr>
            </w:pPr>
            <w:r>
              <w:rPr>
                <w:sz w:val="21"/>
              </w:rPr>
              <w:t>诊断，临床诊断属于世界卫Th组织《疾病和有关健康问题的国际统计分类》</w:t>
            </w:r>
          </w:p>
          <w:p>
            <w:pPr>
              <w:pStyle w:val="TableParagraph"/>
              <w:spacing w:before="46"/>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0"/>
              <w:rPr>
                <w:sz w:val="21"/>
              </w:rPr>
            </w:pPr>
            <w:r>
              <w:rPr>
                <w:sz w:val="21"/>
              </w:rPr>
              <w:t>下列疾病不在保障范围内：</w:t>
            </w:r>
          </w:p>
          <w:p>
            <w:pPr>
              <w:pStyle w:val="TableParagraph"/>
              <w:numPr>
                <w:ilvl w:val="0"/>
                <w:numId w:val="6"/>
              </w:numPr>
              <w:tabs>
                <w:tab w:pos="737" w:val="left" w:leader="none"/>
              </w:tabs>
              <w:spacing w:line="240" w:lineRule="auto" w:before="122" w:after="0"/>
              <w:ind w:left="736" w:right="0" w:hanging="624"/>
              <w:jc w:val="left"/>
              <w:rPr>
                <w:sz w:val="21"/>
              </w:rPr>
            </w:pPr>
            <w:r>
              <w:rPr>
                <w:spacing w:val="-1"/>
                <w:sz w:val="21"/>
              </w:rPr>
              <w:t>原位癌；</w:t>
            </w:r>
          </w:p>
          <w:p>
            <w:pPr>
              <w:pStyle w:val="TableParagraph"/>
              <w:numPr>
                <w:ilvl w:val="0"/>
                <w:numId w:val="6"/>
              </w:numPr>
              <w:tabs>
                <w:tab w:pos="737" w:val="left" w:leader="none"/>
              </w:tabs>
              <w:spacing w:line="240" w:lineRule="auto" w:before="122" w:after="0"/>
              <w:ind w:left="736" w:right="0" w:hanging="624"/>
              <w:jc w:val="left"/>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6"/>
              </w:numPr>
              <w:tabs>
                <w:tab w:pos="737" w:val="left" w:leader="none"/>
              </w:tabs>
              <w:spacing w:line="240" w:lineRule="auto" w:before="120" w:after="0"/>
              <w:ind w:left="736"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6"/>
              </w:numPr>
              <w:tabs>
                <w:tab w:pos="737" w:val="left" w:leader="none"/>
              </w:tabs>
              <w:spacing w:line="240" w:lineRule="auto" w:before="123" w:after="0"/>
              <w:ind w:left="736"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6"/>
              </w:numPr>
              <w:tabs>
                <w:tab w:pos="737" w:val="left" w:leader="none"/>
              </w:tabs>
              <w:spacing w:line="240" w:lineRule="auto" w:before="123" w:after="0"/>
              <w:ind w:left="736"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6"/>
              </w:numPr>
              <w:tabs>
                <w:tab w:pos="737" w:val="left" w:leader="none"/>
              </w:tabs>
              <w:spacing w:line="240" w:lineRule="auto" w:before="124" w:after="0"/>
              <w:ind w:left="736" w:right="0" w:hanging="624"/>
              <w:jc w:val="left"/>
              <w:rPr>
                <w:sz w:val="21"/>
              </w:rPr>
            </w:pPr>
            <w:r>
              <w:rPr>
                <w:spacing w:val="-3"/>
                <w:sz w:val="21"/>
              </w:rPr>
              <w:t>感染艾滋病病毒或者患艾滋病期间所患恶性肿瘤。</w:t>
            </w:r>
          </w:p>
        </w:tc>
      </w:tr>
      <w:tr>
        <w:trPr>
          <w:trHeight w:val="3118" w:hRule="atLeast"/>
        </w:trPr>
        <w:tc>
          <w:tcPr>
            <w:tcW w:w="851" w:type="dxa"/>
          </w:tcPr>
          <w:p>
            <w:pPr>
              <w:pStyle w:val="TableParagraph"/>
              <w:spacing w:before="39"/>
              <w:ind w:left="164" w:right="134"/>
              <w:jc w:val="center"/>
              <w:rPr>
                <w:rFonts w:ascii="微软雅黑"/>
                <w:b/>
                <w:sz w:val="21"/>
              </w:rPr>
            </w:pPr>
            <w:r>
              <w:rPr>
                <w:rFonts w:ascii="微软雅黑"/>
                <w:b/>
                <w:sz w:val="21"/>
              </w:rPr>
              <w:t>9.1.2</w:t>
            </w:r>
          </w:p>
        </w:tc>
        <w:tc>
          <w:tcPr>
            <w:tcW w:w="1755" w:type="dxa"/>
          </w:tcPr>
          <w:p>
            <w:pPr>
              <w:pStyle w:val="TableParagraph"/>
              <w:spacing w:before="39"/>
              <w:ind w:left="165"/>
              <w:rPr>
                <w:rFonts w:ascii="微软雅黑" w:eastAsia="微软雅黑" w:hint="eastAsia"/>
                <w:b/>
                <w:sz w:val="21"/>
              </w:rPr>
            </w:pPr>
            <w:r>
              <w:rPr>
                <w:rFonts w:ascii="微软雅黑" w:eastAsia="微软雅黑" w:hint="eastAsia"/>
                <w:b/>
                <w:sz w:val="21"/>
              </w:rPr>
              <w:t>急性心肌梗塞</w:t>
            </w:r>
          </w:p>
        </w:tc>
        <w:tc>
          <w:tcPr>
            <w:tcW w:w="7542" w:type="dxa"/>
          </w:tcPr>
          <w:p>
            <w:pPr>
              <w:pStyle w:val="TableParagraph"/>
              <w:spacing w:line="278" w:lineRule="auto" w:before="102"/>
              <w:ind w:right="256"/>
              <w:rPr>
                <w:sz w:val="21"/>
              </w:rPr>
            </w:pPr>
            <w:r>
              <w:rPr>
                <w:sz w:val="21"/>
              </w:rPr>
              <w:t>指因冠状动脉阻塞导致的相应区域供血不足造成部分心肌坏死。须满足下列至少三项条件：</w:t>
            </w:r>
          </w:p>
          <w:p>
            <w:pPr>
              <w:pStyle w:val="TableParagraph"/>
              <w:numPr>
                <w:ilvl w:val="0"/>
                <w:numId w:val="7"/>
              </w:numPr>
              <w:tabs>
                <w:tab w:pos="737" w:val="left" w:leader="none"/>
              </w:tabs>
              <w:spacing w:line="240" w:lineRule="auto" w:before="90" w:after="0"/>
              <w:ind w:left="736" w:right="0" w:hanging="624"/>
              <w:jc w:val="left"/>
              <w:rPr>
                <w:sz w:val="21"/>
              </w:rPr>
            </w:pPr>
            <w:r>
              <w:rPr>
                <w:spacing w:val="-3"/>
                <w:sz w:val="21"/>
              </w:rPr>
              <w:t>典型临床表现，例如急性胸痛等；</w:t>
            </w:r>
          </w:p>
          <w:p>
            <w:pPr>
              <w:pStyle w:val="TableParagraph"/>
              <w:numPr>
                <w:ilvl w:val="0"/>
                <w:numId w:val="7"/>
              </w:numPr>
              <w:tabs>
                <w:tab w:pos="737" w:val="left" w:leader="none"/>
              </w:tabs>
              <w:spacing w:line="240" w:lineRule="auto" w:before="123" w:after="0"/>
              <w:ind w:left="736" w:right="0" w:hanging="624"/>
              <w:jc w:val="left"/>
              <w:rPr>
                <w:sz w:val="21"/>
              </w:rPr>
            </w:pPr>
            <w:r>
              <w:rPr>
                <w:spacing w:val="-3"/>
                <w:sz w:val="21"/>
              </w:rPr>
              <w:t>新近的心电图改变提示急性心肌梗塞；</w:t>
            </w:r>
          </w:p>
          <w:p>
            <w:pPr>
              <w:pStyle w:val="TableParagraph"/>
              <w:numPr>
                <w:ilvl w:val="0"/>
                <w:numId w:val="7"/>
              </w:numPr>
              <w:tabs>
                <w:tab w:pos="737" w:val="left" w:leader="none"/>
              </w:tabs>
              <w:spacing w:line="280" w:lineRule="auto" w:before="121" w:after="0"/>
              <w:ind w:left="736" w:right="300"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7"/>
              </w:numPr>
              <w:tabs>
                <w:tab w:pos="737" w:val="left" w:leader="none"/>
              </w:tabs>
              <w:spacing w:line="240" w:lineRule="auto" w:before="88" w:after="0"/>
              <w:ind w:left="736" w:right="0" w:hanging="624"/>
              <w:jc w:val="left"/>
              <w:rPr>
                <w:sz w:val="21"/>
              </w:rPr>
            </w:pPr>
            <w:r>
              <w:rPr>
                <w:spacing w:val="20"/>
                <w:sz w:val="21"/>
              </w:rPr>
              <w:t>发病 </w:t>
            </w:r>
            <w:r>
              <w:rPr>
                <w:sz w:val="21"/>
              </w:rPr>
              <w:t>90 天后，经检查证实左心室功能降低，如左心室射血分数低于</w:t>
            </w:r>
          </w:p>
          <w:p>
            <w:pPr>
              <w:pStyle w:val="TableParagraph"/>
              <w:spacing w:before="44"/>
              <w:ind w:left="736"/>
              <w:rPr>
                <w:sz w:val="21"/>
              </w:rPr>
            </w:pPr>
            <w:r>
              <w:rPr>
                <w:w w:val="130"/>
                <w:sz w:val="21"/>
              </w:rPr>
              <w:t>50%</w:t>
            </w:r>
            <w:r>
              <w:rPr>
                <w:w w:val="125"/>
                <w:sz w:val="21"/>
              </w:rPr>
              <w:t>。</w:t>
            </w:r>
          </w:p>
        </w:tc>
      </w:tr>
      <w:tr>
        <w:trPr>
          <w:trHeight w:val="1609" w:hRule="atLeast"/>
        </w:trPr>
        <w:tc>
          <w:tcPr>
            <w:tcW w:w="851" w:type="dxa"/>
          </w:tcPr>
          <w:p>
            <w:pPr>
              <w:pStyle w:val="TableParagraph"/>
              <w:spacing w:before="42"/>
              <w:ind w:left="165" w:right="134"/>
              <w:jc w:val="center"/>
              <w:rPr>
                <w:rFonts w:ascii="微软雅黑"/>
                <w:b/>
                <w:sz w:val="21"/>
              </w:rPr>
            </w:pPr>
            <w:r>
              <w:rPr>
                <w:rFonts w:ascii="微软雅黑"/>
                <w:b/>
                <w:sz w:val="21"/>
              </w:rPr>
              <w:t>9.1.3</w:t>
            </w:r>
          </w:p>
        </w:tc>
        <w:tc>
          <w:tcPr>
            <w:tcW w:w="1755" w:type="dxa"/>
          </w:tcPr>
          <w:p>
            <w:pPr>
              <w:pStyle w:val="TableParagraph"/>
              <w:spacing w:line="341" w:lineRule="exact" w:before="42"/>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3" w:lineRule="auto" w:before="18"/>
              <w:ind w:left="165" w:right="109"/>
              <w:rPr>
                <w:rFonts w:ascii="微软雅黑" w:eastAsia="微软雅黑" w:hint="eastAsia"/>
                <w:b/>
                <w:sz w:val="21"/>
              </w:rPr>
            </w:pPr>
            <w:r>
              <w:rPr>
                <w:rFonts w:ascii="微软雅黑" w:eastAsia="微软雅黑" w:hint="eastAsia"/>
                <w:b/>
                <w:sz w:val="21"/>
              </w:rPr>
              <w:t>（或者称冠状动脉旁路移植术）</w:t>
            </w:r>
          </w:p>
        </w:tc>
        <w:tc>
          <w:tcPr>
            <w:tcW w:w="7542" w:type="dxa"/>
          </w:tcPr>
          <w:p>
            <w:pPr>
              <w:pStyle w:val="TableParagraph"/>
              <w:spacing w:line="278" w:lineRule="auto" w:before="104"/>
              <w:ind w:right="301"/>
              <w:rPr>
                <w:sz w:val="21"/>
              </w:rPr>
            </w:pPr>
            <w:r>
              <w:rPr>
                <w:sz w:val="21"/>
              </w:rPr>
              <w:t>指为治疗严重的冠心病，实际实施了开胸进行的冠状动脉血管旁路移植的手术。</w:t>
            </w:r>
          </w:p>
          <w:p>
            <w:pPr>
              <w:pStyle w:val="TableParagraph"/>
              <w:spacing w:line="280" w:lineRule="auto" w:before="89"/>
              <w:ind w:right="272"/>
              <w:rPr>
                <w:sz w:val="21"/>
              </w:rPr>
            </w:pPr>
            <w:r>
              <w:rPr>
                <w:sz w:val="21"/>
              </w:rPr>
              <w:t>冠状动脉支架植入术、心导管球囊扩张术、激光射频技术及其他非开胸的介入手术、腔镜手术不在保障范围内。</w:t>
            </w:r>
          </w:p>
        </w:tc>
      </w:tr>
      <w:tr>
        <w:trPr>
          <w:trHeight w:val="886" w:hRule="atLeast"/>
        </w:trPr>
        <w:tc>
          <w:tcPr>
            <w:tcW w:w="851" w:type="dxa"/>
          </w:tcPr>
          <w:p>
            <w:pPr>
              <w:pStyle w:val="TableParagraph"/>
              <w:spacing w:before="38"/>
              <w:ind w:left="166" w:right="133"/>
              <w:jc w:val="center"/>
              <w:rPr>
                <w:rFonts w:ascii="微软雅黑"/>
                <w:b/>
                <w:sz w:val="21"/>
              </w:rPr>
            </w:pPr>
            <w:r>
              <w:rPr>
                <w:rFonts w:ascii="微软雅黑"/>
                <w:b/>
                <w:sz w:val="21"/>
              </w:rPr>
              <w:t>9.1.4</w:t>
            </w:r>
          </w:p>
        </w:tc>
        <w:tc>
          <w:tcPr>
            <w:tcW w:w="1755" w:type="dxa"/>
          </w:tcPr>
          <w:p>
            <w:pPr>
              <w:pStyle w:val="TableParagraph"/>
              <w:spacing w:before="38"/>
              <w:ind w:left="165"/>
              <w:rPr>
                <w:rFonts w:ascii="微软雅黑" w:eastAsia="微软雅黑" w:hint="eastAsia"/>
                <w:b/>
                <w:sz w:val="21"/>
              </w:rPr>
            </w:pPr>
            <w:r>
              <w:rPr>
                <w:rFonts w:ascii="微软雅黑" w:eastAsia="微软雅黑" w:hint="eastAsia"/>
                <w:b/>
                <w:sz w:val="21"/>
              </w:rPr>
              <w:t>心脏瓣膜手术</w:t>
            </w:r>
          </w:p>
        </w:tc>
        <w:tc>
          <w:tcPr>
            <w:tcW w:w="7542" w:type="dxa"/>
          </w:tcPr>
          <w:p>
            <w:pPr>
              <w:pStyle w:val="TableParagraph"/>
              <w:spacing w:line="280" w:lineRule="auto" w:before="101"/>
              <w:ind w:right="301"/>
              <w:rPr>
                <w:sz w:val="21"/>
              </w:rPr>
            </w:pPr>
            <w:r>
              <w:rPr>
                <w:sz w:val="21"/>
              </w:rPr>
              <w:t>指为治疗心脏瓣膜疾病，实际实施了开胸进行的心脏瓣膜置换或者修复的手术。</w:t>
            </w:r>
          </w:p>
        </w:tc>
      </w:tr>
      <w:tr>
        <w:trPr>
          <w:trHeight w:val="1207" w:hRule="atLeast"/>
        </w:trPr>
        <w:tc>
          <w:tcPr>
            <w:tcW w:w="851" w:type="dxa"/>
          </w:tcPr>
          <w:p>
            <w:pPr>
              <w:pStyle w:val="TableParagraph"/>
              <w:spacing w:before="40"/>
              <w:ind w:left="166" w:right="134"/>
              <w:jc w:val="center"/>
              <w:rPr>
                <w:rFonts w:ascii="微软雅黑"/>
                <w:b/>
                <w:sz w:val="21"/>
              </w:rPr>
            </w:pPr>
            <w:r>
              <w:rPr>
                <w:rFonts w:ascii="微软雅黑"/>
                <w:b/>
                <w:sz w:val="21"/>
              </w:rPr>
              <w:t>9.1.5</w:t>
            </w:r>
          </w:p>
        </w:tc>
        <w:tc>
          <w:tcPr>
            <w:tcW w:w="1755" w:type="dxa"/>
          </w:tcPr>
          <w:p>
            <w:pPr>
              <w:pStyle w:val="TableParagraph"/>
              <w:spacing w:line="213" w:lineRule="auto" w:before="80"/>
              <w:ind w:left="165" w:right="109"/>
              <w:rPr>
                <w:rFonts w:ascii="微软雅黑" w:eastAsia="微软雅黑" w:hint="eastAsia"/>
                <w:b/>
                <w:sz w:val="21"/>
              </w:rPr>
            </w:pPr>
            <w:r>
              <w:rPr>
                <w:rFonts w:ascii="微软雅黑" w:eastAsia="微软雅黑" w:hint="eastAsia"/>
                <w:b/>
                <w:sz w:val="21"/>
              </w:rPr>
              <w:t>严重原发性肺动脉高压</w:t>
            </w:r>
          </w:p>
        </w:tc>
        <w:tc>
          <w:tcPr>
            <w:tcW w:w="7542" w:type="dxa"/>
          </w:tcPr>
          <w:p>
            <w:pPr>
              <w:pStyle w:val="TableParagraph"/>
              <w:spacing w:line="220" w:lineRule="auto" w:before="125"/>
              <w:ind w:right="197"/>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2"/>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spacing w:val="-2"/>
                <w:w w:val="97"/>
                <w:sz w:val="21"/>
              </w:rPr>
              <w:t>1</w:t>
            </w:r>
            <w:r>
              <w:rPr>
                <w:spacing w:val="-72"/>
                <w:w w:val="100"/>
                <w:sz w:val="21"/>
              </w:rPr>
              <w:t>）</w:t>
            </w:r>
            <w:r>
              <w:rPr>
                <w:spacing w:val="-10"/>
                <w:w w:val="100"/>
                <w:sz w:val="21"/>
              </w:rPr>
              <w:t>Ⅳ级，且静息状态下肺动脉平均压超过</w:t>
            </w:r>
            <w:r>
              <w:rPr>
                <w:spacing w:val="-10"/>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7" w:hRule="atLeast"/>
        </w:trPr>
        <w:tc>
          <w:tcPr>
            <w:tcW w:w="851" w:type="dxa"/>
          </w:tcPr>
          <w:p>
            <w:pPr>
              <w:pStyle w:val="TableParagraph"/>
              <w:spacing w:before="40"/>
              <w:ind w:left="166" w:right="133"/>
              <w:jc w:val="center"/>
              <w:rPr>
                <w:rFonts w:ascii="微软雅黑"/>
                <w:b/>
                <w:sz w:val="21"/>
              </w:rPr>
            </w:pPr>
            <w:r>
              <w:rPr>
                <w:rFonts w:ascii="微软雅黑"/>
                <w:b/>
                <w:sz w:val="21"/>
              </w:rPr>
              <w:t>9.1.6</w:t>
            </w:r>
          </w:p>
        </w:tc>
        <w:tc>
          <w:tcPr>
            <w:tcW w:w="1755" w:type="dxa"/>
          </w:tcPr>
          <w:p>
            <w:pPr>
              <w:pStyle w:val="TableParagraph"/>
              <w:spacing w:before="40"/>
              <w:ind w:left="165"/>
              <w:rPr>
                <w:rFonts w:ascii="微软雅黑" w:eastAsia="微软雅黑" w:hint="eastAsia"/>
                <w:b/>
                <w:sz w:val="21"/>
              </w:rPr>
            </w:pPr>
            <w:r>
              <w:rPr>
                <w:rFonts w:ascii="微软雅黑" w:eastAsia="微软雅黑" w:hint="eastAsia"/>
                <w:b/>
                <w:sz w:val="21"/>
              </w:rPr>
              <w:t>主动脉手术</w:t>
            </w:r>
          </w:p>
        </w:tc>
        <w:tc>
          <w:tcPr>
            <w:tcW w:w="7542" w:type="dxa"/>
          </w:tcPr>
          <w:p>
            <w:pPr>
              <w:pStyle w:val="TableParagraph"/>
              <w:spacing w:line="280" w:lineRule="auto" w:before="103"/>
              <w:ind w:right="303"/>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7"/>
              <w:jc w:val="both"/>
              <w:rPr>
                <w:sz w:val="21"/>
              </w:rPr>
            </w:pPr>
            <w:r>
              <w:rPr>
                <w:sz w:val="21"/>
              </w:rPr>
              <w:t>动脉内血管成形术不在保障范围内。</w:t>
            </w:r>
          </w:p>
        </w:tc>
      </w:tr>
      <w:tr>
        <w:trPr>
          <w:trHeight w:val="1605" w:hRule="atLeast"/>
        </w:trPr>
        <w:tc>
          <w:tcPr>
            <w:tcW w:w="851" w:type="dxa"/>
          </w:tcPr>
          <w:p>
            <w:pPr>
              <w:pStyle w:val="TableParagraph"/>
              <w:spacing w:before="39"/>
              <w:ind w:left="166" w:right="134"/>
              <w:jc w:val="center"/>
              <w:rPr>
                <w:rFonts w:ascii="微软雅黑"/>
                <w:b/>
                <w:sz w:val="21"/>
              </w:rPr>
            </w:pPr>
            <w:r>
              <w:rPr>
                <w:rFonts w:ascii="微软雅黑"/>
                <w:b/>
                <w:sz w:val="21"/>
              </w:rPr>
              <w:t>9.1.7</w:t>
            </w:r>
          </w:p>
        </w:tc>
        <w:tc>
          <w:tcPr>
            <w:tcW w:w="1755" w:type="dxa"/>
          </w:tcPr>
          <w:p>
            <w:pPr>
              <w:pStyle w:val="TableParagraph"/>
              <w:spacing w:before="39"/>
              <w:ind w:left="165"/>
              <w:rPr>
                <w:rFonts w:ascii="微软雅黑" w:eastAsia="微软雅黑" w:hint="eastAsia"/>
                <w:b/>
                <w:sz w:val="21"/>
              </w:rPr>
            </w:pPr>
            <w:r>
              <w:rPr>
                <w:rFonts w:ascii="微软雅黑" w:eastAsia="微软雅黑" w:hint="eastAsia"/>
                <w:b/>
                <w:sz w:val="21"/>
              </w:rPr>
              <w:t>严重心肌病</w:t>
            </w:r>
          </w:p>
        </w:tc>
        <w:tc>
          <w:tcPr>
            <w:tcW w:w="7542" w:type="dxa"/>
          </w:tcPr>
          <w:p>
            <w:pPr>
              <w:pStyle w:val="TableParagraph"/>
              <w:spacing w:line="280" w:lineRule="auto" w:before="101"/>
              <w:ind w:right="303"/>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7"/>
              <w:jc w:val="both"/>
              <w:rPr>
                <w:sz w:val="21"/>
              </w:rPr>
            </w:pPr>
            <w:r>
              <w:rPr>
                <w:sz w:val="21"/>
              </w:rPr>
              <w:t>因酗酒或者滥用药物引起的心肌病不在保障范围内。</w:t>
            </w:r>
          </w:p>
        </w:tc>
      </w:tr>
      <w:tr>
        <w:trPr>
          <w:trHeight w:val="799" w:hRule="atLeast"/>
        </w:trPr>
        <w:tc>
          <w:tcPr>
            <w:tcW w:w="851" w:type="dxa"/>
          </w:tcPr>
          <w:p>
            <w:pPr>
              <w:pStyle w:val="TableParagraph"/>
              <w:spacing w:before="38"/>
              <w:ind w:left="166" w:right="132"/>
              <w:jc w:val="center"/>
              <w:rPr>
                <w:rFonts w:ascii="微软雅黑"/>
                <w:b/>
                <w:sz w:val="21"/>
              </w:rPr>
            </w:pPr>
            <w:r>
              <w:rPr>
                <w:rFonts w:ascii="微软雅黑"/>
                <w:b/>
                <w:sz w:val="21"/>
              </w:rPr>
              <w:t>9.1.8</w:t>
            </w:r>
          </w:p>
        </w:tc>
        <w:tc>
          <w:tcPr>
            <w:tcW w:w="1755" w:type="dxa"/>
          </w:tcPr>
          <w:p>
            <w:pPr>
              <w:pStyle w:val="TableParagraph"/>
              <w:spacing w:line="213" w:lineRule="auto" w:before="78"/>
              <w:ind w:left="165" w:right="109"/>
              <w:rPr>
                <w:rFonts w:ascii="微软雅黑" w:eastAsia="微软雅黑" w:hint="eastAsia"/>
                <w:b/>
                <w:sz w:val="21"/>
              </w:rPr>
            </w:pPr>
            <w:r>
              <w:rPr>
                <w:rFonts w:ascii="微软雅黑" w:eastAsia="微软雅黑" w:hint="eastAsia"/>
                <w:b/>
                <w:sz w:val="21"/>
              </w:rPr>
              <w:t>严重感染性心内膜炎</w:t>
            </w:r>
          </w:p>
        </w:tc>
        <w:tc>
          <w:tcPr>
            <w:tcW w:w="7542" w:type="dxa"/>
          </w:tcPr>
          <w:p>
            <w:pPr>
              <w:pStyle w:val="TableParagraph"/>
              <w:spacing w:before="101"/>
              <w:rPr>
                <w:sz w:val="21"/>
              </w:rPr>
            </w:pPr>
            <w:r>
              <w:rPr>
                <w:sz w:val="21"/>
              </w:rPr>
              <w:t>因感染性微Th物引致的心脏内膜炎症，并满足下列全部条件：</w:t>
            </w:r>
          </w:p>
          <w:p>
            <w:pPr>
              <w:pStyle w:val="TableParagraph"/>
              <w:spacing w:before="123"/>
              <w:rPr>
                <w:sz w:val="21"/>
              </w:rPr>
            </w:pPr>
            <w:r>
              <w:rPr>
                <w:sz w:val="21"/>
              </w:rPr>
              <w:t>（1） 以下方法之一血液培养测试结果为阳性，证实存在感染性微Th物：</w:t>
            </w:r>
          </w:p>
        </w:tc>
      </w:tr>
    </w:tbl>
    <w:p>
      <w:pPr>
        <w:spacing w:after="0"/>
        <w:rPr>
          <w:sz w:val="21"/>
        </w:rPr>
        <w:sectPr>
          <w:pgSz w:w="11910" w:h="16840"/>
          <w:pgMar w:top="12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6"/>
      </w:tblGrid>
      <w:tr>
        <w:trPr>
          <w:trHeight w:val="3278"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6" w:type="dxa"/>
          </w:tcPr>
          <w:p>
            <w:pPr>
              <w:pStyle w:val="TableParagraph"/>
              <w:spacing w:line="215" w:lineRule="exact"/>
              <w:ind w:left="742"/>
              <w:rPr>
                <w:sz w:val="21"/>
              </w:rPr>
            </w:pPr>
            <w:r>
              <w:rPr>
                <w:sz w:val="21"/>
              </w:rPr>
              <w:t>① 微Th物：在赘Th物或者心脏内脓疡经培养或者组织检查证实有微Th</w:t>
            </w:r>
          </w:p>
          <w:p>
            <w:pPr>
              <w:pStyle w:val="TableParagraph"/>
              <w:spacing w:before="46"/>
              <w:ind w:left="1057"/>
              <w:rPr>
                <w:sz w:val="21"/>
              </w:rPr>
            </w:pPr>
            <w:r>
              <w:rPr>
                <w:sz w:val="21"/>
              </w:rPr>
              <w:t>物；</w:t>
            </w:r>
          </w:p>
          <w:p>
            <w:pPr>
              <w:pStyle w:val="TableParagraph"/>
              <w:spacing w:line="280" w:lineRule="auto" w:before="121"/>
              <w:ind w:left="1057" w:right="216" w:hanging="315"/>
              <w:rPr>
                <w:sz w:val="21"/>
              </w:rPr>
            </w:pPr>
            <w:r>
              <w:rPr>
                <w:sz w:val="21"/>
              </w:rPr>
              <w:t>② 病理性病灶：组织检查证实赘Th物或者心脏内脓疡有活动性心内膜炎；</w:t>
            </w:r>
          </w:p>
          <w:p>
            <w:pPr>
              <w:pStyle w:val="TableParagraph"/>
              <w:spacing w:before="88"/>
              <w:ind w:left="742"/>
              <w:rPr>
                <w:sz w:val="21"/>
              </w:rPr>
            </w:pPr>
            <w:r>
              <w:rPr>
                <w:sz w:val="21"/>
              </w:rPr>
              <w:t>③ 分别两次血液培养证实有微Th物，且与心内膜炎符合；</w:t>
            </w:r>
          </w:p>
          <w:p>
            <w:pPr>
              <w:pStyle w:val="TableParagraph"/>
              <w:numPr>
                <w:ilvl w:val="0"/>
                <w:numId w:val="8"/>
              </w:numPr>
              <w:tabs>
                <w:tab w:pos="736" w:val="left" w:leader="none"/>
              </w:tabs>
              <w:spacing w:line="280" w:lineRule="auto" w:before="121" w:after="0"/>
              <w:ind w:left="735" w:right="210" w:hanging="624"/>
              <w:jc w:val="left"/>
              <w:rPr>
                <w:sz w:val="21"/>
              </w:rPr>
            </w:pPr>
            <w:r>
              <w:rPr>
                <w:sz w:val="21"/>
              </w:rPr>
              <w:t>心内膜炎引起中度心瓣膜闭锁不全（</w:t>
            </w:r>
            <w:r>
              <w:rPr>
                <w:spacing w:val="11"/>
                <w:sz w:val="21"/>
              </w:rPr>
              <w:t>指返流分数 </w:t>
            </w:r>
            <w:r>
              <w:rPr>
                <w:sz w:val="21"/>
              </w:rPr>
              <w:t>20%或者以上）或者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8"/>
              </w:numPr>
              <w:tabs>
                <w:tab w:pos="736" w:val="left" w:leader="none"/>
              </w:tabs>
              <w:spacing w:line="278" w:lineRule="auto" w:before="87" w:after="0"/>
              <w:ind w:left="735" w:right="212"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8" w:hRule="atLeast"/>
        </w:trPr>
        <w:tc>
          <w:tcPr>
            <w:tcW w:w="902" w:type="dxa"/>
          </w:tcPr>
          <w:p>
            <w:pPr>
              <w:pStyle w:val="TableParagraph"/>
              <w:spacing w:before="42"/>
              <w:ind w:left="54" w:right="69"/>
              <w:jc w:val="center"/>
              <w:rPr>
                <w:rFonts w:ascii="微软雅黑"/>
                <w:b/>
                <w:sz w:val="21"/>
              </w:rPr>
            </w:pPr>
            <w:r>
              <w:rPr>
                <w:rFonts w:ascii="微软雅黑"/>
                <w:b/>
                <w:sz w:val="21"/>
              </w:rPr>
              <w:t>9.1.9</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严重冠心病</w:t>
            </w:r>
          </w:p>
        </w:tc>
        <w:tc>
          <w:tcPr>
            <w:tcW w:w="7446" w:type="dxa"/>
          </w:tcPr>
          <w:p>
            <w:pPr>
              <w:pStyle w:val="TableParagraph"/>
              <w:spacing w:line="280" w:lineRule="auto" w:before="104"/>
              <w:ind w:left="110" w:right="208"/>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10"/>
              <w:jc w:val="both"/>
              <w:rPr>
                <w:sz w:val="21"/>
              </w:rPr>
            </w:pPr>
            <w:r>
              <w:rPr>
                <w:sz w:val="21"/>
              </w:rPr>
              <w:t>前降支、左旋支及右冠状动脉的分支血管的狭窄不在保障范围内。</w:t>
            </w:r>
          </w:p>
        </w:tc>
      </w:tr>
      <w:tr>
        <w:trPr>
          <w:trHeight w:val="1525" w:hRule="atLeast"/>
        </w:trPr>
        <w:tc>
          <w:tcPr>
            <w:tcW w:w="902" w:type="dxa"/>
          </w:tcPr>
          <w:p>
            <w:pPr>
              <w:pStyle w:val="TableParagraph"/>
              <w:spacing w:before="39"/>
              <w:ind w:left="141" w:right="57"/>
              <w:jc w:val="center"/>
              <w:rPr>
                <w:rFonts w:ascii="微软雅黑"/>
                <w:b/>
                <w:sz w:val="21"/>
              </w:rPr>
            </w:pPr>
            <w:r>
              <w:rPr>
                <w:rFonts w:ascii="微软雅黑"/>
                <w:b/>
                <w:sz w:val="21"/>
              </w:rPr>
              <w:t>9.1.10</w:t>
            </w:r>
          </w:p>
        </w:tc>
        <w:tc>
          <w:tcPr>
            <w:tcW w:w="1705" w:type="dxa"/>
          </w:tcPr>
          <w:p>
            <w:pPr>
              <w:pStyle w:val="TableParagraph"/>
              <w:spacing w:line="213" w:lineRule="auto" w:before="79"/>
              <w:ind w:left="114" w:right="110"/>
              <w:rPr>
                <w:rFonts w:ascii="微软雅黑" w:eastAsia="微软雅黑" w:hint="eastAsia"/>
                <w:b/>
                <w:sz w:val="21"/>
              </w:rPr>
            </w:pPr>
            <w:r>
              <w:rPr>
                <w:rFonts w:ascii="微软雅黑" w:eastAsia="微软雅黑" w:hint="eastAsia"/>
                <w:b/>
                <w:sz w:val="21"/>
              </w:rPr>
              <w:t>主动脉夹层动脉瘤</w:t>
            </w:r>
          </w:p>
        </w:tc>
        <w:tc>
          <w:tcPr>
            <w:tcW w:w="7446" w:type="dxa"/>
          </w:tcPr>
          <w:p>
            <w:pPr>
              <w:pStyle w:val="TableParagraph"/>
              <w:spacing w:line="278" w:lineRule="auto" w:before="102"/>
              <w:ind w:left="110" w:right="208"/>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5" w:hRule="atLeast"/>
        </w:trPr>
        <w:tc>
          <w:tcPr>
            <w:tcW w:w="902" w:type="dxa"/>
          </w:tcPr>
          <w:p>
            <w:pPr>
              <w:pStyle w:val="TableParagraph"/>
              <w:spacing w:before="40"/>
              <w:ind w:left="127" w:right="69"/>
              <w:jc w:val="center"/>
              <w:rPr>
                <w:rFonts w:ascii="微软雅黑"/>
                <w:b/>
                <w:sz w:val="21"/>
              </w:rPr>
            </w:pPr>
            <w:r>
              <w:rPr>
                <w:rFonts w:ascii="微软雅黑"/>
                <w:b/>
                <w:sz w:val="21"/>
              </w:rPr>
              <w:t>9.1.11</w:t>
            </w:r>
          </w:p>
        </w:tc>
        <w:tc>
          <w:tcPr>
            <w:tcW w:w="1705" w:type="dxa"/>
          </w:tcPr>
          <w:p>
            <w:pPr>
              <w:pStyle w:val="TableParagraph"/>
              <w:spacing w:line="213" w:lineRule="auto" w:before="80"/>
              <w:ind w:left="114" w:right="110"/>
              <w:rPr>
                <w:rFonts w:ascii="微软雅黑" w:eastAsia="微软雅黑" w:hint="eastAsia"/>
                <w:b/>
                <w:sz w:val="21"/>
              </w:rPr>
            </w:pPr>
            <w:r>
              <w:rPr>
                <w:rFonts w:ascii="微软雅黑" w:eastAsia="微软雅黑" w:hint="eastAsia"/>
                <w:b/>
                <w:sz w:val="21"/>
              </w:rPr>
              <w:t>严重慢性缩窄性心包炎</w:t>
            </w:r>
          </w:p>
        </w:tc>
        <w:tc>
          <w:tcPr>
            <w:tcW w:w="7446" w:type="dxa"/>
          </w:tcPr>
          <w:p>
            <w:pPr>
              <w:pStyle w:val="TableParagraph"/>
              <w:spacing w:line="280" w:lineRule="auto" w:before="103"/>
              <w:ind w:left="110" w:right="208"/>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9"/>
              </w:numPr>
              <w:tabs>
                <w:tab w:pos="743" w:val="left" w:leader="none"/>
              </w:tabs>
              <w:spacing w:line="280" w:lineRule="auto" w:before="85" w:after="0"/>
              <w:ind w:left="742" w:right="208"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9"/>
              </w:numPr>
              <w:tabs>
                <w:tab w:pos="743" w:val="left" w:leader="none"/>
              </w:tabs>
              <w:spacing w:line="240" w:lineRule="auto" w:before="85" w:after="0"/>
              <w:ind w:left="742" w:right="0" w:hanging="631"/>
              <w:jc w:val="both"/>
              <w:rPr>
                <w:sz w:val="21"/>
              </w:rPr>
            </w:pPr>
            <w:r>
              <w:rPr>
                <w:spacing w:val="-3"/>
                <w:sz w:val="21"/>
              </w:rPr>
              <w:t>已经实施了开胸进行的心包剥脱或者心包切除手术。</w:t>
            </w:r>
          </w:p>
          <w:p>
            <w:pPr>
              <w:pStyle w:val="TableParagraph"/>
              <w:spacing w:before="123"/>
              <w:ind w:left="110"/>
              <w:jc w:val="both"/>
              <w:rPr>
                <w:sz w:val="21"/>
              </w:rPr>
            </w:pPr>
            <w:r>
              <w:rPr>
                <w:sz w:val="21"/>
              </w:rPr>
              <w:t>经胸腔镜、胸壁打孔进行的手术，心包粘连松解手术不在保障范围内。</w:t>
            </w:r>
          </w:p>
        </w:tc>
      </w:tr>
      <w:tr>
        <w:trPr>
          <w:trHeight w:val="885" w:hRule="atLeast"/>
        </w:trPr>
        <w:tc>
          <w:tcPr>
            <w:tcW w:w="902" w:type="dxa"/>
          </w:tcPr>
          <w:p>
            <w:pPr>
              <w:pStyle w:val="TableParagraph"/>
              <w:spacing w:before="39"/>
              <w:ind w:left="141" w:right="59"/>
              <w:jc w:val="center"/>
              <w:rPr>
                <w:rFonts w:ascii="微软雅黑"/>
                <w:b/>
                <w:sz w:val="21"/>
              </w:rPr>
            </w:pPr>
            <w:r>
              <w:rPr>
                <w:rFonts w:ascii="微软雅黑"/>
                <w:b/>
                <w:sz w:val="21"/>
              </w:rPr>
              <w:t>9.1.12</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46" w:type="dxa"/>
          </w:tcPr>
          <w:p>
            <w:pPr>
              <w:pStyle w:val="TableParagraph"/>
              <w:spacing w:line="278" w:lineRule="auto" w:before="102"/>
              <w:ind w:left="110"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02" w:type="dxa"/>
          </w:tcPr>
          <w:p>
            <w:pPr>
              <w:pStyle w:val="TableParagraph"/>
              <w:spacing w:before="42"/>
              <w:ind w:left="141" w:right="58"/>
              <w:jc w:val="center"/>
              <w:rPr>
                <w:rFonts w:ascii="微软雅黑"/>
                <w:b/>
                <w:sz w:val="21"/>
              </w:rPr>
            </w:pPr>
            <w:r>
              <w:rPr>
                <w:rFonts w:ascii="微软雅黑"/>
                <w:b/>
                <w:sz w:val="21"/>
              </w:rPr>
              <w:t>9.1.13</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严重心肌炎</w:t>
            </w:r>
          </w:p>
        </w:tc>
        <w:tc>
          <w:tcPr>
            <w:tcW w:w="7446" w:type="dxa"/>
          </w:tcPr>
          <w:p>
            <w:pPr>
              <w:pStyle w:val="TableParagraph"/>
              <w:spacing w:line="278" w:lineRule="auto" w:before="104"/>
              <w:ind w:left="110" w:right="17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02" w:type="dxa"/>
          </w:tcPr>
          <w:p>
            <w:pPr>
              <w:pStyle w:val="TableParagraph"/>
              <w:spacing w:before="42"/>
              <w:ind w:left="141" w:right="56"/>
              <w:jc w:val="center"/>
              <w:rPr>
                <w:rFonts w:ascii="微软雅黑"/>
                <w:b/>
                <w:sz w:val="21"/>
              </w:rPr>
            </w:pPr>
            <w:r>
              <w:rPr>
                <w:rFonts w:ascii="微软雅黑"/>
                <w:b/>
                <w:sz w:val="21"/>
              </w:rPr>
              <w:t>9.1.14</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脑中风后遗症</w:t>
            </w:r>
          </w:p>
        </w:tc>
        <w:tc>
          <w:tcPr>
            <w:tcW w:w="7446" w:type="dxa"/>
          </w:tcPr>
          <w:p>
            <w:pPr>
              <w:pStyle w:val="TableParagraph"/>
              <w:spacing w:line="280" w:lineRule="auto" w:before="104"/>
              <w:ind w:left="110" w:right="208"/>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0"/>
              </w:numPr>
              <w:tabs>
                <w:tab w:pos="736" w:val="left" w:leader="none"/>
              </w:tabs>
              <w:spacing w:line="240" w:lineRule="auto" w:before="22"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0"/>
                <w:sz w:val="21"/>
              </w:rPr>
              <w:t>2</w:t>
            </w:r>
            <w:r>
              <w:rPr>
                <w:spacing w:val="-106"/>
                <w:w w:val="100"/>
                <w:sz w:val="21"/>
              </w:rPr>
              <w:t>）；</w:t>
            </w:r>
          </w:p>
          <w:p>
            <w:pPr>
              <w:pStyle w:val="TableParagraph"/>
              <w:numPr>
                <w:ilvl w:val="0"/>
                <w:numId w:val="10"/>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10"/>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0"/>
              <w:ind w:left="735"/>
              <w:rPr>
                <w:sz w:val="21"/>
              </w:rPr>
            </w:pPr>
            <w:r>
              <w:rPr>
                <w:w w:val="97"/>
                <w:sz w:val="21"/>
              </w:rPr>
              <w:t>1</w:t>
            </w:r>
            <w:r>
              <w:rPr>
                <w:w w:val="122"/>
                <w:sz w:val="21"/>
              </w:rPr>
              <w:t>0</w:t>
            </w:r>
            <w:r>
              <w:rPr>
                <w:spacing w:val="-2"/>
                <w:w w:val="58"/>
                <w:sz w:val="21"/>
              </w:rPr>
              <w:t>.</w:t>
            </w:r>
            <w:r>
              <w:rPr>
                <w:spacing w:val="-2"/>
                <w:w w:val="121"/>
                <w:sz w:val="21"/>
              </w:rPr>
              <w:t>2</w:t>
            </w:r>
            <w:r>
              <w:rPr>
                <w:w w:val="123"/>
                <w:sz w:val="21"/>
              </w:rPr>
              <w:t>4</w:t>
            </w:r>
            <w:r>
              <w:rPr>
                <w:spacing w:val="-3"/>
                <w:w w:val="100"/>
                <w:sz w:val="21"/>
              </w:rPr>
              <w:t>）中的三项或者三项以上。</w:t>
            </w:r>
          </w:p>
        </w:tc>
      </w:tr>
      <w:tr>
        <w:trPr>
          <w:trHeight w:val="403" w:hRule="atLeast"/>
        </w:trPr>
        <w:tc>
          <w:tcPr>
            <w:tcW w:w="902" w:type="dxa"/>
          </w:tcPr>
          <w:p>
            <w:pPr>
              <w:pStyle w:val="TableParagraph"/>
              <w:spacing w:line="343" w:lineRule="exact" w:before="40"/>
              <w:ind w:left="141" w:right="57"/>
              <w:jc w:val="center"/>
              <w:rPr>
                <w:rFonts w:ascii="微软雅黑"/>
                <w:b/>
                <w:sz w:val="21"/>
              </w:rPr>
            </w:pPr>
            <w:r>
              <w:rPr>
                <w:rFonts w:ascii="微软雅黑"/>
                <w:b/>
                <w:sz w:val="21"/>
              </w:rPr>
              <w:t>9.1.15</w:t>
            </w:r>
          </w:p>
        </w:tc>
        <w:tc>
          <w:tcPr>
            <w:tcW w:w="1705" w:type="dxa"/>
          </w:tcPr>
          <w:p>
            <w:pPr>
              <w:pStyle w:val="TableParagraph"/>
              <w:spacing w:line="343" w:lineRule="exact" w:before="40"/>
              <w:ind w:left="114"/>
              <w:rPr>
                <w:rFonts w:ascii="微软雅黑" w:eastAsia="微软雅黑" w:hint="eastAsia"/>
                <w:b/>
                <w:sz w:val="21"/>
              </w:rPr>
            </w:pPr>
            <w:r>
              <w:rPr>
                <w:rFonts w:ascii="微软雅黑" w:eastAsia="微软雅黑" w:hint="eastAsia"/>
                <w:b/>
                <w:sz w:val="21"/>
              </w:rPr>
              <w:t>良性脑肿瘤</w:t>
            </w:r>
          </w:p>
        </w:tc>
        <w:tc>
          <w:tcPr>
            <w:tcW w:w="7446" w:type="dxa"/>
          </w:tcPr>
          <w:p>
            <w:pPr>
              <w:pStyle w:val="TableParagraph"/>
              <w:spacing w:before="103"/>
              <w:ind w:left="110"/>
              <w:rPr>
                <w:sz w:val="21"/>
              </w:rPr>
            </w:pPr>
            <w:r>
              <w:rPr>
                <w:sz w:val="21"/>
              </w:rPr>
              <w:t>指脑的良性肿瘤，已经引起颅内压增高，临床表现为视神经乳头水肿、精神症</w:t>
            </w:r>
          </w:p>
        </w:tc>
      </w:tr>
    </w:tbl>
    <w:p>
      <w:pPr>
        <w:spacing w:after="0"/>
        <w:rPr>
          <w:sz w:val="21"/>
        </w:rPr>
        <w:sectPr>
          <w:pgSz w:w="11910" w:h="16840"/>
          <w:pgMar w:top="13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40"/>
      </w:tblGrid>
      <w:tr>
        <w:trPr>
          <w:trHeight w:val="2240" w:hRule="atLeast"/>
        </w:trPr>
        <w:tc>
          <w:tcPr>
            <w:tcW w:w="914"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440" w:type="dxa"/>
          </w:tcPr>
          <w:p>
            <w:pPr>
              <w:pStyle w:val="TableParagraph"/>
              <w:spacing w:line="215" w:lineRule="exact"/>
              <w:ind w:left="110"/>
              <w:rPr>
                <w:sz w:val="21"/>
              </w:rPr>
            </w:pPr>
            <w:r>
              <w:rPr>
                <w:spacing w:val="-4"/>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p>
          <w:p>
            <w:pPr>
              <w:pStyle w:val="TableParagraph"/>
              <w:spacing w:line="278" w:lineRule="auto" w:before="46"/>
              <w:ind w:left="110" w:right="202"/>
              <w:rPr>
                <w:sz w:val="21"/>
              </w:rPr>
            </w:pP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1"/>
              </w:numPr>
              <w:tabs>
                <w:tab w:pos="736" w:val="left" w:leader="none"/>
              </w:tabs>
              <w:spacing w:line="240" w:lineRule="auto" w:before="86" w:after="0"/>
              <w:ind w:left="735" w:right="0" w:hanging="624"/>
              <w:jc w:val="left"/>
              <w:rPr>
                <w:sz w:val="21"/>
              </w:rPr>
            </w:pPr>
            <w:r>
              <w:rPr>
                <w:spacing w:val="-3"/>
                <w:sz w:val="21"/>
              </w:rPr>
              <w:t>实际实施了开颅进行的脑肿瘤完全切除或者部分切除的手术；</w:t>
            </w:r>
          </w:p>
          <w:p>
            <w:pPr>
              <w:pStyle w:val="TableParagraph"/>
              <w:numPr>
                <w:ilvl w:val="0"/>
                <w:numId w:val="11"/>
              </w:numPr>
              <w:tabs>
                <w:tab w:pos="736" w:val="left" w:leader="none"/>
              </w:tabs>
              <w:spacing w:line="240" w:lineRule="auto" w:before="122" w:after="0"/>
              <w:ind w:left="735" w:right="0" w:hanging="624"/>
              <w:jc w:val="left"/>
              <w:rPr>
                <w:sz w:val="21"/>
              </w:rPr>
            </w:pPr>
            <w:r>
              <w:rPr>
                <w:spacing w:val="-3"/>
                <w:sz w:val="21"/>
              </w:rPr>
              <w:t>实际实施了对脑肿瘤进行的放射治疗。</w:t>
            </w:r>
          </w:p>
          <w:p>
            <w:pPr>
              <w:pStyle w:val="TableParagraph"/>
              <w:spacing w:before="123"/>
              <w:ind w:left="110"/>
              <w:rPr>
                <w:sz w:val="21"/>
              </w:rPr>
            </w:pPr>
            <w:r>
              <w:rPr>
                <w:sz w:val="21"/>
              </w:rPr>
              <w:t>脑垂体瘤、脑囊肿、脑血管性疾病不在保障范围内。</w:t>
            </w:r>
          </w:p>
        </w:tc>
      </w:tr>
      <w:tr>
        <w:trPr>
          <w:trHeight w:val="2399" w:hRule="atLeast"/>
        </w:trPr>
        <w:tc>
          <w:tcPr>
            <w:tcW w:w="914" w:type="dxa"/>
          </w:tcPr>
          <w:p>
            <w:pPr>
              <w:pStyle w:val="TableParagraph"/>
              <w:spacing w:before="39"/>
              <w:ind w:left="143" w:right="70"/>
              <w:jc w:val="center"/>
              <w:rPr>
                <w:rFonts w:ascii="微软雅黑"/>
                <w:b/>
                <w:sz w:val="21"/>
              </w:rPr>
            </w:pPr>
            <w:r>
              <w:rPr>
                <w:rFonts w:ascii="微软雅黑"/>
                <w:b/>
                <w:sz w:val="21"/>
              </w:rPr>
              <w:t>9.1.16</w:t>
            </w:r>
          </w:p>
        </w:tc>
        <w:tc>
          <w:tcPr>
            <w:tcW w:w="1693" w:type="dxa"/>
          </w:tcPr>
          <w:p>
            <w:pPr>
              <w:pStyle w:val="TableParagraph"/>
              <w:spacing w:line="211" w:lineRule="auto" w:before="83"/>
              <w:ind w:left="102" w:right="110"/>
              <w:rPr>
                <w:rFonts w:ascii="微软雅黑" w:eastAsia="微软雅黑" w:hint="eastAsia"/>
                <w:b/>
                <w:sz w:val="21"/>
              </w:rPr>
            </w:pPr>
            <w:r>
              <w:rPr>
                <w:rFonts w:ascii="微软雅黑" w:eastAsia="微软雅黑" w:hint="eastAsia"/>
                <w:b/>
                <w:sz w:val="21"/>
              </w:rPr>
              <w:t>脑炎后遗症或者脑膜炎后遗症</w:t>
            </w:r>
          </w:p>
        </w:tc>
        <w:tc>
          <w:tcPr>
            <w:tcW w:w="7440" w:type="dxa"/>
          </w:tcPr>
          <w:p>
            <w:pPr>
              <w:pStyle w:val="TableParagraph"/>
              <w:spacing w:line="278" w:lineRule="auto" w:before="102"/>
              <w:ind w:left="110" w:right="155"/>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2"/>
              </w:numPr>
              <w:tabs>
                <w:tab w:pos="736" w:val="left" w:leader="none"/>
              </w:tabs>
              <w:spacing w:line="240" w:lineRule="auto" w:before="89" w:after="0"/>
              <w:ind w:left="735" w:right="0" w:hanging="624"/>
              <w:jc w:val="left"/>
              <w:rPr>
                <w:sz w:val="21"/>
              </w:rPr>
            </w:pPr>
            <w:r>
              <w:rPr>
                <w:spacing w:val="-3"/>
                <w:sz w:val="21"/>
              </w:rPr>
              <w:t>一肢或者一肢以上肢体机能完全丧失；</w:t>
            </w:r>
          </w:p>
          <w:p>
            <w:pPr>
              <w:pStyle w:val="TableParagraph"/>
              <w:numPr>
                <w:ilvl w:val="0"/>
                <w:numId w:val="12"/>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2"/>
              </w:numPr>
              <w:tabs>
                <w:tab w:pos="736" w:val="left" w:leader="none"/>
              </w:tabs>
              <w:spacing w:line="280" w:lineRule="auto" w:before="121"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8" w:hRule="atLeast"/>
        </w:trPr>
        <w:tc>
          <w:tcPr>
            <w:tcW w:w="914" w:type="dxa"/>
          </w:tcPr>
          <w:p>
            <w:pPr>
              <w:pStyle w:val="TableParagraph"/>
              <w:spacing w:before="40"/>
              <w:ind w:left="142" w:right="70"/>
              <w:jc w:val="center"/>
              <w:rPr>
                <w:rFonts w:ascii="微软雅黑"/>
                <w:b/>
                <w:sz w:val="21"/>
              </w:rPr>
            </w:pPr>
            <w:r>
              <w:rPr>
                <w:rFonts w:ascii="微软雅黑"/>
                <w:b/>
                <w:sz w:val="21"/>
              </w:rPr>
              <w:t>9.1.17</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深度昏迷</w:t>
            </w:r>
          </w:p>
        </w:tc>
        <w:tc>
          <w:tcPr>
            <w:tcW w:w="7440" w:type="dxa"/>
          </w:tcPr>
          <w:p>
            <w:pPr>
              <w:pStyle w:val="TableParagraph"/>
              <w:spacing w:line="280" w:lineRule="auto" w:before="103"/>
              <w:ind w:left="110" w:right="204"/>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3"/>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ind w:left="110"/>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9"/>
              <w:ind w:left="145" w:right="70"/>
              <w:jc w:val="center"/>
              <w:rPr>
                <w:rFonts w:ascii="微软雅黑"/>
                <w:b/>
                <w:sz w:val="21"/>
              </w:rPr>
            </w:pPr>
            <w:r>
              <w:rPr>
                <w:rFonts w:ascii="微软雅黑"/>
                <w:b/>
                <w:sz w:val="21"/>
              </w:rPr>
              <w:t>9.1.18</w:t>
            </w:r>
          </w:p>
        </w:tc>
        <w:tc>
          <w:tcPr>
            <w:tcW w:w="1693" w:type="dxa"/>
          </w:tcPr>
          <w:p>
            <w:pPr>
              <w:pStyle w:val="TableParagraph"/>
              <w:spacing w:before="39"/>
              <w:ind w:left="102"/>
              <w:rPr>
                <w:rFonts w:ascii="微软雅黑" w:eastAsia="微软雅黑" w:hint="eastAsia"/>
                <w:b/>
                <w:sz w:val="21"/>
              </w:rPr>
            </w:pPr>
            <w:r>
              <w:rPr>
                <w:rFonts w:ascii="微软雅黑" w:eastAsia="微软雅黑" w:hint="eastAsia"/>
                <w:b/>
                <w:sz w:val="21"/>
              </w:rPr>
              <w:t>瘫痪</w:t>
            </w:r>
          </w:p>
        </w:tc>
        <w:tc>
          <w:tcPr>
            <w:tcW w:w="7440" w:type="dxa"/>
          </w:tcPr>
          <w:p>
            <w:pPr>
              <w:pStyle w:val="TableParagraph"/>
              <w:spacing w:line="280" w:lineRule="auto" w:before="102"/>
              <w:ind w:left="110" w:right="201"/>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7" w:hRule="atLeast"/>
        </w:trPr>
        <w:tc>
          <w:tcPr>
            <w:tcW w:w="914" w:type="dxa"/>
          </w:tcPr>
          <w:p>
            <w:pPr>
              <w:pStyle w:val="TableParagraph"/>
              <w:spacing w:before="40"/>
              <w:ind w:left="143" w:right="70"/>
              <w:jc w:val="center"/>
              <w:rPr>
                <w:rFonts w:ascii="微软雅黑"/>
                <w:b/>
                <w:sz w:val="21"/>
              </w:rPr>
            </w:pPr>
            <w:r>
              <w:rPr>
                <w:rFonts w:ascii="微软雅黑"/>
                <w:b/>
                <w:sz w:val="21"/>
              </w:rPr>
              <w:t>9.1.19</w:t>
            </w:r>
          </w:p>
        </w:tc>
        <w:tc>
          <w:tcPr>
            <w:tcW w:w="1693" w:type="dxa"/>
          </w:tcPr>
          <w:p>
            <w:pPr>
              <w:pStyle w:val="TableParagraph"/>
              <w:spacing w:line="213" w:lineRule="auto" w:before="80"/>
              <w:ind w:left="102" w:right="110"/>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line="280" w:lineRule="auto" w:before="103"/>
              <w:ind w:left="110" w:right="202"/>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ind w:left="110"/>
              <w:jc w:val="both"/>
              <w:rPr>
                <w:sz w:val="21"/>
              </w:rPr>
            </w:pPr>
            <w:r>
              <w:rPr>
                <w:sz w:val="21"/>
              </w:rPr>
              <w:t>神经官能症和精神疾病不在保障范围内。</w:t>
            </w:r>
          </w:p>
        </w:tc>
      </w:tr>
      <w:tr>
        <w:trPr>
          <w:trHeight w:val="2246" w:hRule="atLeast"/>
        </w:trPr>
        <w:tc>
          <w:tcPr>
            <w:tcW w:w="914" w:type="dxa"/>
          </w:tcPr>
          <w:p>
            <w:pPr>
              <w:pStyle w:val="TableParagraph"/>
              <w:spacing w:before="39"/>
              <w:ind w:left="153" w:right="57"/>
              <w:jc w:val="center"/>
              <w:rPr>
                <w:rFonts w:ascii="微软雅黑"/>
                <w:b/>
                <w:sz w:val="21"/>
              </w:rPr>
            </w:pPr>
            <w:r>
              <w:rPr>
                <w:rFonts w:ascii="微软雅黑"/>
                <w:b/>
                <w:sz w:val="21"/>
              </w:rPr>
              <w:t>9.1.20</w:t>
            </w:r>
          </w:p>
        </w:tc>
        <w:tc>
          <w:tcPr>
            <w:tcW w:w="1693" w:type="dxa"/>
          </w:tcPr>
          <w:p>
            <w:pPr>
              <w:pStyle w:val="TableParagraph"/>
              <w:spacing w:line="213" w:lineRule="auto" w:before="79"/>
              <w:ind w:left="102" w:right="110"/>
              <w:rPr>
                <w:rFonts w:ascii="微软雅黑" w:eastAsia="微软雅黑" w:hint="eastAsia"/>
                <w:b/>
                <w:sz w:val="21"/>
              </w:rPr>
            </w:pPr>
            <w:r>
              <w:rPr>
                <w:rFonts w:ascii="微软雅黑" w:eastAsia="微软雅黑" w:hint="eastAsia"/>
                <w:b/>
                <w:sz w:val="21"/>
              </w:rPr>
              <w:t>非阿尔茨海默病致严重痴呆</w:t>
            </w:r>
          </w:p>
        </w:tc>
        <w:tc>
          <w:tcPr>
            <w:tcW w:w="7440" w:type="dxa"/>
          </w:tcPr>
          <w:p>
            <w:pPr>
              <w:pStyle w:val="TableParagraph"/>
              <w:spacing w:line="280" w:lineRule="auto" w:before="102"/>
              <w:ind w:left="110" w:right="200"/>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ind w:left="110"/>
              <w:jc w:val="both"/>
              <w:rPr>
                <w:sz w:val="21"/>
              </w:rPr>
            </w:pPr>
            <w:r>
              <w:rPr>
                <w:sz w:val="21"/>
              </w:rPr>
              <w:t>神经官能症、精神疾病及酒精中毒所致脑损害不在保障范围内。</w:t>
            </w:r>
          </w:p>
        </w:tc>
      </w:tr>
      <w:tr>
        <w:trPr>
          <w:trHeight w:val="2157" w:hRule="atLeast"/>
        </w:trPr>
        <w:tc>
          <w:tcPr>
            <w:tcW w:w="914" w:type="dxa"/>
          </w:tcPr>
          <w:p>
            <w:pPr>
              <w:pStyle w:val="TableParagraph"/>
              <w:spacing w:before="40"/>
              <w:ind w:left="140" w:right="70"/>
              <w:jc w:val="center"/>
              <w:rPr>
                <w:rFonts w:ascii="微软雅黑"/>
                <w:b/>
                <w:sz w:val="21"/>
              </w:rPr>
            </w:pPr>
            <w:r>
              <w:rPr>
                <w:rFonts w:ascii="微软雅黑"/>
                <w:b/>
                <w:sz w:val="21"/>
              </w:rPr>
              <w:t>9.1.21</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严重脑损伤</w:t>
            </w:r>
          </w:p>
        </w:tc>
        <w:tc>
          <w:tcPr>
            <w:tcW w:w="7440" w:type="dxa"/>
          </w:tcPr>
          <w:p>
            <w:pPr>
              <w:pStyle w:val="TableParagraph"/>
              <w:spacing w:line="278" w:lineRule="auto" w:before="102"/>
              <w:ind w:left="110" w:right="202"/>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3"/>
              </w:numPr>
              <w:tabs>
                <w:tab w:pos="736" w:val="left" w:leader="none"/>
              </w:tabs>
              <w:spacing w:line="240" w:lineRule="auto" w:before="87" w:after="0"/>
              <w:ind w:left="735" w:right="0" w:hanging="624"/>
              <w:jc w:val="both"/>
              <w:rPr>
                <w:sz w:val="21"/>
              </w:rPr>
            </w:pPr>
            <w:r>
              <w:rPr>
                <w:spacing w:val="-3"/>
                <w:sz w:val="21"/>
              </w:rPr>
              <w:t>一肢或者一肢以上肢体机能完全丧失；</w:t>
            </w:r>
          </w:p>
          <w:p>
            <w:pPr>
              <w:pStyle w:val="TableParagraph"/>
              <w:numPr>
                <w:ilvl w:val="0"/>
                <w:numId w:val="13"/>
              </w:numPr>
              <w:tabs>
                <w:tab w:pos="736" w:val="left" w:leader="none"/>
              </w:tabs>
              <w:spacing w:line="240" w:lineRule="auto" w:before="123" w:after="0"/>
              <w:ind w:left="735" w:right="0" w:hanging="624"/>
              <w:jc w:val="both"/>
              <w:rPr>
                <w:sz w:val="21"/>
              </w:rPr>
            </w:pPr>
            <w:r>
              <w:rPr>
                <w:spacing w:val="-3"/>
                <w:sz w:val="21"/>
              </w:rPr>
              <w:t>语言能力或者咀嚼吞咽能力完全丧失；</w:t>
            </w:r>
          </w:p>
        </w:tc>
      </w:tr>
    </w:tbl>
    <w:p>
      <w:pPr>
        <w:spacing w:after="0" w:line="240" w:lineRule="auto"/>
        <w:jc w:val="both"/>
        <w:rPr>
          <w:sz w:val="21"/>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725"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5" w:lineRule="exact"/>
              <w:rPr>
                <w:sz w:val="21"/>
              </w:rPr>
            </w:pPr>
            <w:r>
              <w:rPr>
                <w:sz w:val="21"/>
              </w:rPr>
              <w:t>（3） 自主Th活能力完全丧失，无法独立完成六项基本日常Th活活动中的三项</w:t>
            </w:r>
          </w:p>
          <w:p>
            <w:pPr>
              <w:pStyle w:val="TableParagraph"/>
              <w:spacing w:before="46"/>
              <w:ind w:left="736"/>
              <w:rPr>
                <w:sz w:val="21"/>
              </w:rPr>
            </w:pPr>
            <w:r>
              <w:rPr>
                <w:sz w:val="21"/>
              </w:rPr>
              <w:t>或者三项以上。</w:t>
            </w:r>
          </w:p>
        </w:tc>
      </w:tr>
      <w:tr>
        <w:trPr>
          <w:trHeight w:val="2403" w:hRule="atLeast"/>
        </w:trPr>
        <w:tc>
          <w:tcPr>
            <w:tcW w:w="914" w:type="dxa"/>
          </w:tcPr>
          <w:p>
            <w:pPr>
              <w:pStyle w:val="TableParagraph"/>
              <w:spacing w:before="41"/>
              <w:ind w:left="0" w:right="102"/>
              <w:jc w:val="right"/>
              <w:rPr>
                <w:rFonts w:ascii="微软雅黑"/>
                <w:b/>
                <w:sz w:val="21"/>
              </w:rPr>
            </w:pPr>
            <w:r>
              <w:rPr>
                <w:rFonts w:ascii="微软雅黑"/>
                <w:b/>
                <w:w w:val="95"/>
                <w:sz w:val="21"/>
              </w:rPr>
              <w:t>9.1.22</w:t>
            </w:r>
          </w:p>
        </w:tc>
        <w:tc>
          <w:tcPr>
            <w:tcW w:w="1692" w:type="dxa"/>
          </w:tcPr>
          <w:p>
            <w:pPr>
              <w:pStyle w:val="TableParagraph"/>
              <w:spacing w:before="41"/>
              <w:ind w:left="102"/>
              <w:rPr>
                <w:rFonts w:ascii="微软雅黑" w:eastAsia="微软雅黑" w:hint="eastAsia"/>
                <w:b/>
                <w:sz w:val="21"/>
              </w:rPr>
            </w:pPr>
            <w:r>
              <w:rPr>
                <w:rFonts w:ascii="微软雅黑" w:eastAsia="微软雅黑" w:hint="eastAsia"/>
                <w:b/>
                <w:sz w:val="21"/>
              </w:rPr>
              <w:t>严重帕金森病</w:t>
            </w:r>
          </w:p>
        </w:tc>
        <w:tc>
          <w:tcPr>
            <w:tcW w:w="7457" w:type="dxa"/>
          </w:tcPr>
          <w:p>
            <w:pPr>
              <w:pStyle w:val="TableParagraph"/>
              <w:spacing w:line="280" w:lineRule="auto" w:before="103"/>
              <w:ind w:right="204"/>
              <w:rPr>
                <w:sz w:val="21"/>
              </w:rPr>
            </w:pPr>
            <w:r>
              <w:rPr>
                <w:sz w:val="21"/>
              </w:rPr>
              <w:t>是一种中枢神经系统的退行性疾病，临床表现为震颤麻痹、共济失调等。须满足下列全部条件：</w:t>
            </w:r>
          </w:p>
          <w:p>
            <w:pPr>
              <w:pStyle w:val="TableParagraph"/>
              <w:numPr>
                <w:ilvl w:val="0"/>
                <w:numId w:val="14"/>
              </w:numPr>
              <w:tabs>
                <w:tab w:pos="737" w:val="left" w:leader="none"/>
              </w:tabs>
              <w:spacing w:line="240" w:lineRule="auto" w:before="85" w:after="0"/>
              <w:ind w:left="736" w:right="0" w:hanging="624"/>
              <w:jc w:val="left"/>
              <w:rPr>
                <w:sz w:val="21"/>
              </w:rPr>
            </w:pPr>
            <w:r>
              <w:rPr>
                <w:spacing w:val="-3"/>
                <w:sz w:val="21"/>
              </w:rPr>
              <w:t>药物治疗无法控制病情；</w:t>
            </w:r>
          </w:p>
          <w:p>
            <w:pPr>
              <w:pStyle w:val="TableParagraph"/>
              <w:numPr>
                <w:ilvl w:val="0"/>
                <w:numId w:val="14"/>
              </w:numPr>
              <w:tabs>
                <w:tab w:pos="737" w:val="left" w:leader="none"/>
              </w:tabs>
              <w:spacing w:line="280" w:lineRule="auto" w:before="123"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rPr>
                <w:sz w:val="21"/>
              </w:rPr>
            </w:pPr>
            <w:r>
              <w:rPr>
                <w:sz w:val="21"/>
              </w:rPr>
              <w:t>继发性帕金森综合征不在保障范围内。</w:t>
            </w:r>
          </w:p>
        </w:tc>
      </w:tr>
      <w:tr>
        <w:trPr>
          <w:trHeight w:val="1528" w:hRule="atLeast"/>
        </w:trPr>
        <w:tc>
          <w:tcPr>
            <w:tcW w:w="914" w:type="dxa"/>
          </w:tcPr>
          <w:p>
            <w:pPr>
              <w:pStyle w:val="TableParagraph"/>
              <w:spacing w:before="39"/>
              <w:ind w:left="0" w:right="102"/>
              <w:jc w:val="right"/>
              <w:rPr>
                <w:rFonts w:ascii="微软雅黑"/>
                <w:b/>
                <w:sz w:val="21"/>
              </w:rPr>
            </w:pPr>
            <w:r>
              <w:rPr>
                <w:rFonts w:ascii="微软雅黑"/>
                <w:b/>
                <w:w w:val="95"/>
                <w:sz w:val="21"/>
              </w:rPr>
              <w:t>9.1.23</w:t>
            </w:r>
          </w:p>
        </w:tc>
        <w:tc>
          <w:tcPr>
            <w:tcW w:w="1692" w:type="dxa"/>
          </w:tcPr>
          <w:p>
            <w:pPr>
              <w:pStyle w:val="TableParagraph"/>
              <w:spacing w:line="213" w:lineRule="auto" w:before="79"/>
              <w:ind w:left="102" w:right="109"/>
              <w:rPr>
                <w:rFonts w:ascii="微软雅黑" w:eastAsia="微软雅黑" w:hint="eastAsia"/>
                <w:b/>
                <w:sz w:val="21"/>
              </w:rPr>
            </w:pPr>
            <w:r>
              <w:rPr>
                <w:rFonts w:ascii="微软雅黑" w:eastAsia="微软雅黑" w:hint="eastAsia"/>
                <w:b/>
                <w:sz w:val="21"/>
              </w:rPr>
              <w:t>严重运动神经元病</w:t>
            </w:r>
          </w:p>
        </w:tc>
        <w:tc>
          <w:tcPr>
            <w:tcW w:w="7457" w:type="dxa"/>
          </w:tcPr>
          <w:p>
            <w:pPr>
              <w:pStyle w:val="TableParagraph"/>
              <w:spacing w:line="280" w:lineRule="auto" w:before="102"/>
              <w:ind w:right="197"/>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6" w:hRule="atLeast"/>
        </w:trPr>
        <w:tc>
          <w:tcPr>
            <w:tcW w:w="914" w:type="dxa"/>
          </w:tcPr>
          <w:p>
            <w:pPr>
              <w:pStyle w:val="TableParagraph"/>
              <w:spacing w:before="40"/>
              <w:ind w:left="0" w:right="100"/>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严重进行性核上性麻痹</w:t>
            </w:r>
          </w:p>
        </w:tc>
        <w:tc>
          <w:tcPr>
            <w:tcW w:w="7457" w:type="dxa"/>
          </w:tcPr>
          <w:p>
            <w:pPr>
              <w:pStyle w:val="TableParagraph"/>
              <w:spacing w:line="280" w:lineRule="auto" w:before="103"/>
              <w:ind w:right="218"/>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8"/>
              <w:jc w:val="both"/>
              <w:rPr>
                <w:sz w:val="21"/>
              </w:rPr>
            </w:pPr>
            <w:r>
              <w:rPr>
                <w:sz w:val="21"/>
              </w:rPr>
              <w:t>Th活活动中的三项或者三项以上。</w:t>
            </w:r>
          </w:p>
        </w:tc>
      </w:tr>
      <w:tr>
        <w:trPr>
          <w:trHeight w:val="1848" w:hRule="atLeast"/>
        </w:trPr>
        <w:tc>
          <w:tcPr>
            <w:tcW w:w="914" w:type="dxa"/>
          </w:tcPr>
          <w:p>
            <w:pPr>
              <w:pStyle w:val="TableParagraph"/>
              <w:spacing w:before="40"/>
              <w:ind w:left="0" w:right="101"/>
              <w:jc w:val="right"/>
              <w:rPr>
                <w:rFonts w:ascii="微软雅黑"/>
                <w:b/>
                <w:sz w:val="21"/>
              </w:rPr>
            </w:pPr>
            <w:r>
              <w:rPr>
                <w:rFonts w:ascii="微软雅黑"/>
                <w:b/>
                <w:w w:val="95"/>
                <w:sz w:val="21"/>
              </w:rPr>
              <w:t>9.1.25</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严重多发性硬化</w:t>
            </w:r>
          </w:p>
        </w:tc>
        <w:tc>
          <w:tcPr>
            <w:tcW w:w="7457"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78" w:lineRule="auto" w:before="46"/>
              <w:ind w:right="220"/>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2"/>
                <w:sz w:val="21"/>
              </w:rPr>
              <w:t>PE</w:t>
            </w:r>
            <w:r>
              <w:rPr>
                <w:w w:val="142"/>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914" w:type="dxa"/>
          </w:tcPr>
          <w:p>
            <w:pPr>
              <w:pStyle w:val="TableParagraph"/>
              <w:spacing w:before="41"/>
              <w:ind w:left="0" w:right="100"/>
              <w:jc w:val="right"/>
              <w:rPr>
                <w:rFonts w:ascii="微软雅黑"/>
                <w:b/>
                <w:sz w:val="21"/>
              </w:rPr>
            </w:pPr>
            <w:r>
              <w:rPr>
                <w:rFonts w:ascii="微软雅黑"/>
                <w:b/>
                <w:w w:val="95"/>
                <w:sz w:val="21"/>
              </w:rPr>
              <w:t>9.1.26</w:t>
            </w:r>
          </w:p>
        </w:tc>
        <w:tc>
          <w:tcPr>
            <w:tcW w:w="1692" w:type="dxa"/>
          </w:tcPr>
          <w:p>
            <w:pPr>
              <w:pStyle w:val="TableParagraph"/>
              <w:spacing w:line="213" w:lineRule="auto" w:before="80"/>
              <w:ind w:left="102" w:right="109"/>
              <w:jc w:val="both"/>
              <w:rPr>
                <w:rFonts w:ascii="微软雅黑" w:eastAsia="微软雅黑" w:hint="eastAsia"/>
                <w:b/>
                <w:sz w:val="21"/>
              </w:rPr>
            </w:pPr>
            <w:r>
              <w:rPr>
                <w:rFonts w:ascii="微软雅黑" w:eastAsia="微软雅黑" w:hint="eastAsia"/>
                <w:b/>
                <w:sz w:val="21"/>
              </w:rPr>
              <w:t>颅脑手术（含破裂脑动脉瘤夹闭手术）</w:t>
            </w:r>
          </w:p>
        </w:tc>
        <w:tc>
          <w:tcPr>
            <w:tcW w:w="7457" w:type="dxa"/>
          </w:tcPr>
          <w:p>
            <w:pPr>
              <w:pStyle w:val="TableParagraph"/>
              <w:spacing w:line="280" w:lineRule="auto" w:before="103"/>
              <w:ind w:right="221"/>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rPr>
                <w:sz w:val="21"/>
              </w:rPr>
            </w:pPr>
            <w:r>
              <w:rPr>
                <w:sz w:val="21"/>
              </w:rPr>
              <w:t>因外伤而实施的颅脑手术不在保障范围内。</w:t>
            </w:r>
          </w:p>
        </w:tc>
      </w:tr>
      <w:tr>
        <w:trPr>
          <w:trHeight w:val="4945" w:hRule="atLeast"/>
        </w:trPr>
        <w:tc>
          <w:tcPr>
            <w:tcW w:w="914" w:type="dxa"/>
          </w:tcPr>
          <w:p>
            <w:pPr>
              <w:pStyle w:val="TableParagraph"/>
              <w:spacing w:before="38"/>
              <w:ind w:left="0" w:right="101"/>
              <w:jc w:val="right"/>
              <w:rPr>
                <w:rFonts w:ascii="微软雅黑"/>
                <w:b/>
                <w:sz w:val="21"/>
              </w:rPr>
            </w:pPr>
            <w:r>
              <w:rPr>
                <w:rFonts w:ascii="微软雅黑"/>
                <w:b/>
                <w:w w:val="95"/>
                <w:sz w:val="21"/>
              </w:rPr>
              <w:t>9.1.27</w:t>
            </w:r>
          </w:p>
        </w:tc>
        <w:tc>
          <w:tcPr>
            <w:tcW w:w="1692" w:type="dxa"/>
          </w:tcPr>
          <w:p>
            <w:pPr>
              <w:pStyle w:val="TableParagraph"/>
              <w:spacing w:before="38"/>
              <w:ind w:left="102"/>
              <w:rPr>
                <w:rFonts w:ascii="微软雅黑" w:eastAsia="微软雅黑" w:hint="eastAsia"/>
                <w:b/>
                <w:sz w:val="21"/>
              </w:rPr>
            </w:pPr>
            <w:r>
              <w:rPr>
                <w:rFonts w:ascii="微软雅黑" w:eastAsia="微软雅黑" w:hint="eastAsia"/>
                <w:b/>
                <w:sz w:val="21"/>
              </w:rPr>
              <w:t>严重重症肌无力</w:t>
            </w:r>
          </w:p>
        </w:tc>
        <w:tc>
          <w:tcPr>
            <w:tcW w:w="7457" w:type="dxa"/>
          </w:tcPr>
          <w:p>
            <w:pPr>
              <w:pStyle w:val="TableParagraph"/>
              <w:spacing w:line="280" w:lineRule="auto" w:before="101"/>
              <w:ind w:right="218"/>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5"/>
              </w:numPr>
              <w:tabs>
                <w:tab w:pos="737" w:val="left" w:leader="none"/>
              </w:tabs>
              <w:spacing w:line="240" w:lineRule="auto" w:before="88" w:after="0"/>
              <w:ind w:left="736" w:right="0" w:hanging="624"/>
              <w:jc w:val="left"/>
              <w:rPr>
                <w:sz w:val="21"/>
              </w:rPr>
            </w:pPr>
            <w:r>
              <w:rPr>
                <w:spacing w:val="-3"/>
                <w:sz w:val="21"/>
              </w:rPr>
              <w:t>经药物治疗和胸腺手术治疗一年以上仍无法控制病情；</w:t>
            </w:r>
          </w:p>
          <w:p>
            <w:pPr>
              <w:pStyle w:val="TableParagraph"/>
              <w:numPr>
                <w:ilvl w:val="0"/>
                <w:numId w:val="15"/>
              </w:numPr>
              <w:tabs>
                <w:tab w:pos="737" w:val="left" w:leader="none"/>
              </w:tabs>
              <w:spacing w:line="240" w:lineRule="auto" w:before="123" w:after="0"/>
              <w:ind w:left="736" w:right="0" w:hanging="624"/>
              <w:jc w:val="left"/>
              <w:rPr>
                <w:sz w:val="21"/>
              </w:rPr>
            </w:pPr>
            <w:r>
              <w:rPr>
                <w:spacing w:val="-3"/>
                <w:sz w:val="21"/>
              </w:rPr>
              <w:t>严重肌肉无力，符合下列条件之一：</w:t>
            </w:r>
          </w:p>
          <w:p>
            <w:pPr>
              <w:pStyle w:val="TableParagraph"/>
              <w:spacing w:before="120"/>
              <w:ind w:left="743"/>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8" w:right="227" w:hanging="315"/>
              <w:rPr>
                <w:sz w:val="21"/>
              </w:rPr>
            </w:pPr>
            <w:r>
              <w:rPr>
                <w:sz w:val="21"/>
              </w:rPr>
              <w:t>② 自主Th活能力完全丧失，无法独立完成六项基本日常Th活活动中的三项或者三项以上。</w:t>
            </w:r>
          </w:p>
          <w:p>
            <w:pPr>
              <w:pStyle w:val="TableParagraph"/>
              <w:spacing w:before="84"/>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2"/>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tc>
      </w:tr>
    </w:tbl>
    <w:p>
      <w:pPr>
        <w:spacing w:after="0"/>
        <w:jc w:val="both"/>
        <w:rPr>
          <w:sz w:val="21"/>
        </w:rPr>
        <w:sectPr>
          <w:pgSz w:w="11910" w:h="16840"/>
          <w:pgMar w:top="132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405" w:hRule="atLeast"/>
        </w:trPr>
        <w:tc>
          <w:tcPr>
            <w:tcW w:w="915"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8" w:type="dxa"/>
          </w:tcPr>
          <w:p>
            <w:pPr>
              <w:pStyle w:val="TableParagraph"/>
              <w:spacing w:line="215" w:lineRule="exact"/>
              <w:ind w:left="110"/>
              <w:rPr>
                <w:sz w:val="21"/>
              </w:rPr>
            </w:pPr>
            <w:r>
              <w:rPr>
                <w:sz w:val="21"/>
              </w:rPr>
              <w:t>Ⅴ型：气管插管。</w:t>
            </w:r>
          </w:p>
        </w:tc>
      </w:tr>
      <w:tr>
        <w:trPr>
          <w:trHeight w:val="1528" w:hRule="atLeast"/>
        </w:trPr>
        <w:tc>
          <w:tcPr>
            <w:tcW w:w="915" w:type="dxa"/>
          </w:tcPr>
          <w:p>
            <w:pPr>
              <w:pStyle w:val="TableParagraph"/>
              <w:spacing w:before="42"/>
              <w:ind w:left="153" w:right="55"/>
              <w:jc w:val="center"/>
              <w:rPr>
                <w:rFonts w:ascii="微软雅黑"/>
                <w:b/>
                <w:sz w:val="21"/>
              </w:rPr>
            </w:pPr>
            <w:r>
              <w:rPr>
                <w:rFonts w:ascii="微软雅黑"/>
                <w:b/>
                <w:sz w:val="21"/>
              </w:rPr>
              <w:t>9.1.28</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line="278" w:lineRule="auto" w:before="104"/>
              <w:ind w:left="110" w:right="218"/>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527" w:hRule="atLeast"/>
        </w:trPr>
        <w:tc>
          <w:tcPr>
            <w:tcW w:w="915" w:type="dxa"/>
          </w:tcPr>
          <w:p>
            <w:pPr>
              <w:pStyle w:val="TableParagraph"/>
              <w:spacing w:before="42"/>
              <w:ind w:left="153" w:right="57"/>
              <w:jc w:val="center"/>
              <w:rPr>
                <w:rFonts w:ascii="微软雅黑"/>
                <w:b/>
                <w:sz w:val="21"/>
              </w:rPr>
            </w:pPr>
            <w:r>
              <w:rPr>
                <w:rFonts w:ascii="微软雅黑"/>
                <w:b/>
                <w:sz w:val="21"/>
              </w:rPr>
              <w:t>9.1.29</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严重克雅氏症</w:t>
            </w:r>
          </w:p>
        </w:tc>
        <w:tc>
          <w:tcPr>
            <w:tcW w:w="7458" w:type="dxa"/>
          </w:tcPr>
          <w:p>
            <w:pPr>
              <w:pStyle w:val="TableParagraph"/>
              <w:spacing w:line="278" w:lineRule="auto" w:before="104"/>
              <w:ind w:left="110" w:right="220"/>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5" w:type="dxa"/>
          </w:tcPr>
          <w:p>
            <w:pPr>
              <w:pStyle w:val="TableParagraph"/>
              <w:spacing w:before="40"/>
              <w:ind w:left="153" w:right="57"/>
              <w:jc w:val="center"/>
              <w:rPr>
                <w:rFonts w:ascii="微软雅黑"/>
                <w:b/>
                <w:sz w:val="21"/>
              </w:rPr>
            </w:pPr>
            <w:r>
              <w:rPr>
                <w:rFonts w:ascii="微软雅黑"/>
                <w:b/>
                <w:sz w:val="21"/>
              </w:rPr>
              <w:t>9.1.30</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严重脊髓灰质炎</w:t>
            </w:r>
          </w:p>
        </w:tc>
        <w:tc>
          <w:tcPr>
            <w:tcW w:w="7458" w:type="dxa"/>
          </w:tcPr>
          <w:p>
            <w:pPr>
              <w:pStyle w:val="TableParagraph"/>
              <w:spacing w:line="280" w:lineRule="auto" w:before="103"/>
              <w:ind w:left="110" w:right="220"/>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4" w:hRule="atLeast"/>
        </w:trPr>
        <w:tc>
          <w:tcPr>
            <w:tcW w:w="915" w:type="dxa"/>
          </w:tcPr>
          <w:p>
            <w:pPr>
              <w:pStyle w:val="TableParagraph"/>
              <w:spacing w:before="40"/>
              <w:ind w:left="138" w:right="69"/>
              <w:jc w:val="center"/>
              <w:rPr>
                <w:rFonts w:ascii="微软雅黑"/>
                <w:b/>
                <w:sz w:val="21"/>
              </w:rPr>
            </w:pPr>
            <w:r>
              <w:rPr>
                <w:rFonts w:ascii="微软雅黑"/>
                <w:b/>
                <w:sz w:val="21"/>
              </w:rPr>
              <w:t>9.1.31</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严重肌营养不良</w:t>
            </w:r>
          </w:p>
        </w:tc>
        <w:tc>
          <w:tcPr>
            <w:tcW w:w="7458" w:type="dxa"/>
          </w:tcPr>
          <w:p>
            <w:pPr>
              <w:pStyle w:val="TableParagraph"/>
              <w:spacing w:line="280" w:lineRule="auto" w:before="103"/>
              <w:ind w:left="110" w:right="189"/>
              <w:rPr>
                <w:sz w:val="21"/>
              </w:rPr>
            </w:pPr>
            <w:r>
              <w:rPr>
                <w:sz w:val="21"/>
              </w:rPr>
              <w:t>指一组原发于肌肉的遗传性疾病，临床表现为与神经系统无关的肌肉无力和肌肉萎缩。须满足下列全部条件：</w:t>
            </w:r>
          </w:p>
          <w:p>
            <w:pPr>
              <w:pStyle w:val="TableParagraph"/>
              <w:numPr>
                <w:ilvl w:val="0"/>
                <w:numId w:val="16"/>
              </w:numPr>
              <w:tabs>
                <w:tab w:pos="736" w:val="left" w:leader="none"/>
              </w:tabs>
              <w:spacing w:line="280" w:lineRule="auto" w:before="85" w:after="0"/>
              <w:ind w:left="735" w:right="224" w:hanging="624"/>
              <w:jc w:val="left"/>
              <w:rPr>
                <w:sz w:val="21"/>
              </w:rPr>
            </w:pPr>
            <w:r>
              <w:rPr>
                <w:spacing w:val="1"/>
                <w:sz w:val="21"/>
              </w:rPr>
              <w:t>肌肉组织活检结果满足肌营养不良症的肌肉细胞变性、坏死等阳性改变；</w:t>
            </w:r>
          </w:p>
          <w:p>
            <w:pPr>
              <w:pStyle w:val="TableParagraph"/>
              <w:numPr>
                <w:ilvl w:val="0"/>
                <w:numId w:val="16"/>
              </w:numPr>
              <w:tabs>
                <w:tab w:pos="736" w:val="left" w:leader="none"/>
              </w:tabs>
              <w:spacing w:line="278" w:lineRule="auto" w:before="87" w:after="0"/>
              <w:ind w:left="735" w:right="217"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6" w:hRule="atLeast"/>
        </w:trPr>
        <w:tc>
          <w:tcPr>
            <w:tcW w:w="915" w:type="dxa"/>
          </w:tcPr>
          <w:p>
            <w:pPr>
              <w:pStyle w:val="TableParagraph"/>
              <w:spacing w:before="42"/>
              <w:ind w:left="153" w:right="59"/>
              <w:jc w:val="center"/>
              <w:rPr>
                <w:rFonts w:ascii="微软雅黑"/>
                <w:b/>
                <w:sz w:val="21"/>
              </w:rPr>
            </w:pPr>
            <w:r>
              <w:rPr>
                <w:rFonts w:ascii="微软雅黑"/>
                <w:b/>
                <w:sz w:val="21"/>
              </w:rPr>
              <w:t>9.1.32</w:t>
            </w:r>
          </w:p>
        </w:tc>
        <w:tc>
          <w:tcPr>
            <w:tcW w:w="1692" w:type="dxa"/>
          </w:tcPr>
          <w:p>
            <w:pPr>
              <w:pStyle w:val="TableParagraph"/>
              <w:spacing w:line="211" w:lineRule="auto" w:before="85"/>
              <w:ind w:left="101" w:right="110"/>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8" w:type="dxa"/>
          </w:tcPr>
          <w:p>
            <w:pPr>
              <w:pStyle w:val="TableParagraph"/>
              <w:spacing w:line="278" w:lineRule="auto" w:before="104"/>
              <w:ind w:left="110" w:right="225"/>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9"/>
              <w:ind w:left="110" w:right="199"/>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915" w:type="dxa"/>
          </w:tcPr>
          <w:p>
            <w:pPr>
              <w:pStyle w:val="TableParagraph"/>
              <w:spacing w:before="40"/>
              <w:ind w:left="153" w:right="56"/>
              <w:jc w:val="center"/>
              <w:rPr>
                <w:rFonts w:ascii="微软雅黑"/>
                <w:b/>
                <w:sz w:val="21"/>
              </w:rPr>
            </w:pPr>
            <w:r>
              <w:rPr>
                <w:rFonts w:ascii="微软雅黑"/>
                <w:b/>
                <w:sz w:val="21"/>
              </w:rPr>
              <w:t>9.1.33</w:t>
            </w:r>
          </w:p>
        </w:tc>
        <w:tc>
          <w:tcPr>
            <w:tcW w:w="1692"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自体造血干细胞移植术</w:t>
            </w:r>
          </w:p>
        </w:tc>
        <w:tc>
          <w:tcPr>
            <w:tcW w:w="7458" w:type="dxa"/>
          </w:tcPr>
          <w:p>
            <w:pPr>
              <w:pStyle w:val="TableParagraph"/>
              <w:spacing w:line="280" w:lineRule="auto" w:before="103"/>
              <w:ind w:left="110" w:right="199"/>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3" w:hRule="atLeast"/>
        </w:trPr>
        <w:tc>
          <w:tcPr>
            <w:tcW w:w="915" w:type="dxa"/>
          </w:tcPr>
          <w:p>
            <w:pPr>
              <w:pStyle w:val="TableParagraph"/>
              <w:spacing w:before="40"/>
              <w:ind w:left="153" w:right="56"/>
              <w:jc w:val="center"/>
              <w:rPr>
                <w:rFonts w:ascii="微软雅黑"/>
                <w:b/>
                <w:sz w:val="21"/>
              </w:rPr>
            </w:pPr>
            <w:r>
              <w:rPr>
                <w:rFonts w:ascii="微软雅黑"/>
                <w:b/>
                <w:sz w:val="21"/>
              </w:rPr>
              <w:t>9.1.34</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终末期肺病</w:t>
            </w:r>
          </w:p>
        </w:tc>
        <w:tc>
          <w:tcPr>
            <w:tcW w:w="7458" w:type="dxa"/>
          </w:tcPr>
          <w:p>
            <w:pPr>
              <w:pStyle w:val="TableParagraph"/>
              <w:spacing w:before="103"/>
              <w:ind w:left="110"/>
              <w:rPr>
                <w:sz w:val="21"/>
              </w:rPr>
            </w:pPr>
            <w:r>
              <w:rPr>
                <w:sz w:val="21"/>
              </w:rPr>
              <w:t>指因患有终末期肺病而出现慢性呼吸功能衰竭。须满足下列全部条件：</w:t>
            </w:r>
          </w:p>
          <w:p>
            <w:pPr>
              <w:pStyle w:val="TableParagraph"/>
              <w:numPr>
                <w:ilvl w:val="0"/>
                <w:numId w:val="17"/>
              </w:numPr>
              <w:tabs>
                <w:tab w:pos="736" w:val="left" w:leader="none"/>
              </w:tabs>
              <w:spacing w:line="240" w:lineRule="auto" w:before="123" w:after="0"/>
              <w:ind w:left="735"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因缺氧必须广泛而持续地进行输氧治疗；</w:t>
            </w:r>
          </w:p>
          <w:p>
            <w:pPr>
              <w:pStyle w:val="TableParagraph"/>
              <w:numPr>
                <w:ilvl w:val="0"/>
                <w:numId w:val="17"/>
              </w:numPr>
              <w:tabs>
                <w:tab w:pos="736" w:val="left" w:leader="none"/>
              </w:tabs>
              <w:spacing w:line="240" w:lineRule="auto" w:before="123" w:after="0"/>
              <w:ind w:left="735"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5" w:type="dxa"/>
          </w:tcPr>
          <w:p>
            <w:pPr>
              <w:pStyle w:val="TableParagraph"/>
              <w:spacing w:before="42"/>
              <w:ind w:left="153" w:right="57"/>
              <w:jc w:val="center"/>
              <w:rPr>
                <w:rFonts w:ascii="微软雅黑"/>
                <w:b/>
                <w:sz w:val="21"/>
              </w:rPr>
            </w:pPr>
            <w:r>
              <w:rPr>
                <w:rFonts w:ascii="微软雅黑"/>
                <w:b/>
                <w:sz w:val="21"/>
              </w:rPr>
              <w:t>9.1.35</w:t>
            </w:r>
          </w:p>
        </w:tc>
        <w:tc>
          <w:tcPr>
            <w:tcW w:w="1692" w:type="dxa"/>
          </w:tcPr>
          <w:p>
            <w:pPr>
              <w:pStyle w:val="TableParagraph"/>
              <w:spacing w:line="211" w:lineRule="auto" w:before="85"/>
              <w:ind w:left="101" w:right="110"/>
              <w:rPr>
                <w:rFonts w:ascii="微软雅黑" w:eastAsia="微软雅黑" w:hint="eastAsia"/>
                <w:b/>
                <w:sz w:val="21"/>
              </w:rPr>
            </w:pPr>
            <w:r>
              <w:rPr>
                <w:rFonts w:ascii="微软雅黑" w:eastAsia="微软雅黑" w:hint="eastAsia"/>
                <w:b/>
                <w:sz w:val="21"/>
              </w:rPr>
              <w:t>肺泡蛋白质沉积症</w:t>
            </w:r>
          </w:p>
        </w:tc>
        <w:tc>
          <w:tcPr>
            <w:tcW w:w="7458" w:type="dxa"/>
          </w:tcPr>
          <w:p>
            <w:pPr>
              <w:pStyle w:val="TableParagraph"/>
              <w:spacing w:line="280" w:lineRule="auto" w:before="104"/>
              <w:ind w:left="110" w:right="219"/>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403" w:hRule="atLeast"/>
        </w:trPr>
        <w:tc>
          <w:tcPr>
            <w:tcW w:w="915" w:type="dxa"/>
          </w:tcPr>
          <w:p>
            <w:pPr>
              <w:pStyle w:val="TableParagraph"/>
              <w:spacing w:line="343" w:lineRule="exact" w:before="40"/>
              <w:ind w:left="153" w:right="56"/>
              <w:jc w:val="center"/>
              <w:rPr>
                <w:rFonts w:ascii="微软雅黑"/>
                <w:b/>
                <w:sz w:val="21"/>
              </w:rPr>
            </w:pPr>
            <w:r>
              <w:rPr>
                <w:rFonts w:ascii="微软雅黑"/>
                <w:b/>
                <w:sz w:val="21"/>
              </w:rPr>
              <w:t>9.1.36</w:t>
            </w:r>
          </w:p>
        </w:tc>
        <w:tc>
          <w:tcPr>
            <w:tcW w:w="1692"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严重哮喘</w:t>
            </w:r>
          </w:p>
        </w:tc>
        <w:tc>
          <w:tcPr>
            <w:tcW w:w="7458" w:type="dxa"/>
          </w:tcPr>
          <w:p>
            <w:pPr>
              <w:pStyle w:val="TableParagraph"/>
              <w:spacing w:before="103"/>
              <w:ind w:left="110"/>
              <w:rPr>
                <w:sz w:val="21"/>
              </w:rPr>
            </w:pPr>
            <w:r>
              <w:rPr>
                <w:sz w:val="21"/>
              </w:rPr>
              <w:t>必须在首次确诊严重哮喘之日的前两年内曾发Th哮喘持续状态，并满足下列两</w:t>
            </w:r>
          </w:p>
        </w:tc>
      </w:tr>
    </w:tbl>
    <w:p>
      <w:pPr>
        <w:spacing w:after="0"/>
        <w:rPr>
          <w:sz w:val="21"/>
        </w:rPr>
        <w:sectPr>
          <w:pgSz w:w="11910" w:h="16840"/>
          <w:pgMar w:top="132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8"/>
      </w:tblGrid>
      <w:tr>
        <w:trPr>
          <w:trHeight w:val="1996"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38" w:type="dxa"/>
          </w:tcPr>
          <w:p>
            <w:pPr>
              <w:pStyle w:val="TableParagraph"/>
              <w:spacing w:line="215" w:lineRule="exact"/>
              <w:rPr>
                <w:sz w:val="21"/>
              </w:rPr>
            </w:pPr>
            <w:r>
              <w:rPr>
                <w:sz w:val="21"/>
              </w:rPr>
              <w:t>项或者两项以上条件：</w:t>
            </w:r>
          </w:p>
          <w:p>
            <w:pPr>
              <w:pStyle w:val="TableParagraph"/>
              <w:numPr>
                <w:ilvl w:val="0"/>
                <w:numId w:val="18"/>
              </w:numPr>
              <w:tabs>
                <w:tab w:pos="737" w:val="left" w:leader="none"/>
              </w:tabs>
              <w:spacing w:line="240" w:lineRule="auto" w:before="123" w:after="0"/>
              <w:ind w:left="736" w:right="0" w:hanging="624"/>
              <w:jc w:val="left"/>
              <w:rPr>
                <w:sz w:val="21"/>
              </w:rPr>
            </w:pPr>
            <w:r>
              <w:rPr>
                <w:spacing w:val="-3"/>
                <w:sz w:val="21"/>
              </w:rPr>
              <w:t>运动耐受力永久并持续地减少，并且轻微的运动能引起气促；</w:t>
            </w:r>
          </w:p>
          <w:p>
            <w:pPr>
              <w:pStyle w:val="TableParagraph"/>
              <w:numPr>
                <w:ilvl w:val="0"/>
                <w:numId w:val="18"/>
              </w:numPr>
              <w:tabs>
                <w:tab w:pos="737" w:val="left" w:leader="none"/>
              </w:tabs>
              <w:spacing w:line="240" w:lineRule="auto" w:before="121" w:after="0"/>
              <w:ind w:left="736" w:right="0" w:hanging="624"/>
              <w:jc w:val="left"/>
              <w:rPr>
                <w:sz w:val="21"/>
              </w:rPr>
            </w:pPr>
            <w:r>
              <w:rPr>
                <w:spacing w:val="-3"/>
                <w:sz w:val="21"/>
              </w:rPr>
              <w:t>长期胸腔过度膨胀而导致胸腔畸形；</w:t>
            </w:r>
          </w:p>
          <w:p>
            <w:pPr>
              <w:pStyle w:val="TableParagraph"/>
              <w:numPr>
                <w:ilvl w:val="0"/>
                <w:numId w:val="18"/>
              </w:numPr>
              <w:tabs>
                <w:tab w:pos="737" w:val="left" w:leader="none"/>
              </w:tabs>
              <w:spacing w:line="240" w:lineRule="auto" w:before="123" w:after="0"/>
              <w:ind w:left="736" w:right="0" w:hanging="624"/>
              <w:jc w:val="left"/>
              <w:rPr>
                <w:sz w:val="21"/>
              </w:rPr>
            </w:pPr>
            <w:r>
              <w:rPr>
                <w:spacing w:val="-3"/>
                <w:sz w:val="21"/>
              </w:rPr>
              <w:t>在家及在静息状态下需要吸氧；</w:t>
            </w:r>
          </w:p>
          <w:p>
            <w:pPr>
              <w:pStyle w:val="TableParagraph"/>
              <w:numPr>
                <w:ilvl w:val="0"/>
                <w:numId w:val="18"/>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15" w:type="dxa"/>
          </w:tcPr>
          <w:p>
            <w:pPr>
              <w:pStyle w:val="TableParagraph"/>
              <w:spacing w:before="42"/>
              <w:ind w:left="153" w:right="57"/>
              <w:jc w:val="center"/>
              <w:rPr>
                <w:rFonts w:ascii="微软雅黑"/>
                <w:b/>
                <w:sz w:val="21"/>
              </w:rPr>
            </w:pPr>
            <w:r>
              <w:rPr>
                <w:rFonts w:ascii="微软雅黑"/>
                <w:b/>
                <w:sz w:val="21"/>
              </w:rPr>
              <w:t>9.1.37</w:t>
            </w:r>
          </w:p>
        </w:tc>
        <w:tc>
          <w:tcPr>
            <w:tcW w:w="1691" w:type="dxa"/>
          </w:tcPr>
          <w:p>
            <w:pPr>
              <w:pStyle w:val="TableParagraph"/>
              <w:spacing w:line="211" w:lineRule="auto" w:before="85"/>
              <w:ind w:left="101" w:right="109"/>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38" w:type="dxa"/>
          </w:tcPr>
          <w:p>
            <w:pPr>
              <w:pStyle w:val="TableParagraph"/>
              <w:spacing w:line="280" w:lineRule="auto" w:before="104"/>
              <w:ind w:right="204"/>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15" w:type="dxa"/>
          </w:tcPr>
          <w:p>
            <w:pPr>
              <w:pStyle w:val="TableParagraph"/>
              <w:spacing w:before="40"/>
              <w:ind w:left="153" w:right="55"/>
              <w:jc w:val="center"/>
              <w:rPr>
                <w:rFonts w:ascii="微软雅黑"/>
                <w:b/>
                <w:sz w:val="21"/>
              </w:rPr>
            </w:pPr>
            <w:r>
              <w:rPr>
                <w:rFonts w:ascii="微软雅黑"/>
                <w:b/>
                <w:sz w:val="21"/>
              </w:rPr>
              <w:t>9.1.38</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肾髓质囊性病</w:t>
            </w:r>
          </w:p>
        </w:tc>
        <w:tc>
          <w:tcPr>
            <w:tcW w:w="7438" w:type="dxa"/>
          </w:tcPr>
          <w:p>
            <w:pPr>
              <w:pStyle w:val="TableParagraph"/>
              <w:spacing w:before="103"/>
              <w:rPr>
                <w:sz w:val="21"/>
              </w:rPr>
            </w:pPr>
            <w:r>
              <w:rPr>
                <w:sz w:val="21"/>
              </w:rPr>
              <w:t>肾髓质囊性病的诊断须符合下列全部条件：</w:t>
            </w:r>
          </w:p>
          <w:p>
            <w:pPr>
              <w:pStyle w:val="TableParagraph"/>
              <w:numPr>
                <w:ilvl w:val="0"/>
                <w:numId w:val="19"/>
              </w:numPr>
              <w:tabs>
                <w:tab w:pos="737" w:val="left" w:leader="none"/>
              </w:tabs>
              <w:spacing w:line="240" w:lineRule="auto" w:before="123" w:after="0"/>
              <w:ind w:left="736" w:right="0" w:hanging="624"/>
              <w:jc w:val="left"/>
              <w:rPr>
                <w:sz w:val="21"/>
              </w:rPr>
            </w:pPr>
            <w:r>
              <w:rPr>
                <w:spacing w:val="-3"/>
                <w:sz w:val="21"/>
              </w:rPr>
              <w:t>肾髓质有囊肿、肾小管萎缩及间质纤维化等病理改变；</w:t>
            </w:r>
          </w:p>
          <w:p>
            <w:pPr>
              <w:pStyle w:val="TableParagraph"/>
              <w:numPr>
                <w:ilvl w:val="0"/>
                <w:numId w:val="19"/>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19"/>
              </w:numPr>
              <w:tabs>
                <w:tab w:pos="737" w:val="left" w:leader="none"/>
              </w:tabs>
              <w:spacing w:line="240" w:lineRule="auto" w:before="124" w:after="0"/>
              <w:ind w:left="736" w:right="0" w:hanging="624"/>
              <w:jc w:val="left"/>
              <w:rPr>
                <w:sz w:val="21"/>
              </w:rPr>
            </w:pPr>
            <w:r>
              <w:rPr>
                <w:spacing w:val="-3"/>
                <w:sz w:val="21"/>
              </w:rPr>
              <w:t>诊断须由肾组织活检确定。</w:t>
            </w:r>
          </w:p>
          <w:p>
            <w:pPr>
              <w:pStyle w:val="TableParagraph"/>
              <w:spacing w:before="121"/>
              <w:rPr>
                <w:sz w:val="21"/>
              </w:rPr>
            </w:pPr>
            <w:r>
              <w:rPr>
                <w:sz w:val="21"/>
              </w:rPr>
              <w:t>单独或者良性肾囊肿不在保障范围内。</w:t>
            </w:r>
          </w:p>
        </w:tc>
      </w:tr>
      <w:tr>
        <w:trPr>
          <w:trHeight w:val="1206" w:hRule="atLeast"/>
        </w:trPr>
        <w:tc>
          <w:tcPr>
            <w:tcW w:w="915" w:type="dxa"/>
          </w:tcPr>
          <w:p>
            <w:pPr>
              <w:pStyle w:val="TableParagraph"/>
              <w:spacing w:before="39"/>
              <w:ind w:left="153" w:right="56"/>
              <w:jc w:val="center"/>
              <w:rPr>
                <w:rFonts w:ascii="微软雅黑"/>
                <w:b/>
                <w:sz w:val="21"/>
              </w:rPr>
            </w:pPr>
            <w:r>
              <w:rPr>
                <w:rFonts w:ascii="微软雅黑"/>
                <w:b/>
                <w:sz w:val="21"/>
              </w:rPr>
              <w:t>9.1.39</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嗜铬细胞瘤</w:t>
            </w:r>
          </w:p>
        </w:tc>
        <w:tc>
          <w:tcPr>
            <w:tcW w:w="7438" w:type="dxa"/>
          </w:tcPr>
          <w:p>
            <w:pPr>
              <w:pStyle w:val="TableParagraph"/>
              <w:spacing w:line="280" w:lineRule="auto" w:before="102"/>
              <w:ind w:right="199"/>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40"/>
              <w:ind w:left="153" w:right="56"/>
              <w:jc w:val="center"/>
              <w:rPr>
                <w:rFonts w:ascii="微软雅黑"/>
                <w:b/>
                <w:sz w:val="21"/>
              </w:rPr>
            </w:pPr>
            <w:r>
              <w:rPr>
                <w:rFonts w:ascii="微软雅黑"/>
                <w:b/>
                <w:sz w:val="21"/>
              </w:rPr>
              <w:t>9.1.40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8" w:type="dxa"/>
          </w:tcPr>
          <w:p>
            <w:pPr>
              <w:pStyle w:val="TableParagraph"/>
              <w:spacing w:line="280" w:lineRule="auto" w:before="103"/>
              <w:ind w:right="152"/>
              <w:rPr>
                <w:sz w:val="21"/>
              </w:rPr>
            </w:pPr>
            <w:r>
              <w:rPr>
                <w:sz w:val="21"/>
              </w:rPr>
              <w:t>指自身免疫性肾上腺炎导致肾上腺萎缩和慢性肾上腺皮质功能减退。必须满足下列全部条件：</w:t>
            </w:r>
          </w:p>
          <w:p>
            <w:pPr>
              <w:pStyle w:val="TableParagraph"/>
              <w:numPr>
                <w:ilvl w:val="0"/>
                <w:numId w:val="20"/>
              </w:numPr>
              <w:tabs>
                <w:tab w:pos="737" w:val="left" w:leader="none"/>
              </w:tabs>
              <w:spacing w:line="240" w:lineRule="auto" w:before="87"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0"/>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8" w:right="208" w:hanging="315"/>
              <w:rPr>
                <w:sz w:val="21"/>
              </w:rPr>
            </w:pPr>
            <w:r>
              <w:rPr>
                <w:sz w:val="21"/>
              </w:rPr>
              <w:t>② 血浆肾素活性、血管紧张素Ⅱ和醛固酮测定，显示为原发性肾上腺皮质功能减退症；</w:t>
            </w:r>
          </w:p>
          <w:p>
            <w:pPr>
              <w:pStyle w:val="TableParagraph"/>
              <w:spacing w:line="280" w:lineRule="auto" w:before="85"/>
              <w:ind w:left="1058" w:right="197"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0"/>
              </w:numPr>
              <w:tabs>
                <w:tab w:pos="737" w:val="left" w:leader="none"/>
              </w:tabs>
              <w:spacing w:line="240" w:lineRule="auto" w:before="88"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1"/>
              <w:ind w:right="201"/>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8" w:hRule="atLeast"/>
        </w:trPr>
        <w:tc>
          <w:tcPr>
            <w:tcW w:w="915" w:type="dxa"/>
          </w:tcPr>
          <w:p>
            <w:pPr>
              <w:pStyle w:val="TableParagraph"/>
              <w:spacing w:before="38"/>
              <w:ind w:left="140" w:right="69"/>
              <w:jc w:val="center"/>
              <w:rPr>
                <w:rFonts w:ascii="微软雅黑"/>
                <w:b/>
                <w:sz w:val="21"/>
              </w:rPr>
            </w:pPr>
            <w:r>
              <w:rPr>
                <w:rFonts w:ascii="微软雅黑"/>
                <w:b/>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8" w:type="dxa"/>
          </w:tcPr>
          <w:p>
            <w:pPr>
              <w:pStyle w:val="TableParagraph"/>
              <w:spacing w:before="101"/>
              <w:rPr>
                <w:sz w:val="21"/>
              </w:rPr>
            </w:pPr>
            <w:r>
              <w:rPr>
                <w:sz w:val="21"/>
              </w:rPr>
              <w:t>指因慢性肝脏疾病导致肝功能衰竭。须满足下列全部条件：</w:t>
            </w:r>
          </w:p>
          <w:p>
            <w:pPr>
              <w:pStyle w:val="TableParagraph"/>
              <w:numPr>
                <w:ilvl w:val="0"/>
                <w:numId w:val="21"/>
              </w:numPr>
              <w:tabs>
                <w:tab w:pos="737" w:val="left" w:leader="none"/>
              </w:tabs>
              <w:spacing w:line="240" w:lineRule="auto" w:before="123" w:after="0"/>
              <w:ind w:left="736" w:right="0" w:hanging="624"/>
              <w:jc w:val="left"/>
              <w:rPr>
                <w:sz w:val="21"/>
              </w:rPr>
            </w:pPr>
            <w:r>
              <w:rPr>
                <w:spacing w:val="-2"/>
                <w:sz w:val="21"/>
              </w:rPr>
              <w:t>持续性黄疸；</w:t>
            </w:r>
          </w:p>
          <w:p>
            <w:pPr>
              <w:pStyle w:val="TableParagraph"/>
              <w:numPr>
                <w:ilvl w:val="0"/>
                <w:numId w:val="21"/>
              </w:numPr>
              <w:tabs>
                <w:tab w:pos="737" w:val="left" w:leader="none"/>
              </w:tabs>
              <w:spacing w:line="240" w:lineRule="auto" w:before="123" w:after="0"/>
              <w:ind w:left="736" w:right="0" w:hanging="624"/>
              <w:jc w:val="left"/>
              <w:rPr>
                <w:sz w:val="21"/>
              </w:rPr>
            </w:pPr>
            <w:r>
              <w:rPr>
                <w:sz w:val="21"/>
              </w:rPr>
              <w:t>腹水；</w:t>
            </w:r>
          </w:p>
          <w:p>
            <w:pPr>
              <w:pStyle w:val="TableParagraph"/>
              <w:numPr>
                <w:ilvl w:val="0"/>
                <w:numId w:val="21"/>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1"/>
              </w:numPr>
              <w:tabs>
                <w:tab w:pos="737" w:val="left" w:leader="none"/>
              </w:tabs>
              <w:spacing w:line="240" w:lineRule="auto" w:before="123" w:after="0"/>
              <w:ind w:left="736"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723" w:hRule="atLeast"/>
        </w:trPr>
        <w:tc>
          <w:tcPr>
            <w:tcW w:w="915" w:type="dxa"/>
          </w:tcPr>
          <w:p>
            <w:pPr>
              <w:pStyle w:val="TableParagraph"/>
              <w:spacing w:before="38"/>
              <w:ind w:left="153" w:right="57"/>
              <w:jc w:val="center"/>
              <w:rPr>
                <w:rFonts w:ascii="微软雅黑"/>
                <w:b/>
                <w:sz w:val="21"/>
              </w:rPr>
            </w:pPr>
            <w:r>
              <w:rPr>
                <w:rFonts w:ascii="微软雅黑"/>
                <w:b/>
                <w:sz w:val="21"/>
              </w:rPr>
              <w:t>9.1.42</w:t>
            </w:r>
          </w:p>
        </w:tc>
        <w:tc>
          <w:tcPr>
            <w:tcW w:w="1691" w:type="dxa"/>
          </w:tcPr>
          <w:p>
            <w:pPr>
              <w:pStyle w:val="TableParagraph"/>
              <w:spacing w:line="322" w:lineRule="exact" w:before="88"/>
              <w:ind w:left="101" w:right="109"/>
              <w:rPr>
                <w:rFonts w:ascii="微软雅黑" w:eastAsia="微软雅黑" w:hint="eastAsia"/>
                <w:b/>
                <w:sz w:val="21"/>
              </w:rPr>
            </w:pPr>
            <w:r>
              <w:rPr>
                <w:rFonts w:ascii="微软雅黑" w:eastAsia="微软雅黑" w:hint="eastAsia"/>
                <w:b/>
                <w:sz w:val="21"/>
              </w:rPr>
              <w:t>急性或者亚急性重症肝炎</w:t>
            </w:r>
          </w:p>
        </w:tc>
        <w:tc>
          <w:tcPr>
            <w:tcW w:w="7438" w:type="dxa"/>
          </w:tcPr>
          <w:p>
            <w:pPr>
              <w:pStyle w:val="TableParagraph"/>
              <w:spacing w:line="320" w:lineRule="atLeast" w:before="56"/>
              <w:ind w:right="168"/>
              <w:rPr>
                <w:sz w:val="21"/>
              </w:rPr>
            </w:pPr>
            <w:r>
              <w:rPr>
                <w:sz w:val="21"/>
              </w:rPr>
              <w:t>指因肝炎病毒感染引起肝脏组织弥漫性坏死，导致急性肝功能衰竭，须经血清学或者病毒学检查证实，并须满足下列全部条件：</w:t>
            </w:r>
          </w:p>
        </w:tc>
      </w:tr>
    </w:tbl>
    <w:p>
      <w:pPr>
        <w:spacing w:after="0" w:line="320" w:lineRule="atLeast"/>
        <w:rPr>
          <w:sz w:val="21"/>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1599"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6" w:type="dxa"/>
          </w:tcPr>
          <w:p>
            <w:pPr>
              <w:pStyle w:val="TableParagraph"/>
              <w:numPr>
                <w:ilvl w:val="0"/>
                <w:numId w:val="22"/>
              </w:numPr>
              <w:tabs>
                <w:tab w:pos="736" w:val="left" w:leader="none"/>
              </w:tabs>
              <w:spacing w:line="215" w:lineRule="exact" w:before="0" w:after="0"/>
              <w:ind w:left="735" w:right="0" w:hanging="624"/>
              <w:jc w:val="left"/>
              <w:rPr>
                <w:sz w:val="21"/>
              </w:rPr>
            </w:pPr>
            <w:r>
              <w:rPr>
                <w:spacing w:val="-3"/>
                <w:sz w:val="21"/>
              </w:rPr>
              <w:t>重度黄疸或者黄疸迅速加重；</w:t>
            </w:r>
          </w:p>
          <w:p>
            <w:pPr>
              <w:pStyle w:val="TableParagraph"/>
              <w:numPr>
                <w:ilvl w:val="0"/>
                <w:numId w:val="22"/>
              </w:numPr>
              <w:tabs>
                <w:tab w:pos="736" w:val="left" w:leader="none"/>
              </w:tabs>
              <w:spacing w:line="240" w:lineRule="auto" w:before="124" w:after="0"/>
              <w:ind w:left="735" w:right="0" w:hanging="624"/>
              <w:jc w:val="left"/>
              <w:rPr>
                <w:sz w:val="21"/>
              </w:rPr>
            </w:pPr>
            <w:r>
              <w:rPr>
                <w:spacing w:val="-1"/>
                <w:sz w:val="21"/>
              </w:rPr>
              <w:t>肝性脑病；</w:t>
            </w:r>
          </w:p>
          <w:p>
            <w:pPr>
              <w:pStyle w:val="TableParagraph"/>
              <w:numPr>
                <w:ilvl w:val="0"/>
                <w:numId w:val="22"/>
              </w:numPr>
              <w:tabs>
                <w:tab w:pos="736" w:val="left" w:leader="none"/>
              </w:tabs>
              <w:spacing w:line="240" w:lineRule="auto" w:before="123" w:after="0"/>
              <w:ind w:left="735"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2"/>
              </w:numPr>
              <w:tabs>
                <w:tab w:pos="736" w:val="left" w:leader="none"/>
              </w:tabs>
              <w:spacing w:line="240" w:lineRule="auto" w:before="123" w:after="0"/>
              <w:ind w:left="735" w:right="0" w:hanging="624"/>
              <w:jc w:val="left"/>
              <w:rPr>
                <w:sz w:val="21"/>
              </w:rPr>
            </w:pPr>
            <w:r>
              <w:rPr>
                <w:spacing w:val="-3"/>
                <w:sz w:val="21"/>
              </w:rPr>
              <w:t>肝功能指标进行性恶化。</w:t>
            </w:r>
          </w:p>
        </w:tc>
      </w:tr>
      <w:tr>
        <w:trPr>
          <w:trHeight w:val="3120" w:hRule="atLeast"/>
        </w:trPr>
        <w:tc>
          <w:tcPr>
            <w:tcW w:w="916" w:type="dxa"/>
          </w:tcPr>
          <w:p>
            <w:pPr>
              <w:pStyle w:val="TableParagraph"/>
              <w:spacing w:before="40"/>
              <w:ind w:left="0" w:right="101"/>
              <w:jc w:val="right"/>
              <w:rPr>
                <w:rFonts w:ascii="微软雅黑"/>
                <w:b/>
                <w:sz w:val="21"/>
              </w:rPr>
            </w:pPr>
            <w:r>
              <w:rPr>
                <w:rFonts w:ascii="微软雅黑"/>
                <w:b/>
                <w:w w:val="95"/>
                <w:sz w:val="21"/>
              </w:rPr>
              <w:t>9.1.43</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严重自身免疫性肝炎</w:t>
            </w:r>
          </w:p>
        </w:tc>
        <w:tc>
          <w:tcPr>
            <w:tcW w:w="7456" w:type="dxa"/>
          </w:tcPr>
          <w:p>
            <w:pPr>
              <w:pStyle w:val="TableParagraph"/>
              <w:spacing w:line="280" w:lineRule="auto" w:before="103"/>
              <w:ind w:left="110" w:right="216"/>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3"/>
              </w:numPr>
              <w:tabs>
                <w:tab w:pos="736" w:val="left" w:leader="none"/>
              </w:tabs>
              <w:spacing w:line="240" w:lineRule="auto" w:before="85" w:after="0"/>
              <w:ind w:left="735" w:right="0" w:hanging="624"/>
              <w:jc w:val="left"/>
              <w:rPr>
                <w:sz w:val="21"/>
              </w:rPr>
            </w:pPr>
            <w:r>
              <w:rPr>
                <w:sz w:val="21"/>
              </w:rPr>
              <w:t>高γ</w:t>
            </w:r>
            <w:r>
              <w:rPr>
                <w:spacing w:val="-3"/>
                <w:sz w:val="21"/>
              </w:rPr>
              <w:t>球蛋白血症；</w:t>
            </w:r>
          </w:p>
          <w:p>
            <w:pPr>
              <w:pStyle w:val="TableParagraph"/>
              <w:numPr>
                <w:ilvl w:val="0"/>
                <w:numId w:val="23"/>
              </w:numPr>
              <w:tabs>
                <w:tab w:pos="736" w:val="left" w:leader="none"/>
              </w:tabs>
              <w:spacing w:line="280" w:lineRule="auto" w:before="123" w:after="0"/>
              <w:ind w:left="735" w:right="218"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3"/>
              </w:numPr>
              <w:tabs>
                <w:tab w:pos="736" w:val="left" w:leader="none"/>
              </w:tabs>
              <w:spacing w:line="240" w:lineRule="auto" w:before="85" w:after="0"/>
              <w:ind w:left="735" w:right="0" w:hanging="624"/>
              <w:jc w:val="both"/>
              <w:rPr>
                <w:sz w:val="21"/>
              </w:rPr>
            </w:pPr>
            <w:r>
              <w:rPr>
                <w:spacing w:val="-3"/>
                <w:sz w:val="21"/>
              </w:rPr>
              <w:t>肝脏活检证实免疫性肝炎；</w:t>
            </w:r>
          </w:p>
          <w:p>
            <w:pPr>
              <w:pStyle w:val="TableParagraph"/>
              <w:numPr>
                <w:ilvl w:val="0"/>
                <w:numId w:val="23"/>
              </w:numPr>
              <w:tabs>
                <w:tab w:pos="736" w:val="left" w:leader="none"/>
              </w:tabs>
              <w:spacing w:line="240" w:lineRule="auto" w:before="124" w:after="0"/>
              <w:ind w:left="735" w:right="0" w:hanging="624"/>
              <w:jc w:val="both"/>
              <w:rPr>
                <w:sz w:val="21"/>
              </w:rPr>
            </w:pPr>
            <w:r>
              <w:rPr>
                <w:spacing w:val="-3"/>
                <w:sz w:val="21"/>
              </w:rPr>
              <w:t>临床已经出现腹水、食道静脉曲张和脾肿大等肝硬化表现。</w:t>
            </w:r>
          </w:p>
        </w:tc>
      </w:tr>
      <w:tr>
        <w:trPr>
          <w:trHeight w:val="1608" w:hRule="atLeast"/>
        </w:trPr>
        <w:tc>
          <w:tcPr>
            <w:tcW w:w="916" w:type="dxa"/>
          </w:tcPr>
          <w:p>
            <w:pPr>
              <w:pStyle w:val="TableParagraph"/>
              <w:spacing w:before="40"/>
              <w:ind w:left="0" w:right="100"/>
              <w:jc w:val="right"/>
              <w:rPr>
                <w:rFonts w:ascii="微软雅黑"/>
                <w:b/>
                <w:sz w:val="21"/>
              </w:rPr>
            </w:pPr>
            <w:r>
              <w:rPr>
                <w:rFonts w:ascii="微软雅黑"/>
                <w:b/>
                <w:w w:val="95"/>
                <w:sz w:val="21"/>
              </w:rPr>
              <w:t>9.1.44</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56" w:type="dxa"/>
          </w:tcPr>
          <w:p>
            <w:pPr>
              <w:pStyle w:val="TableParagraph"/>
              <w:spacing w:line="280" w:lineRule="auto" w:before="103"/>
              <w:ind w:left="110" w:right="172"/>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78" w:lineRule="auto" w:before="87"/>
              <w:ind w:left="110" w:right="216"/>
              <w:rPr>
                <w:sz w:val="21"/>
              </w:rPr>
            </w:pPr>
            <w:r>
              <w:rPr>
                <w:sz w:val="21"/>
              </w:rPr>
              <w:t>因饮酒所致的急性出血坏死性胰腺炎或者经腹腔镜手术进行的治疗不在保障范围内。</w:t>
            </w:r>
          </w:p>
        </w:tc>
      </w:tr>
      <w:tr>
        <w:trPr>
          <w:trHeight w:val="3120" w:hRule="atLeast"/>
        </w:trPr>
        <w:tc>
          <w:tcPr>
            <w:tcW w:w="916" w:type="dxa"/>
          </w:tcPr>
          <w:p>
            <w:pPr>
              <w:pStyle w:val="TableParagraph"/>
              <w:spacing w:before="39"/>
              <w:ind w:left="0" w:right="101"/>
              <w:jc w:val="right"/>
              <w:rPr>
                <w:rFonts w:ascii="微软雅黑"/>
                <w:b/>
                <w:sz w:val="21"/>
              </w:rPr>
            </w:pPr>
            <w:r>
              <w:rPr>
                <w:rFonts w:ascii="微软雅黑"/>
                <w:b/>
                <w:w w:val="95"/>
                <w:sz w:val="21"/>
              </w:rPr>
              <w:t>9.1.45</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严重慢性复发性胰腺炎</w:t>
            </w:r>
          </w:p>
        </w:tc>
        <w:tc>
          <w:tcPr>
            <w:tcW w:w="7456" w:type="dxa"/>
          </w:tcPr>
          <w:p>
            <w:pPr>
              <w:pStyle w:val="TableParagraph"/>
              <w:spacing w:line="280" w:lineRule="auto" w:before="102"/>
              <w:ind w:left="110" w:right="218"/>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4"/>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4"/>
              </w:numPr>
              <w:tabs>
                <w:tab w:pos="736" w:val="left" w:leader="none"/>
              </w:tabs>
              <w:spacing w:line="280" w:lineRule="auto" w:before="123" w:after="0"/>
              <w:ind w:left="735" w:right="218"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4"/>
              </w:numPr>
              <w:tabs>
                <w:tab w:pos="736" w:val="left" w:leader="none"/>
              </w:tabs>
              <w:spacing w:line="240" w:lineRule="auto" w:before="84"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ind w:left="110"/>
              <w:jc w:val="both"/>
              <w:rPr>
                <w:sz w:val="21"/>
              </w:rPr>
            </w:pPr>
            <w:r>
              <w:rPr>
                <w:sz w:val="21"/>
              </w:rPr>
              <w:t>因饮酒导致的慢性复发性胰腺炎不在保障范围内。</w:t>
            </w:r>
          </w:p>
        </w:tc>
      </w:tr>
      <w:tr>
        <w:trPr>
          <w:trHeight w:val="1525" w:hRule="atLeast"/>
        </w:trPr>
        <w:tc>
          <w:tcPr>
            <w:tcW w:w="916" w:type="dxa"/>
          </w:tcPr>
          <w:p>
            <w:pPr>
              <w:pStyle w:val="TableParagraph"/>
              <w:spacing w:before="39"/>
              <w:ind w:left="0" w:right="100"/>
              <w:jc w:val="right"/>
              <w:rPr>
                <w:rFonts w:ascii="微软雅黑"/>
                <w:b/>
                <w:sz w:val="21"/>
              </w:rPr>
            </w:pPr>
            <w:r>
              <w:rPr>
                <w:rFonts w:ascii="微软雅黑"/>
                <w:b/>
                <w:w w:val="95"/>
                <w:sz w:val="21"/>
              </w:rPr>
              <w:t>9.1.46</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严重溃疡性结肠炎</w:t>
            </w:r>
          </w:p>
        </w:tc>
        <w:tc>
          <w:tcPr>
            <w:tcW w:w="7456" w:type="dxa"/>
          </w:tcPr>
          <w:p>
            <w:pPr>
              <w:pStyle w:val="TableParagraph"/>
              <w:spacing w:line="278" w:lineRule="auto" w:before="102"/>
              <w:ind w:left="110" w:right="218"/>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3"/>
                <w:sz w:val="21"/>
              </w:rPr>
              <w:t>疡性结肠炎必须根据组织病理学特点诊断，并且已经实际实施了结肠切除和</w:t>
            </w:r>
            <w:r>
              <w:rPr>
                <w:w w:val="90"/>
                <w:sz w:val="21"/>
              </w:rPr>
              <w:t>/ </w:t>
            </w:r>
            <w:r>
              <w:rPr>
                <w:spacing w:val="-3"/>
                <w:sz w:val="21"/>
              </w:rPr>
              <w:t>或者回肠造瘘术。</w:t>
            </w:r>
          </w:p>
        </w:tc>
      </w:tr>
      <w:tr>
        <w:trPr>
          <w:trHeight w:val="1365" w:hRule="atLeast"/>
        </w:trPr>
        <w:tc>
          <w:tcPr>
            <w:tcW w:w="916" w:type="dxa"/>
          </w:tcPr>
          <w:p>
            <w:pPr>
              <w:pStyle w:val="TableParagraph"/>
              <w:spacing w:before="40"/>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严重肠道疾病并发症</w:t>
            </w:r>
          </w:p>
        </w:tc>
        <w:tc>
          <w:tcPr>
            <w:tcW w:w="7456" w:type="dxa"/>
          </w:tcPr>
          <w:p>
            <w:pPr>
              <w:pStyle w:val="TableParagraph"/>
              <w:spacing w:before="103"/>
              <w:ind w:left="110"/>
              <w:rPr>
                <w:sz w:val="21"/>
              </w:rPr>
            </w:pPr>
            <w:r>
              <w:rPr>
                <w:sz w:val="21"/>
              </w:rPr>
              <w:t>严重肠道疾病或者外伤导致小肠损害并发症，必须满足下列全部条件：</w:t>
            </w:r>
          </w:p>
          <w:p>
            <w:pPr>
              <w:pStyle w:val="TableParagraph"/>
              <w:numPr>
                <w:ilvl w:val="0"/>
                <w:numId w:val="25"/>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25"/>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6" w:hRule="atLeast"/>
        </w:trPr>
        <w:tc>
          <w:tcPr>
            <w:tcW w:w="916" w:type="dxa"/>
          </w:tcPr>
          <w:p>
            <w:pPr>
              <w:pStyle w:val="TableParagraph"/>
              <w:spacing w:before="42"/>
              <w:ind w:left="0" w:right="98"/>
              <w:jc w:val="right"/>
              <w:rPr>
                <w:rFonts w:ascii="微软雅黑"/>
                <w:b/>
                <w:sz w:val="21"/>
              </w:rPr>
            </w:pPr>
            <w:r>
              <w:rPr>
                <w:rFonts w:ascii="微软雅黑"/>
                <w:b/>
                <w:w w:val="95"/>
                <w:sz w:val="21"/>
              </w:rPr>
              <w:t>9.1.48</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胰腺移植术</w:t>
            </w:r>
          </w:p>
        </w:tc>
        <w:tc>
          <w:tcPr>
            <w:tcW w:w="7456" w:type="dxa"/>
          </w:tcPr>
          <w:p>
            <w:pPr>
              <w:pStyle w:val="TableParagraph"/>
              <w:spacing w:before="104"/>
              <w:ind w:left="110"/>
              <w:rPr>
                <w:sz w:val="21"/>
              </w:rPr>
            </w:pPr>
            <w:r>
              <w:rPr>
                <w:sz w:val="21"/>
              </w:rPr>
              <w:t>指因胰腺功能衰竭，已经实际实施了胰腺的同种（人类）异体器官移植手术。</w:t>
            </w:r>
          </w:p>
          <w:p>
            <w:pPr>
              <w:pStyle w:val="TableParagraph"/>
              <w:spacing w:before="121"/>
              <w:ind w:left="110"/>
              <w:rPr>
                <w:sz w:val="21"/>
              </w:rPr>
            </w:pPr>
            <w:r>
              <w:rPr>
                <w:sz w:val="21"/>
              </w:rPr>
              <w:t>胰岛、组织、细胞移植不在保障范围内。</w:t>
            </w:r>
          </w:p>
        </w:tc>
      </w:tr>
      <w:tr>
        <w:trPr>
          <w:trHeight w:val="724" w:hRule="atLeast"/>
        </w:trPr>
        <w:tc>
          <w:tcPr>
            <w:tcW w:w="916" w:type="dxa"/>
          </w:tcPr>
          <w:p>
            <w:pPr>
              <w:pStyle w:val="TableParagraph"/>
              <w:spacing w:before="39"/>
              <w:ind w:left="0" w:right="100"/>
              <w:jc w:val="right"/>
              <w:rPr>
                <w:rFonts w:ascii="微软雅黑"/>
                <w:b/>
                <w:sz w:val="21"/>
              </w:rPr>
            </w:pPr>
            <w:r>
              <w:rPr>
                <w:rFonts w:ascii="微软雅黑"/>
                <w:b/>
                <w:w w:val="95"/>
                <w:sz w:val="21"/>
              </w:rPr>
              <w:t>9.1.49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严重克隆病</w:t>
            </w:r>
          </w:p>
        </w:tc>
        <w:tc>
          <w:tcPr>
            <w:tcW w:w="7456" w:type="dxa"/>
          </w:tcPr>
          <w:p>
            <w:pPr>
              <w:pStyle w:val="TableParagraph"/>
              <w:spacing w:line="320" w:lineRule="atLeast" w:before="57"/>
              <w:ind w:left="110" w:right="187"/>
              <w:rPr>
                <w:sz w:val="21"/>
              </w:rPr>
            </w:pPr>
            <w:r>
              <w:rPr>
                <w:sz w:val="21"/>
              </w:rPr>
              <w:t>是一种慢性肉芽肿性肠炎，具有特征性的克隆病病理组织学变化。诊断必须由病理检查结果证实，并且必须已经造成瘘管形成并伴有肠梗阻或者肠穿孔。</w:t>
            </w:r>
          </w:p>
        </w:tc>
      </w:tr>
    </w:tbl>
    <w:p>
      <w:pPr>
        <w:spacing w:after="0" w:line="320" w:lineRule="atLeast"/>
        <w:rPr>
          <w:sz w:val="21"/>
        </w:rPr>
        <w:sectPr>
          <w:pgSz w:w="11910" w:h="16840"/>
          <w:pgMar w:top="132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7"/>
      </w:tblGrid>
      <w:tr>
        <w:trPr>
          <w:trHeight w:val="2639" w:hRule="atLeast"/>
        </w:trPr>
        <w:tc>
          <w:tcPr>
            <w:tcW w:w="915" w:type="dxa"/>
          </w:tcPr>
          <w:p>
            <w:pPr>
              <w:pStyle w:val="TableParagraph"/>
              <w:spacing w:line="241" w:lineRule="exact"/>
              <w:ind w:left="153" w:right="56"/>
              <w:jc w:val="center"/>
              <w:rPr>
                <w:rFonts w:ascii="微软雅黑"/>
                <w:b/>
                <w:sz w:val="21"/>
              </w:rPr>
            </w:pPr>
            <w:r>
              <w:rPr>
                <w:rFonts w:ascii="微软雅黑"/>
                <w:b/>
                <w:sz w:val="21"/>
              </w:rPr>
              <w:t>9.1.50</w:t>
            </w:r>
          </w:p>
        </w:tc>
        <w:tc>
          <w:tcPr>
            <w:tcW w:w="1691" w:type="dxa"/>
          </w:tcPr>
          <w:p>
            <w:pPr>
              <w:pStyle w:val="TableParagraph"/>
              <w:spacing w:line="220" w:lineRule="exact"/>
              <w:ind w:left="101"/>
              <w:rPr>
                <w:rFonts w:ascii="微软雅黑" w:eastAsia="微软雅黑" w:hint="eastAsia"/>
                <w:b/>
                <w:sz w:val="21"/>
              </w:rPr>
            </w:pPr>
            <w:r>
              <w:rPr>
                <w:rFonts w:ascii="微软雅黑" w:eastAsia="微软雅黑" w:hint="eastAsia"/>
                <w:b/>
                <w:sz w:val="21"/>
              </w:rPr>
              <w:t>原发性硬化性胆</w:t>
            </w:r>
          </w:p>
          <w:p>
            <w:pPr>
              <w:pStyle w:val="TableParagraph"/>
              <w:spacing w:line="342" w:lineRule="exact"/>
              <w:ind w:left="101"/>
              <w:rPr>
                <w:rFonts w:ascii="微软雅黑" w:eastAsia="微软雅黑" w:hint="eastAsia"/>
                <w:b/>
                <w:sz w:val="21"/>
              </w:rPr>
            </w:pPr>
            <w:r>
              <w:rPr>
                <w:rFonts w:ascii="微软雅黑" w:eastAsia="微软雅黑" w:hint="eastAsia"/>
                <w:b/>
                <w:sz w:val="21"/>
              </w:rPr>
              <w:t>管炎</w:t>
            </w:r>
          </w:p>
        </w:tc>
        <w:tc>
          <w:tcPr>
            <w:tcW w:w="7457" w:type="dxa"/>
          </w:tcPr>
          <w:p>
            <w:pPr>
              <w:pStyle w:val="TableParagraph"/>
              <w:spacing w:line="215" w:lineRule="exact"/>
              <w:rPr>
                <w:sz w:val="21"/>
              </w:rPr>
            </w:pPr>
            <w:r>
              <w:rPr>
                <w:sz w:val="21"/>
              </w:rPr>
              <w:t>指一种胆汁淤积综合征，其特征是肝内、肝外胆道因纤维化性炎症逐渐狭窄，</w:t>
            </w:r>
          </w:p>
          <w:p>
            <w:pPr>
              <w:pStyle w:val="TableParagraph"/>
              <w:spacing w:line="278" w:lineRule="auto" w:before="46"/>
              <w:ind w:right="187"/>
              <w:rPr>
                <w:sz w:val="21"/>
              </w:rPr>
            </w:pPr>
            <w:r>
              <w:rPr>
                <w:sz w:val="21"/>
              </w:rPr>
              <w:t>并最终导致完全阻塞而发展为肝硬化。本病须经内镜逆行胰胆管造影等影像学检查证实，并须满足下列全部条件：</w:t>
            </w:r>
          </w:p>
          <w:p>
            <w:pPr>
              <w:pStyle w:val="TableParagraph"/>
              <w:numPr>
                <w:ilvl w:val="0"/>
                <w:numId w:val="26"/>
              </w:numPr>
              <w:tabs>
                <w:tab w:pos="737" w:val="left" w:leader="none"/>
              </w:tabs>
              <w:spacing w:line="240" w:lineRule="auto" w:before="89" w:after="0"/>
              <w:ind w:left="736" w:right="0" w:hanging="624"/>
              <w:jc w:val="left"/>
              <w:rPr>
                <w:sz w:val="21"/>
              </w:rPr>
            </w:pPr>
            <w:r>
              <w:rPr>
                <w:spacing w:val="-4"/>
                <w:w w:val="105"/>
                <w:sz w:val="21"/>
              </w:rPr>
              <w:t>总胆红素和直接胆红素同时升高，血清 </w:t>
            </w:r>
            <w:r>
              <w:rPr>
                <w:w w:val="105"/>
                <w:sz w:val="21"/>
              </w:rPr>
              <w:t>ALP&gt;200U/L；</w:t>
            </w:r>
          </w:p>
          <w:p>
            <w:pPr>
              <w:pStyle w:val="TableParagraph"/>
              <w:numPr>
                <w:ilvl w:val="0"/>
                <w:numId w:val="26"/>
              </w:numPr>
              <w:tabs>
                <w:tab w:pos="737" w:val="left" w:leader="none"/>
              </w:tabs>
              <w:spacing w:line="240" w:lineRule="auto" w:before="123" w:after="0"/>
              <w:ind w:left="736" w:right="0" w:hanging="624"/>
              <w:jc w:val="left"/>
              <w:rPr>
                <w:sz w:val="21"/>
              </w:rPr>
            </w:pPr>
            <w:r>
              <w:rPr>
                <w:spacing w:val="-3"/>
                <w:sz w:val="21"/>
              </w:rPr>
              <w:t>持续性黄疸病史；</w:t>
            </w:r>
          </w:p>
          <w:p>
            <w:pPr>
              <w:pStyle w:val="TableParagraph"/>
              <w:numPr>
                <w:ilvl w:val="0"/>
                <w:numId w:val="26"/>
              </w:numPr>
              <w:tabs>
                <w:tab w:pos="737" w:val="left" w:leader="none"/>
              </w:tabs>
              <w:spacing w:line="240" w:lineRule="auto" w:before="121" w:after="0"/>
              <w:ind w:left="736" w:right="0" w:hanging="624"/>
              <w:jc w:val="left"/>
              <w:rPr>
                <w:sz w:val="21"/>
              </w:rPr>
            </w:pPr>
            <w:r>
              <w:rPr>
                <w:spacing w:val="-3"/>
                <w:sz w:val="21"/>
              </w:rPr>
              <w:t>出现胆汁性肝硬化或者门脉高压。</w:t>
            </w:r>
          </w:p>
          <w:p>
            <w:pPr>
              <w:pStyle w:val="TableParagraph"/>
              <w:spacing w:before="123"/>
              <w:rPr>
                <w:sz w:val="21"/>
              </w:rPr>
            </w:pPr>
            <w:r>
              <w:rPr>
                <w:sz w:val="21"/>
              </w:rPr>
              <w:t>因肿瘤或者胆管损伤等原因导致的继发性硬化性胆管炎不在保障范围内。</w:t>
            </w:r>
          </w:p>
        </w:tc>
      </w:tr>
      <w:tr>
        <w:trPr>
          <w:trHeight w:val="1206" w:hRule="atLeast"/>
        </w:trPr>
        <w:tc>
          <w:tcPr>
            <w:tcW w:w="915" w:type="dxa"/>
          </w:tcPr>
          <w:p>
            <w:pPr>
              <w:pStyle w:val="TableParagraph"/>
              <w:spacing w:before="39"/>
              <w:ind w:left="140" w:right="69"/>
              <w:jc w:val="center"/>
              <w:rPr>
                <w:rFonts w:ascii="微软雅黑"/>
                <w:b/>
                <w:sz w:val="21"/>
              </w:rPr>
            </w:pPr>
            <w:r>
              <w:rPr>
                <w:rFonts w:ascii="微软雅黑"/>
                <w:b/>
                <w:sz w:val="21"/>
              </w:rPr>
              <w:t>9.1.51</w:t>
            </w:r>
          </w:p>
        </w:tc>
        <w:tc>
          <w:tcPr>
            <w:tcW w:w="1691" w:type="dxa"/>
          </w:tcPr>
          <w:p>
            <w:pPr>
              <w:pStyle w:val="TableParagraph"/>
              <w:spacing w:line="342" w:lineRule="exact" w:before="39"/>
              <w:ind w:left="101"/>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101" w:right="109"/>
              <w:rPr>
                <w:rFonts w:ascii="微软雅黑" w:eastAsia="微软雅黑" w:hint="eastAsia"/>
                <w:b/>
                <w:sz w:val="21"/>
              </w:rPr>
            </w:pPr>
            <w:r>
              <w:rPr>
                <w:rFonts w:ascii="微软雅黑" w:eastAsia="微软雅黑" w:hint="eastAsia"/>
                <w:b/>
                <w:sz w:val="21"/>
              </w:rPr>
              <w:t>（或者称恶性葡萄胎）</w:t>
            </w:r>
          </w:p>
        </w:tc>
        <w:tc>
          <w:tcPr>
            <w:tcW w:w="7457" w:type="dxa"/>
          </w:tcPr>
          <w:p>
            <w:pPr>
              <w:pStyle w:val="TableParagraph"/>
              <w:spacing w:line="280" w:lineRule="auto" w:before="102"/>
              <w:ind w:right="216"/>
              <w:rPr>
                <w:sz w:val="21"/>
              </w:rPr>
            </w:pPr>
            <w:r>
              <w:rPr>
                <w:sz w:val="21"/>
              </w:rPr>
              <w:t>指异常增Th的绒毛组织浸润性Th长浸入子宫肌层或者转移至其他器官或者组织的葡萄胎，并已经进行化疗或者手术治疗的。</w:t>
            </w:r>
          </w:p>
        </w:tc>
      </w:tr>
      <w:tr>
        <w:trPr>
          <w:trHeight w:val="2878" w:hRule="atLeast"/>
        </w:trPr>
        <w:tc>
          <w:tcPr>
            <w:tcW w:w="915" w:type="dxa"/>
          </w:tcPr>
          <w:p>
            <w:pPr>
              <w:pStyle w:val="TableParagraph"/>
              <w:spacing w:before="40"/>
              <w:ind w:left="153" w:right="57"/>
              <w:jc w:val="center"/>
              <w:rPr>
                <w:rFonts w:ascii="微软雅黑"/>
                <w:b/>
                <w:sz w:val="21"/>
              </w:rPr>
            </w:pPr>
            <w:r>
              <w:rPr>
                <w:rFonts w:ascii="微软雅黑"/>
                <w:b/>
                <w:sz w:val="21"/>
              </w:rPr>
              <w:t>9.1.52</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57" w:type="dxa"/>
          </w:tcPr>
          <w:p>
            <w:pPr>
              <w:pStyle w:val="TableParagraph"/>
              <w:spacing w:line="280" w:lineRule="auto" w:before="103"/>
              <w:ind w:right="216"/>
              <w:rPr>
                <w:sz w:val="21"/>
              </w:rPr>
            </w:pPr>
            <w:r>
              <w:rPr>
                <w:sz w:val="21"/>
              </w:rPr>
              <w:t>指因骨髓造血功能慢性持续性衰竭导致的贫血、中性粒细胞减少及血小板减少。须满足下列全部条件：</w:t>
            </w:r>
          </w:p>
          <w:p>
            <w:pPr>
              <w:pStyle w:val="TableParagraph"/>
              <w:numPr>
                <w:ilvl w:val="0"/>
                <w:numId w:val="27"/>
              </w:numPr>
              <w:tabs>
                <w:tab w:pos="737" w:val="left" w:leader="none"/>
              </w:tabs>
              <w:spacing w:line="240" w:lineRule="auto" w:before="85" w:after="0"/>
              <w:ind w:left="736" w:right="0" w:hanging="624"/>
              <w:jc w:val="left"/>
              <w:rPr>
                <w:sz w:val="21"/>
              </w:rPr>
            </w:pPr>
            <w:r>
              <w:rPr>
                <w:spacing w:val="-3"/>
                <w:sz w:val="21"/>
              </w:rPr>
              <w:t>骨髓穿刺检查或者骨髓活检结果支持诊断；</w:t>
            </w:r>
          </w:p>
          <w:p>
            <w:pPr>
              <w:pStyle w:val="TableParagraph"/>
              <w:numPr>
                <w:ilvl w:val="0"/>
                <w:numId w:val="27"/>
              </w:numPr>
              <w:tabs>
                <w:tab w:pos="737" w:val="left" w:leader="none"/>
              </w:tabs>
              <w:spacing w:line="240" w:lineRule="auto" w:before="123" w:after="0"/>
              <w:ind w:left="736" w:right="0" w:hanging="624"/>
              <w:jc w:val="left"/>
              <w:rPr>
                <w:sz w:val="21"/>
              </w:rPr>
            </w:pPr>
            <w:r>
              <w:rPr>
                <w:spacing w:val="-3"/>
                <w:sz w:val="21"/>
              </w:rPr>
              <w:t>外周血象须满足下列三项条件：</w:t>
            </w:r>
          </w:p>
          <w:p>
            <w:pPr>
              <w:pStyle w:val="TableParagraph"/>
              <w:spacing w:before="123"/>
              <w:ind w:left="743"/>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6" w:hRule="atLeast"/>
        </w:trPr>
        <w:tc>
          <w:tcPr>
            <w:tcW w:w="915" w:type="dxa"/>
          </w:tcPr>
          <w:p>
            <w:pPr>
              <w:pStyle w:val="TableParagraph"/>
              <w:spacing w:before="40"/>
              <w:ind w:left="153" w:right="56"/>
              <w:jc w:val="center"/>
              <w:rPr>
                <w:rFonts w:ascii="微软雅黑"/>
                <w:b/>
                <w:sz w:val="21"/>
              </w:rPr>
            </w:pPr>
            <w:r>
              <w:rPr>
                <w:rFonts w:ascii="微软雅黑"/>
                <w:b/>
                <w:sz w:val="21"/>
              </w:rPr>
              <w:t>9.1.53</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57" w:type="dxa"/>
          </w:tcPr>
          <w:p>
            <w:pPr>
              <w:pStyle w:val="TableParagraph"/>
              <w:spacing w:line="280" w:lineRule="auto" w:before="103"/>
              <w:ind w:right="218"/>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28"/>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28"/>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7"/>
              <w:ind w:left="736"/>
              <w:rPr>
                <w:sz w:val="21"/>
              </w:rPr>
            </w:pPr>
            <w:r>
              <w:rPr>
                <w:sz w:val="21"/>
              </w:rPr>
              <w:t>≥3，属于中危及以上组。</w:t>
            </w:r>
          </w:p>
        </w:tc>
      </w:tr>
      <w:tr>
        <w:trPr>
          <w:trHeight w:val="2720" w:hRule="atLeast"/>
        </w:trPr>
        <w:tc>
          <w:tcPr>
            <w:tcW w:w="915" w:type="dxa"/>
          </w:tcPr>
          <w:p>
            <w:pPr>
              <w:pStyle w:val="TableParagraph"/>
              <w:spacing w:before="40"/>
              <w:ind w:left="153" w:right="55"/>
              <w:jc w:val="center"/>
              <w:rPr>
                <w:rFonts w:ascii="微软雅黑"/>
                <w:b/>
                <w:sz w:val="21"/>
              </w:rPr>
            </w:pPr>
            <w:r>
              <w:rPr>
                <w:rFonts w:ascii="微软雅黑"/>
                <w:b/>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457" w:type="dxa"/>
          </w:tcPr>
          <w:p>
            <w:pPr>
              <w:pStyle w:val="TableParagraph"/>
              <w:spacing w:line="278" w:lineRule="auto" w:before="103"/>
              <w:ind w:right="216"/>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6"/>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29"/>
              </w:numPr>
              <w:tabs>
                <w:tab w:pos="737" w:val="left" w:leader="none"/>
              </w:tabs>
              <w:spacing w:line="240" w:lineRule="auto" w:before="90" w:after="0"/>
              <w:ind w:left="736" w:right="0" w:hanging="624"/>
              <w:jc w:val="both"/>
              <w:rPr>
                <w:sz w:val="21"/>
              </w:rPr>
            </w:pPr>
            <w:r>
              <w:rPr>
                <w:spacing w:val="-3"/>
                <w:sz w:val="21"/>
              </w:rPr>
              <w:t>出现增殖性糖尿病视网膜病变；</w:t>
            </w:r>
          </w:p>
          <w:p>
            <w:pPr>
              <w:pStyle w:val="TableParagraph"/>
              <w:numPr>
                <w:ilvl w:val="0"/>
                <w:numId w:val="29"/>
              </w:numPr>
              <w:tabs>
                <w:tab w:pos="737" w:val="left" w:leader="none"/>
              </w:tabs>
              <w:spacing w:line="240" w:lineRule="auto" w:before="121"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29"/>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2485" w:hRule="atLeast"/>
        </w:trPr>
        <w:tc>
          <w:tcPr>
            <w:tcW w:w="915" w:type="dxa"/>
          </w:tcPr>
          <w:p>
            <w:pPr>
              <w:pStyle w:val="TableParagraph"/>
              <w:spacing w:before="42"/>
              <w:ind w:left="153" w:right="56"/>
              <w:jc w:val="center"/>
              <w:rPr>
                <w:rFonts w:ascii="微软雅黑"/>
                <w:b/>
                <w:sz w:val="21"/>
              </w:rPr>
            </w:pPr>
            <w:r>
              <w:rPr>
                <w:rFonts w:ascii="微软雅黑"/>
                <w:b/>
                <w:sz w:val="21"/>
              </w:rPr>
              <w:t>9.1.55</w:t>
            </w:r>
          </w:p>
        </w:tc>
        <w:tc>
          <w:tcPr>
            <w:tcW w:w="1691" w:type="dxa"/>
          </w:tcPr>
          <w:p>
            <w:pPr>
              <w:pStyle w:val="TableParagraph"/>
              <w:spacing w:line="211" w:lineRule="auto" w:before="85"/>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57"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1"/>
              <w:ind w:right="217"/>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320" w:lineRule="atLeast" w:before="42"/>
              <w:ind w:right="188"/>
              <w:rPr>
                <w:sz w:val="21"/>
              </w:rPr>
            </w:pPr>
            <w:r>
              <w:rPr>
                <w:sz w:val="21"/>
              </w:rPr>
              <w:t>其他类型的红斑性狼疮，如盘状狼疮、仅累及血液及关节的狼疮不在保障范围内。</w:t>
            </w:r>
          </w:p>
        </w:tc>
      </w:tr>
    </w:tbl>
    <w:p>
      <w:pPr>
        <w:spacing w:after="0" w:line="320" w:lineRule="atLeast"/>
        <w:rPr>
          <w:sz w:val="21"/>
        </w:rPr>
        <w:sectPr>
          <w:pgSz w:w="11910" w:h="16840"/>
          <w:pgMar w:top="132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4"/>
      </w:tblGrid>
      <w:tr>
        <w:trPr>
          <w:trHeight w:val="2793"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4" w:type="dxa"/>
          </w:tcPr>
          <w:p>
            <w:pPr>
              <w:pStyle w:val="TableParagraph"/>
              <w:spacing w:line="215" w:lineRule="exact"/>
              <w:ind w:left="110"/>
              <w:rPr>
                <w:sz w:val="21"/>
              </w:rPr>
            </w:pPr>
            <w:r>
              <w:rPr>
                <w:w w:val="110"/>
                <w:sz w:val="21"/>
              </w:rPr>
              <w:t>世界卫Th组织（WHO）狼疮性肾炎分型：</w:t>
            </w:r>
          </w:p>
          <w:p>
            <w:pPr>
              <w:pStyle w:val="TableParagraph"/>
              <w:spacing w:before="124"/>
              <w:ind w:left="110"/>
              <w:rPr>
                <w:sz w:val="21"/>
              </w:rPr>
            </w:pPr>
            <w:r>
              <w:rPr>
                <w:sz w:val="21"/>
              </w:rPr>
              <w:t>Ⅰ型：微小病变型；</w:t>
            </w:r>
          </w:p>
          <w:p>
            <w:pPr>
              <w:pStyle w:val="TableParagraph"/>
              <w:spacing w:before="123"/>
              <w:ind w:left="110"/>
              <w:rPr>
                <w:sz w:val="21"/>
              </w:rPr>
            </w:pPr>
            <w:r>
              <w:rPr>
                <w:sz w:val="21"/>
              </w:rPr>
              <w:t>Ⅱ型：系膜病变型；</w:t>
            </w:r>
          </w:p>
          <w:p>
            <w:pPr>
              <w:pStyle w:val="TableParagraph"/>
              <w:spacing w:before="123"/>
              <w:ind w:left="110"/>
              <w:rPr>
                <w:sz w:val="21"/>
              </w:rPr>
            </w:pPr>
            <w:r>
              <w:rPr>
                <w:sz w:val="21"/>
              </w:rPr>
              <w:t>Ⅲ型：局灶及节段增Th型；</w:t>
            </w:r>
          </w:p>
          <w:p>
            <w:pPr>
              <w:pStyle w:val="TableParagraph"/>
              <w:spacing w:before="123"/>
              <w:ind w:left="110"/>
              <w:rPr>
                <w:sz w:val="21"/>
              </w:rPr>
            </w:pPr>
            <w:r>
              <w:rPr>
                <w:sz w:val="21"/>
              </w:rPr>
              <w:t>Ⅳ型：弥漫增Th型；</w:t>
            </w:r>
          </w:p>
          <w:p>
            <w:pPr>
              <w:pStyle w:val="TableParagraph"/>
              <w:spacing w:before="120"/>
              <w:ind w:left="110"/>
              <w:rPr>
                <w:sz w:val="21"/>
              </w:rPr>
            </w:pPr>
            <w:r>
              <w:rPr>
                <w:sz w:val="21"/>
              </w:rPr>
              <w:t>Ⅴ型：膜型；</w:t>
            </w:r>
          </w:p>
          <w:p>
            <w:pPr>
              <w:pStyle w:val="TableParagraph"/>
              <w:spacing w:before="123"/>
              <w:ind w:left="110"/>
              <w:rPr>
                <w:sz w:val="21"/>
              </w:rPr>
            </w:pPr>
            <w:r>
              <w:rPr>
                <w:sz w:val="21"/>
              </w:rPr>
              <w:t>Ⅵ型：肾小球硬化型。</w:t>
            </w:r>
          </w:p>
        </w:tc>
      </w:tr>
      <w:tr>
        <w:trPr>
          <w:trHeight w:val="3839" w:hRule="atLeast"/>
        </w:trPr>
        <w:tc>
          <w:tcPr>
            <w:tcW w:w="916" w:type="dxa"/>
          </w:tcPr>
          <w:p>
            <w:pPr>
              <w:pStyle w:val="TableParagraph"/>
              <w:spacing w:before="42"/>
              <w:ind w:left="0" w:right="100"/>
              <w:jc w:val="right"/>
              <w:rPr>
                <w:rFonts w:ascii="微软雅黑"/>
                <w:b/>
                <w:sz w:val="21"/>
              </w:rPr>
            </w:pPr>
            <w:r>
              <w:rPr>
                <w:rFonts w:ascii="微软雅黑"/>
                <w:b/>
                <w:w w:val="95"/>
                <w:sz w:val="21"/>
              </w:rPr>
              <w:t>9.1.56</w:t>
            </w:r>
          </w:p>
        </w:tc>
        <w:tc>
          <w:tcPr>
            <w:tcW w:w="1691" w:type="dxa"/>
          </w:tcPr>
          <w:p>
            <w:pPr>
              <w:pStyle w:val="TableParagraph"/>
              <w:spacing w:line="213" w:lineRule="auto" w:before="81"/>
              <w:ind w:left="100" w:right="110"/>
              <w:rPr>
                <w:rFonts w:ascii="微软雅黑" w:eastAsia="微软雅黑" w:hint="eastAsia"/>
                <w:b/>
                <w:sz w:val="21"/>
              </w:rPr>
            </w:pPr>
            <w:r>
              <w:rPr>
                <w:rFonts w:ascii="微软雅黑" w:eastAsia="微软雅黑" w:hint="eastAsia"/>
                <w:b/>
                <w:sz w:val="21"/>
              </w:rPr>
              <w:t>严重类风湿性关节炎</w:t>
            </w:r>
          </w:p>
        </w:tc>
        <w:tc>
          <w:tcPr>
            <w:tcW w:w="7544" w:type="dxa"/>
          </w:tcPr>
          <w:p>
            <w:pPr>
              <w:pStyle w:val="TableParagraph"/>
              <w:spacing w:line="278" w:lineRule="auto" w:before="104"/>
              <w:ind w:left="110" w:right="198"/>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关节、双腕关节、双膝关节和双髋关节</w:t>
            </w:r>
            <w:r>
              <w:rPr>
                <w:spacing w:val="-104"/>
                <w:sz w:val="21"/>
              </w:rPr>
              <w:t>）</w:t>
            </w:r>
            <w:r>
              <w:rPr>
                <w:sz w:val="21"/>
              </w:rPr>
              <w:t>。必须明确诊断并且已经达到类风湿</w:t>
            </w:r>
            <w:r>
              <w:rPr>
                <w:spacing w:val="-3"/>
                <w:sz w:val="21"/>
              </w:rPr>
              <w:t>性关节炎功能分类Ⅳ级的永久不可逆性关节功能障碍。</w:t>
            </w:r>
          </w:p>
          <w:p>
            <w:pPr>
              <w:pStyle w:val="TableParagraph"/>
              <w:spacing w:before="90"/>
              <w:ind w:left="110"/>
              <w:rPr>
                <w:sz w:val="21"/>
              </w:rPr>
            </w:pPr>
            <w:r>
              <w:rPr>
                <w:sz w:val="21"/>
              </w:rPr>
              <w:t>美国风湿病学会类风湿性关节炎分级：</w:t>
            </w:r>
          </w:p>
          <w:p>
            <w:pPr>
              <w:pStyle w:val="TableParagraph"/>
              <w:spacing w:before="123"/>
              <w:ind w:left="110"/>
              <w:rPr>
                <w:sz w:val="21"/>
              </w:rPr>
            </w:pPr>
            <w:r>
              <w:rPr>
                <w:sz w:val="21"/>
              </w:rPr>
              <w:t>Ⅰ级：关节能自由活动，能完成平常的任务而无妨碍；</w:t>
            </w:r>
          </w:p>
          <w:p>
            <w:pPr>
              <w:pStyle w:val="TableParagraph"/>
              <w:spacing w:before="121"/>
              <w:ind w:left="110"/>
              <w:rPr>
                <w:sz w:val="21"/>
              </w:rPr>
            </w:pPr>
            <w:r>
              <w:rPr>
                <w:sz w:val="21"/>
              </w:rPr>
              <w:t>Ⅱ级：关节活动中度限制，一个或者几个关节疼痛不适，但能料理日常Th活；</w:t>
            </w:r>
          </w:p>
          <w:p>
            <w:pPr>
              <w:pStyle w:val="TableParagraph"/>
              <w:spacing w:before="123"/>
              <w:ind w:left="110"/>
              <w:rPr>
                <w:sz w:val="21"/>
              </w:rPr>
            </w:pPr>
            <w:r>
              <w:rPr>
                <w:sz w:val="21"/>
              </w:rPr>
              <w:t>Ⅲ级：关节活动显著限制，不能胜任工作，料理Th活也有困难；</w:t>
            </w:r>
          </w:p>
          <w:p>
            <w:pPr>
              <w:pStyle w:val="TableParagraph"/>
              <w:spacing w:line="280" w:lineRule="auto" w:before="123"/>
              <w:ind w:left="721" w:right="259" w:hanging="611"/>
              <w:rPr>
                <w:sz w:val="21"/>
              </w:rPr>
            </w:pPr>
            <w:r>
              <w:rPr>
                <w:sz w:val="21"/>
              </w:rPr>
              <w:t>Ⅳ级：大部分或者完全失去活动能力，病人长期卧床或者依赖轮椅，Th活不能自理。</w:t>
            </w:r>
          </w:p>
        </w:tc>
      </w:tr>
      <w:tr>
        <w:trPr>
          <w:trHeight w:val="1207" w:hRule="atLeast"/>
        </w:trPr>
        <w:tc>
          <w:tcPr>
            <w:tcW w:w="916" w:type="dxa"/>
          </w:tcPr>
          <w:p>
            <w:pPr>
              <w:pStyle w:val="TableParagraph"/>
              <w:spacing w:before="40"/>
              <w:ind w:left="0" w:right="101"/>
              <w:jc w:val="right"/>
              <w:rPr>
                <w:rFonts w:ascii="微软雅黑"/>
                <w:b/>
                <w:sz w:val="21"/>
              </w:rPr>
            </w:pPr>
            <w:r>
              <w:rPr>
                <w:rFonts w:ascii="微软雅黑"/>
                <w:b/>
                <w:w w:val="95"/>
                <w:sz w:val="21"/>
              </w:rPr>
              <w:t>9.1.57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严重幼年型类风湿性关节炎</w:t>
            </w:r>
          </w:p>
        </w:tc>
        <w:tc>
          <w:tcPr>
            <w:tcW w:w="7544" w:type="dxa"/>
          </w:tcPr>
          <w:p>
            <w:pPr>
              <w:pStyle w:val="TableParagraph"/>
              <w:spacing w:line="280" w:lineRule="auto" w:before="103"/>
              <w:ind w:left="110" w:right="306"/>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1"/>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22" w:lineRule="exact"/>
              <w:ind w:left="100"/>
              <w:rPr>
                <w:rFonts w:ascii="微软雅黑" w:eastAsia="微软雅黑" w:hint="eastAsia"/>
                <w:b/>
                <w:sz w:val="21"/>
              </w:rPr>
            </w:pPr>
            <w:r>
              <w:rPr>
                <w:rFonts w:ascii="微软雅黑" w:eastAsia="微软雅黑" w:hint="eastAsia"/>
                <w:b/>
                <w:w w:val="95"/>
                <w:sz w:val="21"/>
              </w:rPr>
              <w:t>（HIV）感染</w:t>
            </w:r>
          </w:p>
        </w:tc>
        <w:tc>
          <w:tcPr>
            <w:tcW w:w="7544" w:type="dxa"/>
          </w:tcPr>
          <w:p>
            <w:pPr>
              <w:pStyle w:val="TableParagraph"/>
              <w:spacing w:line="280" w:lineRule="auto" w:before="103"/>
              <w:ind w:left="110" w:right="308"/>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0"/>
              </w:numPr>
              <w:tabs>
                <w:tab w:pos="736" w:val="left" w:leader="none"/>
              </w:tabs>
              <w:spacing w:line="278" w:lineRule="auto" w:before="87" w:after="0"/>
              <w:ind w:left="735" w:right="310"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0"/>
              </w:numPr>
              <w:tabs>
                <w:tab w:pos="736" w:val="left" w:leader="none"/>
              </w:tabs>
              <w:spacing w:line="240" w:lineRule="auto" w:before="89" w:after="0"/>
              <w:ind w:left="735" w:right="0" w:hanging="624"/>
              <w:jc w:val="left"/>
              <w:rPr>
                <w:sz w:val="21"/>
              </w:rPr>
            </w:pPr>
            <w:r>
              <w:rPr>
                <w:spacing w:val="-3"/>
                <w:sz w:val="21"/>
              </w:rPr>
              <w:t>受感染的被保险人不是血友病患者。</w:t>
            </w:r>
          </w:p>
          <w:p>
            <w:pPr>
              <w:pStyle w:val="TableParagraph"/>
              <w:spacing w:line="280" w:lineRule="auto" w:before="123"/>
              <w:ind w:left="110" w:right="306"/>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left="110" w:right="306"/>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3"/>
                <w:w w:val="100"/>
                <w:sz w:val="21"/>
              </w:rPr>
              <w:t>感染不</w:t>
            </w:r>
            <w:r>
              <w:rPr>
                <w:spacing w:val="-6"/>
                <w:sz w:val="21"/>
              </w:rPr>
              <w:t>在保障范围内。我们拥有获得使用被保险人的所有血液样本的权利和能够对这</w:t>
            </w:r>
            <w:r>
              <w:rPr>
                <w:spacing w:val="-4"/>
                <w:sz w:val="21"/>
              </w:rPr>
              <w:t>些样本进行独立检验的权利。</w:t>
            </w:r>
          </w:p>
        </w:tc>
      </w:tr>
      <w:tr>
        <w:trPr>
          <w:trHeight w:val="2160" w:hRule="atLeast"/>
        </w:trPr>
        <w:tc>
          <w:tcPr>
            <w:tcW w:w="916" w:type="dxa"/>
          </w:tcPr>
          <w:p>
            <w:pPr>
              <w:pStyle w:val="TableParagraph"/>
              <w:spacing w:before="41"/>
              <w:ind w:left="0" w:right="100"/>
              <w:jc w:val="right"/>
              <w:rPr>
                <w:rFonts w:ascii="微软雅黑"/>
                <w:b/>
                <w:sz w:val="21"/>
              </w:rPr>
            </w:pPr>
            <w:r>
              <w:rPr>
                <w:rFonts w:ascii="微软雅黑"/>
                <w:b/>
                <w:w w:val="95"/>
                <w:sz w:val="21"/>
              </w:rPr>
              <w:t>9.1.59</w:t>
            </w:r>
          </w:p>
        </w:tc>
        <w:tc>
          <w:tcPr>
            <w:tcW w:w="1691" w:type="dxa"/>
          </w:tcPr>
          <w:p>
            <w:pPr>
              <w:pStyle w:val="TableParagraph"/>
              <w:spacing w:line="213" w:lineRule="auto" w:before="81"/>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44" w:type="dxa"/>
          </w:tcPr>
          <w:p>
            <w:pPr>
              <w:pStyle w:val="TableParagraph"/>
              <w:spacing w:line="280" w:lineRule="auto" w:before="103"/>
              <w:ind w:left="110" w:right="303"/>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1"/>
              </w:numPr>
              <w:tabs>
                <w:tab w:pos="736" w:val="left" w:leader="none"/>
              </w:tabs>
              <w:spacing w:line="240" w:lineRule="auto" w:before="85" w:after="0"/>
              <w:ind w:left="735" w:right="0" w:hanging="624"/>
              <w:jc w:val="both"/>
              <w:rPr>
                <w:sz w:val="21"/>
              </w:rPr>
            </w:pPr>
            <w:r>
              <w:rPr>
                <w:spacing w:val="-3"/>
                <w:sz w:val="21"/>
              </w:rPr>
              <w:t>感染必须在被保险人正在从事其职业工作中发</w:t>
            </w:r>
            <w:r>
              <w:rPr>
                <w:sz w:val="21"/>
              </w:rPr>
              <w:t>Th；</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必须提供被保险人在所报事故发</w:t>
            </w:r>
            <w:r>
              <w:rPr>
                <w:sz w:val="21"/>
              </w:rPr>
              <w:t>Th</w:t>
            </w:r>
            <w:r>
              <w:rPr>
                <w:spacing w:val="-10"/>
                <w:sz w:val="21"/>
              </w:rPr>
              <w:t>后的 </w:t>
            </w:r>
            <w:r>
              <w:rPr>
                <w:sz w:val="21"/>
              </w:rPr>
              <w:t>5</w:t>
            </w:r>
            <w:r>
              <w:rPr>
                <w:spacing w:val="-9"/>
                <w:sz w:val="21"/>
              </w:rPr>
              <w:t> 天以内进行的检查报告，该报</w:t>
            </w:r>
          </w:p>
        </w:tc>
      </w:tr>
    </w:tbl>
    <w:p>
      <w:pPr>
        <w:spacing w:after="0" w:line="240" w:lineRule="auto"/>
        <w:jc w:val="both"/>
        <w:rPr>
          <w:sz w:val="21"/>
        </w:rPr>
        <w:sectPr>
          <w:pgSz w:w="11910" w:h="16840"/>
          <w:pgMar w:top="132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4791"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spacing w:line="215" w:lineRule="exact"/>
              <w:ind w:left="736"/>
              <w:rPr>
                <w:sz w:val="21"/>
              </w:rPr>
            </w:pPr>
            <w:r>
              <w:rPr>
                <w:sz w:val="21"/>
              </w:rPr>
              <w:t>告必须显示被保险人血液 HIV 病毒阴性和</w:t>
            </w:r>
            <w:r>
              <w:rPr>
                <w:w w:val="95"/>
                <w:sz w:val="21"/>
              </w:rPr>
              <w:t>/</w:t>
            </w:r>
            <w:r>
              <w:rPr>
                <w:sz w:val="21"/>
              </w:rPr>
              <w:t>或者 HIV 抗体阴性；</w:t>
            </w:r>
          </w:p>
          <w:p>
            <w:pPr>
              <w:pStyle w:val="TableParagraph"/>
              <w:spacing w:line="278" w:lineRule="auto" w:before="123"/>
              <w:ind w:left="736" w:right="215" w:hanging="625"/>
              <w:rPr>
                <w:sz w:val="21"/>
              </w:rPr>
            </w:pPr>
            <w:r>
              <w:rPr>
                <w:sz w:val="21"/>
              </w:rPr>
              <w:t>（3） 必须在事故发Th后的6 个月内证实被保险人体内存在HIV 病毒或者HIV 抗体。</w:t>
            </w:r>
          </w:p>
          <w:p>
            <w:pPr>
              <w:pStyle w:val="TableParagraph"/>
              <w:spacing w:before="89"/>
              <w:jc w:val="both"/>
              <w:rPr>
                <w:sz w:val="21"/>
              </w:rPr>
            </w:pPr>
            <w:r>
              <w:rPr>
                <w:sz w:val="21"/>
              </w:rPr>
              <w:t>职业列表：</w:t>
            </w:r>
          </w:p>
          <w:p>
            <w:pPr>
              <w:pStyle w:val="TableParagraph"/>
              <w:tabs>
                <w:tab w:pos="3156" w:val="left" w:leader="none"/>
              </w:tabs>
              <w:spacing w:before="123"/>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6" w:val="left" w:leader="none"/>
              </w:tabs>
              <w:spacing w:before="121"/>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6" w:val="left" w:leader="none"/>
              </w:tabs>
              <w:spacing w:before="123"/>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16"/>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right="216"/>
              <w:jc w:val="both"/>
              <w:rPr>
                <w:sz w:val="21"/>
              </w:rPr>
            </w:pPr>
            <w:r>
              <w:rPr>
                <w:w w:val="100"/>
                <w:sz w:val="21"/>
              </w:rPr>
              <w:t>任何因其他传播方式</w:t>
            </w:r>
            <w:r>
              <w:rPr>
                <w:spacing w:val="1"/>
                <w:w w:val="100"/>
                <w:sz w:val="21"/>
              </w:rPr>
              <w:t>（</w:t>
            </w:r>
            <w:r>
              <w:rPr>
                <w:w w:val="100"/>
                <w:sz w:val="21"/>
              </w:rPr>
              <w:t>包括：输血、性传播或者静脉注射毒品</w:t>
            </w:r>
            <w:r>
              <w:rPr>
                <w:spacing w:val="1"/>
                <w:w w:val="100"/>
                <w:sz w:val="21"/>
              </w:rPr>
              <w:t>）</w:t>
            </w:r>
            <w:r>
              <w:rPr>
                <w:w w:val="100"/>
                <w:sz w:val="21"/>
              </w:rPr>
              <w:t>导致的</w:t>
            </w:r>
            <w:r>
              <w:rPr>
                <w:sz w:val="21"/>
              </w:rPr>
              <w:t> </w:t>
            </w:r>
            <w:r>
              <w:rPr>
                <w:w w:val="170"/>
                <w:sz w:val="21"/>
              </w:rPr>
              <w:t>H</w:t>
            </w:r>
            <w:r>
              <w:rPr>
                <w:spacing w:val="-3"/>
                <w:w w:val="62"/>
                <w:sz w:val="21"/>
              </w:rPr>
              <w:t>I</w:t>
            </w:r>
            <w:r>
              <w:rPr>
                <w:w w:val="159"/>
                <w:sz w:val="21"/>
              </w:rPr>
              <w:t>V</w:t>
            </w:r>
            <w:r>
              <w:rPr>
                <w:spacing w:val="-5"/>
                <w:sz w:val="21"/>
              </w:rPr>
              <w:t>感染不在保障范围内。我们拥有获得使用被保险人的所有血液样本的权利和能</w:t>
            </w:r>
            <w:r>
              <w:rPr>
                <w:spacing w:val="-4"/>
                <w:sz w:val="21"/>
              </w:rPr>
              <w:t>够对这些样本进行独立检验的权利。</w:t>
            </w:r>
          </w:p>
        </w:tc>
      </w:tr>
      <w:tr>
        <w:trPr>
          <w:trHeight w:val="3675" w:hRule="atLeast"/>
        </w:trPr>
        <w:tc>
          <w:tcPr>
            <w:tcW w:w="915" w:type="dxa"/>
          </w:tcPr>
          <w:p>
            <w:pPr>
              <w:pStyle w:val="TableParagraph"/>
              <w:spacing w:before="40"/>
              <w:ind w:left="153" w:right="56"/>
              <w:jc w:val="center"/>
              <w:rPr>
                <w:rFonts w:ascii="微软雅黑"/>
                <w:b/>
                <w:sz w:val="21"/>
              </w:rPr>
            </w:pPr>
            <w:r>
              <w:rPr>
                <w:rFonts w:ascii="微软雅黑"/>
                <w:b/>
                <w:sz w:val="21"/>
              </w:rPr>
              <w:t>9.1.60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3"/>
              <w:ind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2"/>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33"/>
              </w:numPr>
              <w:tabs>
                <w:tab w:pos="737" w:val="left" w:leader="none"/>
              </w:tabs>
              <w:spacing w:line="240" w:lineRule="auto" w:before="121" w:after="0"/>
              <w:ind w:left="736" w:right="0" w:hanging="624"/>
              <w:jc w:val="left"/>
              <w:rPr>
                <w:sz w:val="21"/>
              </w:rPr>
            </w:pPr>
            <w:r>
              <w:rPr>
                <w:spacing w:val="-2"/>
                <w:sz w:val="21"/>
              </w:rPr>
              <w:t>局限硬皮病；</w:t>
            </w:r>
          </w:p>
          <w:p>
            <w:pPr>
              <w:pStyle w:val="TableParagraph"/>
              <w:numPr>
                <w:ilvl w:val="0"/>
                <w:numId w:val="33"/>
              </w:numPr>
              <w:tabs>
                <w:tab w:pos="737" w:val="left" w:leader="none"/>
              </w:tabs>
              <w:spacing w:line="240" w:lineRule="auto" w:before="123" w:after="0"/>
              <w:ind w:left="736" w:right="0" w:hanging="624"/>
              <w:jc w:val="left"/>
              <w:rPr>
                <w:sz w:val="21"/>
              </w:rPr>
            </w:pPr>
            <w:r>
              <w:rPr>
                <w:spacing w:val="-3"/>
                <w:sz w:val="21"/>
              </w:rPr>
              <w:t>嗜酸细胞筋膜炎；</w:t>
            </w:r>
          </w:p>
          <w:p>
            <w:pPr>
              <w:pStyle w:val="TableParagraph"/>
              <w:numPr>
                <w:ilvl w:val="0"/>
                <w:numId w:val="33"/>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79" w:hRule="atLeast"/>
        </w:trPr>
        <w:tc>
          <w:tcPr>
            <w:tcW w:w="915" w:type="dxa"/>
          </w:tcPr>
          <w:p>
            <w:pPr>
              <w:pStyle w:val="TableParagraph"/>
              <w:spacing w:before="39"/>
              <w:ind w:left="140" w:right="69"/>
              <w:jc w:val="center"/>
              <w:rPr>
                <w:rFonts w:ascii="微软雅黑"/>
                <w:b/>
                <w:sz w:val="21"/>
              </w:rPr>
            </w:pPr>
            <w:r>
              <w:rPr>
                <w:rFonts w:ascii="微软雅黑"/>
                <w:b/>
                <w:sz w:val="21"/>
              </w:rPr>
              <w:t>9.1.61</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2"/>
              <w:rPr>
                <w:sz w:val="21"/>
              </w:rPr>
            </w:pPr>
            <w:r>
              <w:rPr>
                <w:sz w:val="21"/>
              </w:rPr>
              <w:t>坏死性筋膜炎的诊断须满足下列全部条件：</w:t>
            </w:r>
          </w:p>
          <w:p>
            <w:pPr>
              <w:pStyle w:val="TableParagraph"/>
              <w:numPr>
                <w:ilvl w:val="0"/>
                <w:numId w:val="34"/>
              </w:numPr>
              <w:tabs>
                <w:tab w:pos="737" w:val="left" w:leader="none"/>
              </w:tabs>
              <w:spacing w:line="240" w:lineRule="auto" w:before="123" w:after="0"/>
              <w:ind w:left="736" w:right="0" w:hanging="624"/>
              <w:jc w:val="left"/>
              <w:rPr>
                <w:sz w:val="21"/>
              </w:rPr>
            </w:pPr>
            <w:r>
              <w:rPr>
                <w:spacing w:val="-3"/>
                <w:sz w:val="21"/>
              </w:rPr>
              <w:t>符合坏死性筋膜炎的一般临床表现；</w:t>
            </w:r>
          </w:p>
          <w:p>
            <w:pPr>
              <w:pStyle w:val="TableParagraph"/>
              <w:numPr>
                <w:ilvl w:val="0"/>
                <w:numId w:val="34"/>
              </w:numPr>
              <w:tabs>
                <w:tab w:pos="737" w:val="left" w:leader="none"/>
              </w:tabs>
              <w:spacing w:line="240" w:lineRule="auto" w:before="121" w:after="0"/>
              <w:ind w:left="736" w:right="0" w:hanging="624"/>
              <w:jc w:val="left"/>
              <w:rPr>
                <w:sz w:val="21"/>
              </w:rPr>
            </w:pPr>
            <w:r>
              <w:rPr>
                <w:spacing w:val="-3"/>
                <w:sz w:val="21"/>
              </w:rPr>
              <w:t>细菌培养检出致病菌；</w:t>
            </w:r>
          </w:p>
          <w:p>
            <w:pPr>
              <w:pStyle w:val="TableParagraph"/>
              <w:numPr>
                <w:ilvl w:val="0"/>
                <w:numId w:val="34"/>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7" w:hRule="atLeast"/>
        </w:trPr>
        <w:tc>
          <w:tcPr>
            <w:tcW w:w="915" w:type="dxa"/>
          </w:tcPr>
          <w:p>
            <w:pPr>
              <w:pStyle w:val="TableParagraph"/>
              <w:spacing w:before="40"/>
              <w:ind w:left="153" w:right="57"/>
              <w:jc w:val="center"/>
              <w:rPr>
                <w:rFonts w:ascii="微软雅黑"/>
                <w:b/>
                <w:sz w:val="21"/>
              </w:rPr>
            </w:pPr>
            <w:r>
              <w:rPr>
                <w:rFonts w:ascii="微软雅黑"/>
                <w:b/>
                <w:sz w:val="21"/>
              </w:rPr>
              <w:t>9.1.62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8" w:hRule="atLeast"/>
        </w:trPr>
        <w:tc>
          <w:tcPr>
            <w:tcW w:w="915" w:type="dxa"/>
          </w:tcPr>
          <w:p>
            <w:pPr>
              <w:pStyle w:val="TableParagraph"/>
              <w:spacing w:before="40"/>
              <w:ind w:left="153" w:right="56"/>
              <w:jc w:val="center"/>
              <w:rPr>
                <w:rFonts w:ascii="微软雅黑"/>
                <w:b/>
                <w:sz w:val="21"/>
              </w:rPr>
            </w:pPr>
            <w:r>
              <w:rPr>
                <w:rFonts w:ascii="微软雅黑"/>
                <w:b/>
                <w:sz w:val="21"/>
              </w:rPr>
              <w:t>9.1.63</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7"/>
              <w:ind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9"/>
              <w:rPr>
                <w:sz w:val="21"/>
              </w:rPr>
            </w:pPr>
            <w:r>
              <w:rPr>
                <w:sz w:val="21"/>
              </w:rPr>
              <w:t>被保险人在 </w:t>
            </w:r>
            <w:r>
              <w:rPr>
                <w:w w:val="115"/>
                <w:sz w:val="21"/>
              </w:rPr>
              <w:t>3 </w:t>
            </w:r>
            <w:r>
              <w:rPr>
                <w:sz w:val="21"/>
              </w:rPr>
              <w:t>周岁之前因疾病导致双耳失聪不在保障范围内。</w:t>
            </w:r>
          </w:p>
        </w:tc>
      </w:tr>
      <w:tr>
        <w:trPr>
          <w:trHeight w:val="1121" w:hRule="atLeast"/>
        </w:trPr>
        <w:tc>
          <w:tcPr>
            <w:tcW w:w="915" w:type="dxa"/>
          </w:tcPr>
          <w:p>
            <w:pPr>
              <w:pStyle w:val="TableParagraph"/>
              <w:spacing w:before="38"/>
              <w:ind w:left="153" w:right="55"/>
              <w:jc w:val="center"/>
              <w:rPr>
                <w:rFonts w:ascii="微软雅黑"/>
                <w:b/>
                <w:sz w:val="21"/>
              </w:rPr>
            </w:pPr>
            <w:r>
              <w:rPr>
                <w:rFonts w:ascii="微软雅黑"/>
                <w:b/>
                <w:sz w:val="21"/>
              </w:rPr>
              <w:t>9.1.64</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101"/>
              <w:ind w:right="169"/>
              <w:rPr>
                <w:sz w:val="21"/>
              </w:rPr>
            </w:pPr>
            <w:r>
              <w:rPr>
                <w:sz w:val="21"/>
              </w:rPr>
              <w:t>指因疾病或者意外伤害导致双眼视力永久不可逆性丧失，双眼中较好眼须满足下列至少一项条件：</w:t>
            </w:r>
          </w:p>
          <w:p>
            <w:pPr>
              <w:pStyle w:val="TableParagraph"/>
              <w:spacing w:before="88"/>
              <w:rPr>
                <w:sz w:val="21"/>
              </w:rPr>
            </w:pPr>
            <w:r>
              <w:rPr>
                <w:sz w:val="21"/>
              </w:rPr>
              <w:t>（1） 眼球缺失或者摘除；</w:t>
            </w:r>
          </w:p>
        </w:tc>
      </w:tr>
    </w:tbl>
    <w:p>
      <w:pPr>
        <w:spacing w:after="0"/>
        <w:rPr>
          <w:sz w:val="21"/>
        </w:rPr>
        <w:sectPr>
          <w:pgSz w:w="11910" w:h="16840"/>
          <w:pgMar w:top="12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1523"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numPr>
                <w:ilvl w:val="0"/>
                <w:numId w:val="35"/>
              </w:numPr>
              <w:tabs>
                <w:tab w:pos="736" w:val="left" w:leader="none"/>
              </w:tabs>
              <w:spacing w:line="215" w:lineRule="exact" w:before="0" w:after="0"/>
              <w:ind w:left="735" w:right="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w:t>
            </w:r>
          </w:p>
          <w:p>
            <w:pPr>
              <w:pStyle w:val="TableParagraph"/>
              <w:spacing w:before="46"/>
              <w:ind w:left="735"/>
              <w:rPr>
                <w:sz w:val="21"/>
              </w:rPr>
            </w:pPr>
            <w:r>
              <w:rPr>
                <w:w w:val="100"/>
                <w:sz w:val="21"/>
              </w:rPr>
              <w:t>换算</w:t>
            </w:r>
            <w:r>
              <w:rPr>
                <w:spacing w:val="-108"/>
                <w:w w:val="100"/>
                <w:sz w:val="21"/>
              </w:rPr>
              <w:t>）</w:t>
            </w:r>
            <w:r>
              <w:rPr>
                <w:w w:val="100"/>
                <w:sz w:val="21"/>
              </w:rPr>
              <w:t>；</w:t>
            </w:r>
          </w:p>
          <w:p>
            <w:pPr>
              <w:pStyle w:val="TableParagraph"/>
              <w:numPr>
                <w:ilvl w:val="0"/>
                <w:numId w:val="35"/>
              </w:numPr>
              <w:tabs>
                <w:tab w:pos="736" w:val="left" w:leader="none"/>
              </w:tabs>
              <w:spacing w:line="240" w:lineRule="auto" w:before="121" w:after="0"/>
              <w:ind w:left="735"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0"/>
              <w:rPr>
                <w:sz w:val="21"/>
              </w:rPr>
            </w:pPr>
            <w:r>
              <w:rPr>
                <w:sz w:val="21"/>
              </w:rPr>
              <w:t>被保险人在 </w:t>
            </w:r>
            <w:r>
              <w:rPr>
                <w:w w:val="115"/>
                <w:sz w:val="21"/>
              </w:rPr>
              <w:t>3 </w:t>
            </w:r>
            <w:r>
              <w:rPr>
                <w:sz w:val="21"/>
              </w:rPr>
              <w:t>周岁之前因疾病导致双目失明不在保障范围内。</w:t>
            </w:r>
          </w:p>
        </w:tc>
      </w:tr>
      <w:tr>
        <w:trPr>
          <w:trHeight w:val="3198" w:hRule="atLeast"/>
        </w:trPr>
        <w:tc>
          <w:tcPr>
            <w:tcW w:w="916" w:type="dxa"/>
          </w:tcPr>
          <w:p>
            <w:pPr>
              <w:pStyle w:val="TableParagraph"/>
              <w:spacing w:before="39"/>
              <w:ind w:left="0" w:right="101"/>
              <w:jc w:val="right"/>
              <w:rPr>
                <w:rFonts w:ascii="微软雅黑"/>
                <w:b/>
                <w:sz w:val="21"/>
              </w:rPr>
            </w:pPr>
            <w:r>
              <w:rPr>
                <w:rFonts w:ascii="微软雅黑"/>
                <w:b/>
                <w:w w:val="95"/>
                <w:sz w:val="21"/>
              </w:rPr>
              <w:t>9.1.65</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失去一肢及一眼</w:t>
            </w:r>
          </w:p>
        </w:tc>
        <w:tc>
          <w:tcPr>
            <w:tcW w:w="7458" w:type="dxa"/>
          </w:tcPr>
          <w:p>
            <w:pPr>
              <w:pStyle w:val="TableParagraph"/>
              <w:spacing w:before="102"/>
              <w:ind w:left="110"/>
              <w:rPr>
                <w:sz w:val="21"/>
              </w:rPr>
            </w:pPr>
            <w:r>
              <w:rPr>
                <w:sz w:val="21"/>
              </w:rPr>
              <w:t>因疾病或者意外伤害导致单眼视力丧失及任何一肢自腕关节或者踝关节近端</w:t>
            </w:r>
          </w:p>
          <w:p>
            <w:pPr>
              <w:pStyle w:val="TableParagraph"/>
              <w:spacing w:before="46"/>
              <w:ind w:left="110"/>
              <w:rPr>
                <w:sz w:val="21"/>
              </w:rPr>
            </w:pPr>
            <w:r>
              <w:rPr>
                <w:sz w:val="21"/>
              </w:rPr>
              <w:t>（靠近躯干端）以上完全性断离。</w:t>
            </w:r>
          </w:p>
          <w:p>
            <w:pPr>
              <w:pStyle w:val="TableParagraph"/>
              <w:spacing w:before="120"/>
              <w:ind w:left="110"/>
              <w:rPr>
                <w:sz w:val="21"/>
              </w:rPr>
            </w:pPr>
            <w:r>
              <w:rPr>
                <w:sz w:val="21"/>
              </w:rPr>
              <w:t>单眼视力丧失指单眼视力永久不可逆性丧失，患眼须满足下列至少一项条件：</w:t>
            </w:r>
          </w:p>
          <w:p>
            <w:pPr>
              <w:pStyle w:val="TableParagraph"/>
              <w:numPr>
                <w:ilvl w:val="0"/>
                <w:numId w:val="36"/>
              </w:numPr>
              <w:tabs>
                <w:tab w:pos="736" w:val="left" w:leader="none"/>
              </w:tabs>
              <w:spacing w:line="240" w:lineRule="auto" w:before="123" w:after="0"/>
              <w:ind w:left="735" w:right="0" w:hanging="624"/>
              <w:jc w:val="left"/>
              <w:rPr>
                <w:sz w:val="21"/>
              </w:rPr>
            </w:pPr>
            <w:r>
              <w:rPr>
                <w:spacing w:val="-3"/>
                <w:sz w:val="21"/>
              </w:rPr>
              <w:t>眼球缺失或者摘除；</w:t>
            </w:r>
          </w:p>
          <w:p>
            <w:pPr>
              <w:pStyle w:val="TableParagraph"/>
              <w:numPr>
                <w:ilvl w:val="0"/>
                <w:numId w:val="36"/>
              </w:numPr>
              <w:tabs>
                <w:tab w:pos="736" w:val="left" w:leader="none"/>
              </w:tabs>
              <w:spacing w:line="280" w:lineRule="auto" w:before="123" w:after="0"/>
              <w:ind w:left="735" w:right="22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6"/>
              </w:numPr>
              <w:tabs>
                <w:tab w:pos="736" w:val="left" w:leader="none"/>
              </w:tabs>
              <w:spacing w:line="240" w:lineRule="auto" w:before="85" w:after="0"/>
              <w:ind w:left="735"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4"/>
              <w:ind w:left="110"/>
              <w:rPr>
                <w:sz w:val="21"/>
              </w:rPr>
            </w:pPr>
            <w:r>
              <w:rPr>
                <w:sz w:val="21"/>
              </w:rPr>
              <w:t>被保险人在 </w:t>
            </w:r>
            <w:r>
              <w:rPr>
                <w:w w:val="115"/>
                <w:sz w:val="21"/>
              </w:rPr>
              <w:t>3 </w:t>
            </w:r>
            <w:r>
              <w:rPr>
                <w:sz w:val="21"/>
              </w:rPr>
              <w:t>周岁之前因疾病导致单眼视力丧失不在保障范围内。</w:t>
            </w:r>
          </w:p>
        </w:tc>
      </w:tr>
      <w:tr>
        <w:trPr>
          <w:trHeight w:val="885" w:hRule="atLeast"/>
        </w:trPr>
        <w:tc>
          <w:tcPr>
            <w:tcW w:w="916" w:type="dxa"/>
          </w:tcPr>
          <w:p>
            <w:pPr>
              <w:pStyle w:val="TableParagraph"/>
              <w:spacing w:before="38"/>
              <w:ind w:left="0" w:right="100"/>
              <w:jc w:val="right"/>
              <w:rPr>
                <w:rFonts w:ascii="微软雅黑"/>
                <w:b/>
                <w:sz w:val="21"/>
              </w:rPr>
            </w:pPr>
            <w:r>
              <w:rPr>
                <w:rFonts w:ascii="微软雅黑"/>
                <w:b/>
                <w:w w:val="95"/>
                <w:sz w:val="21"/>
              </w:rPr>
              <w:t>9.1.66</w:t>
            </w:r>
          </w:p>
        </w:tc>
        <w:tc>
          <w:tcPr>
            <w:tcW w:w="1691" w:type="dxa"/>
          </w:tcPr>
          <w:p>
            <w:pPr>
              <w:pStyle w:val="TableParagraph"/>
              <w:spacing w:before="38"/>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458" w:type="dxa"/>
          </w:tcPr>
          <w:p>
            <w:pPr>
              <w:pStyle w:val="TableParagraph"/>
              <w:spacing w:line="280" w:lineRule="auto" w:before="101"/>
              <w:ind w:left="110" w:right="220"/>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7" w:hRule="atLeast"/>
        </w:trPr>
        <w:tc>
          <w:tcPr>
            <w:tcW w:w="916" w:type="dxa"/>
          </w:tcPr>
          <w:p>
            <w:pPr>
              <w:pStyle w:val="TableParagraph"/>
              <w:spacing w:before="40"/>
              <w:ind w:left="0" w:right="101"/>
              <w:jc w:val="right"/>
              <w:rPr>
                <w:rFonts w:ascii="微软雅黑"/>
                <w:b/>
                <w:sz w:val="21"/>
              </w:rPr>
            </w:pPr>
            <w:r>
              <w:rPr>
                <w:rFonts w:ascii="微软雅黑"/>
                <w:b/>
                <w:w w:val="95"/>
                <w:sz w:val="21"/>
              </w:rPr>
              <w:t>9.1.67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意外导致的重度面部烧伤</w:t>
            </w:r>
          </w:p>
        </w:tc>
        <w:tc>
          <w:tcPr>
            <w:tcW w:w="7458" w:type="dxa"/>
          </w:tcPr>
          <w:p>
            <w:pPr>
              <w:pStyle w:val="TableParagraph"/>
              <w:spacing w:line="280" w:lineRule="auto" w:before="103"/>
              <w:ind w:left="110" w:right="220"/>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0" w:right="98"/>
              <w:jc w:val="right"/>
              <w:rPr>
                <w:rFonts w:ascii="微软雅黑"/>
                <w:b/>
                <w:sz w:val="21"/>
              </w:rPr>
            </w:pPr>
            <w:r>
              <w:rPr>
                <w:rFonts w:ascii="微软雅黑"/>
                <w:b/>
                <w:w w:val="95"/>
                <w:sz w:val="21"/>
              </w:rPr>
              <w:t>9.1.68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埃博拉病毒感染</w:t>
            </w:r>
          </w:p>
        </w:tc>
        <w:tc>
          <w:tcPr>
            <w:tcW w:w="7458" w:type="dxa"/>
          </w:tcPr>
          <w:p>
            <w:pPr>
              <w:pStyle w:val="TableParagraph"/>
              <w:spacing w:line="280" w:lineRule="auto" w:before="103"/>
              <w:ind w:left="110" w:right="220"/>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37"/>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37"/>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37"/>
              </w:numPr>
              <w:tabs>
                <w:tab w:pos="736" w:val="left" w:leader="none"/>
              </w:tabs>
              <w:spacing w:line="240" w:lineRule="auto" w:before="123"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1"/>
              <w:ind w:left="110" w:right="218"/>
              <w:rPr>
                <w:sz w:val="21"/>
              </w:rPr>
            </w:pPr>
            <w:r>
              <w:rPr>
                <w:sz w:val="21"/>
              </w:rPr>
              <w:t>单纯实验室诊断但没有临床出血表现的或者在确诊之前已经死亡的不在保障范围内。</w:t>
            </w:r>
          </w:p>
        </w:tc>
      </w:tr>
      <w:tr>
        <w:trPr>
          <w:trHeight w:val="2002" w:hRule="atLeast"/>
        </w:trPr>
        <w:tc>
          <w:tcPr>
            <w:tcW w:w="916" w:type="dxa"/>
          </w:tcPr>
          <w:p>
            <w:pPr>
              <w:pStyle w:val="TableParagraph"/>
              <w:spacing w:before="38"/>
              <w:ind w:left="0" w:right="100"/>
              <w:jc w:val="right"/>
              <w:rPr>
                <w:rFonts w:ascii="微软雅黑"/>
                <w:b/>
                <w:sz w:val="21"/>
              </w:rPr>
            </w:pPr>
            <w:r>
              <w:rPr>
                <w:rFonts w:ascii="微软雅黑"/>
                <w:b/>
                <w:w w:val="95"/>
                <w:sz w:val="21"/>
              </w:rPr>
              <w:t>9.1.69</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川崎病</w:t>
            </w:r>
          </w:p>
        </w:tc>
        <w:tc>
          <w:tcPr>
            <w:tcW w:w="7458" w:type="dxa"/>
          </w:tcPr>
          <w:p>
            <w:pPr>
              <w:pStyle w:val="TableParagraph"/>
              <w:spacing w:line="280" w:lineRule="auto" w:before="101"/>
              <w:ind w:left="110" w:right="220"/>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38"/>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38"/>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559" w:hRule="atLeast"/>
        </w:trPr>
        <w:tc>
          <w:tcPr>
            <w:tcW w:w="916" w:type="dxa"/>
          </w:tcPr>
          <w:p>
            <w:pPr>
              <w:pStyle w:val="TableParagraph"/>
              <w:spacing w:before="41"/>
              <w:ind w:left="0" w:right="101"/>
              <w:jc w:val="right"/>
              <w:rPr>
                <w:rFonts w:ascii="微软雅黑"/>
                <w:b/>
                <w:sz w:val="21"/>
              </w:rPr>
            </w:pPr>
            <w:r>
              <w:rPr>
                <w:rFonts w:ascii="微软雅黑"/>
                <w:b/>
                <w:w w:val="95"/>
                <w:sz w:val="21"/>
              </w:rPr>
              <w:t>9.1.70</w:t>
            </w:r>
          </w:p>
        </w:tc>
        <w:tc>
          <w:tcPr>
            <w:tcW w:w="1691" w:type="dxa"/>
          </w:tcPr>
          <w:p>
            <w:pPr>
              <w:pStyle w:val="TableParagraph"/>
              <w:spacing w:before="41"/>
              <w:ind w:left="100"/>
              <w:rPr>
                <w:rFonts w:ascii="微软雅黑" w:eastAsia="微软雅黑" w:hint="eastAsia"/>
                <w:b/>
                <w:sz w:val="21"/>
              </w:rPr>
            </w:pPr>
            <w:r>
              <w:rPr>
                <w:rFonts w:ascii="微软雅黑" w:eastAsia="微软雅黑" w:hint="eastAsia"/>
                <w:b/>
                <w:sz w:val="21"/>
              </w:rPr>
              <w:t>严重瑞氏综合征</w:t>
            </w:r>
          </w:p>
        </w:tc>
        <w:tc>
          <w:tcPr>
            <w:tcW w:w="7458" w:type="dxa"/>
          </w:tcPr>
          <w:p>
            <w:pPr>
              <w:pStyle w:val="TableParagraph"/>
              <w:spacing w:line="280" w:lineRule="auto" w:before="103"/>
              <w:ind w:left="110" w:right="199"/>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39"/>
              </w:numPr>
              <w:tabs>
                <w:tab w:pos="736" w:val="left" w:leader="none"/>
              </w:tabs>
              <w:spacing w:line="240" w:lineRule="auto" w:before="85" w:after="0"/>
              <w:ind w:left="735" w:right="0" w:hanging="624"/>
              <w:jc w:val="both"/>
              <w:rPr>
                <w:sz w:val="21"/>
              </w:rPr>
            </w:pPr>
            <w:r>
              <w:rPr>
                <w:spacing w:val="-3"/>
                <w:sz w:val="21"/>
              </w:rPr>
              <w:t>有脑水肿和颅内压升高的脑脊液检查和影像学检查证据；</w:t>
            </w:r>
          </w:p>
          <w:p>
            <w:pPr>
              <w:pStyle w:val="TableParagraph"/>
              <w:numPr>
                <w:ilvl w:val="0"/>
                <w:numId w:val="39"/>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39"/>
              </w:numPr>
              <w:tabs>
                <w:tab w:pos="736" w:val="left" w:leader="none"/>
              </w:tabs>
              <w:spacing w:line="240" w:lineRule="auto" w:before="123" w:after="0"/>
              <w:ind w:left="735" w:right="0" w:hanging="624"/>
              <w:jc w:val="both"/>
              <w:rPr>
                <w:sz w:val="21"/>
              </w:rPr>
            </w:pPr>
            <w:r>
              <w:rPr>
                <w:spacing w:val="-5"/>
                <w:sz w:val="21"/>
              </w:rPr>
              <w:t>临床出现昏迷，病程至少达到疾病分期第 </w:t>
            </w:r>
            <w:r>
              <w:rPr>
                <w:sz w:val="21"/>
              </w:rPr>
              <w:t>3</w:t>
            </w:r>
            <w:r>
              <w:rPr>
                <w:spacing w:val="-13"/>
                <w:sz w:val="21"/>
              </w:rPr>
              <w:t> 期。</w:t>
            </w:r>
          </w:p>
        </w:tc>
      </w:tr>
    </w:tbl>
    <w:p>
      <w:pPr>
        <w:spacing w:after="0" w:line="240" w:lineRule="auto"/>
        <w:jc w:val="both"/>
        <w:rPr>
          <w:sz w:val="21"/>
        </w:rPr>
        <w:sectPr>
          <w:pgSz w:w="11910" w:h="16840"/>
          <w:pgMar w:top="1320" w:bottom="280" w:left="82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2879" w:hRule="atLeast"/>
        </w:trPr>
        <w:tc>
          <w:tcPr>
            <w:tcW w:w="823" w:type="dxa"/>
          </w:tcPr>
          <w:p>
            <w:pPr>
              <w:pStyle w:val="TableParagraph"/>
              <w:spacing w:line="231" w:lineRule="exact"/>
              <w:ind w:left="107"/>
              <w:rPr>
                <w:rFonts w:ascii="微软雅黑"/>
                <w:b/>
                <w:sz w:val="21"/>
              </w:rPr>
            </w:pPr>
            <w:r>
              <w:rPr>
                <w:rFonts w:ascii="微软雅黑"/>
                <w:b/>
                <w:sz w:val="21"/>
              </w:rPr>
              <w:t>9.1.71</w:t>
            </w:r>
          </w:p>
        </w:tc>
        <w:tc>
          <w:tcPr>
            <w:tcW w:w="1586" w:type="dxa"/>
          </w:tcPr>
          <w:p>
            <w:pPr>
              <w:pStyle w:val="TableParagraph"/>
              <w:spacing w:line="231" w:lineRule="exact"/>
              <w:ind w:left="101"/>
              <w:rPr>
                <w:rFonts w:ascii="微软雅黑" w:eastAsia="微软雅黑" w:hint="eastAsia"/>
                <w:b/>
                <w:sz w:val="21"/>
              </w:rPr>
            </w:pPr>
            <w:r>
              <w:rPr>
                <w:rFonts w:ascii="微软雅黑" w:eastAsia="微软雅黑" w:hint="eastAsia"/>
                <w:b/>
                <w:sz w:val="21"/>
              </w:rPr>
              <w:t>重症手足口病</w:t>
            </w:r>
          </w:p>
        </w:tc>
        <w:tc>
          <w:tcPr>
            <w:tcW w:w="7683" w:type="dxa"/>
          </w:tcPr>
          <w:p>
            <w:pPr>
              <w:pStyle w:val="TableParagraph"/>
              <w:spacing w:line="206" w:lineRule="exact"/>
              <w:ind w:left="216"/>
              <w:rPr>
                <w:sz w:val="21"/>
              </w:rPr>
            </w:pPr>
            <w:r>
              <w:rPr>
                <w:sz w:val="21"/>
              </w:rPr>
              <w:t>由肠道病毒引起的急性传染病，主要症状表现为手、足、口腔等部位的斑丘疹、</w:t>
            </w:r>
          </w:p>
          <w:p>
            <w:pPr>
              <w:pStyle w:val="TableParagraph"/>
              <w:spacing w:before="47"/>
              <w:ind w:left="216"/>
              <w:rPr>
                <w:sz w:val="21"/>
              </w:rPr>
            </w:pPr>
            <w:r>
              <w:rPr>
                <w:sz w:val="21"/>
              </w:rPr>
              <w:t>疱疹。经我们认可医院的专科医Th确诊，并伴有下列至少一项并发症：</w:t>
            </w:r>
          </w:p>
          <w:p>
            <w:pPr>
              <w:pStyle w:val="TableParagraph"/>
              <w:numPr>
                <w:ilvl w:val="0"/>
                <w:numId w:val="40"/>
              </w:numPr>
              <w:tabs>
                <w:tab w:pos="842" w:val="left" w:leader="none"/>
              </w:tabs>
              <w:spacing w:line="280" w:lineRule="auto" w:before="121" w:after="0"/>
              <w:ind w:left="841" w:right="336"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0"/>
              </w:numPr>
              <w:tabs>
                <w:tab w:pos="842" w:val="left" w:leader="none"/>
              </w:tabs>
              <w:spacing w:line="280" w:lineRule="auto" w:before="85" w:after="0"/>
              <w:ind w:left="841" w:right="336" w:hanging="624"/>
              <w:jc w:val="left"/>
              <w:rPr>
                <w:sz w:val="21"/>
              </w:rPr>
            </w:pPr>
            <w:r>
              <w:rPr>
                <w:spacing w:val="-4"/>
                <w:sz w:val="21"/>
              </w:rPr>
              <w:t>有肺炎或者肺水肿并发症，且导致呼吸衰竭的临床表现及实验室检查证据；</w:t>
            </w:r>
          </w:p>
          <w:p>
            <w:pPr>
              <w:pStyle w:val="TableParagraph"/>
              <w:numPr>
                <w:ilvl w:val="0"/>
                <w:numId w:val="40"/>
              </w:numPr>
              <w:tabs>
                <w:tab w:pos="842" w:val="left" w:leader="none"/>
              </w:tabs>
              <w:spacing w:line="278" w:lineRule="auto" w:before="87" w:after="0"/>
              <w:ind w:left="841" w:right="336"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839" w:hRule="atLeast"/>
        </w:trPr>
        <w:tc>
          <w:tcPr>
            <w:tcW w:w="823" w:type="dxa"/>
          </w:tcPr>
          <w:p>
            <w:pPr>
              <w:pStyle w:val="TableParagraph"/>
              <w:spacing w:before="32"/>
              <w:ind w:left="107"/>
              <w:rPr>
                <w:rFonts w:ascii="微软雅黑"/>
                <w:b/>
                <w:sz w:val="21"/>
              </w:rPr>
            </w:pPr>
            <w:r>
              <w:rPr>
                <w:rFonts w:ascii="微软雅黑"/>
                <w:b/>
                <w:sz w:val="21"/>
              </w:rPr>
              <w:t>9.1.72</w:t>
            </w:r>
          </w:p>
        </w:tc>
        <w:tc>
          <w:tcPr>
            <w:tcW w:w="1586" w:type="dxa"/>
          </w:tcPr>
          <w:p>
            <w:pPr>
              <w:pStyle w:val="TableParagraph"/>
              <w:spacing w:before="32"/>
              <w:ind w:left="101"/>
              <w:rPr>
                <w:rFonts w:ascii="微软雅黑" w:eastAsia="微软雅黑" w:hint="eastAsia"/>
                <w:b/>
                <w:sz w:val="21"/>
              </w:rPr>
            </w:pPr>
            <w:r>
              <w:rPr>
                <w:rFonts w:ascii="微软雅黑" w:eastAsia="微软雅黑" w:hint="eastAsia"/>
                <w:b/>
                <w:sz w:val="21"/>
              </w:rPr>
              <w:t>出血性登革热</w:t>
            </w:r>
          </w:p>
        </w:tc>
        <w:tc>
          <w:tcPr>
            <w:tcW w:w="7683" w:type="dxa"/>
          </w:tcPr>
          <w:p>
            <w:pPr>
              <w:pStyle w:val="TableParagraph"/>
              <w:spacing w:line="278" w:lineRule="auto" w:before="94"/>
              <w:ind w:left="216" w:right="231"/>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1"/>
              </w:numPr>
              <w:tabs>
                <w:tab w:pos="842" w:val="left" w:leader="none"/>
              </w:tabs>
              <w:spacing w:line="240" w:lineRule="auto" w:before="89"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1"/>
              </w:numPr>
              <w:tabs>
                <w:tab w:pos="842" w:val="left" w:leader="none"/>
              </w:tabs>
              <w:spacing w:line="240" w:lineRule="auto" w:before="124" w:after="0"/>
              <w:ind w:left="841" w:right="0" w:hanging="624"/>
              <w:jc w:val="left"/>
              <w:rPr>
                <w:sz w:val="21"/>
              </w:rPr>
            </w:pPr>
            <w:r>
              <w:rPr>
                <w:spacing w:val="-3"/>
                <w:sz w:val="21"/>
              </w:rPr>
              <w:t>出现下列一种或者多种严重登革热的临床表现：</w:t>
            </w:r>
          </w:p>
          <w:p>
            <w:pPr>
              <w:pStyle w:val="TableParagraph"/>
              <w:spacing w:before="121"/>
              <w:ind w:left="848"/>
              <w:rPr>
                <w:sz w:val="21"/>
              </w:rPr>
            </w:pPr>
            <w:r>
              <w:rPr>
                <w:sz w:val="21"/>
              </w:rPr>
              <w:t>① 血浆渗漏致休克或者胸腔积液伴呼吸困难；</w:t>
            </w:r>
          </w:p>
          <w:p>
            <w:pPr>
              <w:pStyle w:val="TableParagraph"/>
              <w:spacing w:line="280" w:lineRule="auto" w:before="123"/>
              <w:ind w:left="1163" w:right="348"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6"/>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7" w:hRule="atLeast"/>
        </w:trPr>
        <w:tc>
          <w:tcPr>
            <w:tcW w:w="823" w:type="dxa"/>
          </w:tcPr>
          <w:p>
            <w:pPr>
              <w:pStyle w:val="TableParagraph"/>
              <w:spacing w:before="31"/>
              <w:ind w:left="107"/>
              <w:rPr>
                <w:rFonts w:ascii="微软雅黑"/>
                <w:b/>
                <w:sz w:val="21"/>
              </w:rPr>
            </w:pPr>
            <w:r>
              <w:rPr>
                <w:rFonts w:ascii="微软雅黑"/>
                <w:b/>
                <w:sz w:val="21"/>
              </w:rPr>
              <w:t>9.1.73</w:t>
            </w:r>
          </w:p>
        </w:tc>
        <w:tc>
          <w:tcPr>
            <w:tcW w:w="1586" w:type="dxa"/>
          </w:tcPr>
          <w:p>
            <w:pPr>
              <w:pStyle w:val="TableParagraph"/>
              <w:spacing w:before="31"/>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93"/>
              <w:ind w:left="216"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23" w:type="dxa"/>
          </w:tcPr>
          <w:p>
            <w:pPr>
              <w:pStyle w:val="TableParagraph"/>
              <w:spacing w:before="31"/>
              <w:ind w:left="107"/>
              <w:rPr>
                <w:rFonts w:ascii="微软雅黑"/>
                <w:b/>
                <w:sz w:val="21"/>
              </w:rPr>
            </w:pPr>
            <w:r>
              <w:rPr>
                <w:rFonts w:ascii="微软雅黑"/>
                <w:b/>
                <w:sz w:val="21"/>
              </w:rPr>
              <w:t>9.1.74</w:t>
            </w:r>
          </w:p>
        </w:tc>
        <w:tc>
          <w:tcPr>
            <w:tcW w:w="1586" w:type="dxa"/>
          </w:tcPr>
          <w:p>
            <w:pPr>
              <w:pStyle w:val="TableParagraph"/>
              <w:spacing w:before="31"/>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80" w:lineRule="auto" w:before="93"/>
              <w:ind w:left="216"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6"/>
              <w:rPr>
                <w:sz w:val="21"/>
              </w:rPr>
            </w:pPr>
            <w:r>
              <w:rPr>
                <w:sz w:val="21"/>
              </w:rPr>
              <w:t>精神心理因素所致的语言能力丧失不在保障范围内。</w:t>
            </w:r>
          </w:p>
          <w:p>
            <w:pPr>
              <w:pStyle w:val="TableParagraph"/>
              <w:spacing w:before="123"/>
              <w:ind w:left="216"/>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823" w:type="dxa"/>
          </w:tcPr>
          <w:p>
            <w:pPr>
              <w:pStyle w:val="TableParagraph"/>
              <w:spacing w:before="30"/>
              <w:ind w:left="107"/>
              <w:rPr>
                <w:rFonts w:ascii="微软雅黑"/>
                <w:b/>
                <w:sz w:val="21"/>
              </w:rPr>
            </w:pPr>
            <w:r>
              <w:rPr>
                <w:rFonts w:ascii="微软雅黑"/>
                <w:b/>
                <w:sz w:val="21"/>
              </w:rPr>
              <w:t>9.1.75</w:t>
            </w:r>
          </w:p>
        </w:tc>
        <w:tc>
          <w:tcPr>
            <w:tcW w:w="1586" w:type="dxa"/>
          </w:tcPr>
          <w:p>
            <w:pPr>
              <w:pStyle w:val="TableParagraph"/>
              <w:spacing w:before="30"/>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92"/>
              <w:ind w:left="216" w:right="308"/>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2"/>
              </w:numPr>
              <w:tabs>
                <w:tab w:pos="842" w:val="left" w:leader="none"/>
              </w:tabs>
              <w:spacing w:line="240" w:lineRule="auto" w:before="85" w:after="0"/>
              <w:ind w:left="841" w:right="0" w:hanging="624"/>
              <w:jc w:val="left"/>
              <w:rPr>
                <w:sz w:val="21"/>
              </w:rPr>
            </w:pPr>
            <w:r>
              <w:rPr>
                <w:spacing w:val="-1"/>
                <w:sz w:val="21"/>
              </w:rPr>
              <w:t>典型症状；</w:t>
            </w:r>
          </w:p>
          <w:p>
            <w:pPr>
              <w:pStyle w:val="TableParagraph"/>
              <w:numPr>
                <w:ilvl w:val="0"/>
                <w:numId w:val="42"/>
              </w:numPr>
              <w:tabs>
                <w:tab w:pos="842" w:val="left" w:leader="none"/>
              </w:tabs>
              <w:spacing w:line="240" w:lineRule="auto" w:before="123"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2"/>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2"/>
              </w:numPr>
              <w:tabs>
                <w:tab w:pos="842" w:val="left" w:leader="none"/>
              </w:tabs>
              <w:spacing w:line="240" w:lineRule="auto" w:before="122" w:after="0"/>
              <w:ind w:left="841" w:right="0" w:hanging="624"/>
              <w:jc w:val="left"/>
              <w:rPr>
                <w:sz w:val="21"/>
              </w:rPr>
            </w:pPr>
            <w:r>
              <w:rPr>
                <w:spacing w:val="-3"/>
                <w:sz w:val="21"/>
              </w:rPr>
              <w:t>经皮做肝脏活检来定量分析肝脏铜的含量。</w:t>
            </w:r>
          </w:p>
        </w:tc>
      </w:tr>
      <w:tr>
        <w:trPr>
          <w:trHeight w:val="951" w:hRule="atLeast"/>
        </w:trPr>
        <w:tc>
          <w:tcPr>
            <w:tcW w:w="823" w:type="dxa"/>
            <w:tcBorders>
              <w:bottom w:val="single" w:sz="8" w:space="0" w:color="000000"/>
            </w:tcBorders>
          </w:tcPr>
          <w:p>
            <w:pPr>
              <w:pStyle w:val="TableParagraph"/>
              <w:spacing w:before="66"/>
              <w:ind w:left="107"/>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43"/>
              <w:ind w:left="101"/>
              <w:rPr>
                <w:rFonts w:ascii="微软雅黑" w:eastAsia="微软雅黑" w:hint="eastAsia"/>
                <w:b/>
                <w:sz w:val="24"/>
              </w:rPr>
            </w:pPr>
            <w:r>
              <w:rPr>
                <w:rFonts w:ascii="微软雅黑" w:eastAsia="微软雅黑" w:hint="eastAsia"/>
                <w:b/>
                <w:sz w:val="24"/>
              </w:rPr>
              <w:t>释义</w:t>
            </w:r>
          </w:p>
          <w:p>
            <w:pPr>
              <w:pStyle w:val="TableParagraph"/>
              <w:spacing w:before="23"/>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862" w:hRule="atLeast"/>
        </w:trPr>
        <w:tc>
          <w:tcPr>
            <w:tcW w:w="823" w:type="dxa"/>
            <w:tcBorders>
              <w:top w:val="single" w:sz="8" w:space="0" w:color="000000"/>
            </w:tcBorders>
          </w:tcPr>
          <w:p>
            <w:pPr>
              <w:pStyle w:val="TableParagraph"/>
              <w:spacing w:before="167"/>
              <w:ind w:left="107"/>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67"/>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line="320" w:lineRule="atLeast" w:before="184"/>
              <w:ind w:left="216" w:right="291"/>
              <w:rPr>
                <w:sz w:val="21"/>
              </w:rPr>
            </w:pPr>
            <w:r>
              <w:rPr>
                <w:sz w:val="21"/>
              </w:rPr>
              <w:t>指国务院卫Th行政主管部门医院等级分类中的二级合格或者二级合格以上的公立医院，不包括以康复、护理、疗养、戒酒、戒毒或者类似功能为主要功能</w:t>
            </w:r>
          </w:p>
        </w:tc>
      </w:tr>
    </w:tbl>
    <w:p>
      <w:pPr>
        <w:spacing w:after="0" w:line="320" w:lineRule="atLeast"/>
        <w:rPr>
          <w:sz w:val="21"/>
        </w:rPr>
        <w:sectPr>
          <w:pgSz w:w="11910" w:h="16840"/>
          <w:pgMar w:top="150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36"/>
        <w:gridCol w:w="7450"/>
      </w:tblGrid>
      <w:tr>
        <w:trPr>
          <w:trHeight w:val="407" w:hRule="atLeast"/>
        </w:trPr>
        <w:tc>
          <w:tcPr>
            <w:tcW w:w="870"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450" w:type="dxa"/>
          </w:tcPr>
          <w:p>
            <w:pPr>
              <w:pStyle w:val="TableParagraph"/>
              <w:spacing w:line="218" w:lineRule="exact"/>
              <w:rPr>
                <w:sz w:val="21"/>
              </w:rPr>
            </w:pPr>
            <w:r>
              <w:rPr>
                <w:sz w:val="21"/>
              </w:rPr>
              <w:t>的医疗机构。</w:t>
            </w:r>
          </w:p>
        </w:tc>
      </w:tr>
      <w:tr>
        <w:trPr>
          <w:trHeight w:val="889" w:hRule="atLeast"/>
        </w:trPr>
        <w:tc>
          <w:tcPr>
            <w:tcW w:w="870" w:type="dxa"/>
          </w:tcPr>
          <w:p>
            <w:pPr>
              <w:pStyle w:val="TableParagraph"/>
              <w:spacing w:before="40"/>
              <w:ind w:left="50" w:right="98"/>
              <w:jc w:val="center"/>
              <w:rPr>
                <w:rFonts w:ascii="微软雅黑"/>
                <w:b/>
                <w:sz w:val="21"/>
              </w:rPr>
            </w:pPr>
            <w:r>
              <w:rPr>
                <w:rFonts w:ascii="微软雅黑"/>
                <w:b/>
                <w:sz w:val="21"/>
              </w:rPr>
              <w:t>10.2</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初次确诊</w:t>
            </w:r>
          </w:p>
        </w:tc>
        <w:tc>
          <w:tcPr>
            <w:tcW w:w="7450" w:type="dxa"/>
          </w:tcPr>
          <w:p>
            <w:pPr>
              <w:pStyle w:val="TableParagraph"/>
              <w:spacing w:before="103"/>
              <w:rPr>
                <w:sz w:val="21"/>
              </w:rPr>
            </w:pPr>
            <w:r>
              <w:rPr>
                <w:sz w:val="21"/>
              </w:rPr>
              <w:t>指自被保险人出Th之日起第一次经医院确诊患有某种疾病，而不是指自本合同</w:t>
            </w:r>
          </w:p>
          <w:p>
            <w:pPr>
              <w:pStyle w:val="TableParagraph"/>
              <w:spacing w:before="47"/>
              <w:rPr>
                <w:sz w:val="21"/>
              </w:rPr>
            </w:pPr>
            <w:r>
              <w:rPr>
                <w:sz w:val="21"/>
              </w:rPr>
              <w:t>Th效、复效之后第一次经医院确诊患有某种疾病。</w:t>
            </w:r>
          </w:p>
        </w:tc>
      </w:tr>
      <w:tr>
        <w:trPr>
          <w:trHeight w:val="1925" w:hRule="atLeast"/>
        </w:trPr>
        <w:tc>
          <w:tcPr>
            <w:tcW w:w="870" w:type="dxa"/>
          </w:tcPr>
          <w:p>
            <w:pPr>
              <w:pStyle w:val="TableParagraph"/>
              <w:spacing w:before="38"/>
              <w:ind w:left="51" w:right="98"/>
              <w:jc w:val="center"/>
              <w:rPr>
                <w:rFonts w:ascii="微软雅黑"/>
                <w:b/>
                <w:sz w:val="21"/>
              </w:rPr>
            </w:pPr>
            <w:r>
              <w:rPr>
                <w:rFonts w:ascii="微软雅黑"/>
                <w:b/>
                <w:sz w:val="21"/>
              </w:rPr>
              <w:t>10.3</w:t>
            </w:r>
          </w:p>
        </w:tc>
        <w:tc>
          <w:tcPr>
            <w:tcW w:w="1736" w:type="dxa"/>
          </w:tcPr>
          <w:p>
            <w:pPr>
              <w:pStyle w:val="TableParagraph"/>
              <w:spacing w:before="38"/>
              <w:ind w:left="146"/>
              <w:rPr>
                <w:rFonts w:ascii="微软雅黑" w:eastAsia="微软雅黑" w:hint="eastAsia"/>
                <w:b/>
                <w:sz w:val="21"/>
              </w:rPr>
            </w:pPr>
            <w:r>
              <w:rPr>
                <w:rFonts w:ascii="微软雅黑" w:eastAsia="微软雅黑" w:hint="eastAsia"/>
                <w:b/>
                <w:sz w:val="21"/>
              </w:rPr>
              <w:t>意外伤害</w:t>
            </w:r>
          </w:p>
        </w:tc>
        <w:tc>
          <w:tcPr>
            <w:tcW w:w="7450" w:type="dxa"/>
          </w:tcPr>
          <w:p>
            <w:pPr>
              <w:pStyle w:val="TableParagraph"/>
              <w:spacing w:line="280" w:lineRule="auto" w:before="101"/>
              <w:ind w:right="211"/>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8"/>
              <w:ind w:right="211"/>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528" w:hRule="atLeast"/>
        </w:trPr>
        <w:tc>
          <w:tcPr>
            <w:tcW w:w="870" w:type="dxa"/>
          </w:tcPr>
          <w:p>
            <w:pPr>
              <w:pStyle w:val="TableParagraph"/>
              <w:spacing w:before="40"/>
              <w:ind w:left="53" w:right="98"/>
              <w:jc w:val="center"/>
              <w:rPr>
                <w:rFonts w:ascii="微软雅黑"/>
                <w:b/>
                <w:sz w:val="21"/>
              </w:rPr>
            </w:pPr>
            <w:r>
              <w:rPr>
                <w:rFonts w:ascii="微软雅黑"/>
                <w:b/>
                <w:sz w:val="21"/>
              </w:rPr>
              <w:t>10.4</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毒品</w:t>
            </w:r>
          </w:p>
        </w:tc>
        <w:tc>
          <w:tcPr>
            <w:tcW w:w="7450" w:type="dxa"/>
          </w:tcPr>
          <w:p>
            <w:pPr>
              <w:pStyle w:val="TableParagraph"/>
              <w:spacing w:line="280" w:lineRule="auto" w:before="103"/>
              <w:ind w:right="209"/>
              <w:jc w:val="both"/>
              <w:rPr>
                <w:sz w:val="21"/>
              </w:rPr>
            </w:pPr>
            <w:r>
              <w:rPr>
                <w:sz w:val="21"/>
              </w:rPr>
              <w:t>指中华人民共和国刑法规定的鸦片、海洛因、甲基苯丙胺（冰毒</w:t>
            </w:r>
            <w:r>
              <w:rPr>
                <w:spacing w:val="-104"/>
                <w:sz w:val="21"/>
              </w:rPr>
              <w:t>）</w:t>
            </w:r>
            <w:r>
              <w:rPr>
                <w:sz w:val="21"/>
              </w:rPr>
              <w:t>、吗啡、大</w:t>
            </w:r>
            <w:r>
              <w:rPr>
                <w:spacing w:val="2"/>
                <w:sz w:val="21"/>
              </w:rPr>
              <w:t>麻、可卡因以及国家规定管制的其他能够使人形成瘾癖的麻醉药品和精神药</w:t>
            </w:r>
            <w:r>
              <w:rPr>
                <w:spacing w:val="-6"/>
                <w:sz w:val="21"/>
              </w:rPr>
              <w:t>品，但不包括由医</w:t>
            </w:r>
            <w:r>
              <w:rPr>
                <w:sz w:val="21"/>
              </w:rPr>
              <w:t>Th</w:t>
            </w:r>
            <w:r>
              <w:rPr>
                <w:spacing w:val="-3"/>
                <w:sz w:val="21"/>
              </w:rPr>
              <w:t>开具并遵医嘱使用的用于治疗疾病但含有毒品成分的处方药品。</w:t>
            </w:r>
          </w:p>
        </w:tc>
      </w:tr>
      <w:tr>
        <w:trPr>
          <w:trHeight w:val="1208" w:hRule="atLeast"/>
        </w:trPr>
        <w:tc>
          <w:tcPr>
            <w:tcW w:w="870" w:type="dxa"/>
          </w:tcPr>
          <w:p>
            <w:pPr>
              <w:pStyle w:val="TableParagraph"/>
              <w:spacing w:before="42"/>
              <w:ind w:left="52" w:right="98"/>
              <w:jc w:val="center"/>
              <w:rPr>
                <w:rFonts w:ascii="微软雅黑"/>
                <w:b/>
                <w:sz w:val="21"/>
              </w:rPr>
            </w:pPr>
            <w:r>
              <w:rPr>
                <w:rFonts w:ascii="微软雅黑"/>
                <w:b/>
                <w:sz w:val="21"/>
              </w:rPr>
              <w:t>10.5</w:t>
            </w:r>
          </w:p>
        </w:tc>
        <w:tc>
          <w:tcPr>
            <w:tcW w:w="1736" w:type="dxa"/>
          </w:tcPr>
          <w:p>
            <w:pPr>
              <w:pStyle w:val="TableParagraph"/>
              <w:spacing w:before="42"/>
              <w:ind w:left="146"/>
              <w:rPr>
                <w:rFonts w:ascii="微软雅黑" w:eastAsia="微软雅黑" w:hint="eastAsia"/>
                <w:b/>
                <w:sz w:val="21"/>
              </w:rPr>
            </w:pPr>
            <w:r>
              <w:rPr>
                <w:rFonts w:ascii="微软雅黑" w:eastAsia="微软雅黑" w:hint="eastAsia"/>
                <w:b/>
                <w:sz w:val="21"/>
              </w:rPr>
              <w:t>酒后驾驶</w:t>
            </w:r>
          </w:p>
        </w:tc>
        <w:tc>
          <w:tcPr>
            <w:tcW w:w="7450" w:type="dxa"/>
          </w:tcPr>
          <w:p>
            <w:pPr>
              <w:pStyle w:val="TableParagraph"/>
              <w:spacing w:line="280" w:lineRule="auto" w:before="104"/>
              <w:ind w:right="211"/>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59" w:hRule="atLeast"/>
        </w:trPr>
        <w:tc>
          <w:tcPr>
            <w:tcW w:w="870" w:type="dxa"/>
          </w:tcPr>
          <w:p>
            <w:pPr>
              <w:pStyle w:val="TableParagraph"/>
              <w:spacing w:before="40"/>
              <w:ind w:left="53" w:right="98"/>
              <w:jc w:val="center"/>
              <w:rPr>
                <w:rFonts w:ascii="微软雅黑"/>
                <w:b/>
                <w:sz w:val="21"/>
              </w:rPr>
            </w:pPr>
            <w:r>
              <w:rPr>
                <w:rFonts w:ascii="微软雅黑"/>
                <w:b/>
                <w:sz w:val="21"/>
              </w:rPr>
              <w:t>10.6</w:t>
            </w:r>
          </w:p>
        </w:tc>
        <w:tc>
          <w:tcPr>
            <w:tcW w:w="1736" w:type="dxa"/>
          </w:tcPr>
          <w:p>
            <w:pPr>
              <w:pStyle w:val="TableParagraph"/>
              <w:spacing w:line="213" w:lineRule="auto" w:before="80"/>
              <w:ind w:left="146" w:right="109"/>
              <w:rPr>
                <w:rFonts w:ascii="微软雅黑" w:eastAsia="微软雅黑" w:hint="eastAsia"/>
                <w:b/>
                <w:sz w:val="21"/>
              </w:rPr>
            </w:pPr>
            <w:r>
              <w:rPr>
                <w:rFonts w:ascii="微软雅黑" w:eastAsia="微软雅黑" w:hint="eastAsia"/>
                <w:b/>
                <w:sz w:val="21"/>
              </w:rPr>
              <w:t>无合法有效驾驶证驾驶</w:t>
            </w:r>
          </w:p>
        </w:tc>
        <w:tc>
          <w:tcPr>
            <w:tcW w:w="7450" w:type="dxa"/>
          </w:tcPr>
          <w:p>
            <w:pPr>
              <w:pStyle w:val="TableParagraph"/>
              <w:spacing w:before="103"/>
              <w:rPr>
                <w:sz w:val="21"/>
              </w:rPr>
            </w:pPr>
            <w:r>
              <w:rPr>
                <w:sz w:val="21"/>
              </w:rPr>
              <w:t>指下列情形之一：</w:t>
            </w:r>
          </w:p>
          <w:p>
            <w:pPr>
              <w:pStyle w:val="TableParagraph"/>
              <w:numPr>
                <w:ilvl w:val="0"/>
                <w:numId w:val="43"/>
              </w:numPr>
              <w:tabs>
                <w:tab w:pos="737" w:val="left" w:leader="none"/>
              </w:tabs>
              <w:spacing w:line="240" w:lineRule="auto" w:before="123"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3"/>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3"/>
              </w:numPr>
              <w:tabs>
                <w:tab w:pos="737" w:val="left" w:leader="none"/>
              </w:tabs>
              <w:spacing w:line="240" w:lineRule="auto" w:before="121" w:after="0"/>
              <w:ind w:left="736" w:right="0" w:hanging="624"/>
              <w:jc w:val="left"/>
              <w:rPr>
                <w:sz w:val="21"/>
              </w:rPr>
            </w:pPr>
            <w:r>
              <w:rPr>
                <w:spacing w:val="-3"/>
                <w:sz w:val="21"/>
              </w:rPr>
              <w:t>持审验不合格的驾驶证驾驶；</w:t>
            </w:r>
          </w:p>
          <w:p>
            <w:pPr>
              <w:pStyle w:val="TableParagraph"/>
              <w:numPr>
                <w:ilvl w:val="0"/>
                <w:numId w:val="43"/>
              </w:numPr>
              <w:tabs>
                <w:tab w:pos="737" w:val="left" w:leader="none"/>
              </w:tabs>
              <w:spacing w:line="240" w:lineRule="auto" w:before="123" w:after="0"/>
              <w:ind w:left="736" w:right="0" w:hanging="624"/>
              <w:jc w:val="left"/>
              <w:rPr>
                <w:sz w:val="21"/>
              </w:rPr>
            </w:pPr>
            <w:r>
              <w:rPr>
                <w:spacing w:val="-3"/>
                <w:sz w:val="21"/>
              </w:rPr>
              <w:t>驾驶证已过有效期。</w:t>
            </w:r>
          </w:p>
        </w:tc>
      </w:tr>
      <w:tr>
        <w:trPr>
          <w:trHeight w:val="2722" w:hRule="atLeast"/>
        </w:trPr>
        <w:tc>
          <w:tcPr>
            <w:tcW w:w="870" w:type="dxa"/>
          </w:tcPr>
          <w:p>
            <w:pPr>
              <w:pStyle w:val="TableParagraph"/>
              <w:spacing w:before="42"/>
              <w:ind w:left="52" w:right="98"/>
              <w:jc w:val="center"/>
              <w:rPr>
                <w:rFonts w:ascii="微软雅黑"/>
                <w:b/>
                <w:sz w:val="21"/>
              </w:rPr>
            </w:pPr>
            <w:r>
              <w:rPr>
                <w:rFonts w:ascii="微软雅黑"/>
                <w:b/>
                <w:sz w:val="21"/>
              </w:rPr>
              <w:t>10.7</w:t>
            </w:r>
          </w:p>
        </w:tc>
        <w:tc>
          <w:tcPr>
            <w:tcW w:w="1736" w:type="dxa"/>
          </w:tcPr>
          <w:p>
            <w:pPr>
              <w:pStyle w:val="TableParagraph"/>
              <w:spacing w:line="213" w:lineRule="auto" w:before="82"/>
              <w:ind w:left="146" w:right="109"/>
              <w:rPr>
                <w:rFonts w:ascii="微软雅黑" w:eastAsia="微软雅黑" w:hint="eastAsia"/>
                <w:b/>
                <w:sz w:val="21"/>
              </w:rPr>
            </w:pPr>
            <w:r>
              <w:rPr>
                <w:rFonts w:ascii="微软雅黑" w:eastAsia="微软雅黑" w:hint="eastAsia"/>
                <w:b/>
                <w:sz w:val="21"/>
              </w:rPr>
              <w:t>无合法有效行驶证</w:t>
            </w:r>
          </w:p>
        </w:tc>
        <w:tc>
          <w:tcPr>
            <w:tcW w:w="7450" w:type="dxa"/>
          </w:tcPr>
          <w:p>
            <w:pPr>
              <w:pStyle w:val="TableParagraph"/>
              <w:spacing w:line="280" w:lineRule="auto" w:before="104"/>
              <w:ind w:right="208"/>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4"/>
              </w:numPr>
              <w:tabs>
                <w:tab w:pos="737" w:val="left" w:leader="none"/>
              </w:tabs>
              <w:spacing w:line="240" w:lineRule="auto" w:before="85" w:after="0"/>
              <w:ind w:left="736" w:right="0" w:hanging="624"/>
              <w:jc w:val="left"/>
              <w:rPr>
                <w:sz w:val="21"/>
              </w:rPr>
            </w:pPr>
            <w:r>
              <w:rPr>
                <w:spacing w:val="-3"/>
                <w:sz w:val="21"/>
              </w:rPr>
              <w:t>未办理行驶证或者行驶证在申办过程中；</w:t>
            </w:r>
          </w:p>
          <w:p>
            <w:pPr>
              <w:pStyle w:val="TableParagraph"/>
              <w:numPr>
                <w:ilvl w:val="0"/>
                <w:numId w:val="44"/>
              </w:numPr>
              <w:tabs>
                <w:tab w:pos="737" w:val="left" w:leader="none"/>
              </w:tabs>
              <w:spacing w:line="240" w:lineRule="auto" w:before="123" w:after="0"/>
              <w:ind w:left="736" w:right="0" w:hanging="624"/>
              <w:jc w:val="left"/>
              <w:rPr>
                <w:sz w:val="21"/>
              </w:rPr>
            </w:pPr>
            <w:r>
              <w:rPr>
                <w:spacing w:val="-3"/>
                <w:sz w:val="21"/>
              </w:rPr>
              <w:t>机动车行驶证被依法注销登记；</w:t>
            </w:r>
          </w:p>
          <w:p>
            <w:pPr>
              <w:pStyle w:val="TableParagraph"/>
              <w:numPr>
                <w:ilvl w:val="0"/>
                <w:numId w:val="44"/>
              </w:numPr>
              <w:tabs>
                <w:tab w:pos="737" w:val="left" w:leader="none"/>
              </w:tabs>
              <w:spacing w:line="280" w:lineRule="auto" w:before="123" w:after="0"/>
              <w:ind w:left="736" w:right="211" w:hanging="624"/>
              <w:jc w:val="left"/>
              <w:rPr>
                <w:sz w:val="21"/>
              </w:rPr>
            </w:pPr>
            <w:r>
              <w:rPr>
                <w:spacing w:val="1"/>
                <w:sz w:val="21"/>
              </w:rPr>
              <w:t>未在行驶证检验有效期内依法按时进行或者未通过机动车安全技术检验。</w:t>
            </w:r>
          </w:p>
        </w:tc>
      </w:tr>
      <w:tr>
        <w:trPr>
          <w:trHeight w:val="888" w:hRule="atLeast"/>
        </w:trPr>
        <w:tc>
          <w:tcPr>
            <w:tcW w:w="870" w:type="dxa"/>
          </w:tcPr>
          <w:p>
            <w:pPr>
              <w:pStyle w:val="TableParagraph"/>
              <w:spacing w:before="40"/>
              <w:ind w:left="54" w:right="98"/>
              <w:jc w:val="center"/>
              <w:rPr>
                <w:rFonts w:ascii="微软雅黑"/>
                <w:b/>
                <w:sz w:val="21"/>
              </w:rPr>
            </w:pPr>
            <w:r>
              <w:rPr>
                <w:rFonts w:ascii="微软雅黑"/>
                <w:b/>
                <w:sz w:val="21"/>
              </w:rPr>
              <w:t>10.8</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机动车</w:t>
            </w:r>
          </w:p>
        </w:tc>
        <w:tc>
          <w:tcPr>
            <w:tcW w:w="7450" w:type="dxa"/>
          </w:tcPr>
          <w:p>
            <w:pPr>
              <w:pStyle w:val="TableParagraph"/>
              <w:spacing w:line="280" w:lineRule="auto" w:before="103"/>
              <w:ind w:right="180"/>
              <w:rPr>
                <w:sz w:val="21"/>
              </w:rPr>
            </w:pPr>
            <w:r>
              <w:rPr>
                <w:sz w:val="21"/>
              </w:rPr>
              <w:t>指以动力装置驱动或者牵引，上道路行驶的供人员乘用或者用于运送物品以及进行工程专项作业的轮式车辆。</w:t>
            </w:r>
          </w:p>
        </w:tc>
      </w:tr>
      <w:tr>
        <w:trPr>
          <w:trHeight w:val="1926" w:hRule="atLeast"/>
        </w:trPr>
        <w:tc>
          <w:tcPr>
            <w:tcW w:w="870" w:type="dxa"/>
          </w:tcPr>
          <w:p>
            <w:pPr>
              <w:pStyle w:val="TableParagraph"/>
              <w:spacing w:before="41"/>
              <w:ind w:left="53" w:right="98"/>
              <w:jc w:val="center"/>
              <w:rPr>
                <w:rFonts w:ascii="微软雅黑"/>
                <w:b/>
                <w:sz w:val="21"/>
              </w:rPr>
            </w:pPr>
            <w:r>
              <w:rPr>
                <w:rFonts w:ascii="微软雅黑"/>
                <w:b/>
                <w:sz w:val="21"/>
              </w:rPr>
              <w:t>10.9</w:t>
            </w:r>
          </w:p>
        </w:tc>
        <w:tc>
          <w:tcPr>
            <w:tcW w:w="1736" w:type="dxa"/>
          </w:tcPr>
          <w:p>
            <w:pPr>
              <w:pStyle w:val="TableParagraph"/>
              <w:spacing w:line="213" w:lineRule="auto" w:before="81"/>
              <w:ind w:left="146" w:right="109"/>
              <w:rPr>
                <w:rFonts w:ascii="微软雅黑" w:eastAsia="微软雅黑" w:hint="eastAsia"/>
                <w:b/>
                <w:sz w:val="21"/>
              </w:rPr>
            </w:pPr>
            <w:r>
              <w:rPr>
                <w:rFonts w:ascii="微软雅黑" w:eastAsia="微软雅黑" w:hint="eastAsia"/>
                <w:b/>
                <w:sz w:val="21"/>
              </w:rPr>
              <w:t>感染艾滋病病毒或者患艾滋病</w:t>
            </w:r>
          </w:p>
        </w:tc>
        <w:tc>
          <w:tcPr>
            <w:tcW w:w="7450" w:type="dxa"/>
          </w:tcPr>
          <w:p>
            <w:pPr>
              <w:pStyle w:val="TableParagraph"/>
              <w:spacing w:line="280" w:lineRule="auto" w:before="103"/>
              <w:ind w:right="211"/>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right="211"/>
              <w:jc w:val="both"/>
              <w:rPr>
                <w:sz w:val="21"/>
              </w:rPr>
            </w:pPr>
            <w:r>
              <w:rPr>
                <w:spacing w:val="-4"/>
                <w:sz w:val="21"/>
              </w:rPr>
              <w:t>在人体血液或者其他样本中检测到艾滋病病毒或者其抗体呈阳性，没有出现临</w:t>
            </w:r>
            <w:r>
              <w:rPr>
                <w:spacing w:val="-6"/>
                <w:sz w:val="21"/>
              </w:rPr>
              <w:t>床症状或者体征的，为感染艾滋病病毒；如果同时出现了明显临床症状或者体</w:t>
            </w:r>
            <w:r>
              <w:rPr>
                <w:spacing w:val="-4"/>
                <w:sz w:val="21"/>
              </w:rPr>
              <w:t>征的，为患艾滋病。</w:t>
            </w:r>
          </w:p>
        </w:tc>
      </w:tr>
      <w:tr>
        <w:trPr>
          <w:trHeight w:val="724" w:hRule="atLeast"/>
        </w:trPr>
        <w:tc>
          <w:tcPr>
            <w:tcW w:w="870" w:type="dxa"/>
          </w:tcPr>
          <w:p>
            <w:pPr>
              <w:pStyle w:val="TableParagraph"/>
              <w:spacing w:before="42"/>
              <w:ind w:left="152" w:right="98"/>
              <w:jc w:val="center"/>
              <w:rPr>
                <w:rFonts w:ascii="微软雅黑"/>
                <w:b/>
                <w:sz w:val="21"/>
              </w:rPr>
            </w:pPr>
            <w:r>
              <w:rPr>
                <w:rFonts w:ascii="微软雅黑"/>
                <w:b/>
                <w:sz w:val="21"/>
              </w:rPr>
              <w:t>10.10</w:t>
            </w:r>
          </w:p>
        </w:tc>
        <w:tc>
          <w:tcPr>
            <w:tcW w:w="1736" w:type="dxa"/>
          </w:tcPr>
          <w:p>
            <w:pPr>
              <w:pStyle w:val="TableParagraph"/>
              <w:spacing w:before="42"/>
              <w:ind w:left="146"/>
              <w:rPr>
                <w:rFonts w:ascii="微软雅黑" w:eastAsia="微软雅黑" w:hint="eastAsia"/>
                <w:b/>
                <w:sz w:val="21"/>
              </w:rPr>
            </w:pPr>
            <w:r>
              <w:rPr>
                <w:rFonts w:ascii="微软雅黑" w:eastAsia="微软雅黑" w:hint="eastAsia"/>
                <w:b/>
                <w:sz w:val="21"/>
              </w:rPr>
              <w:t>遗传性疾病</w:t>
            </w:r>
          </w:p>
        </w:tc>
        <w:tc>
          <w:tcPr>
            <w:tcW w:w="7450" w:type="dxa"/>
          </w:tcPr>
          <w:p>
            <w:pPr>
              <w:pStyle w:val="TableParagraph"/>
              <w:spacing w:line="320" w:lineRule="atLeast" w:before="59"/>
              <w:ind w:right="165"/>
              <w:rPr>
                <w:sz w:val="21"/>
              </w:rPr>
            </w:pPr>
            <w:r>
              <w:rPr>
                <w:sz w:val="21"/>
              </w:rPr>
              <w:t>指Th殖细胞或者受精卵的遗传物质（染色体和基因）发Th突变或者畸变所引起的疾病，通常具有由亲代传至后代的垂直传递的特征。</w:t>
            </w:r>
          </w:p>
        </w:tc>
      </w:tr>
    </w:tbl>
    <w:p>
      <w:pPr>
        <w:spacing w:after="0" w:line="320" w:lineRule="atLeast"/>
        <w:rPr>
          <w:sz w:val="21"/>
        </w:rPr>
        <w:sectPr>
          <w:pgSz w:w="11910" w:h="16840"/>
          <w:pgMar w:top="12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735"/>
        <w:gridCol w:w="7532"/>
      </w:tblGrid>
      <w:tr>
        <w:trPr>
          <w:trHeight w:val="1044" w:hRule="atLeast"/>
        </w:trPr>
        <w:tc>
          <w:tcPr>
            <w:tcW w:w="872" w:type="dxa"/>
          </w:tcPr>
          <w:p>
            <w:pPr>
              <w:pStyle w:val="TableParagraph"/>
              <w:spacing w:line="231" w:lineRule="exact"/>
              <w:ind w:left="200"/>
              <w:rPr>
                <w:rFonts w:ascii="微软雅黑"/>
                <w:b/>
                <w:sz w:val="21"/>
              </w:rPr>
            </w:pPr>
            <w:r>
              <w:rPr>
                <w:rFonts w:ascii="微软雅黑"/>
                <w:b/>
                <w:sz w:val="21"/>
              </w:rPr>
              <w:t>10.11</w:t>
            </w:r>
          </w:p>
        </w:tc>
        <w:tc>
          <w:tcPr>
            <w:tcW w:w="1735" w:type="dxa"/>
          </w:tcPr>
          <w:p>
            <w:pPr>
              <w:pStyle w:val="TableParagraph"/>
              <w:spacing w:line="211" w:lineRule="exact"/>
              <w:ind w:left="144"/>
              <w:rPr>
                <w:rFonts w:ascii="微软雅黑" w:eastAsia="微软雅黑" w:hint="eastAsia"/>
                <w:b/>
                <w:sz w:val="21"/>
              </w:rPr>
            </w:pPr>
            <w:r>
              <w:rPr>
                <w:rFonts w:ascii="微软雅黑" w:eastAsia="微软雅黑" w:hint="eastAsia"/>
                <w:b/>
                <w:sz w:val="21"/>
              </w:rPr>
              <w:t>先天性畸形、变</w:t>
            </w:r>
          </w:p>
          <w:p>
            <w:pPr>
              <w:pStyle w:val="TableParagraph"/>
              <w:spacing w:line="211" w:lineRule="auto" w:before="23"/>
              <w:ind w:left="144" w:right="110"/>
              <w:rPr>
                <w:rFonts w:ascii="微软雅黑" w:eastAsia="微软雅黑" w:hint="eastAsia"/>
                <w:b/>
                <w:sz w:val="21"/>
              </w:rPr>
            </w:pPr>
            <w:r>
              <w:rPr>
                <w:rFonts w:ascii="微软雅黑" w:eastAsia="微软雅黑" w:hint="eastAsia"/>
                <w:b/>
                <w:sz w:val="21"/>
              </w:rPr>
              <w:t>形或者染色体异常</w:t>
            </w:r>
          </w:p>
        </w:tc>
        <w:tc>
          <w:tcPr>
            <w:tcW w:w="7532" w:type="dxa"/>
          </w:tcPr>
          <w:p>
            <w:pPr>
              <w:pStyle w:val="TableParagraph"/>
              <w:spacing w:line="206" w:lineRule="exact"/>
              <w:ind w:left="110"/>
              <w:rPr>
                <w:sz w:val="21"/>
              </w:rPr>
            </w:pPr>
            <w:r>
              <w:rPr>
                <w:sz w:val="21"/>
              </w:rPr>
              <w:t>指被保险人出Th时就具有的畸形、变形或者染色体异常。先天性畸形、变形和</w:t>
            </w:r>
          </w:p>
          <w:p>
            <w:pPr>
              <w:pStyle w:val="TableParagraph"/>
              <w:spacing w:before="47"/>
              <w:ind w:left="110"/>
              <w:rPr>
                <w:sz w:val="21"/>
              </w:rPr>
            </w:pPr>
            <w:r>
              <w:rPr>
                <w:sz w:val="21"/>
              </w:rPr>
              <w:t>染色体异常依照世界卫Th 组织《疾病和有关健康问题的国际统计分类》</w:t>
            </w:r>
          </w:p>
          <w:p>
            <w:pPr>
              <w:pStyle w:val="TableParagraph"/>
              <w:spacing w:before="44"/>
              <w:ind w:left="110"/>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2"/>
                <w:w w:val="100"/>
                <w:sz w:val="21"/>
              </w:rPr>
              <w:t>确定。</w:t>
            </w:r>
          </w:p>
        </w:tc>
      </w:tr>
      <w:tr>
        <w:trPr>
          <w:trHeight w:val="1606" w:hRule="atLeast"/>
        </w:trPr>
        <w:tc>
          <w:tcPr>
            <w:tcW w:w="872" w:type="dxa"/>
          </w:tcPr>
          <w:p>
            <w:pPr>
              <w:pStyle w:val="TableParagraph"/>
              <w:spacing w:before="31"/>
              <w:ind w:left="200"/>
              <w:rPr>
                <w:rFonts w:ascii="微软雅黑"/>
                <w:b/>
                <w:sz w:val="21"/>
              </w:rPr>
            </w:pPr>
            <w:r>
              <w:rPr>
                <w:rFonts w:ascii="微软雅黑"/>
                <w:b/>
                <w:sz w:val="21"/>
              </w:rPr>
              <w:t>10.12</w:t>
            </w:r>
          </w:p>
        </w:tc>
        <w:tc>
          <w:tcPr>
            <w:tcW w:w="1735" w:type="dxa"/>
          </w:tcPr>
          <w:p>
            <w:pPr>
              <w:pStyle w:val="TableParagraph"/>
              <w:spacing w:before="31"/>
              <w:ind w:left="144"/>
              <w:rPr>
                <w:rFonts w:ascii="微软雅黑" w:eastAsia="微软雅黑" w:hint="eastAsia"/>
                <w:b/>
                <w:sz w:val="21"/>
              </w:rPr>
            </w:pPr>
            <w:r>
              <w:rPr>
                <w:rFonts w:ascii="微软雅黑" w:eastAsia="微软雅黑" w:hint="eastAsia"/>
                <w:b/>
                <w:sz w:val="21"/>
              </w:rPr>
              <w:t>现金价值</w:t>
            </w:r>
          </w:p>
        </w:tc>
        <w:tc>
          <w:tcPr>
            <w:tcW w:w="7532" w:type="dxa"/>
          </w:tcPr>
          <w:p>
            <w:pPr>
              <w:pStyle w:val="TableParagraph"/>
              <w:spacing w:line="280" w:lineRule="auto" w:before="93"/>
              <w:ind w:left="110" w:right="263"/>
              <w:rPr>
                <w:sz w:val="21"/>
              </w:rPr>
            </w:pPr>
            <w:r>
              <w:rPr>
                <w:sz w:val="21"/>
              </w:rPr>
              <w:t>指保险合同所具有的价值，通常体现为解除合同时，根据精算原理计算的由我们退还的那部分金额。</w:t>
            </w:r>
          </w:p>
          <w:p>
            <w:pPr>
              <w:pStyle w:val="TableParagraph"/>
              <w:spacing w:line="278" w:lineRule="auto" w:before="87"/>
              <w:ind w:left="110" w:right="247"/>
              <w:rPr>
                <w:sz w:val="21"/>
              </w:rPr>
            </w:pPr>
            <w:r>
              <w:rPr>
                <w:sz w:val="21"/>
              </w:rPr>
              <w:t>本合同保单年度末的现金价值在保险合同上载明，保单年度中的现金价值以保单年度末的现金价值为基础计算。</w:t>
            </w:r>
          </w:p>
        </w:tc>
      </w:tr>
      <w:tr>
        <w:trPr>
          <w:trHeight w:val="888" w:hRule="atLeast"/>
        </w:trPr>
        <w:tc>
          <w:tcPr>
            <w:tcW w:w="872" w:type="dxa"/>
          </w:tcPr>
          <w:p>
            <w:pPr>
              <w:pStyle w:val="TableParagraph"/>
              <w:spacing w:before="32"/>
              <w:ind w:left="200"/>
              <w:rPr>
                <w:rFonts w:ascii="微软雅黑"/>
                <w:b/>
                <w:sz w:val="21"/>
              </w:rPr>
            </w:pPr>
            <w:r>
              <w:rPr>
                <w:rFonts w:ascii="微软雅黑"/>
                <w:b/>
                <w:sz w:val="21"/>
              </w:rPr>
              <w:t>10.13</w:t>
            </w:r>
          </w:p>
        </w:tc>
        <w:tc>
          <w:tcPr>
            <w:tcW w:w="1735" w:type="dxa"/>
          </w:tcPr>
          <w:p>
            <w:pPr>
              <w:pStyle w:val="TableParagraph"/>
              <w:spacing w:line="211" w:lineRule="auto" w:before="75"/>
              <w:ind w:left="144" w:right="110"/>
              <w:rPr>
                <w:rFonts w:ascii="微软雅黑" w:eastAsia="微软雅黑" w:hint="eastAsia"/>
                <w:b/>
                <w:sz w:val="21"/>
              </w:rPr>
            </w:pPr>
            <w:r>
              <w:rPr>
                <w:rFonts w:ascii="微软雅黑" w:eastAsia="微软雅黑" w:hint="eastAsia"/>
                <w:b/>
                <w:sz w:val="21"/>
              </w:rPr>
              <w:t>保险费约定交纳日</w:t>
            </w:r>
          </w:p>
        </w:tc>
        <w:tc>
          <w:tcPr>
            <w:tcW w:w="7532" w:type="dxa"/>
          </w:tcPr>
          <w:p>
            <w:pPr>
              <w:pStyle w:val="TableParagraph"/>
              <w:spacing w:line="278" w:lineRule="auto" w:before="94"/>
              <w:ind w:left="110" w:right="250"/>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872" w:type="dxa"/>
          </w:tcPr>
          <w:p>
            <w:pPr>
              <w:pStyle w:val="TableParagraph"/>
              <w:spacing w:before="32"/>
              <w:ind w:left="200"/>
              <w:rPr>
                <w:rFonts w:ascii="微软雅黑"/>
                <w:b/>
                <w:sz w:val="21"/>
              </w:rPr>
            </w:pPr>
            <w:r>
              <w:rPr>
                <w:rFonts w:ascii="微软雅黑"/>
                <w:b/>
                <w:sz w:val="21"/>
              </w:rPr>
              <w:t>10.14</w:t>
            </w:r>
          </w:p>
        </w:tc>
        <w:tc>
          <w:tcPr>
            <w:tcW w:w="1735" w:type="dxa"/>
          </w:tcPr>
          <w:p>
            <w:pPr>
              <w:pStyle w:val="TableParagraph"/>
              <w:spacing w:before="32"/>
              <w:ind w:left="144"/>
              <w:rPr>
                <w:rFonts w:ascii="微软雅黑" w:eastAsia="微软雅黑" w:hint="eastAsia"/>
                <w:b/>
                <w:sz w:val="21"/>
              </w:rPr>
            </w:pPr>
            <w:r>
              <w:rPr>
                <w:rFonts w:ascii="微软雅黑" w:eastAsia="微软雅黑" w:hint="eastAsia"/>
                <w:b/>
                <w:sz w:val="21"/>
              </w:rPr>
              <w:t>复利</w:t>
            </w:r>
          </w:p>
        </w:tc>
        <w:tc>
          <w:tcPr>
            <w:tcW w:w="7532" w:type="dxa"/>
          </w:tcPr>
          <w:p>
            <w:pPr>
              <w:pStyle w:val="TableParagraph"/>
              <w:spacing w:line="278" w:lineRule="auto" w:before="94"/>
              <w:ind w:left="110" w:right="294"/>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1"/>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1"/>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12"/>
              <w:ind w:left="110"/>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7" w:hRule="atLeast"/>
        </w:trPr>
        <w:tc>
          <w:tcPr>
            <w:tcW w:w="872" w:type="dxa"/>
          </w:tcPr>
          <w:p>
            <w:pPr>
              <w:pStyle w:val="TableParagraph"/>
              <w:spacing w:before="31"/>
              <w:ind w:left="200"/>
              <w:rPr>
                <w:rFonts w:ascii="微软雅黑"/>
                <w:b/>
                <w:sz w:val="21"/>
              </w:rPr>
            </w:pPr>
            <w:r>
              <w:rPr>
                <w:rFonts w:ascii="微软雅黑"/>
                <w:b/>
                <w:sz w:val="21"/>
              </w:rPr>
              <w:t>10.15</w:t>
            </w:r>
          </w:p>
        </w:tc>
        <w:tc>
          <w:tcPr>
            <w:tcW w:w="1735" w:type="dxa"/>
          </w:tcPr>
          <w:p>
            <w:pPr>
              <w:pStyle w:val="TableParagraph"/>
              <w:spacing w:before="31"/>
              <w:ind w:left="144"/>
              <w:rPr>
                <w:rFonts w:ascii="微软雅黑" w:eastAsia="微软雅黑" w:hint="eastAsia"/>
                <w:b/>
                <w:sz w:val="21"/>
              </w:rPr>
            </w:pPr>
            <w:r>
              <w:rPr>
                <w:rFonts w:ascii="微软雅黑" w:eastAsia="微软雅黑" w:hint="eastAsia"/>
                <w:b/>
                <w:sz w:val="21"/>
              </w:rPr>
              <w:t>有效身份证件</w:t>
            </w:r>
          </w:p>
        </w:tc>
        <w:tc>
          <w:tcPr>
            <w:tcW w:w="7532" w:type="dxa"/>
          </w:tcPr>
          <w:p>
            <w:pPr>
              <w:pStyle w:val="TableParagraph"/>
              <w:spacing w:line="280" w:lineRule="auto" w:before="93"/>
              <w:ind w:left="110" w:right="292"/>
              <w:jc w:val="both"/>
              <w:rPr>
                <w:sz w:val="21"/>
              </w:rPr>
            </w:pPr>
            <w:r>
              <w:rPr>
                <w:spacing w:val="2"/>
                <w:sz w:val="21"/>
              </w:rPr>
              <w:t>指由中华人民共和国政府主管部门规定的能够证明其身份且附有本人照片的</w:t>
            </w:r>
            <w:r>
              <w:rPr>
                <w:spacing w:val="-6"/>
                <w:sz w:val="21"/>
              </w:rPr>
              <w:t>证件，如：居民身份证及中华人民共和国政府主管部门颁发或者认可的有效护</w:t>
            </w:r>
            <w:r>
              <w:rPr>
                <w:spacing w:val="-3"/>
                <w:sz w:val="21"/>
              </w:rPr>
              <w:t>照或者其他身份证明文件。</w:t>
            </w:r>
          </w:p>
        </w:tc>
      </w:tr>
      <w:tr>
        <w:trPr>
          <w:trHeight w:val="2800" w:hRule="atLeast"/>
        </w:trPr>
        <w:tc>
          <w:tcPr>
            <w:tcW w:w="872" w:type="dxa"/>
          </w:tcPr>
          <w:p>
            <w:pPr>
              <w:pStyle w:val="TableParagraph"/>
              <w:spacing w:before="31"/>
              <w:ind w:left="200"/>
              <w:rPr>
                <w:rFonts w:ascii="微软雅黑"/>
                <w:b/>
                <w:sz w:val="21"/>
              </w:rPr>
            </w:pPr>
            <w:r>
              <w:rPr>
                <w:rFonts w:ascii="微软雅黑"/>
                <w:b/>
                <w:sz w:val="21"/>
              </w:rPr>
              <w:t>10.16</w:t>
            </w:r>
          </w:p>
        </w:tc>
        <w:tc>
          <w:tcPr>
            <w:tcW w:w="1735" w:type="dxa"/>
          </w:tcPr>
          <w:p>
            <w:pPr>
              <w:pStyle w:val="TableParagraph"/>
              <w:spacing w:before="31"/>
              <w:ind w:left="144"/>
              <w:rPr>
                <w:rFonts w:ascii="微软雅黑" w:eastAsia="微软雅黑" w:hint="eastAsia"/>
                <w:b/>
                <w:sz w:val="21"/>
              </w:rPr>
            </w:pPr>
            <w:r>
              <w:rPr>
                <w:rFonts w:ascii="微软雅黑" w:eastAsia="微软雅黑" w:hint="eastAsia"/>
                <w:b/>
                <w:w w:val="90"/>
                <w:sz w:val="21"/>
              </w:rPr>
              <w:t>专科医Th</w:t>
            </w:r>
          </w:p>
        </w:tc>
        <w:tc>
          <w:tcPr>
            <w:tcW w:w="7532" w:type="dxa"/>
          </w:tcPr>
          <w:p>
            <w:pPr>
              <w:pStyle w:val="TableParagraph"/>
              <w:spacing w:before="93"/>
              <w:ind w:left="110"/>
              <w:rPr>
                <w:sz w:val="21"/>
              </w:rPr>
            </w:pPr>
            <w:r>
              <w:rPr>
                <w:sz w:val="21"/>
              </w:rPr>
              <w:t>专科医Th应当同时满足以下四项资格条件：</w:t>
            </w:r>
          </w:p>
          <w:p>
            <w:pPr>
              <w:pStyle w:val="TableParagraph"/>
              <w:numPr>
                <w:ilvl w:val="0"/>
                <w:numId w:val="45"/>
              </w:numPr>
              <w:tabs>
                <w:tab w:pos="736" w:val="left" w:leader="none"/>
              </w:tabs>
              <w:spacing w:line="240" w:lineRule="auto" w:before="123" w:after="0"/>
              <w:ind w:left="735" w:right="0" w:hanging="624"/>
              <w:jc w:val="left"/>
              <w:rPr>
                <w:sz w:val="21"/>
              </w:rPr>
            </w:pPr>
            <w:r>
              <w:rPr>
                <w:spacing w:val="-9"/>
                <w:sz w:val="21"/>
              </w:rPr>
              <w:t>具有有效的中华人民共和国《医师资格证书》；</w:t>
            </w:r>
          </w:p>
          <w:p>
            <w:pPr>
              <w:pStyle w:val="TableParagraph"/>
              <w:numPr>
                <w:ilvl w:val="0"/>
                <w:numId w:val="45"/>
              </w:numPr>
              <w:tabs>
                <w:tab w:pos="736" w:val="left" w:leader="none"/>
              </w:tabs>
              <w:spacing w:line="280" w:lineRule="auto" w:before="123" w:after="0"/>
              <w:ind w:left="735" w:right="303" w:hanging="624"/>
              <w:jc w:val="left"/>
              <w:rPr>
                <w:sz w:val="21"/>
              </w:rPr>
            </w:pPr>
            <w:r>
              <w:rPr>
                <w:spacing w:val="-6"/>
                <w:sz w:val="21"/>
              </w:rPr>
              <w:t>具有有效的中华人民共和国《医师执业证书》，并按期到相关部门登记注册；</w:t>
            </w:r>
          </w:p>
          <w:p>
            <w:pPr>
              <w:pStyle w:val="TableParagraph"/>
              <w:numPr>
                <w:ilvl w:val="0"/>
                <w:numId w:val="45"/>
              </w:numPr>
              <w:tabs>
                <w:tab w:pos="736" w:val="left" w:leader="none"/>
              </w:tabs>
              <w:spacing w:line="280" w:lineRule="auto" w:before="85" w:after="0"/>
              <w:ind w:left="735" w:right="292"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45"/>
              </w:numPr>
              <w:tabs>
                <w:tab w:pos="736" w:val="left" w:leader="none"/>
              </w:tabs>
              <w:spacing w:line="240" w:lineRule="auto" w:before="85" w:after="0"/>
              <w:ind w:left="735" w:right="0" w:hanging="624"/>
              <w:jc w:val="left"/>
              <w:rPr>
                <w:sz w:val="21"/>
              </w:rPr>
            </w:pPr>
            <w:r>
              <w:rPr>
                <w:spacing w:val="-3"/>
                <w:sz w:val="21"/>
              </w:rPr>
              <w:t>在二级或者二级以上医院的相应科室从事临床工作三年以上。</w:t>
            </w:r>
          </w:p>
        </w:tc>
      </w:tr>
      <w:tr>
        <w:trPr>
          <w:trHeight w:val="1849" w:hRule="atLeast"/>
        </w:trPr>
        <w:tc>
          <w:tcPr>
            <w:tcW w:w="872" w:type="dxa"/>
          </w:tcPr>
          <w:p>
            <w:pPr>
              <w:pStyle w:val="TableParagraph"/>
              <w:spacing w:before="32"/>
              <w:ind w:left="200"/>
              <w:rPr>
                <w:rFonts w:ascii="微软雅黑"/>
                <w:b/>
                <w:sz w:val="21"/>
              </w:rPr>
            </w:pPr>
            <w:r>
              <w:rPr>
                <w:rFonts w:ascii="微软雅黑"/>
                <w:b/>
                <w:sz w:val="21"/>
              </w:rPr>
              <w:t>10.17</w:t>
            </w:r>
          </w:p>
        </w:tc>
        <w:tc>
          <w:tcPr>
            <w:tcW w:w="1735" w:type="dxa"/>
          </w:tcPr>
          <w:p>
            <w:pPr>
              <w:pStyle w:val="TableParagraph"/>
              <w:spacing w:line="211" w:lineRule="auto" w:before="75"/>
              <w:ind w:left="144"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32" w:type="dxa"/>
          </w:tcPr>
          <w:p>
            <w:pPr>
              <w:pStyle w:val="TableParagraph"/>
              <w:spacing w:line="280" w:lineRule="auto" w:before="94"/>
              <w:ind w:left="110" w:right="294"/>
              <w:jc w:val="both"/>
              <w:rPr>
                <w:sz w:val="21"/>
              </w:rPr>
            </w:pPr>
            <w:r>
              <w:rPr>
                <w:spacing w:val="-5"/>
                <w:sz w:val="21"/>
              </w:rPr>
              <w:t>指您减保时我们退还的那部分金额，额度等于您申请减保时保险合同的现金价</w:t>
            </w:r>
            <w:r>
              <w:rPr>
                <w:spacing w:val="-6"/>
                <w:sz w:val="21"/>
              </w:rPr>
              <w:t>值乘以减少的基本保险金额与减保前的基本保险金额的比例。例如：您减保前</w:t>
            </w:r>
            <w:r>
              <w:rPr>
                <w:spacing w:val="-7"/>
                <w:sz w:val="21"/>
              </w:rPr>
              <w:t>投保的基本保险金额是 </w:t>
            </w:r>
            <w:r>
              <w:rPr>
                <w:sz w:val="21"/>
              </w:rPr>
              <w:t>20</w:t>
            </w:r>
            <w:r>
              <w:rPr>
                <w:spacing w:val="-12"/>
                <w:sz w:val="21"/>
              </w:rPr>
              <w:t> 万元，对应的现金价值为 </w:t>
            </w:r>
            <w:r>
              <w:rPr>
                <w:sz w:val="21"/>
              </w:rPr>
              <w:t>16</w:t>
            </w:r>
            <w:r>
              <w:rPr>
                <w:spacing w:val="-11"/>
                <w:sz w:val="21"/>
              </w:rPr>
              <w:t> 万元，您申请将基本保</w:t>
            </w:r>
          </w:p>
          <w:p>
            <w:pPr>
              <w:pStyle w:val="TableParagraph"/>
              <w:spacing w:line="280" w:lineRule="auto" w:before="8"/>
              <w:ind w:left="110" w:right="292"/>
              <w:jc w:val="both"/>
              <w:rPr>
                <w:sz w:val="21"/>
              </w:rPr>
            </w:pPr>
            <w:r>
              <w:rPr>
                <w:spacing w:val="-7"/>
                <w:sz w:val="21"/>
              </w:rPr>
              <w:t>险金额从 </w:t>
            </w:r>
            <w:r>
              <w:rPr>
                <w:sz w:val="21"/>
              </w:rPr>
              <w:t>20</w:t>
            </w:r>
            <w:r>
              <w:rPr>
                <w:spacing w:val="-11"/>
                <w:sz w:val="21"/>
              </w:rPr>
              <w:t> 万元减保至 </w:t>
            </w:r>
            <w:r>
              <w:rPr>
                <w:sz w:val="21"/>
              </w:rPr>
              <w:t>12</w:t>
            </w:r>
            <w:r>
              <w:rPr>
                <w:spacing w:val="-13"/>
                <w:sz w:val="21"/>
              </w:rPr>
              <w:t> 万元，那么与基本保险金额减少部分相对应的现金</w:t>
            </w:r>
            <w:r>
              <w:rPr>
                <w:spacing w:val="-6"/>
                <w:w w:val="100"/>
                <w:sz w:val="21"/>
              </w:rPr>
              <w:t>价值为</w:t>
            </w:r>
            <w:r>
              <w:rPr>
                <w:spacing w:val="-6"/>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7" w:hRule="atLeast"/>
        </w:trPr>
        <w:tc>
          <w:tcPr>
            <w:tcW w:w="872" w:type="dxa"/>
          </w:tcPr>
          <w:p>
            <w:pPr>
              <w:pStyle w:val="TableParagraph"/>
              <w:spacing w:before="31"/>
              <w:ind w:left="200"/>
              <w:rPr>
                <w:rFonts w:ascii="微软雅黑"/>
                <w:b/>
                <w:sz w:val="21"/>
              </w:rPr>
            </w:pPr>
            <w:r>
              <w:rPr>
                <w:rFonts w:ascii="微软雅黑"/>
                <w:b/>
                <w:sz w:val="21"/>
              </w:rPr>
              <w:t>10.18</w:t>
            </w:r>
          </w:p>
        </w:tc>
        <w:tc>
          <w:tcPr>
            <w:tcW w:w="1735" w:type="dxa"/>
          </w:tcPr>
          <w:p>
            <w:pPr>
              <w:pStyle w:val="TableParagraph"/>
              <w:spacing w:before="31"/>
              <w:ind w:left="144"/>
              <w:rPr>
                <w:rFonts w:ascii="微软雅黑" w:eastAsia="微软雅黑" w:hint="eastAsia"/>
                <w:b/>
                <w:sz w:val="21"/>
              </w:rPr>
            </w:pPr>
            <w:r>
              <w:rPr>
                <w:rFonts w:ascii="微软雅黑" w:eastAsia="微软雅黑" w:hint="eastAsia"/>
                <w:b/>
                <w:sz w:val="21"/>
              </w:rPr>
              <w:t>保单年度</w:t>
            </w:r>
          </w:p>
        </w:tc>
        <w:tc>
          <w:tcPr>
            <w:tcW w:w="7532" w:type="dxa"/>
          </w:tcPr>
          <w:p>
            <w:pPr>
              <w:pStyle w:val="TableParagraph"/>
              <w:spacing w:line="280" w:lineRule="auto" w:before="93"/>
              <w:ind w:left="110" w:right="290"/>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1764" w:hRule="atLeast"/>
        </w:trPr>
        <w:tc>
          <w:tcPr>
            <w:tcW w:w="872" w:type="dxa"/>
          </w:tcPr>
          <w:p>
            <w:pPr>
              <w:pStyle w:val="TableParagraph"/>
              <w:spacing w:before="31"/>
              <w:ind w:left="200"/>
              <w:rPr>
                <w:rFonts w:ascii="微软雅黑"/>
                <w:b/>
                <w:sz w:val="21"/>
              </w:rPr>
            </w:pPr>
            <w:r>
              <w:rPr>
                <w:rFonts w:ascii="微软雅黑"/>
                <w:b/>
                <w:sz w:val="21"/>
              </w:rPr>
              <w:t>10.19</w:t>
            </w:r>
          </w:p>
        </w:tc>
        <w:tc>
          <w:tcPr>
            <w:tcW w:w="1735" w:type="dxa"/>
          </w:tcPr>
          <w:p>
            <w:pPr>
              <w:pStyle w:val="TableParagraph"/>
              <w:spacing w:before="31"/>
              <w:ind w:left="144"/>
              <w:rPr>
                <w:rFonts w:ascii="微软雅黑" w:eastAsia="微软雅黑" w:hint="eastAsia"/>
                <w:b/>
                <w:sz w:val="21"/>
              </w:rPr>
            </w:pPr>
            <w:r>
              <w:rPr>
                <w:rFonts w:ascii="微软雅黑" w:eastAsia="微软雅黑" w:hint="eastAsia"/>
                <w:b/>
                <w:sz w:val="21"/>
              </w:rPr>
              <w:t>周岁</w:t>
            </w:r>
          </w:p>
        </w:tc>
        <w:tc>
          <w:tcPr>
            <w:tcW w:w="7532" w:type="dxa"/>
          </w:tcPr>
          <w:p>
            <w:pPr>
              <w:pStyle w:val="TableParagraph"/>
              <w:spacing w:line="280" w:lineRule="auto" w:before="93"/>
              <w:ind w:left="110" w:right="249"/>
              <w:rPr>
                <w:sz w:val="21"/>
              </w:rPr>
            </w:pPr>
            <w:r>
              <w:rPr>
                <w:sz w:val="21"/>
              </w:rPr>
              <w:t>指按有效身份证件中记载的出Th日期计算的年龄，自出Th之日起为零周岁，每经过一年增加一岁，不足一年的不计。</w:t>
            </w:r>
          </w:p>
          <w:p>
            <w:pPr>
              <w:pStyle w:val="TableParagraph"/>
              <w:spacing w:before="84"/>
              <w:ind w:left="110"/>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10"/>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ind w:left="110"/>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bl>
    <w:p>
      <w:pPr>
        <w:spacing w:after="0"/>
        <w:rPr>
          <w:sz w:val="21"/>
        </w:rPr>
        <w:sectPr>
          <w:pgSz w:w="11910" w:h="16840"/>
          <w:pgMar w:top="150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37"/>
      </w:tblGrid>
      <w:tr>
        <w:trPr>
          <w:trHeight w:val="725" w:hRule="atLeast"/>
        </w:trPr>
        <w:tc>
          <w:tcPr>
            <w:tcW w:w="883" w:type="dxa"/>
          </w:tcPr>
          <w:p>
            <w:pPr>
              <w:pStyle w:val="TableParagraph"/>
              <w:spacing w:line="241" w:lineRule="exact"/>
              <w:ind w:left="151" w:right="86"/>
              <w:jc w:val="center"/>
              <w:rPr>
                <w:rFonts w:ascii="微软雅黑"/>
                <w:b/>
                <w:sz w:val="21"/>
              </w:rPr>
            </w:pPr>
            <w:r>
              <w:rPr>
                <w:rFonts w:ascii="微软雅黑"/>
                <w:b/>
                <w:sz w:val="21"/>
              </w:rPr>
              <w:t>10.20</w:t>
            </w:r>
          </w:p>
        </w:tc>
        <w:tc>
          <w:tcPr>
            <w:tcW w:w="1724" w:type="dxa"/>
          </w:tcPr>
          <w:p>
            <w:pPr>
              <w:pStyle w:val="TableParagraph"/>
              <w:spacing w:line="241" w:lineRule="exact"/>
              <w:ind w:left="133"/>
              <w:rPr>
                <w:rFonts w:ascii="微软雅黑" w:eastAsia="微软雅黑" w:hint="eastAsia"/>
                <w:b/>
                <w:sz w:val="21"/>
              </w:rPr>
            </w:pPr>
            <w:r>
              <w:rPr>
                <w:rFonts w:ascii="微软雅黑" w:eastAsia="微软雅黑" w:hint="eastAsia"/>
                <w:b/>
                <w:sz w:val="21"/>
              </w:rPr>
              <w:t>永久不可逆</w:t>
            </w:r>
          </w:p>
        </w:tc>
        <w:tc>
          <w:tcPr>
            <w:tcW w:w="7437" w:type="dxa"/>
          </w:tcPr>
          <w:p>
            <w:pPr>
              <w:pStyle w:val="TableParagraph"/>
              <w:spacing w:line="215" w:lineRule="exact"/>
              <w:ind w:left="110"/>
              <w:rPr>
                <w:sz w:val="21"/>
              </w:rPr>
            </w:pPr>
            <w:r>
              <w:rPr>
                <w:sz w:val="21"/>
              </w:rPr>
              <w:t>指自疾病确诊或者意外伤害发Th之日起，经过积极治疗 180 天后，仍无法通过</w:t>
            </w:r>
          </w:p>
          <w:p>
            <w:pPr>
              <w:pStyle w:val="TableParagraph"/>
              <w:spacing w:before="46"/>
              <w:ind w:left="110"/>
              <w:rPr>
                <w:sz w:val="21"/>
              </w:rPr>
            </w:pPr>
            <w:r>
              <w:rPr>
                <w:sz w:val="21"/>
              </w:rPr>
              <w:t>现有医疗手段恢复。</w:t>
            </w:r>
          </w:p>
        </w:tc>
      </w:tr>
      <w:tr>
        <w:trPr>
          <w:trHeight w:val="3120" w:hRule="atLeast"/>
        </w:trPr>
        <w:tc>
          <w:tcPr>
            <w:tcW w:w="883" w:type="dxa"/>
          </w:tcPr>
          <w:p>
            <w:pPr>
              <w:pStyle w:val="TableParagraph"/>
              <w:spacing w:before="41"/>
              <w:ind w:left="138" w:right="99"/>
              <w:jc w:val="center"/>
              <w:rPr>
                <w:rFonts w:ascii="微软雅黑"/>
                <w:b/>
                <w:sz w:val="21"/>
              </w:rPr>
            </w:pPr>
            <w:r>
              <w:rPr>
                <w:rFonts w:ascii="微软雅黑"/>
                <w:b/>
                <w:sz w:val="21"/>
              </w:rPr>
              <w:t>10.21</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37" w:type="dxa"/>
          </w:tcPr>
          <w:p>
            <w:pPr>
              <w:pStyle w:val="TableParagraph"/>
              <w:spacing w:before="103"/>
              <w:ind w:left="110"/>
              <w:rPr>
                <w:sz w:val="21"/>
              </w:rPr>
            </w:pPr>
            <w:r>
              <w:rPr>
                <w:sz w:val="21"/>
              </w:rPr>
              <w:t>美国纽约心脏病学会心功能状态分为四级：</w:t>
            </w:r>
          </w:p>
          <w:p>
            <w:pPr>
              <w:pStyle w:val="TableParagraph"/>
              <w:spacing w:before="123"/>
              <w:ind w:left="110"/>
              <w:rPr>
                <w:sz w:val="21"/>
              </w:rPr>
            </w:pPr>
            <w:r>
              <w:rPr>
                <w:sz w:val="21"/>
              </w:rPr>
              <w:t>Ⅰ级：体力活动不受限，日常活动不引起过度的乏力、呼吸困难或者心悸；</w:t>
            </w:r>
          </w:p>
          <w:p>
            <w:pPr>
              <w:pStyle w:val="TableParagraph"/>
              <w:spacing w:line="280" w:lineRule="auto" w:before="123"/>
              <w:ind w:left="721" w:right="184" w:hanging="611"/>
              <w:rPr>
                <w:sz w:val="21"/>
              </w:rPr>
            </w:pPr>
            <w:r>
              <w:rPr>
                <w:sz w:val="21"/>
              </w:rPr>
              <w:t>Ⅱ级：体力活动轻度受限，休息时无症状，日常活动即可引起乏力、心悸、呼吸困难或者心绞痛；</w:t>
            </w:r>
          </w:p>
          <w:p>
            <w:pPr>
              <w:pStyle w:val="TableParagraph"/>
              <w:spacing w:line="280" w:lineRule="auto" w:before="85"/>
              <w:ind w:left="721" w:right="185" w:hanging="611"/>
              <w:rPr>
                <w:sz w:val="21"/>
              </w:rPr>
            </w:pPr>
            <w:r>
              <w:rPr>
                <w:sz w:val="21"/>
              </w:rPr>
              <w:t>Ⅲ级：体力活动明显受限，休息时无症状，轻于日常的活动即可引起乏力、心悸、呼吸困难或者心绞痛；</w:t>
            </w:r>
          </w:p>
          <w:p>
            <w:pPr>
              <w:pStyle w:val="TableParagraph"/>
              <w:spacing w:line="280" w:lineRule="auto" w:before="85"/>
              <w:ind w:left="721" w:right="168" w:hanging="611"/>
              <w:rPr>
                <w:sz w:val="21"/>
              </w:rPr>
            </w:pPr>
            <w:r>
              <w:rPr>
                <w:sz w:val="21"/>
              </w:rPr>
              <w:t>Ⅳ级：不能从事任何体力活动，休息时亦有充血性心衰或者心绞痛症状，任何体力活动后加重。</w:t>
            </w:r>
          </w:p>
        </w:tc>
      </w:tr>
      <w:tr>
        <w:trPr>
          <w:trHeight w:val="888" w:hRule="atLeast"/>
        </w:trPr>
        <w:tc>
          <w:tcPr>
            <w:tcW w:w="883" w:type="dxa"/>
          </w:tcPr>
          <w:p>
            <w:pPr>
              <w:pStyle w:val="TableParagraph"/>
              <w:spacing w:before="40"/>
              <w:ind w:left="151" w:right="88"/>
              <w:jc w:val="center"/>
              <w:rPr>
                <w:rFonts w:ascii="微软雅黑"/>
                <w:b/>
                <w:sz w:val="21"/>
              </w:rPr>
            </w:pPr>
            <w:r>
              <w:rPr>
                <w:rFonts w:ascii="微软雅黑"/>
                <w:b/>
                <w:sz w:val="21"/>
              </w:rPr>
              <w:t>10.22</w:t>
            </w:r>
          </w:p>
        </w:tc>
        <w:tc>
          <w:tcPr>
            <w:tcW w:w="1724" w:type="dxa"/>
          </w:tcPr>
          <w:p>
            <w:pPr>
              <w:pStyle w:val="TableParagraph"/>
              <w:spacing w:line="213" w:lineRule="auto" w:before="80"/>
              <w:ind w:left="133" w:right="110"/>
              <w:rPr>
                <w:rFonts w:ascii="微软雅黑" w:eastAsia="微软雅黑" w:hint="eastAsia"/>
                <w:b/>
                <w:sz w:val="21"/>
              </w:rPr>
            </w:pPr>
            <w:r>
              <w:rPr>
                <w:rFonts w:ascii="微软雅黑" w:eastAsia="微软雅黑" w:hint="eastAsia"/>
                <w:b/>
                <w:sz w:val="21"/>
              </w:rPr>
              <w:t>肢体机能完全丧失</w:t>
            </w:r>
          </w:p>
        </w:tc>
        <w:tc>
          <w:tcPr>
            <w:tcW w:w="7437" w:type="dxa"/>
          </w:tcPr>
          <w:p>
            <w:pPr>
              <w:pStyle w:val="TableParagraph"/>
              <w:spacing w:line="280" w:lineRule="auto" w:before="103"/>
              <w:ind w:left="110" w:right="168"/>
              <w:rPr>
                <w:sz w:val="21"/>
              </w:rPr>
            </w:pPr>
            <w:r>
              <w:rPr>
                <w:sz w:val="21"/>
              </w:rPr>
              <w:t>指肢体的三大关节中的两大关节僵硬，或者不能随意识活动。肢体是指包括肩关节的整个上肢或者包括髋关节的整个下肢。</w:t>
            </w:r>
          </w:p>
        </w:tc>
      </w:tr>
      <w:tr>
        <w:trPr>
          <w:trHeight w:val="1927" w:hRule="atLeast"/>
        </w:trPr>
        <w:tc>
          <w:tcPr>
            <w:tcW w:w="883" w:type="dxa"/>
          </w:tcPr>
          <w:p>
            <w:pPr>
              <w:pStyle w:val="TableParagraph"/>
              <w:spacing w:before="40"/>
              <w:ind w:left="151" w:right="87"/>
              <w:jc w:val="center"/>
              <w:rPr>
                <w:rFonts w:ascii="微软雅黑"/>
                <w:b/>
                <w:sz w:val="21"/>
              </w:rPr>
            </w:pPr>
            <w:r>
              <w:rPr>
                <w:rFonts w:ascii="微软雅黑"/>
                <w:b/>
                <w:sz w:val="21"/>
              </w:rPr>
              <w:t>10.23</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37" w:type="dxa"/>
          </w:tcPr>
          <w:p>
            <w:pPr>
              <w:pStyle w:val="TableParagraph"/>
              <w:spacing w:line="280" w:lineRule="auto" w:before="103"/>
              <w:ind w:left="110" w:right="199"/>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7"/>
              <w:ind w:left="110" w:right="201"/>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83" w:type="dxa"/>
          </w:tcPr>
          <w:p>
            <w:pPr>
              <w:pStyle w:val="TableParagraph"/>
              <w:spacing w:before="40"/>
              <w:ind w:left="151" w:right="85"/>
              <w:jc w:val="center"/>
              <w:rPr>
                <w:rFonts w:ascii="微软雅黑"/>
                <w:b/>
                <w:sz w:val="21"/>
              </w:rPr>
            </w:pPr>
            <w:r>
              <w:rPr>
                <w:rFonts w:ascii="微软雅黑"/>
                <w:b/>
                <w:sz w:val="21"/>
              </w:rPr>
              <w:t>10.24</w:t>
            </w:r>
          </w:p>
        </w:tc>
        <w:tc>
          <w:tcPr>
            <w:tcW w:w="1724" w:type="dxa"/>
          </w:tcPr>
          <w:p>
            <w:pPr>
              <w:pStyle w:val="TableParagraph"/>
              <w:spacing w:line="213" w:lineRule="auto" w:before="80"/>
              <w:ind w:left="133"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7" w:type="dxa"/>
          </w:tcPr>
          <w:p>
            <w:pPr>
              <w:pStyle w:val="TableParagraph"/>
              <w:spacing w:before="103"/>
              <w:ind w:left="110"/>
              <w:rPr>
                <w:sz w:val="21"/>
              </w:rPr>
            </w:pPr>
            <w:r>
              <w:rPr>
                <w:sz w:val="21"/>
              </w:rPr>
              <w:t>六项基本日常Th活活动是指：</w:t>
            </w:r>
          </w:p>
          <w:p>
            <w:pPr>
              <w:pStyle w:val="TableParagraph"/>
              <w:numPr>
                <w:ilvl w:val="0"/>
                <w:numId w:val="46"/>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46"/>
              </w:numPr>
              <w:tabs>
                <w:tab w:pos="736" w:val="left" w:leader="none"/>
              </w:tabs>
              <w:spacing w:line="240" w:lineRule="auto" w:before="120" w:after="0"/>
              <w:ind w:left="735" w:right="0" w:hanging="624"/>
              <w:jc w:val="left"/>
              <w:rPr>
                <w:sz w:val="21"/>
              </w:rPr>
            </w:pPr>
            <w:r>
              <w:rPr>
                <w:spacing w:val="-3"/>
                <w:sz w:val="21"/>
              </w:rPr>
              <w:t>移动：自己从一个房间到另一个房间；</w:t>
            </w:r>
          </w:p>
          <w:p>
            <w:pPr>
              <w:pStyle w:val="TableParagraph"/>
              <w:numPr>
                <w:ilvl w:val="0"/>
                <w:numId w:val="46"/>
              </w:numPr>
              <w:tabs>
                <w:tab w:pos="736" w:val="left" w:leader="none"/>
              </w:tabs>
              <w:spacing w:line="240" w:lineRule="auto" w:before="123" w:after="0"/>
              <w:ind w:left="735" w:right="0" w:hanging="624"/>
              <w:jc w:val="left"/>
              <w:rPr>
                <w:sz w:val="21"/>
              </w:rPr>
            </w:pPr>
            <w:r>
              <w:rPr>
                <w:spacing w:val="-3"/>
                <w:sz w:val="21"/>
              </w:rPr>
              <w:t>行动：自己上下床或者上下轮椅；</w:t>
            </w:r>
          </w:p>
          <w:p>
            <w:pPr>
              <w:pStyle w:val="TableParagraph"/>
              <w:numPr>
                <w:ilvl w:val="0"/>
                <w:numId w:val="46"/>
              </w:numPr>
              <w:tabs>
                <w:tab w:pos="736" w:val="left" w:leader="none"/>
              </w:tabs>
              <w:spacing w:line="240" w:lineRule="auto" w:before="123" w:after="0"/>
              <w:ind w:left="735" w:right="0" w:hanging="624"/>
              <w:jc w:val="left"/>
              <w:rPr>
                <w:sz w:val="21"/>
              </w:rPr>
            </w:pPr>
            <w:r>
              <w:rPr>
                <w:spacing w:val="-3"/>
                <w:sz w:val="21"/>
              </w:rPr>
              <w:t>如厕：自己控制进行大小便；</w:t>
            </w:r>
          </w:p>
          <w:p>
            <w:pPr>
              <w:pStyle w:val="TableParagraph"/>
              <w:numPr>
                <w:ilvl w:val="0"/>
                <w:numId w:val="46"/>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46"/>
              </w:numPr>
              <w:tabs>
                <w:tab w:pos="736" w:val="left" w:leader="none"/>
              </w:tabs>
              <w:spacing w:line="240" w:lineRule="auto" w:before="123" w:after="0"/>
              <w:ind w:left="735" w:right="0" w:hanging="624"/>
              <w:jc w:val="left"/>
              <w:rPr>
                <w:sz w:val="21"/>
              </w:rPr>
            </w:pPr>
            <w:r>
              <w:rPr>
                <w:spacing w:val="-3"/>
                <w:sz w:val="21"/>
              </w:rPr>
              <w:t>洗澡：自己进行淋浴或者盆浴。</w:t>
            </w:r>
          </w:p>
        </w:tc>
      </w:tr>
    </w:tbl>
    <w:sectPr>
      <w:pgSz w:w="11910" w:h="16840"/>
      <w:pgMar w:top="13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7" w:hanging="625"/>
      </w:pPr>
      <w:rPr>
        <w:rFonts w:hint="default"/>
      </w:rPr>
    </w:lvl>
  </w:abstractNum>
  <w:abstractNum w:abstractNumId="4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4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42">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41">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0">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39">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38">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6">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4">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2">
    <w:multiLevelType w:val="hybridMultilevel"/>
    <w:lvl w:ilvl="0">
      <w:start w:val="1"/>
      <w:numFmt w:val="decimal"/>
      <w:lvlText w:val="（%1）"/>
      <w:lvlJc w:val="left"/>
      <w:pPr>
        <w:ind w:left="736"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29">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2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7">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5">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3">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2">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1">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9">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7">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8" w:hanging="625"/>
      </w:pPr>
      <w:rPr>
        <w:rFonts w:hint="default"/>
      </w:rPr>
    </w:lvl>
    <w:lvl w:ilvl="7">
      <w:start w:val="0"/>
      <w:numFmt w:val="bullet"/>
      <w:lvlText w:val="•"/>
      <w:lvlJc w:val="left"/>
      <w:pPr>
        <w:ind w:left="5428" w:hanging="625"/>
      </w:pPr>
      <w:rPr>
        <w:rFonts w:hint="default"/>
      </w:rPr>
    </w:lvl>
    <w:lvl w:ilvl="8">
      <w:start w:val="0"/>
      <w:numFmt w:val="bullet"/>
      <w:lvlText w:val="•"/>
      <w:lvlJc w:val="left"/>
      <w:pPr>
        <w:ind w:left="6098" w:hanging="625"/>
      </w:pPr>
      <w:rPr>
        <w:rFonts w:hint="default"/>
      </w:rPr>
    </w:lvl>
  </w:abstractNum>
  <w:abstractNum w:abstractNumId="16">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4">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2">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1">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9">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8">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1"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4" w:hanging="632"/>
      </w:pPr>
      <w:rPr>
        <w:rFonts w:hint="default"/>
      </w:rPr>
    </w:lvl>
  </w:abstractNum>
  <w:abstractNum w:abstractNumId="7">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5">
    <w:multiLevelType w:val="hybridMultilevel"/>
    <w:lvl w:ilvl="0">
      <w:start w:val="1"/>
      <w:numFmt w:val="decimal"/>
      <w:lvlText w:val="（%1）"/>
      <w:lvlJc w:val="left"/>
      <w:pPr>
        <w:ind w:left="736" w:hanging="625"/>
        <w:jc w:val="left"/>
      </w:pPr>
      <w:rPr>
        <w:rFonts w:hint="default" w:ascii="宋体" w:hAnsi="宋体" w:eastAsia="宋体" w:cs="宋体"/>
        <w:spacing w:val="-1"/>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5"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6" w:hanging="625"/>
      </w:pPr>
      <w:rPr>
        <w:rFonts w:hint="default"/>
      </w:rPr>
    </w:lvl>
    <w:lvl w:ilvl="8">
      <w:start w:val="0"/>
      <w:numFmt w:val="bullet"/>
      <w:lvlText w:val="•"/>
      <w:lvlJc w:val="left"/>
      <w:pPr>
        <w:ind w:left="6210" w:hanging="625"/>
      </w:pPr>
      <w:rPr>
        <w:rFonts w:hint="default"/>
      </w:rPr>
    </w:lvl>
  </w:abstractNum>
  <w:abstractNum w:abstractNumId="3">
    <w:multiLevelType w:val="hybridMultilevel"/>
    <w:lvl w:ilvl="0">
      <w:start w:val="1"/>
      <w:numFmt w:val="decimal"/>
      <w:lvlText w:val="（%1）"/>
      <w:lvlJc w:val="left"/>
      <w:pPr>
        <w:ind w:left="735"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5"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6" w:hanging="625"/>
      </w:pPr>
      <w:rPr>
        <w:rFonts w:hint="default"/>
      </w:rPr>
    </w:lvl>
    <w:lvl w:ilvl="8">
      <w:start w:val="0"/>
      <w:numFmt w:val="bullet"/>
      <w:lvlText w:val="•"/>
      <w:lvlJc w:val="left"/>
      <w:pPr>
        <w:ind w:left="6210" w:hanging="625"/>
      </w:pPr>
      <w:rPr>
        <w:rFonts w:hint="default"/>
      </w:rPr>
    </w:lvl>
  </w:abstractNum>
  <w:abstractNum w:abstractNumId="2">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2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791" w:hanging="632"/>
      </w:pPr>
      <w:rPr>
        <w:rFonts w:hint="default"/>
      </w:rPr>
    </w:lvl>
    <w:lvl w:ilvl="4">
      <w:start w:val="0"/>
      <w:numFmt w:val="bullet"/>
      <w:lvlText w:val="•"/>
      <w:lvlJc w:val="left"/>
      <w:pPr>
        <w:ind w:left="3474" w:hanging="632"/>
      </w:pPr>
      <w:rPr>
        <w:rFonts w:hint="default"/>
      </w:rPr>
    </w:lvl>
    <w:lvl w:ilvl="5">
      <w:start w:val="0"/>
      <w:numFmt w:val="bullet"/>
      <w:lvlText w:val="•"/>
      <w:lvlJc w:val="left"/>
      <w:pPr>
        <w:ind w:left="4158" w:hanging="632"/>
      </w:pPr>
      <w:rPr>
        <w:rFonts w:hint="default"/>
      </w:rPr>
    </w:lvl>
    <w:lvl w:ilvl="6">
      <w:start w:val="0"/>
      <w:numFmt w:val="bullet"/>
      <w:lvlText w:val="•"/>
      <w:lvlJc w:val="left"/>
      <w:pPr>
        <w:ind w:left="4842" w:hanging="632"/>
      </w:pPr>
      <w:rPr>
        <w:rFonts w:hint="default"/>
      </w:rPr>
    </w:lvl>
    <w:lvl w:ilvl="7">
      <w:start w:val="0"/>
      <w:numFmt w:val="bullet"/>
      <w:lvlText w:val="•"/>
      <w:lvlJc w:val="left"/>
      <w:pPr>
        <w:ind w:left="5525" w:hanging="632"/>
      </w:pPr>
      <w:rPr>
        <w:rFonts w:hint="default"/>
      </w:rPr>
    </w:lvl>
    <w:lvl w:ilvl="8">
      <w:start w:val="0"/>
      <w:numFmt w:val="bullet"/>
      <w:lvlText w:val="•"/>
      <w:lvlJc w:val="left"/>
      <w:pPr>
        <w:ind w:left="6209" w:hanging="632"/>
      </w:pPr>
      <w:rPr>
        <w:rFonts w:hint="default"/>
      </w:rPr>
    </w:lvl>
  </w:abstractNum>
  <w:abstractNum w:abstractNumId="1">
    <w:multiLevelType w:val="hybridMultilevel"/>
    <w:lvl w:ilvl="0">
      <w:start w:val="1"/>
      <w:numFmt w:val="decimal"/>
      <w:lvlText w:val="（%1）"/>
      <w:lvlJc w:val="left"/>
      <w:pPr>
        <w:ind w:left="743" w:hanging="632"/>
        <w:jc w:val="left"/>
      </w:pPr>
      <w:rPr>
        <w:rFonts w:hint="default" w:ascii="宋体" w:hAnsi="宋体" w:eastAsia="宋体" w:cs="宋体"/>
        <w:spacing w:val="-1"/>
        <w:w w:val="100"/>
        <w:sz w:val="21"/>
        <w:szCs w:val="21"/>
      </w:rPr>
    </w:lvl>
    <w:lvl w:ilvl="1">
      <w:start w:val="0"/>
      <w:numFmt w:val="bullet"/>
      <w:lvlText w:val="•"/>
      <w:lvlJc w:val="left"/>
      <w:pPr>
        <w:ind w:left="142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791" w:hanging="632"/>
      </w:pPr>
      <w:rPr>
        <w:rFonts w:hint="default"/>
      </w:rPr>
    </w:lvl>
    <w:lvl w:ilvl="4">
      <w:start w:val="0"/>
      <w:numFmt w:val="bullet"/>
      <w:lvlText w:val="•"/>
      <w:lvlJc w:val="left"/>
      <w:pPr>
        <w:ind w:left="3474" w:hanging="632"/>
      </w:pPr>
      <w:rPr>
        <w:rFonts w:hint="default"/>
      </w:rPr>
    </w:lvl>
    <w:lvl w:ilvl="5">
      <w:start w:val="0"/>
      <w:numFmt w:val="bullet"/>
      <w:lvlText w:val="•"/>
      <w:lvlJc w:val="left"/>
      <w:pPr>
        <w:ind w:left="4158" w:hanging="632"/>
      </w:pPr>
      <w:rPr>
        <w:rFonts w:hint="default"/>
      </w:rPr>
    </w:lvl>
    <w:lvl w:ilvl="6">
      <w:start w:val="0"/>
      <w:numFmt w:val="bullet"/>
      <w:lvlText w:val="•"/>
      <w:lvlJc w:val="left"/>
      <w:pPr>
        <w:ind w:left="4842" w:hanging="632"/>
      </w:pPr>
      <w:rPr>
        <w:rFonts w:hint="default"/>
      </w:rPr>
    </w:lvl>
    <w:lvl w:ilvl="7">
      <w:start w:val="0"/>
      <w:numFmt w:val="bullet"/>
      <w:lvlText w:val="•"/>
      <w:lvlJc w:val="left"/>
      <w:pPr>
        <w:ind w:left="5525" w:hanging="632"/>
      </w:pPr>
      <w:rPr>
        <w:rFonts w:hint="default"/>
      </w:rPr>
    </w:lvl>
    <w:lvl w:ilvl="8">
      <w:start w:val="0"/>
      <w:numFmt w:val="bullet"/>
      <w:lvlText w:val="•"/>
      <w:lvlJc w:val="left"/>
      <w:pPr>
        <w:ind w:left="6209" w:hanging="632"/>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2018-10-20T01:07:42Z</dcterms:created>
  <dcterms:modified xsi:type="dcterms:W3CDTF">2018-10-20T01:07:42Z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